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4B7" w:rsidRDefault="00F96714">
      <w:pPr>
        <w:spacing w:after="0" w:line="240" w:lineRule="auto"/>
        <w:jc w:val="center"/>
        <w:rPr>
          <w:rFonts w:eastAsia="Times New Roman"/>
          <w:b/>
          <w:smallCaps/>
          <w:sz w:val="28"/>
        </w:rPr>
      </w:pPr>
      <w:bookmarkStart w:id="0" w:name="_GoBack"/>
      <w:bookmarkEnd w:id="0"/>
      <w:r>
        <w:rPr>
          <w:rFonts w:eastAsia="Times New Roman"/>
          <w:b/>
          <w:smallCaps/>
          <w:sz w:val="28"/>
        </w:rPr>
        <w:t>Before</w:t>
      </w:r>
    </w:p>
    <w:p w:rsidR="00FD64B7" w:rsidRDefault="00F96714">
      <w:pPr>
        <w:jc w:val="center"/>
        <w:rPr>
          <w:rFonts w:eastAsia="Times New Roman"/>
          <w:b/>
          <w:smallCaps/>
          <w:sz w:val="28"/>
          <w:szCs w:val="22"/>
        </w:rPr>
      </w:pPr>
      <w:r>
        <w:rPr>
          <w:rFonts w:eastAsia="Times New Roman"/>
          <w:b/>
          <w:smallCaps/>
          <w:sz w:val="28"/>
          <w:szCs w:val="22"/>
        </w:rPr>
        <w:t>The Public Utilities Commission of Ohio</w:t>
      </w:r>
    </w:p>
    <w:p w:rsidR="00FD64B7" w:rsidRDefault="00F96714">
      <w:pPr>
        <w:tabs>
          <w:tab w:val="left" w:pos="4680"/>
          <w:tab w:val="left" w:pos="5400"/>
        </w:tabs>
        <w:spacing w:after="0" w:line="240" w:lineRule="auto"/>
        <w:rPr>
          <w:rFonts w:eastAsia="Times New Roman"/>
        </w:rPr>
      </w:pPr>
      <w:r>
        <w:rPr>
          <w:rFonts w:eastAsia="Times New Roman"/>
        </w:rPr>
        <w:t>In the Matter of the Application of</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 xml:space="preserve">Ohio Power Company and Columbus </w:t>
      </w:r>
      <w:r>
        <w:rPr>
          <w:rFonts w:eastAsia="Times New Roman"/>
        </w:rPr>
        <w:tab/>
        <w:t>)</w:t>
      </w:r>
      <w:r>
        <w:rPr>
          <w:rFonts w:eastAsia="Times New Roman"/>
        </w:rPr>
        <w:tab/>
        <w:t>Case No. 10-2376-EL-UNC</w:t>
      </w:r>
    </w:p>
    <w:p w:rsidR="00FD64B7" w:rsidRDefault="00F96714">
      <w:pPr>
        <w:tabs>
          <w:tab w:val="left" w:pos="4680"/>
          <w:tab w:val="left" w:pos="5400"/>
        </w:tabs>
        <w:spacing w:after="0" w:line="240" w:lineRule="auto"/>
        <w:rPr>
          <w:rFonts w:eastAsia="Times New Roman"/>
        </w:rPr>
      </w:pPr>
      <w:r>
        <w:rPr>
          <w:rFonts w:eastAsia="Times New Roman"/>
        </w:rPr>
        <w:t>Southern Power Company for Authority</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to Merge and Related Approvals.</w:t>
      </w:r>
      <w:r>
        <w:rPr>
          <w:rFonts w:eastAsia="Times New Roman"/>
        </w:rPr>
        <w:tab/>
        <w:t>)</w:t>
      </w:r>
    </w:p>
    <w:p w:rsidR="00FD64B7" w:rsidRDefault="00FD64B7">
      <w:pPr>
        <w:tabs>
          <w:tab w:val="left" w:pos="4680"/>
        </w:tabs>
        <w:spacing w:after="0" w:line="240" w:lineRule="auto"/>
        <w:jc w:val="both"/>
        <w:rPr>
          <w:rFonts w:eastAsia="Times New Roman"/>
        </w:rPr>
      </w:pPr>
    </w:p>
    <w:p w:rsidR="00FD64B7" w:rsidRDefault="00F96714">
      <w:pPr>
        <w:tabs>
          <w:tab w:val="left" w:pos="4680"/>
        </w:tabs>
        <w:spacing w:after="0" w:line="240" w:lineRule="auto"/>
        <w:jc w:val="both"/>
        <w:rPr>
          <w:rFonts w:eastAsia="Times New Roman"/>
        </w:rPr>
      </w:pPr>
      <w:r>
        <w:rPr>
          <w:rFonts w:eastAsia="Times New Roman"/>
        </w:rPr>
        <w:t xml:space="preserve">In the Matter of the Application of </w:t>
      </w:r>
      <w:r>
        <w:rPr>
          <w:rFonts w:eastAsia="Times New Roman"/>
        </w:rPr>
        <w:tab/>
        <w:t>)</w:t>
      </w:r>
    </w:p>
    <w:p w:rsidR="00FD64B7" w:rsidRDefault="00F96714">
      <w:pPr>
        <w:tabs>
          <w:tab w:val="left" w:pos="4680"/>
        </w:tabs>
        <w:spacing w:after="0" w:line="240" w:lineRule="auto"/>
        <w:jc w:val="both"/>
        <w:rPr>
          <w:rFonts w:eastAsia="Times New Roman"/>
        </w:rPr>
      </w:pPr>
      <w:r>
        <w:rPr>
          <w:rFonts w:eastAsia="Times New Roman"/>
        </w:rPr>
        <w:t>Columbus Southern Power Company and</w:t>
      </w:r>
      <w:r>
        <w:rPr>
          <w:rFonts w:eastAsia="Times New Roman"/>
        </w:rPr>
        <w:tab/>
        <w:t>)</w:t>
      </w:r>
    </w:p>
    <w:p w:rsidR="00FD64B7" w:rsidRDefault="00F96714">
      <w:pPr>
        <w:tabs>
          <w:tab w:val="left" w:pos="4680"/>
          <w:tab w:val="left" w:pos="5400"/>
        </w:tabs>
        <w:spacing w:after="0" w:line="240" w:lineRule="auto"/>
        <w:jc w:val="both"/>
        <w:rPr>
          <w:rFonts w:eastAsia="Times New Roman"/>
        </w:rPr>
      </w:pPr>
      <w:r>
        <w:rPr>
          <w:rFonts w:eastAsia="Times New Roman"/>
        </w:rPr>
        <w:t>Ohio Power Company for Authority to</w:t>
      </w:r>
      <w:r>
        <w:rPr>
          <w:rFonts w:eastAsia="Times New Roman"/>
        </w:rPr>
        <w:tab/>
        <w:t>)</w:t>
      </w:r>
      <w:r>
        <w:rPr>
          <w:rFonts w:eastAsia="Times New Roman"/>
        </w:rPr>
        <w:tab/>
        <w:t>Case No. 11-346-EL-SSO</w:t>
      </w:r>
    </w:p>
    <w:p w:rsidR="00FD64B7" w:rsidRDefault="00F96714">
      <w:pPr>
        <w:tabs>
          <w:tab w:val="left" w:pos="4680"/>
          <w:tab w:val="left" w:pos="5400"/>
        </w:tabs>
        <w:spacing w:after="0" w:line="240" w:lineRule="auto"/>
        <w:jc w:val="both"/>
        <w:rPr>
          <w:rFonts w:eastAsia="Times New Roman"/>
        </w:rPr>
      </w:pPr>
      <w:r>
        <w:rPr>
          <w:rFonts w:eastAsia="Times New Roman"/>
        </w:rPr>
        <w:t>Establish a Standard Service Offer</w:t>
      </w:r>
      <w:r>
        <w:rPr>
          <w:rFonts w:eastAsia="Times New Roman"/>
        </w:rPr>
        <w:tab/>
        <w:t>)</w:t>
      </w:r>
      <w:r>
        <w:rPr>
          <w:rFonts w:eastAsia="Times New Roman"/>
        </w:rPr>
        <w:tab/>
        <w:t>Case No. 11-348-EL-SSO</w:t>
      </w:r>
    </w:p>
    <w:p w:rsidR="00FD64B7" w:rsidRDefault="00F96714">
      <w:pPr>
        <w:tabs>
          <w:tab w:val="left" w:pos="4680"/>
        </w:tabs>
        <w:spacing w:after="0" w:line="240" w:lineRule="auto"/>
        <w:jc w:val="both"/>
        <w:rPr>
          <w:rFonts w:eastAsia="Times New Roman"/>
        </w:rPr>
      </w:pPr>
      <w:r>
        <w:rPr>
          <w:rFonts w:eastAsia="Times New Roman"/>
        </w:rPr>
        <w:t>Pursuant to §4928.143, Ohio Rev. Code,</w:t>
      </w:r>
      <w:r>
        <w:rPr>
          <w:rFonts w:eastAsia="Times New Roman"/>
        </w:rPr>
        <w:tab/>
        <w:t>)</w:t>
      </w:r>
    </w:p>
    <w:p w:rsidR="00FD64B7" w:rsidRDefault="00F96714">
      <w:pPr>
        <w:tabs>
          <w:tab w:val="left" w:pos="4680"/>
        </w:tabs>
        <w:spacing w:after="0" w:line="240" w:lineRule="auto"/>
        <w:jc w:val="both"/>
        <w:rPr>
          <w:rFonts w:eastAsia="Times New Roman"/>
        </w:rPr>
      </w:pPr>
      <w:r>
        <w:rPr>
          <w:rFonts w:eastAsia="Times New Roman"/>
        </w:rPr>
        <w:t>in the Form of an Electric Security Plan.</w:t>
      </w:r>
      <w:r>
        <w:rPr>
          <w:rFonts w:eastAsia="Times New Roman"/>
        </w:rPr>
        <w:tab/>
        <w:t>)</w:t>
      </w:r>
      <w:r>
        <w:rPr>
          <w:rFonts w:eastAsia="Times New Roman"/>
        </w:rPr>
        <w:tab/>
      </w:r>
    </w:p>
    <w:p w:rsidR="00FD64B7" w:rsidRDefault="00FD64B7">
      <w:pPr>
        <w:tabs>
          <w:tab w:val="left" w:pos="5040"/>
        </w:tabs>
        <w:spacing w:after="0" w:line="240" w:lineRule="auto"/>
        <w:jc w:val="both"/>
        <w:rPr>
          <w:rFonts w:eastAsia="Times New Roman"/>
        </w:rPr>
      </w:pPr>
    </w:p>
    <w:p w:rsidR="00FD64B7" w:rsidRDefault="00F96714">
      <w:pPr>
        <w:tabs>
          <w:tab w:val="left" w:pos="4680"/>
        </w:tabs>
        <w:spacing w:after="0" w:line="240" w:lineRule="auto"/>
        <w:jc w:val="both"/>
        <w:rPr>
          <w:rFonts w:eastAsia="Times New Roman"/>
        </w:rPr>
      </w:pPr>
      <w:r>
        <w:rPr>
          <w:rFonts w:eastAsia="Times New Roman"/>
        </w:rPr>
        <w:t>In the Matter of the Application of</w:t>
      </w:r>
      <w:r>
        <w:rPr>
          <w:rFonts w:eastAsia="Times New Roman"/>
        </w:rPr>
        <w:tab/>
        <w:t>)</w:t>
      </w:r>
    </w:p>
    <w:p w:rsidR="00FD64B7" w:rsidRDefault="00F96714">
      <w:pPr>
        <w:tabs>
          <w:tab w:val="left" w:pos="4680"/>
          <w:tab w:val="left" w:pos="5400"/>
        </w:tabs>
        <w:spacing w:after="0" w:line="240" w:lineRule="auto"/>
        <w:jc w:val="both"/>
        <w:rPr>
          <w:rFonts w:eastAsia="Times New Roman"/>
        </w:rPr>
      </w:pPr>
      <w:r>
        <w:rPr>
          <w:rFonts w:eastAsia="Times New Roman"/>
        </w:rPr>
        <w:t>Columbus Southern Power Company and</w:t>
      </w:r>
      <w:r>
        <w:rPr>
          <w:rFonts w:eastAsia="Times New Roman"/>
        </w:rPr>
        <w:tab/>
        <w:t>)</w:t>
      </w:r>
      <w:r>
        <w:rPr>
          <w:rFonts w:eastAsia="Times New Roman"/>
        </w:rPr>
        <w:tab/>
        <w:t>Case No. 11-349-EL-AAM</w:t>
      </w:r>
    </w:p>
    <w:p w:rsidR="00FD64B7" w:rsidRDefault="00F96714">
      <w:pPr>
        <w:tabs>
          <w:tab w:val="left" w:pos="4680"/>
          <w:tab w:val="left" w:pos="5400"/>
        </w:tabs>
        <w:spacing w:after="0" w:line="240" w:lineRule="auto"/>
        <w:jc w:val="both"/>
        <w:rPr>
          <w:rFonts w:eastAsia="Times New Roman"/>
        </w:rPr>
      </w:pPr>
      <w:r>
        <w:rPr>
          <w:rFonts w:eastAsia="Times New Roman"/>
        </w:rPr>
        <w:t>Ohio Power Company for Approval of</w:t>
      </w:r>
      <w:r>
        <w:rPr>
          <w:rFonts w:eastAsia="Times New Roman"/>
        </w:rPr>
        <w:tab/>
        <w:t>)</w:t>
      </w:r>
      <w:r>
        <w:rPr>
          <w:rFonts w:eastAsia="Times New Roman"/>
        </w:rPr>
        <w:tab/>
        <w:t>Case No. 11-350-EL-AAM</w:t>
      </w:r>
    </w:p>
    <w:p w:rsidR="00FD64B7" w:rsidRDefault="00F96714">
      <w:pPr>
        <w:tabs>
          <w:tab w:val="left" w:pos="4680"/>
        </w:tabs>
        <w:spacing w:after="0" w:line="240" w:lineRule="auto"/>
        <w:jc w:val="both"/>
        <w:rPr>
          <w:rFonts w:eastAsia="Times New Roman"/>
        </w:rPr>
      </w:pPr>
      <w:r>
        <w:rPr>
          <w:rFonts w:eastAsia="Times New Roman"/>
        </w:rPr>
        <w:t>Certain Accounting Authority.</w:t>
      </w:r>
      <w:r>
        <w:rPr>
          <w:rFonts w:eastAsia="Times New Roman"/>
        </w:rPr>
        <w:tab/>
        <w:t>)</w:t>
      </w:r>
    </w:p>
    <w:p w:rsidR="00FD64B7" w:rsidRDefault="00FD64B7">
      <w:pPr>
        <w:tabs>
          <w:tab w:val="left" w:pos="4680"/>
        </w:tabs>
        <w:spacing w:after="0" w:line="240" w:lineRule="auto"/>
        <w:jc w:val="both"/>
        <w:rPr>
          <w:rFonts w:eastAsia="Times New Roman"/>
        </w:rPr>
      </w:pPr>
    </w:p>
    <w:p w:rsidR="00FD64B7" w:rsidRDefault="00F96714">
      <w:pPr>
        <w:tabs>
          <w:tab w:val="left" w:pos="4680"/>
          <w:tab w:val="left" w:pos="5400"/>
        </w:tabs>
        <w:spacing w:after="0" w:line="240" w:lineRule="auto"/>
        <w:rPr>
          <w:rFonts w:eastAsia="Times New Roman"/>
        </w:rPr>
      </w:pPr>
      <w:r>
        <w:rPr>
          <w:rFonts w:eastAsia="Times New Roman"/>
        </w:rPr>
        <w:t>In the Matter of the Application of</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 xml:space="preserve">Columbus Southern Power Company to </w:t>
      </w:r>
      <w:r>
        <w:rPr>
          <w:rFonts w:eastAsia="Times New Roman"/>
        </w:rPr>
        <w:tab/>
        <w:t>)</w:t>
      </w:r>
      <w:r>
        <w:rPr>
          <w:rFonts w:eastAsia="Times New Roman"/>
        </w:rPr>
        <w:tab/>
        <w:t>Case No. 10-343-EL-ATA</w:t>
      </w:r>
    </w:p>
    <w:p w:rsidR="00FD64B7" w:rsidRDefault="00F96714">
      <w:pPr>
        <w:tabs>
          <w:tab w:val="left" w:pos="4680"/>
          <w:tab w:val="left" w:pos="5400"/>
        </w:tabs>
        <w:spacing w:after="0" w:line="240" w:lineRule="auto"/>
        <w:rPr>
          <w:rFonts w:eastAsia="Times New Roman"/>
        </w:rPr>
      </w:pPr>
      <w:r>
        <w:rPr>
          <w:rFonts w:eastAsia="Times New Roman"/>
        </w:rPr>
        <w:t xml:space="preserve">Amend its Emergency Curtailment </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Service Riders.</w:t>
      </w:r>
      <w:r>
        <w:rPr>
          <w:rFonts w:eastAsia="Times New Roman"/>
        </w:rPr>
        <w:tab/>
        <w:t>)</w:t>
      </w:r>
    </w:p>
    <w:p w:rsidR="00FD64B7" w:rsidRDefault="00FD64B7">
      <w:pPr>
        <w:tabs>
          <w:tab w:val="left" w:pos="4680"/>
          <w:tab w:val="left" w:pos="5400"/>
        </w:tabs>
        <w:spacing w:after="0" w:line="240" w:lineRule="auto"/>
        <w:rPr>
          <w:rFonts w:eastAsia="Times New Roman"/>
        </w:rPr>
      </w:pPr>
    </w:p>
    <w:p w:rsidR="00FD64B7" w:rsidRDefault="00F96714">
      <w:pPr>
        <w:tabs>
          <w:tab w:val="left" w:pos="4680"/>
          <w:tab w:val="left" w:pos="5400"/>
        </w:tabs>
        <w:spacing w:after="0" w:line="240" w:lineRule="auto"/>
        <w:rPr>
          <w:rFonts w:eastAsia="Times New Roman"/>
        </w:rPr>
      </w:pPr>
      <w:r>
        <w:rPr>
          <w:rFonts w:eastAsia="Times New Roman"/>
        </w:rPr>
        <w:t>In the Matter of the Application of</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Ohio Power Company to Amend its</w:t>
      </w:r>
      <w:r>
        <w:rPr>
          <w:rFonts w:eastAsia="Times New Roman"/>
        </w:rPr>
        <w:tab/>
        <w:t>)</w:t>
      </w:r>
      <w:r>
        <w:rPr>
          <w:rFonts w:eastAsia="Times New Roman"/>
        </w:rPr>
        <w:tab/>
        <w:t>Case No. 10-344-EL-ATA</w:t>
      </w:r>
    </w:p>
    <w:p w:rsidR="00FD64B7" w:rsidRDefault="00F96714">
      <w:pPr>
        <w:tabs>
          <w:tab w:val="left" w:pos="4680"/>
          <w:tab w:val="left" w:pos="5400"/>
        </w:tabs>
        <w:spacing w:after="0" w:line="240" w:lineRule="auto"/>
        <w:rPr>
          <w:rFonts w:eastAsia="Times New Roman"/>
        </w:rPr>
      </w:pPr>
      <w:r>
        <w:rPr>
          <w:rFonts w:eastAsia="Times New Roman"/>
        </w:rPr>
        <w:t>Emergency Curtailment Service Riders.</w:t>
      </w:r>
      <w:r>
        <w:rPr>
          <w:rFonts w:eastAsia="Times New Roman"/>
        </w:rPr>
        <w:tab/>
        <w:t>)</w:t>
      </w:r>
    </w:p>
    <w:p w:rsidR="00FD64B7" w:rsidRDefault="00FD64B7">
      <w:pPr>
        <w:tabs>
          <w:tab w:val="left" w:pos="4680"/>
          <w:tab w:val="left" w:pos="5400"/>
        </w:tabs>
        <w:spacing w:after="0" w:line="240" w:lineRule="auto"/>
        <w:rPr>
          <w:rFonts w:eastAsia="Times New Roman"/>
        </w:rPr>
      </w:pPr>
    </w:p>
    <w:p w:rsidR="00FD64B7" w:rsidRDefault="00F96714">
      <w:pPr>
        <w:tabs>
          <w:tab w:val="left" w:pos="4680"/>
          <w:tab w:val="left" w:pos="5400"/>
        </w:tabs>
        <w:spacing w:after="0" w:line="240" w:lineRule="auto"/>
        <w:rPr>
          <w:rFonts w:eastAsia="Times New Roman"/>
        </w:rPr>
      </w:pPr>
      <w:r>
        <w:rPr>
          <w:rFonts w:eastAsia="Times New Roman"/>
        </w:rPr>
        <w:t>In the Matter of the Commission Review</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Of the Capacity Charges of Ohio Power</w:t>
      </w:r>
      <w:r>
        <w:rPr>
          <w:rFonts w:eastAsia="Times New Roman"/>
        </w:rPr>
        <w:tab/>
        <w:t>)</w:t>
      </w:r>
      <w:r>
        <w:rPr>
          <w:rFonts w:eastAsia="Times New Roman"/>
        </w:rPr>
        <w:tab/>
        <w:t>Case No. 10-2929-EL-UNC</w:t>
      </w:r>
    </w:p>
    <w:p w:rsidR="00FD64B7" w:rsidRDefault="00F96714">
      <w:pPr>
        <w:tabs>
          <w:tab w:val="left" w:pos="4680"/>
          <w:tab w:val="left" w:pos="5400"/>
        </w:tabs>
        <w:spacing w:after="0" w:line="240" w:lineRule="auto"/>
        <w:rPr>
          <w:rFonts w:eastAsia="Times New Roman"/>
        </w:rPr>
      </w:pPr>
      <w:r>
        <w:rPr>
          <w:rFonts w:eastAsia="Times New Roman"/>
        </w:rPr>
        <w:t xml:space="preserve">Company and Columbus Southern </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Power Company.</w:t>
      </w:r>
      <w:r>
        <w:rPr>
          <w:rFonts w:eastAsia="Times New Roman"/>
        </w:rPr>
        <w:tab/>
        <w:t>)</w:t>
      </w:r>
    </w:p>
    <w:p w:rsidR="00FD64B7" w:rsidRDefault="00FD64B7">
      <w:pPr>
        <w:tabs>
          <w:tab w:val="left" w:pos="4680"/>
          <w:tab w:val="left" w:pos="5400"/>
        </w:tabs>
        <w:spacing w:after="0" w:line="240" w:lineRule="auto"/>
        <w:rPr>
          <w:rFonts w:eastAsia="Times New Roman"/>
        </w:rPr>
      </w:pPr>
    </w:p>
    <w:p w:rsidR="00FD64B7" w:rsidRDefault="00F96714">
      <w:pPr>
        <w:tabs>
          <w:tab w:val="left" w:pos="4680"/>
          <w:tab w:val="left" w:pos="5400"/>
        </w:tabs>
        <w:spacing w:after="0" w:line="240" w:lineRule="auto"/>
        <w:rPr>
          <w:rFonts w:eastAsia="Times New Roman"/>
        </w:rPr>
      </w:pPr>
      <w:r>
        <w:rPr>
          <w:rFonts w:eastAsia="Times New Roman"/>
        </w:rPr>
        <w:t>In the Matter of the Application of</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Columbus Southern Power Company</w:t>
      </w:r>
      <w:r>
        <w:rPr>
          <w:rFonts w:eastAsia="Times New Roman"/>
        </w:rPr>
        <w:tab/>
        <w:t>)</w:t>
      </w:r>
      <w:r>
        <w:rPr>
          <w:rFonts w:eastAsia="Times New Roman"/>
        </w:rPr>
        <w:tab/>
        <w:t>Case No. 11-4920-EL-RDR</w:t>
      </w:r>
    </w:p>
    <w:p w:rsidR="00FD64B7" w:rsidRDefault="00F96714">
      <w:pPr>
        <w:tabs>
          <w:tab w:val="left" w:pos="4680"/>
          <w:tab w:val="left" w:pos="5400"/>
        </w:tabs>
        <w:spacing w:after="0" w:line="240" w:lineRule="auto"/>
        <w:rPr>
          <w:rFonts w:eastAsia="Times New Roman"/>
        </w:rPr>
      </w:pPr>
      <w:r>
        <w:rPr>
          <w:rFonts w:eastAsia="Times New Roman"/>
        </w:rPr>
        <w:t>for Approval of a Mechanism to Recover</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Deferred Fuel Costs Ordered Under</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Ohio Revised Code 4928.144.</w:t>
      </w:r>
      <w:r>
        <w:rPr>
          <w:rFonts w:eastAsia="Times New Roman"/>
        </w:rPr>
        <w:tab/>
        <w:t>)</w:t>
      </w:r>
    </w:p>
    <w:p w:rsidR="00FD64B7" w:rsidRDefault="00FD64B7">
      <w:pPr>
        <w:tabs>
          <w:tab w:val="left" w:pos="4680"/>
          <w:tab w:val="left" w:pos="5400"/>
        </w:tabs>
        <w:spacing w:after="0" w:line="240" w:lineRule="auto"/>
        <w:rPr>
          <w:rFonts w:eastAsia="Times New Roman"/>
        </w:rPr>
      </w:pPr>
    </w:p>
    <w:p w:rsidR="00FD64B7" w:rsidRDefault="00F96714">
      <w:pPr>
        <w:tabs>
          <w:tab w:val="left" w:pos="4680"/>
          <w:tab w:val="left" w:pos="5400"/>
        </w:tabs>
        <w:spacing w:after="0" w:line="240" w:lineRule="auto"/>
        <w:rPr>
          <w:rFonts w:eastAsia="Times New Roman"/>
        </w:rPr>
      </w:pPr>
      <w:r>
        <w:rPr>
          <w:rFonts w:eastAsia="Times New Roman"/>
        </w:rPr>
        <w:t>In the Matter of the Application of</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 xml:space="preserve">Ohio Power Company for Approval of a </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 xml:space="preserve">Mechanism to Recover Deferred Fuel </w:t>
      </w:r>
      <w:r>
        <w:rPr>
          <w:rFonts w:eastAsia="Times New Roman"/>
        </w:rPr>
        <w:tab/>
        <w:t>)</w:t>
      </w:r>
      <w:r>
        <w:rPr>
          <w:rFonts w:eastAsia="Times New Roman"/>
        </w:rPr>
        <w:tab/>
        <w:t>Case No. 11-4921-EL-RDR</w:t>
      </w:r>
    </w:p>
    <w:p w:rsidR="00FD64B7" w:rsidRDefault="00F96714">
      <w:pPr>
        <w:tabs>
          <w:tab w:val="left" w:pos="4680"/>
          <w:tab w:val="left" w:pos="5400"/>
        </w:tabs>
        <w:spacing w:after="0" w:line="240" w:lineRule="auto"/>
        <w:rPr>
          <w:rFonts w:eastAsia="Times New Roman"/>
        </w:rPr>
      </w:pPr>
      <w:r>
        <w:rPr>
          <w:rFonts w:eastAsia="Times New Roman"/>
        </w:rPr>
        <w:t xml:space="preserve">Costs Ordered Under Ohio Revised </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Code 4928.144.</w:t>
      </w:r>
      <w:r>
        <w:rPr>
          <w:rFonts w:eastAsia="Times New Roman"/>
        </w:rPr>
        <w:tab/>
        <w:t>)</w:t>
      </w:r>
    </w:p>
    <w:p w:rsidR="00FD64B7" w:rsidRDefault="00FD64B7">
      <w:pPr>
        <w:tabs>
          <w:tab w:val="left" w:pos="4680"/>
        </w:tabs>
        <w:spacing w:after="0" w:line="240" w:lineRule="auto"/>
        <w:jc w:val="both"/>
        <w:rPr>
          <w:rFonts w:eastAsia="Times New Roman"/>
        </w:rPr>
      </w:pPr>
    </w:p>
    <w:p w:rsidR="004B0EB2" w:rsidRDefault="004B0EB2">
      <w:pPr>
        <w:spacing w:after="0" w:line="240" w:lineRule="auto"/>
        <w:rPr>
          <w:rFonts w:eastAsia="Times New Roman"/>
        </w:rPr>
      </w:pPr>
    </w:p>
    <w:p w:rsidR="004B0EB2" w:rsidRDefault="004B0EB2">
      <w:pPr>
        <w:spacing w:after="0" w:line="240" w:lineRule="auto"/>
        <w:rPr>
          <w:rFonts w:eastAsia="Times New Roman"/>
        </w:rPr>
      </w:pPr>
    </w:p>
    <w:p w:rsidR="004B0EB2" w:rsidRDefault="004B0EB2">
      <w:pPr>
        <w:spacing w:after="0" w:line="240" w:lineRule="auto"/>
        <w:rPr>
          <w:rFonts w:eastAsia="Times New Roman"/>
        </w:rPr>
      </w:pPr>
    </w:p>
    <w:p w:rsidR="004B0EB2" w:rsidRDefault="004B0EB2">
      <w:pPr>
        <w:spacing w:after="0" w:line="240" w:lineRule="auto"/>
        <w:rPr>
          <w:rFonts w:eastAsia="Times New Roman"/>
        </w:rPr>
      </w:pPr>
    </w:p>
    <w:p w:rsidR="004B0EB2" w:rsidRDefault="004B0EB2">
      <w:pPr>
        <w:spacing w:after="0" w:line="240" w:lineRule="auto"/>
        <w:rPr>
          <w:rFonts w:eastAsia="Times New Roman"/>
        </w:rPr>
      </w:pPr>
    </w:p>
    <w:p w:rsidR="004B0EB2" w:rsidRDefault="004B0EB2">
      <w:pPr>
        <w:spacing w:after="0" w:line="240" w:lineRule="auto"/>
        <w:rPr>
          <w:rFonts w:eastAsia="Times New Roman"/>
        </w:rPr>
      </w:pPr>
    </w:p>
    <w:p w:rsidR="004B0EB2" w:rsidRDefault="004B0EB2">
      <w:pPr>
        <w:spacing w:after="0" w:line="240" w:lineRule="auto"/>
        <w:rPr>
          <w:rFonts w:eastAsia="Times New Roman"/>
        </w:rPr>
      </w:pPr>
    </w:p>
    <w:p w:rsidR="004B0EB2" w:rsidRDefault="004B0EB2">
      <w:pPr>
        <w:spacing w:after="0" w:line="240" w:lineRule="auto"/>
        <w:rPr>
          <w:rFonts w:eastAsia="Times New Roman"/>
        </w:rPr>
      </w:pPr>
    </w:p>
    <w:p w:rsidR="004B0EB2" w:rsidRDefault="004B0EB2">
      <w:pPr>
        <w:spacing w:after="0" w:line="240" w:lineRule="auto"/>
        <w:rPr>
          <w:rFonts w:eastAsia="Times New Roman"/>
        </w:rPr>
      </w:pPr>
    </w:p>
    <w:p w:rsidR="004B0EB2" w:rsidRDefault="004B0EB2">
      <w:pPr>
        <w:spacing w:after="0" w:line="240" w:lineRule="auto"/>
        <w:rPr>
          <w:rFonts w:eastAsia="Times New Roman"/>
        </w:rPr>
      </w:pPr>
    </w:p>
    <w:p w:rsidR="004B0EB2" w:rsidRDefault="004B0EB2">
      <w:pPr>
        <w:spacing w:after="0" w:line="240" w:lineRule="auto"/>
        <w:rPr>
          <w:rFonts w:eastAsia="Times New Roman"/>
        </w:rPr>
      </w:pPr>
    </w:p>
    <w:p w:rsidR="004B0EB2" w:rsidRDefault="004B0EB2">
      <w:pPr>
        <w:spacing w:after="0" w:line="240" w:lineRule="auto"/>
        <w:rPr>
          <w:rFonts w:eastAsia="Times New Roman"/>
        </w:rPr>
      </w:pPr>
    </w:p>
    <w:p w:rsidR="004B0EB2" w:rsidRDefault="004B0EB2">
      <w:pPr>
        <w:spacing w:after="0" w:line="240" w:lineRule="auto"/>
        <w:rPr>
          <w:rFonts w:eastAsia="Times New Roman"/>
        </w:rPr>
      </w:pPr>
    </w:p>
    <w:p w:rsidR="006D1C66" w:rsidRDefault="006D1C66" w:rsidP="006D1C66">
      <w:pPr>
        <w:pBdr>
          <w:top w:val="single" w:sz="12" w:space="1" w:color="auto"/>
        </w:pBdr>
        <w:spacing w:after="0" w:line="240" w:lineRule="auto"/>
        <w:jc w:val="center"/>
        <w:rPr>
          <w:rFonts w:eastAsia="Times New Roman"/>
          <w:b/>
          <w:sz w:val="28"/>
          <w:szCs w:val="28"/>
        </w:rPr>
      </w:pPr>
    </w:p>
    <w:p w:rsidR="006D1C66" w:rsidRPr="00590648" w:rsidRDefault="006D1C66" w:rsidP="006D1C66">
      <w:pPr>
        <w:pBdr>
          <w:bottom w:val="single" w:sz="12" w:space="1" w:color="auto"/>
        </w:pBdr>
        <w:spacing w:after="0" w:line="240" w:lineRule="auto"/>
        <w:jc w:val="center"/>
        <w:rPr>
          <w:rFonts w:eastAsia="Times New Roman"/>
          <w:b/>
          <w:sz w:val="28"/>
          <w:szCs w:val="28"/>
        </w:rPr>
      </w:pPr>
      <w:r w:rsidRPr="00590648">
        <w:rPr>
          <w:rFonts w:eastAsia="Times New Roman"/>
          <w:b/>
          <w:sz w:val="28"/>
          <w:szCs w:val="28"/>
        </w:rPr>
        <w:t>INITIAL BRIEF OF INDUSTRIAL ENERGY USERS-OHIO</w:t>
      </w:r>
      <w:r>
        <w:rPr>
          <w:rFonts w:eastAsia="Times New Roman"/>
          <w:b/>
          <w:sz w:val="28"/>
          <w:szCs w:val="28"/>
        </w:rPr>
        <w:br/>
      </w:r>
    </w:p>
    <w:p w:rsidR="006D1C66" w:rsidRDefault="006D1C66" w:rsidP="006D1C66">
      <w:pPr>
        <w:rPr>
          <w:b/>
        </w:rPr>
      </w:pPr>
    </w:p>
    <w:p w:rsidR="00FD64B7" w:rsidRDefault="00FD64B7">
      <w:pPr>
        <w:tabs>
          <w:tab w:val="left" w:pos="-1440"/>
          <w:tab w:val="left" w:pos="-720"/>
          <w:tab w:val="right" w:pos="8640"/>
        </w:tabs>
        <w:spacing w:after="0" w:line="240" w:lineRule="auto"/>
        <w:ind w:left="4320"/>
        <w:jc w:val="both"/>
        <w:rPr>
          <w:rFonts w:eastAsia="Times New Roman"/>
          <w:u w:val="single"/>
        </w:rPr>
      </w:pPr>
    </w:p>
    <w:p w:rsidR="00FD64B7" w:rsidRDefault="00FD64B7">
      <w:pPr>
        <w:tabs>
          <w:tab w:val="left" w:pos="-1440"/>
          <w:tab w:val="left" w:pos="-720"/>
          <w:tab w:val="right" w:pos="8640"/>
        </w:tabs>
        <w:spacing w:after="0" w:line="240" w:lineRule="auto"/>
        <w:ind w:left="4320"/>
        <w:jc w:val="both"/>
        <w:rPr>
          <w:rFonts w:eastAsia="Times New Roman"/>
          <w:u w:val="single"/>
        </w:rPr>
      </w:pPr>
    </w:p>
    <w:p w:rsidR="00FD64B7" w:rsidRDefault="00FD64B7">
      <w:pPr>
        <w:tabs>
          <w:tab w:val="left" w:pos="-1440"/>
          <w:tab w:val="left" w:pos="-720"/>
          <w:tab w:val="right" w:pos="8640"/>
        </w:tabs>
        <w:spacing w:after="0" w:line="240" w:lineRule="auto"/>
        <w:ind w:left="4320"/>
        <w:jc w:val="both"/>
        <w:rPr>
          <w:rFonts w:eastAsia="Times New Roman"/>
          <w:u w:val="single"/>
        </w:rPr>
      </w:pPr>
    </w:p>
    <w:p w:rsidR="00FD64B7" w:rsidRDefault="00FD64B7">
      <w:pPr>
        <w:tabs>
          <w:tab w:val="left" w:pos="-1440"/>
          <w:tab w:val="left" w:pos="-720"/>
          <w:tab w:val="right" w:pos="8640"/>
        </w:tabs>
        <w:spacing w:after="0" w:line="240" w:lineRule="auto"/>
        <w:ind w:left="4320"/>
        <w:jc w:val="both"/>
        <w:rPr>
          <w:rFonts w:eastAsia="Times New Roman"/>
          <w:u w:val="single"/>
        </w:rPr>
      </w:pPr>
    </w:p>
    <w:p w:rsidR="004B0EB2" w:rsidRDefault="004B0EB2">
      <w:pPr>
        <w:tabs>
          <w:tab w:val="left" w:pos="-1440"/>
          <w:tab w:val="left" w:pos="-720"/>
          <w:tab w:val="right" w:pos="8640"/>
        </w:tabs>
        <w:spacing w:after="0" w:line="240" w:lineRule="auto"/>
        <w:ind w:left="4320"/>
        <w:jc w:val="both"/>
        <w:rPr>
          <w:rFonts w:eastAsia="Times New Roman"/>
          <w:u w:val="single"/>
        </w:rPr>
      </w:pPr>
    </w:p>
    <w:p w:rsidR="004B0EB2" w:rsidRDefault="004B0EB2">
      <w:pPr>
        <w:tabs>
          <w:tab w:val="left" w:pos="-1440"/>
          <w:tab w:val="left" w:pos="-720"/>
          <w:tab w:val="right" w:pos="8640"/>
        </w:tabs>
        <w:spacing w:after="0" w:line="240" w:lineRule="auto"/>
        <w:ind w:left="4320"/>
        <w:jc w:val="both"/>
        <w:rPr>
          <w:rFonts w:eastAsia="Times New Roman"/>
          <w:u w:val="single"/>
        </w:rPr>
      </w:pPr>
    </w:p>
    <w:p w:rsidR="004B0EB2" w:rsidRDefault="004B0EB2">
      <w:pPr>
        <w:tabs>
          <w:tab w:val="left" w:pos="-1440"/>
          <w:tab w:val="left" w:pos="-720"/>
          <w:tab w:val="right" w:pos="8640"/>
        </w:tabs>
        <w:spacing w:after="0" w:line="240" w:lineRule="auto"/>
        <w:ind w:left="4320"/>
        <w:jc w:val="both"/>
        <w:rPr>
          <w:rFonts w:eastAsia="Times New Roman"/>
          <w:u w:val="single"/>
        </w:rPr>
      </w:pPr>
    </w:p>
    <w:p w:rsidR="004B0EB2" w:rsidRDefault="004B0EB2">
      <w:pPr>
        <w:tabs>
          <w:tab w:val="left" w:pos="-1440"/>
          <w:tab w:val="left" w:pos="-720"/>
          <w:tab w:val="right" w:pos="8640"/>
        </w:tabs>
        <w:spacing w:after="0" w:line="240" w:lineRule="auto"/>
        <w:ind w:left="4320"/>
        <w:jc w:val="both"/>
        <w:rPr>
          <w:rFonts w:eastAsia="Times New Roman"/>
          <w:u w:val="single"/>
        </w:rPr>
      </w:pPr>
    </w:p>
    <w:p w:rsidR="004B0EB2" w:rsidRDefault="004B0EB2">
      <w:pPr>
        <w:tabs>
          <w:tab w:val="left" w:pos="-1440"/>
          <w:tab w:val="left" w:pos="-720"/>
          <w:tab w:val="right" w:pos="8640"/>
        </w:tabs>
        <w:spacing w:after="0" w:line="240" w:lineRule="auto"/>
        <w:ind w:left="4320"/>
        <w:jc w:val="both"/>
        <w:rPr>
          <w:rFonts w:eastAsia="Times New Roman"/>
          <w:u w:val="single"/>
        </w:rPr>
      </w:pPr>
    </w:p>
    <w:p w:rsidR="00172D35" w:rsidRDefault="00172D35">
      <w:pPr>
        <w:tabs>
          <w:tab w:val="left" w:pos="-1440"/>
          <w:tab w:val="left" w:pos="-720"/>
          <w:tab w:val="right" w:pos="8640"/>
        </w:tabs>
        <w:spacing w:after="0" w:line="240" w:lineRule="auto"/>
        <w:ind w:left="4320"/>
        <w:jc w:val="both"/>
        <w:rPr>
          <w:rFonts w:eastAsia="Times New Roman"/>
          <w:u w:val="single"/>
        </w:rPr>
      </w:pPr>
    </w:p>
    <w:p w:rsidR="004B0EB2" w:rsidRDefault="004B0EB2">
      <w:pPr>
        <w:tabs>
          <w:tab w:val="left" w:pos="-1440"/>
          <w:tab w:val="left" w:pos="-720"/>
          <w:tab w:val="right" w:pos="8640"/>
        </w:tabs>
        <w:spacing w:after="0" w:line="240" w:lineRule="auto"/>
        <w:ind w:left="4320"/>
        <w:jc w:val="both"/>
        <w:rPr>
          <w:rFonts w:eastAsia="Times New Roman"/>
          <w:u w:val="single"/>
        </w:rPr>
      </w:pPr>
    </w:p>
    <w:p w:rsidR="004B0EB2" w:rsidRDefault="004B0EB2">
      <w:pPr>
        <w:tabs>
          <w:tab w:val="left" w:pos="-1440"/>
          <w:tab w:val="left" w:pos="-720"/>
          <w:tab w:val="right" w:pos="8640"/>
        </w:tabs>
        <w:spacing w:after="0" w:line="240" w:lineRule="auto"/>
        <w:ind w:left="4320"/>
        <w:jc w:val="both"/>
        <w:rPr>
          <w:rFonts w:eastAsia="Times New Roman"/>
          <w:u w:val="single"/>
        </w:rPr>
      </w:pPr>
    </w:p>
    <w:p w:rsidR="004B0EB2" w:rsidRDefault="004B0EB2">
      <w:pPr>
        <w:tabs>
          <w:tab w:val="left" w:pos="-1440"/>
          <w:tab w:val="left" w:pos="-720"/>
          <w:tab w:val="right" w:pos="8640"/>
        </w:tabs>
        <w:spacing w:after="0" w:line="240" w:lineRule="auto"/>
        <w:ind w:left="4320"/>
        <w:jc w:val="both"/>
        <w:rPr>
          <w:rFonts w:eastAsia="Times New Roman"/>
          <w:u w:val="single"/>
        </w:rPr>
      </w:pPr>
    </w:p>
    <w:p w:rsidR="004B0EB2" w:rsidRDefault="004B0EB2">
      <w:pPr>
        <w:tabs>
          <w:tab w:val="left" w:pos="-1440"/>
          <w:tab w:val="left" w:pos="-720"/>
          <w:tab w:val="right" w:pos="8640"/>
        </w:tabs>
        <w:spacing w:after="0" w:line="240" w:lineRule="auto"/>
        <w:ind w:left="4320"/>
        <w:jc w:val="both"/>
        <w:rPr>
          <w:rFonts w:eastAsia="Times New Roman"/>
          <w:u w:val="single"/>
        </w:rPr>
      </w:pPr>
    </w:p>
    <w:p w:rsidR="00FD64B7" w:rsidRDefault="00F96714">
      <w:pPr>
        <w:tabs>
          <w:tab w:val="left" w:pos="-1440"/>
          <w:tab w:val="left" w:pos="-720"/>
          <w:tab w:val="right" w:pos="8640"/>
        </w:tabs>
        <w:spacing w:after="0" w:line="240" w:lineRule="auto"/>
        <w:ind w:left="4320"/>
        <w:jc w:val="both"/>
        <w:rPr>
          <w:rFonts w:eastAsia="Times New Roman"/>
        </w:rPr>
      </w:pPr>
      <w:r>
        <w:rPr>
          <w:rFonts w:eastAsia="Times New Roman"/>
        </w:rPr>
        <w:t>Samuel C. Randazzo, Esq.</w:t>
      </w:r>
    </w:p>
    <w:p w:rsidR="00FD64B7" w:rsidRDefault="00F96714">
      <w:pPr>
        <w:tabs>
          <w:tab w:val="left" w:pos="-1440"/>
          <w:tab w:val="left" w:pos="-720"/>
          <w:tab w:val="right" w:pos="8640"/>
        </w:tabs>
        <w:spacing w:after="0" w:line="240" w:lineRule="auto"/>
        <w:ind w:left="4320"/>
        <w:jc w:val="both"/>
        <w:rPr>
          <w:rFonts w:eastAsia="Times New Roman"/>
        </w:rPr>
      </w:pPr>
      <w:r>
        <w:rPr>
          <w:rFonts w:eastAsia="Times New Roman"/>
        </w:rPr>
        <w:t>Frank P. Darr</w:t>
      </w:r>
    </w:p>
    <w:p w:rsidR="00FD64B7" w:rsidRDefault="00F96714">
      <w:pPr>
        <w:tabs>
          <w:tab w:val="left" w:pos="-1440"/>
          <w:tab w:val="left" w:pos="-720"/>
          <w:tab w:val="right" w:pos="8640"/>
        </w:tabs>
        <w:spacing w:after="0" w:line="240" w:lineRule="auto"/>
        <w:ind w:left="4320"/>
        <w:jc w:val="both"/>
        <w:rPr>
          <w:rFonts w:eastAsia="Times New Roman"/>
        </w:rPr>
      </w:pPr>
      <w:r>
        <w:rPr>
          <w:rFonts w:eastAsia="Times New Roman"/>
        </w:rPr>
        <w:t>Joseph E. Oliker</w:t>
      </w:r>
    </w:p>
    <w:p w:rsidR="00FD64B7" w:rsidRDefault="00F96714">
      <w:pPr>
        <w:tabs>
          <w:tab w:val="left" w:pos="-1440"/>
          <w:tab w:val="left" w:pos="-720"/>
          <w:tab w:val="right" w:pos="8640"/>
        </w:tabs>
        <w:spacing w:after="0" w:line="240" w:lineRule="auto"/>
        <w:ind w:left="4320"/>
        <w:jc w:val="both"/>
        <w:rPr>
          <w:rFonts w:eastAsia="Times New Roman"/>
        </w:rPr>
      </w:pPr>
      <w:r>
        <w:rPr>
          <w:rFonts w:eastAsia="Times New Roman"/>
          <w:smallCaps/>
        </w:rPr>
        <w:t>McNees Wallace &amp; Nurick LLC</w:t>
      </w:r>
    </w:p>
    <w:p w:rsidR="00FD64B7" w:rsidRDefault="00F96714">
      <w:pPr>
        <w:tabs>
          <w:tab w:val="left" w:pos="-1440"/>
          <w:tab w:val="left" w:pos="-720"/>
          <w:tab w:val="right" w:pos="8640"/>
        </w:tabs>
        <w:spacing w:after="0" w:line="240" w:lineRule="auto"/>
        <w:ind w:left="4320"/>
        <w:jc w:val="both"/>
        <w:rPr>
          <w:rFonts w:eastAsia="Times New Roman"/>
        </w:rPr>
      </w:pPr>
      <w:r>
        <w:rPr>
          <w:rFonts w:eastAsia="Times New Roman"/>
        </w:rPr>
        <w:t>21 East State Street, Suite 1700</w:t>
      </w:r>
    </w:p>
    <w:p w:rsidR="00FD64B7" w:rsidRDefault="00F96714">
      <w:pPr>
        <w:tabs>
          <w:tab w:val="right" w:pos="8640"/>
        </w:tabs>
        <w:spacing w:after="0" w:line="240" w:lineRule="auto"/>
        <w:ind w:left="4320"/>
        <w:jc w:val="both"/>
        <w:rPr>
          <w:rFonts w:eastAsia="Times New Roman"/>
        </w:rPr>
      </w:pPr>
      <w:r>
        <w:rPr>
          <w:rFonts w:eastAsia="Times New Roman"/>
        </w:rPr>
        <w:t>Columbus, OH 43215-4228</w:t>
      </w:r>
    </w:p>
    <w:p w:rsidR="00FD64B7" w:rsidRDefault="00F96714">
      <w:pPr>
        <w:tabs>
          <w:tab w:val="right" w:pos="8640"/>
        </w:tabs>
        <w:spacing w:after="0" w:line="240" w:lineRule="auto"/>
        <w:ind w:left="4320"/>
        <w:jc w:val="both"/>
        <w:rPr>
          <w:rFonts w:eastAsia="Times New Roman"/>
        </w:rPr>
      </w:pPr>
      <w:r>
        <w:rPr>
          <w:rFonts w:eastAsia="Times New Roman"/>
        </w:rPr>
        <w:t>Telephone:  614-469-8000</w:t>
      </w:r>
    </w:p>
    <w:p w:rsidR="00FD64B7" w:rsidRDefault="00F96714">
      <w:pPr>
        <w:tabs>
          <w:tab w:val="right" w:pos="8640"/>
        </w:tabs>
        <w:spacing w:after="0" w:line="240" w:lineRule="auto"/>
        <w:ind w:left="4320"/>
        <w:jc w:val="both"/>
        <w:rPr>
          <w:rFonts w:eastAsia="Times New Roman"/>
        </w:rPr>
      </w:pPr>
      <w:r>
        <w:rPr>
          <w:rFonts w:eastAsia="Times New Roman"/>
        </w:rPr>
        <w:t>Telecopier:  614-469-4653</w:t>
      </w:r>
    </w:p>
    <w:p w:rsidR="00FD64B7" w:rsidRDefault="00F96714">
      <w:pPr>
        <w:tabs>
          <w:tab w:val="right" w:pos="8640"/>
        </w:tabs>
        <w:spacing w:after="0" w:line="240" w:lineRule="auto"/>
        <w:ind w:left="4320"/>
        <w:jc w:val="both"/>
        <w:rPr>
          <w:rFonts w:eastAsia="Times New Roman"/>
        </w:rPr>
      </w:pPr>
      <w:r>
        <w:rPr>
          <w:rFonts w:eastAsia="Times New Roman"/>
        </w:rPr>
        <w:t xml:space="preserve">sam@mwncmh.com </w:t>
      </w:r>
    </w:p>
    <w:p w:rsidR="00FD64B7" w:rsidRDefault="00F96714">
      <w:pPr>
        <w:tabs>
          <w:tab w:val="right" w:pos="8640"/>
        </w:tabs>
        <w:spacing w:after="0" w:line="240" w:lineRule="auto"/>
        <w:ind w:left="4320"/>
        <w:jc w:val="both"/>
        <w:rPr>
          <w:rFonts w:eastAsia="Times New Roman"/>
        </w:rPr>
      </w:pPr>
      <w:r>
        <w:rPr>
          <w:rFonts w:eastAsia="Times New Roman"/>
        </w:rPr>
        <w:t>fdarr@mwncmh.com</w:t>
      </w:r>
    </w:p>
    <w:p w:rsidR="00FD64B7" w:rsidRDefault="00F96714">
      <w:pPr>
        <w:tabs>
          <w:tab w:val="right" w:pos="8640"/>
        </w:tabs>
        <w:spacing w:after="0" w:line="240" w:lineRule="auto"/>
        <w:ind w:left="4320"/>
        <w:jc w:val="both"/>
        <w:rPr>
          <w:rFonts w:eastAsia="Times New Roman"/>
        </w:rPr>
      </w:pPr>
      <w:r>
        <w:rPr>
          <w:rFonts w:eastAsia="Times New Roman"/>
        </w:rPr>
        <w:t xml:space="preserve">joliker@mwncmh.com </w:t>
      </w:r>
    </w:p>
    <w:p w:rsidR="006D1C66" w:rsidRDefault="006D1C66">
      <w:pPr>
        <w:tabs>
          <w:tab w:val="right" w:pos="8640"/>
        </w:tabs>
        <w:spacing w:after="0" w:line="240" w:lineRule="auto"/>
        <w:ind w:left="4320"/>
        <w:jc w:val="both"/>
        <w:rPr>
          <w:rFonts w:eastAsia="Times New Roman"/>
        </w:rPr>
      </w:pPr>
    </w:p>
    <w:p w:rsidR="00FD64B7" w:rsidRDefault="00F96714">
      <w:pPr>
        <w:tabs>
          <w:tab w:val="left" w:pos="4320"/>
          <w:tab w:val="right" w:pos="8640"/>
        </w:tabs>
        <w:spacing w:after="0" w:line="240" w:lineRule="auto"/>
        <w:jc w:val="both"/>
        <w:rPr>
          <w:rFonts w:eastAsia="Times New Roman"/>
          <w:b/>
          <w:color w:val="000000"/>
        </w:rPr>
        <w:sectPr w:rsidR="00FD64B7" w:rsidSect="00E53D2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26"/>
        </w:sectPr>
      </w:pPr>
      <w:r>
        <w:rPr>
          <w:rFonts w:eastAsia="Times New Roman"/>
          <w:b/>
          <w:color w:val="000000"/>
        </w:rPr>
        <w:t>November 10, 2011</w:t>
      </w:r>
      <w:r>
        <w:rPr>
          <w:rFonts w:eastAsia="Times New Roman"/>
          <w:b/>
          <w:color w:val="000000"/>
        </w:rPr>
        <w:tab/>
      </w:r>
      <w:r>
        <w:rPr>
          <w:rFonts w:eastAsia="Times New Roman"/>
          <w:b/>
          <w:color w:val="000000"/>
        </w:rPr>
        <w:tab/>
        <w:t>Attorneys for Industrial Energy Users-Ohio</w:t>
      </w:r>
    </w:p>
    <w:p w:rsidR="006D1C66" w:rsidRPr="006D1C66" w:rsidRDefault="006D1C66" w:rsidP="006D1C66">
      <w:pPr>
        <w:spacing w:after="0" w:line="240" w:lineRule="auto"/>
        <w:jc w:val="center"/>
        <w:rPr>
          <w:rFonts w:eastAsia="Times New Roman"/>
          <w:b/>
          <w:sz w:val="28"/>
          <w:szCs w:val="28"/>
          <w:u w:val="single"/>
        </w:rPr>
      </w:pPr>
      <w:r w:rsidRPr="006D1C66">
        <w:rPr>
          <w:rFonts w:eastAsia="Times New Roman"/>
          <w:b/>
          <w:sz w:val="28"/>
          <w:szCs w:val="28"/>
          <w:u w:val="single"/>
        </w:rPr>
        <w:lastRenderedPageBreak/>
        <w:t>TABLE OF CONTENTS</w:t>
      </w:r>
    </w:p>
    <w:p w:rsidR="00172D35" w:rsidRDefault="00172D35" w:rsidP="00172D35">
      <w:pPr>
        <w:tabs>
          <w:tab w:val="right" w:pos="9360"/>
        </w:tabs>
        <w:spacing w:after="0" w:line="240" w:lineRule="auto"/>
        <w:rPr>
          <w:rFonts w:eastAsia="Times New Roman"/>
          <w:b/>
          <w:u w:val="single"/>
        </w:rPr>
      </w:pPr>
      <w:r>
        <w:rPr>
          <w:rFonts w:eastAsia="Times New Roman"/>
        </w:rPr>
        <w:tab/>
      </w:r>
      <w:r>
        <w:rPr>
          <w:rFonts w:eastAsia="Times New Roman"/>
          <w:b/>
          <w:u w:val="single"/>
        </w:rPr>
        <w:t>Page No.</w:t>
      </w:r>
    </w:p>
    <w:p w:rsidR="006D1C66" w:rsidRDefault="006D1C66" w:rsidP="00172D35">
      <w:pPr>
        <w:spacing w:after="0" w:line="240" w:lineRule="auto"/>
        <w:rPr>
          <w:rFonts w:eastAsia="Times New Roman"/>
          <w:u w:val="single"/>
        </w:rPr>
      </w:pPr>
    </w:p>
    <w:p w:rsidR="00172D35" w:rsidRDefault="00172D35" w:rsidP="00172D35">
      <w:pPr>
        <w:tabs>
          <w:tab w:val="right" w:leader="dot" w:pos="9360"/>
        </w:tabs>
        <w:spacing w:after="0" w:line="480" w:lineRule="auto"/>
        <w:ind w:left="720" w:right="720" w:hanging="720"/>
        <w:jc w:val="both"/>
        <w:rPr>
          <w:rFonts w:eastAsia="Times New Roman"/>
          <w:smallCaps/>
        </w:rPr>
      </w:pPr>
      <w:r>
        <w:rPr>
          <w:rFonts w:eastAsia="Times New Roman"/>
          <w:smallCaps/>
        </w:rPr>
        <w:t>I.</w:t>
      </w:r>
      <w:r>
        <w:rPr>
          <w:rFonts w:eastAsia="Times New Roman"/>
          <w:smallCaps/>
        </w:rPr>
        <w:tab/>
        <w:t>INTRODUCTION</w:t>
      </w:r>
      <w:r>
        <w:rPr>
          <w:rFonts w:eastAsia="Times New Roman"/>
          <w:smallCaps/>
        </w:rPr>
        <w:tab/>
      </w:r>
      <w:r w:rsidR="006D1C66">
        <w:rPr>
          <w:rFonts w:eastAsia="Times New Roman"/>
          <w:smallCaps/>
        </w:rPr>
        <w:t>1</w:t>
      </w:r>
    </w:p>
    <w:p w:rsidR="00172D35" w:rsidRDefault="00172D35" w:rsidP="00172D35">
      <w:pPr>
        <w:tabs>
          <w:tab w:val="right" w:leader="dot" w:pos="9360"/>
        </w:tabs>
        <w:spacing w:after="0" w:line="480" w:lineRule="auto"/>
        <w:ind w:left="720" w:right="720" w:hanging="720"/>
        <w:jc w:val="both"/>
        <w:rPr>
          <w:rFonts w:eastAsia="Times New Roman"/>
          <w:smallCaps/>
        </w:rPr>
      </w:pPr>
      <w:r>
        <w:rPr>
          <w:rFonts w:eastAsia="Times New Roman"/>
          <w:smallCaps/>
        </w:rPr>
        <w:t>II.</w:t>
      </w:r>
      <w:r>
        <w:rPr>
          <w:rFonts w:eastAsia="Times New Roman"/>
          <w:smallCaps/>
        </w:rPr>
        <w:tab/>
      </w:r>
      <w:r>
        <w:rPr>
          <w:rFonts w:eastAsia="Times New Roman"/>
        </w:rPr>
        <w:t>BACKGROUND</w:t>
      </w:r>
      <w:r>
        <w:rPr>
          <w:rFonts w:eastAsia="Times New Roman"/>
          <w:smallCaps/>
        </w:rPr>
        <w:tab/>
      </w:r>
      <w:r w:rsidR="006D1C66">
        <w:rPr>
          <w:rFonts w:eastAsia="Times New Roman"/>
          <w:smallCaps/>
        </w:rPr>
        <w:t>5</w:t>
      </w:r>
    </w:p>
    <w:p w:rsidR="00172D35" w:rsidRDefault="00172D35" w:rsidP="00172D35">
      <w:pPr>
        <w:tabs>
          <w:tab w:val="right" w:leader="dot" w:pos="9360"/>
        </w:tabs>
        <w:spacing w:after="0" w:line="480" w:lineRule="auto"/>
        <w:ind w:left="720" w:right="720" w:hanging="720"/>
        <w:jc w:val="both"/>
        <w:rPr>
          <w:rFonts w:eastAsia="Times New Roman"/>
          <w:smallCaps/>
        </w:rPr>
      </w:pPr>
      <w:r>
        <w:rPr>
          <w:rFonts w:eastAsia="Times New Roman"/>
          <w:smallCaps/>
        </w:rPr>
        <w:t>III.</w:t>
      </w:r>
      <w:r>
        <w:rPr>
          <w:rFonts w:eastAsia="Times New Roman"/>
          <w:smallCaps/>
        </w:rPr>
        <w:tab/>
      </w:r>
      <w:r w:rsidRPr="0074164D">
        <w:rPr>
          <w:rFonts w:eastAsia="Times New Roman"/>
          <w:caps/>
        </w:rPr>
        <w:t>Evaluation Criteria</w:t>
      </w:r>
      <w:r>
        <w:rPr>
          <w:rFonts w:eastAsia="Times New Roman"/>
          <w:caps/>
        </w:rPr>
        <w:t xml:space="preserve"> FOR SETTLEMENT</w:t>
      </w:r>
      <w:r>
        <w:rPr>
          <w:rFonts w:eastAsia="Times New Roman"/>
          <w:smallCaps/>
        </w:rPr>
        <w:tab/>
      </w:r>
      <w:r w:rsidR="006D1C66">
        <w:rPr>
          <w:rFonts w:eastAsia="Times New Roman"/>
          <w:smallCaps/>
        </w:rPr>
        <w:t>6</w:t>
      </w:r>
    </w:p>
    <w:p w:rsidR="00172D35" w:rsidRDefault="00172D35" w:rsidP="00172D35">
      <w:pPr>
        <w:tabs>
          <w:tab w:val="right" w:leader="dot" w:pos="9360"/>
        </w:tabs>
        <w:spacing w:after="0" w:line="480" w:lineRule="auto"/>
        <w:ind w:left="720" w:right="720" w:hanging="720"/>
        <w:jc w:val="both"/>
        <w:rPr>
          <w:rFonts w:eastAsia="Times New Roman"/>
          <w:smallCaps/>
        </w:rPr>
      </w:pPr>
      <w:r>
        <w:rPr>
          <w:rFonts w:eastAsia="Times New Roman"/>
          <w:smallCaps/>
        </w:rPr>
        <w:t>IV.</w:t>
      </w:r>
      <w:r>
        <w:rPr>
          <w:rFonts w:eastAsia="Times New Roman"/>
          <w:smallCaps/>
        </w:rPr>
        <w:tab/>
      </w:r>
      <w:r w:rsidRPr="0074164D">
        <w:rPr>
          <w:rFonts w:eastAsia="Times New Roman"/>
          <w:caps/>
        </w:rPr>
        <w:t>IEU-Ohio’s Motion to Dismiss</w:t>
      </w:r>
      <w:r>
        <w:rPr>
          <w:rFonts w:eastAsia="Times New Roman"/>
          <w:smallCaps/>
        </w:rPr>
        <w:tab/>
      </w:r>
      <w:r w:rsidR="002901C9">
        <w:rPr>
          <w:rFonts w:eastAsia="Times New Roman"/>
          <w:smallCaps/>
        </w:rPr>
        <w:t>7</w:t>
      </w:r>
    </w:p>
    <w:p w:rsidR="00172D35" w:rsidRDefault="00172D35" w:rsidP="00172D35">
      <w:pPr>
        <w:tabs>
          <w:tab w:val="left" w:pos="720"/>
          <w:tab w:val="right" w:leader="dot" w:pos="9360"/>
        </w:tabs>
        <w:spacing w:after="0" w:line="240" w:lineRule="auto"/>
        <w:ind w:left="720" w:right="720" w:hanging="720"/>
        <w:jc w:val="both"/>
        <w:rPr>
          <w:rFonts w:eastAsia="Times New Roman"/>
          <w:smallCaps/>
        </w:rPr>
      </w:pPr>
      <w:r>
        <w:rPr>
          <w:rFonts w:eastAsia="Times New Roman"/>
          <w:smallCaps/>
        </w:rPr>
        <w:t>V.</w:t>
      </w:r>
      <w:r>
        <w:rPr>
          <w:rFonts w:eastAsia="Times New Roman"/>
          <w:smallCaps/>
        </w:rPr>
        <w:tab/>
      </w:r>
      <w:r w:rsidRPr="0074164D">
        <w:rPr>
          <w:caps/>
        </w:rPr>
        <w:t>The Stipulation Does Not Advance the Public Interest, Benefit Consumers, or Satisfy Legal or Policy Requirements</w:t>
      </w:r>
      <w:r>
        <w:rPr>
          <w:caps/>
        </w:rPr>
        <w:t xml:space="preserve"> NECESSARY FOR APPROVAL OF THE STIPULATION</w:t>
      </w:r>
      <w:r>
        <w:rPr>
          <w:rFonts w:eastAsia="Times New Roman"/>
          <w:smallCaps/>
        </w:rPr>
        <w:tab/>
      </w:r>
      <w:r w:rsidR="00F94A3D">
        <w:rPr>
          <w:rFonts w:eastAsia="Times New Roman"/>
          <w:smallCaps/>
        </w:rPr>
        <w:t>18</w:t>
      </w:r>
    </w:p>
    <w:p w:rsidR="00172D35" w:rsidRDefault="00172D35" w:rsidP="00172D35">
      <w:pPr>
        <w:tabs>
          <w:tab w:val="left" w:pos="720"/>
          <w:tab w:val="left" w:pos="810"/>
          <w:tab w:val="right" w:leader="dot" w:pos="9360"/>
        </w:tabs>
        <w:spacing w:after="0" w:line="240" w:lineRule="auto"/>
        <w:ind w:left="720" w:right="720" w:hanging="720"/>
        <w:jc w:val="both"/>
        <w:rPr>
          <w:rFonts w:eastAsia="Times New Roman"/>
          <w:smallCaps/>
        </w:rPr>
      </w:pPr>
    </w:p>
    <w:p w:rsidR="00172D35" w:rsidRPr="009546A5" w:rsidRDefault="00172D35" w:rsidP="00172D35">
      <w:pPr>
        <w:tabs>
          <w:tab w:val="right" w:leader="dot" w:pos="9360"/>
        </w:tabs>
        <w:spacing w:line="240" w:lineRule="auto"/>
        <w:ind w:left="1440" w:right="720" w:hanging="720"/>
        <w:rPr>
          <w:rFonts w:eastAsia="Times New Roman"/>
          <w:smallCaps/>
        </w:rPr>
      </w:pPr>
      <w:r>
        <w:rPr>
          <w:rFonts w:eastAsia="Times New Roman"/>
        </w:rPr>
        <w:t>A.</w:t>
      </w:r>
      <w:r>
        <w:rPr>
          <w:rFonts w:eastAsia="Times New Roman"/>
        </w:rPr>
        <w:tab/>
      </w:r>
      <w:r w:rsidRPr="009546A5">
        <w:rPr>
          <w:rFonts w:eastAsia="Times New Roman"/>
        </w:rPr>
        <w:t>The ESP is Not More Favorable than an MRO</w:t>
      </w:r>
      <w:r w:rsidRPr="009546A5">
        <w:rPr>
          <w:rFonts w:eastAsia="Times New Roman"/>
        </w:rPr>
        <w:tab/>
      </w:r>
      <w:r w:rsidR="006D1C66">
        <w:rPr>
          <w:rFonts w:eastAsia="Times New Roman"/>
        </w:rPr>
        <w:t>19</w:t>
      </w:r>
    </w:p>
    <w:p w:rsidR="00172D35" w:rsidRDefault="00172D35" w:rsidP="00172D35">
      <w:pPr>
        <w:pStyle w:val="ListParagraph"/>
        <w:tabs>
          <w:tab w:val="right" w:leader="dot" w:pos="9360"/>
        </w:tabs>
        <w:spacing w:line="240" w:lineRule="auto"/>
        <w:ind w:left="2160" w:right="720" w:hanging="720"/>
        <w:rPr>
          <w:rFonts w:eastAsia="Times New Roman"/>
          <w:smallCaps/>
        </w:rPr>
      </w:pPr>
      <w:r>
        <w:rPr>
          <w:rFonts w:eastAsia="Times New Roman"/>
        </w:rPr>
        <w:t>1.</w:t>
      </w:r>
      <w:r>
        <w:rPr>
          <w:rFonts w:eastAsia="Times New Roman"/>
        </w:rPr>
        <w:tab/>
        <w:t xml:space="preserve">All witnesses agree that prices under the </w:t>
      </w:r>
      <w:r w:rsidR="006D1C66">
        <w:rPr>
          <w:rFonts w:eastAsia="Times New Roman"/>
        </w:rPr>
        <w:t xml:space="preserve">proposed </w:t>
      </w:r>
      <w:r>
        <w:rPr>
          <w:rFonts w:eastAsia="Times New Roman"/>
        </w:rPr>
        <w:t>ESP are not more favorable than prices under an MRO</w:t>
      </w:r>
      <w:r>
        <w:rPr>
          <w:rFonts w:eastAsia="Times New Roman"/>
        </w:rPr>
        <w:tab/>
      </w:r>
      <w:r w:rsidR="00F94A3D">
        <w:rPr>
          <w:rFonts w:eastAsia="Times New Roman"/>
        </w:rPr>
        <w:t>19</w:t>
      </w:r>
    </w:p>
    <w:p w:rsidR="00172D35" w:rsidRDefault="00172D35" w:rsidP="00172D35">
      <w:pPr>
        <w:pStyle w:val="ListParagraph"/>
        <w:tabs>
          <w:tab w:val="left" w:pos="720"/>
          <w:tab w:val="right" w:leader="dot" w:pos="9360"/>
        </w:tabs>
        <w:spacing w:line="240" w:lineRule="auto"/>
        <w:ind w:left="1440" w:right="720" w:hanging="720"/>
        <w:rPr>
          <w:rFonts w:eastAsia="Times New Roman"/>
          <w:smallCaps/>
        </w:rPr>
      </w:pPr>
    </w:p>
    <w:p w:rsidR="00172D35" w:rsidRDefault="00172D35" w:rsidP="00172D35">
      <w:pPr>
        <w:pStyle w:val="ListParagraph"/>
        <w:tabs>
          <w:tab w:val="right" w:leader="dot" w:pos="9360"/>
        </w:tabs>
        <w:spacing w:line="240" w:lineRule="auto"/>
        <w:ind w:left="2160" w:right="720" w:hanging="720"/>
        <w:rPr>
          <w:rFonts w:eastAsia="Times New Roman"/>
          <w:smallCaps/>
        </w:rPr>
      </w:pPr>
      <w:r>
        <w:rPr>
          <w:rFonts w:eastAsia="Calibri"/>
        </w:rPr>
        <w:t>2.</w:t>
      </w:r>
      <w:r>
        <w:rPr>
          <w:rFonts w:eastAsia="Calibri"/>
        </w:rPr>
        <w:tab/>
        <w:t>The ESP versus MRO analysis performed by Companies’ witness Thomas and Staff witness Fortney are flawed and cannot be relied upon for anything other than confirming that the ESP fails the statutory test</w:t>
      </w:r>
      <w:r>
        <w:rPr>
          <w:rFonts w:eastAsia="Calibri"/>
        </w:rPr>
        <w:tab/>
      </w:r>
      <w:r w:rsidR="002901C9">
        <w:rPr>
          <w:rFonts w:eastAsia="Calibri"/>
        </w:rPr>
        <w:t>21</w:t>
      </w:r>
    </w:p>
    <w:p w:rsidR="00172D35" w:rsidRDefault="00172D35" w:rsidP="00172D35">
      <w:pPr>
        <w:tabs>
          <w:tab w:val="left" w:pos="720"/>
          <w:tab w:val="right" w:leader="dot" w:pos="9360"/>
        </w:tabs>
        <w:spacing w:after="0" w:line="240" w:lineRule="auto"/>
        <w:ind w:right="720" w:hanging="720"/>
        <w:rPr>
          <w:rFonts w:eastAsia="Times New Roman"/>
          <w:smallCaps/>
        </w:rPr>
      </w:pPr>
    </w:p>
    <w:p w:rsidR="00172D35" w:rsidRDefault="00172D35" w:rsidP="00172D35">
      <w:pPr>
        <w:pStyle w:val="ListParagraph"/>
        <w:tabs>
          <w:tab w:val="right" w:leader="dot" w:pos="9360"/>
        </w:tabs>
        <w:spacing w:line="240" w:lineRule="auto"/>
        <w:ind w:left="2160" w:right="720" w:hanging="720"/>
        <w:rPr>
          <w:rFonts w:eastAsia="Times New Roman"/>
          <w:smallCaps/>
        </w:rPr>
      </w:pPr>
      <w:r>
        <w:rPr>
          <w:rFonts w:eastAsia="Calibri"/>
        </w:rPr>
        <w:t>3.</w:t>
      </w:r>
      <w:r>
        <w:rPr>
          <w:rFonts w:eastAsia="Calibri"/>
        </w:rPr>
        <w:tab/>
        <w:t>The ESP non-price and qualitative benefits claimed by the Companies and Staff do not exist or are entirely speculative</w:t>
      </w:r>
      <w:r>
        <w:rPr>
          <w:rFonts w:eastAsia="Calibri"/>
        </w:rPr>
        <w:tab/>
      </w:r>
      <w:r w:rsidR="00520291">
        <w:rPr>
          <w:rFonts w:eastAsia="Calibri"/>
        </w:rPr>
        <w:t>27</w:t>
      </w:r>
    </w:p>
    <w:p w:rsidR="00172D35" w:rsidRDefault="00172D35" w:rsidP="00172D35">
      <w:pPr>
        <w:pStyle w:val="ListParagraph"/>
        <w:tabs>
          <w:tab w:val="left" w:pos="720"/>
          <w:tab w:val="right" w:leader="dot" w:pos="9360"/>
        </w:tabs>
        <w:spacing w:line="240" w:lineRule="auto"/>
        <w:ind w:left="1800" w:right="720" w:hanging="720"/>
        <w:rPr>
          <w:rFonts w:eastAsia="Times New Roman"/>
          <w:smallCaps/>
        </w:rPr>
      </w:pPr>
    </w:p>
    <w:p w:rsidR="00172D35" w:rsidRDefault="00172D35" w:rsidP="00172D35">
      <w:pPr>
        <w:pStyle w:val="ListParagraph"/>
        <w:tabs>
          <w:tab w:val="right" w:leader="dot" w:pos="9360"/>
        </w:tabs>
        <w:spacing w:line="240" w:lineRule="auto"/>
        <w:ind w:left="1440" w:right="720" w:hanging="720"/>
        <w:rPr>
          <w:rFonts w:eastAsia="Times New Roman"/>
          <w:smallCaps/>
        </w:rPr>
      </w:pPr>
      <w:r>
        <w:rPr>
          <w:rFonts w:eastAsia="Times New Roman"/>
        </w:rPr>
        <w:t>B.</w:t>
      </w:r>
      <w:r>
        <w:rPr>
          <w:rFonts w:eastAsia="Times New Roman"/>
        </w:rPr>
        <w:tab/>
        <w:t>Generation Rate Structure</w:t>
      </w:r>
      <w:r>
        <w:rPr>
          <w:rFonts w:eastAsia="Times New Roman"/>
        </w:rPr>
        <w:tab/>
      </w:r>
      <w:r w:rsidR="00F94A3D">
        <w:rPr>
          <w:rFonts w:eastAsia="Times New Roman"/>
        </w:rPr>
        <w:t>29</w:t>
      </w:r>
    </w:p>
    <w:p w:rsidR="00172D35" w:rsidRDefault="00172D35" w:rsidP="00172D35">
      <w:pPr>
        <w:pStyle w:val="ListParagraph"/>
        <w:tabs>
          <w:tab w:val="right" w:leader="dot" w:pos="9360"/>
        </w:tabs>
        <w:spacing w:line="240" w:lineRule="auto"/>
        <w:ind w:left="1440" w:right="720" w:hanging="720"/>
        <w:rPr>
          <w:rFonts w:eastAsia="Times New Roman"/>
          <w:smallCaps/>
        </w:rPr>
      </w:pPr>
    </w:p>
    <w:p w:rsidR="00172D35" w:rsidRDefault="00172D35" w:rsidP="00172D35">
      <w:pPr>
        <w:pStyle w:val="ListParagraph"/>
        <w:tabs>
          <w:tab w:val="right" w:leader="dot" w:pos="9360"/>
        </w:tabs>
        <w:spacing w:line="240" w:lineRule="auto"/>
        <w:ind w:left="1440" w:right="720" w:hanging="720"/>
        <w:rPr>
          <w:rFonts w:eastAsia="Times New Roman"/>
        </w:rPr>
      </w:pPr>
      <w:r>
        <w:rPr>
          <w:rFonts w:eastAsia="Times New Roman"/>
        </w:rPr>
        <w:t>C.</w:t>
      </w:r>
      <w:r>
        <w:rPr>
          <w:rFonts w:eastAsia="Times New Roman"/>
        </w:rPr>
        <w:tab/>
        <w:t>Rate Increases</w:t>
      </w:r>
      <w:r>
        <w:rPr>
          <w:rFonts w:eastAsia="Times New Roman"/>
        </w:rPr>
        <w:tab/>
      </w:r>
      <w:r w:rsidR="00F94A3D">
        <w:rPr>
          <w:rFonts w:eastAsia="Times New Roman"/>
        </w:rPr>
        <w:t>34</w:t>
      </w:r>
    </w:p>
    <w:p w:rsidR="00172D35" w:rsidRDefault="00172D35" w:rsidP="00172D35">
      <w:pPr>
        <w:pStyle w:val="ListParagraph"/>
        <w:tabs>
          <w:tab w:val="right" w:leader="dot" w:pos="9360"/>
        </w:tabs>
        <w:spacing w:line="240" w:lineRule="auto"/>
        <w:ind w:left="1440" w:right="720" w:hanging="720"/>
        <w:rPr>
          <w:rFonts w:eastAsia="Times New Roman"/>
          <w:smallCaps/>
        </w:rPr>
      </w:pPr>
    </w:p>
    <w:p w:rsidR="00172D35" w:rsidRDefault="00172D35" w:rsidP="00172D35">
      <w:pPr>
        <w:pStyle w:val="ListParagraph"/>
        <w:tabs>
          <w:tab w:val="right" w:leader="dot" w:pos="9360"/>
        </w:tabs>
        <w:spacing w:line="240" w:lineRule="auto"/>
        <w:ind w:left="1440" w:right="720" w:hanging="720"/>
        <w:rPr>
          <w:rFonts w:eastAsia="Times New Roman"/>
        </w:rPr>
      </w:pPr>
      <w:r>
        <w:rPr>
          <w:rFonts w:eastAsia="Times New Roman"/>
        </w:rPr>
        <w:t>D.</w:t>
      </w:r>
      <w:r>
        <w:rPr>
          <w:rFonts w:eastAsia="Times New Roman"/>
        </w:rPr>
        <w:tab/>
        <w:t>Shopping Limits</w:t>
      </w:r>
      <w:r>
        <w:rPr>
          <w:rFonts w:eastAsia="Times New Roman"/>
        </w:rPr>
        <w:tab/>
      </w:r>
      <w:r w:rsidR="00F94A3D">
        <w:rPr>
          <w:rFonts w:eastAsia="Times New Roman"/>
        </w:rPr>
        <w:t>37</w:t>
      </w:r>
    </w:p>
    <w:p w:rsidR="00172D35" w:rsidRDefault="00172D35" w:rsidP="00172D35">
      <w:pPr>
        <w:pStyle w:val="ListParagraph"/>
        <w:tabs>
          <w:tab w:val="left" w:pos="720"/>
          <w:tab w:val="right" w:leader="dot" w:pos="9360"/>
        </w:tabs>
        <w:spacing w:line="240" w:lineRule="auto"/>
        <w:ind w:left="1440" w:right="720" w:hanging="720"/>
        <w:rPr>
          <w:rFonts w:eastAsia="Times New Roman"/>
        </w:rPr>
      </w:pPr>
    </w:p>
    <w:p w:rsidR="00172D35" w:rsidRDefault="00172D35" w:rsidP="00172D35">
      <w:pPr>
        <w:pStyle w:val="ListParagraph"/>
        <w:tabs>
          <w:tab w:val="right" w:leader="dot" w:pos="9360"/>
        </w:tabs>
        <w:spacing w:line="240" w:lineRule="auto"/>
        <w:ind w:left="2160" w:right="720" w:hanging="720"/>
        <w:rPr>
          <w:rFonts w:eastAsia="Times New Roman"/>
        </w:rPr>
      </w:pPr>
      <w:r>
        <w:rPr>
          <w:rFonts w:eastAsia="Times New Roman"/>
        </w:rPr>
        <w:t>1.</w:t>
      </w:r>
      <w:r>
        <w:rPr>
          <w:rFonts w:eastAsia="Times New Roman"/>
        </w:rPr>
        <w:tab/>
        <w:t>The two-tiered capacity price frustrates customer choice</w:t>
      </w:r>
      <w:r>
        <w:rPr>
          <w:rFonts w:eastAsia="Times New Roman"/>
        </w:rPr>
        <w:tab/>
      </w:r>
      <w:r w:rsidR="00520291">
        <w:rPr>
          <w:rFonts w:eastAsia="Times New Roman"/>
        </w:rPr>
        <w:t>38</w:t>
      </w:r>
    </w:p>
    <w:p w:rsidR="00172D35" w:rsidRDefault="00172D35" w:rsidP="00172D35">
      <w:pPr>
        <w:tabs>
          <w:tab w:val="right" w:leader="dot" w:pos="9360"/>
        </w:tabs>
        <w:spacing w:after="0" w:line="240" w:lineRule="auto"/>
        <w:ind w:left="2160" w:right="720" w:hanging="720"/>
        <w:rPr>
          <w:rFonts w:eastAsia="Times New Roman"/>
          <w:smallCaps/>
        </w:rPr>
      </w:pPr>
    </w:p>
    <w:p w:rsidR="00172D35" w:rsidRDefault="00172D35" w:rsidP="00172D35">
      <w:pPr>
        <w:pStyle w:val="ListParagraph"/>
        <w:tabs>
          <w:tab w:val="right" w:leader="dot" w:pos="9360"/>
        </w:tabs>
        <w:spacing w:line="240" w:lineRule="auto"/>
        <w:ind w:left="2160" w:right="720" w:hanging="720"/>
        <w:rPr>
          <w:rFonts w:eastAsia="Times New Roman"/>
          <w:smallCaps/>
        </w:rPr>
      </w:pPr>
      <w:r>
        <w:rPr>
          <w:rFonts w:eastAsiaTheme="minorEastAsia"/>
        </w:rPr>
        <w:t>2.</w:t>
      </w:r>
      <w:r>
        <w:rPr>
          <w:rFonts w:eastAsiaTheme="minorEastAsia"/>
        </w:rPr>
        <w:tab/>
        <w:t>The two-tiered capacity price imposes an unreasonable and discriminatory condition on the resale of electric service</w:t>
      </w:r>
      <w:r>
        <w:rPr>
          <w:rFonts w:eastAsiaTheme="minorEastAsia"/>
        </w:rPr>
        <w:tab/>
      </w:r>
      <w:r w:rsidR="002901C9">
        <w:rPr>
          <w:rFonts w:eastAsiaTheme="minorEastAsia"/>
        </w:rPr>
        <w:t>43</w:t>
      </w:r>
    </w:p>
    <w:p w:rsidR="00172D35" w:rsidRDefault="00172D35" w:rsidP="00172D35">
      <w:pPr>
        <w:pStyle w:val="ListParagraph"/>
        <w:tabs>
          <w:tab w:val="right" w:leader="dot" w:pos="9360"/>
        </w:tabs>
        <w:spacing w:line="240" w:lineRule="auto"/>
        <w:ind w:left="2160" w:right="720" w:hanging="720"/>
        <w:rPr>
          <w:rFonts w:eastAsia="Times New Roman"/>
          <w:smallCaps/>
        </w:rPr>
      </w:pPr>
    </w:p>
    <w:p w:rsidR="00172D35" w:rsidRDefault="00172D35" w:rsidP="00172D35">
      <w:pPr>
        <w:pStyle w:val="ListParagraph"/>
        <w:tabs>
          <w:tab w:val="right" w:leader="dot" w:pos="9360"/>
        </w:tabs>
        <w:spacing w:line="240" w:lineRule="auto"/>
        <w:ind w:left="1440" w:right="720" w:hanging="720"/>
        <w:rPr>
          <w:rFonts w:eastAsia="Times New Roman"/>
        </w:rPr>
      </w:pPr>
      <w:r>
        <w:rPr>
          <w:rFonts w:eastAsia="Times New Roman"/>
        </w:rPr>
        <w:t>E.</w:t>
      </w:r>
      <w:r>
        <w:rPr>
          <w:rFonts w:eastAsia="Times New Roman"/>
        </w:rPr>
        <w:tab/>
        <w:t>Generation Resource Rider (“GRR”)</w:t>
      </w:r>
      <w:r>
        <w:rPr>
          <w:rFonts w:eastAsia="Times New Roman"/>
        </w:rPr>
        <w:tab/>
      </w:r>
      <w:r w:rsidR="00520291">
        <w:rPr>
          <w:rFonts w:eastAsia="Times New Roman"/>
        </w:rPr>
        <w:t>46</w:t>
      </w:r>
    </w:p>
    <w:p w:rsidR="00172D35" w:rsidRDefault="00172D35" w:rsidP="00172D35">
      <w:pPr>
        <w:pStyle w:val="ListParagraph"/>
        <w:tabs>
          <w:tab w:val="left" w:pos="720"/>
          <w:tab w:val="right" w:leader="dot" w:pos="9360"/>
        </w:tabs>
        <w:spacing w:line="240" w:lineRule="auto"/>
        <w:ind w:left="1440" w:right="720" w:hanging="720"/>
        <w:rPr>
          <w:rFonts w:eastAsia="Times New Roman"/>
        </w:rPr>
      </w:pPr>
    </w:p>
    <w:p w:rsidR="00172D35" w:rsidRPr="009546A5" w:rsidRDefault="00172D35" w:rsidP="002901C9">
      <w:pPr>
        <w:tabs>
          <w:tab w:val="right" w:leader="dot" w:pos="9360"/>
        </w:tabs>
        <w:spacing w:after="0" w:line="240" w:lineRule="auto"/>
        <w:ind w:left="2160" w:right="720" w:hanging="720"/>
        <w:rPr>
          <w:rFonts w:eastAsia="Times New Roman"/>
        </w:rPr>
      </w:pPr>
      <w:r>
        <w:rPr>
          <w:rFonts w:eastAsia="Times New Roman"/>
        </w:rPr>
        <w:t>1.</w:t>
      </w:r>
      <w:r>
        <w:rPr>
          <w:rFonts w:eastAsia="Times New Roman"/>
        </w:rPr>
        <w:tab/>
      </w:r>
      <w:r w:rsidRPr="009546A5">
        <w:rPr>
          <w:rFonts w:eastAsia="Times New Roman"/>
        </w:rPr>
        <w:t>The GRR is not justified</w:t>
      </w:r>
      <w:r w:rsidRPr="009546A5">
        <w:rPr>
          <w:rFonts w:eastAsia="Times New Roman"/>
        </w:rPr>
        <w:tab/>
      </w:r>
      <w:r w:rsidR="00B35BF4">
        <w:rPr>
          <w:rFonts w:eastAsia="Times New Roman"/>
        </w:rPr>
        <w:t>46</w:t>
      </w:r>
    </w:p>
    <w:p w:rsidR="00172D35" w:rsidRDefault="00172D35" w:rsidP="002901C9">
      <w:pPr>
        <w:tabs>
          <w:tab w:val="right" w:leader="dot" w:pos="9360"/>
        </w:tabs>
        <w:spacing w:after="0" w:line="240" w:lineRule="auto"/>
        <w:ind w:left="2160" w:right="720" w:hanging="720"/>
        <w:rPr>
          <w:rFonts w:eastAsia="Times New Roman"/>
        </w:rPr>
      </w:pPr>
    </w:p>
    <w:p w:rsidR="00172D35" w:rsidRDefault="00172D35" w:rsidP="002901C9">
      <w:pPr>
        <w:pStyle w:val="ListParagraph"/>
        <w:tabs>
          <w:tab w:val="right" w:leader="dot" w:pos="9360"/>
        </w:tabs>
        <w:spacing w:line="240" w:lineRule="auto"/>
        <w:ind w:left="2160" w:right="720" w:hanging="720"/>
        <w:rPr>
          <w:rFonts w:eastAsia="Times New Roman"/>
        </w:rPr>
      </w:pPr>
      <w:r>
        <w:rPr>
          <w:rFonts w:eastAsia="Times New Roman"/>
        </w:rPr>
        <w:t>2.</w:t>
      </w:r>
      <w:r>
        <w:rPr>
          <w:rFonts w:eastAsia="Times New Roman"/>
        </w:rPr>
        <w:tab/>
        <w:t xml:space="preserve">Authorizing </w:t>
      </w:r>
      <w:r w:rsidR="002901C9">
        <w:rPr>
          <w:rFonts w:eastAsia="Times New Roman"/>
        </w:rPr>
        <w:t xml:space="preserve">the </w:t>
      </w:r>
      <w:r>
        <w:rPr>
          <w:rFonts w:eastAsia="Times New Roman"/>
        </w:rPr>
        <w:t>GRR without accounting for the likely cost improperly biases the ESP versus MRO analysis</w:t>
      </w:r>
      <w:r>
        <w:rPr>
          <w:rFonts w:eastAsia="Times New Roman"/>
        </w:rPr>
        <w:tab/>
      </w:r>
      <w:r w:rsidR="00B35BF4">
        <w:rPr>
          <w:rFonts w:eastAsia="Times New Roman"/>
        </w:rPr>
        <w:t>49</w:t>
      </w:r>
    </w:p>
    <w:p w:rsidR="00172D35" w:rsidRDefault="00172D35" w:rsidP="00172D35">
      <w:pPr>
        <w:pStyle w:val="ListParagraph"/>
        <w:tabs>
          <w:tab w:val="right" w:leader="dot" w:pos="9360"/>
        </w:tabs>
        <w:spacing w:line="240" w:lineRule="auto"/>
        <w:ind w:left="2160" w:right="720" w:hanging="720"/>
        <w:rPr>
          <w:rFonts w:eastAsia="Times New Roman"/>
        </w:rPr>
      </w:pPr>
    </w:p>
    <w:p w:rsidR="00172D35" w:rsidRDefault="00172D35" w:rsidP="00172D35">
      <w:pPr>
        <w:pStyle w:val="ListParagraph"/>
        <w:tabs>
          <w:tab w:val="right" w:leader="dot" w:pos="9360"/>
        </w:tabs>
        <w:spacing w:line="240" w:lineRule="auto"/>
        <w:ind w:left="1440" w:right="720" w:hanging="720"/>
        <w:rPr>
          <w:rFonts w:eastAsia="Times New Roman"/>
        </w:rPr>
      </w:pPr>
      <w:r>
        <w:rPr>
          <w:rFonts w:eastAsia="Times New Roman"/>
        </w:rPr>
        <w:lastRenderedPageBreak/>
        <w:t>F.</w:t>
      </w:r>
      <w:r>
        <w:rPr>
          <w:rFonts w:eastAsia="Times New Roman"/>
        </w:rPr>
        <w:tab/>
        <w:t>Combined Heat and Power Provisions</w:t>
      </w:r>
      <w:r>
        <w:rPr>
          <w:rFonts w:eastAsia="Times New Roman"/>
        </w:rPr>
        <w:tab/>
      </w:r>
      <w:r w:rsidR="002901C9">
        <w:rPr>
          <w:rFonts w:eastAsia="Times New Roman"/>
        </w:rPr>
        <w:t>50</w:t>
      </w:r>
    </w:p>
    <w:p w:rsidR="00172D35" w:rsidRDefault="00172D35" w:rsidP="00172D35">
      <w:pPr>
        <w:pStyle w:val="ListParagraph"/>
        <w:tabs>
          <w:tab w:val="right" w:leader="dot" w:pos="9360"/>
        </w:tabs>
        <w:spacing w:line="240" w:lineRule="auto"/>
        <w:ind w:left="1440" w:right="720" w:hanging="720"/>
        <w:rPr>
          <w:rFonts w:eastAsia="Times New Roman"/>
        </w:rPr>
      </w:pPr>
    </w:p>
    <w:p w:rsidR="00172D35" w:rsidRDefault="00172D35" w:rsidP="00172D35">
      <w:pPr>
        <w:pStyle w:val="ListParagraph"/>
        <w:tabs>
          <w:tab w:val="right" w:leader="dot" w:pos="9360"/>
        </w:tabs>
        <w:spacing w:line="240" w:lineRule="auto"/>
        <w:ind w:left="1440" w:right="720" w:hanging="720"/>
        <w:rPr>
          <w:rFonts w:eastAsia="Times New Roman"/>
        </w:rPr>
      </w:pPr>
      <w:r>
        <w:rPr>
          <w:rFonts w:eastAsia="Times New Roman"/>
        </w:rPr>
        <w:t>G.</w:t>
      </w:r>
      <w:r>
        <w:rPr>
          <w:rFonts w:eastAsia="Times New Roman"/>
        </w:rPr>
        <w:tab/>
        <w:t>Distribution Investment Rider</w:t>
      </w:r>
      <w:r>
        <w:rPr>
          <w:rFonts w:eastAsia="Times New Roman"/>
        </w:rPr>
        <w:tab/>
      </w:r>
      <w:r w:rsidR="00717245">
        <w:rPr>
          <w:rFonts w:eastAsia="Times New Roman"/>
        </w:rPr>
        <w:t>50</w:t>
      </w:r>
    </w:p>
    <w:p w:rsidR="00172D35" w:rsidRDefault="00172D35" w:rsidP="00172D35">
      <w:pPr>
        <w:pStyle w:val="ListParagraph"/>
        <w:tabs>
          <w:tab w:val="right" w:leader="dot" w:pos="9360"/>
        </w:tabs>
        <w:spacing w:line="240" w:lineRule="auto"/>
        <w:ind w:left="1440" w:right="720" w:hanging="720"/>
        <w:rPr>
          <w:rFonts w:eastAsia="Times New Roman"/>
        </w:rPr>
      </w:pPr>
    </w:p>
    <w:p w:rsidR="00172D35" w:rsidRDefault="00172D35" w:rsidP="00172D35">
      <w:pPr>
        <w:pStyle w:val="ListParagraph"/>
        <w:tabs>
          <w:tab w:val="right" w:leader="dot" w:pos="9360"/>
        </w:tabs>
        <w:spacing w:line="240" w:lineRule="auto"/>
        <w:ind w:left="1440" w:right="720" w:hanging="720"/>
        <w:rPr>
          <w:rFonts w:eastAsia="Times New Roman"/>
        </w:rPr>
      </w:pPr>
      <w:r>
        <w:rPr>
          <w:rFonts w:eastAsia="Times New Roman"/>
        </w:rPr>
        <w:t>H.</w:t>
      </w:r>
      <w:r>
        <w:rPr>
          <w:rFonts w:eastAsia="Times New Roman"/>
        </w:rPr>
        <w:tab/>
        <w:t>Pool Modification or Termination Rider</w:t>
      </w:r>
      <w:r>
        <w:rPr>
          <w:rFonts w:eastAsia="Times New Roman"/>
        </w:rPr>
        <w:tab/>
      </w:r>
      <w:r w:rsidR="002901C9">
        <w:rPr>
          <w:rFonts w:eastAsia="Times New Roman"/>
        </w:rPr>
        <w:t>58</w:t>
      </w:r>
    </w:p>
    <w:p w:rsidR="00172D35" w:rsidRDefault="00172D35" w:rsidP="00172D35">
      <w:pPr>
        <w:pStyle w:val="ListParagraph"/>
        <w:tabs>
          <w:tab w:val="right" w:leader="dot" w:pos="9360"/>
        </w:tabs>
        <w:spacing w:line="240" w:lineRule="auto"/>
        <w:ind w:left="1440" w:right="720" w:hanging="720"/>
        <w:rPr>
          <w:rFonts w:eastAsia="Times New Roman"/>
        </w:rPr>
      </w:pPr>
    </w:p>
    <w:p w:rsidR="00172D35" w:rsidRDefault="00172D35" w:rsidP="00172D35">
      <w:pPr>
        <w:pStyle w:val="ListParagraph"/>
        <w:tabs>
          <w:tab w:val="right" w:leader="dot" w:pos="9360"/>
        </w:tabs>
        <w:spacing w:line="240" w:lineRule="auto"/>
        <w:ind w:left="1440" w:right="720" w:hanging="720"/>
        <w:rPr>
          <w:rFonts w:eastAsia="Times New Roman"/>
        </w:rPr>
      </w:pPr>
      <w:r>
        <w:rPr>
          <w:rFonts w:eastAsia="Times New Roman"/>
        </w:rPr>
        <w:t>I.</w:t>
      </w:r>
      <w:r>
        <w:rPr>
          <w:rFonts w:eastAsia="Times New Roman"/>
        </w:rPr>
        <w:tab/>
      </w:r>
      <w:r w:rsidR="00B35BF4">
        <w:rPr>
          <w:rFonts w:eastAsia="Times New Roman"/>
        </w:rPr>
        <w:t>Phase-In Recovery Rider (“</w:t>
      </w:r>
      <w:r>
        <w:rPr>
          <w:rFonts w:eastAsia="Times New Roman"/>
        </w:rPr>
        <w:t>PIRR</w:t>
      </w:r>
      <w:r w:rsidR="00B35BF4">
        <w:rPr>
          <w:rFonts w:eastAsia="Times New Roman"/>
        </w:rPr>
        <w:t>”)</w:t>
      </w:r>
      <w:r>
        <w:rPr>
          <w:rFonts w:eastAsia="Times New Roman"/>
        </w:rPr>
        <w:t>/Securitization</w:t>
      </w:r>
      <w:r>
        <w:rPr>
          <w:rFonts w:eastAsia="Times New Roman"/>
        </w:rPr>
        <w:tab/>
      </w:r>
      <w:r w:rsidR="00B35BF4">
        <w:rPr>
          <w:rFonts w:eastAsia="Times New Roman"/>
        </w:rPr>
        <w:t>60</w:t>
      </w:r>
    </w:p>
    <w:p w:rsidR="00172D35" w:rsidRDefault="00172D35" w:rsidP="00172D35">
      <w:pPr>
        <w:pStyle w:val="ListParagraph"/>
        <w:tabs>
          <w:tab w:val="right" w:leader="dot" w:pos="9360"/>
        </w:tabs>
        <w:spacing w:line="240" w:lineRule="auto"/>
        <w:ind w:left="1440" w:right="720" w:hanging="720"/>
        <w:rPr>
          <w:rFonts w:eastAsia="Times New Roman"/>
        </w:rPr>
      </w:pPr>
    </w:p>
    <w:p w:rsidR="00172D35" w:rsidRDefault="00172D35" w:rsidP="00172D35">
      <w:pPr>
        <w:pStyle w:val="ListParagraph"/>
        <w:tabs>
          <w:tab w:val="right" w:leader="dot" w:pos="9360"/>
        </w:tabs>
        <w:spacing w:line="240" w:lineRule="auto"/>
        <w:ind w:left="1440" w:right="720" w:hanging="720"/>
        <w:rPr>
          <w:rFonts w:eastAsia="Times New Roman"/>
        </w:rPr>
      </w:pPr>
      <w:r>
        <w:rPr>
          <w:rFonts w:eastAsia="Calibri"/>
        </w:rPr>
        <w:t>J.</w:t>
      </w:r>
      <w:r>
        <w:rPr>
          <w:rFonts w:eastAsia="Calibri"/>
        </w:rPr>
        <w:tab/>
      </w:r>
      <w:r w:rsidRPr="00C678A1">
        <w:rPr>
          <w:rFonts w:eastAsia="Calibri"/>
        </w:rPr>
        <w:t xml:space="preserve">Timber Road Renewable </w:t>
      </w:r>
      <w:r>
        <w:rPr>
          <w:rFonts w:eastAsia="Calibri"/>
        </w:rPr>
        <w:t xml:space="preserve">Energy </w:t>
      </w:r>
      <w:r w:rsidRPr="00C678A1">
        <w:rPr>
          <w:rFonts w:eastAsia="Calibri"/>
        </w:rPr>
        <w:t>Purchase Agreement and Shale Gas FAC Review</w:t>
      </w:r>
      <w:r>
        <w:rPr>
          <w:rFonts w:eastAsia="Times New Roman"/>
        </w:rPr>
        <w:tab/>
      </w:r>
      <w:r w:rsidR="002901C9">
        <w:rPr>
          <w:rFonts w:eastAsia="Times New Roman"/>
        </w:rPr>
        <w:t>64</w:t>
      </w:r>
    </w:p>
    <w:p w:rsidR="00172D35" w:rsidRDefault="00172D35" w:rsidP="00172D35">
      <w:pPr>
        <w:pStyle w:val="ListParagraph"/>
        <w:tabs>
          <w:tab w:val="right" w:leader="dot" w:pos="9360"/>
        </w:tabs>
        <w:spacing w:line="240" w:lineRule="auto"/>
        <w:ind w:left="1440" w:right="720" w:hanging="720"/>
        <w:rPr>
          <w:rFonts w:eastAsia="Times New Roman"/>
        </w:rPr>
      </w:pPr>
    </w:p>
    <w:p w:rsidR="00172D35" w:rsidRDefault="00172D35" w:rsidP="00172D35">
      <w:pPr>
        <w:pStyle w:val="ListParagraph"/>
        <w:tabs>
          <w:tab w:val="right" w:leader="dot" w:pos="9360"/>
        </w:tabs>
        <w:spacing w:line="240" w:lineRule="auto"/>
        <w:ind w:left="1440" w:right="720" w:hanging="720"/>
        <w:rPr>
          <w:rFonts w:eastAsia="Times New Roman"/>
        </w:rPr>
      </w:pPr>
      <w:r>
        <w:rPr>
          <w:rFonts w:eastAsia="Times New Roman"/>
        </w:rPr>
        <w:t>K.</w:t>
      </w:r>
      <w:r>
        <w:rPr>
          <w:rFonts w:eastAsia="Times New Roman"/>
        </w:rPr>
        <w:tab/>
        <w:t>Corporate Separation</w:t>
      </w:r>
      <w:r>
        <w:rPr>
          <w:rFonts w:eastAsia="Times New Roman"/>
        </w:rPr>
        <w:tab/>
      </w:r>
      <w:r w:rsidR="00B35BF4">
        <w:rPr>
          <w:rFonts w:eastAsia="Times New Roman"/>
        </w:rPr>
        <w:t>66</w:t>
      </w:r>
    </w:p>
    <w:p w:rsidR="00172D35" w:rsidRDefault="00172D35" w:rsidP="00172D35">
      <w:pPr>
        <w:pStyle w:val="ListParagraph"/>
        <w:tabs>
          <w:tab w:val="right" w:leader="dot" w:pos="9360"/>
        </w:tabs>
        <w:spacing w:line="240" w:lineRule="auto"/>
        <w:ind w:left="1440" w:right="720" w:hanging="720"/>
        <w:rPr>
          <w:rFonts w:eastAsia="Times New Roman"/>
        </w:rPr>
      </w:pPr>
    </w:p>
    <w:p w:rsidR="00172D35" w:rsidRDefault="00172D35" w:rsidP="00172D35">
      <w:pPr>
        <w:pStyle w:val="ListParagraph"/>
        <w:tabs>
          <w:tab w:val="right" w:leader="dot" w:pos="9360"/>
        </w:tabs>
        <w:spacing w:line="240" w:lineRule="auto"/>
        <w:ind w:left="1440" w:right="720" w:hanging="720"/>
        <w:rPr>
          <w:rFonts w:eastAsia="Times New Roman"/>
        </w:rPr>
      </w:pPr>
      <w:r>
        <w:rPr>
          <w:rFonts w:eastAsia="Times New Roman"/>
        </w:rPr>
        <w:t>L.</w:t>
      </w:r>
      <w:r>
        <w:rPr>
          <w:rFonts w:eastAsia="Times New Roman"/>
        </w:rPr>
        <w:tab/>
        <w:t>Summary</w:t>
      </w:r>
      <w:r>
        <w:rPr>
          <w:rFonts w:eastAsia="Times New Roman"/>
        </w:rPr>
        <w:tab/>
      </w:r>
      <w:r w:rsidR="00B35BF4">
        <w:rPr>
          <w:rFonts w:eastAsia="Times New Roman"/>
        </w:rPr>
        <w:t>68</w:t>
      </w:r>
    </w:p>
    <w:p w:rsidR="00172D35" w:rsidRDefault="00172D35" w:rsidP="00172D35">
      <w:pPr>
        <w:tabs>
          <w:tab w:val="left" w:pos="720"/>
          <w:tab w:val="left" w:pos="1440"/>
          <w:tab w:val="right" w:leader="dot" w:pos="9360"/>
        </w:tabs>
        <w:spacing w:after="0" w:line="240" w:lineRule="auto"/>
        <w:ind w:right="720"/>
        <w:jc w:val="both"/>
        <w:rPr>
          <w:rFonts w:eastAsia="Times New Roman"/>
          <w:smallCaps/>
        </w:rPr>
      </w:pPr>
    </w:p>
    <w:p w:rsidR="00172D35" w:rsidRDefault="00172D35" w:rsidP="00172D35">
      <w:pPr>
        <w:tabs>
          <w:tab w:val="left" w:pos="720"/>
          <w:tab w:val="right" w:leader="dot" w:pos="9360"/>
        </w:tabs>
        <w:spacing w:after="0" w:line="240" w:lineRule="auto"/>
        <w:ind w:left="720" w:right="720" w:hanging="720"/>
        <w:jc w:val="both"/>
        <w:rPr>
          <w:rFonts w:eastAsia="Times New Roman"/>
          <w:smallCaps/>
        </w:rPr>
      </w:pPr>
      <w:r>
        <w:rPr>
          <w:rFonts w:eastAsia="Times New Roman"/>
          <w:smallCaps/>
        </w:rPr>
        <w:t>VI.</w:t>
      </w:r>
      <w:r>
        <w:rPr>
          <w:rFonts w:eastAsia="Times New Roman"/>
          <w:smallCaps/>
        </w:rPr>
        <w:tab/>
      </w:r>
      <w:r w:rsidRPr="0074164D">
        <w:rPr>
          <w:rFonts w:eastAsia="Times New Roman"/>
          <w:caps/>
        </w:rPr>
        <w:t>The Stipulation is Not the Product of Serious Bargaining</w:t>
      </w:r>
      <w:r>
        <w:rPr>
          <w:rFonts w:eastAsia="Times New Roman"/>
          <w:smallCaps/>
        </w:rPr>
        <w:tab/>
      </w:r>
      <w:r w:rsidR="005E7BAE">
        <w:rPr>
          <w:rFonts w:eastAsia="Times New Roman"/>
          <w:smallCaps/>
        </w:rPr>
        <w:t>68</w:t>
      </w:r>
    </w:p>
    <w:p w:rsidR="00172D35" w:rsidRDefault="00172D35" w:rsidP="00172D35">
      <w:pPr>
        <w:tabs>
          <w:tab w:val="left" w:pos="720"/>
          <w:tab w:val="right" w:leader="dot" w:pos="9360"/>
        </w:tabs>
        <w:spacing w:after="0" w:line="240" w:lineRule="auto"/>
        <w:ind w:left="720" w:right="720" w:hanging="720"/>
        <w:jc w:val="both"/>
        <w:rPr>
          <w:rFonts w:eastAsia="Times New Roman"/>
          <w:smallCaps/>
        </w:rPr>
      </w:pPr>
    </w:p>
    <w:p w:rsidR="00172D35" w:rsidRDefault="00172D35" w:rsidP="00172D35">
      <w:pPr>
        <w:tabs>
          <w:tab w:val="left" w:pos="720"/>
          <w:tab w:val="right" w:leader="dot" w:pos="9360"/>
        </w:tabs>
        <w:spacing w:after="0" w:line="240" w:lineRule="auto"/>
        <w:ind w:left="720" w:right="720" w:hanging="720"/>
        <w:jc w:val="both"/>
        <w:rPr>
          <w:rFonts w:eastAsia="Times New Roman"/>
          <w:smallCaps/>
        </w:rPr>
      </w:pPr>
      <w:r>
        <w:rPr>
          <w:rFonts w:eastAsia="Times New Roman"/>
          <w:smallCaps/>
        </w:rPr>
        <w:t>VII.</w:t>
      </w:r>
      <w:r>
        <w:rPr>
          <w:rFonts w:eastAsia="Times New Roman"/>
          <w:smallCaps/>
        </w:rPr>
        <w:tab/>
        <w:t>MODIFICATION OF THE STIPULATION</w:t>
      </w:r>
      <w:r>
        <w:rPr>
          <w:rFonts w:eastAsia="Times New Roman"/>
          <w:smallCaps/>
        </w:rPr>
        <w:tab/>
      </w:r>
      <w:r w:rsidR="002901C9">
        <w:rPr>
          <w:rFonts w:eastAsia="Times New Roman"/>
          <w:smallCaps/>
        </w:rPr>
        <w:t>72</w:t>
      </w:r>
    </w:p>
    <w:p w:rsidR="00172D35" w:rsidRDefault="00172D35" w:rsidP="00172D35">
      <w:pPr>
        <w:tabs>
          <w:tab w:val="left" w:pos="720"/>
          <w:tab w:val="left" w:pos="1440"/>
          <w:tab w:val="right" w:leader="dot" w:pos="9360"/>
        </w:tabs>
        <w:spacing w:after="0" w:line="240" w:lineRule="auto"/>
        <w:ind w:right="720"/>
        <w:jc w:val="both"/>
        <w:rPr>
          <w:rFonts w:eastAsia="Times New Roman"/>
          <w:smallCaps/>
        </w:rPr>
      </w:pPr>
    </w:p>
    <w:p w:rsidR="00172D35" w:rsidRDefault="00172D35" w:rsidP="00172D35">
      <w:pPr>
        <w:tabs>
          <w:tab w:val="left" w:pos="720"/>
          <w:tab w:val="left" w:pos="1440"/>
          <w:tab w:val="right" w:leader="dot" w:pos="9360"/>
        </w:tabs>
        <w:spacing w:after="0" w:line="240" w:lineRule="auto"/>
        <w:ind w:left="720" w:right="720" w:hanging="720"/>
        <w:jc w:val="both"/>
        <w:rPr>
          <w:rFonts w:eastAsia="Times New Roman"/>
          <w:smallCaps/>
        </w:rPr>
      </w:pPr>
      <w:r>
        <w:rPr>
          <w:rFonts w:eastAsia="Times New Roman"/>
          <w:smallCaps/>
        </w:rPr>
        <w:t>VIII.</w:t>
      </w:r>
      <w:r>
        <w:rPr>
          <w:rFonts w:eastAsia="Times New Roman"/>
          <w:smallCaps/>
        </w:rPr>
        <w:tab/>
      </w:r>
      <w:r>
        <w:rPr>
          <w:rFonts w:eastAsia="Times New Roman"/>
        </w:rPr>
        <w:t>CONCLUSION</w:t>
      </w:r>
      <w:r>
        <w:rPr>
          <w:rFonts w:eastAsia="Times New Roman"/>
          <w:smallCaps/>
        </w:rPr>
        <w:tab/>
      </w:r>
      <w:r w:rsidR="002901C9">
        <w:rPr>
          <w:rFonts w:eastAsia="Times New Roman"/>
          <w:smallCaps/>
        </w:rPr>
        <w:t>74</w:t>
      </w:r>
    </w:p>
    <w:p w:rsidR="00172D35" w:rsidRDefault="00172D35" w:rsidP="00172D35">
      <w:pPr>
        <w:tabs>
          <w:tab w:val="left" w:pos="720"/>
          <w:tab w:val="left" w:pos="1440"/>
          <w:tab w:val="right" w:leader="dot" w:pos="9360"/>
        </w:tabs>
        <w:spacing w:after="0" w:line="240" w:lineRule="auto"/>
        <w:ind w:left="720" w:right="720" w:hanging="720"/>
        <w:jc w:val="both"/>
        <w:rPr>
          <w:rFonts w:eastAsia="Times New Roman"/>
          <w:smallCaps/>
        </w:rPr>
      </w:pPr>
    </w:p>
    <w:p w:rsidR="00FD64B7" w:rsidRDefault="00FD64B7">
      <w:pPr>
        <w:tabs>
          <w:tab w:val="left" w:pos="720"/>
          <w:tab w:val="left" w:pos="1440"/>
          <w:tab w:val="right" w:leader="dot" w:pos="9360"/>
        </w:tabs>
        <w:spacing w:after="0" w:line="240" w:lineRule="auto"/>
        <w:ind w:left="720" w:right="720" w:hanging="720"/>
        <w:jc w:val="both"/>
        <w:rPr>
          <w:rFonts w:eastAsia="Times New Roman"/>
          <w:smallCaps/>
        </w:rPr>
      </w:pPr>
    </w:p>
    <w:p w:rsidR="00FD64B7" w:rsidRDefault="00FD64B7">
      <w:pPr>
        <w:tabs>
          <w:tab w:val="left" w:pos="720"/>
          <w:tab w:val="left" w:pos="1440"/>
          <w:tab w:val="right" w:leader="dot" w:pos="9360"/>
        </w:tabs>
        <w:spacing w:after="0" w:line="240" w:lineRule="auto"/>
        <w:ind w:left="720" w:right="720" w:hanging="720"/>
        <w:jc w:val="both"/>
        <w:rPr>
          <w:rFonts w:eastAsia="Times New Roman"/>
          <w:smallCaps/>
        </w:rPr>
      </w:pPr>
    </w:p>
    <w:p w:rsidR="00FD64B7" w:rsidRDefault="00FD64B7">
      <w:pPr>
        <w:tabs>
          <w:tab w:val="left" w:pos="4320"/>
          <w:tab w:val="right" w:pos="8640"/>
        </w:tabs>
        <w:spacing w:after="0" w:line="240" w:lineRule="auto"/>
        <w:jc w:val="both"/>
        <w:rPr>
          <w:rFonts w:eastAsia="Times New Roman"/>
          <w:b/>
          <w:color w:val="000000"/>
        </w:rPr>
      </w:pPr>
    </w:p>
    <w:p w:rsidR="00FD64B7" w:rsidRDefault="00FD64B7">
      <w:pPr>
        <w:tabs>
          <w:tab w:val="left" w:pos="4320"/>
          <w:tab w:val="right" w:pos="8640"/>
        </w:tabs>
        <w:spacing w:after="0" w:line="240" w:lineRule="auto"/>
        <w:jc w:val="both"/>
        <w:rPr>
          <w:rFonts w:eastAsia="Times New Roman"/>
          <w:b/>
          <w:color w:val="000000"/>
        </w:rPr>
      </w:pPr>
    </w:p>
    <w:p w:rsidR="00FD64B7" w:rsidRDefault="00FD64B7">
      <w:pPr>
        <w:tabs>
          <w:tab w:val="left" w:pos="4320"/>
          <w:tab w:val="right" w:pos="8640"/>
        </w:tabs>
        <w:spacing w:after="0" w:line="240" w:lineRule="auto"/>
        <w:jc w:val="both"/>
        <w:rPr>
          <w:rFonts w:eastAsia="Times New Roman"/>
          <w:b/>
          <w:color w:val="000000"/>
        </w:rPr>
        <w:sectPr w:rsidR="00FD64B7" w:rsidSect="00E53D2A">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26"/>
        </w:sectPr>
      </w:pPr>
    </w:p>
    <w:p w:rsidR="00FD64B7" w:rsidRDefault="00F96714">
      <w:pPr>
        <w:spacing w:after="0" w:line="240" w:lineRule="auto"/>
        <w:jc w:val="center"/>
        <w:rPr>
          <w:rFonts w:eastAsia="Times New Roman"/>
          <w:b/>
          <w:smallCaps/>
          <w:sz w:val="28"/>
        </w:rPr>
      </w:pPr>
      <w:r>
        <w:rPr>
          <w:rFonts w:eastAsia="Times New Roman"/>
          <w:b/>
          <w:smallCaps/>
          <w:sz w:val="28"/>
        </w:rPr>
        <w:lastRenderedPageBreak/>
        <w:t>Before</w:t>
      </w:r>
    </w:p>
    <w:p w:rsidR="00FD64B7" w:rsidRDefault="00F96714">
      <w:pPr>
        <w:jc w:val="center"/>
        <w:rPr>
          <w:rFonts w:eastAsia="Times New Roman"/>
          <w:b/>
          <w:smallCaps/>
          <w:sz w:val="28"/>
          <w:szCs w:val="22"/>
        </w:rPr>
      </w:pPr>
      <w:r>
        <w:rPr>
          <w:rFonts w:eastAsia="Times New Roman"/>
          <w:b/>
          <w:smallCaps/>
          <w:sz w:val="28"/>
          <w:szCs w:val="22"/>
        </w:rPr>
        <w:t>The Public Utilities Commission of Ohio</w:t>
      </w:r>
    </w:p>
    <w:p w:rsidR="00FD64B7" w:rsidRDefault="00F96714">
      <w:pPr>
        <w:tabs>
          <w:tab w:val="left" w:pos="4680"/>
          <w:tab w:val="left" w:pos="5400"/>
        </w:tabs>
        <w:spacing w:after="0" w:line="240" w:lineRule="auto"/>
        <w:rPr>
          <w:rFonts w:eastAsia="Times New Roman"/>
        </w:rPr>
      </w:pPr>
      <w:r>
        <w:rPr>
          <w:rFonts w:eastAsia="Times New Roman"/>
        </w:rPr>
        <w:t>In the Matter of the Application of</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 xml:space="preserve">Ohio Power Company and Columbus </w:t>
      </w:r>
      <w:r>
        <w:rPr>
          <w:rFonts w:eastAsia="Times New Roman"/>
        </w:rPr>
        <w:tab/>
        <w:t>)</w:t>
      </w:r>
      <w:r>
        <w:rPr>
          <w:rFonts w:eastAsia="Times New Roman"/>
        </w:rPr>
        <w:tab/>
        <w:t>Case No. 10-2376-EL-UNC</w:t>
      </w:r>
    </w:p>
    <w:p w:rsidR="00FD64B7" w:rsidRDefault="00F96714">
      <w:pPr>
        <w:tabs>
          <w:tab w:val="left" w:pos="4680"/>
          <w:tab w:val="left" w:pos="5400"/>
        </w:tabs>
        <w:spacing w:after="0" w:line="240" w:lineRule="auto"/>
        <w:rPr>
          <w:rFonts w:eastAsia="Times New Roman"/>
        </w:rPr>
      </w:pPr>
      <w:r>
        <w:rPr>
          <w:rFonts w:eastAsia="Times New Roman"/>
        </w:rPr>
        <w:t>Southern Power Company for Authority</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to Merge and Related Approvals.</w:t>
      </w:r>
      <w:r>
        <w:rPr>
          <w:rFonts w:eastAsia="Times New Roman"/>
        </w:rPr>
        <w:tab/>
        <w:t>)</w:t>
      </w:r>
    </w:p>
    <w:p w:rsidR="00FD64B7" w:rsidRDefault="00FD64B7">
      <w:pPr>
        <w:tabs>
          <w:tab w:val="left" w:pos="4680"/>
        </w:tabs>
        <w:spacing w:after="0" w:line="240" w:lineRule="auto"/>
        <w:jc w:val="both"/>
        <w:rPr>
          <w:rFonts w:eastAsia="Times New Roman"/>
        </w:rPr>
      </w:pPr>
    </w:p>
    <w:p w:rsidR="00FD64B7" w:rsidRDefault="00F96714">
      <w:pPr>
        <w:tabs>
          <w:tab w:val="left" w:pos="4680"/>
        </w:tabs>
        <w:spacing w:after="0" w:line="240" w:lineRule="auto"/>
        <w:jc w:val="both"/>
        <w:rPr>
          <w:rFonts w:eastAsia="Times New Roman"/>
        </w:rPr>
      </w:pPr>
      <w:r>
        <w:rPr>
          <w:rFonts w:eastAsia="Times New Roman"/>
        </w:rPr>
        <w:t xml:space="preserve">In the Matter of the Application of </w:t>
      </w:r>
      <w:r>
        <w:rPr>
          <w:rFonts w:eastAsia="Times New Roman"/>
        </w:rPr>
        <w:tab/>
        <w:t>)</w:t>
      </w:r>
    </w:p>
    <w:p w:rsidR="00FD64B7" w:rsidRDefault="00F96714">
      <w:pPr>
        <w:tabs>
          <w:tab w:val="left" w:pos="4680"/>
        </w:tabs>
        <w:spacing w:after="0" w:line="240" w:lineRule="auto"/>
        <w:jc w:val="both"/>
        <w:rPr>
          <w:rFonts w:eastAsia="Times New Roman"/>
        </w:rPr>
      </w:pPr>
      <w:r>
        <w:rPr>
          <w:rFonts w:eastAsia="Times New Roman"/>
        </w:rPr>
        <w:t>Columbus Southern Power Company and</w:t>
      </w:r>
      <w:r>
        <w:rPr>
          <w:rFonts w:eastAsia="Times New Roman"/>
        </w:rPr>
        <w:tab/>
        <w:t>)</w:t>
      </w:r>
    </w:p>
    <w:p w:rsidR="00FD64B7" w:rsidRDefault="00F96714">
      <w:pPr>
        <w:tabs>
          <w:tab w:val="left" w:pos="4680"/>
          <w:tab w:val="left" w:pos="5400"/>
        </w:tabs>
        <w:spacing w:after="0" w:line="240" w:lineRule="auto"/>
        <w:jc w:val="both"/>
        <w:rPr>
          <w:rFonts w:eastAsia="Times New Roman"/>
        </w:rPr>
      </w:pPr>
      <w:r>
        <w:rPr>
          <w:rFonts w:eastAsia="Times New Roman"/>
        </w:rPr>
        <w:t>Ohio Power Company for Authority to</w:t>
      </w:r>
      <w:r>
        <w:rPr>
          <w:rFonts w:eastAsia="Times New Roman"/>
        </w:rPr>
        <w:tab/>
        <w:t>)</w:t>
      </w:r>
      <w:r>
        <w:rPr>
          <w:rFonts w:eastAsia="Times New Roman"/>
        </w:rPr>
        <w:tab/>
        <w:t>Case No. 11-346-EL-SSO</w:t>
      </w:r>
    </w:p>
    <w:p w:rsidR="00FD64B7" w:rsidRDefault="00F96714">
      <w:pPr>
        <w:tabs>
          <w:tab w:val="left" w:pos="4680"/>
          <w:tab w:val="left" w:pos="5400"/>
        </w:tabs>
        <w:spacing w:after="0" w:line="240" w:lineRule="auto"/>
        <w:jc w:val="both"/>
        <w:rPr>
          <w:rFonts w:eastAsia="Times New Roman"/>
        </w:rPr>
      </w:pPr>
      <w:r>
        <w:rPr>
          <w:rFonts w:eastAsia="Times New Roman"/>
        </w:rPr>
        <w:t>Establish a Standard Service Offer</w:t>
      </w:r>
      <w:r>
        <w:rPr>
          <w:rFonts w:eastAsia="Times New Roman"/>
        </w:rPr>
        <w:tab/>
        <w:t>)</w:t>
      </w:r>
      <w:r>
        <w:rPr>
          <w:rFonts w:eastAsia="Times New Roman"/>
        </w:rPr>
        <w:tab/>
        <w:t>Case No. 11-348-EL-SSO</w:t>
      </w:r>
    </w:p>
    <w:p w:rsidR="00FD64B7" w:rsidRDefault="00F96714">
      <w:pPr>
        <w:tabs>
          <w:tab w:val="left" w:pos="4680"/>
        </w:tabs>
        <w:spacing w:after="0" w:line="240" w:lineRule="auto"/>
        <w:jc w:val="both"/>
        <w:rPr>
          <w:rFonts w:eastAsia="Times New Roman"/>
        </w:rPr>
      </w:pPr>
      <w:r>
        <w:rPr>
          <w:rFonts w:eastAsia="Times New Roman"/>
        </w:rPr>
        <w:t>Pursuant to §4928.143, Ohio Rev. Code,</w:t>
      </w:r>
      <w:r>
        <w:rPr>
          <w:rFonts w:eastAsia="Times New Roman"/>
        </w:rPr>
        <w:tab/>
        <w:t>)</w:t>
      </w:r>
    </w:p>
    <w:p w:rsidR="00FD64B7" w:rsidRDefault="00F96714">
      <w:pPr>
        <w:tabs>
          <w:tab w:val="left" w:pos="4680"/>
        </w:tabs>
        <w:spacing w:after="0" w:line="240" w:lineRule="auto"/>
        <w:jc w:val="both"/>
        <w:rPr>
          <w:rFonts w:eastAsia="Times New Roman"/>
        </w:rPr>
      </w:pPr>
      <w:r>
        <w:rPr>
          <w:rFonts w:eastAsia="Times New Roman"/>
        </w:rPr>
        <w:t>in the Form of an Electric Security Plan.</w:t>
      </w:r>
      <w:r>
        <w:rPr>
          <w:rFonts w:eastAsia="Times New Roman"/>
        </w:rPr>
        <w:tab/>
        <w:t>)</w:t>
      </w:r>
      <w:r>
        <w:rPr>
          <w:rFonts w:eastAsia="Times New Roman"/>
        </w:rPr>
        <w:tab/>
      </w:r>
    </w:p>
    <w:p w:rsidR="00FD64B7" w:rsidRDefault="00FD64B7">
      <w:pPr>
        <w:tabs>
          <w:tab w:val="left" w:pos="5040"/>
        </w:tabs>
        <w:spacing w:after="0" w:line="240" w:lineRule="auto"/>
        <w:jc w:val="both"/>
        <w:rPr>
          <w:rFonts w:eastAsia="Times New Roman"/>
        </w:rPr>
      </w:pPr>
    </w:p>
    <w:p w:rsidR="00FD64B7" w:rsidRDefault="00F96714">
      <w:pPr>
        <w:tabs>
          <w:tab w:val="left" w:pos="4680"/>
        </w:tabs>
        <w:spacing w:after="0" w:line="240" w:lineRule="auto"/>
        <w:jc w:val="both"/>
        <w:rPr>
          <w:rFonts w:eastAsia="Times New Roman"/>
        </w:rPr>
      </w:pPr>
      <w:r>
        <w:rPr>
          <w:rFonts w:eastAsia="Times New Roman"/>
        </w:rPr>
        <w:t>In the Matter of the Application of</w:t>
      </w:r>
      <w:r>
        <w:rPr>
          <w:rFonts w:eastAsia="Times New Roman"/>
        </w:rPr>
        <w:tab/>
        <w:t>)</w:t>
      </w:r>
    </w:p>
    <w:p w:rsidR="00FD64B7" w:rsidRDefault="00F96714">
      <w:pPr>
        <w:tabs>
          <w:tab w:val="left" w:pos="4680"/>
          <w:tab w:val="left" w:pos="5400"/>
        </w:tabs>
        <w:spacing w:after="0" w:line="240" w:lineRule="auto"/>
        <w:jc w:val="both"/>
        <w:rPr>
          <w:rFonts w:eastAsia="Times New Roman"/>
        </w:rPr>
      </w:pPr>
      <w:r>
        <w:rPr>
          <w:rFonts w:eastAsia="Times New Roman"/>
        </w:rPr>
        <w:t>Columbus Southern Power Company and</w:t>
      </w:r>
      <w:r>
        <w:rPr>
          <w:rFonts w:eastAsia="Times New Roman"/>
        </w:rPr>
        <w:tab/>
        <w:t>)</w:t>
      </w:r>
      <w:r>
        <w:rPr>
          <w:rFonts w:eastAsia="Times New Roman"/>
        </w:rPr>
        <w:tab/>
        <w:t>Case No. 11-349-EL-AAM</w:t>
      </w:r>
    </w:p>
    <w:p w:rsidR="00FD64B7" w:rsidRDefault="00F96714">
      <w:pPr>
        <w:tabs>
          <w:tab w:val="left" w:pos="4680"/>
          <w:tab w:val="left" w:pos="5400"/>
        </w:tabs>
        <w:spacing w:after="0" w:line="240" w:lineRule="auto"/>
        <w:jc w:val="both"/>
        <w:rPr>
          <w:rFonts w:eastAsia="Times New Roman"/>
        </w:rPr>
      </w:pPr>
      <w:r>
        <w:rPr>
          <w:rFonts w:eastAsia="Times New Roman"/>
        </w:rPr>
        <w:t>Ohio Power Company for Approval of</w:t>
      </w:r>
      <w:r>
        <w:rPr>
          <w:rFonts w:eastAsia="Times New Roman"/>
        </w:rPr>
        <w:tab/>
        <w:t>)</w:t>
      </w:r>
      <w:r>
        <w:rPr>
          <w:rFonts w:eastAsia="Times New Roman"/>
        </w:rPr>
        <w:tab/>
        <w:t>Case No. 11-350-EL-AAM</w:t>
      </w:r>
    </w:p>
    <w:p w:rsidR="00FD64B7" w:rsidRDefault="00F96714">
      <w:pPr>
        <w:tabs>
          <w:tab w:val="left" w:pos="4680"/>
        </w:tabs>
        <w:spacing w:after="0" w:line="240" w:lineRule="auto"/>
        <w:jc w:val="both"/>
        <w:rPr>
          <w:rFonts w:eastAsia="Times New Roman"/>
        </w:rPr>
      </w:pPr>
      <w:r>
        <w:rPr>
          <w:rFonts w:eastAsia="Times New Roman"/>
        </w:rPr>
        <w:t>Certain Accounting Authority.</w:t>
      </w:r>
      <w:r>
        <w:rPr>
          <w:rFonts w:eastAsia="Times New Roman"/>
        </w:rPr>
        <w:tab/>
        <w:t>)</w:t>
      </w:r>
    </w:p>
    <w:p w:rsidR="00FD64B7" w:rsidRDefault="00FD64B7">
      <w:pPr>
        <w:tabs>
          <w:tab w:val="left" w:pos="4680"/>
        </w:tabs>
        <w:spacing w:after="0" w:line="240" w:lineRule="auto"/>
        <w:jc w:val="both"/>
        <w:rPr>
          <w:rFonts w:eastAsia="Times New Roman"/>
        </w:rPr>
      </w:pPr>
    </w:p>
    <w:p w:rsidR="00FD64B7" w:rsidRDefault="00F96714">
      <w:pPr>
        <w:tabs>
          <w:tab w:val="left" w:pos="4680"/>
          <w:tab w:val="left" w:pos="5400"/>
        </w:tabs>
        <w:spacing w:after="0" w:line="240" w:lineRule="auto"/>
        <w:rPr>
          <w:rFonts w:eastAsia="Times New Roman"/>
        </w:rPr>
      </w:pPr>
      <w:r>
        <w:rPr>
          <w:rFonts w:eastAsia="Times New Roman"/>
        </w:rPr>
        <w:t>In the Matter of the Application of</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 xml:space="preserve">Columbus Southern Power Company to </w:t>
      </w:r>
      <w:r>
        <w:rPr>
          <w:rFonts w:eastAsia="Times New Roman"/>
        </w:rPr>
        <w:tab/>
        <w:t>)</w:t>
      </w:r>
      <w:r>
        <w:rPr>
          <w:rFonts w:eastAsia="Times New Roman"/>
        </w:rPr>
        <w:tab/>
        <w:t>Case No. 10-343-EL-ATA</w:t>
      </w:r>
    </w:p>
    <w:p w:rsidR="00FD64B7" w:rsidRDefault="00F96714">
      <w:pPr>
        <w:tabs>
          <w:tab w:val="left" w:pos="4680"/>
          <w:tab w:val="left" w:pos="5400"/>
        </w:tabs>
        <w:spacing w:after="0" w:line="240" w:lineRule="auto"/>
        <w:rPr>
          <w:rFonts w:eastAsia="Times New Roman"/>
        </w:rPr>
      </w:pPr>
      <w:r>
        <w:rPr>
          <w:rFonts w:eastAsia="Times New Roman"/>
        </w:rPr>
        <w:t xml:space="preserve">Amend its Emergency Curtailment </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Service Riders.</w:t>
      </w:r>
      <w:r>
        <w:rPr>
          <w:rFonts w:eastAsia="Times New Roman"/>
        </w:rPr>
        <w:tab/>
        <w:t>)</w:t>
      </w:r>
    </w:p>
    <w:p w:rsidR="00FD64B7" w:rsidRDefault="00FD64B7">
      <w:pPr>
        <w:tabs>
          <w:tab w:val="left" w:pos="4680"/>
          <w:tab w:val="left" w:pos="5400"/>
        </w:tabs>
        <w:spacing w:after="0" w:line="240" w:lineRule="auto"/>
        <w:rPr>
          <w:rFonts w:eastAsia="Times New Roman"/>
        </w:rPr>
      </w:pPr>
    </w:p>
    <w:p w:rsidR="00FD64B7" w:rsidRDefault="00F96714">
      <w:pPr>
        <w:tabs>
          <w:tab w:val="left" w:pos="4680"/>
          <w:tab w:val="left" w:pos="5400"/>
        </w:tabs>
        <w:spacing w:after="0" w:line="240" w:lineRule="auto"/>
        <w:rPr>
          <w:rFonts w:eastAsia="Times New Roman"/>
        </w:rPr>
      </w:pPr>
      <w:r>
        <w:rPr>
          <w:rFonts w:eastAsia="Times New Roman"/>
        </w:rPr>
        <w:t>In the Matter of the Application of</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Ohio Power Company to Amend its</w:t>
      </w:r>
      <w:r>
        <w:rPr>
          <w:rFonts w:eastAsia="Times New Roman"/>
        </w:rPr>
        <w:tab/>
        <w:t>)</w:t>
      </w:r>
      <w:r>
        <w:rPr>
          <w:rFonts w:eastAsia="Times New Roman"/>
        </w:rPr>
        <w:tab/>
        <w:t>Case No. 10-344-EL-ATA</w:t>
      </w:r>
    </w:p>
    <w:p w:rsidR="00FD64B7" w:rsidRDefault="00F96714">
      <w:pPr>
        <w:tabs>
          <w:tab w:val="left" w:pos="4680"/>
          <w:tab w:val="left" w:pos="5400"/>
        </w:tabs>
        <w:spacing w:after="0" w:line="240" w:lineRule="auto"/>
        <w:rPr>
          <w:rFonts w:eastAsia="Times New Roman"/>
        </w:rPr>
      </w:pPr>
      <w:r>
        <w:rPr>
          <w:rFonts w:eastAsia="Times New Roman"/>
        </w:rPr>
        <w:t>Emergency Curtailment Service Riders.</w:t>
      </w:r>
      <w:r>
        <w:rPr>
          <w:rFonts w:eastAsia="Times New Roman"/>
        </w:rPr>
        <w:tab/>
        <w:t>)</w:t>
      </w:r>
    </w:p>
    <w:p w:rsidR="00FD64B7" w:rsidRDefault="00FD64B7">
      <w:pPr>
        <w:tabs>
          <w:tab w:val="left" w:pos="4680"/>
          <w:tab w:val="left" w:pos="5400"/>
        </w:tabs>
        <w:spacing w:after="0" w:line="240" w:lineRule="auto"/>
        <w:rPr>
          <w:rFonts w:eastAsia="Times New Roman"/>
        </w:rPr>
      </w:pPr>
    </w:p>
    <w:p w:rsidR="00FD64B7" w:rsidRDefault="00F96714">
      <w:pPr>
        <w:tabs>
          <w:tab w:val="left" w:pos="4680"/>
          <w:tab w:val="left" w:pos="5400"/>
        </w:tabs>
        <w:spacing w:after="0" w:line="240" w:lineRule="auto"/>
        <w:rPr>
          <w:rFonts w:eastAsia="Times New Roman"/>
        </w:rPr>
      </w:pPr>
      <w:r>
        <w:rPr>
          <w:rFonts w:eastAsia="Times New Roman"/>
        </w:rPr>
        <w:t>In the Matter of the Commission Review</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Of the Capacity Charges of Ohio Power</w:t>
      </w:r>
      <w:r>
        <w:rPr>
          <w:rFonts w:eastAsia="Times New Roman"/>
        </w:rPr>
        <w:tab/>
        <w:t>)</w:t>
      </w:r>
      <w:r>
        <w:rPr>
          <w:rFonts w:eastAsia="Times New Roman"/>
        </w:rPr>
        <w:tab/>
        <w:t>Case No. 10-2929-EL-UNC</w:t>
      </w:r>
    </w:p>
    <w:p w:rsidR="00FD64B7" w:rsidRDefault="00F96714">
      <w:pPr>
        <w:tabs>
          <w:tab w:val="left" w:pos="4680"/>
          <w:tab w:val="left" w:pos="5400"/>
        </w:tabs>
        <w:spacing w:after="0" w:line="240" w:lineRule="auto"/>
        <w:rPr>
          <w:rFonts w:eastAsia="Times New Roman"/>
        </w:rPr>
      </w:pPr>
      <w:r>
        <w:rPr>
          <w:rFonts w:eastAsia="Times New Roman"/>
        </w:rPr>
        <w:t xml:space="preserve">Company and Columbus Southern </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Power Company.</w:t>
      </w:r>
      <w:r>
        <w:rPr>
          <w:rFonts w:eastAsia="Times New Roman"/>
        </w:rPr>
        <w:tab/>
        <w:t>)</w:t>
      </w:r>
    </w:p>
    <w:p w:rsidR="00FD64B7" w:rsidRDefault="00FD64B7">
      <w:pPr>
        <w:tabs>
          <w:tab w:val="left" w:pos="4680"/>
          <w:tab w:val="left" w:pos="5400"/>
        </w:tabs>
        <w:spacing w:after="0" w:line="240" w:lineRule="auto"/>
        <w:rPr>
          <w:rFonts w:eastAsia="Times New Roman"/>
        </w:rPr>
      </w:pPr>
    </w:p>
    <w:p w:rsidR="00FD64B7" w:rsidRDefault="00F96714">
      <w:pPr>
        <w:tabs>
          <w:tab w:val="left" w:pos="4680"/>
          <w:tab w:val="left" w:pos="5400"/>
        </w:tabs>
        <w:spacing w:after="0" w:line="240" w:lineRule="auto"/>
        <w:rPr>
          <w:rFonts w:eastAsia="Times New Roman"/>
        </w:rPr>
      </w:pPr>
      <w:r>
        <w:rPr>
          <w:rFonts w:eastAsia="Times New Roman"/>
        </w:rPr>
        <w:t>In the Matter of the Application of</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Columbus Southern Power Company</w:t>
      </w:r>
      <w:r>
        <w:rPr>
          <w:rFonts w:eastAsia="Times New Roman"/>
        </w:rPr>
        <w:tab/>
        <w:t>)</w:t>
      </w:r>
      <w:r>
        <w:rPr>
          <w:rFonts w:eastAsia="Times New Roman"/>
        </w:rPr>
        <w:tab/>
        <w:t>Case No. 11-4920-EL-RDR</w:t>
      </w:r>
    </w:p>
    <w:p w:rsidR="00FD64B7" w:rsidRDefault="00F96714">
      <w:pPr>
        <w:tabs>
          <w:tab w:val="left" w:pos="4680"/>
          <w:tab w:val="left" w:pos="5400"/>
        </w:tabs>
        <w:spacing w:after="0" w:line="240" w:lineRule="auto"/>
        <w:rPr>
          <w:rFonts w:eastAsia="Times New Roman"/>
        </w:rPr>
      </w:pPr>
      <w:r>
        <w:rPr>
          <w:rFonts w:eastAsia="Times New Roman"/>
        </w:rPr>
        <w:t>for Approval of a Mechanism to Recover</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Deferred Fuel Costs Ordered Under</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Ohio Revised Code 4928.144.</w:t>
      </w:r>
      <w:r>
        <w:rPr>
          <w:rFonts w:eastAsia="Times New Roman"/>
        </w:rPr>
        <w:tab/>
        <w:t>)</w:t>
      </w:r>
    </w:p>
    <w:p w:rsidR="00FD64B7" w:rsidRDefault="00FD64B7">
      <w:pPr>
        <w:tabs>
          <w:tab w:val="left" w:pos="4680"/>
          <w:tab w:val="left" w:pos="5400"/>
        </w:tabs>
        <w:spacing w:after="0" w:line="240" w:lineRule="auto"/>
        <w:rPr>
          <w:rFonts w:eastAsia="Times New Roman"/>
        </w:rPr>
      </w:pPr>
    </w:p>
    <w:p w:rsidR="00FD64B7" w:rsidRDefault="00F96714">
      <w:pPr>
        <w:tabs>
          <w:tab w:val="left" w:pos="4680"/>
          <w:tab w:val="left" w:pos="5400"/>
        </w:tabs>
        <w:spacing w:after="0" w:line="240" w:lineRule="auto"/>
        <w:rPr>
          <w:rFonts w:eastAsia="Times New Roman"/>
        </w:rPr>
      </w:pPr>
      <w:r>
        <w:rPr>
          <w:rFonts w:eastAsia="Times New Roman"/>
        </w:rPr>
        <w:t>In the Matter of the Application of</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 xml:space="preserve">Ohio Power Company for Approval of a </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 xml:space="preserve">Mechanism to Recover Deferred Fuel </w:t>
      </w:r>
      <w:r>
        <w:rPr>
          <w:rFonts w:eastAsia="Times New Roman"/>
        </w:rPr>
        <w:tab/>
        <w:t>)</w:t>
      </w:r>
      <w:r>
        <w:rPr>
          <w:rFonts w:eastAsia="Times New Roman"/>
        </w:rPr>
        <w:tab/>
        <w:t>Case No. 11-4921-EL-RDR</w:t>
      </w:r>
    </w:p>
    <w:p w:rsidR="00FD64B7" w:rsidRDefault="00F96714">
      <w:pPr>
        <w:tabs>
          <w:tab w:val="left" w:pos="4680"/>
          <w:tab w:val="left" w:pos="5400"/>
        </w:tabs>
        <w:spacing w:after="0" w:line="240" w:lineRule="auto"/>
        <w:rPr>
          <w:rFonts w:eastAsia="Times New Roman"/>
        </w:rPr>
      </w:pPr>
      <w:r>
        <w:rPr>
          <w:rFonts w:eastAsia="Times New Roman"/>
        </w:rPr>
        <w:t xml:space="preserve">Costs Ordered Under Ohio Revised </w:t>
      </w:r>
      <w:r>
        <w:rPr>
          <w:rFonts w:eastAsia="Times New Roman"/>
        </w:rPr>
        <w:tab/>
        <w:t>)</w:t>
      </w:r>
    </w:p>
    <w:p w:rsidR="00FD64B7" w:rsidRDefault="00F96714">
      <w:pPr>
        <w:tabs>
          <w:tab w:val="left" w:pos="4680"/>
          <w:tab w:val="left" w:pos="5400"/>
        </w:tabs>
        <w:spacing w:after="0" w:line="240" w:lineRule="auto"/>
        <w:rPr>
          <w:rFonts w:eastAsia="Times New Roman"/>
        </w:rPr>
      </w:pPr>
      <w:r>
        <w:rPr>
          <w:rFonts w:eastAsia="Times New Roman"/>
        </w:rPr>
        <w:t>Code 4928.144.</w:t>
      </w:r>
      <w:r>
        <w:rPr>
          <w:rFonts w:eastAsia="Times New Roman"/>
        </w:rPr>
        <w:tab/>
        <w:t>)</w:t>
      </w:r>
    </w:p>
    <w:p w:rsidR="006D1C66" w:rsidRDefault="006D1C66">
      <w:pPr>
        <w:rPr>
          <w:rFonts w:eastAsia="Times New Roman"/>
          <w:b/>
          <w:smallCaps/>
          <w:sz w:val="28"/>
          <w:szCs w:val="22"/>
        </w:rPr>
        <w:sectPr w:rsidR="006D1C66" w:rsidSect="00E53D2A">
          <w:headerReference w:type="default" r:id="rId17"/>
          <w:footerReference w:type="default" r:id="rId18"/>
          <w:headerReference w:type="first" r:id="rId19"/>
          <w:footerReference w:type="first" r:id="rId20"/>
          <w:pgSz w:w="12240" w:h="15840" w:code="1"/>
          <w:pgMar w:top="1440" w:right="1440" w:bottom="1440" w:left="1440" w:header="720" w:footer="720" w:gutter="0"/>
          <w:pgNumType w:start="1"/>
          <w:cols w:space="720"/>
          <w:titlePg/>
          <w:docGrid w:linePitch="360"/>
        </w:sectPr>
      </w:pPr>
    </w:p>
    <w:p w:rsidR="006D1C66" w:rsidRDefault="006D1C66" w:rsidP="006D1C66">
      <w:pPr>
        <w:pBdr>
          <w:top w:val="single" w:sz="12" w:space="1" w:color="auto"/>
        </w:pBdr>
        <w:spacing w:after="0" w:line="240" w:lineRule="auto"/>
        <w:jc w:val="center"/>
        <w:rPr>
          <w:rFonts w:eastAsia="Times New Roman"/>
          <w:b/>
          <w:sz w:val="28"/>
          <w:szCs w:val="28"/>
        </w:rPr>
      </w:pPr>
    </w:p>
    <w:p w:rsidR="006D1C66" w:rsidRDefault="00F96714" w:rsidP="006D1C66">
      <w:pPr>
        <w:pBdr>
          <w:bottom w:val="single" w:sz="12" w:space="1" w:color="auto"/>
        </w:pBdr>
        <w:spacing w:after="0" w:line="240" w:lineRule="auto"/>
        <w:jc w:val="center"/>
        <w:rPr>
          <w:rFonts w:eastAsia="Times New Roman"/>
          <w:b/>
          <w:sz w:val="28"/>
          <w:szCs w:val="28"/>
        </w:rPr>
      </w:pPr>
      <w:r w:rsidRPr="00590648">
        <w:rPr>
          <w:rFonts w:eastAsia="Times New Roman"/>
          <w:b/>
          <w:sz w:val="28"/>
          <w:szCs w:val="28"/>
        </w:rPr>
        <w:t>INITIAL BRIEF OF INDUSTRIAL ENERGY USERS-OHIO</w:t>
      </w:r>
    </w:p>
    <w:p w:rsidR="00FD64B7" w:rsidRPr="00590648" w:rsidRDefault="00FD64B7" w:rsidP="006D1C66">
      <w:pPr>
        <w:pBdr>
          <w:bottom w:val="single" w:sz="12" w:space="1" w:color="auto"/>
        </w:pBdr>
        <w:spacing w:after="0" w:line="240" w:lineRule="auto"/>
        <w:jc w:val="center"/>
        <w:rPr>
          <w:rFonts w:eastAsia="Times New Roman"/>
          <w:b/>
          <w:sz w:val="28"/>
          <w:szCs w:val="28"/>
        </w:rPr>
      </w:pPr>
    </w:p>
    <w:p w:rsidR="00FD64B7" w:rsidRDefault="00FD64B7">
      <w:pPr>
        <w:rPr>
          <w:b/>
        </w:rPr>
      </w:pPr>
    </w:p>
    <w:p w:rsidR="00172D35" w:rsidRDefault="00172D35" w:rsidP="006D1C66">
      <w:pPr>
        <w:pStyle w:val="ListParagraph"/>
        <w:spacing w:after="360" w:line="240" w:lineRule="auto"/>
        <w:ind w:hanging="720"/>
        <w:rPr>
          <w:rFonts w:ascii="Arial Bold" w:hAnsi="Arial Bold"/>
          <w:b/>
          <w:caps/>
        </w:rPr>
      </w:pPr>
      <w:r>
        <w:rPr>
          <w:rFonts w:ascii="Arial Bold" w:hAnsi="Arial Bold"/>
          <w:b/>
          <w:caps/>
        </w:rPr>
        <w:t>I.</w:t>
      </w:r>
      <w:r>
        <w:rPr>
          <w:rFonts w:ascii="Arial Bold" w:hAnsi="Arial Bold"/>
          <w:b/>
          <w:caps/>
        </w:rPr>
        <w:tab/>
        <w:t>INTRODUCTION</w:t>
      </w:r>
    </w:p>
    <w:p w:rsidR="009B2E28" w:rsidRDefault="009B2E28" w:rsidP="009B2E28">
      <w:pPr>
        <w:spacing w:line="480" w:lineRule="auto"/>
        <w:ind w:firstLine="720"/>
        <w:jc w:val="both"/>
      </w:pPr>
      <w:r>
        <w:t>In the pages that follow, the Industrial Energy Users-Ohio (“IEU-Ohio”) presents legal, policy and other arguments in support of the position that the Public Utilities Commission of Ohio (“Commission”) must, as a matter of law, reject the Stipulation and Recommendation (“Stipulation”) and the electric security plan (“ESP”) illegally, vaguely and confusingly recommended therein.  Combined, these arguments reveal the Stipulation’s most fundamental defect: It is a bad deal measured by everything the Commission is obligated to obey and respect.</w:t>
      </w:r>
    </w:p>
    <w:p w:rsidR="009B2E28" w:rsidRDefault="009B2E28" w:rsidP="009B2E28">
      <w:pPr>
        <w:spacing w:line="480" w:lineRule="auto"/>
        <w:ind w:firstLine="720"/>
        <w:jc w:val="both"/>
      </w:pPr>
      <w:r>
        <w:t xml:space="preserve">The Stipulation recommends unjustified rate increases at a time when the Great Recession’s hold on Ohio’s economy and its citizens remains profound and unyielding.  It then recommends that the Commission use its authority to permit Columbus Southern Power Company (“CSP”) and Ohio Power Company (“OP”) (collectively, the “Companies”) to erect a monopoly toll booth in interstate commerce so that customers are captive to the rate increases the Companies demand but cannot justify.  The timing of the toll booth provision in the Stipulation is not coincidental.  </w:t>
      </w:r>
    </w:p>
    <w:p w:rsidR="009B2E28" w:rsidRDefault="009B2E28" w:rsidP="009B2E28">
      <w:pPr>
        <w:spacing w:line="480" w:lineRule="auto"/>
        <w:ind w:firstLine="720"/>
        <w:jc w:val="both"/>
      </w:pPr>
      <w:r>
        <w:t xml:space="preserve">The toll booth’s proponents advance their recommendation just as the forces of competition have begun to provide customers with lower prices and better service in circumstances where customers have unfettered access to competitive retail electric service (“CRES”) suppliers including governmental aggregators.  The proposed in-service date for the toll booth will allow the Companies to rain on the parade of </w:t>
      </w:r>
      <w:r>
        <w:lastRenderedPageBreak/>
        <w:t>governmental aggregation programs that overwhelmingly were approved by voters throughout the Companies’ service areas in the last few days.</w:t>
      </w:r>
    </w:p>
    <w:p w:rsidR="009B2E28" w:rsidRDefault="009B2E28" w:rsidP="009B2E28">
      <w:pPr>
        <w:spacing w:line="480" w:lineRule="auto"/>
        <w:ind w:firstLine="720"/>
        <w:jc w:val="both"/>
      </w:pPr>
      <w:r>
        <w:t>All the evidence produced by parties supporting the Stipulation and those who took on the responsibility of demonstrating that the “emperor has no clothes” agree that the Stipulation cannot pass the price comparison test threshold which must be crossed before the Commission can approve an ESP presented through a settlement or otherwise.  Yet, the parties that signed the Stipulation (after most of them conducted no independent analysis and failed to understand the real-time significance of the shopping limitations) persisted in their effort to secure the Commission’s approval of their bad deal.</w:t>
      </w:r>
    </w:p>
    <w:p w:rsidR="009B2E28" w:rsidRDefault="009B2E28" w:rsidP="009B2E28">
      <w:pPr>
        <w:spacing w:line="480" w:lineRule="auto"/>
        <w:ind w:firstLine="720"/>
        <w:jc w:val="both"/>
      </w:pPr>
      <w:r>
        <w:t>During the course of these proceedings, the Companies called often upon the roll of context as though context can operate as a substitute for procedural and substantive due process.  Ironically, the historical context which precedes the Stipulation also demonstrates the fundamental unfairness of the outcomes recommended within the Stipulation.</w:t>
      </w:r>
    </w:p>
    <w:p w:rsidR="009B2E28" w:rsidRDefault="009B2E28" w:rsidP="009B2E28">
      <w:pPr>
        <w:spacing w:line="480" w:lineRule="auto"/>
        <w:ind w:firstLine="720"/>
        <w:jc w:val="both"/>
      </w:pPr>
      <w:r>
        <w:t>Since 2006, the Companies’ Standard Service Offer (“SSO”) prices have increased annually and significantly.</w:t>
      </w:r>
      <w:r>
        <w:rPr>
          <w:rStyle w:val="FootnoteReference"/>
        </w:rPr>
        <w:footnoteReference w:id="1"/>
      </w:r>
      <w:r>
        <w:t xml:space="preserve">  The increases were in some cases illegal, but </w:t>
      </w:r>
      <w:r>
        <w:lastRenderedPageBreak/>
        <w:t>nonetheless transferred hundreds of millions of dollars in consumers’ wealth to the Companies.  The steady stream of increases provided CSP with “significantly excessive earnings</w:t>
      </w:r>
      <w:r w:rsidR="003720CC">
        <w:t>.</w:t>
      </w:r>
      <w:r>
        <w:t>”</w:t>
      </w:r>
      <w:r>
        <w:rPr>
          <w:rStyle w:val="FootnoteReference"/>
        </w:rPr>
        <w:footnoteReference w:id="2"/>
      </w:r>
      <w:r>
        <w:t xml:space="preserve">  The steady stream of increases has given the Companies the highest gross margin per megawatt hour of any business division within American Electric Power (“AEP”).</w:t>
      </w:r>
      <w:r>
        <w:rPr>
          <w:rStyle w:val="FootnoteReference"/>
        </w:rPr>
        <w:footnoteReference w:id="3"/>
      </w:r>
    </w:p>
    <w:p w:rsidR="009B2E28" w:rsidRDefault="009B2E28" w:rsidP="009B2E28">
      <w:pPr>
        <w:spacing w:line="480" w:lineRule="auto"/>
        <w:ind w:firstLine="720"/>
        <w:jc w:val="both"/>
      </w:pPr>
      <w:r>
        <w:t xml:space="preserve">During this history, the Companies repeatedly pointed to competitive benchmark prices and the bypassability of their SSO prices as justification for the </w:t>
      </w:r>
      <w:r w:rsidR="00C31FA1">
        <w:t xml:space="preserve">significant </w:t>
      </w:r>
      <w:r>
        <w:t>year-to-year uptick in prices.</w:t>
      </w:r>
      <w:r>
        <w:rPr>
          <w:rStyle w:val="FootnoteReference"/>
        </w:rPr>
        <w:footnoteReference w:id="4"/>
      </w:r>
      <w:r>
        <w:t xml:space="preserve">  The competitive benchmark prices strongly and uniformly supported over the years by the Companies were based on a capacity charge tied to the output of PJM Interconnect</w:t>
      </w:r>
      <w:r w:rsidR="00D5328D">
        <w:t>ion</w:t>
      </w:r>
      <w:r>
        <w:t xml:space="preserve"> LLC’s (“PJM”) reliability pricing model (“RPM”) and the competitive bidding process (“CBP”) that PJM uses to establish capacity prices.</w:t>
      </w:r>
      <w:r>
        <w:rPr>
          <w:rStyle w:val="FootnoteReference"/>
        </w:rPr>
        <w:footnoteReference w:id="5"/>
      </w:r>
      <w:r>
        <w:t xml:space="preserve">  </w:t>
      </w:r>
    </w:p>
    <w:p w:rsidR="009B2E28" w:rsidRDefault="009B2E28" w:rsidP="009B2E28">
      <w:pPr>
        <w:spacing w:line="480" w:lineRule="auto"/>
        <w:ind w:firstLine="720"/>
        <w:jc w:val="both"/>
      </w:pPr>
      <w:r>
        <w:t xml:space="preserve">Year after year and case after case, the Companies clung to RPM and beat back efforts, with the Commission’s support, to install a cost-based system of measuring “just and reasonable” rates.  Now the Companies, in their advocacy for the Stipulation, are leading an assault on the very methods they successfully leveraged in the past to significantly raise SSO prices.  And the current assault is selective; the Companies’ </w:t>
      </w:r>
      <w:r>
        <w:lastRenderedPageBreak/>
        <w:t>turnabout now invites the Commission to use either a cost-based yardstick or an arbitrary number to set the price for the capacity component of generation service.  Yet they persist in their claim that the balance of their SSO price and the arbitrary increases in that price recommended by the Stipulation cannot and must not be subjected to cost-based evaluation.</w:t>
      </w:r>
    </w:p>
    <w:p w:rsidR="009B2E28" w:rsidRDefault="009B2E28" w:rsidP="009B2E28">
      <w:pPr>
        <w:spacing w:line="480" w:lineRule="auto"/>
        <w:ind w:firstLine="720"/>
        <w:jc w:val="both"/>
      </w:pPr>
      <w:r>
        <w:t>The history that precedes these proceedings also documents the Companies’ persistent support for a market-based system of setting SSO prices so long as the system worked to allow the Companies’ rates to be lifted higher.  For example, the Companies unabashedly and unequivocally supported reliance on a market-based approach and competition as the best means to advance Ohio’s policies and secure useful outcomes for customers.</w:t>
      </w:r>
      <w:r>
        <w:rPr>
          <w:rStyle w:val="FootnoteReference"/>
        </w:rPr>
        <w:footnoteReference w:id="6"/>
      </w:r>
      <w:r>
        <w:t xml:space="preserve">  They extolled the virtues of PJM’s wholesale market and their use of a CBP to secure generation supply and establish retail prices for default service.</w:t>
      </w:r>
      <w:r>
        <w:rPr>
          <w:rStyle w:val="FootnoteReference"/>
        </w:rPr>
        <w:footnoteReference w:id="7"/>
      </w:r>
      <w:r>
        <w:t xml:space="preserve">  More recently, the CBP used to set the default generation supply prices in the service areas of the Ohio operating companies of FirstEnergy Corp. confirm the power of competition to produce reliable service and stable lower prices.</w:t>
      </w:r>
      <w:r>
        <w:rPr>
          <w:rStyle w:val="FootnoteReference"/>
        </w:rPr>
        <w:footnoteReference w:id="8"/>
      </w:r>
      <w:r>
        <w:t xml:space="preserve">  This historical context shows that, in these proceedings, the Companies are attacking the very </w:t>
      </w:r>
      <w:r>
        <w:lastRenderedPageBreak/>
        <w:t xml:space="preserve">positions that they advanced previously to secure the Commission’s approval of frequent, dramatic and, too often, illegal rate increases.  </w:t>
      </w:r>
    </w:p>
    <w:p w:rsidR="009B2E28" w:rsidRDefault="009B2E28" w:rsidP="009B2E28">
      <w:pPr>
        <w:spacing w:line="480" w:lineRule="auto"/>
        <w:ind w:firstLine="720"/>
        <w:jc w:val="both"/>
      </w:pPr>
      <w:r>
        <w:t xml:space="preserve">The arguments below identify specific provisions housed within the Stipulation that are unreasonable, illegal, or both.  The discrete discussions of the evidence and propositions of law must not, however, obscure the more fundamental and fatally defective problem with the Stipulation.  It is a bad deal for customers and Ohio. </w:t>
      </w:r>
    </w:p>
    <w:p w:rsidR="00FD64B7" w:rsidRPr="0074164D" w:rsidRDefault="004B0EB2" w:rsidP="006D1C66">
      <w:pPr>
        <w:pStyle w:val="ListParagraph"/>
        <w:spacing w:after="360" w:line="240" w:lineRule="auto"/>
        <w:ind w:hanging="720"/>
        <w:rPr>
          <w:rFonts w:ascii="Arial Bold" w:hAnsi="Arial Bold"/>
          <w:b/>
          <w:caps/>
        </w:rPr>
      </w:pPr>
      <w:r>
        <w:rPr>
          <w:rFonts w:ascii="Arial Bold" w:hAnsi="Arial Bold"/>
          <w:b/>
          <w:caps/>
        </w:rPr>
        <w:t>II.</w:t>
      </w:r>
      <w:r>
        <w:rPr>
          <w:rFonts w:ascii="Arial Bold" w:hAnsi="Arial Bold"/>
          <w:b/>
          <w:caps/>
        </w:rPr>
        <w:tab/>
      </w:r>
      <w:r w:rsidR="001816BD">
        <w:rPr>
          <w:rFonts w:ascii="Arial Bold" w:hAnsi="Arial Bold"/>
          <w:b/>
          <w:caps/>
        </w:rPr>
        <w:t>BACKGROUND</w:t>
      </w:r>
    </w:p>
    <w:p w:rsidR="00FD64B7" w:rsidRDefault="00F96714" w:rsidP="00590648">
      <w:pPr>
        <w:spacing w:line="480" w:lineRule="auto"/>
        <w:jc w:val="both"/>
      </w:pPr>
      <w:r>
        <w:rPr>
          <w:b/>
        </w:rPr>
        <w:tab/>
      </w:r>
      <w:r>
        <w:t>On January 27, 2011, CSP and OP filed applications (“Application”) to establish their second ESP</w:t>
      </w:r>
      <w:r w:rsidR="004B0EB2">
        <w:t>s</w:t>
      </w:r>
      <w:r>
        <w:t>.  In anticipation of evidentiary hearings on the Application, public hearings were held throughout the Companies’ service territory.  At those public hearings, consumers expressed concern about the Companies’ proposals to increase rates and limit shopping for retail electric service.</w:t>
      </w:r>
      <w:r>
        <w:rPr>
          <w:rStyle w:val="FootnoteReference"/>
        </w:rPr>
        <w:footnoteReference w:id="9"/>
      </w:r>
      <w:r>
        <w:t xml:space="preserve">  </w:t>
      </w:r>
    </w:p>
    <w:p w:rsidR="00FD64B7" w:rsidRDefault="00F96714" w:rsidP="00590648">
      <w:pPr>
        <w:spacing w:line="480" w:lineRule="auto"/>
        <w:ind w:firstLine="720"/>
        <w:jc w:val="both"/>
      </w:pPr>
      <w:r>
        <w:t>On the eve of the start of the evidentiary hearing on the Application, the Companies, the Staff of the Public Utilities Commission of Ohio (“Staff”) and several intervenors indicated that they had reached a</w:t>
      </w:r>
      <w:r w:rsidR="004B0EB2">
        <w:t>n</w:t>
      </w:r>
      <w:r>
        <w:t xml:space="preserve"> </w:t>
      </w:r>
      <w:r w:rsidR="004B0EB2">
        <w:t xml:space="preserve">agreement </w:t>
      </w:r>
      <w:r>
        <w:t xml:space="preserve">regarding the Application and several other matters pending before the </w:t>
      </w:r>
      <w:r w:rsidR="001816BD">
        <w:t>Commission</w:t>
      </w:r>
      <w:r>
        <w:t xml:space="preserve">.  They signed and filed the Stipulation on September 7, 2011.  Because the Stipulation recommends the approval of unjustified rate increases, limitations on the right of customers to obtain competitive retail electric service, unduly discriminatory rates, and other provisions that violate a host of legal requirements, IEU-Ohio, FirstEnergy Solutions (“FES”), Ormet Primary </w:t>
      </w:r>
      <w:r>
        <w:lastRenderedPageBreak/>
        <w:t xml:space="preserve">Aluminum </w:t>
      </w:r>
      <w:r w:rsidR="004B0EB2">
        <w:t xml:space="preserve">Corporation </w:t>
      </w:r>
      <w:r>
        <w:t>(“Ormet”), the Office of the Ohio Consumers’ Counsel (“OCC”), Ohio Partners for Affordable Energy (“OPAE”), and the Appalachian Peace and Justice Network (“APJN”) either did not sign or actively opposed the Stipulation. Given the opposition to the Stipulation, the Commission scheduled additional discovery, and hearings began October 4, 2011.</w:t>
      </w:r>
    </w:p>
    <w:p w:rsidR="00FD64B7" w:rsidRDefault="004B0EB2" w:rsidP="00590648">
      <w:pPr>
        <w:spacing w:line="480" w:lineRule="auto"/>
        <w:ind w:firstLine="720"/>
        <w:jc w:val="both"/>
      </w:pPr>
      <w:r>
        <w:t xml:space="preserve">The </w:t>
      </w:r>
      <w:r w:rsidR="00F96714">
        <w:t>nearly three weeks of hearings</w:t>
      </w:r>
      <w:r>
        <w:t xml:space="preserve"> on what has already been described as a “bad deal”</w:t>
      </w:r>
      <w:r w:rsidDel="004B0EB2">
        <w:t xml:space="preserve"> </w:t>
      </w:r>
      <w:r w:rsidR="00F96714">
        <w:t>demonstrates that the proponents of the Stipulation have failed to satisfy the requirements necessary to demonstrate that the Commission may approve lawfully the ESP and the other matters the Stipulation attempts to resolve.  The Stipulation fails to advance the public interest, contains patently illegal terms, and is not the product of serious bargaining</w:t>
      </w:r>
      <w:r w:rsidR="009F45C9">
        <w:t xml:space="preserve"> within the bounds of the law</w:t>
      </w:r>
      <w:r w:rsidR="00F96714">
        <w:t xml:space="preserve">.  </w:t>
      </w:r>
      <w:r>
        <w:t xml:space="preserve">As a result, </w:t>
      </w:r>
      <w:r w:rsidR="00F96714">
        <w:t xml:space="preserve">the Commission must reject the Stipulation.  </w:t>
      </w:r>
      <w:r>
        <w:t xml:space="preserve">If the Commission instead chooses to control the damage that would otherwise be created by the Stipulation, </w:t>
      </w:r>
      <w:r w:rsidR="00F96714">
        <w:t>it must make significant modifications to it to make the Stipulation both lawful and reasonable.</w:t>
      </w:r>
    </w:p>
    <w:p w:rsidR="00FD64B7" w:rsidRPr="0074164D" w:rsidRDefault="004B0EB2" w:rsidP="006D1C66">
      <w:pPr>
        <w:pStyle w:val="ListParagraph"/>
        <w:spacing w:after="360" w:line="240" w:lineRule="auto"/>
        <w:ind w:hanging="720"/>
        <w:rPr>
          <w:rFonts w:ascii="Arial Bold" w:hAnsi="Arial Bold"/>
          <w:b/>
          <w:caps/>
        </w:rPr>
      </w:pPr>
      <w:r>
        <w:rPr>
          <w:rFonts w:ascii="Arial Bold" w:hAnsi="Arial Bold"/>
          <w:b/>
          <w:caps/>
        </w:rPr>
        <w:t>III.</w:t>
      </w:r>
      <w:r>
        <w:rPr>
          <w:rFonts w:ascii="Arial Bold" w:hAnsi="Arial Bold"/>
          <w:b/>
          <w:caps/>
        </w:rPr>
        <w:tab/>
        <w:t>EVALUATION CRITERIA FOR SETTLEMENT</w:t>
      </w:r>
    </w:p>
    <w:p w:rsidR="00FD64B7" w:rsidRDefault="00F96714" w:rsidP="00590648">
      <w:pPr>
        <w:spacing w:line="480" w:lineRule="auto"/>
        <w:ind w:firstLine="720"/>
        <w:jc w:val="both"/>
      </w:pPr>
      <w:r>
        <w:t>Before approving a contested settlement</w:t>
      </w:r>
      <w:r w:rsidR="004B0EB2">
        <w:t>,</w:t>
      </w:r>
      <w:r>
        <w:t xml:space="preserve"> the Commission must find that: (1) the settlement is a product of serious bargaining among capable, knowledgeable parties; (2) the settlement, as a package, benefits ratepayers and the public interest; and; (3) the settlement package does not violate any important regulatory principles or practices.</w:t>
      </w:r>
      <w:r>
        <w:rPr>
          <w:rStyle w:val="FootnoteReference"/>
        </w:rPr>
        <w:footnoteReference w:id="10"/>
      </w:r>
    </w:p>
    <w:p w:rsidR="00FD64B7" w:rsidRDefault="00F96714" w:rsidP="00590648">
      <w:pPr>
        <w:spacing w:line="480" w:lineRule="auto"/>
        <w:ind w:firstLine="720"/>
        <w:jc w:val="both"/>
      </w:pPr>
      <w:r>
        <w:lastRenderedPageBreak/>
        <w:t xml:space="preserve">A settlement is not evidence and it is not binding on the Commission.  It is a recommendation by parties to a proceeding on how the Commission should address and resolve contested issues and nothing more. </w:t>
      </w:r>
    </w:p>
    <w:p w:rsidR="00FD64B7" w:rsidRDefault="00F96714" w:rsidP="00590648">
      <w:pPr>
        <w:spacing w:line="480" w:lineRule="auto"/>
        <w:ind w:firstLine="720"/>
        <w:jc w:val="both"/>
      </w:pPr>
      <w:r>
        <w:t xml:space="preserve">A settlement cannot provide the Commission with authority to do what the Commission does not otherwise have authority to do or to disrespect procedural or substantive requirements established by the General Assembly or the Commission’s rules.  For example, Monongahela Power relied upon a settlement for its authority to end the five-year market development period early (a result which would have imposed “rate shock”).  The Ohio Supreme Court </w:t>
      </w:r>
      <w:r w:rsidR="004B0EB2">
        <w:t xml:space="preserve">(“Supreme Court”) </w:t>
      </w:r>
      <w:r>
        <w:t>rejected the claim that the settlement provided support for the early termination, stating:</w:t>
      </w:r>
    </w:p>
    <w:p w:rsidR="00FD64B7" w:rsidRDefault="00F96714" w:rsidP="001D283C">
      <w:pPr>
        <w:autoSpaceDE w:val="0"/>
        <w:autoSpaceDN w:val="0"/>
        <w:adjustRightInd w:val="0"/>
        <w:spacing w:line="240" w:lineRule="auto"/>
        <w:ind w:left="720" w:right="720"/>
        <w:jc w:val="both"/>
      </w:pPr>
      <w:r>
        <w:t xml:space="preserve">Nevertheless, to the extent that Section IV of the Stipulation approved by the commission in the ETP Order can be considered an order authorizing the early end of Mon Power’s MDP, that order was premature.  It was based upon an optimistic assumption that the requisite levels of the switching rate or effective competition would be achieved by December 31, 2003, an assumption that proved to be unwarranted, making any such order ending the MDP unenforceable </w:t>
      </w:r>
      <w:r>
        <w:rPr>
          <w:b/>
          <w:u w:val="single"/>
        </w:rPr>
        <w:t>because the order exceeded the statutory authority of the commission</w:t>
      </w:r>
      <w:r>
        <w:t>.</w:t>
      </w:r>
      <w:r>
        <w:rPr>
          <w:rStyle w:val="FootnoteReference"/>
        </w:rPr>
        <w:footnoteReference w:id="11"/>
      </w:r>
    </w:p>
    <w:p w:rsidR="00FD64B7" w:rsidRDefault="00FD64B7" w:rsidP="008C7D26">
      <w:pPr>
        <w:autoSpaceDE w:val="0"/>
        <w:autoSpaceDN w:val="0"/>
        <w:adjustRightInd w:val="0"/>
        <w:spacing w:after="0" w:line="480" w:lineRule="auto"/>
        <w:jc w:val="both"/>
      </w:pPr>
    </w:p>
    <w:p w:rsidR="00FD64B7" w:rsidRPr="0074164D" w:rsidRDefault="00954267" w:rsidP="008C7D26">
      <w:pPr>
        <w:pStyle w:val="ListParagraph"/>
        <w:spacing w:after="360" w:line="240" w:lineRule="auto"/>
        <w:ind w:hanging="720"/>
        <w:rPr>
          <w:rFonts w:ascii="Arial Bold" w:hAnsi="Arial Bold"/>
          <w:caps/>
        </w:rPr>
      </w:pPr>
      <w:r>
        <w:rPr>
          <w:rFonts w:ascii="Arial Bold" w:hAnsi="Arial Bold"/>
          <w:b/>
          <w:caps/>
        </w:rPr>
        <w:t>IV.</w:t>
      </w:r>
      <w:r>
        <w:rPr>
          <w:rFonts w:ascii="Arial Bold" w:hAnsi="Arial Bold"/>
          <w:b/>
          <w:caps/>
        </w:rPr>
        <w:tab/>
      </w:r>
      <w:r w:rsidR="00F96714" w:rsidRPr="0074164D">
        <w:rPr>
          <w:rFonts w:ascii="Arial Bold" w:hAnsi="Arial Bold"/>
          <w:b/>
          <w:caps/>
        </w:rPr>
        <w:t>IEU-Ohio’s</w:t>
      </w:r>
      <w:r w:rsidR="00F96714" w:rsidRPr="0074164D">
        <w:rPr>
          <w:rFonts w:ascii="Arial Bold" w:hAnsi="Arial Bold"/>
          <w:caps/>
        </w:rPr>
        <w:t xml:space="preserve"> </w:t>
      </w:r>
      <w:r w:rsidR="00F96714" w:rsidRPr="0074164D">
        <w:rPr>
          <w:rFonts w:ascii="Arial Bold" w:hAnsi="Arial Bold"/>
          <w:b/>
          <w:caps/>
        </w:rPr>
        <w:t>Motion to Dismiss</w:t>
      </w:r>
    </w:p>
    <w:p w:rsidR="00FD64B7" w:rsidRDefault="00F96714" w:rsidP="00590648">
      <w:pPr>
        <w:spacing w:line="480" w:lineRule="auto"/>
        <w:jc w:val="both"/>
      </w:pPr>
      <w:r>
        <w:tab/>
        <w:t>At the close of the Companies’ direct case, IEU-Ohio moved to dismiss the Application and the Stipulation.</w:t>
      </w:r>
      <w:r>
        <w:rPr>
          <w:rStyle w:val="FootnoteReference"/>
        </w:rPr>
        <w:footnoteReference w:id="12"/>
      </w:r>
      <w:r>
        <w:t xml:space="preserve">  OCC, APJN and FES joined IEU-Ohio’s motion to dismiss.</w:t>
      </w:r>
      <w:r>
        <w:rPr>
          <w:rStyle w:val="FootnoteReference"/>
        </w:rPr>
        <w:footnoteReference w:id="13"/>
      </w:r>
      <w:r>
        <w:t xml:space="preserve">  The Attorney Examiners took the motion to dismiss under advisement.</w:t>
      </w:r>
      <w:r>
        <w:rPr>
          <w:rStyle w:val="FootnoteReference"/>
        </w:rPr>
        <w:footnoteReference w:id="14"/>
      </w:r>
      <w:r>
        <w:t xml:space="preserve">  Based on the law and facts associated with these proceedings, the motion to dismiss should be granted.</w:t>
      </w:r>
      <w:r>
        <w:rPr>
          <w:rStyle w:val="FootnoteReference"/>
        </w:rPr>
        <w:footnoteReference w:id="15"/>
      </w:r>
      <w:r>
        <w:t xml:space="preserve">  </w:t>
      </w:r>
    </w:p>
    <w:p w:rsidR="0020461B" w:rsidRDefault="00F96714" w:rsidP="00590648">
      <w:pPr>
        <w:spacing w:line="480" w:lineRule="auto"/>
        <w:jc w:val="both"/>
      </w:pPr>
      <w:r>
        <w:tab/>
        <w:t>Section 4928.143, Revised Code, is the exclusive statutory means by which an EDU may establish an ESP capable of satisfying the obligations imposed on an EDU by Section 4928.141, Revised Code.  Section 4928.143(C), Revised Code, states that with regard to a proposed ESP the burden of proof shall be on the EDU.</w:t>
      </w:r>
    </w:p>
    <w:p w:rsidR="00FD64B7" w:rsidRDefault="00F96714" w:rsidP="00590648">
      <w:pPr>
        <w:spacing w:line="480" w:lineRule="auto"/>
        <w:ind w:firstLine="720"/>
        <w:jc w:val="both"/>
      </w:pPr>
      <w:r>
        <w:t xml:space="preserve">Neither the Application filed on January 27, 2011 in Case Nos. 11-346-EL-SSO, </w:t>
      </w:r>
      <w:r>
        <w:rPr>
          <w:i/>
        </w:rPr>
        <w:t>et al</w:t>
      </w:r>
      <w:r>
        <w:t>., nor the Stipulation proposes to establish an ESP for an EDU.  Both propose an ESP for an entity named AEP-Ohio.  CSP and OP are each an EDU in their own right as defined by Ohio law.</w:t>
      </w:r>
      <w:r>
        <w:rPr>
          <w:rStyle w:val="FootnoteReference"/>
        </w:rPr>
        <w:footnoteReference w:id="16"/>
      </w:r>
      <w:r>
        <w:t xml:space="preserve">  AEP-Ohio is not a legal entity and is not an EDU.</w:t>
      </w:r>
      <w:r>
        <w:rPr>
          <w:rStyle w:val="FootnoteReference"/>
        </w:rPr>
        <w:footnoteReference w:id="17"/>
      </w:r>
      <w:r>
        <w:t xml:space="preserve">  </w:t>
      </w:r>
    </w:p>
    <w:p w:rsidR="00FD64B7" w:rsidRDefault="00F96714" w:rsidP="00590648">
      <w:pPr>
        <w:spacing w:line="480" w:lineRule="auto"/>
        <w:ind w:firstLine="720"/>
        <w:jc w:val="both"/>
      </w:pPr>
      <w:r>
        <w:t>Section 4928.141, Revised Code, requires that an EDU apply to the Commission to establish a standard service offer (“SSO”).  If the EDU elects to file an application for an ESP, the application is governed by Section 4928.143, Revised Code.  Division (A) of that Section provides in relevant part:</w:t>
      </w:r>
    </w:p>
    <w:p w:rsidR="00FD64B7" w:rsidRDefault="00F96714">
      <w:pPr>
        <w:ind w:left="720" w:right="720"/>
        <w:jc w:val="both"/>
      </w:pPr>
      <w:r>
        <w:t xml:space="preserve">[A]n </w:t>
      </w:r>
      <w:r>
        <w:rPr>
          <w:b/>
          <w:u w:val="single"/>
        </w:rPr>
        <w:t>electric distribution utility</w:t>
      </w:r>
      <w:r>
        <w:t xml:space="preserve"> may file an application for public utilities commission approval of an electric security plan as prescribed under division (B) of this section.  The utility may file that application prior to the effective date of any rules the commission may adopt for the purpose of this section, and, as the commission determines necessary</w:t>
      </w:r>
      <w:r>
        <w:rPr>
          <w:b/>
        </w:rPr>
        <w:t xml:space="preserve">, </w:t>
      </w:r>
      <w:r>
        <w:rPr>
          <w:b/>
          <w:u w:val="single"/>
        </w:rPr>
        <w:t>the utility immediately shall conform its filing to those rules upon their taking effect</w:t>
      </w:r>
      <w:r>
        <w:t>.</w:t>
      </w:r>
      <w:r>
        <w:rPr>
          <w:rStyle w:val="FootnoteReference"/>
        </w:rPr>
        <w:footnoteReference w:id="18"/>
      </w:r>
    </w:p>
    <w:p w:rsidR="00FD64B7" w:rsidRDefault="00F96714" w:rsidP="00590648">
      <w:pPr>
        <w:autoSpaceDE w:val="0"/>
        <w:autoSpaceDN w:val="0"/>
        <w:adjustRightInd w:val="0"/>
        <w:spacing w:line="480" w:lineRule="auto"/>
        <w:jc w:val="both"/>
      </w:pPr>
      <w:r>
        <w:t xml:space="preserve">This division creates several mandatory requirements. </w:t>
      </w:r>
    </w:p>
    <w:p w:rsidR="00FD64B7" w:rsidRDefault="00F96714" w:rsidP="00590648">
      <w:pPr>
        <w:autoSpaceDE w:val="0"/>
        <w:autoSpaceDN w:val="0"/>
        <w:adjustRightInd w:val="0"/>
        <w:spacing w:line="480" w:lineRule="auto"/>
        <w:ind w:firstLine="720"/>
        <w:jc w:val="both"/>
      </w:pPr>
      <w:r>
        <w:t>First, only an EDU can file an application for an ESP.  “EDU” is a defined term.  Section 4928.01</w:t>
      </w:r>
      <w:r w:rsidR="002E0BD5">
        <w:t>(A)(6)</w:t>
      </w:r>
      <w:r>
        <w:t>, Revised Code, defines “Electric distribution utility” as “an electric utility that supplies at least retail electric distribution service.”  It further defines “Electric utility” as “an electric light company that has a certified territory and is engaged on a for-profit basis either in the business of supplying a noncompetitive retail electric service in this state or in the businesses of supplying both a noncompetitive and a competitive retail electric service in this state.”</w:t>
      </w:r>
      <w:r>
        <w:rPr>
          <w:rStyle w:val="FootnoteReference"/>
        </w:rPr>
        <w:footnoteReference w:id="19"/>
      </w:r>
      <w:r>
        <w:t xml:space="preserve">  No entity other than an EDU is authorized to seek an ESP.  OP and CSP are each an EDU.</w:t>
      </w:r>
      <w:r>
        <w:rPr>
          <w:rStyle w:val="FootnoteReference"/>
        </w:rPr>
        <w:footnoteReference w:id="20"/>
      </w:r>
      <w:r>
        <w:t xml:space="preserve">  Sections 4928.141 and 4928.143, Revised Code, confine the opportunity to seek and obtain an ESP to an EDU.</w:t>
      </w:r>
    </w:p>
    <w:p w:rsidR="00FD64B7" w:rsidRDefault="00F96714" w:rsidP="00590648">
      <w:pPr>
        <w:autoSpaceDE w:val="0"/>
        <w:autoSpaceDN w:val="0"/>
        <w:adjustRightInd w:val="0"/>
        <w:spacing w:line="480" w:lineRule="auto"/>
        <w:ind w:firstLine="720"/>
        <w:jc w:val="both"/>
      </w:pPr>
      <w:r>
        <w:t>Second, the plan must relate to the terms of service of the EDU.  Section</w:t>
      </w:r>
      <w:r w:rsidR="002E0BD5">
        <w:t>s</w:t>
      </w:r>
      <w:r>
        <w:t xml:space="preserve"> 4928.143(B)(2)(b) and (c), Revised Code, are limited to providing cost recovery for construction work in progress and generation facilities dedicated to Ohio customers by the EDU.  Divisions (B)(2)(f), (g), (h), and (i) similarly are constrained by reference to the EDU.  Although Division</w:t>
      </w:r>
      <w:r w:rsidR="002E0BD5">
        <w:t>s</w:t>
      </w:r>
      <w:r>
        <w:t xml:space="preserve"> (B)(2)(d) and (e) do not specifically mention a limitation to an EDU, they are limited to terms affecting the EDU’s “retail electric service”</w:t>
      </w:r>
      <w:r>
        <w:rPr>
          <w:rStyle w:val="FootnoteReference"/>
        </w:rPr>
        <w:footnoteReference w:id="21"/>
      </w:r>
      <w:r>
        <w:t xml:space="preserve"> and “standard service offer price,” respectively.</w:t>
      </w:r>
      <w:r>
        <w:rPr>
          <w:rStyle w:val="FootnoteReference"/>
        </w:rPr>
        <w:footnoteReference w:id="22"/>
      </w:r>
    </w:p>
    <w:p w:rsidR="0020461B" w:rsidRDefault="00F96714" w:rsidP="00590648">
      <w:pPr>
        <w:pStyle w:val="FootnoteText"/>
        <w:spacing w:after="200" w:line="480" w:lineRule="auto"/>
        <w:ind w:firstLine="720"/>
        <w:jc w:val="both"/>
        <w:rPr>
          <w:sz w:val="24"/>
          <w:szCs w:val="24"/>
        </w:rPr>
      </w:pPr>
      <w:r>
        <w:rPr>
          <w:sz w:val="24"/>
          <w:szCs w:val="24"/>
        </w:rPr>
        <w:t>Third, Section 4928.143(B)(2)(a)-(i), Revised Code, requires that the ESP relate specifically to services and charges of an EDU, and just as importantly, those subdivisions detail the exclusive list of what may be included in an ESP.  As the Supreme Court has explained, “[b]y its terms, R.C. 4928.143(B)(2) allows plans to include only ‘any of the following’ provisions.  It does not allow plans to include ‘any’ provision.  So if a given provision does not fit within one of the categories listed ‘following’ (B)(2), it is not authorized by statute.”</w:t>
      </w:r>
      <w:r>
        <w:rPr>
          <w:rStyle w:val="FootnoteReference"/>
          <w:sz w:val="24"/>
          <w:szCs w:val="24"/>
        </w:rPr>
        <w:footnoteReference w:id="23"/>
      </w:r>
      <w:r>
        <w:rPr>
          <w:sz w:val="24"/>
          <w:szCs w:val="24"/>
        </w:rPr>
        <w:t xml:space="preserve">  </w:t>
      </w:r>
    </w:p>
    <w:p w:rsidR="00FD64B7" w:rsidRDefault="00F96714" w:rsidP="00590648">
      <w:pPr>
        <w:autoSpaceDE w:val="0"/>
        <w:autoSpaceDN w:val="0"/>
        <w:adjustRightInd w:val="0"/>
        <w:spacing w:line="480" w:lineRule="auto"/>
        <w:ind w:firstLine="720"/>
        <w:jc w:val="both"/>
      </w:pPr>
      <w:r>
        <w:t xml:space="preserve">Fourth, </w:t>
      </w:r>
      <w:r w:rsidR="00D50E8D">
        <w:t xml:space="preserve">an EDU’s request for an ESP </w:t>
      </w:r>
      <w:r>
        <w:t>must conform to the Commission’s filing requirements. The filing requirements are set out in Rule 4901:1-35-03, Ohio Administrative Code (“OAC”)</w:t>
      </w:r>
      <w:r w:rsidR="002E0BD5">
        <w:t>,</w:t>
      </w:r>
      <w:r>
        <w:t xml:space="preserve"> and serve as the basis for the Commission to review</w:t>
      </w:r>
      <w:r>
        <w:rPr>
          <w:rStyle w:val="FootnoteReference"/>
        </w:rPr>
        <w:footnoteReference w:id="24"/>
      </w:r>
      <w:r>
        <w:t xml:space="preserve"> and the customers to understand the scope of the Companies’ application.  Of particular importance to this motion to dismiss is subdivision (C)(2) which requires “[p]ro forma financial projections of the effect of the ESP’s implementation upon the electric utility” and subdivision (C)(3) which requires “[p]rojected rate impacts by customer class/rate schedules for the duration of the ESP.”</w:t>
      </w:r>
      <w:r>
        <w:rPr>
          <w:rStyle w:val="FootnoteReference"/>
        </w:rPr>
        <w:footnoteReference w:id="25"/>
      </w:r>
      <w:r>
        <w:t xml:space="preserve">  The Commission rules thus make it clear that “placeholders” are not appropriate in an ESP filing.</w:t>
      </w:r>
    </w:p>
    <w:p w:rsidR="00FD64B7" w:rsidRDefault="00F96714" w:rsidP="00590648">
      <w:pPr>
        <w:autoSpaceDE w:val="0"/>
        <w:autoSpaceDN w:val="0"/>
        <w:adjustRightInd w:val="0"/>
        <w:spacing w:line="480" w:lineRule="auto"/>
        <w:ind w:firstLine="720"/>
        <w:jc w:val="both"/>
      </w:pPr>
      <w:r>
        <w:t>The Stipulation</w:t>
      </w:r>
      <w:r>
        <w:rPr>
          <w:rStyle w:val="FootnoteReference"/>
        </w:rPr>
        <w:footnoteReference w:id="26"/>
      </w:r>
      <w:r>
        <w:t xml:space="preserve"> envision</w:t>
      </w:r>
      <w:r w:rsidR="00D50E8D">
        <w:t>s</w:t>
      </w:r>
      <w:r>
        <w:t xml:space="preserve"> the use of “securitization” for purposes of addressing a phase-in deferral.  Rule 4901:1-35-03(C)(9)(e), OAC, states (emphasis added):</w:t>
      </w:r>
    </w:p>
    <w:p w:rsidR="00FD64B7" w:rsidRDefault="00F96714" w:rsidP="00D50E8D">
      <w:pPr>
        <w:autoSpaceDE w:val="0"/>
        <w:autoSpaceDN w:val="0"/>
        <w:adjustRightInd w:val="0"/>
        <w:spacing w:after="0" w:line="240" w:lineRule="auto"/>
        <w:ind w:left="720" w:right="720"/>
        <w:jc w:val="both"/>
      </w:pPr>
      <w:r>
        <w:t xml:space="preserve">Division (B)(2)(f) of section 4928.143 of the Revised Code authorizes an electric utility to include provisions for the securitization of authorized phase-in recovery of the standard service offer price.  If a phase-in deferred asset is proposed to be securitized, the electric utility </w:t>
      </w:r>
      <w:r>
        <w:rPr>
          <w:b/>
          <w:u w:val="single"/>
        </w:rPr>
        <w:t>shall</w:t>
      </w:r>
      <w:r>
        <w:t xml:space="preserve"> provide, at the time of an application for securitization, a description of the securitization instrument and an accounting of that securitization, including the deferred cash flow due to the phase-in, carrying charges, and the incremental cost of the securitization.  The electric utility will also describe any efforts to minimize the incremental cost of the securitization.  The electric utility </w:t>
      </w:r>
      <w:r>
        <w:rPr>
          <w:b/>
          <w:u w:val="single"/>
        </w:rPr>
        <w:t>shall</w:t>
      </w:r>
      <w:r>
        <w:t xml:space="preserve"> provide all documentation associated with securitization, including but not limited to, a summary sheet of terms and conditions.  The electric utility shall also provide a comparison of costs associated with securitization with the costs associated with other forms of financing to demonstrate that securitization is the least cost strategy.</w:t>
      </w:r>
    </w:p>
    <w:p w:rsidR="00D50E8D" w:rsidRDefault="00D50E8D" w:rsidP="00D50E8D">
      <w:pPr>
        <w:autoSpaceDE w:val="0"/>
        <w:autoSpaceDN w:val="0"/>
        <w:adjustRightInd w:val="0"/>
        <w:spacing w:after="0" w:line="240" w:lineRule="auto"/>
        <w:ind w:left="720" w:right="720"/>
        <w:jc w:val="both"/>
      </w:pPr>
    </w:p>
    <w:p w:rsidR="00FD64B7" w:rsidRDefault="00F96714" w:rsidP="00590648">
      <w:pPr>
        <w:autoSpaceDE w:val="0"/>
        <w:autoSpaceDN w:val="0"/>
        <w:adjustRightInd w:val="0"/>
        <w:spacing w:line="480" w:lineRule="auto"/>
        <w:jc w:val="both"/>
      </w:pPr>
      <w:r>
        <w:t>None of the information required by Rule 4901:1-35-03(C)(9)(e), OAC, was filed with the Commission or made a part of the evidentiary record.</w:t>
      </w:r>
    </w:p>
    <w:p w:rsidR="00FD64B7" w:rsidRDefault="00F96714" w:rsidP="00590648">
      <w:pPr>
        <w:autoSpaceDE w:val="0"/>
        <w:autoSpaceDN w:val="0"/>
        <w:adjustRightInd w:val="0"/>
        <w:spacing w:line="480" w:lineRule="auto"/>
        <w:jc w:val="both"/>
      </w:pPr>
      <w:r>
        <w:tab/>
        <w:t>The Stipulation (Section IV.2.b) contains provisions that have the effect of preventing, limiting</w:t>
      </w:r>
      <w:r w:rsidR="002E0BD5">
        <w:t>,</w:t>
      </w:r>
      <w:r>
        <w:t xml:space="preserve"> or inhibiting customer shopping for retail electric generation service.  Rule 4901:1-35-03(C)(9)(c)(i), OAC, states (emphasis added):</w:t>
      </w:r>
    </w:p>
    <w:p w:rsidR="00FD64B7" w:rsidRDefault="00F96714">
      <w:pPr>
        <w:spacing w:before="100" w:beforeAutospacing="1" w:after="100" w:afterAutospacing="1" w:line="240" w:lineRule="auto"/>
        <w:ind w:left="720" w:right="720"/>
        <w:jc w:val="both"/>
        <w:rPr>
          <w:rFonts w:eastAsia="Times New Roman"/>
        </w:rPr>
      </w:pPr>
      <w:r>
        <w:rPr>
          <w:rFonts w:eastAsia="Times New Roman"/>
        </w:rPr>
        <w:t xml:space="preserve">Division (B)(2)(d) of section 4928.143 of the Revised Code authorizes an electric utility to include terms, conditions, or charges related to retail shopping by customers.  Any application which includes such terms, conditions or charges, </w:t>
      </w:r>
      <w:r>
        <w:rPr>
          <w:rFonts w:eastAsia="Times New Roman"/>
          <w:b/>
          <w:u w:val="single"/>
        </w:rPr>
        <w:t>shall</w:t>
      </w:r>
      <w:r>
        <w:rPr>
          <w:rFonts w:eastAsia="Times New Roman"/>
        </w:rPr>
        <w:t xml:space="preserve"> include, </w:t>
      </w:r>
      <w:r>
        <w:rPr>
          <w:rFonts w:eastAsia="Times New Roman"/>
          <w:b/>
          <w:u w:val="single"/>
        </w:rPr>
        <w:t>at a minimum</w:t>
      </w:r>
      <w:r>
        <w:rPr>
          <w:rFonts w:eastAsia="Times New Roman"/>
        </w:rPr>
        <w:t>, the following information:</w:t>
      </w:r>
    </w:p>
    <w:p w:rsidR="00FD64B7" w:rsidRDefault="00F96714">
      <w:pPr>
        <w:spacing w:before="100" w:beforeAutospacing="1" w:after="100" w:afterAutospacing="1" w:line="240" w:lineRule="auto"/>
        <w:ind w:left="720" w:right="720"/>
        <w:jc w:val="both"/>
        <w:rPr>
          <w:rFonts w:eastAsia="Times New Roman"/>
        </w:rPr>
      </w:pPr>
      <w:r>
        <w:rPr>
          <w:rFonts w:eastAsia="Times New Roman"/>
        </w:rPr>
        <w:t>(i) A listing of all components of the ESP which would have the effect of preventing, limiting, inhibiting, or promoting customer shopping for retail electric generation service.  Such components would include, but are not limited to, terms and conditions relating to shopping or to returning to the standard service offer and any unavoidable charges.  For each such component, an explanation of the component and a descriptive rationale and, to the extent possible, a quantitative justification shall be provided.</w:t>
      </w:r>
    </w:p>
    <w:p w:rsidR="0020461B" w:rsidRDefault="0020461B" w:rsidP="0020461B">
      <w:pPr>
        <w:spacing w:after="0" w:line="240" w:lineRule="auto"/>
        <w:ind w:left="720" w:right="720"/>
        <w:jc w:val="both"/>
        <w:rPr>
          <w:rFonts w:eastAsia="Times New Roman"/>
        </w:rPr>
      </w:pPr>
    </w:p>
    <w:p w:rsidR="00FD64B7" w:rsidRDefault="00F96714" w:rsidP="00590648">
      <w:pPr>
        <w:autoSpaceDE w:val="0"/>
        <w:autoSpaceDN w:val="0"/>
        <w:adjustRightInd w:val="0"/>
        <w:spacing w:line="480" w:lineRule="auto"/>
        <w:ind w:firstLine="720"/>
        <w:jc w:val="both"/>
      </w:pPr>
      <w:r>
        <w:t>The Companies have publicly admitted that the provisions in the Stipulation that impose a $255 per megawatt-day capacity charge on CRES suppliers are designed to limit shopping for retail electric generation service.</w:t>
      </w:r>
      <w:r>
        <w:rPr>
          <w:rStyle w:val="FootnoteReference"/>
        </w:rPr>
        <w:footnoteReference w:id="27"/>
      </w:r>
      <w:r>
        <w:t xml:space="preserve">  Other witnesses testifying in support of the Stipulation confirmed that the Stipulation is designed to limit and will inhibit customer shopping for retail electric generation service.</w:t>
      </w:r>
      <w:r>
        <w:rPr>
          <w:rStyle w:val="FootnoteReference"/>
        </w:rPr>
        <w:footnoteReference w:id="28"/>
      </w:r>
      <w:r>
        <w:t xml:space="preserve">  The testimony of parties not supporting the Stipulation also confirms that the Stipulation is designed to limit customer shopping for retail electric generation service.</w:t>
      </w:r>
      <w:r>
        <w:rPr>
          <w:rStyle w:val="FootnoteReference"/>
        </w:rPr>
        <w:footnoteReference w:id="29"/>
      </w:r>
      <w:r>
        <w:t xml:space="preserve">  The information required by Rule 4901:1-35-03(C)(9)(c)(i), OAC, </w:t>
      </w:r>
      <w:r w:rsidR="008F0E7A">
        <w:t xml:space="preserve">however, </w:t>
      </w:r>
      <w:r>
        <w:t>was not submitted.</w:t>
      </w:r>
    </w:p>
    <w:p w:rsidR="00FD64B7" w:rsidRDefault="00F96714" w:rsidP="00590648">
      <w:pPr>
        <w:autoSpaceDE w:val="0"/>
        <w:autoSpaceDN w:val="0"/>
        <w:adjustRightInd w:val="0"/>
        <w:spacing w:line="480" w:lineRule="auto"/>
        <w:jc w:val="both"/>
      </w:pPr>
      <w:r>
        <w:tab/>
        <w:t>Rules 4901:1-35-03(C)(6) and (7), OAC, state that an SSO application containing an ESP must include: “[a] description of how the electric utility proposes to address governmental aggregation programs and implementation of divisions (I),</w:t>
      </w:r>
      <w:r>
        <w:rPr>
          <w:rStyle w:val="FootnoteReference"/>
        </w:rPr>
        <w:footnoteReference w:id="30"/>
      </w:r>
      <w:r>
        <w:t xml:space="preserve"> (J),</w:t>
      </w:r>
      <w:r>
        <w:rPr>
          <w:rStyle w:val="FootnoteReference"/>
        </w:rPr>
        <w:footnoteReference w:id="31"/>
      </w:r>
      <w:r>
        <w:t xml:space="preserve"> and (K)</w:t>
      </w:r>
      <w:r>
        <w:rPr>
          <w:rStyle w:val="FootnoteReference"/>
        </w:rPr>
        <w:footnoteReference w:id="32"/>
      </w:r>
      <w:r>
        <w:t xml:space="preserve"> of section 4928.20 of the Revised Code”; and, “[a] description of the effect on large-scale governmental aggregation of any unavoidable generation charge proposed to be established in the ESP”.  Section 4928.20(K), Revised Code, requires the Commission to adopt rules to encourage and promote large-scale governmental aggregation and, in the context of a proposed ESP, the Commission must consider the effect of any provisions that would, if approved, impose non-bypassable generation charges, “</w:t>
      </w:r>
      <w:r>
        <w:rPr>
          <w:b/>
          <w:u w:val="single"/>
        </w:rPr>
        <w:t>however collected</w:t>
      </w:r>
      <w:r>
        <w:t>” on such large-scale aggregation programs.  Common sense and the evidence supplied by parties opposing the Stipulation demonstrate that the Stipulation works against large-scale aggregation programs.</w:t>
      </w:r>
      <w:r>
        <w:rPr>
          <w:rStyle w:val="FootnoteReference"/>
        </w:rPr>
        <w:footnoteReference w:id="33"/>
      </w:r>
      <w:r>
        <w:t xml:space="preserve">  The information required by Rules 4901:1-35-03(C)(6) and (7), OAC, was not submitted.</w:t>
      </w:r>
    </w:p>
    <w:p w:rsidR="00FD64B7" w:rsidRDefault="00F96714" w:rsidP="00590648">
      <w:pPr>
        <w:autoSpaceDE w:val="0"/>
        <w:autoSpaceDN w:val="0"/>
        <w:adjustRightInd w:val="0"/>
        <w:spacing w:line="480" w:lineRule="auto"/>
        <w:jc w:val="both"/>
      </w:pPr>
      <w:r>
        <w:tab/>
        <w:t>Section 4928.40(D), Revised Code, states that “</w:t>
      </w:r>
      <w:r>
        <w:rPr>
          <w:color w:val="000000" w:themeColor="text1"/>
        </w:rPr>
        <w:t xml:space="preserve">no electric utility in this state shall prohibit the resale of electric generation service or impose unreasonable or discriminatory conditions or limitations on the resale of electric generation service.”  The </w:t>
      </w:r>
      <w:r>
        <w:t>Companies’ witness Nelson explained the Companies’ view that resale of electricity involves a wholesale transaction and the Stipulation’s proposed $255 per megawatt-day capacity charge is a wholesale charge involving a sale for resale.</w:t>
      </w:r>
      <w:r>
        <w:rPr>
          <w:rStyle w:val="FootnoteReference"/>
        </w:rPr>
        <w:footnoteReference w:id="34"/>
      </w:r>
      <w:r>
        <w:t xml:space="preserve">  The Stipulation recommends a discriminatory</w:t>
      </w:r>
      <w:r>
        <w:rPr>
          <w:rStyle w:val="FootnoteReference"/>
        </w:rPr>
        <w:footnoteReference w:id="35"/>
      </w:r>
      <w:r>
        <w:t xml:space="preserve"> capacity charge structure with CRES suppliers providing megawatt hours above the “caps” subjected to the $255 per megawatt-day amount and the megawatt hours supplied below the “caps” paying the Commission-approved and current market-based capacity charge arising from PJM</w:t>
      </w:r>
      <w:r w:rsidR="009021A3">
        <w:t>’s</w:t>
      </w:r>
      <w:r>
        <w:t xml:space="preserve"> wholesale auction process.</w:t>
      </w:r>
      <w:r w:rsidR="00977A06">
        <w:rPr>
          <w:rStyle w:val="FootnoteReference"/>
        </w:rPr>
        <w:footnoteReference w:id="36"/>
      </w:r>
      <w:r>
        <w:t xml:space="preserve">  When questioned about the justification for the $255 per megawatt-day capacity charge, the parties supporting the Stipulation uniformly stated that the $255 per megawatt-day capacity charge was “negotiated” and provided no other basis to support its reasonableness or lawfulness.</w:t>
      </w:r>
      <w:r>
        <w:rPr>
          <w:rStyle w:val="FootnoteReference"/>
        </w:rPr>
        <w:footnoteReference w:id="37"/>
      </w:r>
      <w:r>
        <w:t xml:space="preserve"> </w:t>
      </w:r>
    </w:p>
    <w:p w:rsidR="00FD64B7" w:rsidRDefault="00F96714" w:rsidP="00590648">
      <w:pPr>
        <w:autoSpaceDE w:val="0"/>
        <w:autoSpaceDN w:val="0"/>
        <w:adjustRightInd w:val="0"/>
        <w:spacing w:line="480" w:lineRule="auto"/>
        <w:ind w:firstLine="720"/>
        <w:jc w:val="both"/>
      </w:pPr>
      <w:r>
        <w:t xml:space="preserve">As explained above, the bifurcated capacity charge structure in the Stipulation is designed to limit economically the opportunity for customers to act on their retail electric service preferences.  On its face and with </w:t>
      </w:r>
      <w:r w:rsidR="00977A06">
        <w:t xml:space="preserve">the understanding that the Companies’ objective is to </w:t>
      </w:r>
      <w:r>
        <w:t>limit</w:t>
      </w:r>
      <w:r w:rsidR="00977A06">
        <w:t xml:space="preserve"> </w:t>
      </w:r>
      <w:r>
        <w:t>shopping</w:t>
      </w:r>
      <w:r w:rsidR="00977A06">
        <w:t>,</w:t>
      </w:r>
      <w:r>
        <w:t xml:space="preserve"> the bifurcated capacity charge structure offends the pro “customer choice” and supplier diversity policy goals set forth in Section 4928.02, Revised Code.  Thus, the bifurcated capacity charge structure is discriminatory and unreasonable, a condition that is prohibited by Section 4928.40(D), Revised Code.</w:t>
      </w:r>
    </w:p>
    <w:p w:rsidR="00FD64B7" w:rsidRDefault="00F96714" w:rsidP="00590648">
      <w:pPr>
        <w:autoSpaceDE w:val="0"/>
        <w:autoSpaceDN w:val="0"/>
        <w:adjustRightInd w:val="0"/>
        <w:spacing w:line="480" w:lineRule="auto"/>
        <w:ind w:firstLine="720"/>
        <w:jc w:val="both"/>
      </w:pPr>
      <w:r>
        <w:t xml:space="preserve">As also explained above, the design of the bifurcated capacity charge structure discriminates between shopping customers based on conditions that existed in the past and does so prior to the recommended effective date of the Stipulation’s provisions containing the bifurcated capacity charge structure.  Similarly, the design of the bifurcated capacity charge structure discriminates between CRES suppliers based on conditions that existed in the past and does so prior to the recommended effective date of the Stipulation’s provisions containing the bifurcated capacity charge structure.  </w:t>
      </w:r>
      <w:r w:rsidR="00A94144">
        <w:t>The Stipulation retroactively and unlawfully imposes disabilities on customers’ right to shop and the right of CRES suppliers to have comparable and non-discriminatory access to the retail market in the Companies’ services areas.</w:t>
      </w:r>
    </w:p>
    <w:p w:rsidR="00FD64B7" w:rsidRDefault="00F96714" w:rsidP="00590648">
      <w:pPr>
        <w:autoSpaceDE w:val="0"/>
        <w:autoSpaceDN w:val="0"/>
        <w:adjustRightInd w:val="0"/>
        <w:spacing w:line="480" w:lineRule="auto"/>
        <w:ind w:firstLine="720"/>
        <w:jc w:val="both"/>
      </w:pPr>
      <w:r>
        <w:t>Despite the prohibitions contained in Section 4928.40(D), Revised Code, and the burden of proof obligation contained in Section 4928.143(C), Revised Code, neither the Companies nor any party supporting the Stipulation offered any evidence to demonstrate that the bifurcated capacity charge structure recommended by the Stipulation can be lawfully approved by the Commission.</w:t>
      </w:r>
    </w:p>
    <w:p w:rsidR="00FD64B7" w:rsidRDefault="00F96714" w:rsidP="00590648">
      <w:pPr>
        <w:autoSpaceDE w:val="0"/>
        <w:autoSpaceDN w:val="0"/>
        <w:adjustRightInd w:val="0"/>
        <w:spacing w:line="480" w:lineRule="auto"/>
        <w:ind w:firstLine="720"/>
        <w:jc w:val="both"/>
      </w:pPr>
      <w:r>
        <w:t>The Stipulation (Section IV.1.n) calls for the establishment of a distribution investment rider (“DIR”) effective January 1, 2012 based on post-2000 investment and including components for certain taxes, depreciation, and an unsupported and high rate of return on plant.  Rule 4901:1-35-03(C)(9)(g), OAC, states (emphasis added):</w:t>
      </w:r>
    </w:p>
    <w:p w:rsidR="00FD64B7" w:rsidRDefault="00F96714">
      <w:pPr>
        <w:spacing w:before="100" w:beforeAutospacing="1" w:after="100" w:afterAutospacing="1" w:line="240" w:lineRule="auto"/>
        <w:ind w:left="720" w:right="720"/>
        <w:jc w:val="both"/>
        <w:rPr>
          <w:rFonts w:eastAsia="Times New Roman"/>
        </w:rPr>
      </w:pPr>
      <w:r>
        <w:rPr>
          <w:rFonts w:eastAsia="Times New Roman"/>
        </w:rPr>
        <w:t xml:space="preserve">Division (B)(2)(h) of section 4928.143 of the Revised Code authorizes an electric utility to include provisions for alternative regulation mechanisms or programs, including infrastructure and modernization incentives, relating to distribution service as part of an ESP.  While a number of mechanisms may be combined within a plan, for each specific mechanism or program, the electric utility </w:t>
      </w:r>
      <w:r>
        <w:rPr>
          <w:rFonts w:eastAsia="Times New Roman"/>
          <w:b/>
          <w:u w:val="single"/>
        </w:rPr>
        <w:t>shall</w:t>
      </w:r>
      <w:r>
        <w:rPr>
          <w:rFonts w:eastAsia="Times New Roman"/>
        </w:rPr>
        <w:t xml:space="preserve"> provide a detailed description, with supporting data and information, to allow appropriate evaluation of each proposal, including how the proposal addresses any cost savings to the electric utility, avoids duplicative cost recovery, and aligns electric utility and consumer interests.  In general, and to the extent applicable, the electric utility </w:t>
      </w:r>
      <w:r>
        <w:rPr>
          <w:rFonts w:eastAsia="Times New Roman"/>
          <w:b/>
          <w:u w:val="single"/>
        </w:rPr>
        <w:t>shall</w:t>
      </w:r>
      <w:r>
        <w:rPr>
          <w:rFonts w:eastAsia="Times New Roman"/>
        </w:rPr>
        <w:t xml:space="preserve"> also include, for each separate mechanism or program, quantification of the estimated impact on rates over the term of any proposed modernization plan.  Any application for an infrastructure modernization plan </w:t>
      </w:r>
      <w:r>
        <w:rPr>
          <w:rFonts w:eastAsia="Times New Roman"/>
          <w:b/>
          <w:u w:val="single"/>
        </w:rPr>
        <w:t>shall</w:t>
      </w:r>
      <w:r>
        <w:rPr>
          <w:rFonts w:eastAsia="Times New Roman"/>
        </w:rPr>
        <w:t xml:space="preserve"> include the following specific requirements:</w:t>
      </w:r>
    </w:p>
    <w:p w:rsidR="00FD64B7" w:rsidRDefault="00F96714">
      <w:pPr>
        <w:spacing w:before="100" w:beforeAutospacing="1" w:after="100" w:afterAutospacing="1" w:line="240" w:lineRule="auto"/>
        <w:ind w:left="720" w:right="720"/>
        <w:jc w:val="both"/>
        <w:rPr>
          <w:rFonts w:eastAsia="Times New Roman"/>
        </w:rPr>
      </w:pPr>
      <w:r>
        <w:rPr>
          <w:rFonts w:eastAsia="Times New Roman"/>
        </w:rPr>
        <w:t>(i) A description of the infrastructure modernization plan, including but not limited to, the electric utility’s existing infrastructure, its existing asset management system and related capabilities, the type of technology and reason chosen, the portion of service territory affected, the percentage of customers directly impacted (non-rate impact), and the implementation schedule by geographic location and/or type of activity.  A description of any communication infrastructure included in the infrastructure modernization plan and any metering, distribution automation, or other applications that may be supported by this communication infrastructure also shall be included.</w:t>
      </w:r>
    </w:p>
    <w:p w:rsidR="00FD64B7" w:rsidRDefault="00F96714">
      <w:pPr>
        <w:spacing w:before="100" w:beforeAutospacing="1" w:after="100" w:afterAutospacing="1" w:line="240" w:lineRule="auto"/>
        <w:ind w:left="720" w:right="720"/>
        <w:jc w:val="both"/>
        <w:rPr>
          <w:rFonts w:eastAsia="Times New Roman"/>
        </w:rPr>
      </w:pPr>
      <w:r>
        <w:rPr>
          <w:rFonts w:eastAsia="Times New Roman"/>
        </w:rPr>
        <w:t>(ii) A description of the benefits of the infrastructure modernization plan (in total and by activity or type), including but not limited to the following as they may apply to the plan: the impacts on current reliability, the number of circuits impacted, the number of customers impacted, the timing of impacts, whether the impact is on the frequency or duration of outages, whether the infrastructure modernization plan addresses primary outage causes, what problems are addressed by the infrastructure modernization plan, the resulting dollar savings and additional costs, the activities affected and related accounts, the timing of savings, other customer benefits, and societal benefits.  Through metrics and milestones, the infrastructure modernization plan shall include a description of how the performance and outcomes of the plan will be measured.</w:t>
      </w:r>
    </w:p>
    <w:p w:rsidR="00FD64B7" w:rsidRDefault="00F96714">
      <w:pPr>
        <w:spacing w:before="100" w:beforeAutospacing="1" w:after="100" w:afterAutospacing="1" w:line="240" w:lineRule="auto"/>
        <w:ind w:left="720" w:right="720"/>
        <w:jc w:val="both"/>
        <w:rPr>
          <w:rFonts w:eastAsia="Times New Roman"/>
        </w:rPr>
      </w:pPr>
      <w:r>
        <w:rPr>
          <w:rFonts w:eastAsia="Times New Roman"/>
        </w:rPr>
        <w:t>(iii) A detailed description of the costs of the infrastructure modernization plan, including a breakdown of capital costs and operating and maintenance expenses net of any related savings, the revenue requirement, including recovery of stranded investment related to replacement of un-depreciated plant with new technology, the impact on customer bills, service disruptions associated with plan implementation, and description of (and dollar value of) equipment being made obsolescent by the plan and reason for early plant retirement. The infrastructure modernization plan shall also include a description of efforts made to mitigate such stranded investment.</w:t>
      </w:r>
    </w:p>
    <w:p w:rsidR="00FD64B7" w:rsidRDefault="00F96714" w:rsidP="00590648">
      <w:pPr>
        <w:autoSpaceDE w:val="0"/>
        <w:autoSpaceDN w:val="0"/>
        <w:adjustRightInd w:val="0"/>
        <w:spacing w:line="480" w:lineRule="auto"/>
        <w:jc w:val="both"/>
      </w:pPr>
      <w:r>
        <w:t>The information required by Rule 4901:1-35-03(C)(9)(g), OAC, was not provided.</w:t>
      </w:r>
    </w:p>
    <w:p w:rsidR="00FD64B7" w:rsidRDefault="00F96714" w:rsidP="00590648">
      <w:pPr>
        <w:autoSpaceDE w:val="0"/>
        <w:autoSpaceDN w:val="0"/>
        <w:adjustRightInd w:val="0"/>
        <w:spacing w:line="480" w:lineRule="auto"/>
        <w:ind w:firstLine="720"/>
        <w:jc w:val="both"/>
      </w:pPr>
      <w:r>
        <w:t>Section 4928.143(C)(1), Revised Code</w:t>
      </w:r>
      <w:r w:rsidR="00211BF2">
        <w:t>,</w:t>
      </w:r>
      <w:r>
        <w:t xml:space="preserve"> imposes on the Companies the burden of proof.  As part of that burden, an EDU must demonstrate that the proposed ESP “including its pricing and all other terms and conditions, including any deferrals and any future recovery of deferrals, is more favorable in the aggregate as compared to the expected results that would otherwise apply under section 4928.142 of the Revised Code</w:t>
      </w:r>
      <w:r w:rsidR="00211BF2">
        <w:t>.</w:t>
      </w:r>
      <w:r>
        <w:t>”  Neither the Companies nor any party supporting the Stipulation provided evidence showing that the ESP proposed in the Stipulation is more favorable in the aggregate than the expected results that would otherwise apply under Section 4928.142, Revised Code.</w:t>
      </w:r>
    </w:p>
    <w:p w:rsidR="00FD64B7" w:rsidRDefault="00F96714" w:rsidP="00590648">
      <w:pPr>
        <w:autoSpaceDE w:val="0"/>
        <w:autoSpaceDN w:val="0"/>
        <w:adjustRightInd w:val="0"/>
        <w:spacing w:line="480" w:lineRule="auto"/>
        <w:ind w:firstLine="720"/>
        <w:jc w:val="both"/>
      </w:pPr>
      <w:r>
        <w:t>The Companies’ witness Hamrock acknowledged that many of the provisions in the Stipulation look to provisions in the ESP Application to identify the procedural and substantive significance of the provisions in the Stipulation.</w:t>
      </w:r>
      <w:r>
        <w:rPr>
          <w:rStyle w:val="FootnoteReference"/>
        </w:rPr>
        <w:footnoteReference w:id="38"/>
      </w:r>
      <w:r>
        <w:t xml:space="preserve">  No evidence was offered to support the ESP Application or any provisions in the ESP Application.</w:t>
      </w:r>
      <w:r w:rsidR="00A94144">
        <w:t xml:space="preserve">  In effect, the Stipulation proposes to amend an ESP which is not part of the record evidence and for which there is no evidentiary support.</w:t>
      </w:r>
    </w:p>
    <w:p w:rsidR="00FD64B7" w:rsidRDefault="00F96714">
      <w:pPr>
        <w:autoSpaceDE w:val="0"/>
        <w:autoSpaceDN w:val="0"/>
        <w:adjustRightInd w:val="0"/>
        <w:spacing w:line="480" w:lineRule="auto"/>
        <w:ind w:firstLine="720"/>
        <w:jc w:val="both"/>
      </w:pPr>
      <w:r>
        <w:t xml:space="preserve">A company’s failure to comply with the statutory requirements and administrative rules is ground for dismissing </w:t>
      </w:r>
      <w:r w:rsidR="007F6905">
        <w:t>an EDUs proposed ESP</w:t>
      </w:r>
      <w:r>
        <w:t>.  As the Commission recently determined in</w:t>
      </w:r>
      <w:r>
        <w:rPr>
          <w:i/>
        </w:rPr>
        <w:t xml:space="preserve"> </w:t>
      </w:r>
      <w:r w:rsidRPr="00590648">
        <w:t>Duke Energy Ohio, Inc.’s</w:t>
      </w:r>
      <w:r>
        <w:rPr>
          <w:i/>
        </w:rPr>
        <w:t xml:space="preserve"> </w:t>
      </w:r>
      <w:r>
        <w:t xml:space="preserve">SSO case:  </w:t>
      </w:r>
    </w:p>
    <w:p w:rsidR="00FD64B7" w:rsidRDefault="00F96714">
      <w:pPr>
        <w:autoSpaceDE w:val="0"/>
        <w:autoSpaceDN w:val="0"/>
        <w:adjustRightInd w:val="0"/>
        <w:ind w:left="720" w:right="720"/>
        <w:jc w:val="both"/>
      </w:pPr>
      <w:r>
        <w:t xml:space="preserve">As we stated throughout this order, the Commission finds that Duke’s application does not comply with the statute and, therefore, this case can not proceed as filed.  </w:t>
      </w:r>
      <w:r>
        <w:rPr>
          <w:b/>
          <w:u w:val="single"/>
        </w:rPr>
        <w:t>It is required that Duke provide the information dictated by the statute and delineated in the Commission’s rules, in order for the Commission to determine if the application satisfies the statutory requirements.</w:t>
      </w:r>
      <w:r>
        <w:t xml:space="preserve">  Duke readily concedes that it did not provide certain information because it was outside of its two-year proposal.  </w:t>
      </w:r>
      <w:r>
        <w:rPr>
          <w:b/>
          <w:u w:val="single"/>
        </w:rPr>
        <w:t>Accordingly, the Commission can not find that Duke satisfied the requirements set forth in Rules 4901:1-35-03 and 4901:1-35-11, O.A.C</w:t>
      </w:r>
      <w:r>
        <w:rPr>
          <w:b/>
        </w:rPr>
        <w:t>.</w:t>
      </w:r>
      <w:r>
        <w:rPr>
          <w:rStyle w:val="FootnoteReference"/>
        </w:rPr>
        <w:footnoteReference w:id="39"/>
      </w:r>
    </w:p>
    <w:p w:rsidR="00FD64B7" w:rsidRDefault="00FD64B7">
      <w:pPr>
        <w:spacing w:after="0" w:line="240" w:lineRule="auto"/>
        <w:ind w:right="720"/>
        <w:jc w:val="both"/>
      </w:pPr>
    </w:p>
    <w:p w:rsidR="00FD64B7" w:rsidRDefault="00F96714">
      <w:pPr>
        <w:spacing w:before="120" w:after="0" w:line="480" w:lineRule="auto"/>
        <w:ind w:firstLine="720"/>
        <w:jc w:val="both"/>
      </w:pPr>
      <w:r>
        <w:t xml:space="preserve">For the reasons provided above </w:t>
      </w:r>
      <w:r w:rsidR="00A94144">
        <w:t>(</w:t>
      </w:r>
      <w:r>
        <w:t>as examples of the many fundamental burden of proof failures</w:t>
      </w:r>
      <w:r w:rsidR="00211BF2">
        <w:t>,</w:t>
      </w:r>
      <w:r>
        <w:t xml:space="preserve"> as well as violations of statutory provisions and the Commission’s rules</w:t>
      </w:r>
      <w:r w:rsidR="00A94144">
        <w:t>)</w:t>
      </w:r>
      <w:r>
        <w:t>, it is IEU-Ohio’s position that the Commission must dismiss the ESP Application filed in these proceedings on January 27, 2011 as well as the Stipulation.</w:t>
      </w:r>
    </w:p>
    <w:p w:rsidR="00FD64B7" w:rsidRDefault="00FD64B7" w:rsidP="0020461B">
      <w:pPr>
        <w:spacing w:after="0" w:line="240" w:lineRule="auto"/>
        <w:jc w:val="both"/>
        <w:rPr>
          <w:rFonts w:eastAsia="Calibri"/>
        </w:rPr>
      </w:pPr>
    </w:p>
    <w:p w:rsidR="00FD64B7" w:rsidRPr="0074164D" w:rsidRDefault="00211BF2" w:rsidP="00DD1706">
      <w:pPr>
        <w:pStyle w:val="ListParagraph"/>
        <w:spacing w:after="360" w:line="240" w:lineRule="auto"/>
        <w:ind w:hanging="720"/>
        <w:rPr>
          <w:rFonts w:ascii="Arial Bold" w:eastAsia="Calibri" w:hAnsi="Arial Bold"/>
          <w:b/>
          <w:caps/>
        </w:rPr>
      </w:pPr>
      <w:r>
        <w:rPr>
          <w:rFonts w:ascii="Arial Bold" w:eastAsia="Calibri" w:hAnsi="Arial Bold"/>
          <w:b/>
          <w:caps/>
        </w:rPr>
        <w:t>V.</w:t>
      </w:r>
      <w:r>
        <w:rPr>
          <w:rFonts w:ascii="Arial Bold" w:eastAsia="Calibri" w:hAnsi="Arial Bold"/>
          <w:b/>
          <w:caps/>
        </w:rPr>
        <w:tab/>
      </w:r>
      <w:r w:rsidR="00F96714" w:rsidRPr="0074164D">
        <w:rPr>
          <w:rFonts w:ascii="Arial Bold" w:eastAsia="Calibri" w:hAnsi="Arial Bold"/>
          <w:b/>
          <w:caps/>
        </w:rPr>
        <w:t xml:space="preserve">The Stipulation Does Not Advance the Public Interest, Benefit Consumers, or Satisfy Legal or Policy Requirements </w:t>
      </w:r>
      <w:r>
        <w:rPr>
          <w:rFonts w:ascii="Arial Bold" w:eastAsia="Calibri" w:hAnsi="Arial Bold"/>
          <w:b/>
          <w:caps/>
        </w:rPr>
        <w:t xml:space="preserve">NECESSARY </w:t>
      </w:r>
      <w:r w:rsidR="00F96714" w:rsidRPr="0074164D">
        <w:rPr>
          <w:rFonts w:ascii="Arial Bold" w:eastAsia="Calibri" w:hAnsi="Arial Bold"/>
          <w:b/>
          <w:caps/>
        </w:rPr>
        <w:t>For Approval</w:t>
      </w:r>
      <w:r>
        <w:rPr>
          <w:rFonts w:ascii="Arial Bold" w:eastAsia="Calibri" w:hAnsi="Arial Bold"/>
          <w:b/>
          <w:caps/>
        </w:rPr>
        <w:t xml:space="preserve"> OF THE STIPULATION</w:t>
      </w:r>
    </w:p>
    <w:p w:rsidR="00FD64B7" w:rsidRDefault="00F96714">
      <w:pPr>
        <w:spacing w:line="480" w:lineRule="auto"/>
        <w:contextualSpacing/>
        <w:jc w:val="both"/>
        <w:rPr>
          <w:rFonts w:eastAsia="Calibri"/>
        </w:rPr>
      </w:pPr>
      <w:r>
        <w:rPr>
          <w:rFonts w:eastAsia="Calibri"/>
        </w:rPr>
        <w:tab/>
        <w:t xml:space="preserve">If the Commission does not dismiss the ESP </w:t>
      </w:r>
      <w:r w:rsidR="00DD1706">
        <w:rPr>
          <w:rFonts w:eastAsia="Calibri"/>
        </w:rPr>
        <w:t xml:space="preserve">proposed in the Stipulation </w:t>
      </w:r>
      <w:r>
        <w:rPr>
          <w:rFonts w:eastAsia="Calibri"/>
        </w:rPr>
        <w:t>as IEU</w:t>
      </w:r>
      <w:r w:rsidR="00DD1706">
        <w:rPr>
          <w:rFonts w:eastAsia="Calibri"/>
        </w:rPr>
        <w:noBreakHyphen/>
      </w:r>
      <w:r>
        <w:rPr>
          <w:rFonts w:eastAsia="Calibri"/>
        </w:rPr>
        <w:t>Ohio urges, the Commission must nonetheless reject the Stipulation as filed because it fails to satisfy the three</w:t>
      </w:r>
      <w:r w:rsidR="001254AC">
        <w:rPr>
          <w:rFonts w:eastAsia="Calibri"/>
        </w:rPr>
        <w:t>-</w:t>
      </w:r>
      <w:r>
        <w:rPr>
          <w:rFonts w:eastAsia="Calibri"/>
        </w:rPr>
        <w:t>prong test for approval of a settlement.  As discussed in the following subsections, the Stipulation fails to satisfy the statutory requirements for approving an ESP and contains several provisions that violate substantive provisions of the law</w:t>
      </w:r>
      <w:r w:rsidR="001254AC">
        <w:rPr>
          <w:rFonts w:eastAsia="Calibri"/>
        </w:rPr>
        <w:t xml:space="preserve">, </w:t>
      </w:r>
      <w:r>
        <w:rPr>
          <w:rFonts w:eastAsia="Calibri"/>
        </w:rPr>
        <w:t xml:space="preserve">Commission rules, </w:t>
      </w:r>
      <w:r w:rsidR="001254AC">
        <w:rPr>
          <w:rFonts w:eastAsia="Calibri"/>
        </w:rPr>
        <w:t>the s</w:t>
      </w:r>
      <w:r>
        <w:rPr>
          <w:rFonts w:eastAsia="Calibri"/>
        </w:rPr>
        <w:t>tate</w:t>
      </w:r>
      <w:r w:rsidR="001254AC">
        <w:rPr>
          <w:rFonts w:eastAsia="Calibri"/>
        </w:rPr>
        <w:t>’s energy policy</w:t>
      </w:r>
      <w:r>
        <w:rPr>
          <w:rFonts w:eastAsia="Calibri"/>
        </w:rPr>
        <w:t xml:space="preserve">, is devoid of any benefit for consumers, and violates the public interest.  </w:t>
      </w:r>
    </w:p>
    <w:p w:rsidR="00195CB6" w:rsidRDefault="00195CB6">
      <w:pPr>
        <w:rPr>
          <w:rFonts w:eastAsia="Calibri"/>
        </w:rPr>
      </w:pPr>
      <w:r>
        <w:rPr>
          <w:rFonts w:eastAsia="Calibri"/>
        </w:rPr>
        <w:br w:type="page"/>
      </w:r>
    </w:p>
    <w:p w:rsidR="0020461B" w:rsidRDefault="0020461B" w:rsidP="0020461B">
      <w:pPr>
        <w:spacing w:after="0" w:line="240" w:lineRule="auto"/>
        <w:contextualSpacing/>
        <w:jc w:val="both"/>
        <w:rPr>
          <w:rFonts w:eastAsia="Calibri"/>
        </w:rPr>
      </w:pPr>
    </w:p>
    <w:p w:rsidR="00FD64B7" w:rsidRDefault="00F96714" w:rsidP="00413B82">
      <w:pPr>
        <w:pStyle w:val="ListParagraph"/>
        <w:numPr>
          <w:ilvl w:val="0"/>
          <w:numId w:val="15"/>
        </w:numPr>
        <w:spacing w:line="240" w:lineRule="auto"/>
        <w:ind w:left="1440" w:hanging="720"/>
        <w:rPr>
          <w:rFonts w:eastAsia="Calibri"/>
          <w:b/>
        </w:rPr>
      </w:pPr>
      <w:r>
        <w:rPr>
          <w:rFonts w:eastAsia="Calibri"/>
          <w:b/>
        </w:rPr>
        <w:t xml:space="preserve">The ESP is </w:t>
      </w:r>
      <w:r w:rsidR="00413B82">
        <w:rPr>
          <w:rFonts w:eastAsia="Calibri"/>
          <w:b/>
        </w:rPr>
        <w:t>Not More Favorable Than an MRO</w:t>
      </w:r>
    </w:p>
    <w:p w:rsidR="0020461B" w:rsidRDefault="0020461B" w:rsidP="0020461B">
      <w:pPr>
        <w:pStyle w:val="ListParagraph"/>
        <w:spacing w:line="240" w:lineRule="auto"/>
        <w:rPr>
          <w:rFonts w:eastAsia="Calibri"/>
          <w:b/>
        </w:rPr>
      </w:pPr>
    </w:p>
    <w:p w:rsidR="00FD64B7" w:rsidRDefault="00F96714" w:rsidP="00590648">
      <w:pPr>
        <w:spacing w:line="480" w:lineRule="auto"/>
        <w:jc w:val="both"/>
        <w:rPr>
          <w:rFonts w:eastAsia="Calibri"/>
        </w:rPr>
      </w:pPr>
      <w:r>
        <w:rPr>
          <w:rFonts w:eastAsia="Calibri"/>
          <w:b/>
        </w:rPr>
        <w:tab/>
      </w:r>
      <w:r>
        <w:rPr>
          <w:rFonts w:eastAsia="Calibri"/>
        </w:rPr>
        <w:t>In order to approve an ESP, the Commission is statutorily required to find that the ESP is more favorable in the aggregate than a market rate offer (“MRO”).</w:t>
      </w:r>
      <w:r>
        <w:rPr>
          <w:rFonts w:eastAsia="Calibri"/>
          <w:vertAlign w:val="superscript"/>
        </w:rPr>
        <w:footnoteReference w:id="40"/>
      </w:r>
      <w:r>
        <w:rPr>
          <w:rFonts w:eastAsia="Calibri"/>
        </w:rPr>
        <w:t xml:space="preserve">  The Ohio General Assembly delegates authority to the Commission, and neither the Commission nor the parties to a stipulation and recommendation have the ability to change a law that the Ohio General Assembly has enacted.</w:t>
      </w:r>
      <w:r>
        <w:rPr>
          <w:rStyle w:val="FootnoteReference"/>
          <w:rFonts w:eastAsia="Calibri"/>
        </w:rPr>
        <w:footnoteReference w:id="41"/>
      </w:r>
      <w:r>
        <w:rPr>
          <w:rFonts w:eastAsia="Calibri"/>
        </w:rPr>
        <w:t xml:space="preserve">  Thus, in the absence of affirmatively finding the ESP proposed by the Stipulation is more favorable in the aggregate than an MRO, the Commission must conclude the Stipulation violates an important regulatory principle (the Stipulation produces a</w:t>
      </w:r>
      <w:r w:rsidR="005C4B6C">
        <w:rPr>
          <w:rFonts w:eastAsia="Calibri"/>
        </w:rPr>
        <w:t>n</w:t>
      </w:r>
      <w:r>
        <w:rPr>
          <w:rFonts w:eastAsia="Calibri"/>
        </w:rPr>
        <w:t xml:space="preserve"> unlawful result) and cannot be approved. </w:t>
      </w:r>
    </w:p>
    <w:p w:rsidR="0020461B" w:rsidRPr="0032151F" w:rsidRDefault="0032151F" w:rsidP="0032151F">
      <w:pPr>
        <w:pStyle w:val="ListParagraph"/>
        <w:spacing w:line="240" w:lineRule="auto"/>
        <w:ind w:left="2160" w:hanging="720"/>
        <w:rPr>
          <w:rFonts w:eastAsia="Calibri"/>
          <w:b/>
        </w:rPr>
      </w:pPr>
      <w:r>
        <w:rPr>
          <w:rFonts w:eastAsia="Calibri"/>
          <w:b/>
        </w:rPr>
        <w:t>1.</w:t>
      </w:r>
      <w:r>
        <w:rPr>
          <w:rFonts w:eastAsia="Calibri"/>
          <w:b/>
        </w:rPr>
        <w:tab/>
      </w:r>
      <w:r w:rsidR="00F96714" w:rsidRPr="0032151F">
        <w:rPr>
          <w:rFonts w:eastAsia="Calibri"/>
          <w:b/>
        </w:rPr>
        <w:t xml:space="preserve">All witnesses agree that prices under the </w:t>
      </w:r>
      <w:r w:rsidR="006D1C66">
        <w:rPr>
          <w:rFonts w:eastAsia="Calibri"/>
          <w:b/>
        </w:rPr>
        <w:t xml:space="preserve">proposed </w:t>
      </w:r>
      <w:r w:rsidR="00F96714" w:rsidRPr="0032151F">
        <w:rPr>
          <w:rFonts w:eastAsia="Calibri"/>
          <w:b/>
        </w:rPr>
        <w:t>ESP are not more fav</w:t>
      </w:r>
      <w:r w:rsidRPr="0032151F">
        <w:rPr>
          <w:rFonts w:eastAsia="Calibri"/>
          <w:b/>
        </w:rPr>
        <w:t>orable than prices under an MRO</w:t>
      </w:r>
      <w:r>
        <w:rPr>
          <w:rFonts w:eastAsia="Calibri"/>
          <w:b/>
        </w:rPr>
        <w:t>.</w:t>
      </w:r>
    </w:p>
    <w:p w:rsidR="00FD64B7" w:rsidRDefault="00FD64B7" w:rsidP="00590648">
      <w:pPr>
        <w:spacing w:after="0" w:line="240" w:lineRule="auto"/>
        <w:ind w:left="2160"/>
        <w:contextualSpacing/>
        <w:jc w:val="both"/>
        <w:rPr>
          <w:rFonts w:eastAsia="Calibri"/>
          <w:b/>
        </w:rPr>
      </w:pPr>
    </w:p>
    <w:p w:rsidR="00FD64B7" w:rsidRDefault="00F96714" w:rsidP="00590648">
      <w:pPr>
        <w:spacing w:line="480" w:lineRule="auto"/>
        <w:ind w:firstLine="720"/>
        <w:jc w:val="both"/>
        <w:rPr>
          <w:rFonts w:eastAsia="Calibri"/>
        </w:rPr>
      </w:pPr>
      <w:r>
        <w:rPr>
          <w:rFonts w:eastAsia="Calibri"/>
        </w:rPr>
        <w:t>There is no disagreement that the SSO prices under the proposed ESP are not more favorable than the prices that would result under an MRO.  Every witness who addressed the quantification of the MRO versus ESP test concluded that the cost to consumers of the proposed ESP exceeded the cost of an MRO.</w:t>
      </w:r>
    </w:p>
    <w:p w:rsidR="00FD64B7" w:rsidRDefault="00F96714" w:rsidP="00590648">
      <w:pPr>
        <w:spacing w:line="480" w:lineRule="auto"/>
        <w:ind w:firstLine="720"/>
        <w:jc w:val="both"/>
        <w:rPr>
          <w:rFonts w:eastAsia="Calibri"/>
        </w:rPr>
      </w:pPr>
      <w:r>
        <w:rPr>
          <w:rFonts w:eastAsia="Calibri"/>
        </w:rPr>
        <w:t>After finally providing CSP- and OP-specific results in her rebuttal testimony, Companies’ witness Thomas, looking only at the period of January 2012 through May 2015</w:t>
      </w:r>
      <w:r w:rsidR="006A1A21">
        <w:rPr>
          <w:rFonts w:eastAsia="Calibri"/>
        </w:rPr>
        <w:t xml:space="preserve"> and not the entire term of the proposed ESP</w:t>
      </w:r>
      <w:r>
        <w:rPr>
          <w:rFonts w:eastAsia="Calibri"/>
        </w:rPr>
        <w:t>, concluded that the ESP was less favorable than an MRO by $0.33 per MWh for CSP and $0.97 per MWh for OP.</w:t>
      </w:r>
      <w:r>
        <w:rPr>
          <w:rFonts w:eastAsia="Calibri"/>
          <w:vertAlign w:val="superscript"/>
        </w:rPr>
        <w:footnoteReference w:id="42"/>
      </w:r>
      <w:r>
        <w:rPr>
          <w:rFonts w:eastAsia="Calibri"/>
        </w:rPr>
        <w:t xml:space="preserve"> </w:t>
      </w:r>
    </w:p>
    <w:p w:rsidR="00FD64B7" w:rsidRDefault="00F96714" w:rsidP="00590648">
      <w:pPr>
        <w:spacing w:line="480" w:lineRule="auto"/>
        <w:jc w:val="both"/>
        <w:rPr>
          <w:rFonts w:eastAsia="Calibri"/>
        </w:rPr>
      </w:pPr>
      <w:r>
        <w:rPr>
          <w:rFonts w:eastAsia="Calibri"/>
        </w:rPr>
        <w:tab/>
        <w:t xml:space="preserve">Staff witness Fortney identified during cross-examination that </w:t>
      </w:r>
      <w:r w:rsidR="00A94144">
        <w:rPr>
          <w:rFonts w:eastAsia="Calibri"/>
        </w:rPr>
        <w:t xml:space="preserve">the </w:t>
      </w:r>
      <w:r>
        <w:rPr>
          <w:rFonts w:eastAsia="Calibri"/>
        </w:rPr>
        <w:t xml:space="preserve">ESP versus MRO analysis </w:t>
      </w:r>
      <w:r w:rsidR="00A94144">
        <w:rPr>
          <w:rFonts w:eastAsia="Calibri"/>
        </w:rPr>
        <w:t xml:space="preserve">in his prepared testimony </w:t>
      </w:r>
      <w:r>
        <w:rPr>
          <w:rFonts w:eastAsia="Calibri"/>
        </w:rPr>
        <w:t>did not reflect the effects of the Commission’s remand order.</w:t>
      </w:r>
      <w:r>
        <w:rPr>
          <w:rFonts w:eastAsia="Calibri"/>
          <w:vertAlign w:val="superscript"/>
        </w:rPr>
        <w:footnoteReference w:id="43"/>
      </w:r>
      <w:r>
        <w:rPr>
          <w:rFonts w:eastAsia="Calibri"/>
        </w:rPr>
        <w:t xml:space="preserve">  However, Mr. Fortney testified that if the effects of the Commission’s remand order were considered, for the </w:t>
      </w:r>
      <w:r w:rsidR="006A1A21">
        <w:rPr>
          <w:rFonts w:eastAsia="Calibri"/>
        </w:rPr>
        <w:t xml:space="preserve">portion of the term </w:t>
      </w:r>
      <w:r>
        <w:rPr>
          <w:rFonts w:eastAsia="Calibri"/>
        </w:rPr>
        <w:t xml:space="preserve">he analyzed (the three years of 2012, 2013 and 2014), the </w:t>
      </w:r>
      <w:r w:rsidR="006A1A21">
        <w:rPr>
          <w:rFonts w:eastAsia="Calibri"/>
        </w:rPr>
        <w:t xml:space="preserve">proposed </w:t>
      </w:r>
      <w:r>
        <w:rPr>
          <w:rFonts w:eastAsia="Calibri"/>
        </w:rPr>
        <w:t>ESP would be less favorable than the MRO by $276.6 million</w:t>
      </w:r>
      <w:r>
        <w:rPr>
          <w:rFonts w:eastAsia="Calibri"/>
          <w:vertAlign w:val="superscript"/>
        </w:rPr>
        <w:footnoteReference w:id="44"/>
      </w:r>
      <w:r>
        <w:rPr>
          <w:rFonts w:eastAsia="Calibri"/>
        </w:rPr>
        <w:t xml:space="preserve"> or approximately $2.12 per MWh</w:t>
      </w:r>
      <w:r w:rsidR="00A94144">
        <w:rPr>
          <w:rFonts w:eastAsia="Calibri"/>
        </w:rPr>
        <w:t xml:space="preserve"> for both CSP and OP combined</w:t>
      </w:r>
      <w:r>
        <w:rPr>
          <w:rFonts w:eastAsia="Calibri"/>
        </w:rPr>
        <w:t>.</w:t>
      </w:r>
      <w:r>
        <w:rPr>
          <w:rFonts w:eastAsia="Calibri"/>
          <w:vertAlign w:val="superscript"/>
        </w:rPr>
        <w:footnoteReference w:id="45"/>
      </w:r>
      <w:r>
        <w:rPr>
          <w:rFonts w:eastAsia="Calibri"/>
        </w:rPr>
        <w:t xml:space="preserve"> </w:t>
      </w:r>
    </w:p>
    <w:p w:rsidR="00FD64B7" w:rsidRDefault="00F96714" w:rsidP="00590648">
      <w:pPr>
        <w:spacing w:line="480" w:lineRule="auto"/>
        <w:jc w:val="both"/>
        <w:rPr>
          <w:rFonts w:eastAsia="Calibri"/>
        </w:rPr>
      </w:pPr>
      <w:r>
        <w:rPr>
          <w:rFonts w:eastAsia="Calibri"/>
        </w:rPr>
        <w:tab/>
        <w:t xml:space="preserve">FES’ witness Schnitzer quantified the costs of the ESP under two scenarios.  After correcting for errors </w:t>
      </w:r>
      <w:r w:rsidR="005C4B6C">
        <w:rPr>
          <w:rFonts w:eastAsia="Calibri"/>
        </w:rPr>
        <w:t xml:space="preserve">that </w:t>
      </w:r>
      <w:r>
        <w:rPr>
          <w:rFonts w:eastAsia="Calibri"/>
        </w:rPr>
        <w:t>Mr. Schnitzer identified in the analysis performed by Companies’ witness Thomas,</w:t>
      </w:r>
      <w:r>
        <w:rPr>
          <w:rFonts w:eastAsia="Calibri"/>
          <w:vertAlign w:val="superscript"/>
        </w:rPr>
        <w:footnoteReference w:id="46"/>
      </w:r>
      <w:r>
        <w:rPr>
          <w:rFonts w:eastAsia="Calibri"/>
        </w:rPr>
        <w:t xml:space="preserve"> Mr. Schnitzer concluded the ESP was less favorable than an MRO by at least $100</w:t>
      </w:r>
      <w:r w:rsidR="005C4B6C">
        <w:rPr>
          <w:rFonts w:eastAsia="Calibri"/>
        </w:rPr>
        <w:t>-800</w:t>
      </w:r>
      <w:r>
        <w:rPr>
          <w:rFonts w:eastAsia="Calibri"/>
        </w:rPr>
        <w:t xml:space="preserve"> million.</w:t>
      </w:r>
      <w:r>
        <w:rPr>
          <w:rFonts w:eastAsia="Calibri"/>
          <w:vertAlign w:val="superscript"/>
        </w:rPr>
        <w:footnoteReference w:id="47"/>
      </w:r>
      <w:r>
        <w:rPr>
          <w:rFonts w:eastAsia="Calibri"/>
        </w:rPr>
        <w:t xml:space="preserve"> </w:t>
      </w:r>
    </w:p>
    <w:p w:rsidR="00FD64B7" w:rsidRDefault="00F96714" w:rsidP="00590648">
      <w:pPr>
        <w:spacing w:line="480" w:lineRule="auto"/>
        <w:jc w:val="both"/>
        <w:rPr>
          <w:rFonts w:eastAsia="Calibri"/>
          <w:color w:val="000000"/>
        </w:rPr>
      </w:pPr>
      <w:r>
        <w:rPr>
          <w:rFonts w:eastAsia="Calibri"/>
        </w:rPr>
        <w:tab/>
        <w:t xml:space="preserve">IEU-Ohio witness Murray presented </w:t>
      </w:r>
      <w:r>
        <w:rPr>
          <w:rFonts w:eastAsia="Calibri"/>
          <w:color w:val="000000"/>
        </w:rPr>
        <w:t xml:space="preserve">Exhibit KMM-11 to reflect the results of the Commission’s remand order on his ESP versus MRO comparison.  Mr. Murray </w:t>
      </w:r>
      <w:r w:rsidR="00DA5487">
        <w:rPr>
          <w:rFonts w:eastAsia="Calibri"/>
          <w:color w:val="000000"/>
        </w:rPr>
        <w:t xml:space="preserve">also </w:t>
      </w:r>
      <w:r>
        <w:rPr>
          <w:rFonts w:eastAsia="Calibri"/>
          <w:color w:val="000000"/>
        </w:rPr>
        <w:t xml:space="preserve">made appropriate adjustments to the Stipulation ESP price to recognize expected costs under the </w:t>
      </w:r>
      <w:r w:rsidR="00DF179D">
        <w:rPr>
          <w:rFonts w:eastAsia="Calibri"/>
          <w:color w:val="000000"/>
        </w:rPr>
        <w:t>generation resource rider</w:t>
      </w:r>
      <w:r w:rsidR="00EB04EB">
        <w:rPr>
          <w:rFonts w:eastAsia="Calibri"/>
          <w:color w:val="000000"/>
        </w:rPr>
        <w:t xml:space="preserve"> </w:t>
      </w:r>
      <w:r>
        <w:rPr>
          <w:rFonts w:eastAsia="Calibri"/>
          <w:color w:val="000000"/>
        </w:rPr>
        <w:t>(“GRR”) and to add additional distribution-related costs (the Enhanced Service Reliability Rider, the DIR</w:t>
      </w:r>
      <w:r w:rsidR="00EB04EB">
        <w:rPr>
          <w:rFonts w:eastAsia="Calibri"/>
          <w:color w:val="000000"/>
        </w:rPr>
        <w:t>,</w:t>
      </w:r>
      <w:r>
        <w:rPr>
          <w:rFonts w:eastAsia="Calibri"/>
          <w:color w:val="000000"/>
        </w:rPr>
        <w:t xml:space="preserve"> and gridSMART for CSP) that would not be permissible under an MRO.  After removing provider of last resort (“POLR”) charges and making the adjustments to the ESP price the Companies failed to include, Mr. Murray concluded:  (1) that OP’s proposed ESP is less favorable than an MRO by $4.83 per MWh or $556 million over the term of the proposed ESP, and (2) CSP’s proposed ESP is less favorable than an MRO by $8.55 per MWh or $660 million over the term of the proposed ESP.</w:t>
      </w:r>
      <w:r>
        <w:rPr>
          <w:rFonts w:eastAsia="Calibri"/>
          <w:color w:val="000000"/>
          <w:vertAlign w:val="superscript"/>
        </w:rPr>
        <w:footnoteReference w:id="48"/>
      </w:r>
    </w:p>
    <w:p w:rsidR="00610456" w:rsidRDefault="0032151F" w:rsidP="00547A0E">
      <w:pPr>
        <w:spacing w:after="0" w:line="240" w:lineRule="auto"/>
        <w:ind w:left="2160" w:hanging="720"/>
        <w:contextualSpacing/>
        <w:jc w:val="both"/>
        <w:rPr>
          <w:rFonts w:eastAsia="Calibri"/>
          <w:b/>
        </w:rPr>
      </w:pPr>
      <w:r>
        <w:rPr>
          <w:rFonts w:eastAsia="Calibri"/>
          <w:b/>
        </w:rPr>
        <w:t>2.</w:t>
      </w:r>
      <w:r>
        <w:rPr>
          <w:rFonts w:eastAsia="Calibri"/>
          <w:b/>
        </w:rPr>
        <w:tab/>
      </w:r>
      <w:r w:rsidR="00F96714">
        <w:rPr>
          <w:rFonts w:eastAsia="Calibri"/>
          <w:b/>
        </w:rPr>
        <w:t xml:space="preserve">The ESP versus MRO analysis </w:t>
      </w:r>
      <w:r w:rsidR="00547A0E">
        <w:rPr>
          <w:rFonts w:eastAsia="Calibri"/>
          <w:b/>
        </w:rPr>
        <w:t>performed by Companies’ witness</w:t>
      </w:r>
      <w:r w:rsidR="00CA3206">
        <w:rPr>
          <w:rFonts w:eastAsia="Calibri"/>
          <w:b/>
        </w:rPr>
        <w:t xml:space="preserve"> </w:t>
      </w:r>
      <w:r w:rsidR="00F96714">
        <w:rPr>
          <w:rFonts w:eastAsia="Calibri"/>
          <w:b/>
        </w:rPr>
        <w:t>Thomas and Staff witness Fortney are flawed and cannot be relied upon for anything other than confirming that the ESP fails the statutory test</w:t>
      </w:r>
      <w:r>
        <w:rPr>
          <w:rFonts w:eastAsia="Calibri"/>
          <w:b/>
        </w:rPr>
        <w:t>.</w:t>
      </w:r>
    </w:p>
    <w:p w:rsidR="00FD64B7" w:rsidRDefault="00FD64B7">
      <w:pPr>
        <w:spacing w:after="0" w:line="240" w:lineRule="auto"/>
        <w:ind w:left="2880"/>
        <w:contextualSpacing/>
        <w:jc w:val="both"/>
        <w:rPr>
          <w:rFonts w:eastAsia="Calibri"/>
          <w:b/>
        </w:rPr>
      </w:pPr>
    </w:p>
    <w:p w:rsidR="00FD64B7" w:rsidRDefault="00F96714" w:rsidP="00590648">
      <w:pPr>
        <w:spacing w:line="480" w:lineRule="auto"/>
        <w:ind w:firstLine="720"/>
        <w:jc w:val="both"/>
        <w:rPr>
          <w:rFonts w:eastAsia="Calibri"/>
        </w:rPr>
      </w:pPr>
      <w:r>
        <w:rPr>
          <w:rFonts w:eastAsia="Calibri"/>
        </w:rPr>
        <w:t>The ESP versus MRO analysis performed by Companies’ witness Thomas is flawed and cannot be relied upon.  Ms. Thomas relied exclusively upon administratively-estimated market prices rather than the actual market transactions to establish her MRO benchmark price.</w:t>
      </w:r>
      <w:r>
        <w:rPr>
          <w:rFonts w:eastAsia="Calibri"/>
          <w:vertAlign w:val="superscript"/>
        </w:rPr>
        <w:footnoteReference w:id="49"/>
      </w:r>
      <w:r>
        <w:rPr>
          <w:rFonts w:eastAsia="Calibri"/>
        </w:rPr>
        <w:t xml:space="preserve">  Ms. Thomas performed no </w:t>
      </w:r>
      <w:r w:rsidR="00DA5487">
        <w:rPr>
          <w:rFonts w:eastAsia="Calibri"/>
        </w:rPr>
        <w:t xml:space="preserve">investigation </w:t>
      </w:r>
      <w:r>
        <w:rPr>
          <w:rFonts w:eastAsia="Calibri"/>
        </w:rPr>
        <w:t>of her MRO benchmark prices to verify that her administratively-estimated prices were representative of real world offers made by suppliers.</w:t>
      </w:r>
      <w:r>
        <w:rPr>
          <w:rFonts w:eastAsia="Calibri"/>
          <w:vertAlign w:val="superscript"/>
        </w:rPr>
        <w:footnoteReference w:id="50"/>
      </w:r>
      <w:r>
        <w:rPr>
          <w:rFonts w:eastAsia="Calibri"/>
        </w:rPr>
        <w:t xml:space="preserve">  When compared to current full requirements offers and properly adjusted for differences </w:t>
      </w:r>
      <w:r w:rsidR="00DA5487">
        <w:rPr>
          <w:rFonts w:eastAsia="Calibri"/>
        </w:rPr>
        <w:t xml:space="preserve">for such things </w:t>
      </w:r>
      <w:r>
        <w:rPr>
          <w:rFonts w:eastAsia="Calibri"/>
        </w:rPr>
        <w:t>as losses and various legal r</w:t>
      </w:r>
      <w:r w:rsidR="00A94144">
        <w:rPr>
          <w:rFonts w:eastAsia="Calibri"/>
        </w:rPr>
        <w:t xml:space="preserve">equirements, the administratively-determined </w:t>
      </w:r>
      <w:r>
        <w:rPr>
          <w:rFonts w:eastAsia="Calibri"/>
        </w:rPr>
        <w:t>prices suggested by Ms. Thomas are grossly overstated.</w:t>
      </w:r>
      <w:r>
        <w:rPr>
          <w:rStyle w:val="FootnoteReference"/>
          <w:rFonts w:eastAsia="Calibri"/>
        </w:rPr>
        <w:footnoteReference w:id="51"/>
      </w:r>
    </w:p>
    <w:p w:rsidR="00FD64B7" w:rsidRDefault="00F96714" w:rsidP="00590648">
      <w:pPr>
        <w:spacing w:line="480" w:lineRule="auto"/>
        <w:ind w:firstLine="720"/>
        <w:jc w:val="both"/>
        <w:rPr>
          <w:rFonts w:eastAsia="Calibri"/>
        </w:rPr>
      </w:pPr>
      <w:r>
        <w:rPr>
          <w:rFonts w:eastAsia="Calibri"/>
        </w:rPr>
        <w:t xml:space="preserve">Ms. Thomas made numerous erroneous assumptions in her analysis.  The assumed capacity costs reflected in the benchmark price in her analysis are based upon a mathematical weighting of market-based capacity prices under PJM’s RPM and the arbitrary capacity </w:t>
      </w:r>
      <w:r w:rsidR="00A94144">
        <w:rPr>
          <w:rFonts w:eastAsia="Calibri"/>
        </w:rPr>
        <w:t xml:space="preserve">charge </w:t>
      </w:r>
      <w:r>
        <w:rPr>
          <w:rFonts w:eastAsia="Calibri"/>
        </w:rPr>
        <w:t>of $255 per megawatt-day in Section IV.2.b.1 of the Stipulation.</w:t>
      </w:r>
      <w:r>
        <w:rPr>
          <w:rStyle w:val="FootnoteReference"/>
          <w:rFonts w:eastAsia="Calibri"/>
        </w:rPr>
        <w:footnoteReference w:id="52"/>
      </w:r>
      <w:r>
        <w:rPr>
          <w:rFonts w:eastAsia="Calibri"/>
        </w:rPr>
        <w:t xml:space="preserve">  The defectively derived capacity price that Ms. Thomas applies to calculate a benchmark price significantly overstates the capacity price that would apply to the benchmark price associated with the MRO option.  As a result, the benchmark prices in Ms. Thomas’ analysis are too high by a very large margin, and she thus understates the amount by which the ESP fails the ESP versus MRO price comparison. </w:t>
      </w:r>
    </w:p>
    <w:p w:rsidR="00FD64B7" w:rsidRDefault="00F96714" w:rsidP="00590648">
      <w:pPr>
        <w:spacing w:line="480" w:lineRule="auto"/>
        <w:ind w:firstLine="720"/>
        <w:jc w:val="both"/>
        <w:rPr>
          <w:rFonts w:eastAsia="Calibri"/>
        </w:rPr>
      </w:pPr>
      <w:r>
        <w:rPr>
          <w:rFonts w:eastAsia="Calibri"/>
        </w:rPr>
        <w:t>Ms. Thomas also failed to recognize that OP’s and CSP’s current ESP includes distribution rate riders (gridSMART</w:t>
      </w:r>
      <w:r>
        <w:rPr>
          <w:rStyle w:val="FootnoteReference"/>
          <w:rFonts w:eastAsia="Calibri"/>
        </w:rPr>
        <w:footnoteReference w:id="53"/>
      </w:r>
      <w:r>
        <w:rPr>
          <w:rFonts w:eastAsia="Calibri"/>
        </w:rPr>
        <w:t xml:space="preserve"> for CSP and the Enhanced Service Reliability Rider</w:t>
      </w:r>
      <w:r>
        <w:rPr>
          <w:rStyle w:val="FootnoteReference"/>
          <w:rFonts w:eastAsia="Calibri"/>
        </w:rPr>
        <w:footnoteReference w:id="54"/>
      </w:r>
      <w:r>
        <w:rPr>
          <w:rFonts w:eastAsia="Calibri"/>
        </w:rPr>
        <w:t xml:space="preserve"> for OP and CSP) that were approved pursuant to the single issue ratemaking provision of Section 4928.143(B)(2)(h), Revised Code.  In projecting the cost of the Stipulation’s ESP, she also ignored the DIR provided for pursuant to Section IV.1.n of the Stipulation.</w:t>
      </w:r>
      <w:r>
        <w:rPr>
          <w:rStyle w:val="FootnoteReference"/>
          <w:rFonts w:eastAsia="Calibri"/>
        </w:rPr>
        <w:footnoteReference w:id="55"/>
      </w:r>
      <w:r>
        <w:rPr>
          <w:rFonts w:eastAsia="Calibri"/>
        </w:rPr>
        <w:t xml:space="preserve">  An MRO does not permit the inclusion of these riders or charges.  Therefore, the ESP versus MRO comparison must recognize that the rates produced by the MRO would not include these riders or charges.</w:t>
      </w:r>
      <w:r>
        <w:rPr>
          <w:rFonts w:eastAsia="Calibri"/>
          <w:vertAlign w:val="superscript"/>
        </w:rPr>
        <w:footnoteReference w:id="56"/>
      </w:r>
      <w:r>
        <w:rPr>
          <w:rFonts w:eastAsia="Calibri"/>
        </w:rPr>
        <w:t xml:space="preserve">  By failing to account for the</w:t>
      </w:r>
      <w:r w:rsidR="006F6166">
        <w:rPr>
          <w:rFonts w:eastAsia="Calibri"/>
        </w:rPr>
        <w:t>se</w:t>
      </w:r>
      <w:r>
        <w:rPr>
          <w:rFonts w:eastAsia="Calibri"/>
        </w:rPr>
        <w:t xml:space="preserve"> differences, Ms. Thomas further understated the amount by which the proposed ESP is more expensive tha</w:t>
      </w:r>
      <w:r w:rsidR="00920229">
        <w:rPr>
          <w:rFonts w:eastAsia="Calibri"/>
        </w:rPr>
        <w:t>n</w:t>
      </w:r>
      <w:r>
        <w:rPr>
          <w:rFonts w:eastAsia="Calibri"/>
        </w:rPr>
        <w:t xml:space="preserve"> the MRO.</w:t>
      </w:r>
    </w:p>
    <w:p w:rsidR="0020461B" w:rsidRDefault="00F96714" w:rsidP="00590648">
      <w:pPr>
        <w:spacing w:line="480" w:lineRule="auto"/>
        <w:ind w:firstLine="720"/>
        <w:jc w:val="both"/>
        <w:rPr>
          <w:rFonts w:eastAsia="Calibri"/>
        </w:rPr>
      </w:pPr>
      <w:r>
        <w:rPr>
          <w:rFonts w:eastAsia="Calibri"/>
        </w:rPr>
        <w:t>Additionally, adoption of the Stipulation would result in approval of the GRR as a non-bypassable placeholder rider to be used to potentially collect costs associated with the Turning Point Solar Project and a hypothetical Muskingum River 6 (“MR6”) generating unit.  Similarly, Section IV.2.c of the Stipulation obligates the Companies or the successor EDU to pursue development of up to 350 MW of customer-sited combined heat and power, waste energy recovery</w:t>
      </w:r>
      <w:r w:rsidR="001E07F3">
        <w:rPr>
          <w:rFonts w:eastAsia="Calibri"/>
        </w:rPr>
        <w:t>,</w:t>
      </w:r>
      <w:r>
        <w:rPr>
          <w:rFonts w:eastAsia="Calibri"/>
        </w:rPr>
        <w:t xml:space="preserve"> and distributed energy resources, with costs to be recovered under an “appropriate rider.”  The Stipulation does not identify any statutory basis for collection of the costs of these customer-sited generation facilities.  Ms. Thomas assumed zero cost for the GRR</w:t>
      </w:r>
      <w:r>
        <w:rPr>
          <w:rStyle w:val="FootnoteReference"/>
          <w:rFonts w:eastAsia="Calibri"/>
        </w:rPr>
        <w:footnoteReference w:id="57"/>
      </w:r>
      <w:r>
        <w:rPr>
          <w:rFonts w:eastAsia="Calibri"/>
        </w:rPr>
        <w:t xml:space="preserve"> even though there are cost estimates for </w:t>
      </w:r>
      <w:r w:rsidR="001E07F3">
        <w:rPr>
          <w:rFonts w:eastAsia="Calibri"/>
        </w:rPr>
        <w:t xml:space="preserve">at least </w:t>
      </w:r>
      <w:r>
        <w:rPr>
          <w:rFonts w:eastAsia="Calibri"/>
        </w:rPr>
        <w:t>the Turning Point Solar Project project.</w:t>
      </w:r>
      <w:r>
        <w:rPr>
          <w:rStyle w:val="FootnoteReference"/>
          <w:rFonts w:eastAsia="Calibri"/>
        </w:rPr>
        <w:footnoteReference w:id="58"/>
      </w:r>
      <w:r>
        <w:rPr>
          <w:rFonts w:eastAsia="Calibri"/>
        </w:rPr>
        <w:t xml:space="preserve">  As to her decision to assign a zero value to the GRR, Ms. Thomas explained that she did so because the GRR was a placeholder.</w:t>
      </w:r>
      <w:r>
        <w:rPr>
          <w:rStyle w:val="FootnoteReference"/>
          <w:rFonts w:eastAsia="Calibri"/>
        </w:rPr>
        <w:footnoteReference w:id="59"/>
      </w:r>
      <w:r>
        <w:rPr>
          <w:rFonts w:eastAsia="Calibri"/>
        </w:rPr>
        <w:t xml:space="preserve">  Because she failed to include the revenue effects of </w:t>
      </w:r>
      <w:r w:rsidR="00A94144">
        <w:rPr>
          <w:rFonts w:eastAsia="Calibri"/>
        </w:rPr>
        <w:t xml:space="preserve">at least </w:t>
      </w:r>
      <w:r>
        <w:rPr>
          <w:rFonts w:eastAsia="Calibri"/>
        </w:rPr>
        <w:t>the Turning Point Solar Project, her estimate of the cost of the proposed ESP was further understated.</w:t>
      </w:r>
    </w:p>
    <w:p w:rsidR="006F6166" w:rsidRDefault="00F96714" w:rsidP="00590648">
      <w:pPr>
        <w:spacing w:line="480" w:lineRule="auto"/>
        <w:ind w:firstLine="720"/>
        <w:jc w:val="both"/>
        <w:rPr>
          <w:rFonts w:eastAsia="Calibri"/>
        </w:rPr>
      </w:pPr>
      <w:r>
        <w:rPr>
          <w:rFonts w:eastAsia="Calibri"/>
        </w:rPr>
        <w:t>In addition to the flawed assumptions in h</w:t>
      </w:r>
      <w:r w:rsidR="00195CB6">
        <w:rPr>
          <w:rFonts w:eastAsia="Calibri"/>
        </w:rPr>
        <w:t>er ESP versus MRO analysis, Ms. </w:t>
      </w:r>
      <w:r>
        <w:rPr>
          <w:rFonts w:eastAsia="Calibri"/>
        </w:rPr>
        <w:t xml:space="preserve">Thomas ignores the entire last year of the proposed ESP.  When questioned during cross-examination about her decision to exclude the period of June 2015 through May 2016 from her analysis, Ms. Thomas offered the view that since prices during the fifth year of the Stipulation ESP would be established through a </w:t>
      </w:r>
      <w:r w:rsidR="004053D5">
        <w:rPr>
          <w:rFonts w:eastAsia="Calibri"/>
        </w:rPr>
        <w:t>CBP</w:t>
      </w:r>
      <w:r>
        <w:rPr>
          <w:rFonts w:eastAsia="Calibri"/>
        </w:rPr>
        <w:t xml:space="preserve">, it </w:t>
      </w:r>
      <w:r w:rsidR="001E07F3">
        <w:rPr>
          <w:rFonts w:eastAsia="Calibri"/>
        </w:rPr>
        <w:t xml:space="preserve">was </w:t>
      </w:r>
      <w:r>
        <w:rPr>
          <w:rFonts w:eastAsia="Calibri"/>
        </w:rPr>
        <w:t>not necessary or required to blend prices during the fifth year of the Stipulation ESP.</w:t>
      </w:r>
      <w:r>
        <w:rPr>
          <w:rFonts w:eastAsia="Calibri"/>
          <w:vertAlign w:val="superscript"/>
        </w:rPr>
        <w:footnoteReference w:id="60"/>
      </w:r>
      <w:r>
        <w:rPr>
          <w:rFonts w:eastAsia="Calibri"/>
        </w:rPr>
        <w:t xml:space="preserve">  On that matter, Ms. Thomas </w:t>
      </w:r>
      <w:r w:rsidR="001E07F3">
        <w:rPr>
          <w:rFonts w:eastAsia="Calibri"/>
        </w:rPr>
        <w:t xml:space="preserve">was </w:t>
      </w:r>
      <w:r w:rsidR="00015400">
        <w:rPr>
          <w:rFonts w:eastAsia="Calibri"/>
        </w:rPr>
        <w:t>contradicted</w:t>
      </w:r>
      <w:r w:rsidR="001E07F3">
        <w:rPr>
          <w:rFonts w:eastAsia="Calibri"/>
        </w:rPr>
        <w:t xml:space="preserve"> by </w:t>
      </w:r>
      <w:r>
        <w:rPr>
          <w:rFonts w:eastAsia="Calibri"/>
        </w:rPr>
        <w:t xml:space="preserve">Mr. Nelson, another Company witness, </w:t>
      </w:r>
      <w:r w:rsidR="001E07F3">
        <w:rPr>
          <w:rFonts w:eastAsia="Calibri"/>
        </w:rPr>
        <w:t xml:space="preserve">who </w:t>
      </w:r>
      <w:r>
        <w:rPr>
          <w:rFonts w:eastAsia="Calibri"/>
        </w:rPr>
        <w:t>recognized that the MRO was subject to a six to ten year transition period</w:t>
      </w:r>
      <w:r w:rsidR="009147A7">
        <w:rPr>
          <w:rFonts w:eastAsia="Calibri"/>
        </w:rPr>
        <w:t xml:space="preserve"> and she was wrong as a matter of law</w:t>
      </w:r>
      <w:r>
        <w:rPr>
          <w:rStyle w:val="FootnoteReference"/>
          <w:rFonts w:eastAsia="Calibri"/>
        </w:rPr>
        <w:footnoteReference w:id="61"/>
      </w:r>
      <w:r w:rsidR="001E07F3">
        <w:rPr>
          <w:rFonts w:eastAsia="Calibri"/>
        </w:rPr>
        <w:t xml:space="preserve">  </w:t>
      </w:r>
    </w:p>
    <w:p w:rsidR="001E07F3" w:rsidRDefault="00F96714" w:rsidP="00590648">
      <w:pPr>
        <w:spacing w:line="480" w:lineRule="auto"/>
        <w:ind w:firstLine="720"/>
        <w:jc w:val="both"/>
        <w:rPr>
          <w:rFonts w:eastAsia="Calibri"/>
        </w:rPr>
      </w:pPr>
      <w:r>
        <w:rPr>
          <w:rFonts w:eastAsia="Calibri"/>
        </w:rPr>
        <w:t>It is settled law that the first MRO application filed by an EDU that, as of July 31, 2008, directly owns, in whole or in part, operating electric generating facilities that had been used and useful in this state requires a blending of the portion of the SSO load price based upon the competitive bid with the remainder of the SSO load price based upon the legacy ESP price.</w:t>
      </w:r>
      <w:r>
        <w:rPr>
          <w:rFonts w:eastAsia="Calibri"/>
          <w:vertAlign w:val="superscript"/>
        </w:rPr>
        <w:footnoteReference w:id="62"/>
      </w:r>
      <w:r>
        <w:rPr>
          <w:rFonts w:eastAsia="Calibri"/>
        </w:rPr>
        <w:t xml:space="preserve">  Section 4928.142(D), Revised Code, requires the initial MRO application to blend the competitive bid price proportionally with the legacy ESP price over the initial five years.  </w:t>
      </w:r>
    </w:p>
    <w:p w:rsidR="00FD64B7" w:rsidRDefault="001E07F3" w:rsidP="00590648">
      <w:pPr>
        <w:spacing w:line="480" w:lineRule="auto"/>
        <w:ind w:firstLine="720"/>
        <w:jc w:val="both"/>
        <w:rPr>
          <w:rFonts w:eastAsia="Calibri"/>
        </w:rPr>
      </w:pPr>
      <w:r>
        <w:rPr>
          <w:rFonts w:eastAsia="Calibri"/>
        </w:rPr>
        <w:t xml:space="preserve">The appropriate blending period has already been determined in a review of </w:t>
      </w:r>
      <w:r w:rsidR="00F96714">
        <w:rPr>
          <w:rFonts w:eastAsia="Calibri"/>
        </w:rPr>
        <w:t>an application by Duke to establish Duke’s first MRO.</w:t>
      </w:r>
      <w:r w:rsidR="00F96714">
        <w:rPr>
          <w:rFonts w:eastAsia="Calibri"/>
          <w:vertAlign w:val="superscript"/>
        </w:rPr>
        <w:footnoteReference w:id="63"/>
      </w:r>
      <w:r w:rsidR="00F96714">
        <w:rPr>
          <w:rFonts w:eastAsia="Calibri"/>
        </w:rPr>
        <w:t xml:space="preserve"> </w:t>
      </w:r>
      <w:r>
        <w:rPr>
          <w:rFonts w:eastAsia="Calibri"/>
        </w:rPr>
        <w:t xml:space="preserve"> </w:t>
      </w:r>
      <w:r w:rsidR="00F96714">
        <w:rPr>
          <w:rFonts w:eastAsia="Calibri"/>
        </w:rPr>
        <w:t xml:space="preserve">Because Duke projected that expected market prices and its legacy ESP price would converge in the third year of the MRO, and because Duke proposed to transfer its legacy generation to an affiliate no later than the beginning of </w:t>
      </w:r>
      <w:r>
        <w:rPr>
          <w:rFonts w:eastAsia="Calibri"/>
        </w:rPr>
        <w:t xml:space="preserve">the third </w:t>
      </w:r>
      <w:r w:rsidR="00F96714">
        <w:rPr>
          <w:rFonts w:eastAsia="Calibri"/>
        </w:rPr>
        <w:t xml:space="preserve">year, Duke proposed to end the blending period at the beginning of year three and make available to customers an ESP price </w:t>
      </w:r>
      <w:r w:rsidR="00F96714" w:rsidRPr="00590648">
        <w:rPr>
          <w:rFonts w:eastAsia="Calibri"/>
        </w:rPr>
        <w:t>exclusively based upon the market prices resulting from an auction</w:t>
      </w:r>
      <w:r w:rsidR="00F96714">
        <w:rPr>
          <w:rFonts w:eastAsia="Calibri"/>
        </w:rPr>
        <w:t>.</w:t>
      </w:r>
      <w:r w:rsidR="00F96714">
        <w:rPr>
          <w:rFonts w:eastAsia="Calibri"/>
          <w:vertAlign w:val="superscript"/>
        </w:rPr>
        <w:footnoteReference w:id="64"/>
      </w:r>
      <w:r w:rsidR="00F96714">
        <w:rPr>
          <w:rFonts w:eastAsia="Calibri"/>
        </w:rPr>
        <w:t xml:space="preserve">  Similarly, Ms. Thomas’ MRO price in the fifth year of her ESP versus MRO comparison assumes that the competitive bid price applies to the entire SSO load with no blending of the legacy ESP rate.</w:t>
      </w:r>
      <w:r w:rsidR="00F96714">
        <w:rPr>
          <w:rFonts w:eastAsia="Calibri"/>
          <w:vertAlign w:val="superscript"/>
        </w:rPr>
        <w:footnoteReference w:id="65"/>
      </w:r>
      <w:r w:rsidR="00F96714">
        <w:rPr>
          <w:rFonts w:eastAsia="Calibri"/>
        </w:rPr>
        <w:t xml:space="preserve">  In </w:t>
      </w:r>
      <w:r w:rsidR="00A1577E" w:rsidRPr="00590648">
        <w:rPr>
          <w:rFonts w:eastAsia="Calibri"/>
          <w:i/>
        </w:rPr>
        <w:t xml:space="preserve">Duke </w:t>
      </w:r>
      <w:r w:rsidR="00B51828" w:rsidRPr="00590648">
        <w:rPr>
          <w:rFonts w:eastAsia="Calibri"/>
          <w:i/>
        </w:rPr>
        <w:t>SSO</w:t>
      </w:r>
      <w:r w:rsidR="00F96714">
        <w:rPr>
          <w:rFonts w:eastAsia="Calibri"/>
        </w:rPr>
        <w:t>, the Commission determined that the initial five</w:t>
      </w:r>
      <w:r w:rsidR="0048007A">
        <w:rPr>
          <w:rFonts w:eastAsia="Calibri"/>
        </w:rPr>
        <w:t>-</w:t>
      </w:r>
      <w:r w:rsidR="00F96714">
        <w:rPr>
          <w:rFonts w:eastAsia="Calibri"/>
        </w:rPr>
        <w:t>year blending period is statutorily required and cannot be altered:</w:t>
      </w:r>
    </w:p>
    <w:p w:rsidR="0020461B" w:rsidRDefault="00F96714" w:rsidP="0020461B">
      <w:pPr>
        <w:spacing w:after="0" w:line="240" w:lineRule="auto"/>
        <w:ind w:left="720" w:right="720"/>
        <w:jc w:val="both"/>
        <w:rPr>
          <w:rFonts w:eastAsia="Calibri"/>
          <w:vertAlign w:val="superscript"/>
        </w:rPr>
      </w:pPr>
      <w:r>
        <w:rPr>
          <w:rFonts w:eastAsia="Calibri"/>
        </w:rPr>
        <w:t>The Commission agrees with Staff that, under Sections 4928.142(D) and (E), Revised Code, as well as Chapter 4901:1-35, O.A.C., Duke was required to file a five-year blending plan and transition to market. Failure to do so renders Duke’s proposed MRO application in noncompliance with the statutory requirements.</w:t>
      </w:r>
      <w:r>
        <w:rPr>
          <w:rFonts w:eastAsia="Calibri"/>
          <w:vertAlign w:val="superscript"/>
        </w:rPr>
        <w:t xml:space="preserve"> </w:t>
      </w:r>
      <w:r>
        <w:rPr>
          <w:rFonts w:eastAsia="Calibri"/>
          <w:vertAlign w:val="superscript"/>
        </w:rPr>
        <w:footnoteReference w:id="66"/>
      </w:r>
    </w:p>
    <w:p w:rsidR="0020461B" w:rsidRPr="0020461B" w:rsidRDefault="0020461B" w:rsidP="0020461B">
      <w:pPr>
        <w:spacing w:after="0" w:line="240" w:lineRule="auto"/>
        <w:ind w:left="720" w:right="720"/>
        <w:jc w:val="both"/>
        <w:rPr>
          <w:rFonts w:eastAsia="Calibri"/>
        </w:rPr>
      </w:pPr>
    </w:p>
    <w:p w:rsidR="00610456" w:rsidRDefault="00F96714" w:rsidP="00590648">
      <w:pPr>
        <w:spacing w:line="480" w:lineRule="auto"/>
        <w:ind w:firstLine="720"/>
        <w:jc w:val="both"/>
        <w:rPr>
          <w:rFonts w:eastAsia="Calibri"/>
        </w:rPr>
      </w:pPr>
      <w:r>
        <w:rPr>
          <w:rFonts w:eastAsia="Calibri"/>
        </w:rPr>
        <w:t>As a matter of law, the Companies are subject to the blending required by Sect</w:t>
      </w:r>
      <w:r w:rsidR="00377CBE">
        <w:rPr>
          <w:rFonts w:eastAsia="Calibri"/>
        </w:rPr>
        <w:t>i</w:t>
      </w:r>
      <w:r>
        <w:rPr>
          <w:rFonts w:eastAsia="Calibri"/>
        </w:rPr>
        <w:t>on 4928.143.142(D), Revised Code.  Ms. Thomas confirmed for the record that the Companies owned generation facilities at the time Section 4928.142, Revised Code</w:t>
      </w:r>
      <w:r w:rsidR="00377CBE">
        <w:rPr>
          <w:rFonts w:eastAsia="Calibri"/>
        </w:rPr>
        <w:t>,</w:t>
      </w:r>
      <w:r>
        <w:rPr>
          <w:rFonts w:eastAsia="Calibri"/>
        </w:rPr>
        <w:t xml:space="preserve"> was enacted.</w:t>
      </w:r>
      <w:r>
        <w:rPr>
          <w:rStyle w:val="FootnoteReference"/>
          <w:rFonts w:eastAsia="Calibri"/>
        </w:rPr>
        <w:footnoteReference w:id="67"/>
      </w:r>
      <w:r>
        <w:rPr>
          <w:rFonts w:eastAsia="Calibri"/>
        </w:rPr>
        <w:t xml:space="preserve">  Thus, by the requirements of Section 4928.142(D), Revised Code, an initial application to establish an MRO would require blending of the first five years of the proposal.  Ms. Thomas </w:t>
      </w:r>
      <w:r w:rsidR="00377CBE">
        <w:rPr>
          <w:rFonts w:eastAsia="Calibri"/>
        </w:rPr>
        <w:t xml:space="preserve">instead </w:t>
      </w:r>
      <w:r>
        <w:rPr>
          <w:rFonts w:eastAsia="Calibri"/>
        </w:rPr>
        <w:t>chose to assume that the fifth year would not be blended with the legacy ESP price.</w:t>
      </w:r>
      <w:r>
        <w:rPr>
          <w:rStyle w:val="FootnoteReference"/>
          <w:rFonts w:eastAsia="Calibri"/>
        </w:rPr>
        <w:footnoteReference w:id="68"/>
      </w:r>
      <w:r>
        <w:rPr>
          <w:rFonts w:eastAsia="Calibri"/>
        </w:rPr>
        <w:t xml:space="preserve">  By assuming that the fifth year of the MRO does not involve blending with the legacy ESP price, Ms. Thomas grossly understated the relative amount by which the proposed ESP failed the MRO versus ESP test.  Mr. Murray’s testimony demonstrated that correcting her version of the test for the omission of the last year even while ignoring the </w:t>
      </w:r>
      <w:r w:rsidR="00C32A5B">
        <w:rPr>
          <w:rFonts w:eastAsia="Calibri"/>
        </w:rPr>
        <w:t xml:space="preserve">many </w:t>
      </w:r>
      <w:r>
        <w:rPr>
          <w:rFonts w:eastAsia="Calibri"/>
        </w:rPr>
        <w:t xml:space="preserve">other errors in her </w:t>
      </w:r>
      <w:r w:rsidR="00C32A5B">
        <w:rPr>
          <w:rFonts w:eastAsia="Calibri"/>
        </w:rPr>
        <w:t xml:space="preserve">calculation </w:t>
      </w:r>
      <w:r>
        <w:rPr>
          <w:rFonts w:eastAsia="Calibri"/>
        </w:rPr>
        <w:t>resulted in the ESP failing the MRO price comparison.</w:t>
      </w:r>
      <w:r>
        <w:rPr>
          <w:rFonts w:eastAsia="Calibri"/>
          <w:vertAlign w:val="superscript"/>
        </w:rPr>
        <w:footnoteReference w:id="69"/>
      </w:r>
    </w:p>
    <w:p w:rsidR="00FD64B7" w:rsidRDefault="00F96714" w:rsidP="00590648">
      <w:pPr>
        <w:spacing w:line="480" w:lineRule="auto"/>
        <w:jc w:val="both"/>
        <w:rPr>
          <w:rFonts w:eastAsia="Calibri"/>
        </w:rPr>
      </w:pPr>
      <w:r>
        <w:rPr>
          <w:rFonts w:eastAsia="Calibri"/>
        </w:rPr>
        <w:tab/>
        <w:t xml:space="preserve">Although he did not make as many errors as Ms. Thomas, Mr. Fortney made some of the same errors </w:t>
      </w:r>
      <w:r w:rsidR="00377CBE">
        <w:rPr>
          <w:rFonts w:eastAsia="Calibri"/>
        </w:rPr>
        <w:t xml:space="preserve">contained in </w:t>
      </w:r>
      <w:r>
        <w:rPr>
          <w:rFonts w:eastAsia="Calibri"/>
        </w:rPr>
        <w:t>Ms. Thomas</w:t>
      </w:r>
      <w:r w:rsidR="00377CBE">
        <w:rPr>
          <w:rFonts w:eastAsia="Calibri"/>
        </w:rPr>
        <w:t>’</w:t>
      </w:r>
      <w:r>
        <w:rPr>
          <w:rFonts w:eastAsia="Calibri"/>
        </w:rPr>
        <w:t xml:space="preserve"> </w:t>
      </w:r>
      <w:r w:rsidR="00C32A5B">
        <w:rPr>
          <w:rFonts w:eastAsia="Calibri"/>
        </w:rPr>
        <w:t xml:space="preserve">version of </w:t>
      </w:r>
      <w:r>
        <w:rPr>
          <w:rFonts w:eastAsia="Calibri"/>
        </w:rPr>
        <w:t>the ESP versus MRO test.  Mr. Fortney relied, in part, upon administratively-estimated market prices developed by Staff witness Johnson.  Mr. Fortney did not prepare any analysis to consider the ESP versus the MRO result specifically for CSP or OP.</w:t>
      </w:r>
      <w:r>
        <w:rPr>
          <w:rFonts w:eastAsia="Calibri"/>
          <w:vertAlign w:val="superscript"/>
        </w:rPr>
        <w:footnoteReference w:id="70"/>
      </w:r>
      <w:r>
        <w:rPr>
          <w:rFonts w:eastAsia="Calibri"/>
        </w:rPr>
        <w:t xml:space="preserve">  Mr. Fortney overlooked the additional costs over the term of the Stipulation ESP associated with the DIR ($366 million), the gridSMART Rider ($28 million specific to CSP), and the Enhanced Service Reliability Rider ($130 million).</w:t>
      </w:r>
      <w:r>
        <w:rPr>
          <w:rFonts w:eastAsia="Calibri"/>
          <w:vertAlign w:val="superscript"/>
        </w:rPr>
        <w:footnoteReference w:id="71"/>
      </w:r>
      <w:r>
        <w:rPr>
          <w:rFonts w:eastAsia="Calibri"/>
        </w:rPr>
        <w:t xml:space="preserve">  Mr. Fortney also omitted (without explanation</w:t>
      </w:r>
      <w:r w:rsidR="00377CBE">
        <w:rPr>
          <w:rFonts w:eastAsia="Calibri"/>
        </w:rPr>
        <w:t>)</w:t>
      </w:r>
      <w:r>
        <w:rPr>
          <w:rFonts w:eastAsia="Calibri"/>
        </w:rPr>
        <w:t xml:space="preserve"> the final seventeen months of the Stipulation ESP in his ESP versus MRO analysis.</w:t>
      </w:r>
      <w:r>
        <w:rPr>
          <w:rFonts w:eastAsia="Calibri"/>
          <w:vertAlign w:val="superscript"/>
        </w:rPr>
        <w:footnoteReference w:id="72"/>
      </w:r>
      <w:r>
        <w:rPr>
          <w:rFonts w:eastAsia="Calibri"/>
        </w:rPr>
        <w:t xml:space="preserve">  Because Mr. Fortney failed to model the final seventeen months of the Stipulation ESP term in his ESP versus MRO analysis, his analysis is likewise fatally defective and cannot be relied upon by the Commission.</w:t>
      </w:r>
    </w:p>
    <w:p w:rsidR="00610456" w:rsidRDefault="0032151F" w:rsidP="00E516D4">
      <w:pPr>
        <w:spacing w:after="0" w:line="240" w:lineRule="auto"/>
        <w:ind w:left="2160" w:hanging="720"/>
        <w:contextualSpacing/>
        <w:jc w:val="both"/>
        <w:rPr>
          <w:rFonts w:eastAsia="Calibri"/>
          <w:b/>
        </w:rPr>
      </w:pPr>
      <w:r>
        <w:rPr>
          <w:rFonts w:eastAsia="Calibri"/>
          <w:b/>
        </w:rPr>
        <w:t>3.</w:t>
      </w:r>
      <w:r>
        <w:rPr>
          <w:rFonts w:eastAsia="Calibri"/>
          <w:b/>
        </w:rPr>
        <w:tab/>
      </w:r>
      <w:r w:rsidR="00F96714">
        <w:rPr>
          <w:rFonts w:eastAsia="Calibri"/>
          <w:b/>
        </w:rPr>
        <w:t>The ESP non-price and qualitative benefits claimed by the Companies and Staff do not exist or are entirely speculative.</w:t>
      </w:r>
    </w:p>
    <w:p w:rsidR="00FD64B7" w:rsidRDefault="00FD64B7">
      <w:pPr>
        <w:spacing w:after="0" w:line="240" w:lineRule="auto"/>
        <w:ind w:left="2160"/>
        <w:contextualSpacing/>
        <w:jc w:val="both"/>
        <w:rPr>
          <w:rFonts w:eastAsia="Calibri"/>
          <w:b/>
        </w:rPr>
      </w:pPr>
    </w:p>
    <w:p w:rsidR="00FD64B7" w:rsidRDefault="00F96714" w:rsidP="00590648">
      <w:pPr>
        <w:spacing w:line="480" w:lineRule="auto"/>
        <w:ind w:firstLine="720"/>
        <w:jc w:val="both"/>
        <w:rPr>
          <w:rFonts w:eastAsia="Calibri"/>
        </w:rPr>
      </w:pPr>
      <w:r>
        <w:rPr>
          <w:rFonts w:eastAsia="Calibri"/>
        </w:rPr>
        <w:t>Recognizing the Stipulation ESP failed the ESP versus MRO</w:t>
      </w:r>
      <w:r w:rsidR="00096946">
        <w:rPr>
          <w:rFonts w:eastAsia="Calibri"/>
        </w:rPr>
        <w:t xml:space="preserve"> test</w:t>
      </w:r>
      <w:r>
        <w:rPr>
          <w:rFonts w:eastAsia="Calibri"/>
        </w:rPr>
        <w:t>, both the Companies and Staff turned to alleged non-price or qualitative benefits they claimed may result from the Stipulation ESP.  The Companies’ witness Allen testified the additional non-price benefits resulting from the Stipulation ESP would have a net present value of $880 million, consisting of $108 million in ESP non-price benefit for non-shopping customers, $856 million value of discounted capacity to CRES suppliers, $104 million in reduced PIRR carrying costs,</w:t>
      </w:r>
      <w:r>
        <w:rPr>
          <w:rFonts w:eastAsia="Calibri"/>
          <w:vertAlign w:val="superscript"/>
        </w:rPr>
        <w:footnoteReference w:id="73"/>
      </w:r>
      <w:r>
        <w:rPr>
          <w:rFonts w:eastAsia="Calibri"/>
        </w:rPr>
        <w:t xml:space="preserve"> and $27 million associated with the Partnership with Ohio and Ohio Growth Fund Initiatives.</w:t>
      </w:r>
      <w:r>
        <w:rPr>
          <w:rFonts w:eastAsia="Calibri"/>
          <w:vertAlign w:val="superscript"/>
        </w:rPr>
        <w:footnoteReference w:id="74"/>
      </w:r>
    </w:p>
    <w:p w:rsidR="00FD64B7" w:rsidRDefault="00F96714" w:rsidP="00590648">
      <w:pPr>
        <w:spacing w:line="480" w:lineRule="auto"/>
        <w:ind w:firstLine="720"/>
        <w:jc w:val="both"/>
        <w:rPr>
          <w:rFonts w:eastAsia="Calibri"/>
        </w:rPr>
      </w:pPr>
      <w:r>
        <w:rPr>
          <w:rFonts w:eastAsia="Calibri"/>
        </w:rPr>
        <w:t xml:space="preserve">In his effort to make the proposed ESP look better than it is, he attributed benefits to the Stipulation from the above market capacity charge by assuming that the Companies would have been successful in </w:t>
      </w:r>
      <w:r w:rsidR="00C32A5B">
        <w:rPr>
          <w:rFonts w:eastAsia="Calibri"/>
        </w:rPr>
        <w:t xml:space="preserve">securing approval </w:t>
      </w:r>
      <w:r>
        <w:rPr>
          <w:rFonts w:eastAsia="Calibri"/>
        </w:rPr>
        <w:t xml:space="preserve">for a </w:t>
      </w:r>
      <w:r w:rsidRPr="001816BD">
        <w:rPr>
          <w:rFonts w:eastAsia="Calibri"/>
        </w:rPr>
        <w:t>$355</w:t>
      </w:r>
      <w:r>
        <w:rPr>
          <w:rFonts w:eastAsia="Calibri"/>
        </w:rPr>
        <w:t xml:space="preserve"> per megawatt-day capacity charge.</w:t>
      </w:r>
      <w:r>
        <w:rPr>
          <w:rFonts w:eastAsia="Calibri"/>
          <w:vertAlign w:val="superscript"/>
        </w:rPr>
        <w:footnoteReference w:id="75"/>
      </w:r>
      <w:r>
        <w:rPr>
          <w:rFonts w:eastAsia="Calibri"/>
        </w:rPr>
        <w:t xml:space="preserve">  As Mr. Murray testified, however, customers and their CRES suppliers currently have access to capacity priced at RPM.  Thus, taking away rights that currently exist and attempting to classify the action as a customer benefit is not logical or reasonable.</w:t>
      </w:r>
      <w:r>
        <w:rPr>
          <w:rFonts w:eastAsia="Calibri"/>
          <w:vertAlign w:val="superscript"/>
        </w:rPr>
        <w:footnoteReference w:id="76"/>
      </w:r>
      <w:r>
        <w:rPr>
          <w:rFonts w:eastAsia="Calibri"/>
        </w:rPr>
        <w:t xml:space="preserve">  Staff witness Fortney likewise testified the presumed benefit was not meaningful and therefore not relevant in the ESP versus MRO comparison.</w:t>
      </w:r>
      <w:r>
        <w:rPr>
          <w:rFonts w:eastAsia="Calibri"/>
          <w:vertAlign w:val="superscript"/>
        </w:rPr>
        <w:footnoteReference w:id="77"/>
      </w:r>
      <w:r>
        <w:rPr>
          <w:rFonts w:eastAsia="Calibri"/>
        </w:rPr>
        <w:t xml:space="preserve"> </w:t>
      </w:r>
    </w:p>
    <w:p w:rsidR="00FD64B7" w:rsidRDefault="00F96714" w:rsidP="00590648">
      <w:pPr>
        <w:spacing w:line="480" w:lineRule="auto"/>
        <w:ind w:firstLine="720"/>
        <w:jc w:val="both"/>
        <w:rPr>
          <w:rFonts w:eastAsia="Calibri"/>
        </w:rPr>
      </w:pPr>
      <w:r>
        <w:rPr>
          <w:rFonts w:eastAsia="Calibri"/>
        </w:rPr>
        <w:t xml:space="preserve">The majority of the other </w:t>
      </w:r>
      <w:r w:rsidR="00C32A5B">
        <w:rPr>
          <w:rFonts w:eastAsia="Calibri"/>
        </w:rPr>
        <w:t xml:space="preserve">alleged </w:t>
      </w:r>
      <w:r>
        <w:rPr>
          <w:rFonts w:eastAsia="Calibri"/>
        </w:rPr>
        <w:t xml:space="preserve">benefits </w:t>
      </w:r>
      <w:r w:rsidR="00705405">
        <w:rPr>
          <w:rFonts w:eastAsia="Calibri"/>
        </w:rPr>
        <w:t xml:space="preserve">asserted </w:t>
      </w:r>
      <w:r>
        <w:rPr>
          <w:rFonts w:eastAsia="Calibri"/>
        </w:rPr>
        <w:t>by Mr. Allen are associated with the Stipulation’s use of a debt-based carrying charge to amortize the phase-in deferral.  It is a long</w:t>
      </w:r>
      <w:r w:rsidR="00006FB7">
        <w:rPr>
          <w:rFonts w:eastAsia="Calibri"/>
        </w:rPr>
        <w:t>-</w:t>
      </w:r>
      <w:r>
        <w:rPr>
          <w:rFonts w:eastAsia="Calibri"/>
        </w:rPr>
        <w:t>standing Commission policy that the carrying costs allowed when regulatory assets are being amortized should be based on no more than a long-term cost of debt.</w:t>
      </w:r>
      <w:r>
        <w:rPr>
          <w:rFonts w:eastAsia="Calibri"/>
          <w:vertAlign w:val="superscript"/>
        </w:rPr>
        <w:footnoteReference w:id="78"/>
      </w:r>
      <w:r>
        <w:rPr>
          <w:rFonts w:eastAsia="Calibri"/>
        </w:rPr>
        <w:t xml:space="preserve">  Thus, Mr. Allen’s claim associated with the reduction in </w:t>
      </w:r>
      <w:r w:rsidR="00C32A5B">
        <w:rPr>
          <w:rFonts w:eastAsia="Calibri"/>
        </w:rPr>
        <w:t xml:space="preserve">carrying </w:t>
      </w:r>
      <w:r>
        <w:rPr>
          <w:rFonts w:eastAsia="Calibri"/>
        </w:rPr>
        <w:t xml:space="preserve">costs unreasonably assumes that the Commission would violate long-standing </w:t>
      </w:r>
      <w:r w:rsidR="009C1D91">
        <w:rPr>
          <w:rFonts w:eastAsia="Calibri"/>
        </w:rPr>
        <w:t xml:space="preserve">precedent </w:t>
      </w:r>
      <w:r>
        <w:rPr>
          <w:rFonts w:eastAsia="Calibri"/>
        </w:rPr>
        <w:t>but for the Stipulation.</w:t>
      </w:r>
    </w:p>
    <w:p w:rsidR="00FD64B7" w:rsidRDefault="00F96714" w:rsidP="00590648">
      <w:pPr>
        <w:spacing w:line="480" w:lineRule="auto"/>
        <w:ind w:firstLine="720"/>
        <w:jc w:val="both"/>
        <w:rPr>
          <w:rFonts w:eastAsia="Calibri"/>
        </w:rPr>
      </w:pPr>
      <w:r>
        <w:rPr>
          <w:rFonts w:eastAsia="Calibri"/>
        </w:rPr>
        <w:t>Mr. Fortney testified that the Stipulation ESP has two other attributes that he believed would result in additional qualitative benefits that are difficult, if not impossible, to economically value.</w:t>
      </w:r>
      <w:r>
        <w:rPr>
          <w:rFonts w:eastAsia="Calibri"/>
          <w:vertAlign w:val="superscript"/>
        </w:rPr>
        <w:footnoteReference w:id="79"/>
      </w:r>
      <w:r>
        <w:rPr>
          <w:rFonts w:eastAsia="Calibri"/>
        </w:rPr>
        <w:t xml:space="preserve">  According to Mr. Fortney, those attributes are the Companies’ agreement to move to a CBP for SSO load in 2015 and the possible construction of a natural gas-fired generating facility (MR6).</w:t>
      </w:r>
      <w:r>
        <w:rPr>
          <w:rFonts w:eastAsia="Calibri"/>
          <w:vertAlign w:val="superscript"/>
        </w:rPr>
        <w:footnoteReference w:id="80"/>
      </w:r>
      <w:r>
        <w:rPr>
          <w:rFonts w:eastAsia="Calibri"/>
        </w:rPr>
        <w:t xml:space="preserve">  However, Mr. Fortney conceded there are conditions precedent to a competitive bid in 2015 such that the competitive bid may not occur</w:t>
      </w:r>
      <w:r w:rsidR="000C41B4">
        <w:rPr>
          <w:rFonts w:eastAsia="Calibri"/>
        </w:rPr>
        <w:t>,</w:t>
      </w:r>
      <w:r>
        <w:rPr>
          <w:rFonts w:eastAsia="Calibri"/>
          <w:vertAlign w:val="superscript"/>
        </w:rPr>
        <w:footnoteReference w:id="81"/>
      </w:r>
      <w:r>
        <w:rPr>
          <w:rFonts w:eastAsia="Calibri"/>
        </w:rPr>
        <w:t xml:space="preserve"> </w:t>
      </w:r>
      <w:r w:rsidR="000C41B4">
        <w:rPr>
          <w:rFonts w:eastAsia="Calibri"/>
        </w:rPr>
        <w:t xml:space="preserve">and the </w:t>
      </w:r>
      <w:r>
        <w:rPr>
          <w:rFonts w:eastAsia="Calibri"/>
        </w:rPr>
        <w:t>Stipulation</w:t>
      </w:r>
      <w:r w:rsidR="000C41B4">
        <w:rPr>
          <w:rFonts w:eastAsia="Calibri"/>
        </w:rPr>
        <w:t xml:space="preserve"> </w:t>
      </w:r>
      <w:r>
        <w:rPr>
          <w:rFonts w:eastAsia="Calibri"/>
        </w:rPr>
        <w:t>does not require AEP’s next ESP to include a CBP.</w:t>
      </w:r>
      <w:r>
        <w:rPr>
          <w:rFonts w:eastAsia="Calibri"/>
          <w:vertAlign w:val="superscript"/>
        </w:rPr>
        <w:footnoteReference w:id="82"/>
      </w:r>
      <w:r>
        <w:rPr>
          <w:rFonts w:eastAsia="Calibri"/>
        </w:rPr>
        <w:t xml:space="preserve">  Mr. Fortney also conceded that the construction of MR6 would have to satisfy other statutory requirements and that </w:t>
      </w:r>
      <w:r w:rsidR="00A84E6A">
        <w:rPr>
          <w:rFonts w:eastAsia="Calibri"/>
        </w:rPr>
        <w:t xml:space="preserve">it is unclear when or if </w:t>
      </w:r>
      <w:r>
        <w:rPr>
          <w:rFonts w:eastAsia="Calibri"/>
        </w:rPr>
        <w:t>those conditions would ever be met.</w:t>
      </w:r>
      <w:r>
        <w:rPr>
          <w:rFonts w:eastAsia="Calibri"/>
          <w:vertAlign w:val="superscript"/>
        </w:rPr>
        <w:footnoteReference w:id="83"/>
      </w:r>
    </w:p>
    <w:p w:rsidR="00FD64B7" w:rsidRDefault="00F96714" w:rsidP="00590648">
      <w:pPr>
        <w:spacing w:line="480" w:lineRule="auto"/>
        <w:ind w:firstLine="720"/>
        <w:jc w:val="both"/>
        <w:rPr>
          <w:rFonts w:eastAsia="Calibri"/>
        </w:rPr>
      </w:pPr>
      <w:r>
        <w:rPr>
          <w:rFonts w:eastAsia="Calibri"/>
        </w:rPr>
        <w:t xml:space="preserve">Taken together, the Companies and the Signatory Parties did not demonstrate that the proposed ESP is more favorable, in the aggregate, than an MRO.  On the </w:t>
      </w:r>
      <w:r w:rsidR="00A84E6A">
        <w:rPr>
          <w:rFonts w:eastAsia="Calibri"/>
        </w:rPr>
        <w:t xml:space="preserve">mandatory </w:t>
      </w:r>
      <w:r>
        <w:rPr>
          <w:rFonts w:eastAsia="Calibri"/>
        </w:rPr>
        <w:t xml:space="preserve">price test, the MRO is superior; no witness claims otherwise.  The </w:t>
      </w:r>
      <w:r w:rsidR="00A84E6A">
        <w:rPr>
          <w:rFonts w:eastAsia="Calibri"/>
        </w:rPr>
        <w:t xml:space="preserve">claimed </w:t>
      </w:r>
      <w:r>
        <w:rPr>
          <w:rFonts w:eastAsia="Calibri"/>
        </w:rPr>
        <w:t xml:space="preserve">benefits of the capacity </w:t>
      </w:r>
      <w:r w:rsidR="00A84E6A">
        <w:rPr>
          <w:rFonts w:eastAsia="Calibri"/>
        </w:rPr>
        <w:t xml:space="preserve">charge </w:t>
      </w:r>
      <w:r>
        <w:rPr>
          <w:rFonts w:eastAsia="Calibri"/>
        </w:rPr>
        <w:t xml:space="preserve">provisions </w:t>
      </w:r>
      <w:r w:rsidR="00A84E6A">
        <w:rPr>
          <w:rFonts w:eastAsia="Calibri"/>
        </w:rPr>
        <w:t xml:space="preserve">and </w:t>
      </w:r>
      <w:r>
        <w:rPr>
          <w:rFonts w:eastAsia="Calibri"/>
        </w:rPr>
        <w:t>carrying charges on the deferrals do not exist.  Nothing in this record supports a finding that the proposed ESP is statutorily permitted or benefits consumers and the public interest.</w:t>
      </w:r>
    </w:p>
    <w:p w:rsidR="00FD64B7" w:rsidRDefault="0032151F" w:rsidP="0032151F">
      <w:pPr>
        <w:pStyle w:val="ListParagraph"/>
        <w:spacing w:line="240" w:lineRule="auto"/>
        <w:rPr>
          <w:b/>
        </w:rPr>
      </w:pPr>
      <w:r>
        <w:rPr>
          <w:b/>
        </w:rPr>
        <w:t>B.</w:t>
      </w:r>
      <w:r>
        <w:rPr>
          <w:b/>
        </w:rPr>
        <w:tab/>
      </w:r>
      <w:r w:rsidR="00F96714">
        <w:rPr>
          <w:b/>
        </w:rPr>
        <w:t>Generation Rate Structure</w:t>
      </w:r>
    </w:p>
    <w:p w:rsidR="009331EB" w:rsidRDefault="009331EB" w:rsidP="00AE0717">
      <w:pPr>
        <w:pStyle w:val="ListParagraph"/>
        <w:spacing w:line="240" w:lineRule="auto"/>
        <w:rPr>
          <w:b/>
        </w:rPr>
      </w:pPr>
    </w:p>
    <w:p w:rsidR="009331EB" w:rsidRDefault="00F96714" w:rsidP="00590648">
      <w:pPr>
        <w:spacing w:line="480" w:lineRule="auto"/>
        <w:jc w:val="both"/>
      </w:pPr>
      <w:r>
        <w:tab/>
        <w:t xml:space="preserve">The Stipulation recommends that the Commission approve the Companies’ proposed redesign of generation rates, in which demand-based generation charges would be eliminated for larger customers.  It would establish a </w:t>
      </w:r>
      <w:r w:rsidR="00496D15">
        <w:t>Market Transition Rider (“</w:t>
      </w:r>
      <w:r>
        <w:t>MTR</w:t>
      </w:r>
      <w:r w:rsidR="00496D15">
        <w:t>”)</w:t>
      </w:r>
      <w:r>
        <w:t xml:space="preserve"> as a non-bypassable charge to reduce the impact of the move to the so-called market-based rates, but modify the levels from the Companies’ original </w:t>
      </w:r>
      <w:r w:rsidR="00AE0717">
        <w:t>A</w:t>
      </w:r>
      <w:r>
        <w:t>pplication.</w:t>
      </w:r>
      <w:r>
        <w:rPr>
          <w:rStyle w:val="FootnoteReference"/>
        </w:rPr>
        <w:footnoteReference w:id="84"/>
      </w:r>
      <w:r>
        <w:t xml:space="preserve">  The Stipulation further provides that the MTR during 2012 is not revenue neutral; instead it is designed to authorize up to $24 million in additional revenue.</w:t>
      </w:r>
      <w:r>
        <w:rPr>
          <w:rStyle w:val="FootnoteReference"/>
        </w:rPr>
        <w:footnoteReference w:id="85"/>
      </w:r>
      <w:r>
        <w:t xml:space="preserve">  The Stipulation also introduces a Load Factor Provision (“LFP”) for GS2, GS3, and GS4 customers that appears designed to “fix” some of the problems created by the elimination of demand-based charges for larger customers, as a result of the Stipulation starting with the Companies’ proposal.</w:t>
      </w:r>
      <w:r>
        <w:rPr>
          <w:rStyle w:val="FootnoteReference"/>
        </w:rPr>
        <w:footnoteReference w:id="86"/>
      </w:r>
      <w:r>
        <w:t xml:space="preserve">  As described by the Companies, the proposed generation rate structure results in significant interclass shifts in revenue responsibility.</w:t>
      </w:r>
      <w:r>
        <w:rPr>
          <w:rStyle w:val="FootnoteReference"/>
        </w:rPr>
        <w:footnoteReference w:id="87"/>
      </w:r>
      <w:r>
        <w:t xml:space="preserve">  The rationale for these shifts is to make the rates more market-like.</w:t>
      </w:r>
      <w:r>
        <w:rPr>
          <w:rStyle w:val="FootnoteReference"/>
        </w:rPr>
        <w:footnoteReference w:id="88"/>
      </w:r>
      <w:r>
        <w:t xml:space="preserve">  In attempting to create these more “market-like” rates, the Companies used an administratively-constructed set of rates that were based in part on the blended capacity price the Stipulation illegally and unreasonably proposes.</w:t>
      </w:r>
      <w:r>
        <w:rPr>
          <w:rStyle w:val="FootnoteReference"/>
        </w:rPr>
        <w:footnoteReference w:id="89"/>
      </w:r>
      <w:r>
        <w:t xml:space="preserve">  The result of this exercise, however, </w:t>
      </w:r>
      <w:r w:rsidR="00AE0717">
        <w:t>would be illegal and unreasonable changes in rate design and revenue responsibility.</w:t>
      </w:r>
    </w:p>
    <w:p w:rsidR="009331EB" w:rsidRDefault="00F96714" w:rsidP="00590648">
      <w:pPr>
        <w:spacing w:line="480" w:lineRule="auto"/>
        <w:jc w:val="both"/>
      </w:pPr>
      <w:r>
        <w:tab/>
      </w:r>
      <w:r w:rsidR="00AE0717">
        <w:t>First, t</w:t>
      </w:r>
      <w:r>
        <w:t>he claim that the Stipulation’s proposed rate structure and revenue distribution shares some rational connection to market or cost is not supported by the record in this case.  As Mr. Murray testified, the rates resulting from the Companies’ approach fail to consistently trend seasonally or by time of day as market-based rates do.</w:t>
      </w:r>
      <w:r>
        <w:rPr>
          <w:rStyle w:val="FootnoteReference"/>
        </w:rPr>
        <w:footnoteReference w:id="90"/>
      </w:r>
      <w:r>
        <w:t xml:space="preserve">  The Companies provide no legitimate response to this evidence, but instead improperly rely on rates established by a stipulation that created the FirstEnergy CBP to argue that proposed rates follow the same general structure resulting from the FirstEnergy auctions.</w:t>
      </w:r>
      <w:r>
        <w:rPr>
          <w:rStyle w:val="FootnoteReference"/>
        </w:rPr>
        <w:footnoteReference w:id="91"/>
      </w:r>
      <w:r>
        <w:t xml:space="preserve">  The Companies do not suggest that the rates bear a relationship to costs, and in fact the resulting rates “defy any cost-based explanation.”</w:t>
      </w:r>
      <w:r>
        <w:rPr>
          <w:rStyle w:val="FootnoteReference"/>
        </w:rPr>
        <w:footnoteReference w:id="92"/>
      </w:r>
      <w:r>
        <w:t xml:space="preserve">  </w:t>
      </w:r>
      <w:r w:rsidR="00A1577E" w:rsidRPr="00C678A1">
        <w:t xml:space="preserve">The Staff also initially rejected the proposed changes to revenue distribution and rate design because </w:t>
      </w:r>
      <w:r>
        <w:t xml:space="preserve">a complete </w:t>
      </w:r>
      <w:r w:rsidR="00015400">
        <w:t>overhaul</w:t>
      </w:r>
      <w:r w:rsidR="00495C40">
        <w:t xml:space="preserve"> </w:t>
      </w:r>
      <w:r>
        <w:t>was not necessary</w:t>
      </w:r>
      <w:r w:rsidR="009C1D91">
        <w:t xml:space="preserve">, if at all, </w:t>
      </w:r>
      <w:r>
        <w:t>until the Companies were at actual market prices.</w:t>
      </w:r>
      <w:r>
        <w:rPr>
          <w:rStyle w:val="FootnoteReference"/>
        </w:rPr>
        <w:footnoteReference w:id="93"/>
      </w:r>
    </w:p>
    <w:p w:rsidR="00FD64B7" w:rsidRDefault="00F96714" w:rsidP="00590648">
      <w:pPr>
        <w:spacing w:line="480" w:lineRule="auto"/>
        <w:jc w:val="both"/>
      </w:pPr>
      <w:r>
        <w:tab/>
        <w:t xml:space="preserve">The more likely </w:t>
      </w:r>
      <w:r w:rsidR="00495C40">
        <w:t xml:space="preserve">explanation </w:t>
      </w:r>
      <w:r>
        <w:t>for the so-called market based rates is that the rate design is an element in OP</w:t>
      </w:r>
      <w:r w:rsidR="007C577C">
        <w:t>’s</w:t>
      </w:r>
      <w:r>
        <w:t xml:space="preserve"> and CSP’s attempt to restri</w:t>
      </w:r>
      <w:r w:rsidR="00F92566">
        <w:t>ct choice by customers.  As Dr. </w:t>
      </w:r>
      <w:r>
        <w:t>Lesser in direct testimony</w:t>
      </w:r>
      <w:r>
        <w:rPr>
          <w:rStyle w:val="FootnoteReference"/>
        </w:rPr>
        <w:footnoteReference w:id="94"/>
      </w:r>
      <w:r>
        <w:t xml:space="preserve"> and Ms. Ringenbach on cross-examination</w:t>
      </w:r>
      <w:r>
        <w:rPr>
          <w:rStyle w:val="FootnoteReference"/>
        </w:rPr>
        <w:footnoteReference w:id="95"/>
      </w:r>
      <w:r>
        <w:t xml:space="preserve"> noted, the design of the proposed rates would likely foreclose competition by lowering rates for those customers more likely to shop and raising rates for </w:t>
      </w:r>
      <w:r w:rsidR="00F92566">
        <w:t>those less likely to shop.  Ms. </w:t>
      </w:r>
      <w:r>
        <w:t>Ringenbach acknowledged that she believed that the Companies’ rate approach was part of a larger pattern to discourage shopping</w:t>
      </w:r>
      <w:r>
        <w:rPr>
          <w:rStyle w:val="FootnoteReference"/>
        </w:rPr>
        <w:footnoteReference w:id="96"/>
      </w:r>
      <w:r>
        <w:t xml:space="preserve"> and concluded that Senate Bill 221 would not support the rate approach the Companies were proposing.</w:t>
      </w:r>
      <w:r>
        <w:rPr>
          <w:rStyle w:val="FootnoteReference"/>
        </w:rPr>
        <w:footnoteReference w:id="97"/>
      </w:r>
    </w:p>
    <w:p w:rsidR="00FD64B7" w:rsidRDefault="00F96714" w:rsidP="00590648">
      <w:pPr>
        <w:spacing w:line="480" w:lineRule="auto"/>
        <w:jc w:val="both"/>
      </w:pPr>
      <w:r>
        <w:tab/>
      </w:r>
      <w:r w:rsidR="00495C40">
        <w:t xml:space="preserve">Because of </w:t>
      </w:r>
      <w:r w:rsidR="00A84E6A">
        <w:t xml:space="preserve">the negative </w:t>
      </w:r>
      <w:r w:rsidR="00495C40">
        <w:t xml:space="preserve">effects on shopping, </w:t>
      </w:r>
      <w:r>
        <w:t xml:space="preserve">the proposed </w:t>
      </w:r>
      <w:r w:rsidR="00A84E6A">
        <w:t xml:space="preserve">revenue distribution and </w:t>
      </w:r>
      <w:r>
        <w:t>rate design changes violate the state’s policy to promote customer choice.  The policy of the state is to take steps to encourage diversity of suppliers and supply “by giving consumers effective choices over the selection of those supplies</w:t>
      </w:r>
      <w:r w:rsidR="00495C40">
        <w:t>.</w:t>
      </w:r>
      <w:r>
        <w:t>”</w:t>
      </w:r>
      <w:r>
        <w:rPr>
          <w:rStyle w:val="FootnoteReference"/>
        </w:rPr>
        <w:footnoteReference w:id="98"/>
      </w:r>
      <w:r>
        <w:t xml:space="preserve"> Instead of promoting competition, the </w:t>
      </w:r>
      <w:r w:rsidR="00495C40">
        <w:t xml:space="preserve">proposed </w:t>
      </w:r>
      <w:r>
        <w:t xml:space="preserve">rates </w:t>
      </w:r>
      <w:r w:rsidR="00495C40">
        <w:t xml:space="preserve">would </w:t>
      </w:r>
      <w:r>
        <w:t xml:space="preserve">forestall competition </w:t>
      </w:r>
      <w:r w:rsidR="00C31FA1">
        <w:t>relative to the status quo.</w:t>
      </w:r>
    </w:p>
    <w:p w:rsidR="00FD64B7" w:rsidRDefault="00F96714" w:rsidP="00590648">
      <w:pPr>
        <w:spacing w:line="480" w:lineRule="auto"/>
        <w:jc w:val="both"/>
      </w:pPr>
      <w:r>
        <w:tab/>
        <w:t>The Stipulation’s proposal to mitigate the damage caused by the proposed revenue distribution</w:t>
      </w:r>
      <w:r w:rsidR="00495C40">
        <w:t xml:space="preserve"> and </w:t>
      </w:r>
      <w:r>
        <w:t>rate design through the MTR presents its own difficulties.  As noted above, the proposed MTR is a non-bypassable generation-related</w:t>
      </w:r>
      <w:r>
        <w:rPr>
          <w:rStyle w:val="FootnoteReference"/>
        </w:rPr>
        <w:footnoteReference w:id="99"/>
      </w:r>
      <w:r>
        <w:t xml:space="preserve"> rider that rebalances some of the revenue shifts caused by the application of the proposed revenue distribution and rate design.  As Dr. Lesser explained, the MTR is apparently designed to reduce </w:t>
      </w:r>
      <w:r w:rsidR="00CE47D9">
        <w:t xml:space="preserve">the </w:t>
      </w:r>
      <w:r>
        <w:t>rate shock</w:t>
      </w:r>
      <w:r w:rsidR="00CE47D9">
        <w:t xml:space="preserve"> that is produced by other aspects of the Stipulation</w:t>
      </w:r>
      <w:r>
        <w:t>.</w:t>
      </w:r>
      <w:r>
        <w:rPr>
          <w:rStyle w:val="FootnoteReference"/>
        </w:rPr>
        <w:footnoteReference w:id="100"/>
      </w:r>
      <w:r>
        <w:t xml:space="preserve">  Yet, it also generates as much as $24 million in additional revenue without any cost justification.  Apart from the </w:t>
      </w:r>
      <w:r w:rsidR="00CE47D9">
        <w:t xml:space="preserve">nonsensical </w:t>
      </w:r>
      <w:r>
        <w:t xml:space="preserve">logic of </w:t>
      </w:r>
      <w:r w:rsidR="00CE47D9">
        <w:t xml:space="preserve">introducing the MTR to soften </w:t>
      </w:r>
      <w:r>
        <w:t xml:space="preserve">rate increases </w:t>
      </w:r>
      <w:r w:rsidR="00CE47D9">
        <w:t xml:space="preserve">for which no justification </w:t>
      </w:r>
      <w:r w:rsidR="00B72546">
        <w:t xml:space="preserve">has been provided, other provisions in the Stipulation propose to impose </w:t>
      </w:r>
      <w:r>
        <w:t>economic barriers to shopping</w:t>
      </w:r>
      <w:r w:rsidR="00B72546">
        <w:t xml:space="preserve"> thereby preventing customers from </w:t>
      </w:r>
      <w:r w:rsidR="00195CB6">
        <w:t xml:space="preserve">accessing </w:t>
      </w:r>
      <w:r w:rsidR="00B72546">
        <w:t>the market which the proposed rates are claimed to mimic</w:t>
      </w:r>
      <w:r>
        <w:t xml:space="preserve">.  If proposed rates were </w:t>
      </w:r>
      <w:r w:rsidR="00B72546">
        <w:t xml:space="preserve">really </w:t>
      </w:r>
      <w:r>
        <w:t xml:space="preserve">market-based, the MTR </w:t>
      </w:r>
      <w:r w:rsidR="00B72546">
        <w:t xml:space="preserve">accompanied by the shopping limits operate to distort </w:t>
      </w:r>
      <w:r>
        <w:t>competitive purchasing decisions.</w:t>
      </w:r>
      <w:r>
        <w:rPr>
          <w:rStyle w:val="FootnoteReference"/>
        </w:rPr>
        <w:footnoteReference w:id="101"/>
      </w:r>
      <w:r>
        <w:t xml:space="preserve">  The fact that the rider is proposed to be non-bypassable a</w:t>
      </w:r>
      <w:r w:rsidR="00B72546">
        <w:t>dds to the potential distortion while inhibiting “customer choice”.</w:t>
      </w:r>
    </w:p>
    <w:p w:rsidR="00FD64B7" w:rsidRDefault="00F96714">
      <w:pPr>
        <w:spacing w:line="480" w:lineRule="auto"/>
        <w:ind w:firstLine="720"/>
        <w:jc w:val="both"/>
      </w:pPr>
      <w:r>
        <w:t>Further, the generation-related MTR standing alone has no valid basis in law.  It is a non-bypassable rider; all customers will pay the charge regardless of whether they are shopping or SSO customers.  As a result, the MTR operates effectively as a distribution charge.  The result is that generation-related charges are being collected as if they were distribution or transmission charges, a violation of state policy.</w:t>
      </w:r>
      <w:r>
        <w:rPr>
          <w:rStyle w:val="FootnoteReference"/>
        </w:rPr>
        <w:footnoteReference w:id="102"/>
      </w:r>
    </w:p>
    <w:p w:rsidR="00FD64B7" w:rsidRDefault="00F96714">
      <w:pPr>
        <w:spacing w:line="480" w:lineRule="auto"/>
        <w:ind w:firstLine="720"/>
        <w:jc w:val="both"/>
      </w:pPr>
      <w:r>
        <w:t>Finally, the MTR is not allowable as a charge under Section 4928.143(B)(2), Revised Code.  The recent Supreme Court decision concerning the Companies’ ESP approved in 2009 has made clear that only those riders that are permitted under that section may be authorized as a part of the ESP.</w:t>
      </w:r>
      <w:r>
        <w:rPr>
          <w:rStyle w:val="FootnoteReference"/>
        </w:rPr>
        <w:footnoteReference w:id="103"/>
      </w:r>
      <w:r>
        <w:t xml:space="preserve">  The Companies are not seeking a non-bypassable rider under those provisions (Section</w:t>
      </w:r>
      <w:r w:rsidR="007744BC">
        <w:t>s</w:t>
      </w:r>
      <w:r>
        <w:t xml:space="preserve"> 4928.143(B)(2)(b) and (c), Revised Code) that specifically provide for non-bypassable riders.  The only other provision that they may point to is subdivision (B)(2)(d), but that provision requires some showing that the rider will have the effect of providing stability or certainty in the provision of retail electric service.  There is no evidence in the record that supports any finding that the MTR would have that result.</w:t>
      </w:r>
      <w:r>
        <w:rPr>
          <w:rStyle w:val="FootnoteReference"/>
        </w:rPr>
        <w:footnoteReference w:id="104"/>
      </w:r>
    </w:p>
    <w:p w:rsidR="009331EB" w:rsidRDefault="00F96714" w:rsidP="009331EB">
      <w:pPr>
        <w:spacing w:line="480" w:lineRule="auto"/>
        <w:ind w:firstLine="720"/>
        <w:jc w:val="both"/>
      </w:pPr>
      <w:r>
        <w:t xml:space="preserve">In summary, the rate design </w:t>
      </w:r>
      <w:r w:rsidR="00195CB6">
        <w:t xml:space="preserve">and revenue distribution </w:t>
      </w:r>
      <w:r>
        <w:t xml:space="preserve">proposed by the Stipulation </w:t>
      </w:r>
      <w:r w:rsidR="00195CB6">
        <w:t xml:space="preserve">are </w:t>
      </w:r>
      <w:r>
        <w:t xml:space="preserve">irrational and </w:t>
      </w:r>
      <w:r w:rsidR="005A7A82">
        <w:t>inconsistent with “</w:t>
      </w:r>
      <w:r w:rsidR="000059E9" w:rsidRPr="001816BD">
        <w:t>customer</w:t>
      </w:r>
      <w:r>
        <w:t xml:space="preserve"> choice.</w:t>
      </w:r>
      <w:r w:rsidR="005A7A82">
        <w:t>”</w:t>
      </w:r>
      <w:r>
        <w:t xml:space="preserve">  It shifts revenue responsibility between </w:t>
      </w:r>
      <w:r w:rsidR="000059E9">
        <w:t xml:space="preserve">and within </w:t>
      </w:r>
      <w:r>
        <w:t>customer classes and creates rate</w:t>
      </w:r>
      <w:r w:rsidR="000059E9">
        <w:t>s</w:t>
      </w:r>
      <w:r>
        <w:t xml:space="preserve"> that </w:t>
      </w:r>
      <w:r w:rsidR="000059E9">
        <w:t xml:space="preserve">are </w:t>
      </w:r>
      <w:r>
        <w:t xml:space="preserve">disconnected from any cost or market-based justification.  The </w:t>
      </w:r>
      <w:r w:rsidR="00195CB6">
        <w:t>“</w:t>
      </w:r>
      <w:r>
        <w:t>fixes</w:t>
      </w:r>
      <w:r w:rsidR="00195CB6">
        <w:t>”</w:t>
      </w:r>
      <w:r>
        <w:t xml:space="preserve"> provided by the MTR actually increase the </w:t>
      </w:r>
      <w:r w:rsidR="005A7A82">
        <w:t xml:space="preserve">Companies’ </w:t>
      </w:r>
      <w:r>
        <w:t xml:space="preserve">revenue with no cost justification and further distort the so-called market basis for the rates.  </w:t>
      </w:r>
      <w:r w:rsidR="009C2B73">
        <w:t>If customers had a choice of electric service providers, these charges might be less objectionable because customers could choose to avoid the unreasonable (and illegal) rates.</w:t>
      </w:r>
      <w:r>
        <w:rPr>
          <w:rStyle w:val="FootnoteReference"/>
        </w:rPr>
        <w:footnoteReference w:id="105"/>
      </w:r>
      <w:r>
        <w:t xml:space="preserve">  </w:t>
      </w:r>
      <w:r w:rsidR="00B54E3F">
        <w:t xml:space="preserve">The Stipulation, however, proposes to stifle the amount of access customers have to suppliers offering real market-based rates.  </w:t>
      </w:r>
      <w:r>
        <w:t xml:space="preserve">The proposal to redesign the rate structure and shift revenue responsibility thus fails to satisfy </w:t>
      </w:r>
      <w:r w:rsidR="009C2B73">
        <w:t>s</w:t>
      </w:r>
      <w:r>
        <w:t>tate policy requirements or benefit customers and should be rejected.</w:t>
      </w:r>
    </w:p>
    <w:p w:rsidR="00FD64B7" w:rsidRDefault="0032151F" w:rsidP="0032151F">
      <w:pPr>
        <w:pStyle w:val="ListParagraph"/>
        <w:spacing w:line="240" w:lineRule="auto"/>
        <w:rPr>
          <w:b/>
        </w:rPr>
      </w:pPr>
      <w:r>
        <w:rPr>
          <w:b/>
        </w:rPr>
        <w:t>C.</w:t>
      </w:r>
      <w:r>
        <w:rPr>
          <w:b/>
        </w:rPr>
        <w:tab/>
      </w:r>
      <w:r w:rsidR="00F96714">
        <w:rPr>
          <w:b/>
        </w:rPr>
        <w:t xml:space="preserve">Rate </w:t>
      </w:r>
      <w:r w:rsidR="009C2B73">
        <w:rPr>
          <w:b/>
        </w:rPr>
        <w:t>I</w:t>
      </w:r>
      <w:r w:rsidR="00F96714">
        <w:rPr>
          <w:b/>
        </w:rPr>
        <w:t>ncreases</w:t>
      </w:r>
    </w:p>
    <w:p w:rsidR="009331EB" w:rsidRDefault="009331EB" w:rsidP="009331EB">
      <w:pPr>
        <w:pStyle w:val="ListParagraph"/>
        <w:spacing w:line="240" w:lineRule="auto"/>
        <w:rPr>
          <w:b/>
        </w:rPr>
      </w:pPr>
    </w:p>
    <w:p w:rsidR="00FD64B7" w:rsidRDefault="00F96714" w:rsidP="000801BE">
      <w:pPr>
        <w:spacing w:line="480" w:lineRule="auto"/>
        <w:ind w:firstLine="720"/>
        <w:jc w:val="both"/>
      </w:pPr>
      <w:r>
        <w:t xml:space="preserve">The Stipulation proposes arbitrary automatic increases in the base generation rates </w:t>
      </w:r>
      <w:r w:rsidR="005A7A82">
        <w:t xml:space="preserve">raising the </w:t>
      </w:r>
      <w:r w:rsidR="001816BD">
        <w:t>average rate</w:t>
      </w:r>
      <w:r w:rsidR="005A7A82">
        <w:t xml:space="preserve"> to </w:t>
      </w:r>
      <w:r>
        <w:t>2.45</w:t>
      </w:r>
      <w:r w:rsidR="009C2B73">
        <w:t>¢</w:t>
      </w:r>
      <w:r>
        <w:t>/kWh in 2012, 2.57</w:t>
      </w:r>
      <w:r w:rsidR="009C2B73">
        <w:t>¢</w:t>
      </w:r>
      <w:r>
        <w:t>/kWh in 2013, and 2.72</w:t>
      </w:r>
      <w:r w:rsidR="005A7A82">
        <w:t>¢</w:t>
      </w:r>
      <w:r>
        <w:t xml:space="preserve">/kWh in 2014 and </w:t>
      </w:r>
      <w:r w:rsidR="009C2B73">
        <w:t xml:space="preserve">the first five months of </w:t>
      </w:r>
      <w:r>
        <w:t>2015.  The Stipulation further provides that the rate increases are to be implemented pursuant to Section 4928.143(B)(2)(d), Revised Code.</w:t>
      </w:r>
      <w:r>
        <w:rPr>
          <w:rStyle w:val="FootnoteReference"/>
        </w:rPr>
        <w:footnoteReference w:id="106"/>
      </w:r>
      <w:r>
        <w:t xml:space="preserve">  However, there is no justification </w:t>
      </w:r>
      <w:r w:rsidR="005A7A82">
        <w:t>(</w:t>
      </w:r>
      <w:r>
        <w:t xml:space="preserve">based </w:t>
      </w:r>
      <w:r w:rsidR="005A7A82">
        <w:t xml:space="preserve">on increased costs or otherwise) </w:t>
      </w:r>
      <w:r>
        <w:t>for the proposed increases.  These proposed increases without any cost justification violate well understood Commission policy, especially in light of the fact that the Stipulation proposes to significantly limit customers’ ability to shop.</w:t>
      </w:r>
    </w:p>
    <w:p w:rsidR="00FD64B7" w:rsidRDefault="00F96714" w:rsidP="000801BE">
      <w:pPr>
        <w:spacing w:line="480" w:lineRule="auto"/>
        <w:ind w:firstLine="720"/>
        <w:jc w:val="both"/>
      </w:pPr>
      <w:r>
        <w:t>“It is the policy of this state to do the following throughout this state:</w:t>
      </w:r>
      <w:r w:rsidR="00D14513">
        <w:t xml:space="preserve"> </w:t>
      </w:r>
      <w:r>
        <w:t xml:space="preserve"> (A) Ensure the availability to consumers of adequate, reliable, safe, efficient, nondiscriminatory, and reasonably priced retail electric service.”</w:t>
      </w:r>
      <w:r>
        <w:rPr>
          <w:rStyle w:val="FootnoteReference"/>
        </w:rPr>
        <w:footnoteReference w:id="107"/>
      </w:r>
      <w:r>
        <w:t xml:space="preserve">  In assuring that retail electric service is reasonably priced, the General Assembly has provided that an EDU seeking to implement an ESP must demonstrate that in the aggregate the ESP is more favorable than a</w:t>
      </w:r>
      <w:r w:rsidR="00D14513">
        <w:t>n</w:t>
      </w:r>
      <w:r>
        <w:t xml:space="preserve"> MRO.</w:t>
      </w:r>
      <w:r>
        <w:rPr>
          <w:rStyle w:val="FootnoteReference"/>
        </w:rPr>
        <w:footnoteReference w:id="108"/>
      </w:r>
      <w:r>
        <w:t xml:space="preserve">  As demonstrated above, the ESP proposed by the Stipulation fails to satisfy that test.  As a starting point, therefore, it is apparent that the proposed rates will fail to satisfy State policy to ensure that rates are “reasonably priced.”</w:t>
      </w:r>
    </w:p>
    <w:p w:rsidR="00FD64B7" w:rsidRDefault="00F96714" w:rsidP="000801BE">
      <w:pPr>
        <w:spacing w:line="480" w:lineRule="auto"/>
        <w:ind w:firstLine="720"/>
        <w:jc w:val="both"/>
      </w:pPr>
      <w:r>
        <w:t xml:space="preserve">Furthermore, the annual rate increases lack </w:t>
      </w:r>
      <w:r w:rsidR="005A7A82">
        <w:t xml:space="preserve">any </w:t>
      </w:r>
      <w:r>
        <w:t>cost justification.  As indicated by the Companies’ rate witness, there is no cost basis for the increase.</w:t>
      </w:r>
      <w:r>
        <w:rPr>
          <w:rStyle w:val="FootnoteReference"/>
        </w:rPr>
        <w:footnoteReference w:id="109"/>
      </w:r>
      <w:r>
        <w:t xml:space="preserve">  The only justification offered for the rate increases is that they were agreed to and are designed to better replicate market rates.  (The latter argument cannot serve to justify rate increases and is a separate basis for rejecting the Stipulation discussed in the previous section.)</w:t>
      </w:r>
    </w:p>
    <w:p w:rsidR="00FD64B7" w:rsidRDefault="00F96714" w:rsidP="000801BE">
      <w:pPr>
        <w:spacing w:line="480" w:lineRule="auto"/>
        <w:ind w:firstLine="720"/>
        <w:jc w:val="both"/>
      </w:pPr>
      <w:r>
        <w:t xml:space="preserve">The Staff, </w:t>
      </w:r>
      <w:r w:rsidR="00D14513">
        <w:t>itself</w:t>
      </w:r>
      <w:r>
        <w:t xml:space="preserve">, has indicated that more justification for these </w:t>
      </w:r>
      <w:r w:rsidR="005A7A82">
        <w:t xml:space="preserve">proposed </w:t>
      </w:r>
      <w:r>
        <w:t>rate increases is necessary.  In response to cross-examination, Mr. Fortney testified:</w:t>
      </w:r>
    </w:p>
    <w:p w:rsidR="00FD64B7" w:rsidRDefault="00F96714" w:rsidP="00D14513">
      <w:pPr>
        <w:spacing w:line="240" w:lineRule="auto"/>
        <w:ind w:left="720" w:right="720"/>
        <w:jc w:val="both"/>
      </w:pPr>
      <w:r>
        <w:t>Q. Now, in your testimony filed [August 4, 2011] with respect to the ESP proposed by the company you also disagreed with the company’s proposal to increase its generation rate, correct?</w:t>
      </w:r>
    </w:p>
    <w:p w:rsidR="00FD64B7" w:rsidRDefault="00F96714" w:rsidP="00D14513">
      <w:pPr>
        <w:spacing w:line="240" w:lineRule="auto"/>
        <w:ind w:left="720" w:right="720"/>
        <w:jc w:val="both"/>
      </w:pPr>
      <w:r>
        <w:t>A. Correct.</w:t>
      </w:r>
    </w:p>
    <w:p w:rsidR="00FD64B7" w:rsidRDefault="00F96714" w:rsidP="00D14513">
      <w:pPr>
        <w:spacing w:line="240" w:lineRule="auto"/>
        <w:ind w:left="720" w:right="720"/>
        <w:jc w:val="both"/>
      </w:pPr>
      <w:r>
        <w:t>Q. And the premise of your disagreement was that there was no cost-based rationale to the company’s proposal, correct?</w:t>
      </w:r>
    </w:p>
    <w:p w:rsidR="00FD64B7" w:rsidRDefault="00F96714" w:rsidP="00D14513">
      <w:pPr>
        <w:spacing w:line="240" w:lineRule="auto"/>
        <w:ind w:left="720" w:right="720"/>
        <w:jc w:val="both"/>
      </w:pPr>
      <w:r>
        <w:t>A. That was my initial testimony, yes.</w:t>
      </w:r>
    </w:p>
    <w:p w:rsidR="00FD64B7" w:rsidRDefault="00F96714" w:rsidP="00D14513">
      <w:pPr>
        <w:spacing w:line="240" w:lineRule="auto"/>
        <w:ind w:left="720" w:right="720"/>
        <w:jc w:val="both"/>
      </w:pPr>
      <w:r>
        <w:t>Q. And because there was no cost-based rationale you testified that the staff had no reason to believe that such an increase in revenue was warranted at that time; is that correct?</w:t>
      </w:r>
    </w:p>
    <w:p w:rsidR="00FD64B7" w:rsidRDefault="00F96714" w:rsidP="00D14513">
      <w:pPr>
        <w:spacing w:line="240" w:lineRule="auto"/>
        <w:ind w:left="720" w:right="720"/>
        <w:jc w:val="both"/>
      </w:pPr>
      <w:r>
        <w:t>A. I don’t know.  I assume you’re reading from my initial testimony so yes.</w:t>
      </w:r>
    </w:p>
    <w:p w:rsidR="00FD64B7" w:rsidRDefault="00F96714" w:rsidP="00D14513">
      <w:pPr>
        <w:spacing w:line="240" w:lineRule="auto"/>
        <w:ind w:left="720" w:right="720"/>
        <w:jc w:val="both"/>
      </w:pPr>
      <w:r>
        <w:t>Q. That is a correct assumption. Now, under the proposed stipulation there are increases in generation rates for each year of the years 2012 through 2015; are there not?</w:t>
      </w:r>
    </w:p>
    <w:p w:rsidR="00FD64B7" w:rsidRDefault="00F96714" w:rsidP="00D14513">
      <w:pPr>
        <w:spacing w:line="240" w:lineRule="auto"/>
        <w:ind w:left="720" w:right="720"/>
        <w:jc w:val="both"/>
      </w:pPr>
      <w:r>
        <w:t>A. There are proposed increases in the base generation rates, but those base generation rates no longer represent what they initially did in the application.</w:t>
      </w:r>
    </w:p>
    <w:p w:rsidR="00FD64B7" w:rsidRDefault="00F96714" w:rsidP="00D14513">
      <w:pPr>
        <w:spacing w:line="240" w:lineRule="auto"/>
        <w:ind w:left="720" w:right="720"/>
        <w:jc w:val="both"/>
      </w:pPr>
      <w:r>
        <w:t>Q. And these generation rate increases are not based on cost, are they?</w:t>
      </w:r>
    </w:p>
    <w:p w:rsidR="00FD64B7" w:rsidRDefault="00F96714" w:rsidP="00D14513">
      <w:pPr>
        <w:spacing w:line="240" w:lineRule="auto"/>
        <w:ind w:left="720" w:right="720"/>
        <w:jc w:val="both"/>
      </w:pPr>
      <w:r>
        <w:t>A. Not to my knowledge.</w:t>
      </w:r>
      <w:r>
        <w:rPr>
          <w:rStyle w:val="FootnoteReference"/>
        </w:rPr>
        <w:footnoteReference w:id="110"/>
      </w:r>
    </w:p>
    <w:p w:rsidR="00FD64B7" w:rsidRDefault="00FD64B7" w:rsidP="009331EB">
      <w:pPr>
        <w:spacing w:after="0" w:line="240" w:lineRule="auto"/>
        <w:ind w:left="1440" w:right="1440"/>
        <w:jc w:val="both"/>
      </w:pPr>
    </w:p>
    <w:p w:rsidR="00FD64B7" w:rsidRDefault="00F96714">
      <w:pPr>
        <w:spacing w:line="480" w:lineRule="auto"/>
        <w:jc w:val="both"/>
      </w:pPr>
      <w:r>
        <w:t>As Mr. Fortney testified, the Commission has not approved non-cost based increases.</w:t>
      </w:r>
    </w:p>
    <w:p w:rsidR="00FD64B7" w:rsidRDefault="00F96714" w:rsidP="00D14513">
      <w:pPr>
        <w:spacing w:line="240" w:lineRule="auto"/>
        <w:ind w:left="720" w:right="720"/>
        <w:jc w:val="both"/>
      </w:pPr>
      <w:r>
        <w:t>Q. Can you identify, Mr. Fortney, any specific examples of Commission practice with respect to ESPs where the PUCO has allowed noncost-based elements or provisions in an electric security plan?</w:t>
      </w:r>
    </w:p>
    <w:p w:rsidR="00FD64B7" w:rsidRDefault="00F96714" w:rsidP="00D14513">
      <w:pPr>
        <w:spacing w:line="240" w:lineRule="auto"/>
        <w:ind w:left="720" w:right="720"/>
        <w:jc w:val="both"/>
      </w:pPr>
      <w:r>
        <w:t>A. And, again, are we talking about distribution? Was that part of the question?</w:t>
      </w:r>
    </w:p>
    <w:p w:rsidR="00FD64B7" w:rsidRDefault="00F96714" w:rsidP="00D14513">
      <w:pPr>
        <w:spacing w:line="240" w:lineRule="auto"/>
        <w:ind w:left="720" w:right="720"/>
        <w:jc w:val="both"/>
      </w:pPr>
      <w:r>
        <w:t>Q. Of an–an electric security plan of an electric utility.</w:t>
      </w:r>
    </w:p>
    <w:p w:rsidR="00FD64B7" w:rsidRDefault="00F96714" w:rsidP="00590648">
      <w:pPr>
        <w:spacing w:after="0" w:line="240" w:lineRule="auto"/>
        <w:ind w:left="720" w:right="720"/>
        <w:jc w:val="both"/>
      </w:pPr>
      <w:r>
        <w:t>A. Not that I’m aware of.  There have been several approvals of riders, but all of them have some cost-based mechanism for adjustment.</w:t>
      </w:r>
      <w:r>
        <w:rPr>
          <w:rStyle w:val="FootnoteReference"/>
        </w:rPr>
        <w:footnoteReference w:id="111"/>
      </w:r>
    </w:p>
    <w:p w:rsidR="00FD64B7" w:rsidRDefault="00FD64B7" w:rsidP="00F92566">
      <w:pPr>
        <w:spacing w:after="0" w:line="480" w:lineRule="auto"/>
        <w:ind w:left="1440" w:right="1440"/>
        <w:jc w:val="both"/>
      </w:pPr>
    </w:p>
    <w:p w:rsidR="00FD64B7" w:rsidRDefault="00F96714">
      <w:pPr>
        <w:spacing w:line="480" w:lineRule="auto"/>
        <w:jc w:val="both"/>
      </w:pPr>
      <w:r>
        <w:t>With regard to the Companies, Mr. Fortney’s testimony reflects the Commission’s position in the Companies’ first ESP</w:t>
      </w:r>
      <w:r w:rsidR="00D14513">
        <w:t xml:space="preserve"> case</w:t>
      </w:r>
      <w:r>
        <w:t>.  In that case, the Companies sought annual automatic increases in the base generation rates.  The Commission rejected non-cost based increases because “the record is void of sufficient support to rationalize automatic, annual generation increases that are not cost-based, but that are significant, equaling approximately $87 million for CSP and $262 million for OP.”</w:t>
      </w:r>
      <w:r>
        <w:rPr>
          <w:rStyle w:val="FootnoteReference"/>
        </w:rPr>
        <w:footnoteReference w:id="112"/>
      </w:r>
      <w:r>
        <w:t xml:space="preserve">  </w:t>
      </w:r>
    </w:p>
    <w:p w:rsidR="00FD64B7" w:rsidRDefault="00F96714">
      <w:pPr>
        <w:spacing w:line="480" w:lineRule="auto"/>
        <w:jc w:val="both"/>
      </w:pPr>
      <w:r>
        <w:tab/>
        <w:t xml:space="preserve">Additionally, the Companies have failed to provide any demonstration that the rates satisfy state policy that </w:t>
      </w:r>
      <w:r w:rsidR="00B54E3F">
        <w:t xml:space="preserve">rates be </w:t>
      </w:r>
      <w:r>
        <w:t>reasonabl</w:t>
      </w:r>
      <w:r w:rsidR="00BE5881">
        <w:t>e</w:t>
      </w:r>
      <w:r>
        <w:t xml:space="preserve">.  The </w:t>
      </w:r>
      <w:r w:rsidR="00BE5881">
        <w:t xml:space="preserve">Companies </w:t>
      </w:r>
      <w:r>
        <w:t xml:space="preserve">have made no attempt to establish a cost basis </w:t>
      </w:r>
      <w:r w:rsidR="00BE5881">
        <w:t xml:space="preserve">or </w:t>
      </w:r>
      <w:r>
        <w:t xml:space="preserve">other basis </w:t>
      </w:r>
      <w:r w:rsidR="00BE5881">
        <w:t xml:space="preserve">for </w:t>
      </w:r>
      <w:r>
        <w:t xml:space="preserve">either the increase or the resulting level of rates </w:t>
      </w:r>
      <w:r w:rsidR="00BE5881">
        <w:t xml:space="preserve">and </w:t>
      </w:r>
      <w:r>
        <w:t>revenue.  Under these circumstances, the Companies have failed to provide any basis for the Commission to determine, as it is required to do, that the rates are “reasonably priced.”  When this deficiency is added to the fact that the rates do not satisfy the ESP versus MRO test, it is readily apparent that the resulting rate increases cannot satisfy the requirements for approval of the proposed rates under either the statutory requirements or Commission policy.</w:t>
      </w:r>
    </w:p>
    <w:p w:rsidR="00FD64B7" w:rsidRDefault="0032151F" w:rsidP="00F92566">
      <w:pPr>
        <w:pStyle w:val="ListParagraph"/>
        <w:autoSpaceDE w:val="0"/>
        <w:autoSpaceDN w:val="0"/>
        <w:adjustRightInd w:val="0"/>
        <w:spacing w:line="240" w:lineRule="auto"/>
        <w:rPr>
          <w:rFonts w:eastAsiaTheme="minorEastAsia"/>
          <w:b/>
        </w:rPr>
      </w:pPr>
      <w:r>
        <w:rPr>
          <w:rFonts w:eastAsiaTheme="minorEastAsia"/>
          <w:b/>
        </w:rPr>
        <w:t>D.</w:t>
      </w:r>
      <w:r>
        <w:rPr>
          <w:rFonts w:eastAsiaTheme="minorEastAsia"/>
          <w:b/>
        </w:rPr>
        <w:tab/>
      </w:r>
      <w:r w:rsidR="00F96714">
        <w:rPr>
          <w:rFonts w:eastAsiaTheme="minorEastAsia"/>
          <w:b/>
        </w:rPr>
        <w:t>Shopping Limits</w:t>
      </w:r>
    </w:p>
    <w:p w:rsidR="009331EB" w:rsidRPr="009331EB" w:rsidRDefault="009331EB" w:rsidP="0032151F">
      <w:pPr>
        <w:autoSpaceDE w:val="0"/>
        <w:autoSpaceDN w:val="0"/>
        <w:adjustRightInd w:val="0"/>
        <w:spacing w:after="0" w:line="240" w:lineRule="auto"/>
        <w:rPr>
          <w:rFonts w:eastAsiaTheme="minorEastAsia"/>
          <w:b/>
        </w:rPr>
      </w:pPr>
    </w:p>
    <w:p w:rsidR="00FD64B7" w:rsidRDefault="00F96714">
      <w:pPr>
        <w:autoSpaceDE w:val="0"/>
        <w:autoSpaceDN w:val="0"/>
        <w:adjustRightInd w:val="0"/>
        <w:spacing w:line="480" w:lineRule="auto"/>
        <w:ind w:firstLine="720"/>
        <w:jc w:val="both"/>
        <w:rPr>
          <w:rFonts w:eastAsiaTheme="minorEastAsia"/>
        </w:rPr>
      </w:pPr>
      <w:r>
        <w:rPr>
          <w:rFonts w:eastAsiaTheme="minorEastAsia"/>
        </w:rPr>
        <w:t>Section IV.2 of the Stipulation addressed capacity charges applicable to CRES suppliers serving customer</w:t>
      </w:r>
      <w:r w:rsidR="00B634E4">
        <w:rPr>
          <w:rFonts w:eastAsiaTheme="minorEastAsia"/>
        </w:rPr>
        <w:t>s</w:t>
      </w:r>
      <w:r>
        <w:rPr>
          <w:rFonts w:eastAsiaTheme="minorEastAsia"/>
        </w:rPr>
        <w:t xml:space="preserve"> within the Companies’ service area</w:t>
      </w:r>
      <w:r w:rsidR="00B634E4">
        <w:rPr>
          <w:rFonts w:eastAsiaTheme="minorEastAsia"/>
        </w:rPr>
        <w:t>s</w:t>
      </w:r>
      <w:r>
        <w:rPr>
          <w:rFonts w:eastAsiaTheme="minorEastAsia"/>
        </w:rPr>
        <w:t>.  The Stipulation proposes the creation of a two-tiered system of capacity charges and limitations on the availability of the lower</w:t>
      </w:r>
      <w:r w:rsidR="00B634E4">
        <w:rPr>
          <w:rFonts w:eastAsiaTheme="minorEastAsia"/>
        </w:rPr>
        <w:t>-</w:t>
      </w:r>
      <w:r>
        <w:rPr>
          <w:rFonts w:eastAsiaTheme="minorEastAsia"/>
        </w:rPr>
        <w:t xml:space="preserve">priced capacity to CRES suppliers through predetermined set-asides or caps on shopping.  Because the proposals violate several </w:t>
      </w:r>
      <w:r w:rsidR="00B634E4">
        <w:rPr>
          <w:rFonts w:eastAsiaTheme="minorEastAsia"/>
        </w:rPr>
        <w:t>s</w:t>
      </w:r>
      <w:r>
        <w:rPr>
          <w:rFonts w:eastAsiaTheme="minorEastAsia"/>
        </w:rPr>
        <w:t>tate policy goals, the Commission should reject or substantially amend this part of the Stipulation.</w:t>
      </w:r>
    </w:p>
    <w:p w:rsidR="00FD64B7" w:rsidRDefault="0032151F" w:rsidP="0032151F">
      <w:pPr>
        <w:pStyle w:val="ListParagraph"/>
        <w:autoSpaceDE w:val="0"/>
        <w:autoSpaceDN w:val="0"/>
        <w:adjustRightInd w:val="0"/>
        <w:spacing w:after="200" w:line="240" w:lineRule="auto"/>
        <w:ind w:left="2160" w:hanging="810"/>
        <w:rPr>
          <w:rFonts w:eastAsiaTheme="minorEastAsia" w:cs="Arial"/>
          <w:b/>
          <w:szCs w:val="24"/>
        </w:rPr>
      </w:pPr>
      <w:r>
        <w:rPr>
          <w:rFonts w:eastAsiaTheme="minorEastAsia" w:cs="Arial"/>
          <w:b/>
          <w:szCs w:val="24"/>
        </w:rPr>
        <w:t>1.</w:t>
      </w:r>
      <w:r>
        <w:rPr>
          <w:rFonts w:eastAsiaTheme="minorEastAsia" w:cs="Arial"/>
          <w:b/>
          <w:szCs w:val="24"/>
        </w:rPr>
        <w:tab/>
      </w:r>
      <w:r w:rsidR="00F96714">
        <w:rPr>
          <w:rFonts w:eastAsiaTheme="minorEastAsia" w:cs="Arial"/>
          <w:b/>
          <w:szCs w:val="24"/>
        </w:rPr>
        <w:t xml:space="preserve">The </w:t>
      </w:r>
      <w:r>
        <w:rPr>
          <w:rFonts w:eastAsiaTheme="minorEastAsia" w:cs="Arial"/>
          <w:b/>
          <w:szCs w:val="24"/>
        </w:rPr>
        <w:t>two-tiered capacity price frustrates customer choice.</w:t>
      </w:r>
    </w:p>
    <w:p w:rsidR="00FD64B7" w:rsidRDefault="00F96714" w:rsidP="000801BE">
      <w:pPr>
        <w:autoSpaceDE w:val="0"/>
        <w:autoSpaceDN w:val="0"/>
        <w:adjustRightInd w:val="0"/>
        <w:spacing w:line="480" w:lineRule="auto"/>
        <w:ind w:firstLine="720"/>
        <w:jc w:val="both"/>
        <w:rPr>
          <w:rFonts w:eastAsiaTheme="minorEastAsia"/>
        </w:rPr>
      </w:pPr>
      <w:r>
        <w:rPr>
          <w:rFonts w:eastAsiaTheme="minorEastAsia"/>
        </w:rPr>
        <w:t>Since the adoption of SB 3, the state has pursued a policy of competition in the pricing and delivery of retail electric generation service.  It is the policy of the state to “[e]nsure the availability of unbundled and comparable retail electric service that provides consumers with the supplier, price, terms, conditions, and quality options they elect to meet their respective needs” and “[e]nsure diversity of electricity supplies and suppliers, by giving consumers effective choices over the selection of those supplies and suppliers.”</w:t>
      </w:r>
      <w:r>
        <w:rPr>
          <w:rStyle w:val="FootnoteReference"/>
          <w:rFonts w:eastAsiaTheme="minorEastAsia"/>
        </w:rPr>
        <w:footnoteReference w:id="113"/>
      </w:r>
      <w:r>
        <w:rPr>
          <w:rFonts w:eastAsiaTheme="minorEastAsia"/>
        </w:rPr>
        <w:t xml:space="preserve">  The Companies have taken a position since the filing of the Application that they would seek to limit customer choice.  In agreeing to the two-tiered pricing of capacity, the Signatory Parties substantially assisted the Companies in attaining their goal.  </w:t>
      </w:r>
    </w:p>
    <w:p w:rsidR="00FD64B7" w:rsidRDefault="00F96714" w:rsidP="000801BE">
      <w:pPr>
        <w:autoSpaceDE w:val="0"/>
        <w:autoSpaceDN w:val="0"/>
        <w:adjustRightInd w:val="0"/>
        <w:spacing w:line="480" w:lineRule="auto"/>
        <w:ind w:firstLine="720"/>
        <w:jc w:val="both"/>
        <w:rPr>
          <w:rFonts w:eastAsiaTheme="minorEastAsia"/>
        </w:rPr>
      </w:pPr>
      <w:r>
        <w:rPr>
          <w:rFonts w:eastAsiaTheme="minorEastAsia"/>
        </w:rPr>
        <w:t>The Companies have made no secret of the fact that their goal through this ESP Application is to frustrate competition with their SSO.  Michael Morris, the Chief Executive Officer of AEP, the parent of OP and CSP, stated soon after the ESP Applications were filed that he expected the Companies to be better able to retain customers under the new ESP.</w:t>
      </w:r>
      <w:r>
        <w:rPr>
          <w:rStyle w:val="FootnoteReference"/>
          <w:rFonts w:eastAsiaTheme="minorEastAsia"/>
        </w:rPr>
        <w:footnoteReference w:id="114"/>
      </w:r>
      <w:r>
        <w:rPr>
          <w:rFonts w:eastAsiaTheme="minorEastAsia"/>
        </w:rPr>
        <w:t xml:space="preserve">  The filing of the Stipulation triggered another corporate declaration that the effect of the Stipulation would allow the Companies to limit customer choice.  Richard Munczinski, speaking on behalf of the Companies</w:t>
      </w:r>
      <w:r w:rsidR="001E2392">
        <w:rPr>
          <w:rFonts w:eastAsiaTheme="minorEastAsia"/>
        </w:rPr>
        <w:t xml:space="preserve"> the day the Stipulation was filed with the Commission</w:t>
      </w:r>
      <w:r>
        <w:rPr>
          <w:rFonts w:eastAsiaTheme="minorEastAsia"/>
        </w:rPr>
        <w:t xml:space="preserve">, was very clear that shopping under the </w:t>
      </w:r>
      <w:r w:rsidR="001E2392">
        <w:rPr>
          <w:rFonts w:eastAsiaTheme="minorEastAsia"/>
        </w:rPr>
        <w:t xml:space="preserve">Stipulation’s </w:t>
      </w:r>
      <w:r>
        <w:rPr>
          <w:rFonts w:eastAsiaTheme="minorEastAsia"/>
        </w:rPr>
        <w:t xml:space="preserve">two-tier </w:t>
      </w:r>
      <w:r w:rsidR="001E2392">
        <w:rPr>
          <w:rFonts w:eastAsiaTheme="minorEastAsia"/>
        </w:rPr>
        <w:t xml:space="preserve">capacity </w:t>
      </w:r>
      <w:r>
        <w:rPr>
          <w:rFonts w:eastAsiaTheme="minorEastAsia"/>
        </w:rPr>
        <w:t>pricing scheme would be constrained:</w:t>
      </w:r>
    </w:p>
    <w:p w:rsidR="00FD64B7" w:rsidRDefault="00F96714" w:rsidP="00590648">
      <w:pPr>
        <w:autoSpaceDE w:val="0"/>
        <w:autoSpaceDN w:val="0"/>
        <w:adjustRightInd w:val="0"/>
        <w:spacing w:line="240" w:lineRule="auto"/>
        <w:ind w:left="720" w:right="720"/>
        <w:jc w:val="both"/>
        <w:rPr>
          <w:rFonts w:eastAsiaTheme="minorEastAsia"/>
        </w:rPr>
      </w:pPr>
      <w:r>
        <w:rPr>
          <w:rFonts w:eastAsiaTheme="minorEastAsia"/>
        </w:rPr>
        <w:t>What happens is those customers that get the discount as Brian [Tierny] mentioned are allowed—are priced out at the RPM prices.  So the $100, the $16, and I think the $26 going forward.  Over those percentages, if you want to shop, you pay the full cost of $255 per megawatt day. So the thought and the theory is that the shopping will be constrained to the RPM price.</w:t>
      </w:r>
      <w:r>
        <w:rPr>
          <w:rStyle w:val="FootnoteReference"/>
          <w:rFonts w:eastAsiaTheme="minorEastAsia"/>
        </w:rPr>
        <w:footnoteReference w:id="115"/>
      </w:r>
    </w:p>
    <w:p w:rsidR="009331EB" w:rsidRDefault="009331EB" w:rsidP="009331EB">
      <w:pPr>
        <w:autoSpaceDE w:val="0"/>
        <w:autoSpaceDN w:val="0"/>
        <w:adjustRightInd w:val="0"/>
        <w:spacing w:after="0" w:line="240" w:lineRule="auto"/>
        <w:ind w:left="1440" w:right="1440"/>
        <w:jc w:val="both"/>
        <w:rPr>
          <w:rFonts w:eastAsiaTheme="minorEastAsia"/>
        </w:rPr>
      </w:pPr>
    </w:p>
    <w:p w:rsidR="00FD64B7" w:rsidRDefault="00F96714">
      <w:pPr>
        <w:autoSpaceDE w:val="0"/>
        <w:autoSpaceDN w:val="0"/>
        <w:adjustRightInd w:val="0"/>
        <w:spacing w:line="480" w:lineRule="auto"/>
        <w:jc w:val="both"/>
        <w:rPr>
          <w:rFonts w:eastAsiaTheme="minorEastAsia"/>
        </w:rPr>
      </w:pPr>
      <w:r>
        <w:rPr>
          <w:rFonts w:eastAsiaTheme="minorEastAsia"/>
        </w:rPr>
        <w:t>He continued, “So basically, we should see no more shopping than the 20%, 30%, 40% levels that are included in the stipulation.”</w:t>
      </w:r>
      <w:r>
        <w:rPr>
          <w:rStyle w:val="FootnoteReference"/>
          <w:rFonts w:eastAsiaTheme="minorEastAsia"/>
        </w:rPr>
        <w:footnoteReference w:id="116"/>
      </w:r>
      <w:r>
        <w:rPr>
          <w:rFonts w:eastAsiaTheme="minorEastAsia"/>
        </w:rPr>
        <w:t xml:space="preserve">  Thus, it is clear that the Companies are seeking to use the Stipulation’s two-tiered capacity pricing provisions with the set asides to </w:t>
      </w:r>
      <w:r w:rsidR="00637691">
        <w:rPr>
          <w:rFonts w:eastAsiaTheme="minorEastAsia"/>
        </w:rPr>
        <w:t xml:space="preserve">limit </w:t>
      </w:r>
      <w:r>
        <w:rPr>
          <w:rFonts w:eastAsiaTheme="minorEastAsia"/>
        </w:rPr>
        <w:t xml:space="preserve">the ability of customers to exercise their right to obtain </w:t>
      </w:r>
      <w:r w:rsidR="00637691">
        <w:rPr>
          <w:rFonts w:eastAsiaTheme="minorEastAsia"/>
        </w:rPr>
        <w:t xml:space="preserve">competitive retail electric service </w:t>
      </w:r>
      <w:r>
        <w:rPr>
          <w:rFonts w:eastAsiaTheme="minorEastAsia"/>
        </w:rPr>
        <w:t>from a supplier other than the Companies.</w:t>
      </w:r>
    </w:p>
    <w:p w:rsidR="00FD64B7" w:rsidRDefault="00F96714">
      <w:pPr>
        <w:autoSpaceDE w:val="0"/>
        <w:autoSpaceDN w:val="0"/>
        <w:adjustRightInd w:val="0"/>
        <w:spacing w:line="480" w:lineRule="auto"/>
        <w:ind w:firstLine="720"/>
        <w:jc w:val="both"/>
        <w:rPr>
          <w:rFonts w:eastAsiaTheme="minorEastAsia"/>
        </w:rPr>
      </w:pPr>
      <w:r>
        <w:rPr>
          <w:rFonts w:eastAsiaTheme="minorEastAsia"/>
        </w:rPr>
        <w:t xml:space="preserve">The Companies’ ability to limit customer choice is practically guaranteed because of the way they will be able to control </w:t>
      </w:r>
      <w:r w:rsidR="00637691">
        <w:rPr>
          <w:rFonts w:eastAsiaTheme="minorEastAsia"/>
        </w:rPr>
        <w:t xml:space="preserve">competitive retail electric service </w:t>
      </w:r>
      <w:r>
        <w:rPr>
          <w:rFonts w:eastAsiaTheme="minorEastAsia"/>
        </w:rPr>
        <w:t>pricing under the Stipulation.  Under the current Fixed Resource Requirements (“FRR”) election by the Companies, the Companies are required to assure that they will satisfy their total system capacity requirements to PJM</w:t>
      </w:r>
      <w:r w:rsidR="00637691">
        <w:rPr>
          <w:rFonts w:eastAsiaTheme="minorEastAsia"/>
        </w:rPr>
        <w:t>.</w:t>
      </w:r>
      <w:r>
        <w:rPr>
          <w:rStyle w:val="FootnoteReference"/>
          <w:rFonts w:eastAsiaTheme="minorEastAsia"/>
        </w:rPr>
        <w:footnoteReference w:id="117"/>
      </w:r>
      <w:r>
        <w:rPr>
          <w:rFonts w:eastAsiaTheme="minorEastAsia"/>
        </w:rPr>
        <w:t xml:space="preserve">  As a result, CRES </w:t>
      </w:r>
      <w:r w:rsidR="00DC24AB">
        <w:rPr>
          <w:rFonts w:eastAsiaTheme="minorEastAsia"/>
        </w:rPr>
        <w:t xml:space="preserve">suppliers </w:t>
      </w:r>
      <w:r w:rsidR="00637691">
        <w:rPr>
          <w:rFonts w:eastAsiaTheme="minorEastAsia"/>
        </w:rPr>
        <w:t xml:space="preserve">serving retail customers in the Companies’ service areas </w:t>
      </w:r>
      <w:r>
        <w:rPr>
          <w:rFonts w:eastAsiaTheme="minorEastAsia"/>
        </w:rPr>
        <w:t xml:space="preserve">must </w:t>
      </w:r>
      <w:r w:rsidR="00637691">
        <w:rPr>
          <w:rFonts w:eastAsiaTheme="minorEastAsia"/>
        </w:rPr>
        <w:t xml:space="preserve">rely upon </w:t>
      </w:r>
      <w:r>
        <w:rPr>
          <w:rFonts w:eastAsiaTheme="minorEastAsia"/>
        </w:rPr>
        <w:t xml:space="preserve">capacity from OP or CSP until May 2015.  </w:t>
      </w:r>
    </w:p>
    <w:p w:rsidR="00FD64B7" w:rsidRDefault="00636B51">
      <w:pPr>
        <w:autoSpaceDE w:val="0"/>
        <w:autoSpaceDN w:val="0"/>
        <w:adjustRightInd w:val="0"/>
        <w:spacing w:line="480" w:lineRule="auto"/>
        <w:ind w:firstLine="720"/>
        <w:jc w:val="both"/>
        <w:rPr>
          <w:rFonts w:eastAsiaTheme="minorEastAsia"/>
        </w:rPr>
      </w:pPr>
      <w:r>
        <w:rPr>
          <w:rFonts w:eastAsiaTheme="minorEastAsia"/>
        </w:rPr>
        <w:t xml:space="preserve">Since </w:t>
      </w:r>
      <w:r w:rsidR="00F96714">
        <w:rPr>
          <w:rFonts w:eastAsiaTheme="minorEastAsia"/>
        </w:rPr>
        <w:t xml:space="preserve">CRES </w:t>
      </w:r>
      <w:r w:rsidR="00DC24AB">
        <w:rPr>
          <w:rFonts w:eastAsiaTheme="minorEastAsia"/>
        </w:rPr>
        <w:t xml:space="preserve">suppliers </w:t>
      </w:r>
      <w:r>
        <w:rPr>
          <w:rFonts w:eastAsiaTheme="minorEastAsia"/>
        </w:rPr>
        <w:t xml:space="preserve">obtain capacity from the Companies, the Stipulation’s proposed $255 charge means that </w:t>
      </w:r>
      <w:r w:rsidR="00F96714">
        <w:rPr>
          <w:rFonts w:eastAsiaTheme="minorEastAsia"/>
        </w:rPr>
        <w:t xml:space="preserve">CRES suppliers will not be able to offer a competitively priced product to OP or CSP customers.  Apart from an attempt by the Companies to demonstrate that there was some headroom for CRES, all reasonable projections </w:t>
      </w:r>
      <w:r w:rsidR="007C577C">
        <w:rPr>
          <w:rFonts w:eastAsiaTheme="minorEastAsia"/>
        </w:rPr>
        <w:t xml:space="preserve">in the record of this case and </w:t>
      </w:r>
      <w:r>
        <w:rPr>
          <w:rFonts w:eastAsiaTheme="minorEastAsia"/>
        </w:rPr>
        <w:t xml:space="preserve">discussed below </w:t>
      </w:r>
      <w:r w:rsidR="00F96714">
        <w:rPr>
          <w:rFonts w:eastAsiaTheme="minorEastAsia"/>
        </w:rPr>
        <w:t>indicate that the two-tiered capacity pricing will limit customer choice to those customers who are successful in securing capacity under the RPM set-aside amounts.</w:t>
      </w:r>
      <w:r>
        <w:rPr>
          <w:rFonts w:eastAsiaTheme="minorEastAsia"/>
        </w:rPr>
        <w:t xml:space="preserve">  </w:t>
      </w:r>
    </w:p>
    <w:p w:rsidR="00FD64B7" w:rsidRDefault="00F96714">
      <w:pPr>
        <w:autoSpaceDE w:val="0"/>
        <w:autoSpaceDN w:val="0"/>
        <w:adjustRightInd w:val="0"/>
        <w:spacing w:line="480" w:lineRule="auto"/>
        <w:jc w:val="both"/>
        <w:rPr>
          <w:rFonts w:eastAsiaTheme="minorEastAsia"/>
        </w:rPr>
      </w:pPr>
      <w:r>
        <w:rPr>
          <w:rFonts w:eastAsiaTheme="minorEastAsia"/>
        </w:rPr>
        <w:tab/>
        <w:t xml:space="preserve">As Mr. Schnitzer demonstrated, there are savings opportunities available to </w:t>
      </w:r>
      <w:r w:rsidR="00636B51">
        <w:rPr>
          <w:rFonts w:eastAsiaTheme="minorEastAsia"/>
        </w:rPr>
        <w:t xml:space="preserve">customers when RPM prices are available to CRES suppliers during the term of the proposed ESP </w:t>
      </w:r>
      <w:r>
        <w:rPr>
          <w:rFonts w:eastAsiaTheme="minorEastAsia"/>
        </w:rPr>
        <w:t xml:space="preserve">through sometime in 2014.  When CRES </w:t>
      </w:r>
      <w:r w:rsidR="00636B51">
        <w:rPr>
          <w:rFonts w:eastAsiaTheme="minorEastAsia"/>
        </w:rPr>
        <w:t xml:space="preserve">capacity </w:t>
      </w:r>
      <w:r>
        <w:rPr>
          <w:rFonts w:eastAsiaTheme="minorEastAsia"/>
        </w:rPr>
        <w:t>is priced at $255 per megawatt-day, however, there is no savings opportunity until sometime in 2014, and thereafter the amount of room to price competitive offers is minimal.</w:t>
      </w:r>
      <w:r>
        <w:rPr>
          <w:rStyle w:val="FootnoteReference"/>
          <w:rFonts w:eastAsiaTheme="minorEastAsia"/>
        </w:rPr>
        <w:footnoteReference w:id="118"/>
      </w:r>
      <w:r>
        <w:rPr>
          <w:rFonts w:eastAsiaTheme="minorEastAsia"/>
        </w:rPr>
        <w:t xml:space="preserve">  Thus, setting the capacity price at $255 per megawatt-day prevents shopping and customers are stuck with the </w:t>
      </w:r>
      <w:r w:rsidR="00636B51">
        <w:rPr>
          <w:rFonts w:eastAsiaTheme="minorEastAsia"/>
        </w:rPr>
        <w:t xml:space="preserve">unjustified and </w:t>
      </w:r>
      <w:r>
        <w:rPr>
          <w:rFonts w:eastAsiaTheme="minorEastAsia"/>
        </w:rPr>
        <w:t>higher ESP prices</w:t>
      </w:r>
      <w:r w:rsidR="00636B51">
        <w:rPr>
          <w:rFonts w:eastAsiaTheme="minorEastAsia"/>
        </w:rPr>
        <w:t xml:space="preserve"> in the Stipulation</w:t>
      </w:r>
      <w:r>
        <w:rPr>
          <w:rFonts w:eastAsiaTheme="minorEastAsia"/>
        </w:rPr>
        <w:t>.  As Mr. Schnitzer concluded, “[O]nce AEP Ohio no longer has to provide capacity to CRES suppliers at RPM market prices, the Stipulation effectively shuts down the opportunity for customers to shop by making it very difficult for customers to shop for price savings.  Thus, the higher base generation rates and other ‘bypassable charges’ included in the Stipulation become non-bypassable in practical terms.”</w:t>
      </w:r>
      <w:r>
        <w:rPr>
          <w:rStyle w:val="FootnoteReference"/>
          <w:rFonts w:eastAsiaTheme="minorEastAsia"/>
        </w:rPr>
        <w:footnoteReference w:id="119"/>
      </w:r>
      <w:r>
        <w:rPr>
          <w:rFonts w:eastAsiaTheme="minorEastAsia"/>
        </w:rPr>
        <w:t xml:space="preserve">  Mr. Murray agreed.  After describing the structure of capacity rates and set-asides proposed by the Stipulation, he concluded, “This structure will effectively block shopping at the amounts that have access to market-based capacity price.”</w:t>
      </w:r>
      <w:r>
        <w:rPr>
          <w:rStyle w:val="FootnoteReference"/>
          <w:rFonts w:eastAsiaTheme="minorEastAsia"/>
        </w:rPr>
        <w:footnoteReference w:id="120"/>
      </w:r>
    </w:p>
    <w:p w:rsidR="00FD64B7" w:rsidRDefault="00F96714">
      <w:pPr>
        <w:autoSpaceDE w:val="0"/>
        <w:autoSpaceDN w:val="0"/>
        <w:adjustRightInd w:val="0"/>
        <w:spacing w:line="480" w:lineRule="auto"/>
        <w:jc w:val="both"/>
        <w:rPr>
          <w:rFonts w:eastAsiaTheme="minorEastAsia"/>
        </w:rPr>
      </w:pPr>
      <w:r>
        <w:rPr>
          <w:rFonts w:eastAsiaTheme="minorEastAsia"/>
        </w:rPr>
        <w:tab/>
        <w:t xml:space="preserve">The CRES </w:t>
      </w:r>
      <w:r w:rsidR="00DD5567">
        <w:rPr>
          <w:rFonts w:eastAsiaTheme="minorEastAsia"/>
        </w:rPr>
        <w:t>S</w:t>
      </w:r>
      <w:r>
        <w:rPr>
          <w:rFonts w:eastAsiaTheme="minorEastAsia"/>
        </w:rPr>
        <w:t xml:space="preserve">ignatory </w:t>
      </w:r>
      <w:r w:rsidR="00DD5567">
        <w:rPr>
          <w:rFonts w:eastAsiaTheme="minorEastAsia"/>
        </w:rPr>
        <w:t>P</w:t>
      </w:r>
      <w:r>
        <w:rPr>
          <w:rFonts w:eastAsiaTheme="minorEastAsia"/>
        </w:rPr>
        <w:t xml:space="preserve">arties essentially agree with the analysis provided by Mr. Schnitzer and Mr. </w:t>
      </w:r>
      <w:r w:rsidR="00015400">
        <w:rPr>
          <w:rFonts w:eastAsiaTheme="minorEastAsia"/>
        </w:rPr>
        <w:t>Murray</w:t>
      </w:r>
      <w:r>
        <w:rPr>
          <w:rFonts w:eastAsiaTheme="minorEastAsia"/>
        </w:rPr>
        <w:t>.  Ms. Ringenbach, on behalf of the Retail Energy Supply Association</w:t>
      </w:r>
      <w:r w:rsidR="00DD5567">
        <w:rPr>
          <w:rFonts w:eastAsiaTheme="minorEastAsia"/>
        </w:rPr>
        <w:t xml:space="preserve"> (“RESA”)</w:t>
      </w:r>
      <w:r>
        <w:rPr>
          <w:rFonts w:eastAsiaTheme="minorEastAsia"/>
        </w:rPr>
        <w:t>, for example, stated that increased capacity costs in the range of one and a half to two and a half times RPM would be significant and have the effect of deterring offers.</w:t>
      </w:r>
      <w:r>
        <w:rPr>
          <w:rStyle w:val="FootnoteReference"/>
          <w:rFonts w:eastAsiaTheme="minorEastAsia"/>
        </w:rPr>
        <w:footnoteReference w:id="121"/>
      </w:r>
      <w:r>
        <w:rPr>
          <w:rFonts w:eastAsiaTheme="minorEastAsia"/>
        </w:rPr>
        <w:t xml:space="preserve">  Similarly, David Fein, testifying on behalf of Constellation NewEnergy, stated that an increase of two hundred percent in capacity prices over RPM prices, all else being equal, would adversely affect shopping.</w:t>
      </w:r>
      <w:r>
        <w:rPr>
          <w:rStyle w:val="FootnoteReference"/>
          <w:rFonts w:eastAsiaTheme="minorEastAsia"/>
        </w:rPr>
        <w:footnoteReference w:id="122"/>
      </w:r>
      <w:r>
        <w:rPr>
          <w:rFonts w:eastAsiaTheme="minorEastAsia"/>
        </w:rPr>
        <w:t xml:space="preserve">  </w:t>
      </w:r>
    </w:p>
    <w:p w:rsidR="00636B51" w:rsidRDefault="00F96714">
      <w:pPr>
        <w:autoSpaceDE w:val="0"/>
        <w:autoSpaceDN w:val="0"/>
        <w:adjustRightInd w:val="0"/>
        <w:spacing w:line="480" w:lineRule="auto"/>
        <w:jc w:val="both"/>
        <w:rPr>
          <w:rFonts w:eastAsiaTheme="minorEastAsia"/>
        </w:rPr>
      </w:pPr>
      <w:r>
        <w:rPr>
          <w:rFonts w:eastAsiaTheme="minorEastAsia"/>
        </w:rPr>
        <w:tab/>
        <w:t xml:space="preserve">Only the Companies offered testimony (in rebuttal) suggesting that there was headroom for competitive offers available to CRES suppliers paying $255 per megawatt-day for capacity.  To </w:t>
      </w:r>
      <w:r w:rsidR="00636B51">
        <w:rPr>
          <w:rFonts w:eastAsiaTheme="minorEastAsia"/>
        </w:rPr>
        <w:t>advance</w:t>
      </w:r>
      <w:r>
        <w:rPr>
          <w:rFonts w:eastAsiaTheme="minorEastAsia"/>
        </w:rPr>
        <w:t xml:space="preserve"> this contrarian view, Mr. Allen testified that he had taken the administratively-determined and defective </w:t>
      </w:r>
      <w:r w:rsidR="00636B51">
        <w:rPr>
          <w:rFonts w:eastAsiaTheme="minorEastAsia"/>
        </w:rPr>
        <w:t>benchmark price of Ms. </w:t>
      </w:r>
      <w:r>
        <w:rPr>
          <w:rFonts w:eastAsiaTheme="minorEastAsia"/>
        </w:rPr>
        <w:t xml:space="preserve">Thomas and removed two components of that price (the Transaction Risk Adder and the Retail Administration costs) to </w:t>
      </w:r>
      <w:r w:rsidR="00636B51">
        <w:rPr>
          <w:rFonts w:eastAsiaTheme="minorEastAsia"/>
        </w:rPr>
        <w:t xml:space="preserve">come up with </w:t>
      </w:r>
      <w:r>
        <w:rPr>
          <w:rFonts w:eastAsiaTheme="minorEastAsia"/>
        </w:rPr>
        <w:t>some headroom.</w:t>
      </w:r>
      <w:r>
        <w:rPr>
          <w:rStyle w:val="FootnoteReference"/>
          <w:rFonts w:eastAsiaTheme="minorEastAsia"/>
        </w:rPr>
        <w:footnoteReference w:id="123"/>
      </w:r>
      <w:r>
        <w:rPr>
          <w:rFonts w:eastAsiaTheme="minorEastAsia"/>
        </w:rPr>
        <w:t xml:space="preserve">  </w:t>
      </w:r>
      <w:r w:rsidRPr="00FE1687">
        <w:rPr>
          <w:rFonts w:eastAsiaTheme="minorEastAsia"/>
        </w:rPr>
        <w:t>As demonstrated in the confidential version of his testimony, the amount of headroom is miniscule and in one year actually negative.</w:t>
      </w:r>
      <w:r w:rsidRPr="00FE1687">
        <w:rPr>
          <w:rStyle w:val="FootnoteReference"/>
          <w:rFonts w:eastAsiaTheme="minorEastAsia"/>
        </w:rPr>
        <w:footnoteReference w:id="124"/>
      </w:r>
      <w:r>
        <w:rPr>
          <w:rFonts w:eastAsiaTheme="minorEastAsia"/>
        </w:rPr>
        <w:t xml:space="preserve">  Additionally, </w:t>
      </w:r>
      <w:r w:rsidR="00636B51">
        <w:rPr>
          <w:rFonts w:eastAsiaTheme="minorEastAsia"/>
        </w:rPr>
        <w:t xml:space="preserve">his </w:t>
      </w:r>
      <w:r>
        <w:rPr>
          <w:rFonts w:eastAsiaTheme="minorEastAsia"/>
        </w:rPr>
        <w:t xml:space="preserve">analysis simply does not make any sense.  </w:t>
      </w:r>
    </w:p>
    <w:p w:rsidR="00FD64B7" w:rsidRDefault="00636B51">
      <w:pPr>
        <w:autoSpaceDE w:val="0"/>
        <w:autoSpaceDN w:val="0"/>
        <w:adjustRightInd w:val="0"/>
        <w:spacing w:line="480" w:lineRule="auto"/>
        <w:jc w:val="both"/>
        <w:rPr>
          <w:rFonts w:eastAsiaTheme="minorEastAsia"/>
        </w:rPr>
      </w:pPr>
      <w:r>
        <w:rPr>
          <w:rFonts w:eastAsiaTheme="minorEastAsia"/>
        </w:rPr>
        <w:tab/>
      </w:r>
      <w:r w:rsidR="00F96714">
        <w:rPr>
          <w:rFonts w:eastAsiaTheme="minorEastAsia"/>
        </w:rPr>
        <w:t xml:space="preserve">The </w:t>
      </w:r>
      <w:r>
        <w:rPr>
          <w:rFonts w:eastAsiaTheme="minorEastAsia"/>
        </w:rPr>
        <w:t xml:space="preserve">benchmark </w:t>
      </w:r>
      <w:r w:rsidR="00F96714">
        <w:rPr>
          <w:rFonts w:eastAsiaTheme="minorEastAsia"/>
        </w:rPr>
        <w:t>price administratively determined by Ms. Thomas was presented as the “all-in” requirements for a competitive price;</w:t>
      </w:r>
      <w:r w:rsidR="00F96714">
        <w:rPr>
          <w:rStyle w:val="FootnoteReference"/>
          <w:rFonts w:eastAsiaTheme="minorEastAsia"/>
        </w:rPr>
        <w:footnoteReference w:id="125"/>
      </w:r>
      <w:r w:rsidR="00F96714">
        <w:rPr>
          <w:rFonts w:eastAsiaTheme="minorEastAsia"/>
        </w:rPr>
        <w:t xml:space="preserve"> there was no proof that CRES </w:t>
      </w:r>
      <w:r w:rsidR="00DD5567">
        <w:rPr>
          <w:rFonts w:eastAsiaTheme="minorEastAsia"/>
        </w:rPr>
        <w:t xml:space="preserve">suppliers </w:t>
      </w:r>
      <w:r w:rsidR="00F96714">
        <w:rPr>
          <w:rFonts w:eastAsiaTheme="minorEastAsia"/>
        </w:rPr>
        <w:t>would or could forgo a part of the price</w:t>
      </w:r>
      <w:r>
        <w:rPr>
          <w:rFonts w:eastAsiaTheme="minorEastAsia"/>
        </w:rPr>
        <w:t xml:space="preserve"> relied upon by Ms. Thomas and then arbitrarily reduced by Mr. Allen to find headroom.</w:t>
      </w:r>
      <w:r w:rsidR="00F96714">
        <w:rPr>
          <w:rStyle w:val="FootnoteReference"/>
          <w:rFonts w:eastAsiaTheme="minorEastAsia"/>
        </w:rPr>
        <w:footnoteReference w:id="126"/>
      </w:r>
      <w:r w:rsidR="00F96714">
        <w:rPr>
          <w:rFonts w:eastAsiaTheme="minorEastAsia"/>
        </w:rPr>
        <w:t xml:space="preserve">  </w:t>
      </w:r>
    </w:p>
    <w:p w:rsidR="00FD64B7" w:rsidRDefault="00F96714" w:rsidP="00636B51">
      <w:pPr>
        <w:autoSpaceDE w:val="0"/>
        <w:autoSpaceDN w:val="0"/>
        <w:adjustRightInd w:val="0"/>
        <w:spacing w:line="480" w:lineRule="auto"/>
        <w:ind w:firstLine="720"/>
        <w:jc w:val="both"/>
        <w:rPr>
          <w:rFonts w:eastAsiaTheme="minorEastAsia"/>
        </w:rPr>
      </w:pPr>
      <w:r>
        <w:rPr>
          <w:rFonts w:eastAsiaTheme="minorEastAsia"/>
        </w:rPr>
        <w:t xml:space="preserve">Thus, the Companies, the opposing parties, and the CRES suppliers </w:t>
      </w:r>
      <w:r w:rsidR="00636B51">
        <w:rPr>
          <w:rFonts w:eastAsiaTheme="minorEastAsia"/>
        </w:rPr>
        <w:t xml:space="preserve">supporting the Stipulation </w:t>
      </w:r>
      <w:r>
        <w:rPr>
          <w:rFonts w:eastAsiaTheme="minorEastAsia"/>
        </w:rPr>
        <w:t xml:space="preserve">all conclude that the provisions regarding capacity pricing would have the effect of blocking customer access to CRES suppliers offering better prices, and that blocking translates into real losses for customers.  Just as the </w:t>
      </w:r>
      <w:r w:rsidR="00636B51">
        <w:rPr>
          <w:rFonts w:eastAsiaTheme="minorEastAsia"/>
        </w:rPr>
        <w:t xml:space="preserve">future </w:t>
      </w:r>
      <w:r>
        <w:rPr>
          <w:rFonts w:eastAsiaTheme="minorEastAsia"/>
        </w:rPr>
        <w:t xml:space="preserve">competitive price is </w:t>
      </w:r>
      <w:r w:rsidR="00636B51">
        <w:rPr>
          <w:rFonts w:eastAsiaTheme="minorEastAsia"/>
        </w:rPr>
        <w:t xml:space="preserve">projected by the Companies </w:t>
      </w:r>
      <w:r>
        <w:rPr>
          <w:rFonts w:eastAsiaTheme="minorEastAsia"/>
        </w:rPr>
        <w:t>to exceed the administratively-set ESP price, the Stipulation provides that all default service will be priced by an auction.</w:t>
      </w:r>
      <w:r>
        <w:rPr>
          <w:rStyle w:val="FootnoteReference"/>
          <w:rFonts w:eastAsiaTheme="minorEastAsia"/>
        </w:rPr>
        <w:footnoteReference w:id="127"/>
      </w:r>
      <w:r w:rsidR="00636B51">
        <w:rPr>
          <w:rFonts w:eastAsiaTheme="minorEastAsia"/>
        </w:rPr>
        <w:t xml:space="preserve">  As Mr. </w:t>
      </w:r>
      <w:r>
        <w:rPr>
          <w:rFonts w:eastAsiaTheme="minorEastAsia"/>
        </w:rPr>
        <w:t>Murray testified, “Most customers will be blocked from shopping at a time when ESP rates are above competitive retail price offers.  Then, once market rates are forecasted to rise above the Stipulation ESP’s rates, the Stipulation will set default generation supply prices 100% on a CBP.  For customers, the Stipulation provides a lose-lose proposition; customers pay SSO prices based upon the Stipulation or the CBP, whichever is higher.”</w:t>
      </w:r>
      <w:r>
        <w:rPr>
          <w:rStyle w:val="FootnoteReference"/>
          <w:rFonts w:eastAsiaTheme="minorEastAsia"/>
        </w:rPr>
        <w:footnoteReference w:id="128"/>
      </w:r>
      <w:r>
        <w:rPr>
          <w:rFonts w:eastAsiaTheme="minorEastAsia"/>
        </w:rPr>
        <w:t xml:space="preserve">  Under the circumstances described by Mr. Murray, the Stipulation proposes a result that violates an important regulatory principle or practice.</w:t>
      </w:r>
      <w:r>
        <w:rPr>
          <w:rStyle w:val="FootnoteReference"/>
          <w:rFonts w:eastAsiaTheme="minorEastAsia"/>
        </w:rPr>
        <w:footnoteReference w:id="129"/>
      </w:r>
      <w:r>
        <w:rPr>
          <w:rFonts w:eastAsiaTheme="minorEastAsia"/>
        </w:rPr>
        <w:t xml:space="preserve">  </w:t>
      </w:r>
    </w:p>
    <w:p w:rsidR="00FD64B7" w:rsidRDefault="00F96714" w:rsidP="009331EB">
      <w:pPr>
        <w:autoSpaceDE w:val="0"/>
        <w:autoSpaceDN w:val="0"/>
        <w:adjustRightInd w:val="0"/>
        <w:spacing w:after="0" w:line="480" w:lineRule="auto"/>
        <w:ind w:firstLine="720"/>
        <w:jc w:val="both"/>
        <w:rPr>
          <w:rFonts w:eastAsiaTheme="minorEastAsia"/>
        </w:rPr>
      </w:pPr>
      <w:r>
        <w:rPr>
          <w:rFonts w:eastAsiaTheme="minorEastAsia"/>
        </w:rPr>
        <w:t>As noted previously, the state energy policy includes a goal of encouraging customer choice and reasonably priced retail electric service.  Under the Stipulation, however, large numbers of customers are locked into above-market ESP rates.</w:t>
      </w:r>
      <w:r>
        <w:rPr>
          <w:rStyle w:val="FootnoteReference"/>
          <w:rFonts w:eastAsiaTheme="minorEastAsia"/>
        </w:rPr>
        <w:footnoteReference w:id="130"/>
      </w:r>
      <w:r>
        <w:rPr>
          <w:rFonts w:eastAsiaTheme="minorEastAsia"/>
        </w:rPr>
        <w:t xml:space="preserve">  The blocking of customer choice, furthermore, comes with an additional cost that customers will face because the Stipulation proposes that default service prices in the last year of the ESP be set by a CBP that can be expected to result in prices higher than the administratively-determined ESP price.  Under these circumstances, </w:t>
      </w:r>
      <w:r w:rsidR="00141766">
        <w:rPr>
          <w:rFonts w:eastAsiaTheme="minorEastAsia"/>
        </w:rPr>
        <w:t xml:space="preserve">the shopping limits in </w:t>
      </w:r>
      <w:r>
        <w:rPr>
          <w:rFonts w:eastAsiaTheme="minorEastAsia"/>
        </w:rPr>
        <w:t xml:space="preserve">the Stipulation cannot be said to advance the public interest or </w:t>
      </w:r>
      <w:r w:rsidR="00141766">
        <w:rPr>
          <w:rFonts w:eastAsiaTheme="minorEastAsia"/>
        </w:rPr>
        <w:t>generate lawful or reasonable rates</w:t>
      </w:r>
      <w:r>
        <w:rPr>
          <w:rFonts w:eastAsiaTheme="minorEastAsia"/>
        </w:rPr>
        <w:t>.</w:t>
      </w:r>
    </w:p>
    <w:p w:rsidR="00FD64B7" w:rsidRDefault="0032151F" w:rsidP="0032151F">
      <w:pPr>
        <w:pStyle w:val="ListParagraph"/>
        <w:autoSpaceDE w:val="0"/>
        <w:autoSpaceDN w:val="0"/>
        <w:adjustRightInd w:val="0"/>
        <w:spacing w:line="240" w:lineRule="auto"/>
        <w:ind w:left="2160" w:hanging="720"/>
        <w:rPr>
          <w:rFonts w:eastAsiaTheme="minorEastAsia"/>
          <w:b/>
        </w:rPr>
      </w:pPr>
      <w:r>
        <w:rPr>
          <w:rFonts w:eastAsiaTheme="minorEastAsia"/>
          <w:b/>
        </w:rPr>
        <w:t>2.</w:t>
      </w:r>
      <w:r>
        <w:rPr>
          <w:rFonts w:eastAsiaTheme="minorEastAsia"/>
          <w:b/>
        </w:rPr>
        <w:tab/>
      </w:r>
      <w:r w:rsidR="00F96714">
        <w:rPr>
          <w:rFonts w:eastAsiaTheme="minorEastAsia"/>
          <w:b/>
        </w:rPr>
        <w:t xml:space="preserve">The </w:t>
      </w:r>
      <w:r>
        <w:rPr>
          <w:rFonts w:eastAsiaTheme="minorEastAsia"/>
          <w:b/>
        </w:rPr>
        <w:t>two-tiered capacity price imposes an unreasonable and discriminatory condition on the resale of electric service.</w:t>
      </w:r>
    </w:p>
    <w:p w:rsidR="009331EB" w:rsidRDefault="009331EB">
      <w:pPr>
        <w:pStyle w:val="ListParagraph"/>
        <w:autoSpaceDE w:val="0"/>
        <w:autoSpaceDN w:val="0"/>
        <w:adjustRightInd w:val="0"/>
        <w:spacing w:line="240" w:lineRule="auto"/>
        <w:ind w:left="1080"/>
        <w:rPr>
          <w:rFonts w:eastAsiaTheme="minorEastAsia"/>
          <w:b/>
        </w:rPr>
      </w:pPr>
    </w:p>
    <w:p w:rsidR="00FD64B7" w:rsidRDefault="00F96714">
      <w:pPr>
        <w:autoSpaceDE w:val="0"/>
        <w:autoSpaceDN w:val="0"/>
        <w:adjustRightInd w:val="0"/>
        <w:spacing w:line="480" w:lineRule="auto"/>
        <w:ind w:firstLine="720"/>
        <w:jc w:val="both"/>
        <w:rPr>
          <w:rFonts w:eastAsiaTheme="minorEastAsia"/>
          <w:color w:val="000000" w:themeColor="text1"/>
        </w:rPr>
      </w:pPr>
      <w:r>
        <w:rPr>
          <w:rFonts w:eastAsiaTheme="minorEastAsia"/>
        </w:rPr>
        <w:t xml:space="preserve">The </w:t>
      </w:r>
      <w:r w:rsidR="00141766">
        <w:rPr>
          <w:rFonts w:eastAsiaTheme="minorEastAsia"/>
        </w:rPr>
        <w:t xml:space="preserve">state energy policy </w:t>
      </w:r>
      <w:r>
        <w:rPr>
          <w:rFonts w:eastAsiaTheme="minorEastAsia"/>
        </w:rPr>
        <w:t>and its implementation through various sections in Chapter 4928 require</w:t>
      </w:r>
      <w:r w:rsidR="00141766">
        <w:rPr>
          <w:rFonts w:eastAsiaTheme="minorEastAsia"/>
        </w:rPr>
        <w:t>s</w:t>
      </w:r>
      <w:r>
        <w:rPr>
          <w:rFonts w:eastAsiaTheme="minorEastAsia"/>
        </w:rPr>
        <w:t xml:space="preserve"> the Commission to ensure that rates are not discriminatory.  Section 4928.02(A), Revised Code, provides that it is the State</w:t>
      </w:r>
      <w:r w:rsidR="005320DF">
        <w:rPr>
          <w:rFonts w:eastAsiaTheme="minorEastAsia"/>
        </w:rPr>
        <w:t>’s</w:t>
      </w:r>
      <w:r>
        <w:rPr>
          <w:rFonts w:eastAsiaTheme="minorEastAsia"/>
        </w:rPr>
        <w:t xml:space="preserve"> policy to “[e]nsure the availability to consumers of </w:t>
      </w:r>
      <w:r w:rsidR="00141766">
        <w:rPr>
          <w:rFonts w:eastAsiaTheme="minorEastAsia"/>
        </w:rPr>
        <w:t>…</w:t>
      </w:r>
      <w:r>
        <w:rPr>
          <w:rFonts w:eastAsiaTheme="minorEastAsia"/>
        </w:rPr>
        <w:t xml:space="preserve"> nondiscriminatory </w:t>
      </w:r>
      <w:r w:rsidR="00141766">
        <w:rPr>
          <w:rFonts w:eastAsiaTheme="minorEastAsia"/>
        </w:rPr>
        <w:t>…</w:t>
      </w:r>
      <w:r>
        <w:rPr>
          <w:rFonts w:eastAsiaTheme="minorEastAsia"/>
        </w:rPr>
        <w:t xml:space="preserve"> retail electric service.”  Section 4928.40(D), Revised Code, states that “</w:t>
      </w:r>
      <w:r>
        <w:rPr>
          <w:rFonts w:eastAsiaTheme="minorEastAsia"/>
          <w:color w:val="000000" w:themeColor="text1"/>
        </w:rPr>
        <w:t>no electric utility in this state shall prohibit the resale of electric generation service or impose unreasonable or discriminatory conditions or limitations on the resale of electric generation service.”  Thus, the policy of the State to ensure non-discrimination and comparability in pricing applies whether one is addressing retail or wholesale transactions.</w:t>
      </w:r>
    </w:p>
    <w:p w:rsidR="00FD64B7" w:rsidRDefault="00F96714">
      <w:pPr>
        <w:autoSpaceDE w:val="0"/>
        <w:autoSpaceDN w:val="0"/>
        <w:adjustRightInd w:val="0"/>
        <w:spacing w:line="480" w:lineRule="auto"/>
        <w:ind w:firstLine="720"/>
        <w:jc w:val="both"/>
        <w:rPr>
          <w:rFonts w:eastAsiaTheme="minorEastAsia"/>
        </w:rPr>
      </w:pPr>
      <w:r>
        <w:rPr>
          <w:rFonts w:eastAsiaTheme="minorEastAsia"/>
          <w:color w:val="000000" w:themeColor="text1"/>
        </w:rPr>
        <w:t xml:space="preserve">In the case of capacity, the </w:t>
      </w:r>
      <w:r>
        <w:rPr>
          <w:rFonts w:eastAsiaTheme="minorEastAsia"/>
        </w:rPr>
        <w:t>Companies’ witness Nelson explained the Companies’ view that the resale of electricity involves a wholesale transaction, or sale for resale.</w:t>
      </w:r>
      <w:r>
        <w:rPr>
          <w:rStyle w:val="FootnoteReference"/>
          <w:rFonts w:eastAsiaTheme="minorEastAsia"/>
        </w:rPr>
        <w:t xml:space="preserve"> </w:t>
      </w:r>
      <w:r>
        <w:rPr>
          <w:rStyle w:val="FootnoteReference"/>
          <w:rFonts w:eastAsiaTheme="minorEastAsia"/>
        </w:rPr>
        <w:footnoteReference w:id="131"/>
      </w:r>
      <w:r>
        <w:rPr>
          <w:rFonts w:eastAsiaTheme="minorEastAsia"/>
        </w:rPr>
        <w:t xml:space="preserve">  By the terms of the Stipulation, some capacity will be charged at the RPM price; the balance will be priced at $255 per megawatt-day.</w:t>
      </w:r>
      <w:r>
        <w:rPr>
          <w:rStyle w:val="FootnoteReference"/>
          <w:rFonts w:eastAsiaTheme="minorEastAsia"/>
        </w:rPr>
        <w:footnoteReference w:id="132"/>
      </w:r>
      <w:r>
        <w:rPr>
          <w:rFonts w:eastAsiaTheme="minorEastAsia"/>
        </w:rPr>
        <w:t xml:space="preserve">  The Signatory Parties uniformly testified that the $255 rate is not based on cost,</w:t>
      </w:r>
      <w:r>
        <w:rPr>
          <w:rStyle w:val="FootnoteReference"/>
          <w:rFonts w:eastAsiaTheme="minorEastAsia"/>
        </w:rPr>
        <w:footnoteReference w:id="133"/>
      </w:r>
      <w:r>
        <w:rPr>
          <w:rFonts w:eastAsiaTheme="minorEastAsia"/>
        </w:rPr>
        <w:t xml:space="preserve"> and it clearly is not based on market.  As the testimony also demonstrated, whether a CRES supplier is charged the RPM price or $255 depends on where and when its customer stands in the line created by the Stipulation and Appendix C’s five classes of customers.</w:t>
      </w:r>
      <w:r>
        <w:rPr>
          <w:rStyle w:val="FootnoteReference"/>
          <w:rFonts w:eastAsiaTheme="minorEastAsia"/>
        </w:rPr>
        <w:footnoteReference w:id="134"/>
      </w:r>
      <w:r>
        <w:rPr>
          <w:rFonts w:eastAsiaTheme="minorEastAsia"/>
        </w:rPr>
        <w:t xml:space="preserve">  In all other respects, the products are identical.</w:t>
      </w:r>
      <w:r>
        <w:rPr>
          <w:rStyle w:val="FootnoteReference"/>
          <w:rFonts w:eastAsiaTheme="minorEastAsia"/>
        </w:rPr>
        <w:footnoteReference w:id="135"/>
      </w:r>
      <w:r>
        <w:rPr>
          <w:rFonts w:eastAsiaTheme="minorEastAsia"/>
        </w:rPr>
        <w:t xml:space="preserve">  </w:t>
      </w:r>
    </w:p>
    <w:p w:rsidR="00FD64B7" w:rsidRDefault="00F96714">
      <w:pPr>
        <w:autoSpaceDE w:val="0"/>
        <w:autoSpaceDN w:val="0"/>
        <w:adjustRightInd w:val="0"/>
        <w:spacing w:line="480" w:lineRule="auto"/>
        <w:ind w:firstLine="720"/>
        <w:jc w:val="both"/>
        <w:rPr>
          <w:rFonts w:eastAsiaTheme="minorEastAsia"/>
        </w:rPr>
      </w:pPr>
      <w:r>
        <w:rPr>
          <w:rFonts w:eastAsiaTheme="minorEastAsia"/>
        </w:rPr>
        <w:t>Despite the statutory prohibition in Section 4928.40(D), Revised Code, the Stipulation recommends a non-comparable and discriminatory</w:t>
      </w:r>
      <w:r>
        <w:rPr>
          <w:rFonts w:eastAsiaTheme="minorEastAsia"/>
          <w:vertAlign w:val="superscript"/>
        </w:rPr>
        <w:footnoteReference w:id="136"/>
      </w:r>
      <w:r>
        <w:rPr>
          <w:rFonts w:eastAsiaTheme="minorEastAsia"/>
        </w:rPr>
        <w:t xml:space="preserve"> capacity charge structure with CRES suppliers providing megawatt hours above the “caps” subjected to the $255 per megawatt-day amount and the megawatt hours supplied below the “caps” paying the Commission-approved and current market-based capacity charge arising from PJM</w:t>
      </w:r>
      <w:r w:rsidR="00141766">
        <w:rPr>
          <w:rFonts w:eastAsiaTheme="minorEastAsia"/>
        </w:rPr>
        <w:t>’s</w:t>
      </w:r>
      <w:r>
        <w:rPr>
          <w:rFonts w:eastAsiaTheme="minorEastAsia"/>
        </w:rPr>
        <w:t xml:space="preserve"> wholesale auction process.  The difference in pricing cannot be explained on any cost or market-based rationale.  Instead, it is designed to limit the opportunity of customers to act on their preferences.  </w:t>
      </w:r>
    </w:p>
    <w:p w:rsidR="00FD64B7" w:rsidRDefault="00F96714">
      <w:pPr>
        <w:autoSpaceDE w:val="0"/>
        <w:autoSpaceDN w:val="0"/>
        <w:adjustRightInd w:val="0"/>
        <w:spacing w:line="480" w:lineRule="auto"/>
        <w:ind w:firstLine="720"/>
        <w:jc w:val="both"/>
        <w:rPr>
          <w:rFonts w:eastAsiaTheme="minorEastAsia"/>
        </w:rPr>
      </w:pPr>
      <w:r>
        <w:rPr>
          <w:rFonts w:eastAsiaTheme="minorEastAsia"/>
        </w:rPr>
        <w:t xml:space="preserve">Despite the </w:t>
      </w:r>
      <w:r w:rsidR="00141766">
        <w:rPr>
          <w:rFonts w:eastAsiaTheme="minorEastAsia"/>
        </w:rPr>
        <w:t xml:space="preserve">state policy </w:t>
      </w:r>
      <w:r>
        <w:rPr>
          <w:rFonts w:eastAsiaTheme="minorEastAsia"/>
        </w:rPr>
        <w:t>contained in Section 4928.02(A)</w:t>
      </w:r>
      <w:r w:rsidR="00141766">
        <w:rPr>
          <w:rFonts w:eastAsiaTheme="minorEastAsia"/>
        </w:rPr>
        <w:t>,</w:t>
      </w:r>
      <w:r>
        <w:rPr>
          <w:rFonts w:eastAsiaTheme="minorEastAsia"/>
        </w:rPr>
        <w:t xml:space="preserve"> Revised Code, neither the Companies nor any party supporting the Stipulation offered any evidence to demonstrate that the bifurcated capacity charge structure recommended by the Stipulation can be lawfully </w:t>
      </w:r>
      <w:r w:rsidR="00141766">
        <w:rPr>
          <w:rFonts w:eastAsiaTheme="minorEastAsia"/>
        </w:rPr>
        <w:t>authorized</w:t>
      </w:r>
      <w:r>
        <w:rPr>
          <w:rFonts w:eastAsiaTheme="minorEastAsia"/>
        </w:rPr>
        <w:t>.  As Mr. Fein offered during cross-examination:</w:t>
      </w:r>
    </w:p>
    <w:p w:rsidR="00FD64B7" w:rsidRDefault="00F96714" w:rsidP="00141766">
      <w:pPr>
        <w:autoSpaceDE w:val="0"/>
        <w:autoSpaceDN w:val="0"/>
        <w:adjustRightInd w:val="0"/>
        <w:spacing w:line="240" w:lineRule="auto"/>
        <w:ind w:left="720" w:right="720"/>
        <w:jc w:val="both"/>
        <w:rPr>
          <w:rFonts w:eastAsiaTheme="minorEastAsia"/>
        </w:rPr>
      </w:pPr>
      <w:r>
        <w:rPr>
          <w:rFonts w:eastAsiaTheme="minorEastAsia"/>
        </w:rPr>
        <w:t>Q. You also believe that the Commission should avoid discriminatory pricing policies; do you not?</w:t>
      </w:r>
    </w:p>
    <w:p w:rsidR="00FD64B7" w:rsidRDefault="00F96714" w:rsidP="00141766">
      <w:pPr>
        <w:autoSpaceDE w:val="0"/>
        <w:autoSpaceDN w:val="0"/>
        <w:adjustRightInd w:val="0"/>
        <w:spacing w:line="240" w:lineRule="auto"/>
        <w:ind w:left="720" w:right="720"/>
        <w:jc w:val="both"/>
        <w:rPr>
          <w:rFonts w:eastAsiaTheme="minorEastAsia"/>
        </w:rPr>
      </w:pPr>
      <w:r>
        <w:rPr>
          <w:rFonts w:eastAsiaTheme="minorEastAsia"/>
        </w:rPr>
        <w:t>A. I do.</w:t>
      </w:r>
    </w:p>
    <w:p w:rsidR="00FD64B7" w:rsidRDefault="00F96714" w:rsidP="00141766">
      <w:pPr>
        <w:autoSpaceDE w:val="0"/>
        <w:autoSpaceDN w:val="0"/>
        <w:adjustRightInd w:val="0"/>
        <w:spacing w:line="240" w:lineRule="auto"/>
        <w:ind w:left="720" w:right="720"/>
        <w:jc w:val="both"/>
        <w:rPr>
          <w:rFonts w:eastAsiaTheme="minorEastAsia"/>
        </w:rPr>
      </w:pPr>
      <w:r>
        <w:rPr>
          <w:rFonts w:eastAsiaTheme="minorEastAsia"/>
        </w:rPr>
        <w:t>Q. So similarly situated customers receiving the same service shouldn’t be required to pay different prices for that service, correct?</w:t>
      </w:r>
    </w:p>
    <w:p w:rsidR="00FD64B7" w:rsidRDefault="00F96714" w:rsidP="00141766">
      <w:pPr>
        <w:autoSpaceDE w:val="0"/>
        <w:autoSpaceDN w:val="0"/>
        <w:adjustRightInd w:val="0"/>
        <w:spacing w:line="240" w:lineRule="auto"/>
        <w:ind w:left="720" w:right="720"/>
        <w:jc w:val="both"/>
        <w:rPr>
          <w:rFonts w:eastAsiaTheme="minorEastAsia"/>
        </w:rPr>
      </w:pPr>
      <w:r>
        <w:rPr>
          <w:rFonts w:eastAsiaTheme="minorEastAsia"/>
        </w:rPr>
        <w:t>A. That’s correct.</w:t>
      </w:r>
      <w:r>
        <w:rPr>
          <w:rStyle w:val="FootnoteReference"/>
          <w:rFonts w:eastAsiaTheme="minorEastAsia"/>
        </w:rPr>
        <w:footnoteReference w:id="137"/>
      </w:r>
    </w:p>
    <w:p w:rsidR="009331EB" w:rsidRDefault="009331EB" w:rsidP="009331EB">
      <w:pPr>
        <w:autoSpaceDE w:val="0"/>
        <w:autoSpaceDN w:val="0"/>
        <w:adjustRightInd w:val="0"/>
        <w:spacing w:after="0" w:line="240" w:lineRule="auto"/>
        <w:ind w:left="1440" w:right="1440"/>
        <w:jc w:val="both"/>
        <w:rPr>
          <w:rFonts w:eastAsiaTheme="minorEastAsia"/>
        </w:rPr>
      </w:pPr>
    </w:p>
    <w:p w:rsidR="00FD64B7" w:rsidRDefault="00F96714">
      <w:pPr>
        <w:autoSpaceDE w:val="0"/>
        <w:autoSpaceDN w:val="0"/>
        <w:adjustRightInd w:val="0"/>
        <w:spacing w:line="480" w:lineRule="auto"/>
        <w:jc w:val="both"/>
        <w:rPr>
          <w:rFonts w:eastAsiaTheme="minorEastAsia"/>
        </w:rPr>
      </w:pPr>
      <w:r>
        <w:rPr>
          <w:rFonts w:eastAsiaTheme="minorEastAsia"/>
        </w:rPr>
        <w:t xml:space="preserve">Yet, under the Stipulation’s capacity charge proposal, discrimination is guaranteed: similarly situated customers and suppliers will see two different prices based on nothing more than whether they took or signed up for </w:t>
      </w:r>
      <w:r w:rsidR="00434D50">
        <w:rPr>
          <w:rFonts w:eastAsiaTheme="minorEastAsia"/>
        </w:rPr>
        <w:t xml:space="preserve">competitive retail electric service </w:t>
      </w:r>
      <w:r>
        <w:rPr>
          <w:rFonts w:eastAsiaTheme="minorEastAsia"/>
        </w:rPr>
        <w:t>soon enough.  Given the state</w:t>
      </w:r>
      <w:r w:rsidR="00141766">
        <w:rPr>
          <w:rFonts w:eastAsiaTheme="minorEastAsia"/>
        </w:rPr>
        <w:t>’s</w:t>
      </w:r>
      <w:r>
        <w:rPr>
          <w:rFonts w:eastAsiaTheme="minorEastAsia"/>
        </w:rPr>
        <w:t xml:space="preserve"> policies </w:t>
      </w:r>
      <w:r w:rsidR="00434D50">
        <w:rPr>
          <w:rFonts w:eastAsiaTheme="minorEastAsia"/>
        </w:rPr>
        <w:t xml:space="preserve">that strongly </w:t>
      </w:r>
      <w:r>
        <w:rPr>
          <w:rFonts w:eastAsiaTheme="minorEastAsia"/>
        </w:rPr>
        <w:t>support competition and comparable and non-discriminatory pricing of wholesale and retail electric</w:t>
      </w:r>
      <w:r w:rsidR="00141766">
        <w:rPr>
          <w:rFonts w:eastAsiaTheme="minorEastAsia"/>
        </w:rPr>
        <w:t xml:space="preserve"> service</w:t>
      </w:r>
      <w:r>
        <w:rPr>
          <w:rFonts w:eastAsiaTheme="minorEastAsia"/>
        </w:rPr>
        <w:t xml:space="preserve">, the Stipulation </w:t>
      </w:r>
      <w:r w:rsidR="00876801">
        <w:rPr>
          <w:rFonts w:eastAsiaTheme="minorEastAsia"/>
        </w:rPr>
        <w:t>e</w:t>
      </w:r>
      <w:r w:rsidR="00015400">
        <w:rPr>
          <w:rFonts w:eastAsiaTheme="minorEastAsia"/>
        </w:rPr>
        <w:t>ffects</w:t>
      </w:r>
      <w:r>
        <w:rPr>
          <w:rFonts w:eastAsiaTheme="minorEastAsia"/>
        </w:rPr>
        <w:t xml:space="preserve"> a result that the Commission cannot authorize.</w:t>
      </w:r>
    </w:p>
    <w:p w:rsidR="00FB40EB" w:rsidRDefault="00FB40EB">
      <w:pPr>
        <w:rPr>
          <w:rFonts w:eastAsiaTheme="minorEastAsia" w:cstheme="minorBidi"/>
          <w:b/>
          <w:szCs w:val="22"/>
        </w:rPr>
      </w:pPr>
      <w:r>
        <w:rPr>
          <w:rFonts w:eastAsiaTheme="minorEastAsia"/>
          <w:b/>
        </w:rPr>
        <w:br w:type="page"/>
      </w:r>
    </w:p>
    <w:p w:rsidR="00FD64B7" w:rsidRDefault="0032151F" w:rsidP="0032151F">
      <w:pPr>
        <w:pStyle w:val="ListParagraph"/>
        <w:rPr>
          <w:rFonts w:eastAsiaTheme="minorEastAsia"/>
          <w:b/>
        </w:rPr>
      </w:pPr>
      <w:r>
        <w:rPr>
          <w:rFonts w:eastAsiaTheme="minorEastAsia"/>
          <w:b/>
        </w:rPr>
        <w:t>E.</w:t>
      </w:r>
      <w:r>
        <w:rPr>
          <w:rFonts w:eastAsiaTheme="minorEastAsia"/>
          <w:b/>
        </w:rPr>
        <w:tab/>
      </w:r>
      <w:r w:rsidR="00F96714">
        <w:rPr>
          <w:rFonts w:eastAsiaTheme="minorEastAsia"/>
          <w:b/>
        </w:rPr>
        <w:t>Generation Resource Rider (</w:t>
      </w:r>
      <w:r w:rsidR="00527EC7">
        <w:rPr>
          <w:rFonts w:eastAsiaTheme="minorEastAsia"/>
          <w:b/>
        </w:rPr>
        <w:t>“</w:t>
      </w:r>
      <w:r w:rsidR="00F96714">
        <w:rPr>
          <w:rFonts w:eastAsiaTheme="minorEastAsia"/>
          <w:b/>
        </w:rPr>
        <w:t>GRR</w:t>
      </w:r>
      <w:r w:rsidR="00527EC7">
        <w:rPr>
          <w:rFonts w:eastAsiaTheme="minorEastAsia"/>
          <w:b/>
        </w:rPr>
        <w:t>”</w:t>
      </w:r>
      <w:r w:rsidR="00F96714">
        <w:rPr>
          <w:rFonts w:eastAsiaTheme="minorEastAsia"/>
          <w:b/>
        </w:rPr>
        <w:t>)</w:t>
      </w:r>
    </w:p>
    <w:p w:rsidR="00FD64B7" w:rsidRDefault="0032151F" w:rsidP="0032151F">
      <w:pPr>
        <w:pStyle w:val="ListParagraph"/>
        <w:spacing w:after="200" w:line="240" w:lineRule="auto"/>
        <w:ind w:left="2160" w:hanging="720"/>
        <w:rPr>
          <w:b/>
        </w:rPr>
      </w:pPr>
      <w:r>
        <w:rPr>
          <w:b/>
        </w:rPr>
        <w:t>1.</w:t>
      </w:r>
      <w:r>
        <w:rPr>
          <w:b/>
        </w:rPr>
        <w:tab/>
      </w:r>
      <w:r w:rsidR="00F96714">
        <w:rPr>
          <w:b/>
        </w:rPr>
        <w:t xml:space="preserve">The GRR is </w:t>
      </w:r>
      <w:r>
        <w:rPr>
          <w:b/>
        </w:rPr>
        <w:t>not justified.</w:t>
      </w:r>
    </w:p>
    <w:p w:rsidR="00FD64B7" w:rsidRDefault="00FD64B7" w:rsidP="00106130">
      <w:pPr>
        <w:pStyle w:val="ListParagraph"/>
        <w:spacing w:line="240" w:lineRule="auto"/>
      </w:pPr>
    </w:p>
    <w:p w:rsidR="00FD64B7" w:rsidRDefault="00F96714" w:rsidP="000801BE">
      <w:pPr>
        <w:pStyle w:val="ListParagraph"/>
        <w:spacing w:after="200"/>
        <w:ind w:left="0" w:firstLine="720"/>
      </w:pPr>
      <w:r>
        <w:t>The Stipulation, if approved, would authorize the Companies to illegally establish a non-bypass</w:t>
      </w:r>
      <w:r w:rsidR="00527EC7">
        <w:t>a</w:t>
      </w:r>
      <w:r>
        <w:t>ble GRR as a “placeholder.”</w:t>
      </w:r>
      <w:r>
        <w:rPr>
          <w:rStyle w:val="FootnoteReference"/>
        </w:rPr>
        <w:footnoteReference w:id="138"/>
      </w:r>
      <w:r>
        <w:t xml:space="preserve">  </w:t>
      </w:r>
      <w:r w:rsidR="00527EC7">
        <w:t>During the term of the ESP, the Stipulation would allow the Companies to pursue recovery through the GRR of the costs associated with the Turning Point Solar Project and MR6 project, a new combined cycle plant to replace MR5 after it is retired.</w:t>
      </w:r>
      <w:r w:rsidR="00527EC7">
        <w:rPr>
          <w:rStyle w:val="FootnoteReference"/>
        </w:rPr>
        <w:footnoteReference w:id="139"/>
      </w:r>
      <w:r w:rsidR="00527EC7">
        <w:t xml:space="preserve">  </w:t>
      </w:r>
      <w:r>
        <w:t xml:space="preserve">The Commission should reject the GRR because the statutory requirements of Section 4928.143(B)(2)(c), Revised Code, </w:t>
      </w:r>
      <w:r w:rsidR="00527EC7">
        <w:t xml:space="preserve">that must be </w:t>
      </w:r>
      <w:r>
        <w:t>establish</w:t>
      </w:r>
      <w:r w:rsidR="00527EC7">
        <w:t>ed</w:t>
      </w:r>
      <w:r>
        <w:t xml:space="preserve"> </w:t>
      </w:r>
      <w:r w:rsidR="00527EC7">
        <w:t xml:space="preserve">to authorize </w:t>
      </w:r>
      <w:r>
        <w:t xml:space="preserve">a non-bypassable charge, have not been satisfied.  Additionally, the GRR is simply a placeholder, and such placeholder riders are not statutorily authorized as part of an ESP.  </w:t>
      </w:r>
    </w:p>
    <w:p w:rsidR="00FD64B7" w:rsidRDefault="00F96714" w:rsidP="000801BE">
      <w:pPr>
        <w:autoSpaceDE w:val="0"/>
        <w:autoSpaceDN w:val="0"/>
        <w:adjustRightInd w:val="0"/>
        <w:spacing w:line="480" w:lineRule="auto"/>
        <w:ind w:firstLine="720"/>
        <w:jc w:val="both"/>
      </w:pPr>
      <w:r>
        <w:t>The Companies have not identified any statutory basis that authorizes the inclusion of “placeholder riders” as part of an ESP.</w:t>
      </w:r>
      <w:r w:rsidR="00527EC7">
        <w:t xml:space="preserve"> </w:t>
      </w:r>
      <w:r>
        <w:t xml:space="preserve"> Section 4928.143(B)(2), Revised Code</w:t>
      </w:r>
      <w:r w:rsidR="00527EC7">
        <w:t>,</w:t>
      </w:r>
      <w:r>
        <w:t xml:space="preserve"> states that “[t]he [electric security] plan may provide for or include, without limitation, any of the following,” and then lists nine </w:t>
      </w:r>
      <w:r w:rsidR="00D07A5A">
        <w:t>provisions</w:t>
      </w:r>
      <w:r>
        <w:t>.</w:t>
      </w:r>
      <w:r w:rsidR="005320DF">
        <w:t xml:space="preserve"> </w:t>
      </w:r>
      <w:r>
        <w:t xml:space="preserve"> Only one of the nine </w:t>
      </w:r>
      <w:r w:rsidR="00527EC7">
        <w:t xml:space="preserve">provisions </w:t>
      </w:r>
      <w:r>
        <w:t xml:space="preserve">mentions the possibility of a non-bypassable charge for a </w:t>
      </w:r>
      <w:r w:rsidR="00D07A5A">
        <w:t xml:space="preserve">completed </w:t>
      </w:r>
      <w:r>
        <w:t xml:space="preserve">new generation facility. </w:t>
      </w:r>
      <w:r w:rsidR="005320DF">
        <w:t xml:space="preserve"> </w:t>
      </w:r>
      <w:r>
        <w:t>Section 4928.43(B)(2)(c), Revised Code, provides an ESP may include:</w:t>
      </w:r>
    </w:p>
    <w:p w:rsidR="00FD64B7" w:rsidRDefault="00F96714" w:rsidP="0032151F">
      <w:pPr>
        <w:spacing w:after="0" w:line="240" w:lineRule="auto"/>
        <w:ind w:left="720" w:right="720"/>
        <w:jc w:val="both"/>
        <w:rPr>
          <w:rFonts w:eastAsia="Times New Roman"/>
        </w:rPr>
      </w:pPr>
      <w:r>
        <w:rPr>
          <w:rFonts w:eastAsia="Times New Roman"/>
        </w:rPr>
        <w:t xml:space="preserve">The establishment of a </w:t>
      </w:r>
      <w:r>
        <w:rPr>
          <w:rFonts w:eastAsia="Times New Roman"/>
          <w:u w:val="single"/>
        </w:rPr>
        <w:t>nonbypassable</w:t>
      </w:r>
      <w:r>
        <w:rPr>
          <w:rFonts w:eastAsia="Times New Roman"/>
        </w:rPr>
        <w:t xml:space="preserve"> surcharge for the life of an electric generating facility that is owned or operated by the electric distribution utility, was sourced through a competitive bid process subject to any such rules as the commission adopts under division (B)(2)(b) of this section, and is newly used and useful on or after January 1, 2009, which surcharge shall cover all costs of the utility specified in the application, excluding costs recovered through a surcharge under division (B)(2)(b) of this section. However, no surcharge shall be authorized unless the commission first determines in the proceeding that there is need for the facility based on resource planning projections submitted by the electric distribution utility. Additionally, if a surcharge is authorized for a facility pursuant to plan approval under division (C) of this section and as a condition of the continuation of the surcharge, the electric distribution utility shall dedicate to Ohio consumers the capacity and energy and the rate associated with the cost of that facility. Before the commission authorizes any surcharge pursuant to this division, it may consider, as applicable, the effects of any decommissioning, deratings, and retirements.</w:t>
      </w:r>
    </w:p>
    <w:p w:rsidR="0032151F" w:rsidRDefault="0032151F" w:rsidP="0032151F">
      <w:pPr>
        <w:spacing w:after="0" w:line="240" w:lineRule="auto"/>
        <w:ind w:left="720" w:right="720"/>
        <w:jc w:val="both"/>
        <w:rPr>
          <w:rFonts w:eastAsia="Times New Roman"/>
        </w:rPr>
      </w:pPr>
    </w:p>
    <w:p w:rsidR="00FD64B7" w:rsidRDefault="00F96714" w:rsidP="000801BE">
      <w:pPr>
        <w:autoSpaceDE w:val="0"/>
        <w:autoSpaceDN w:val="0"/>
        <w:adjustRightInd w:val="0"/>
        <w:spacing w:line="480" w:lineRule="auto"/>
        <w:jc w:val="both"/>
        <w:rPr>
          <w:rFonts w:eastAsia="Times New Roman"/>
        </w:rPr>
      </w:pPr>
      <w:r>
        <w:tab/>
        <w:t xml:space="preserve">As set out above, Section 4928.143(B)(2)(c), Revised Code, includes several specific requirements that must be satisfied before the Commission can authorize a non-bypassable charge. </w:t>
      </w:r>
      <w:r w:rsidR="00527EC7">
        <w:t xml:space="preserve"> </w:t>
      </w:r>
      <w:r>
        <w:t>There must be a finding that the generating facility for which a non-bypassable charge is sought was sourced through competitive bids.</w:t>
      </w:r>
      <w:r w:rsidR="00527EC7">
        <w:t xml:space="preserve"> </w:t>
      </w:r>
      <w:r>
        <w:t xml:space="preserve"> There must a finding by the C</w:t>
      </w:r>
      <w:r>
        <w:rPr>
          <w:rFonts w:eastAsia="Times New Roman"/>
        </w:rPr>
        <w:t>ommission in the ESP proceeding that there is a need for the facility based on resource planning projections submitted by the EDU.</w:t>
      </w:r>
      <w:r>
        <w:t xml:space="preserve"> </w:t>
      </w:r>
      <w:r w:rsidR="00527EC7">
        <w:t xml:space="preserve"> </w:t>
      </w:r>
      <w:r>
        <w:t xml:space="preserve">There must be a finding by the Commission that the </w:t>
      </w:r>
      <w:r>
        <w:rPr>
          <w:rFonts w:eastAsia="Times New Roman"/>
        </w:rPr>
        <w:t xml:space="preserve">capacity, energy and the rate associated with the cost of that facility has been dedicated to Ohio consumers. </w:t>
      </w:r>
    </w:p>
    <w:p w:rsidR="00FD64B7" w:rsidRDefault="00F96714" w:rsidP="000801BE">
      <w:pPr>
        <w:autoSpaceDE w:val="0"/>
        <w:autoSpaceDN w:val="0"/>
        <w:adjustRightInd w:val="0"/>
        <w:spacing w:line="480" w:lineRule="auto"/>
        <w:ind w:firstLine="720"/>
        <w:jc w:val="both"/>
        <w:rPr>
          <w:rFonts w:eastAsia="Times New Roman"/>
        </w:rPr>
      </w:pPr>
      <w:r>
        <w:rPr>
          <w:rFonts w:eastAsia="Times New Roman"/>
        </w:rPr>
        <w:t>In this case, the Companies have made no attempt to justify the rider.  When pressed, their witnesses stated that the GRR is a placeholder and pointed to the Stipulation’s provision that the recovery under</w:t>
      </w:r>
      <w:r w:rsidR="005320DF">
        <w:rPr>
          <w:rFonts w:eastAsia="Times New Roman"/>
        </w:rPr>
        <w:t xml:space="preserve"> the</w:t>
      </w:r>
      <w:r>
        <w:rPr>
          <w:rFonts w:eastAsia="Times New Roman"/>
        </w:rPr>
        <w:t xml:space="preserve"> rider will be the subject of additional Commission proceedings.</w:t>
      </w:r>
      <w:r>
        <w:rPr>
          <w:rStyle w:val="FootnoteReference"/>
          <w:rFonts w:eastAsia="Times New Roman"/>
        </w:rPr>
        <w:footnoteReference w:id="140"/>
      </w:r>
      <w:r>
        <w:rPr>
          <w:rFonts w:eastAsia="Times New Roman"/>
        </w:rPr>
        <w:t xml:space="preserve">  Thus, the Companies have offered nothing in the way of proof to support the creation of the GRR pursuant to Section 4928.143(B)(2)(c), Revised Code.</w:t>
      </w:r>
    </w:p>
    <w:p w:rsidR="00FD64B7" w:rsidRDefault="00F96714" w:rsidP="000801BE">
      <w:pPr>
        <w:autoSpaceDE w:val="0"/>
        <w:autoSpaceDN w:val="0"/>
        <w:adjustRightInd w:val="0"/>
        <w:spacing w:line="480" w:lineRule="auto"/>
        <w:jc w:val="both"/>
        <w:rPr>
          <w:rFonts w:eastAsia="Times New Roman"/>
        </w:rPr>
      </w:pPr>
      <w:r>
        <w:rPr>
          <w:rFonts w:eastAsia="Times New Roman"/>
        </w:rPr>
        <w:tab/>
        <w:t>Since the GRR does not satisfy Section 4928.143(B)(2)(c), Revised Code, the only way the Commission could lawfully authorize the GRR would be to alternatively determine that one of the other eight categories of cost recovery under Section 4928.143(B)</w:t>
      </w:r>
      <w:r w:rsidR="00527EC7">
        <w:rPr>
          <w:rFonts w:eastAsia="Times New Roman"/>
        </w:rPr>
        <w:t>(2)</w:t>
      </w:r>
      <w:r>
        <w:rPr>
          <w:rFonts w:eastAsia="Times New Roman"/>
        </w:rPr>
        <w:t xml:space="preserve">, Revised Code, creates an opportunity for </w:t>
      </w:r>
      <w:r w:rsidR="00527EC7">
        <w:rPr>
          <w:rFonts w:eastAsia="Times New Roman"/>
        </w:rPr>
        <w:t xml:space="preserve">the </w:t>
      </w:r>
      <w:r>
        <w:rPr>
          <w:rFonts w:eastAsia="Times New Roman"/>
        </w:rPr>
        <w:t xml:space="preserve">GRR. </w:t>
      </w:r>
      <w:r w:rsidR="00527EC7">
        <w:rPr>
          <w:rFonts w:eastAsia="Times New Roman"/>
        </w:rPr>
        <w:t xml:space="preserve"> </w:t>
      </w:r>
      <w:r>
        <w:rPr>
          <w:rFonts w:eastAsia="Times New Roman"/>
        </w:rPr>
        <w:t xml:space="preserve">There has been no evidence presented in this proceeding that the proposed GRR falls within one of the other eight </w:t>
      </w:r>
      <w:r w:rsidR="00D07A5A">
        <w:rPr>
          <w:rFonts w:eastAsia="Times New Roman"/>
        </w:rPr>
        <w:t xml:space="preserve">provisions </w:t>
      </w:r>
      <w:r>
        <w:rPr>
          <w:rFonts w:eastAsia="Times New Roman"/>
        </w:rPr>
        <w:t>under Section 4928.143(B)</w:t>
      </w:r>
      <w:r w:rsidR="00527EC7">
        <w:rPr>
          <w:rFonts w:eastAsia="Times New Roman"/>
        </w:rPr>
        <w:t>(2)</w:t>
      </w:r>
      <w:r>
        <w:rPr>
          <w:rFonts w:eastAsia="Times New Roman"/>
        </w:rPr>
        <w:t xml:space="preserve">, Revised Code. </w:t>
      </w:r>
      <w:r w:rsidR="00527EC7">
        <w:rPr>
          <w:rFonts w:eastAsia="Times New Roman"/>
        </w:rPr>
        <w:t xml:space="preserve"> </w:t>
      </w:r>
      <w:r>
        <w:rPr>
          <w:rFonts w:eastAsia="Times New Roman"/>
        </w:rPr>
        <w:t xml:space="preserve">On that point, recent guidance from the Supreme Court is instructive. </w:t>
      </w:r>
    </w:p>
    <w:p w:rsidR="00FD64B7" w:rsidRDefault="00F96714">
      <w:pPr>
        <w:autoSpaceDE w:val="0"/>
        <w:autoSpaceDN w:val="0"/>
        <w:adjustRightInd w:val="0"/>
        <w:spacing w:after="0" w:line="480" w:lineRule="auto"/>
        <w:ind w:firstLine="720"/>
        <w:jc w:val="both"/>
        <w:rPr>
          <w:rFonts w:eastAsia="Times New Roman"/>
        </w:rPr>
      </w:pPr>
      <w:r>
        <w:rPr>
          <w:rFonts w:eastAsia="Times New Roman"/>
        </w:rPr>
        <w:t>On March 18, 2009</w:t>
      </w:r>
      <w:r w:rsidR="00527EC7">
        <w:rPr>
          <w:rFonts w:eastAsia="Times New Roman"/>
        </w:rPr>
        <w:t>,</w:t>
      </w:r>
      <w:r>
        <w:rPr>
          <w:rFonts w:eastAsia="Times New Roman"/>
        </w:rPr>
        <w:t xml:space="preserve"> the Commission issued its order on the Companies’ current ESP.</w:t>
      </w:r>
      <w:r>
        <w:rPr>
          <w:rStyle w:val="FootnoteReference"/>
          <w:rFonts w:eastAsia="Times New Roman"/>
        </w:rPr>
        <w:footnoteReference w:id="141"/>
      </w:r>
      <w:r>
        <w:rPr>
          <w:rFonts w:eastAsia="Times New Roman"/>
        </w:rPr>
        <w:t xml:space="preserve">  On appeal, one of the issues raised by OCC was whether Section </w:t>
      </w:r>
      <w:r>
        <w:t>4928.143(B)(2), Revised Code, permitted the Companies to recover certain carrying costs associated with environmental investments.</w:t>
      </w:r>
      <w:r>
        <w:rPr>
          <w:rFonts w:eastAsia="Times New Roman"/>
        </w:rPr>
        <w:t xml:space="preserve">  OCC argued that Section 4928.143(B)(2), Revised Code, must be narrowly read and authorizes the inclusion of provisions in an ESP that were listed in the statute. The Court agreed:</w:t>
      </w:r>
    </w:p>
    <w:p w:rsidR="00106130" w:rsidRDefault="00106130" w:rsidP="00106130">
      <w:pPr>
        <w:autoSpaceDE w:val="0"/>
        <w:autoSpaceDN w:val="0"/>
        <w:adjustRightInd w:val="0"/>
        <w:spacing w:after="0" w:line="240" w:lineRule="auto"/>
        <w:ind w:firstLine="720"/>
        <w:jc w:val="both"/>
      </w:pPr>
    </w:p>
    <w:p w:rsidR="00FD64B7" w:rsidRDefault="00F96714" w:rsidP="00106130">
      <w:pPr>
        <w:autoSpaceDE w:val="0"/>
        <w:autoSpaceDN w:val="0"/>
        <w:adjustRightInd w:val="0"/>
        <w:spacing w:after="0"/>
        <w:ind w:left="720" w:right="720"/>
        <w:jc w:val="both"/>
      </w:pPr>
      <w:r>
        <w:t>By its terms, R.C. 4928.143(B)(2) allows plans to include only “any of the following” provisions. It does not allow plans to include “any provision.” So if a given provision does not fit within one of the categories listed “following” (B)(2), it is not authorized by statute.</w:t>
      </w:r>
    </w:p>
    <w:p w:rsidR="00FD64B7" w:rsidRDefault="00F96714" w:rsidP="00106130">
      <w:pPr>
        <w:autoSpaceDE w:val="0"/>
        <w:autoSpaceDN w:val="0"/>
        <w:adjustRightInd w:val="0"/>
        <w:spacing w:after="0"/>
        <w:ind w:left="720" w:right="720"/>
        <w:jc w:val="both"/>
      </w:pPr>
      <w:r>
        <w:t>. . .</w:t>
      </w:r>
    </w:p>
    <w:p w:rsidR="00106130" w:rsidRDefault="00106130" w:rsidP="00106130">
      <w:pPr>
        <w:autoSpaceDE w:val="0"/>
        <w:autoSpaceDN w:val="0"/>
        <w:adjustRightInd w:val="0"/>
        <w:spacing w:after="0" w:line="240" w:lineRule="auto"/>
        <w:ind w:left="720" w:right="720"/>
        <w:jc w:val="both"/>
      </w:pPr>
    </w:p>
    <w:p w:rsidR="00FD64B7" w:rsidRDefault="00F96714">
      <w:pPr>
        <w:autoSpaceDE w:val="0"/>
        <w:autoSpaceDN w:val="0"/>
        <w:adjustRightInd w:val="0"/>
        <w:spacing w:after="0"/>
        <w:ind w:left="720" w:right="720"/>
        <w:jc w:val="both"/>
      </w:pPr>
      <w:r>
        <w:t>The plain language of the statute controls, and this interpretation leads to a reasonable result.</w:t>
      </w:r>
      <w:r>
        <w:rPr>
          <w:rStyle w:val="FootnoteReference"/>
        </w:rPr>
        <w:footnoteReference w:id="142"/>
      </w:r>
      <w:r>
        <w:t xml:space="preserve"> </w:t>
      </w:r>
    </w:p>
    <w:p w:rsidR="00106130" w:rsidRDefault="00106130" w:rsidP="00106130">
      <w:pPr>
        <w:autoSpaceDE w:val="0"/>
        <w:autoSpaceDN w:val="0"/>
        <w:adjustRightInd w:val="0"/>
        <w:spacing w:after="0" w:line="240" w:lineRule="auto"/>
        <w:ind w:left="720" w:right="720"/>
        <w:jc w:val="both"/>
      </w:pPr>
    </w:p>
    <w:p w:rsidR="00FD64B7" w:rsidRDefault="00F96714" w:rsidP="000801BE">
      <w:pPr>
        <w:autoSpaceDE w:val="0"/>
        <w:autoSpaceDN w:val="0"/>
        <w:adjustRightInd w:val="0"/>
        <w:spacing w:line="480" w:lineRule="auto"/>
        <w:jc w:val="both"/>
      </w:pPr>
      <w:r>
        <w:tab/>
        <w:t xml:space="preserve">Including a placeholder rider as part of an ESP requires an assumption that the phrase “without limitation” allows unlisted items, a result contrary to the Supreme Court’s determination. </w:t>
      </w:r>
      <w:r w:rsidR="00527EC7">
        <w:t xml:space="preserve"> </w:t>
      </w:r>
      <w:r>
        <w:t>Because none of the other eight categories of costs allows the Commission to approve a placeholder rider, with specific costs to be determined at a later date, there is no statutory basis to approve the GRR.</w:t>
      </w:r>
    </w:p>
    <w:p w:rsidR="00FD64B7" w:rsidRDefault="0032151F" w:rsidP="0032151F">
      <w:pPr>
        <w:pStyle w:val="ListParagraph"/>
        <w:spacing w:line="240" w:lineRule="auto"/>
        <w:ind w:left="2160" w:hanging="720"/>
        <w:rPr>
          <w:b/>
        </w:rPr>
      </w:pPr>
      <w:r>
        <w:rPr>
          <w:b/>
        </w:rPr>
        <w:t>2.</w:t>
      </w:r>
      <w:r>
        <w:rPr>
          <w:b/>
        </w:rPr>
        <w:tab/>
      </w:r>
      <w:r w:rsidR="00F96714">
        <w:rPr>
          <w:b/>
        </w:rPr>
        <w:t xml:space="preserve">Authorizing </w:t>
      </w:r>
      <w:r w:rsidR="005320DF">
        <w:rPr>
          <w:b/>
        </w:rPr>
        <w:t xml:space="preserve">the </w:t>
      </w:r>
      <w:r w:rsidR="00F96714">
        <w:rPr>
          <w:b/>
        </w:rPr>
        <w:t xml:space="preserve">GRR </w:t>
      </w:r>
      <w:r>
        <w:rPr>
          <w:b/>
        </w:rPr>
        <w:t xml:space="preserve">without accounting for the likely cost improperly biases </w:t>
      </w:r>
      <w:r w:rsidR="00F96714">
        <w:rPr>
          <w:b/>
        </w:rPr>
        <w:t xml:space="preserve">the ESP </w:t>
      </w:r>
      <w:r w:rsidR="00527EC7">
        <w:rPr>
          <w:b/>
        </w:rPr>
        <w:t>v</w:t>
      </w:r>
      <w:r w:rsidR="00F96714">
        <w:rPr>
          <w:b/>
        </w:rPr>
        <w:t xml:space="preserve">ersus MRO </w:t>
      </w:r>
      <w:r>
        <w:rPr>
          <w:b/>
        </w:rPr>
        <w:t>a</w:t>
      </w:r>
      <w:r w:rsidR="00F96714">
        <w:rPr>
          <w:b/>
        </w:rPr>
        <w:t>nalysis</w:t>
      </w:r>
      <w:r>
        <w:rPr>
          <w:b/>
        </w:rPr>
        <w:t>.</w:t>
      </w:r>
    </w:p>
    <w:p w:rsidR="00106130" w:rsidRPr="00106130" w:rsidRDefault="00106130" w:rsidP="00106130">
      <w:pPr>
        <w:spacing w:after="0" w:line="240" w:lineRule="auto"/>
        <w:ind w:left="1440"/>
        <w:rPr>
          <w:b/>
        </w:rPr>
      </w:pPr>
    </w:p>
    <w:p w:rsidR="00FD64B7" w:rsidRDefault="00F96714" w:rsidP="000801BE">
      <w:pPr>
        <w:spacing w:line="480" w:lineRule="auto"/>
        <w:ind w:firstLine="720"/>
        <w:jc w:val="both"/>
      </w:pPr>
      <w:r>
        <w:t xml:space="preserve">As previously discussed, if the GRR is authorized by the Commission, </w:t>
      </w:r>
      <w:r w:rsidR="000A38FF">
        <w:t>the Commission</w:t>
      </w:r>
      <w:r>
        <w:t xml:space="preserve"> must account for the likely revenue to be recovered through the GRR as a cost of the ESP for the purpose of conducting the ESP versus MRO test.  The failure to </w:t>
      </w:r>
      <w:r w:rsidR="00527EC7">
        <w:t xml:space="preserve">do </w:t>
      </w:r>
      <w:r>
        <w:t xml:space="preserve">so </w:t>
      </w:r>
      <w:r w:rsidR="000A38FF">
        <w:t xml:space="preserve">results in an unreasonable portrayal of </w:t>
      </w:r>
      <w:r>
        <w:t xml:space="preserve">the ESP </w:t>
      </w:r>
      <w:r w:rsidR="000A38FF">
        <w:t xml:space="preserve">(as compared to the MRO) </w:t>
      </w:r>
      <w:r>
        <w:t xml:space="preserve">because the </w:t>
      </w:r>
      <w:r w:rsidR="000A38FF">
        <w:t xml:space="preserve">full </w:t>
      </w:r>
      <w:r>
        <w:t>cost of the ESP would be understated.</w:t>
      </w:r>
    </w:p>
    <w:p w:rsidR="00FD64B7" w:rsidRDefault="00F96714" w:rsidP="000801BE">
      <w:pPr>
        <w:spacing w:line="480" w:lineRule="auto"/>
        <w:jc w:val="both"/>
      </w:pPr>
      <w:r>
        <w:tab/>
        <w:t xml:space="preserve">As discussed </w:t>
      </w:r>
      <w:r w:rsidR="005320DF">
        <w:t>above</w:t>
      </w:r>
      <w:r>
        <w:t>, although Section 4928.143(B)</w:t>
      </w:r>
      <w:r w:rsidR="00527EC7">
        <w:t>(2)</w:t>
      </w:r>
      <w:r>
        <w:t>(c), Revised Code, creates the possibility that an ESP could include a non-bypassable charge</w:t>
      </w:r>
      <w:r w:rsidR="00527EC7">
        <w:t xml:space="preserve"> for a new generating facility</w:t>
      </w:r>
      <w:r>
        <w:t xml:space="preserve">, provided other statutory criteria are met, there is no similar provision in Section 4928.142, Revised Code, that allows </w:t>
      </w:r>
      <w:r w:rsidR="00527EC7">
        <w:t xml:space="preserve">such </w:t>
      </w:r>
      <w:r>
        <w:t xml:space="preserve">a non-bypassable charge in an MRO. Therefore, in the </w:t>
      </w:r>
      <w:r w:rsidR="005320DF">
        <w:t xml:space="preserve">ESP </w:t>
      </w:r>
      <w:r>
        <w:t>versus MRO analysis, the likely costs associated with the GRR must be recognized as additional cost of the ESP.</w:t>
      </w:r>
    </w:p>
    <w:p w:rsidR="00FD64B7" w:rsidRDefault="00F96714" w:rsidP="000801BE">
      <w:pPr>
        <w:spacing w:line="480" w:lineRule="auto"/>
        <w:jc w:val="both"/>
      </w:pPr>
      <w:r>
        <w:tab/>
        <w:t xml:space="preserve">Other than the Companies, the witnesses in this case properly recognized that the Stipulation’s GRR </w:t>
      </w:r>
      <w:r w:rsidR="000A38FF">
        <w:t xml:space="preserve">creates </w:t>
      </w:r>
      <w:r>
        <w:t xml:space="preserve">an ESP cost </w:t>
      </w:r>
      <w:r w:rsidR="000A38FF">
        <w:t xml:space="preserve">that must be counted in </w:t>
      </w:r>
      <w:r>
        <w:t xml:space="preserve">the ESP versus MRO test.  Staff witness Fortney, </w:t>
      </w:r>
      <w:r w:rsidR="00863FF3">
        <w:t xml:space="preserve">FES </w:t>
      </w:r>
      <w:r>
        <w:t xml:space="preserve">witness Schnitzer and IEU-Ohio witness Murray all </w:t>
      </w:r>
      <w:r w:rsidR="000B58DC">
        <w:t>testified that</w:t>
      </w:r>
      <w:r>
        <w:t xml:space="preserve"> it was necessary to adjust the projected ESP price to recognize the additional costs associated with the GRR.</w:t>
      </w:r>
      <w:r>
        <w:rPr>
          <w:rStyle w:val="FootnoteReference"/>
        </w:rPr>
        <w:footnoteReference w:id="143"/>
      </w:r>
      <w:r>
        <w:t xml:space="preserve">  Ms. Thomas incorrectly omits the additional costs associated with</w:t>
      </w:r>
      <w:r w:rsidR="00990BC3">
        <w:t xml:space="preserve"> the</w:t>
      </w:r>
      <w:r>
        <w:t xml:space="preserve"> GRR in her ESP versus MRO analysis.</w:t>
      </w:r>
      <w:r>
        <w:rPr>
          <w:rStyle w:val="FootnoteReference"/>
        </w:rPr>
        <w:footnoteReference w:id="144"/>
      </w:r>
      <w:r>
        <w:t xml:space="preserve">  Her error results in an understatement in the costs of the ESP and makes the ESP seem more favorable on paper than it would be once implemented.  The Companies’ attempt to execute the test without making an allowance for the GRR, therefore, is unreasonable and unlawful.</w:t>
      </w:r>
    </w:p>
    <w:p w:rsidR="00FD64B7" w:rsidRDefault="0032151F" w:rsidP="0032151F">
      <w:pPr>
        <w:pStyle w:val="ListParagraph"/>
        <w:spacing w:line="240" w:lineRule="auto"/>
        <w:ind w:left="1440" w:hanging="720"/>
        <w:rPr>
          <w:b/>
        </w:rPr>
      </w:pPr>
      <w:r>
        <w:rPr>
          <w:b/>
        </w:rPr>
        <w:t>F.</w:t>
      </w:r>
      <w:r>
        <w:rPr>
          <w:b/>
        </w:rPr>
        <w:tab/>
      </w:r>
      <w:r w:rsidR="00F96714">
        <w:rPr>
          <w:b/>
        </w:rPr>
        <w:t>Combined Heat and Power Provisions</w:t>
      </w:r>
    </w:p>
    <w:p w:rsidR="00106130" w:rsidRDefault="00106130" w:rsidP="00106130">
      <w:pPr>
        <w:pStyle w:val="ListParagraph"/>
        <w:spacing w:line="240" w:lineRule="auto"/>
        <w:rPr>
          <w:b/>
        </w:rPr>
      </w:pPr>
    </w:p>
    <w:p w:rsidR="00106130" w:rsidRDefault="00F96714" w:rsidP="000801BE">
      <w:pPr>
        <w:spacing w:line="480" w:lineRule="auto"/>
        <w:ind w:firstLine="720"/>
        <w:jc w:val="both"/>
      </w:pPr>
      <w:r>
        <w:t>Section IV</w:t>
      </w:r>
      <w:r w:rsidR="00863FF3">
        <w:t>.</w:t>
      </w:r>
      <w:r>
        <w:t>2</w:t>
      </w:r>
      <w:r w:rsidR="00863FF3">
        <w:t>.</w:t>
      </w:r>
      <w:r>
        <w:t>c of the Stipulation requires the Companies to pursue the development of up to 350 megawatt (MW) of customer-sited combined heat and power, waste energy recovery</w:t>
      </w:r>
      <w:r w:rsidR="00863FF3">
        <w:t>,</w:t>
      </w:r>
      <w:r>
        <w:t xml:space="preserve"> and distributed energy resources in their service territories, with the cost</w:t>
      </w:r>
      <w:r w:rsidR="00863FF3">
        <w:t>s</w:t>
      </w:r>
      <w:r>
        <w:t xml:space="preserve"> to be recovered through an “appropriate” rider. </w:t>
      </w:r>
      <w:r w:rsidR="00863FF3">
        <w:t xml:space="preserve"> </w:t>
      </w:r>
      <w:r>
        <w:t xml:space="preserve">Here again, the Stipulation creates a placeholder rider </w:t>
      </w:r>
      <w:r w:rsidR="00990BC3">
        <w:t xml:space="preserve">that </w:t>
      </w:r>
      <w:r>
        <w:t xml:space="preserve">cannot be lawfully authorized as </w:t>
      </w:r>
      <w:r w:rsidR="00990BC3">
        <w:t xml:space="preserve">part </w:t>
      </w:r>
      <w:r>
        <w:t>of an ESP.</w:t>
      </w:r>
      <w:r>
        <w:rPr>
          <w:rStyle w:val="FootnoteReference"/>
        </w:rPr>
        <w:footnoteReference w:id="145"/>
      </w:r>
      <w:r>
        <w:t xml:space="preserve"> </w:t>
      </w:r>
      <w:r w:rsidR="00863FF3">
        <w:t xml:space="preserve"> </w:t>
      </w:r>
      <w:r>
        <w:t>The costs of customer-sited combined heat and power, waste energy recovery</w:t>
      </w:r>
      <w:r w:rsidR="00863FF3">
        <w:t>,</w:t>
      </w:r>
      <w:r>
        <w:t xml:space="preserve"> and distributed energy resources </w:t>
      </w:r>
      <w:r w:rsidR="00863FF3">
        <w:t xml:space="preserve">are </w:t>
      </w:r>
      <w:r>
        <w:t xml:space="preserve">not mentioned within any of the nine </w:t>
      </w:r>
      <w:r w:rsidR="000B58DC">
        <w:t>provisions</w:t>
      </w:r>
      <w:r>
        <w:t xml:space="preserve"> that may be </w:t>
      </w:r>
      <w:r w:rsidR="000B58DC">
        <w:t xml:space="preserve">addressed </w:t>
      </w:r>
      <w:r>
        <w:t xml:space="preserve">pursuant to Section 4928.143(B)(2), Revised Code.  Additionally, as is the case with the GRR and for all of the same reasons, the failure to attribute likely costs associated with these 350 MW of customer-sited resources </w:t>
      </w:r>
      <w:r w:rsidR="000A38FF">
        <w:t xml:space="preserve">unreasonably </w:t>
      </w:r>
      <w:r>
        <w:t xml:space="preserve">biases the ESP versus MRO analysis in favor of the ESP proposed in the Stipulation. </w:t>
      </w:r>
    </w:p>
    <w:p w:rsidR="00FD64B7" w:rsidRDefault="0032151F" w:rsidP="0032151F">
      <w:pPr>
        <w:pStyle w:val="ListParagraph"/>
        <w:spacing w:line="240" w:lineRule="auto"/>
        <w:ind w:left="1440" w:hanging="720"/>
        <w:rPr>
          <w:b/>
        </w:rPr>
      </w:pPr>
      <w:r>
        <w:rPr>
          <w:b/>
        </w:rPr>
        <w:t>G.</w:t>
      </w:r>
      <w:r>
        <w:rPr>
          <w:b/>
        </w:rPr>
        <w:tab/>
      </w:r>
      <w:r w:rsidR="00F96714">
        <w:rPr>
          <w:b/>
        </w:rPr>
        <w:t>Distribution Investment Rider</w:t>
      </w:r>
    </w:p>
    <w:p w:rsidR="00106130" w:rsidRDefault="00106130" w:rsidP="00863FF3">
      <w:pPr>
        <w:pStyle w:val="ListParagraph"/>
        <w:spacing w:line="240" w:lineRule="auto"/>
        <w:rPr>
          <w:b/>
        </w:rPr>
      </w:pPr>
    </w:p>
    <w:p w:rsidR="00FD64B7" w:rsidRDefault="00F96714" w:rsidP="000801BE">
      <w:pPr>
        <w:shd w:val="clear" w:color="auto" w:fill="FFFFFF"/>
        <w:spacing w:line="480" w:lineRule="auto"/>
        <w:ind w:firstLine="720"/>
        <w:jc w:val="both"/>
      </w:pPr>
      <w:r>
        <w:t>As previously noted, the Supreme Court has clearly stated that an ESP cannot include provisions that are not expressly authorized by statute.</w:t>
      </w:r>
      <w:r>
        <w:rPr>
          <w:rStyle w:val="FootnoteReference"/>
        </w:rPr>
        <w:footnoteReference w:id="146"/>
      </w:r>
      <w:r>
        <w:t xml:space="preserve">  Despite this requirement, neither the Stipulation nor the prefiled direct testimony of the Companies or the other Signatory Parties explained which provision of Section 4928.143(B)(2), Revised Code, authorized the Commission to establish the DIR.  In rebuttal testimony, the Companies and Staff offered testimony suggesting that Sections 4928.143(B)(2)(d) </w:t>
      </w:r>
      <w:r w:rsidR="00863FF3">
        <w:t xml:space="preserve">and </w:t>
      </w:r>
      <w:r>
        <w:t xml:space="preserve">(h), Revised Code, supported inclusion of the DIR.  The Commission must reject the Companies and Staff’s arguments because Subsection (d) does not authorize the DIR and the requirements of Subsection (h) have not been satisfied.    </w:t>
      </w:r>
    </w:p>
    <w:p w:rsidR="000B58DC" w:rsidRDefault="002E2525" w:rsidP="000801BE">
      <w:pPr>
        <w:shd w:val="clear" w:color="auto" w:fill="FFFFFF"/>
        <w:spacing w:line="480" w:lineRule="auto"/>
        <w:ind w:firstLine="720"/>
        <w:jc w:val="both"/>
        <w:rPr>
          <w:rFonts w:eastAsia="Times New Roman"/>
          <w:sz w:val="20"/>
          <w:szCs w:val="20"/>
        </w:rPr>
      </w:pPr>
      <w:r>
        <w:t>Section 4928.143(B)(2)(d), Revised Code, requires that the Companies demonstrate that charges would have the effect of stabilizing or providing certainty regarding retail electric service.  T</w:t>
      </w:r>
      <w:r w:rsidR="000B58DC">
        <w:t>he Companies</w:t>
      </w:r>
      <w:r>
        <w:t>, however,</w:t>
      </w:r>
      <w:r w:rsidR="000B58DC">
        <w:t xml:space="preserve"> have provided no evidence to demonstrate that the DIR will </w:t>
      </w:r>
      <w:r>
        <w:t>satisfy those requirements</w:t>
      </w:r>
      <w:r w:rsidR="000B58DC">
        <w:t xml:space="preserve">.  As discussed below, the Companies could </w:t>
      </w:r>
      <w:r>
        <w:t xml:space="preserve">make no investment or improvement in distribution service </w:t>
      </w:r>
      <w:r w:rsidR="000B58DC">
        <w:t xml:space="preserve">and still collect the DIR.  Thus, the Commission cannot authorize the DIR pursuant to Section 4928.143(B)(2)(d), Revised Code.  </w:t>
      </w:r>
    </w:p>
    <w:p w:rsidR="00FD64B7" w:rsidRDefault="000B58DC" w:rsidP="000801BE">
      <w:pPr>
        <w:spacing w:line="480" w:lineRule="auto"/>
        <w:ind w:firstLine="720"/>
        <w:jc w:val="both"/>
      </w:pPr>
      <w:r>
        <w:t>Although c</w:t>
      </w:r>
      <w:r w:rsidR="00353732">
        <w:t>harges specific to distribution may be authorized by the Commission under Section 4928.143(B)(2)(h), Revised Code, if detailed requirements are satisfied</w:t>
      </w:r>
      <w:r>
        <w:t>, t</w:t>
      </w:r>
      <w:r w:rsidR="00F96714">
        <w:t>he Companies and Signatory Parties</w:t>
      </w:r>
      <w:r w:rsidR="00863FF3">
        <w:t xml:space="preserve"> </w:t>
      </w:r>
      <w:r w:rsidR="00F96714">
        <w:t xml:space="preserve">failed to provide any evidence that supported the lawful authorization of the DIR under </w:t>
      </w:r>
      <w:r w:rsidR="00353732">
        <w:t>that section</w:t>
      </w:r>
      <w:r w:rsidR="00F96714">
        <w:t>.  For example, the Companies have not undertaken a reliability study in this proceeding</w:t>
      </w:r>
      <w:r w:rsidR="00863FF3">
        <w:t>,</w:t>
      </w:r>
      <w:r w:rsidR="00F96714">
        <w:t xml:space="preserve"> and </w:t>
      </w:r>
      <w:r w:rsidR="00863FF3">
        <w:t xml:space="preserve">the Staff has not independently undertaken </w:t>
      </w:r>
      <w:r w:rsidR="00F96714">
        <w:t xml:space="preserve">that analysis.  Cross-examination of the only </w:t>
      </w:r>
      <w:r w:rsidR="00990BC3">
        <w:t>S</w:t>
      </w:r>
      <w:r w:rsidR="00F96714">
        <w:t>taff witness (</w:t>
      </w:r>
      <w:r w:rsidR="00353732">
        <w:t>Mr.</w:t>
      </w:r>
      <w:r w:rsidR="00F96714">
        <w:t xml:space="preserve"> Hecker) to testify regarding the distribution system in the Signatory Parties’ direct case also revealed that Staff has not analyzed the reliability of the distribution system </w:t>
      </w:r>
      <w:r w:rsidR="00353732">
        <w:t>for</w:t>
      </w:r>
      <w:r w:rsidR="00F96714">
        <w:t xml:space="preserve"> this proceeding:</w:t>
      </w:r>
    </w:p>
    <w:p w:rsidR="00FD64B7" w:rsidRDefault="00F96714">
      <w:pPr>
        <w:spacing w:line="240" w:lineRule="auto"/>
        <w:ind w:left="720" w:right="720"/>
        <w:jc w:val="both"/>
      </w:pPr>
      <w:r>
        <w:t>Q. Did you perform any analysis regarding the current [re]liability [sic] of AEP Ohio’s distribution system?</w:t>
      </w:r>
    </w:p>
    <w:p w:rsidR="00FD64B7" w:rsidRDefault="00F96714">
      <w:pPr>
        <w:spacing w:line="240" w:lineRule="auto"/>
        <w:ind w:left="720" w:right="720"/>
        <w:jc w:val="both"/>
      </w:pPr>
      <w:r>
        <w:t>A. No, I did not.</w:t>
      </w:r>
      <w:r>
        <w:rPr>
          <w:rStyle w:val="FootnoteReference"/>
        </w:rPr>
        <w:footnoteReference w:id="147"/>
      </w:r>
      <w:r>
        <w:t xml:space="preserve"> </w:t>
      </w:r>
    </w:p>
    <w:p w:rsidR="00106130" w:rsidRDefault="00106130" w:rsidP="00106130">
      <w:pPr>
        <w:spacing w:after="0" w:line="240" w:lineRule="auto"/>
        <w:ind w:left="720" w:right="720"/>
        <w:jc w:val="both"/>
      </w:pPr>
    </w:p>
    <w:p w:rsidR="00FD64B7" w:rsidRDefault="00F96714" w:rsidP="000801BE">
      <w:pPr>
        <w:spacing w:line="480" w:lineRule="auto"/>
        <w:jc w:val="both"/>
      </w:pPr>
      <w:r>
        <w:t xml:space="preserve">Staff </w:t>
      </w:r>
      <w:r w:rsidR="00990BC3">
        <w:t>w</w:t>
      </w:r>
      <w:r>
        <w:t xml:space="preserve">itness Fortney also stated that Doris McCarter, the other </w:t>
      </w:r>
      <w:r w:rsidR="00990BC3">
        <w:t>S</w:t>
      </w:r>
      <w:r>
        <w:t xml:space="preserve">taff </w:t>
      </w:r>
      <w:r w:rsidR="00990BC3">
        <w:t xml:space="preserve">member </w:t>
      </w:r>
      <w:r>
        <w:t>with responsibility regarding the DIR, had not analyzed the reliability of the distribution system.</w:t>
      </w:r>
      <w:r>
        <w:rPr>
          <w:rStyle w:val="FootnoteReference"/>
        </w:rPr>
        <w:footnoteReference w:id="148"/>
      </w:r>
      <w:r>
        <w:rPr>
          <w:i/>
        </w:rPr>
        <w:t xml:space="preserve">  </w:t>
      </w:r>
      <w:r>
        <w:rPr>
          <w:rFonts w:eastAsia="Calibri"/>
        </w:rPr>
        <w:t xml:space="preserve">As noted by IEU-Ohio </w:t>
      </w:r>
      <w:r w:rsidR="00990BC3">
        <w:rPr>
          <w:rFonts w:eastAsia="Calibri"/>
        </w:rPr>
        <w:t>w</w:t>
      </w:r>
      <w:r>
        <w:rPr>
          <w:rFonts w:eastAsia="Calibri"/>
        </w:rPr>
        <w:t>itness Bowser, “the Stipulation is unaccompanied by any examination of reliability of the utility’s distribution system or the other requirements in Section 4928.143(B)(2)(h), Revised Code.”</w:t>
      </w:r>
      <w:r>
        <w:rPr>
          <w:rFonts w:eastAsia="Calibri" w:cs="Times New Roman"/>
          <w:vertAlign w:val="superscript"/>
        </w:rPr>
        <w:footnoteReference w:id="149"/>
      </w:r>
    </w:p>
    <w:p w:rsidR="00FD64B7" w:rsidRDefault="00F96714">
      <w:pPr>
        <w:autoSpaceDE w:val="0"/>
        <w:autoSpaceDN w:val="0"/>
        <w:adjustRightInd w:val="0"/>
        <w:spacing w:after="0" w:line="480" w:lineRule="auto"/>
        <w:ind w:firstLine="720"/>
        <w:jc w:val="both"/>
      </w:pPr>
      <w:r>
        <w:t>In an apparent attempt to remedy the fact that their direct case failed to address the statutory requirements of Section 4928.143(B)(2)(h), Revised Code, the Companies and Staff submitted rebuttal testimony that referenced reliability standards that were established in a 2009 proceeding</w:t>
      </w:r>
      <w:r w:rsidR="00C276F3">
        <w:t xml:space="preserve"> pursuant to a stipulation</w:t>
      </w:r>
      <w:r w:rsidR="00C31FA1">
        <w:t>.</w:t>
      </w:r>
      <w:r>
        <w:rPr>
          <w:rStyle w:val="FootnoteReference"/>
        </w:rPr>
        <w:footnoteReference w:id="150"/>
      </w:r>
      <w:r w:rsidR="00601716">
        <w:t xml:space="preserve">  </w:t>
      </w:r>
      <w:r w:rsidR="00C276F3">
        <w:t xml:space="preserve">Even assuming that it is proper to violate the terms that restrict the use of the Stipulation in the </w:t>
      </w:r>
      <w:r w:rsidR="00601716" w:rsidRPr="00C678A1">
        <w:rPr>
          <w:i/>
        </w:rPr>
        <w:t>2009 Reliability Standards Proceeding</w:t>
      </w:r>
      <w:r w:rsidR="00601716">
        <w:t xml:space="preserve"> </w:t>
      </w:r>
      <w:r w:rsidR="00ED36C9">
        <w:t xml:space="preserve">as </w:t>
      </w:r>
      <w:r w:rsidR="00601716">
        <w:t>precedent,</w:t>
      </w:r>
      <w:r>
        <w:rPr>
          <w:rStyle w:val="FootnoteReference"/>
        </w:rPr>
        <w:footnoteReference w:id="151"/>
      </w:r>
      <w:r>
        <w:t xml:space="preserve"> the statutory requirements</w:t>
      </w:r>
      <w:r w:rsidR="00C276F3">
        <w:t xml:space="preserve"> remain unsatisfied</w:t>
      </w:r>
      <w:r>
        <w:t xml:space="preserve">.  Staff witness Baker </w:t>
      </w:r>
      <w:r w:rsidR="00C276F3">
        <w:t>(</w:t>
      </w:r>
      <w:r>
        <w:t>in</w:t>
      </w:r>
      <w:r w:rsidR="00C276F3">
        <w:t xml:space="preserve"> the Staff’s rebuttal testimony) </w:t>
      </w:r>
      <w:r>
        <w:t xml:space="preserve">admitted that he had not analyzed the impact that the DIR </w:t>
      </w:r>
      <w:r w:rsidR="00990BC3">
        <w:t xml:space="preserve">would </w:t>
      </w:r>
      <w:r>
        <w:t xml:space="preserve">have on the reliability of the distribution system:  </w:t>
      </w:r>
    </w:p>
    <w:p w:rsidR="00106130" w:rsidRDefault="00106130" w:rsidP="00106130">
      <w:pPr>
        <w:autoSpaceDE w:val="0"/>
        <w:autoSpaceDN w:val="0"/>
        <w:adjustRightInd w:val="0"/>
        <w:spacing w:after="0" w:line="240" w:lineRule="auto"/>
        <w:ind w:firstLine="720"/>
        <w:jc w:val="both"/>
      </w:pPr>
    </w:p>
    <w:p w:rsidR="00FD64B7" w:rsidRDefault="00F96714">
      <w:pPr>
        <w:autoSpaceDE w:val="0"/>
        <w:autoSpaceDN w:val="0"/>
        <w:adjustRightInd w:val="0"/>
        <w:spacing w:after="0" w:line="240" w:lineRule="auto"/>
        <w:ind w:left="720" w:right="720"/>
        <w:jc w:val="both"/>
      </w:pPr>
      <w:r>
        <w:t>Q. Are there any projected improvements to reliability that you are aware of that are tied to the distribution investment rider associated with the stipulation in this proceeding?</w:t>
      </w:r>
    </w:p>
    <w:p w:rsidR="00FD64B7" w:rsidRDefault="00FD64B7">
      <w:pPr>
        <w:autoSpaceDE w:val="0"/>
        <w:autoSpaceDN w:val="0"/>
        <w:adjustRightInd w:val="0"/>
        <w:spacing w:after="0" w:line="240" w:lineRule="auto"/>
        <w:ind w:left="720" w:right="720"/>
        <w:jc w:val="both"/>
      </w:pPr>
    </w:p>
    <w:p w:rsidR="00FD64B7" w:rsidRDefault="00F96714">
      <w:pPr>
        <w:autoSpaceDE w:val="0"/>
        <w:autoSpaceDN w:val="0"/>
        <w:adjustRightInd w:val="0"/>
        <w:spacing w:after="0" w:line="240" w:lineRule="auto"/>
        <w:ind w:left="720" w:right="720"/>
        <w:jc w:val="both"/>
      </w:pPr>
      <w:r>
        <w:t>A. I'm not aware of any but I only did one brief review of the stipulation. I'm not familiar with it.</w:t>
      </w:r>
      <w:r>
        <w:rPr>
          <w:rStyle w:val="FootnoteReference"/>
        </w:rPr>
        <w:footnoteReference w:id="152"/>
      </w:r>
      <w:r>
        <w:t xml:space="preserve"> </w:t>
      </w:r>
    </w:p>
    <w:p w:rsidR="00FD64B7" w:rsidRDefault="00FD64B7">
      <w:pPr>
        <w:autoSpaceDE w:val="0"/>
        <w:autoSpaceDN w:val="0"/>
        <w:adjustRightInd w:val="0"/>
        <w:spacing w:after="0" w:line="240" w:lineRule="auto"/>
        <w:ind w:left="720" w:right="720"/>
        <w:jc w:val="both"/>
      </w:pPr>
    </w:p>
    <w:p w:rsidR="00FD64B7" w:rsidRDefault="00F96714">
      <w:pPr>
        <w:spacing w:line="480" w:lineRule="auto"/>
        <w:ind w:firstLine="720"/>
        <w:jc w:val="both"/>
      </w:pPr>
      <w:r>
        <w:t>The Companies also failed to demonstrate that customers’ and the Companies’ expectations are aligned with respect to the distribution system for each customer class. The Companies did not present any testimony on this issue in their direct case.  The Staff</w:t>
      </w:r>
      <w:r w:rsidR="00353732">
        <w:t>,</w:t>
      </w:r>
      <w:r>
        <w:t xml:space="preserve"> likewise</w:t>
      </w:r>
      <w:r w:rsidR="00353732">
        <w:t>,</w:t>
      </w:r>
      <w:r>
        <w:t xml:space="preserve"> did not provide any evidence to demonstrate that customers’ and the Compan</w:t>
      </w:r>
      <w:r w:rsidR="00353732">
        <w:t>ies’ expectations are aligned o</w:t>
      </w:r>
      <w:r>
        <w:t xml:space="preserve">n cross-examination. </w:t>
      </w:r>
    </w:p>
    <w:p w:rsidR="00FD64B7" w:rsidRDefault="00F96714">
      <w:pPr>
        <w:spacing w:line="240" w:lineRule="auto"/>
        <w:ind w:left="720" w:right="720"/>
        <w:jc w:val="both"/>
      </w:pPr>
      <w:r>
        <w:t>Q.  Did you perform any assessment of whether customers’ expectations and AEP Ohio’s expectations are aligned?</w:t>
      </w:r>
    </w:p>
    <w:p w:rsidR="00FD64B7" w:rsidRDefault="00F96714">
      <w:pPr>
        <w:pStyle w:val="ListParagraph"/>
        <w:numPr>
          <w:ilvl w:val="0"/>
          <w:numId w:val="5"/>
        </w:numPr>
        <w:spacing w:after="200" w:line="240" w:lineRule="auto"/>
        <w:ind w:right="720"/>
      </w:pPr>
      <w:r>
        <w:t xml:space="preserve"> No, sir.</w:t>
      </w:r>
      <w:r>
        <w:rPr>
          <w:rStyle w:val="FootnoteReference"/>
        </w:rPr>
        <w:footnoteReference w:id="153"/>
      </w:r>
    </w:p>
    <w:p w:rsidR="00106130" w:rsidRDefault="00106130" w:rsidP="00106130">
      <w:pPr>
        <w:pStyle w:val="ListParagraph"/>
        <w:spacing w:after="200" w:line="240" w:lineRule="auto"/>
        <w:ind w:left="1080" w:right="720"/>
      </w:pPr>
    </w:p>
    <w:p w:rsidR="00FD64B7" w:rsidRDefault="00F96714">
      <w:pPr>
        <w:spacing w:line="480" w:lineRule="auto"/>
        <w:jc w:val="both"/>
      </w:pPr>
      <w:r>
        <w:t xml:space="preserve">In rebuttal testimony, the Companies and Staff again attempted to paper over the </w:t>
      </w:r>
      <w:r w:rsidR="00D7184A">
        <w:t>problems with their legal theory</w:t>
      </w:r>
      <w:r>
        <w:t xml:space="preserve"> by relying on customer surveys</w:t>
      </w:r>
      <w:r>
        <w:rPr>
          <w:rStyle w:val="FootnoteReference"/>
        </w:rPr>
        <w:footnoteReference w:id="154"/>
      </w:r>
      <w:r>
        <w:t xml:space="preserve"> from the </w:t>
      </w:r>
      <w:r w:rsidR="00A1577E" w:rsidRPr="00C678A1">
        <w:rPr>
          <w:i/>
        </w:rPr>
        <w:t>2009 Reliability Standards Proceeding</w:t>
      </w:r>
      <w:r>
        <w:t>.</w:t>
      </w:r>
      <w:r>
        <w:rPr>
          <w:rStyle w:val="FootnoteReference"/>
        </w:rPr>
        <w:footnoteReference w:id="155"/>
      </w:r>
      <w:r>
        <w:t xml:space="preserve">  The surveys, however, do not demonstrate a majority of customers’ expectations are aligned with the Companies’ regarding the need for additional investment in distribution facilities.</w:t>
      </w:r>
      <w:r>
        <w:rPr>
          <w:rStyle w:val="FootnoteReference"/>
        </w:rPr>
        <w:footnoteReference w:id="156"/>
      </w:r>
      <w:r>
        <w:t xml:space="preserve">  Moreover, the surveys the Companies relied upon did not include any information regarding the expectations of the industrial class.</w:t>
      </w:r>
      <w:r>
        <w:rPr>
          <w:rStyle w:val="FootnoteReference"/>
        </w:rPr>
        <w:footnoteReference w:id="157"/>
      </w:r>
      <w:r>
        <w:t xml:space="preserve">   Thus, the statutory requirement was not satisfied as there is insufficient or no information available regarding the expectations of any class of customers.</w:t>
      </w:r>
    </w:p>
    <w:p w:rsidR="00FD64B7" w:rsidRDefault="00F96714">
      <w:pPr>
        <w:autoSpaceDE w:val="0"/>
        <w:autoSpaceDN w:val="0"/>
        <w:adjustRightInd w:val="0"/>
        <w:spacing w:after="0" w:line="480" w:lineRule="auto"/>
        <w:ind w:firstLine="720"/>
        <w:jc w:val="both"/>
      </w:pPr>
      <w:r>
        <w:t xml:space="preserve">The failure of proof </w:t>
      </w:r>
      <w:r w:rsidR="00353732">
        <w:t>extended to other areas as well</w:t>
      </w:r>
      <w:r>
        <w:t xml:space="preserve">.  Rule 4901:1-35-03(C)(9)(g), OAC, specifically requires a detailed description of the infrastructure plan, the benefits that will result, and the costs that will be incurred.  </w:t>
      </w:r>
      <w:r>
        <w:rPr>
          <w:rStyle w:val="LineNumber"/>
        </w:rPr>
        <w:t xml:space="preserve">Neither the Stipulation nor the testimony offered in support of the Stipulation contains an </w:t>
      </w:r>
      <w:r>
        <w:t>analysis of the assets that would be replaced, a concrete methodology to target the asset improvement/replacements, any expected improvement to reliability measured by customer outages or power quality indices, or the cost of the program.  During cross-examination, Companies’ witness Hamrock admitted that the Companies simply do not have specific details:</w:t>
      </w:r>
    </w:p>
    <w:p w:rsidR="00106130" w:rsidRDefault="00106130" w:rsidP="00294EF7">
      <w:pPr>
        <w:autoSpaceDE w:val="0"/>
        <w:autoSpaceDN w:val="0"/>
        <w:adjustRightInd w:val="0"/>
        <w:spacing w:after="0" w:line="240" w:lineRule="auto"/>
        <w:ind w:left="720" w:right="720"/>
        <w:jc w:val="both"/>
      </w:pPr>
    </w:p>
    <w:p w:rsidR="00FD64B7" w:rsidRPr="00C678A1" w:rsidRDefault="00A1577E" w:rsidP="00294EF7">
      <w:pPr>
        <w:autoSpaceDE w:val="0"/>
        <w:autoSpaceDN w:val="0"/>
        <w:adjustRightInd w:val="0"/>
        <w:spacing w:after="0" w:line="240" w:lineRule="auto"/>
        <w:ind w:left="720" w:right="720"/>
        <w:jc w:val="both"/>
      </w:pPr>
      <w:r w:rsidRPr="00C678A1">
        <w:t>Q. So you do not know yet what you will be fixing as a result?</w:t>
      </w:r>
    </w:p>
    <w:p w:rsidR="00FD64B7" w:rsidRPr="00C678A1" w:rsidRDefault="00FD64B7" w:rsidP="00294EF7">
      <w:pPr>
        <w:autoSpaceDE w:val="0"/>
        <w:autoSpaceDN w:val="0"/>
        <w:adjustRightInd w:val="0"/>
        <w:spacing w:after="0" w:line="240" w:lineRule="auto"/>
        <w:ind w:left="720" w:right="720"/>
        <w:jc w:val="both"/>
      </w:pPr>
    </w:p>
    <w:p w:rsidR="00FD64B7" w:rsidRPr="00C678A1" w:rsidRDefault="00A1577E" w:rsidP="00294EF7">
      <w:pPr>
        <w:autoSpaceDE w:val="0"/>
        <w:autoSpaceDN w:val="0"/>
        <w:adjustRightInd w:val="0"/>
        <w:spacing w:after="0" w:line="240" w:lineRule="auto"/>
        <w:ind w:left="720" w:right="720"/>
        <w:jc w:val="both"/>
      </w:pPr>
      <w:r w:rsidRPr="00C678A1">
        <w:t>A. We know it will be some combination of the types of programs I've already referred to. The exact specific mix of those programs will depend on the results of these analyses.</w:t>
      </w:r>
    </w:p>
    <w:p w:rsidR="00FD64B7" w:rsidRPr="00C678A1" w:rsidRDefault="00FD64B7" w:rsidP="00294EF7">
      <w:pPr>
        <w:autoSpaceDE w:val="0"/>
        <w:autoSpaceDN w:val="0"/>
        <w:adjustRightInd w:val="0"/>
        <w:spacing w:after="0" w:line="240" w:lineRule="auto"/>
        <w:ind w:left="720" w:right="720"/>
        <w:jc w:val="both"/>
      </w:pPr>
    </w:p>
    <w:p w:rsidR="00FD64B7" w:rsidRPr="00C678A1" w:rsidRDefault="00A1577E" w:rsidP="00294EF7">
      <w:pPr>
        <w:autoSpaceDE w:val="0"/>
        <w:autoSpaceDN w:val="0"/>
        <w:adjustRightInd w:val="0"/>
        <w:spacing w:after="0" w:line="240" w:lineRule="auto"/>
        <w:ind w:left="720" w:right="720"/>
        <w:jc w:val="both"/>
      </w:pPr>
      <w:r w:rsidRPr="00C678A1">
        <w:t>Q. So you could not give me a projection of cost yet?</w:t>
      </w:r>
    </w:p>
    <w:p w:rsidR="00FD64B7" w:rsidRPr="00C678A1" w:rsidRDefault="00FD64B7" w:rsidP="00294EF7">
      <w:pPr>
        <w:autoSpaceDE w:val="0"/>
        <w:autoSpaceDN w:val="0"/>
        <w:adjustRightInd w:val="0"/>
        <w:spacing w:after="0" w:line="240" w:lineRule="auto"/>
        <w:ind w:left="720" w:right="720"/>
        <w:jc w:val="both"/>
      </w:pPr>
    </w:p>
    <w:p w:rsidR="00FD64B7" w:rsidRDefault="00A1577E" w:rsidP="00294EF7">
      <w:pPr>
        <w:spacing w:line="240" w:lineRule="auto"/>
        <w:ind w:left="720" w:right="720"/>
        <w:jc w:val="both"/>
      </w:pPr>
      <w:r w:rsidRPr="00C678A1">
        <w:t>A. Not a specific projection of cost, no.</w:t>
      </w:r>
      <w:r w:rsidRPr="00C678A1">
        <w:rPr>
          <w:rStyle w:val="FootnoteReference"/>
          <w:rFonts w:cs="Arial"/>
        </w:rPr>
        <w:footnoteReference w:id="158"/>
      </w:r>
      <w:r w:rsidRPr="00C678A1">
        <w:t xml:space="preserve"> </w:t>
      </w:r>
    </w:p>
    <w:p w:rsidR="00106130" w:rsidRPr="00C678A1" w:rsidRDefault="00106130" w:rsidP="00106130">
      <w:pPr>
        <w:spacing w:after="0" w:line="240" w:lineRule="auto"/>
        <w:ind w:right="720" w:firstLine="720"/>
        <w:jc w:val="both"/>
      </w:pPr>
    </w:p>
    <w:p w:rsidR="00FD64B7" w:rsidRDefault="00F96714" w:rsidP="000801BE">
      <w:pPr>
        <w:autoSpaceDE w:val="0"/>
        <w:autoSpaceDN w:val="0"/>
        <w:adjustRightInd w:val="0"/>
        <w:spacing w:line="480" w:lineRule="auto"/>
        <w:ind w:firstLine="720"/>
        <w:jc w:val="both"/>
      </w:pPr>
      <w:r>
        <w:t>The Companies have also failed to describe, as required by Rule 4901:1-35-03(C)(9)(g), OAC, how the DIR does not result in double recovery.  Section IV.1.n of the Stipulation states that the rider will be based on carrying charges on “post-2000 investment.”</w:t>
      </w:r>
      <w:r>
        <w:rPr>
          <w:rStyle w:val="FootnoteReference"/>
        </w:rPr>
        <w:footnoteReference w:id="159"/>
      </w:r>
      <w:r>
        <w:t xml:space="preserve">  In the Companies’ distribution rate cases, however, August 31, 2010 was used as the date certain to value plant-in-service.</w:t>
      </w:r>
      <w:r>
        <w:rPr>
          <w:rStyle w:val="FootnoteReference"/>
        </w:rPr>
        <w:footnoteReference w:id="160"/>
      </w:r>
      <w:r>
        <w:t xml:space="preserve">  The date certain includes post-2000 investment that would be recovered through the DIR.  Thus, the Stipulation, if approved, will result in double recovery once base distribution rates are approved in Case Nos. 11-351-EL-AIR, </w:t>
      </w:r>
      <w:r>
        <w:rPr>
          <w:i/>
        </w:rPr>
        <w:t>et al</w:t>
      </w:r>
      <w:r w:rsidR="00990BC3">
        <w:rPr>
          <w:i/>
        </w:rPr>
        <w:t>.</w:t>
      </w:r>
      <w:r>
        <w:t>, and no amount of explanation will prevent that result, absent some Commission-authorized contortion to the base distribution case.</w:t>
      </w:r>
      <w:r w:rsidR="00F3196F">
        <w:rPr>
          <w:rStyle w:val="FootnoteReference"/>
        </w:rPr>
        <w:footnoteReference w:id="161"/>
      </w:r>
    </w:p>
    <w:p w:rsidR="00106130" w:rsidRDefault="00F96714" w:rsidP="000801BE">
      <w:pPr>
        <w:autoSpaceDE w:val="0"/>
        <w:autoSpaceDN w:val="0"/>
        <w:adjustRightInd w:val="0"/>
        <w:spacing w:line="480" w:lineRule="auto"/>
        <w:jc w:val="both"/>
      </w:pPr>
      <w:r>
        <w:tab/>
        <w:t>Apparently recognizing that authorization of the DIR would result in double recovery, Companies</w:t>
      </w:r>
      <w:r w:rsidR="00990BC3">
        <w:t>’</w:t>
      </w:r>
      <w:r>
        <w:t xml:space="preserve"> witness Allen offered an unsupported conclusion: </w:t>
      </w:r>
      <w:r w:rsidR="00F3196F">
        <w:t xml:space="preserve"> </w:t>
      </w:r>
      <w:r>
        <w:t>“Any costs recovered through the Companies’ base distribution rates would not be recovered through the DIR.”</w:t>
      </w:r>
      <w:r>
        <w:rPr>
          <w:rStyle w:val="FootnoteReference"/>
        </w:rPr>
        <w:footnoteReference w:id="162"/>
      </w:r>
      <w:r>
        <w:t xml:space="preserve">  During cross-examination, Mr. Allen explained that a provision that provided for the identification and exclusion of riders for distribution capital additions prevented double recovery</w:t>
      </w:r>
      <w:r>
        <w:rPr>
          <w:rFonts w:ascii="TTE1AC6558t00" w:hAnsi="TTE1AC6558t00" w:cs="TTE1AC6558t00"/>
          <w:sz w:val="26"/>
          <w:szCs w:val="26"/>
        </w:rPr>
        <w:t>.</w:t>
      </w:r>
      <w:r>
        <w:rPr>
          <w:rStyle w:val="FootnoteReference"/>
        </w:rPr>
        <w:footnoteReference w:id="163"/>
      </w:r>
      <w:r>
        <w:t xml:space="preserve">  Since base distribution rates are not collected through a rider, nothing in the Stipulation requires the Companies or the Commission to adjust the DIR to prevent double recovery.  Mr. Allen’s answer, thus, does not address the double recovery that will likely occur in base distribution rates and the DIR. </w:t>
      </w:r>
    </w:p>
    <w:p w:rsidR="00FD64B7" w:rsidRDefault="00353732" w:rsidP="000801BE">
      <w:pPr>
        <w:autoSpaceDE w:val="0"/>
        <w:autoSpaceDN w:val="0"/>
        <w:adjustRightInd w:val="0"/>
        <w:spacing w:line="480" w:lineRule="auto"/>
        <w:ind w:firstLine="720"/>
        <w:jc w:val="both"/>
      </w:pPr>
      <w:r>
        <w:t>Moreover</w:t>
      </w:r>
      <w:r w:rsidR="00F96714">
        <w:t xml:space="preserve">, any recovery under the proposed DIR will be excessive.  OP and CSP currently have applications to increase distribution rates pending in Case Nos. 11-351-EL-AIR, </w:t>
      </w:r>
      <w:r w:rsidR="00F96714">
        <w:rPr>
          <w:i/>
        </w:rPr>
        <w:t>et al.,</w:t>
      </w:r>
      <w:r w:rsidR="00F96714">
        <w:t xml:space="preserve"> and the date certain which has been approved by the Commission for purposes of identifying the rate base valuation is August 31, 2010.  The Staff Reports of Investigation (“Staff Report”) address </w:t>
      </w:r>
      <w:r w:rsidR="00F96714">
        <w:rPr>
          <w:rStyle w:val="LineNumber"/>
        </w:rPr>
        <w:t xml:space="preserve">the Rider DIR proposal contained in the Companies’ ESP </w:t>
      </w:r>
      <w:r w:rsidR="00F3196F">
        <w:rPr>
          <w:rStyle w:val="LineNumber"/>
        </w:rPr>
        <w:t>A</w:t>
      </w:r>
      <w:r w:rsidR="00F96714">
        <w:rPr>
          <w:rStyle w:val="LineNumber"/>
        </w:rPr>
        <w:t xml:space="preserve">pplication and contain a recommendation that a plant investment baseline for the year 2000 </w:t>
      </w:r>
      <w:r w:rsidR="00F96714" w:rsidRPr="00760194">
        <w:rPr>
          <w:rStyle w:val="LineNumber"/>
          <w:bCs/>
        </w:rPr>
        <w:t>not</w:t>
      </w:r>
      <w:r w:rsidR="00F96714" w:rsidRPr="00760194">
        <w:rPr>
          <w:rStyle w:val="LineNumber"/>
        </w:rPr>
        <w:t xml:space="preserve"> </w:t>
      </w:r>
      <w:r w:rsidR="00F96714">
        <w:rPr>
          <w:rStyle w:val="LineNumber"/>
        </w:rPr>
        <w:t xml:space="preserve">be used until the Commission renders a decision in the 11-351-EL-AIR, </w:t>
      </w:r>
      <w:r w:rsidR="00F96714">
        <w:rPr>
          <w:rStyle w:val="LineNumber"/>
          <w:i/>
        </w:rPr>
        <w:t>et al.</w:t>
      </w:r>
      <w:r w:rsidR="00F96714">
        <w:rPr>
          <w:rStyle w:val="LineNumber"/>
        </w:rPr>
        <w:t xml:space="preserve"> distribution rate case.</w:t>
      </w:r>
      <w:r w:rsidR="00F96714">
        <w:rPr>
          <w:rStyle w:val="FootnoteReference"/>
        </w:rPr>
        <w:footnoteReference w:id="164"/>
      </w:r>
      <w:r w:rsidR="00F96714">
        <w:rPr>
          <w:rStyle w:val="LineNumber"/>
        </w:rPr>
        <w:t xml:space="preserve">  </w:t>
      </w:r>
      <w:r w:rsidR="00F96714">
        <w:t xml:space="preserve">The Staff Reports also find that CSP’s current distribution rates are too </w:t>
      </w:r>
      <w:r w:rsidR="00F96714" w:rsidRPr="004053D5">
        <w:t>high (by between $</w:t>
      </w:r>
      <w:r w:rsidR="004053D5" w:rsidRPr="004053D5">
        <w:t>2.3</w:t>
      </w:r>
      <w:r w:rsidR="00F96714" w:rsidRPr="004053D5">
        <w:t xml:space="preserve"> million and $</w:t>
      </w:r>
      <w:r w:rsidR="004053D5" w:rsidRPr="004053D5">
        <w:t>9.5</w:t>
      </w:r>
      <w:r w:rsidR="00F96714" w:rsidRPr="004053D5">
        <w:t xml:space="preserve"> million)</w:t>
      </w:r>
      <w:r w:rsidR="00F96714">
        <w:t xml:space="preserve"> and that OP's current distribution rates could be increased.  On a net and combined basis, the Staff Reports recommend that any distribution rate increase should be between about $13.7 million and $29.6 million, based on the net distribution rate base “used and useful” as of August 31, 2010 (the date certain).  Based on the findings in the Staff Reports, the </w:t>
      </w:r>
      <w:r w:rsidR="00D7184A">
        <w:t xml:space="preserve">DIR </w:t>
      </w:r>
      <w:r w:rsidR="00F96714">
        <w:t>rate increases</w:t>
      </w:r>
      <w:r w:rsidR="00760194" w:rsidRPr="00760194">
        <w:t xml:space="preserve"> </w:t>
      </w:r>
      <w:r w:rsidR="00D7184A">
        <w:t xml:space="preserve">called for by the Stipulation </w:t>
      </w:r>
      <w:r w:rsidR="00F3196F">
        <w:t xml:space="preserve">starting </w:t>
      </w:r>
      <w:r w:rsidR="003F2A68">
        <w:t xml:space="preserve">at $86 million in 2012 </w:t>
      </w:r>
      <w:r w:rsidR="00F96714">
        <w:t>are clearly excessive, unjust</w:t>
      </w:r>
      <w:r w:rsidR="00757DA0">
        <w:t>,</w:t>
      </w:r>
      <w:r w:rsidR="00F96714">
        <w:t xml:space="preserve"> and unreasonable.</w:t>
      </w:r>
      <w:r w:rsidR="00F96714">
        <w:rPr>
          <w:rStyle w:val="FootnoteReference"/>
        </w:rPr>
        <w:footnoteReference w:id="165"/>
      </w:r>
      <w:r w:rsidR="00F96714">
        <w:t xml:space="preserve">  </w:t>
      </w:r>
    </w:p>
    <w:p w:rsidR="00FD64B7" w:rsidRDefault="00F96714" w:rsidP="000801BE">
      <w:pPr>
        <w:spacing w:line="480" w:lineRule="auto"/>
        <w:ind w:firstLine="720"/>
        <w:jc w:val="both"/>
      </w:pPr>
      <w:r>
        <w:t xml:space="preserve">Even if the Commission were to approve the DIR, certain other features of the DIR violate regulatory principles.  Particularly, the Stipulation includes an excessive carrying cost for the DIR.  As provided by the Stipulation, the DIR carrying charges will include property taxes, commercial activity tax, associated income taxes, and a return on and of investment; and the </w:t>
      </w:r>
      <w:r w:rsidR="00F3196F">
        <w:t xml:space="preserve">rate of </w:t>
      </w:r>
      <w:r>
        <w:t xml:space="preserve">return </w:t>
      </w:r>
      <w:r w:rsidR="00F3196F">
        <w:t xml:space="preserve">on </w:t>
      </w:r>
      <w:r>
        <w:t>common equity is proposed to be set arbitrarily at 10.5%.</w:t>
      </w:r>
      <w:r>
        <w:rPr>
          <w:rStyle w:val="FootnoteReference"/>
        </w:rPr>
        <w:footnoteReference w:id="166"/>
      </w:r>
      <w:r>
        <w:t xml:space="preserve">  Carrying cost rates, however, should compensate a utility only in accordance with its risks.</w:t>
      </w:r>
      <w:r>
        <w:rPr>
          <w:rStyle w:val="FootnoteReference"/>
        </w:rPr>
        <w:footnoteReference w:id="167"/>
      </w:r>
      <w:r>
        <w:t xml:space="preserve">  In this case, the DIR is </w:t>
      </w:r>
      <w:r w:rsidR="00760194">
        <w:t xml:space="preserve">proposed to be </w:t>
      </w:r>
      <w:r>
        <w:t>a single-issue non-bypassable rider, and the carrying costs are applied to investments that have already been made.  A full carrying charge based on the weighted average cost of capital (“WACC”) is excessive in light of the fact that the DIR reduces the Companies’ financial and business risk below the risks for which a full WACC-based carrying charge would be appropriate.</w:t>
      </w:r>
      <w:r>
        <w:rPr>
          <w:rStyle w:val="FootnoteReference"/>
        </w:rPr>
        <w:footnoteReference w:id="168"/>
      </w:r>
      <w:r>
        <w:t>  A carrying cost based on the cost of debt would be more commensurate with the Companies’ risk than a carrying cost based on the WACC.</w:t>
      </w:r>
      <w:r>
        <w:rPr>
          <w:rStyle w:val="FootnoteReference"/>
        </w:rPr>
        <w:footnoteReference w:id="169"/>
      </w:r>
      <w:r>
        <w:t xml:space="preserve">  </w:t>
      </w:r>
      <w:r w:rsidR="00F3196F">
        <w:t xml:space="preserve"> Even if an equity component were appropriate, </w:t>
      </w:r>
      <w:r>
        <w:t xml:space="preserve">the proposed equity return (10.5%) to be built into the carrying charge rate is </w:t>
      </w:r>
      <w:r w:rsidR="00F3196F">
        <w:t xml:space="preserve">too high, </w:t>
      </w:r>
      <w:r>
        <w:t>based on current cost of capital considerations and the DIR’s lowering o</w:t>
      </w:r>
      <w:r w:rsidR="00760194">
        <w:t>f business and financial risks.</w:t>
      </w:r>
      <w:r>
        <w:rPr>
          <w:rStyle w:val="FootnoteReference"/>
        </w:rPr>
        <w:footnoteReference w:id="170"/>
      </w:r>
      <w:r>
        <w:t> </w:t>
      </w:r>
    </w:p>
    <w:p w:rsidR="00FD64B7" w:rsidRDefault="00F96714" w:rsidP="000801BE">
      <w:pPr>
        <w:spacing w:line="480" w:lineRule="auto"/>
        <w:ind w:firstLine="720"/>
        <w:jc w:val="both"/>
      </w:pPr>
      <w:r>
        <w:t xml:space="preserve">If the Commission approves a DIR, moreover, it must assure that </w:t>
      </w:r>
      <w:r w:rsidR="00760194">
        <w:t>the</w:t>
      </w:r>
      <w:r w:rsidR="00F3196F">
        <w:t xml:space="preserve"> carrying cost be properly demonstrated and quantified.</w:t>
      </w:r>
      <w:r w:rsidR="00F3196F">
        <w:rPr>
          <w:rStyle w:val="FootnoteReference"/>
        </w:rPr>
        <w:footnoteReference w:id="171"/>
      </w:r>
      <w:r w:rsidR="00F3196F">
        <w:t xml:space="preserve">  The Companies, however, have not provided </w:t>
      </w:r>
      <w:r w:rsidR="003F2A68">
        <w:t>evidence to support the proposed carrying cost</w:t>
      </w:r>
      <w:r w:rsidR="00F3196F">
        <w:t>.</w:t>
      </w:r>
      <w:r w:rsidR="00F3196F">
        <w:rPr>
          <w:rStyle w:val="FootnoteReference"/>
        </w:rPr>
        <w:footnoteReference w:id="172"/>
      </w:r>
      <w:r w:rsidR="00F3196F">
        <w:t xml:space="preserve">  Moreover, it </w:t>
      </w:r>
      <w:r>
        <w:t xml:space="preserve">is a long-standing Commission policy that adjustments be made to the investment balances on which a utility earns a return to reflect </w:t>
      </w:r>
      <w:r w:rsidR="00757DA0">
        <w:t>accumulated deferred income taxes (“</w:t>
      </w:r>
      <w:r>
        <w:t>ADIT</w:t>
      </w:r>
      <w:r w:rsidR="00757DA0">
        <w:t>”)</w:t>
      </w:r>
      <w:r>
        <w:t xml:space="preserve"> liabilities or assets.</w:t>
      </w:r>
      <w:r>
        <w:rPr>
          <w:rStyle w:val="FootnoteReference"/>
        </w:rPr>
        <w:footnoteReference w:id="173"/>
      </w:r>
      <w:r w:rsidR="00F3196F">
        <w:t xml:space="preserve">  </w:t>
      </w:r>
      <w:r>
        <w:t xml:space="preserve">In the case of the DIR, </w:t>
      </w:r>
      <w:r w:rsidR="00F3196F">
        <w:t xml:space="preserve">the Stipulation fails to identify if </w:t>
      </w:r>
      <w:r>
        <w:t xml:space="preserve">the adjustment </w:t>
      </w:r>
      <w:r w:rsidR="00F3196F">
        <w:t xml:space="preserve">has been made </w:t>
      </w:r>
      <w:r>
        <w:t>to reduce the investment balance by the ADIT liability.</w:t>
      </w:r>
      <w:r>
        <w:rPr>
          <w:rStyle w:val="FootnoteReference"/>
        </w:rPr>
        <w:footnoteReference w:id="174"/>
      </w:r>
      <w:r>
        <w:t xml:space="preserve">  </w:t>
      </w:r>
    </w:p>
    <w:p w:rsidR="00FD64B7" w:rsidRDefault="00F3196F" w:rsidP="000801BE">
      <w:pPr>
        <w:spacing w:line="480" w:lineRule="auto"/>
        <w:ind w:firstLine="720"/>
        <w:jc w:val="both"/>
      </w:pPr>
      <w:r>
        <w:t>Finally, there is not a demonstrated benefit to customers from an authorization of the DIR.  As Staff noted,</w:t>
      </w:r>
      <w:r w:rsidR="00F96714">
        <w:rPr>
          <w:rStyle w:val="FootnoteReference"/>
        </w:rPr>
        <w:footnoteReference w:id="175"/>
      </w:r>
      <w:r w:rsidR="00F96714">
        <w:t xml:space="preserve"> the Companies do not have to make any investment in new distribution plant, yet they still </w:t>
      </w:r>
      <w:r w:rsidR="00CD709E">
        <w:t xml:space="preserve">would be authorized to recover revenue up to the caps.  </w:t>
      </w:r>
      <w:r w:rsidR="00F96714">
        <w:t>This bizarre result, giving the Companies additional revenue with no commitment to improved quality of service</w:t>
      </w:r>
      <w:r w:rsidR="00CD709E">
        <w:t xml:space="preserve"> or even additional investment</w:t>
      </w:r>
      <w:r w:rsidR="00F96714">
        <w:t xml:space="preserve">, is </w:t>
      </w:r>
      <w:r w:rsidR="00CD709E">
        <w:t>unlawful and unreasonable.</w:t>
      </w:r>
    </w:p>
    <w:p w:rsidR="00FD64B7" w:rsidRDefault="0032151F" w:rsidP="0032151F">
      <w:pPr>
        <w:pStyle w:val="ListParagraph"/>
        <w:spacing w:line="240" w:lineRule="auto"/>
        <w:ind w:left="1440" w:hanging="720"/>
        <w:rPr>
          <w:rFonts w:eastAsia="Calibri"/>
          <w:b/>
        </w:rPr>
      </w:pPr>
      <w:r>
        <w:rPr>
          <w:rFonts w:eastAsia="Calibri"/>
          <w:b/>
        </w:rPr>
        <w:t>H.</w:t>
      </w:r>
      <w:r>
        <w:rPr>
          <w:rFonts w:eastAsia="Calibri"/>
          <w:b/>
        </w:rPr>
        <w:tab/>
      </w:r>
      <w:r w:rsidR="00F96714">
        <w:rPr>
          <w:rFonts w:eastAsia="Calibri"/>
          <w:b/>
        </w:rPr>
        <w:t>Pool Modification or Termination Rider</w:t>
      </w:r>
    </w:p>
    <w:p w:rsidR="00106130" w:rsidRDefault="00106130" w:rsidP="00CD709E">
      <w:pPr>
        <w:pStyle w:val="ListParagraph"/>
        <w:spacing w:line="240" w:lineRule="auto"/>
        <w:rPr>
          <w:rFonts w:eastAsia="Calibri"/>
          <w:b/>
        </w:rPr>
      </w:pPr>
    </w:p>
    <w:p w:rsidR="00FD64B7" w:rsidRDefault="00F96714" w:rsidP="000801BE">
      <w:pPr>
        <w:spacing w:line="480" w:lineRule="auto"/>
        <w:jc w:val="both"/>
        <w:rPr>
          <w:rFonts w:eastAsia="Calibri"/>
        </w:rPr>
      </w:pPr>
      <w:r>
        <w:rPr>
          <w:rFonts w:eastAsia="Calibri"/>
        </w:rPr>
        <w:tab/>
        <w:t xml:space="preserve">The Commission should reject Section IV.5 of the Stipulation regarding the Pool Modification or Termination Rider inasmuch as the rider is not authorized by statute, violates </w:t>
      </w:r>
      <w:r w:rsidR="00990BC3">
        <w:rPr>
          <w:rFonts w:eastAsia="Calibri"/>
        </w:rPr>
        <w:t>s</w:t>
      </w:r>
      <w:r>
        <w:rPr>
          <w:rFonts w:eastAsia="Calibri"/>
        </w:rPr>
        <w:t xml:space="preserve">tate policy, and contains no mechanism or oversight to control costs proposed to be recovered through the rider.  Further, the Companies failed to include the costs of the rider in the ESP versus MRO comparison test.  </w:t>
      </w:r>
    </w:p>
    <w:p w:rsidR="00FD64B7" w:rsidRDefault="00F96714" w:rsidP="000801BE">
      <w:pPr>
        <w:spacing w:line="480" w:lineRule="auto"/>
        <w:ind w:firstLine="720"/>
        <w:jc w:val="both"/>
        <w:rPr>
          <w:rFonts w:eastAsia="Calibri"/>
        </w:rPr>
      </w:pPr>
      <w:r>
        <w:rPr>
          <w:rFonts w:eastAsia="Calibri"/>
        </w:rPr>
        <w:t xml:space="preserve">As previously noted, the Commission may approve riders if they are provided for under Section 4928.143(B)(2), Revised Code.  In regard to the Pool Modification or Termination Rider, the Companies have yet to link this </w:t>
      </w:r>
      <w:r w:rsidR="003F2A68">
        <w:rPr>
          <w:rFonts w:eastAsia="Calibri"/>
        </w:rPr>
        <w:t xml:space="preserve">element </w:t>
      </w:r>
      <w:r>
        <w:rPr>
          <w:rFonts w:eastAsia="Calibri"/>
        </w:rPr>
        <w:t>of the Stipulation to one of the enumerated categories under Section 4928.143(B)(2)</w:t>
      </w:r>
      <w:r w:rsidR="003D1FFA">
        <w:rPr>
          <w:rFonts w:eastAsia="Calibri"/>
        </w:rPr>
        <w:t>, Revised Code</w:t>
      </w:r>
      <w:r>
        <w:rPr>
          <w:rFonts w:eastAsia="Calibri"/>
        </w:rPr>
        <w:t>.  In fact, there is no provision under Section 4928.143(B)(2), Revised Code, that authorizes this proposed rider.  Authorization of the rider, therefore, would be unlawful and unreasonable.</w:t>
      </w:r>
    </w:p>
    <w:p w:rsidR="00AF75A3" w:rsidRDefault="00F96714" w:rsidP="000801BE">
      <w:pPr>
        <w:spacing w:line="480" w:lineRule="auto"/>
        <w:jc w:val="both"/>
        <w:rPr>
          <w:rFonts w:eastAsia="Calibri"/>
        </w:rPr>
      </w:pPr>
      <w:r>
        <w:rPr>
          <w:rFonts w:eastAsia="Calibri"/>
        </w:rPr>
        <w:tab/>
      </w:r>
      <w:r w:rsidR="003D1FFA">
        <w:rPr>
          <w:rFonts w:eastAsia="Calibri"/>
        </w:rPr>
        <w:t xml:space="preserve">Further, the terms of the rider would lead to unreasonable results.  </w:t>
      </w:r>
      <w:r>
        <w:rPr>
          <w:rFonts w:eastAsia="Calibri"/>
        </w:rPr>
        <w:t>The Stipulation provides that if the Companies incur costs in excess of $50 million associated with Pool termination or modification they can recover the full amount of their costs, inclusive of the $50 million threshold amount</w:t>
      </w:r>
      <w:r w:rsidR="003D1FFA">
        <w:rPr>
          <w:rFonts w:eastAsia="Calibri"/>
        </w:rPr>
        <w:t>.</w:t>
      </w:r>
      <w:r>
        <w:rPr>
          <w:rFonts w:eastAsia="Calibri"/>
          <w:vertAlign w:val="superscript"/>
        </w:rPr>
        <w:footnoteReference w:id="176"/>
      </w:r>
      <w:r>
        <w:rPr>
          <w:rFonts w:eastAsia="Calibri"/>
        </w:rPr>
        <w:t xml:space="preserve">  </w:t>
      </w:r>
      <w:r w:rsidR="003D1FFA">
        <w:rPr>
          <w:rFonts w:eastAsia="Calibri"/>
        </w:rPr>
        <w:t xml:space="preserve">At this time, however, </w:t>
      </w:r>
      <w:r>
        <w:rPr>
          <w:rFonts w:eastAsia="Calibri"/>
        </w:rPr>
        <w:t>the Companies have presented no estimate of what the costs associated with Pool termination or modification will be.</w:t>
      </w:r>
      <w:r>
        <w:rPr>
          <w:rFonts w:eastAsia="Calibri"/>
          <w:vertAlign w:val="superscript"/>
        </w:rPr>
        <w:footnoteReference w:id="177"/>
      </w:r>
      <w:r>
        <w:rPr>
          <w:rFonts w:eastAsia="Calibri"/>
        </w:rPr>
        <w:t xml:space="preserve">  To the extent that Pool termination or modification will result in OP or CSP incurring costs associated with the loss of revenue from sales to other pool members, this provision in the Stipulation sets up Ohio customers and not the Companies to pick up the tab </w:t>
      </w:r>
      <w:r w:rsidR="003D1FFA">
        <w:rPr>
          <w:rFonts w:eastAsia="Calibri"/>
        </w:rPr>
        <w:t>without any obvious limit.</w:t>
      </w:r>
      <w:r w:rsidR="003D1FFA">
        <w:rPr>
          <w:rStyle w:val="FootnoteReference"/>
          <w:rFonts w:eastAsia="Calibri"/>
        </w:rPr>
        <w:footnoteReference w:id="178"/>
      </w:r>
      <w:r w:rsidR="003D1FFA">
        <w:rPr>
          <w:rFonts w:eastAsia="Calibri"/>
        </w:rPr>
        <w:t xml:space="preserve">  </w:t>
      </w:r>
    </w:p>
    <w:p w:rsidR="00FD64B7" w:rsidRDefault="00AF75A3" w:rsidP="00AF75A3">
      <w:pPr>
        <w:spacing w:line="480" w:lineRule="auto"/>
        <w:jc w:val="both"/>
        <w:rPr>
          <w:rFonts w:eastAsia="Calibri"/>
        </w:rPr>
      </w:pPr>
      <w:r>
        <w:rPr>
          <w:rFonts w:eastAsia="Calibri"/>
        </w:rPr>
        <w:tab/>
      </w:r>
      <w:r w:rsidR="003D1FFA">
        <w:rPr>
          <w:rFonts w:eastAsia="Calibri"/>
        </w:rPr>
        <w:t>In any case, the Staff concluded that a placeholder rider for Pool termination costs is premature.</w:t>
      </w:r>
      <w:r w:rsidR="00F96714">
        <w:rPr>
          <w:rFonts w:eastAsia="Calibri"/>
          <w:vertAlign w:val="superscript"/>
        </w:rPr>
        <w:footnoteReference w:id="179"/>
      </w:r>
      <w:r w:rsidR="00760194">
        <w:rPr>
          <w:rFonts w:eastAsia="Calibri"/>
        </w:rPr>
        <w:t xml:space="preserve">  </w:t>
      </w:r>
      <w:r>
        <w:rPr>
          <w:rFonts w:eastAsia="Calibri"/>
        </w:rPr>
        <w:t xml:space="preserve"> </w:t>
      </w:r>
      <w:r w:rsidR="00F96714">
        <w:rPr>
          <w:rFonts w:eastAsia="Calibri"/>
        </w:rPr>
        <w:t xml:space="preserve">If </w:t>
      </w:r>
      <w:r w:rsidR="003D1FFA">
        <w:rPr>
          <w:rFonts w:eastAsia="Calibri"/>
        </w:rPr>
        <w:t xml:space="preserve">for some unexpressed reason </w:t>
      </w:r>
      <w:r w:rsidR="00F96714">
        <w:rPr>
          <w:rFonts w:eastAsia="Calibri"/>
        </w:rPr>
        <w:t>this proceeding is an appropriate place to entertain Pool modification or termination costs, the Companies also erred in excluding the Pool Modification or Termination Rider as a cost under the ESP versus MRO test.</w:t>
      </w:r>
      <w:r w:rsidR="00F96714">
        <w:rPr>
          <w:rFonts w:eastAsia="Calibri"/>
          <w:vertAlign w:val="superscript"/>
        </w:rPr>
        <w:footnoteReference w:id="180"/>
      </w:r>
      <w:r w:rsidR="00F96714">
        <w:rPr>
          <w:rFonts w:eastAsia="Calibri"/>
        </w:rPr>
        <w:t xml:space="preserve">  Although the Stipulation proposes to establish an initial rate of zero for the </w:t>
      </w:r>
      <w:r w:rsidR="003D1FFA">
        <w:rPr>
          <w:rFonts w:eastAsia="Calibri"/>
        </w:rPr>
        <w:t>Pool Modification or Termination Rider</w:t>
      </w:r>
      <w:r w:rsidR="00F96714">
        <w:rPr>
          <w:rFonts w:eastAsia="Calibri"/>
        </w:rPr>
        <w:t>, the Companies would not be able to collect these costs under a</w:t>
      </w:r>
      <w:r w:rsidR="003D1FFA">
        <w:rPr>
          <w:rFonts w:eastAsia="Calibri"/>
        </w:rPr>
        <w:t>n</w:t>
      </w:r>
      <w:r w:rsidR="00F96714">
        <w:rPr>
          <w:rFonts w:eastAsia="Calibri"/>
        </w:rPr>
        <w:t xml:space="preserve"> MRO.  Therefore, the potential costs associated with the rider should have been included in the comparison as a cost of the proposed ESP.</w:t>
      </w:r>
    </w:p>
    <w:p w:rsidR="00FD64B7" w:rsidRDefault="0032151F" w:rsidP="0032151F">
      <w:pPr>
        <w:spacing w:after="0" w:line="240" w:lineRule="auto"/>
        <w:ind w:left="1440" w:hanging="720"/>
        <w:rPr>
          <w:rFonts w:eastAsia="Calibri"/>
          <w:b/>
        </w:rPr>
      </w:pPr>
      <w:r>
        <w:rPr>
          <w:rFonts w:eastAsia="Calibri"/>
          <w:b/>
        </w:rPr>
        <w:t>I.</w:t>
      </w:r>
      <w:r>
        <w:rPr>
          <w:rFonts w:eastAsia="Calibri"/>
          <w:b/>
        </w:rPr>
        <w:tab/>
      </w:r>
      <w:r w:rsidR="005076B0">
        <w:rPr>
          <w:rFonts w:eastAsia="Calibri"/>
          <w:b/>
        </w:rPr>
        <w:t>Phase-In Recovery Rider (“</w:t>
      </w:r>
      <w:r w:rsidR="00F96714" w:rsidRPr="0032151F">
        <w:rPr>
          <w:rFonts w:eastAsia="Calibri"/>
          <w:b/>
        </w:rPr>
        <w:t>PIRR</w:t>
      </w:r>
      <w:r w:rsidR="005076B0">
        <w:rPr>
          <w:rFonts w:eastAsia="Calibri"/>
          <w:b/>
        </w:rPr>
        <w:t>”)</w:t>
      </w:r>
      <w:r w:rsidR="00F96714" w:rsidRPr="0032151F">
        <w:rPr>
          <w:rFonts w:eastAsia="Calibri"/>
          <w:b/>
        </w:rPr>
        <w:t>/Securitization</w:t>
      </w:r>
    </w:p>
    <w:p w:rsidR="0032151F" w:rsidRPr="0032151F" w:rsidRDefault="0032151F" w:rsidP="0032151F">
      <w:pPr>
        <w:spacing w:after="0" w:line="240" w:lineRule="auto"/>
        <w:ind w:left="360"/>
        <w:rPr>
          <w:rFonts w:eastAsia="Calibri"/>
          <w:b/>
        </w:rPr>
      </w:pPr>
    </w:p>
    <w:p w:rsidR="00FD64B7" w:rsidRDefault="00F96714" w:rsidP="000801BE">
      <w:pPr>
        <w:spacing w:line="480" w:lineRule="auto"/>
        <w:ind w:firstLine="720"/>
        <w:jc w:val="both"/>
      </w:pPr>
      <w:r>
        <w:t xml:space="preserve">Section 4928.144, Revised Code, requires that any phase-in of a rate be “just and reasonable.”  </w:t>
      </w:r>
      <w:r w:rsidR="00A0628A">
        <w:t>Under a prior Commission order</w:t>
      </w:r>
      <w:r>
        <w:t xml:space="preserve">, OP and CSP </w:t>
      </w:r>
      <w:r w:rsidR="005076B0">
        <w:t xml:space="preserve">were </w:t>
      </w:r>
      <w:r>
        <w:t xml:space="preserve">authorized to defer collection of rate increases and recover </w:t>
      </w:r>
      <w:r w:rsidR="005076B0">
        <w:t>those deferrals through a phase-</w:t>
      </w:r>
      <w:r>
        <w:t>in mechanism</w:t>
      </w:r>
      <w:r w:rsidR="005076B0">
        <w:t xml:space="preserve"> </w:t>
      </w:r>
      <w:r w:rsidR="00AF75A3">
        <w:t>of</w:t>
      </w:r>
      <w:r w:rsidR="005076B0">
        <w:t xml:space="preserve"> the amount subsequently authorized by the Commission</w:t>
      </w:r>
      <w:r>
        <w:t xml:space="preserve">.  The Stipulation proposes to establish this </w:t>
      </w:r>
      <w:r w:rsidR="005076B0">
        <w:t xml:space="preserve">recovery </w:t>
      </w:r>
      <w:r>
        <w:t>mechanism through the PIRR.</w:t>
      </w:r>
      <w:r w:rsidR="00A74702">
        <w:t xml:space="preserve">  The Signatory Parties also “agree to work in good faith to pass suitable and appropriate legislation to address the matter [securitization for the regulatory assets associated with </w:t>
      </w:r>
      <w:r w:rsidR="00760194">
        <w:t>the</w:t>
      </w:r>
      <w:r w:rsidR="00F3443E">
        <w:t xml:space="preserve"> PIRR] … </w:t>
      </w:r>
      <w:r w:rsidR="00D13735">
        <w:t>and to support subsequent approvals needed or tariffs required by [the Companies].”</w:t>
      </w:r>
      <w:r w:rsidR="00D13735">
        <w:rPr>
          <w:rStyle w:val="FootnoteReference"/>
        </w:rPr>
        <w:footnoteReference w:id="181"/>
      </w:r>
      <w:r w:rsidR="003D1FFA">
        <w:t xml:space="preserve"> </w:t>
      </w:r>
    </w:p>
    <w:p w:rsidR="00FD64B7" w:rsidRDefault="00F96714" w:rsidP="000801BE">
      <w:pPr>
        <w:spacing w:line="480" w:lineRule="auto"/>
        <w:ind w:firstLine="720"/>
        <w:jc w:val="both"/>
      </w:pPr>
      <w:r>
        <w:t>OP claims it will have accumulated a phase-in deferral amount of $62</w:t>
      </w:r>
      <w:r w:rsidR="002E0D00">
        <w:t>4</w:t>
      </w:r>
      <w:r>
        <w:t xml:space="preserve"> million as of December 31, 2011.  CSP customers, however, have already paid </w:t>
      </w:r>
      <w:r w:rsidR="00F3443E">
        <w:t>off their deferred rate increase balance</w:t>
      </w:r>
      <w:r>
        <w:t xml:space="preserve">; thus, there </w:t>
      </w:r>
      <w:r w:rsidRPr="00A0628A">
        <w:t>is n</w:t>
      </w:r>
      <w:r>
        <w:t xml:space="preserve">o CSP deferral to phase-in.  Despite </w:t>
      </w:r>
      <w:r w:rsidR="002E0D00">
        <w:t>the</w:t>
      </w:r>
      <w:r>
        <w:t xml:space="preserve"> fact</w:t>
      </w:r>
      <w:r w:rsidR="002E0D00">
        <w:t xml:space="preserve"> that there is no deferral balance for CSP customers</w:t>
      </w:r>
      <w:r>
        <w:t>, the Stipulation proposes to amortize the deferral associated with OP’s ESP on a</w:t>
      </w:r>
      <w:r w:rsidR="00A0628A">
        <w:t>n</w:t>
      </w:r>
      <w:r>
        <w:t xml:space="preserve"> “AEP Ohio </w:t>
      </w:r>
      <w:r w:rsidR="003D1FFA">
        <w:t>(</w:t>
      </w:r>
      <w:r>
        <w:t>combined CSP and OPCo) basis</w:t>
      </w:r>
      <w:r w:rsidR="003D1FFA">
        <w:t>,</w:t>
      </w:r>
      <w:r>
        <w:t>”</w:t>
      </w:r>
      <w:r>
        <w:rPr>
          <w:rStyle w:val="FootnoteReference"/>
        </w:rPr>
        <w:footnoteReference w:id="182"/>
      </w:r>
      <w:r>
        <w:t xml:space="preserve"> even though CSP customers received no benefit from the deferral</w:t>
      </w:r>
      <w:r w:rsidR="00A0628A">
        <w:t xml:space="preserve"> that would </w:t>
      </w:r>
      <w:r w:rsidR="00C50D42">
        <w:t>be</w:t>
      </w:r>
      <w:r w:rsidR="003D1FFA">
        <w:t xml:space="preserve"> </w:t>
      </w:r>
      <w:r w:rsidR="00A0628A">
        <w:t xml:space="preserve">amortized </w:t>
      </w:r>
      <w:r w:rsidR="00F3443E">
        <w:t xml:space="preserve">by </w:t>
      </w:r>
      <w:r w:rsidR="00A0628A">
        <w:t>the PIRR</w:t>
      </w:r>
      <w:r>
        <w:t>.  Because the proposed PIRR requires CSP customers to pay charges to amortize the phase-in deferral that benefitted OP customers, the proposed PIRR misaligns cost responsibility and benefits, which is inconsistent with regulatory principles.</w:t>
      </w:r>
      <w:r>
        <w:rPr>
          <w:rStyle w:val="FootnoteReference"/>
        </w:rPr>
        <w:footnoteReference w:id="183"/>
      </w:r>
      <w:r>
        <w:t xml:space="preserve">  </w:t>
      </w:r>
    </w:p>
    <w:p w:rsidR="00FD64B7" w:rsidRDefault="00F96714">
      <w:pPr>
        <w:spacing w:line="480" w:lineRule="auto"/>
        <w:ind w:firstLine="720"/>
        <w:jc w:val="both"/>
      </w:pPr>
      <w:r>
        <w:t>The Companies</w:t>
      </w:r>
      <w:r w:rsidR="003D1FFA">
        <w:t>,</w:t>
      </w:r>
      <w:r>
        <w:t xml:space="preserve"> in rebuttal</w:t>
      </w:r>
      <w:r w:rsidR="003D1FFA">
        <w:t>,</w:t>
      </w:r>
      <w:r>
        <w:t xml:space="preserve"> sought to circumvent the problems presented </w:t>
      </w:r>
      <w:r w:rsidR="00F3443E">
        <w:t xml:space="preserve">by the proposal to charge CSP </w:t>
      </w:r>
      <w:r>
        <w:t xml:space="preserve">customers for OP deferrals by pointing to the proposed merger and the Commission’s decision to assign costs related to the Monongahela </w:t>
      </w:r>
      <w:r w:rsidR="003D1FFA">
        <w:t xml:space="preserve">Power </w:t>
      </w:r>
      <w:r>
        <w:t>purchase to CSP customers.</w:t>
      </w:r>
      <w:r>
        <w:rPr>
          <w:rStyle w:val="FootnoteReference"/>
        </w:rPr>
        <w:footnoteReference w:id="184"/>
      </w:r>
      <w:r>
        <w:t xml:space="preserve">  Reliance on the merger, however, does not change the fact that CSP customers have already paid the phase-in deferral amount created by CSP’s current ESP and the Stipulation is now proposing to saddle CSP customers, after the fact, with responsibility for additional deferrals </w:t>
      </w:r>
      <w:r w:rsidR="00F3443E">
        <w:t xml:space="preserve">for </w:t>
      </w:r>
      <w:r>
        <w:t xml:space="preserve">which they </w:t>
      </w:r>
      <w:r w:rsidR="00F3443E">
        <w:t xml:space="preserve">received no </w:t>
      </w:r>
      <w:r>
        <w:t xml:space="preserve">benefit.  Reliance on the </w:t>
      </w:r>
      <w:r w:rsidR="00A1577E" w:rsidRPr="00C678A1">
        <w:rPr>
          <w:i/>
        </w:rPr>
        <w:t>Monongahela</w:t>
      </w:r>
      <w:r w:rsidR="003D1FFA">
        <w:rPr>
          <w:i/>
        </w:rPr>
        <w:t xml:space="preserve"> </w:t>
      </w:r>
      <w:r>
        <w:t>decision, likewise, is unwarranted as that decision pre-dated the adoption of SB 221 which provides the statutory structure for the creation of a phase-in as well as the means by which the phase</w:t>
      </w:r>
      <w:r w:rsidR="003D1FFA">
        <w:t>-</w:t>
      </w:r>
      <w:r w:rsidR="00A0628A">
        <w:t>in deferral is to be amortized</w:t>
      </w:r>
      <w:r w:rsidR="00F10D63">
        <w:t>,</w:t>
      </w:r>
      <w:r w:rsidR="003D1FFA">
        <w:t xml:space="preserve"> </w:t>
      </w:r>
      <w:r>
        <w:t>Section 4928.144, Revised Code.</w:t>
      </w:r>
      <w:r>
        <w:rPr>
          <w:rStyle w:val="FootnoteReference"/>
        </w:rPr>
        <w:footnoteReference w:id="185"/>
      </w:r>
      <w:r>
        <w:t xml:space="preserve">  The Companies, thus, have </w:t>
      </w:r>
      <w:r w:rsidR="003D1FFA">
        <w:t xml:space="preserve">presented </w:t>
      </w:r>
      <w:r>
        <w:t xml:space="preserve">no </w:t>
      </w:r>
      <w:r w:rsidR="003D1FFA">
        <w:t xml:space="preserve">valid </w:t>
      </w:r>
      <w:r>
        <w:t xml:space="preserve">basis for adopting </w:t>
      </w:r>
      <w:r w:rsidR="00F352A7">
        <w:t xml:space="preserve">the </w:t>
      </w:r>
      <w:r>
        <w:t>Stipulation’s proposed PIRR.</w:t>
      </w:r>
    </w:p>
    <w:p w:rsidR="00FD64B7" w:rsidRDefault="00F96714">
      <w:pPr>
        <w:spacing w:line="480" w:lineRule="auto"/>
        <w:ind w:firstLine="720"/>
        <w:jc w:val="both"/>
      </w:pPr>
      <w:r>
        <w:t>Additionally, the design of the PIRR contained in the Stipulation violates Section 4928.20(I), Revised Code, by requiring customers that are part of governmental aggregation programs to pay the PIRR</w:t>
      </w:r>
      <w:r w:rsidR="00AD3277">
        <w:t xml:space="preserve"> without </w:t>
      </w:r>
      <w:r w:rsidR="00757DA0">
        <w:t xml:space="preserve">a </w:t>
      </w:r>
      <w:r w:rsidR="00AD3277">
        <w:t xml:space="preserve">determination that they received any benefit </w:t>
      </w:r>
      <w:r w:rsidR="00CF4416">
        <w:t>from</w:t>
      </w:r>
      <w:r w:rsidR="00AD3277">
        <w:t xml:space="preserve"> the phase-in.  </w:t>
      </w:r>
      <w:r>
        <w:t xml:space="preserve">That </w:t>
      </w:r>
      <w:r w:rsidR="00C31FA1">
        <w:t>s</w:t>
      </w:r>
      <w:r>
        <w:t>ection requires that any phase-in deferral charge arising from Section 4928.144, Revised Code, and imposed upon customers within a community aggregation program be proportionate to the benefits received by those customers.  The Stipulation and supporting testimony do not provide any basis for the Commission to make the findings required by Section 4928.20(I), Revised Code.</w:t>
      </w:r>
      <w:r>
        <w:rPr>
          <w:rStyle w:val="FootnoteReference"/>
        </w:rPr>
        <w:footnoteReference w:id="186"/>
      </w:r>
      <w:r>
        <w:t xml:space="preserve">  In the case of customers in CSP</w:t>
      </w:r>
      <w:r w:rsidR="00AD3277">
        <w:t>’s</w:t>
      </w:r>
      <w:r>
        <w:t xml:space="preserve"> service area that are part of a governmental aggregation program, such a finding would be impossible because no CSP customers received any benefit from the rate increase deferred for OP customers.</w:t>
      </w:r>
    </w:p>
    <w:p w:rsidR="00FD64B7" w:rsidRDefault="00F96714">
      <w:pPr>
        <w:spacing w:line="480" w:lineRule="auto"/>
        <w:ind w:firstLine="720"/>
        <w:jc w:val="both"/>
      </w:pPr>
      <w:r>
        <w:t xml:space="preserve">The PIRR is also unjust and unreasonable </w:t>
      </w:r>
      <w:r w:rsidR="002831DC">
        <w:t>because</w:t>
      </w:r>
      <w:r>
        <w:t xml:space="preserve"> the 5.34% carrying charge proposed to be collected on the unamortized balance is excessive.  At issue is the proper rate to be applied to the balance of the deferrals once amortization begins.</w:t>
      </w:r>
      <w:r>
        <w:rPr>
          <w:rStyle w:val="FootnoteReference"/>
        </w:rPr>
        <w:footnoteReference w:id="187"/>
      </w:r>
      <w:r>
        <w:t xml:space="preserve">  Newly issued seven-year BBB rated corporate bonds are being issued at an interest rate of 3.75%.</w:t>
      </w:r>
      <w:r>
        <w:rPr>
          <w:rStyle w:val="FootnoteReference"/>
        </w:rPr>
        <w:footnoteReference w:id="188"/>
      </w:r>
      <w:r>
        <w:t xml:space="preserve">  Given that the PIRR will be collected over seven years, the same period in which corporate bonds can be</w:t>
      </w:r>
      <w:r w:rsidR="00A0628A">
        <w:t xml:space="preserve"> currently</w:t>
      </w:r>
      <w:r>
        <w:t xml:space="preserve"> obtained for 3.75%, there is no valid reason to </w:t>
      </w:r>
      <w:r w:rsidR="002831DC">
        <w:t xml:space="preserve">authorize </w:t>
      </w:r>
      <w:r>
        <w:t xml:space="preserve">the </w:t>
      </w:r>
      <w:r w:rsidR="00AD3277">
        <w:t xml:space="preserve">significantly higher </w:t>
      </w:r>
      <w:r w:rsidR="00F3443E">
        <w:t xml:space="preserve">carrying charge </w:t>
      </w:r>
      <w:r w:rsidR="00AD3277">
        <w:t>rate proposed in the Stipulation</w:t>
      </w:r>
      <w:r>
        <w:t>.</w:t>
      </w:r>
      <w:r>
        <w:rPr>
          <w:rStyle w:val="FootnoteReference"/>
        </w:rPr>
        <w:footnoteReference w:id="189"/>
      </w:r>
      <w:r>
        <w:t xml:space="preserve">  </w:t>
      </w:r>
    </w:p>
    <w:p w:rsidR="00FD64B7" w:rsidRDefault="00F96714">
      <w:pPr>
        <w:spacing w:line="480" w:lineRule="auto"/>
        <w:ind w:firstLine="720"/>
        <w:jc w:val="both"/>
      </w:pPr>
      <w:r>
        <w:t>Furthermore, any carrying charge applicable to the PIRR amortization process must be applied to a balance that has been reduced for ADIT consistent with sound regulatory practices and principles.</w:t>
      </w:r>
      <w:r>
        <w:rPr>
          <w:rStyle w:val="FootnoteReference"/>
        </w:rPr>
        <w:footnoteReference w:id="190"/>
      </w:r>
      <w:r>
        <w:t xml:space="preserve">  Under the Stipulation, the “carrying charge will be calculated with no adjustment to the book balance as of year-end 2011.”</w:t>
      </w:r>
      <w:r>
        <w:rPr>
          <w:rStyle w:val="FootnoteReference"/>
        </w:rPr>
        <w:footnoteReference w:id="191"/>
      </w:r>
      <w:r>
        <w:t xml:space="preserve">  This means that the carrying charge will be calculated on a deferral balance “gross of tax,” while proper ratemaking requires the deferral to be calculated “net of tax.”</w:t>
      </w:r>
      <w:r>
        <w:rPr>
          <w:rStyle w:val="FootnoteReference"/>
        </w:rPr>
        <w:footnoteReference w:id="192"/>
      </w:r>
      <w:r>
        <w:t xml:space="preserve">  Deferrals should be and have been calculated “net of tax” because </w:t>
      </w:r>
      <w:r w:rsidR="00AD3277">
        <w:t xml:space="preserve">of differences between </w:t>
      </w:r>
      <w:r>
        <w:t xml:space="preserve">federal income tax and book accounting treatment.  </w:t>
      </w:r>
      <w:r w:rsidR="00B273B3">
        <w:t xml:space="preserve">A </w:t>
      </w:r>
      <w:r>
        <w:t>timing difference reduces the Companies’ federal income tax liability</w:t>
      </w:r>
      <w:r w:rsidR="00B273B3">
        <w:t xml:space="preserve"> before the Companies recognize the expense and collect it from customers.</w:t>
      </w:r>
      <w:r w:rsidR="00B273B3">
        <w:rPr>
          <w:rStyle w:val="FootnoteReference"/>
        </w:rPr>
        <w:footnoteReference w:id="193"/>
      </w:r>
      <w:r>
        <w:t xml:space="preserve">  As </w:t>
      </w:r>
      <w:r w:rsidR="00B273B3">
        <w:t xml:space="preserve">OEG </w:t>
      </w:r>
      <w:r w:rsidR="00990BC3">
        <w:t>w</w:t>
      </w:r>
      <w:r>
        <w:t>itness Baron stated, “ADIT is effectively an interest-free loan from the government that will be repaid to the government at the time that ratepayers are ultimately charged for the previously deferred amounts.”</w:t>
      </w:r>
      <w:r>
        <w:rPr>
          <w:rStyle w:val="FootnoteReference"/>
        </w:rPr>
        <w:t xml:space="preserve"> </w:t>
      </w:r>
      <w:r>
        <w:rPr>
          <w:rStyle w:val="FootnoteReference"/>
        </w:rPr>
        <w:footnoteReference w:id="194"/>
      </w:r>
      <w:r>
        <w:t xml:space="preserve">  </w:t>
      </w:r>
      <w:r w:rsidRPr="00C678A1">
        <w:t>As a result of this tax benefit, the Companies do not have to fund the entire amount needed to finance the deferrals.</w:t>
      </w:r>
      <w:r w:rsidRPr="00C678A1">
        <w:rPr>
          <w:rStyle w:val="FootnoteReference"/>
        </w:rPr>
        <w:footnoteReference w:id="195"/>
      </w:r>
      <w:r>
        <w:t xml:space="preserve"> The ADIT would amount to approximately 35% of the regulatory asset balance.</w:t>
      </w:r>
      <w:r>
        <w:rPr>
          <w:rStyle w:val="FootnoteReference"/>
        </w:rPr>
        <w:footnoteReference w:id="196"/>
      </w:r>
      <w:r>
        <w:t xml:space="preserve">  </w:t>
      </w:r>
      <w:r w:rsidR="00A0628A">
        <w:t>If the proper adjustments are made</w:t>
      </w:r>
      <w:r w:rsidR="002831DC">
        <w:t xml:space="preserve"> for the two items noted above</w:t>
      </w:r>
      <w:r>
        <w:t xml:space="preserve">, </w:t>
      </w:r>
      <w:r w:rsidR="00B273B3">
        <w:t xml:space="preserve">a lower debt rate and ADIT, </w:t>
      </w:r>
      <w:r w:rsidR="00A74702">
        <w:t xml:space="preserve">customers would see reduced cost of about </w:t>
      </w:r>
      <w:r w:rsidRPr="00A74702">
        <w:t>approximately $69 million</w:t>
      </w:r>
      <w:r w:rsidR="00A74702">
        <w:t xml:space="preserve"> if the phase-in deferral amount is set at approximately $624 million</w:t>
      </w:r>
      <w:r>
        <w:t>.</w:t>
      </w:r>
      <w:r>
        <w:rPr>
          <w:rStyle w:val="FootnoteReference"/>
        </w:rPr>
        <w:footnoteReference w:id="197"/>
      </w:r>
      <w:r>
        <w:t xml:space="preserve"> </w:t>
      </w:r>
      <w:r w:rsidR="00844A65">
        <w:t xml:space="preserve"> Thus, the Stipulation proposes a PIRR that is both unlawful and unreasonable.</w:t>
      </w:r>
    </w:p>
    <w:p w:rsidR="0042387E" w:rsidRDefault="00F96714" w:rsidP="0042387E">
      <w:pPr>
        <w:spacing w:line="480" w:lineRule="auto"/>
        <w:ind w:firstLine="720"/>
        <w:jc w:val="both"/>
      </w:pPr>
      <w:r>
        <w:t xml:space="preserve">The Stipulation </w:t>
      </w:r>
      <w:r w:rsidR="00844A65">
        <w:t xml:space="preserve">also </w:t>
      </w:r>
      <w:r w:rsidR="002831DC">
        <w:t>commits the Signatory Parties to support undefined securitization legislation</w:t>
      </w:r>
      <w:r>
        <w:t>.</w:t>
      </w:r>
      <w:r>
        <w:rPr>
          <w:rStyle w:val="FootnoteReference"/>
        </w:rPr>
        <w:footnoteReference w:id="198"/>
      </w:r>
      <w:r>
        <w:t xml:space="preserve">  But the Stipulation and testimony do not explain why new legislation is necessary, what that legislation would look like, </w:t>
      </w:r>
      <w:r w:rsidR="00C50D42">
        <w:t>why it is tied to shopping caps</w:t>
      </w:r>
      <w:r>
        <w:t xml:space="preserve"> </w:t>
      </w:r>
      <w:r w:rsidR="00B273B3">
        <w:t xml:space="preserve">or the proposed MTR, </w:t>
      </w:r>
      <w:r>
        <w:t>or the benefits it would provide to customers.</w:t>
      </w:r>
      <w:r w:rsidR="002831DC">
        <w:rPr>
          <w:rStyle w:val="FootnoteReference"/>
        </w:rPr>
        <w:footnoteReference w:id="199"/>
      </w:r>
      <w:r w:rsidR="002831DC">
        <w:t xml:space="preserve"> </w:t>
      </w:r>
      <w:r>
        <w:t xml:space="preserve">  As IEU-Ohio witness Bowser testified, the Companies are already using securitization to factor receivables without any additional legislation</w:t>
      </w:r>
      <w:r w:rsidR="00844A65">
        <w:t xml:space="preserve"> at an interest rate of .31%</w:t>
      </w:r>
      <w:r>
        <w:t>.</w:t>
      </w:r>
      <w:r>
        <w:rPr>
          <w:rStyle w:val="FootnoteReference"/>
        </w:rPr>
        <w:footnoteReference w:id="200"/>
      </w:r>
      <w:r>
        <w:t xml:space="preserve">  </w:t>
      </w:r>
      <w:r w:rsidR="002831DC">
        <w:t xml:space="preserve">In short, there is no basis to tie securitization legislation and approval of unseen and unexplained tariffs, the benefits of which have not been demonstrated, to the substantive provisions </w:t>
      </w:r>
      <w:r w:rsidR="00844A65">
        <w:t>regarding deferral amortization and shopping caps in</w:t>
      </w:r>
      <w:r w:rsidR="002831DC">
        <w:t xml:space="preserve"> the Stipulation.  </w:t>
      </w:r>
    </w:p>
    <w:p w:rsidR="0074164D" w:rsidRDefault="0032151F" w:rsidP="0032151F">
      <w:pPr>
        <w:pStyle w:val="ListParagraph"/>
        <w:spacing w:line="240" w:lineRule="auto"/>
        <w:ind w:left="1440" w:hanging="720"/>
        <w:rPr>
          <w:rFonts w:eastAsia="Calibri"/>
          <w:b/>
        </w:rPr>
      </w:pPr>
      <w:r>
        <w:rPr>
          <w:rFonts w:eastAsia="Calibri"/>
          <w:b/>
        </w:rPr>
        <w:t>J.</w:t>
      </w:r>
      <w:r>
        <w:rPr>
          <w:rFonts w:eastAsia="Calibri"/>
          <w:b/>
        </w:rPr>
        <w:tab/>
      </w:r>
      <w:r w:rsidR="00F96714" w:rsidRPr="00E516D4">
        <w:rPr>
          <w:rFonts w:eastAsia="Calibri"/>
          <w:b/>
        </w:rPr>
        <w:t xml:space="preserve">Timber Road Renewable </w:t>
      </w:r>
      <w:r w:rsidR="00B273B3">
        <w:rPr>
          <w:rFonts w:eastAsia="Calibri"/>
          <w:b/>
        </w:rPr>
        <w:t xml:space="preserve">Energy </w:t>
      </w:r>
      <w:r w:rsidR="00F96714" w:rsidRPr="00E516D4">
        <w:rPr>
          <w:rFonts w:eastAsia="Calibri"/>
          <w:b/>
        </w:rPr>
        <w:t>Purchase Agreement and Shale Gas FAC Review</w:t>
      </w:r>
    </w:p>
    <w:p w:rsidR="0042387E" w:rsidRPr="00E516D4" w:rsidRDefault="0042387E" w:rsidP="0074164D">
      <w:pPr>
        <w:pStyle w:val="ListParagraph"/>
        <w:spacing w:line="240" w:lineRule="auto"/>
        <w:rPr>
          <w:rFonts w:eastAsia="Calibri"/>
          <w:b/>
        </w:rPr>
      </w:pPr>
    </w:p>
    <w:p w:rsidR="00FD64B7" w:rsidRDefault="00F96714" w:rsidP="000801BE">
      <w:pPr>
        <w:spacing w:line="480" w:lineRule="auto"/>
        <w:ind w:firstLine="720"/>
        <w:jc w:val="both"/>
        <w:rPr>
          <w:rFonts w:eastAsia="Calibri"/>
        </w:rPr>
      </w:pPr>
      <w:r>
        <w:rPr>
          <w:rFonts w:eastAsia="Calibri"/>
        </w:rPr>
        <w:t>Section IV.1.j of the Stipulation provides for a one-time up-front prudence review of AEP-Ohio’s 20-year contract, a renewable energy purchase agreement (“REPA”), with Paulding Wind Energy LLC (“Paulding”) regarding the Timber Road Wind Farm.</w:t>
      </w:r>
      <w:r>
        <w:rPr>
          <w:rStyle w:val="FootnoteReference"/>
          <w:rFonts w:eastAsia="Calibri"/>
        </w:rPr>
        <w:footnoteReference w:id="201"/>
      </w:r>
      <w:r>
        <w:rPr>
          <w:rFonts w:eastAsia="Calibri"/>
        </w:rPr>
        <w:t xml:space="preserve">  Similarly, Section IV.2.a.2 provides for a one-time up-front prudence review of shale gas contracts for existing gas units of the Companies.</w:t>
      </w:r>
      <w:r>
        <w:rPr>
          <w:rStyle w:val="FootnoteReference"/>
          <w:rFonts w:eastAsia="Calibri"/>
        </w:rPr>
        <w:footnoteReference w:id="202"/>
      </w:r>
      <w:r>
        <w:rPr>
          <w:rFonts w:eastAsia="Calibri"/>
        </w:rPr>
        <w:t xml:space="preserve">  Those provisions are in direct conflict with Commission rules and should not be approved. </w:t>
      </w:r>
    </w:p>
    <w:p w:rsidR="00FD64B7" w:rsidRDefault="00F96714" w:rsidP="000801BE">
      <w:pPr>
        <w:spacing w:line="480" w:lineRule="auto"/>
        <w:ind w:firstLine="720"/>
        <w:jc w:val="both"/>
        <w:rPr>
          <w:rFonts w:eastAsia="Calibri"/>
        </w:rPr>
      </w:pPr>
      <w:r>
        <w:rPr>
          <w:rFonts w:eastAsia="Calibri"/>
        </w:rPr>
        <w:t xml:space="preserve">The approval of these provisions of the Stipulation would violate the express terms of the rule that requires an annual review </w:t>
      </w:r>
      <w:r w:rsidR="00844A65">
        <w:rPr>
          <w:rFonts w:eastAsia="Calibri"/>
        </w:rPr>
        <w:t>in which</w:t>
      </w:r>
      <w:r>
        <w:rPr>
          <w:rFonts w:eastAsia="Calibri"/>
        </w:rPr>
        <w:t xml:space="preserve"> the Companies </w:t>
      </w:r>
      <w:r w:rsidR="00844A65">
        <w:rPr>
          <w:rFonts w:eastAsia="Calibri"/>
        </w:rPr>
        <w:t>must</w:t>
      </w:r>
      <w:r>
        <w:rPr>
          <w:rFonts w:eastAsia="Calibri"/>
        </w:rPr>
        <w:t xml:space="preserve"> demonstrate that the costs are prudently incurred.</w:t>
      </w:r>
      <w:r>
        <w:rPr>
          <w:rStyle w:val="FootnoteReference"/>
          <w:rFonts w:eastAsia="Calibri"/>
        </w:rPr>
        <w:footnoteReference w:id="203"/>
      </w:r>
      <w:r>
        <w:rPr>
          <w:rFonts w:eastAsia="Calibri"/>
        </w:rPr>
        <w:t xml:space="preserve">  The only justification for suspending the rule’s requirement for annual prudence reviews is a claimed need for certainty of a long-term revenue stream so that investors will bear the up-front costs of </w:t>
      </w:r>
      <w:r w:rsidR="00844A65">
        <w:rPr>
          <w:rFonts w:eastAsia="Calibri"/>
        </w:rPr>
        <w:t xml:space="preserve">the wind farm </w:t>
      </w:r>
      <w:r>
        <w:rPr>
          <w:rFonts w:eastAsia="Calibri"/>
        </w:rPr>
        <w:t xml:space="preserve">project (and this testimony was offered with regard to only the Timber Road REPA; nothing was offered regarding shale gas contracts), but the record also demonstrates that the wind farm </w:t>
      </w:r>
      <w:r w:rsidR="00C50D42">
        <w:rPr>
          <w:rFonts w:eastAsia="Calibri"/>
        </w:rPr>
        <w:t xml:space="preserve">production </w:t>
      </w:r>
      <w:r w:rsidR="00B273B3">
        <w:rPr>
          <w:rFonts w:eastAsia="Calibri"/>
        </w:rPr>
        <w:t xml:space="preserve">on which the REPA was based </w:t>
      </w:r>
      <w:r>
        <w:rPr>
          <w:rFonts w:eastAsia="Calibri"/>
        </w:rPr>
        <w:t xml:space="preserve">was completed </w:t>
      </w:r>
      <w:r w:rsidR="00B273B3">
        <w:rPr>
          <w:rFonts w:eastAsia="Calibri"/>
        </w:rPr>
        <w:t xml:space="preserve">and operational </w:t>
      </w:r>
      <w:r>
        <w:rPr>
          <w:rFonts w:eastAsia="Calibri"/>
        </w:rPr>
        <w:t>in the summer of 2011.</w:t>
      </w:r>
      <w:r>
        <w:rPr>
          <w:rStyle w:val="FootnoteReference"/>
          <w:rFonts w:eastAsia="Calibri"/>
        </w:rPr>
        <w:footnoteReference w:id="204"/>
      </w:r>
      <w:r>
        <w:rPr>
          <w:rFonts w:eastAsia="Calibri"/>
        </w:rPr>
        <w:t xml:space="preserve">  Thus, the need to suspend Commission rules had no bearing on investors’ decisions to bear the up-front costs of the wind farm.  As the Companies have presented no credible evidence supporting their proposal to suspend the operation of Commission rules regarding either the REPA or </w:t>
      </w:r>
      <w:r w:rsidR="00B273B3">
        <w:rPr>
          <w:rFonts w:eastAsia="Calibri"/>
        </w:rPr>
        <w:t xml:space="preserve">prospective </w:t>
      </w:r>
      <w:r>
        <w:rPr>
          <w:rFonts w:eastAsia="Calibri"/>
        </w:rPr>
        <w:t>shale gas contracts</w:t>
      </w:r>
      <w:r w:rsidR="009A3689">
        <w:rPr>
          <w:rFonts w:eastAsia="Calibri"/>
        </w:rPr>
        <w:t xml:space="preserve"> </w:t>
      </w:r>
      <w:r w:rsidR="00B273B3">
        <w:rPr>
          <w:rFonts w:eastAsia="Calibri"/>
        </w:rPr>
        <w:t>(</w:t>
      </w:r>
      <w:r w:rsidR="009A3689">
        <w:rPr>
          <w:rFonts w:eastAsia="Calibri"/>
        </w:rPr>
        <w:t>and regardless of whether the Commission even has the authority to suspend its rules as proposed in the Stipulation</w:t>
      </w:r>
      <w:r w:rsidR="00B273B3">
        <w:rPr>
          <w:rFonts w:eastAsia="Calibri"/>
        </w:rPr>
        <w:t>)</w:t>
      </w:r>
      <w:r>
        <w:rPr>
          <w:rFonts w:eastAsia="Calibri"/>
        </w:rPr>
        <w:t>, Commission approval of these sections of the Stipulation would be unlawful and unreasonable.</w:t>
      </w:r>
    </w:p>
    <w:p w:rsidR="00D622E1" w:rsidRDefault="00D622E1">
      <w:pPr>
        <w:rPr>
          <w:rFonts w:eastAsia="Calibri" w:cstheme="minorBidi"/>
          <w:b/>
          <w:szCs w:val="22"/>
        </w:rPr>
      </w:pPr>
      <w:r>
        <w:rPr>
          <w:rFonts w:eastAsia="Calibri"/>
          <w:b/>
        </w:rPr>
        <w:br w:type="page"/>
      </w:r>
    </w:p>
    <w:p w:rsidR="00FD64B7" w:rsidRDefault="006A55AF" w:rsidP="006A55AF">
      <w:pPr>
        <w:pStyle w:val="ListParagraph"/>
        <w:spacing w:line="240" w:lineRule="auto"/>
        <w:ind w:left="1440" w:hanging="720"/>
        <w:rPr>
          <w:rFonts w:eastAsia="Calibri"/>
          <w:b/>
        </w:rPr>
      </w:pPr>
      <w:r>
        <w:rPr>
          <w:rFonts w:eastAsia="Calibri"/>
          <w:b/>
        </w:rPr>
        <w:t>K.</w:t>
      </w:r>
      <w:r>
        <w:rPr>
          <w:rFonts w:eastAsia="Calibri"/>
          <w:b/>
        </w:rPr>
        <w:tab/>
      </w:r>
      <w:r w:rsidR="00F96714">
        <w:rPr>
          <w:rFonts w:eastAsia="Calibri"/>
          <w:b/>
        </w:rPr>
        <w:t>Corporate Separation</w:t>
      </w:r>
    </w:p>
    <w:p w:rsidR="0042387E" w:rsidRDefault="0042387E" w:rsidP="00B273B3">
      <w:pPr>
        <w:spacing w:after="0" w:line="240" w:lineRule="auto"/>
        <w:ind w:firstLine="720"/>
        <w:jc w:val="both"/>
        <w:rPr>
          <w:rFonts w:eastAsia="Calibri"/>
        </w:rPr>
      </w:pPr>
    </w:p>
    <w:p w:rsidR="00FD64B7" w:rsidRDefault="00F96714" w:rsidP="000801BE">
      <w:pPr>
        <w:spacing w:line="480" w:lineRule="auto"/>
        <w:ind w:firstLine="720"/>
        <w:jc w:val="both"/>
        <w:rPr>
          <w:rFonts w:eastAsia="Calibri"/>
        </w:rPr>
      </w:pPr>
      <w:r>
        <w:rPr>
          <w:rFonts w:eastAsia="Calibri"/>
        </w:rPr>
        <w:t>The Stipulation proposes that “[a]pproval of [the] Stipulation will serve as the Commission’s approval of full legal corporate separation.”</w:t>
      </w:r>
      <w:r>
        <w:rPr>
          <w:rStyle w:val="FootnoteReference"/>
          <w:rFonts w:eastAsia="Calibri"/>
        </w:rPr>
        <w:footnoteReference w:id="205"/>
      </w:r>
      <w:r>
        <w:rPr>
          <w:rFonts w:eastAsia="Calibri"/>
        </w:rPr>
        <w:t xml:space="preserve">  Soon after the Stipulation was filed, however, the Companies filed an application to amend the corporate separation plan.</w:t>
      </w:r>
      <w:r>
        <w:rPr>
          <w:rFonts w:eastAsia="Calibri"/>
          <w:vertAlign w:val="superscript"/>
        </w:rPr>
        <w:footnoteReference w:id="206"/>
      </w:r>
      <w:r>
        <w:rPr>
          <w:rFonts w:eastAsia="Calibri"/>
        </w:rPr>
        <w:t xml:space="preserve">  The attorney examiners correctly denied a motion to consolidate the application to amend the corporate separation plan with the proceedings to review the Stipulation, noting that there “needs to be additional review </w:t>
      </w:r>
      <w:r w:rsidR="00B273B3">
        <w:rPr>
          <w:rFonts w:eastAsia="Calibri"/>
        </w:rPr>
        <w:t>…</w:t>
      </w:r>
      <w:r>
        <w:rPr>
          <w:rFonts w:eastAsia="Calibri"/>
        </w:rPr>
        <w:t xml:space="preserve"> before we actually address” corporate separation.</w:t>
      </w:r>
      <w:r>
        <w:rPr>
          <w:rFonts w:eastAsia="Calibri"/>
          <w:vertAlign w:val="superscript"/>
        </w:rPr>
        <w:footnoteReference w:id="207"/>
      </w:r>
      <w:r>
        <w:rPr>
          <w:rFonts w:eastAsia="Calibri"/>
        </w:rPr>
        <w:t xml:space="preserve">  Because the Stipulation and supporting testimony do not support the findings required by law to approve corporate separation, th</w:t>
      </w:r>
      <w:r w:rsidR="009A3689">
        <w:rPr>
          <w:rFonts w:eastAsia="Calibri"/>
        </w:rPr>
        <w:t>is portion of the Stipulation is unlawful and unreasonable.</w:t>
      </w:r>
    </w:p>
    <w:p w:rsidR="00FD64B7" w:rsidRDefault="00F96714" w:rsidP="000801BE">
      <w:pPr>
        <w:spacing w:line="480" w:lineRule="auto"/>
        <w:ind w:firstLine="720"/>
        <w:jc w:val="both"/>
        <w:rPr>
          <w:rFonts w:eastAsia="Calibri"/>
        </w:rPr>
      </w:pPr>
      <w:r>
        <w:rPr>
          <w:rFonts w:eastAsia="Calibri"/>
        </w:rPr>
        <w:t>An application for corporate restructuring is governed by Section 4928.17, Revised Code.  That section and the Commission rules</w:t>
      </w:r>
      <w:r w:rsidR="009A3689">
        <w:rPr>
          <w:rFonts w:eastAsia="Calibri"/>
        </w:rPr>
        <w:t xml:space="preserve"> implementing that section</w:t>
      </w:r>
      <w:r>
        <w:rPr>
          <w:rStyle w:val="FootnoteReference"/>
          <w:rFonts w:eastAsia="Calibri"/>
        </w:rPr>
        <w:footnoteReference w:id="208"/>
      </w:r>
      <w:r>
        <w:rPr>
          <w:rFonts w:eastAsia="Calibri"/>
        </w:rPr>
        <w:t xml:space="preserve"> provide a detailed set of requirements </w:t>
      </w:r>
      <w:r w:rsidR="006711A4">
        <w:rPr>
          <w:rFonts w:eastAsia="Calibri"/>
        </w:rPr>
        <w:t xml:space="preserve">that </w:t>
      </w:r>
      <w:r>
        <w:rPr>
          <w:rFonts w:eastAsia="Calibri"/>
        </w:rPr>
        <w:t xml:space="preserve">must </w:t>
      </w:r>
      <w:r w:rsidR="006711A4">
        <w:rPr>
          <w:rFonts w:eastAsia="Calibri"/>
        </w:rPr>
        <w:t xml:space="preserve">be </w:t>
      </w:r>
      <w:r>
        <w:rPr>
          <w:rFonts w:eastAsia="Calibri"/>
        </w:rPr>
        <w:t>satisf</w:t>
      </w:r>
      <w:r w:rsidR="006711A4">
        <w:rPr>
          <w:rFonts w:eastAsia="Calibri"/>
        </w:rPr>
        <w:t>ied</w:t>
      </w:r>
      <w:r>
        <w:rPr>
          <w:rFonts w:eastAsia="Calibri"/>
        </w:rPr>
        <w:t xml:space="preserve">.  </w:t>
      </w:r>
      <w:r w:rsidR="009A3689">
        <w:rPr>
          <w:rFonts w:eastAsia="Calibri"/>
        </w:rPr>
        <w:t>The Companies, however, have: (1) failed to provide the terms and conditions of any sale or transfer of generating assets; (2) failed to demonstrate the effect any sale or transfer would have on current and future SSO prices; (3) failed to demonstrate how the sale or transfer will affect the public; and (4) failed to state the fair market value of the generating assets it plans to sell or transfer.</w:t>
      </w:r>
      <w:r w:rsidR="009A3689">
        <w:rPr>
          <w:rStyle w:val="FootnoteReference"/>
          <w:rFonts w:eastAsia="Calibri"/>
        </w:rPr>
        <w:footnoteReference w:id="209"/>
      </w:r>
      <w:r w:rsidR="009A3689">
        <w:rPr>
          <w:rFonts w:eastAsia="Calibri"/>
        </w:rPr>
        <w:t xml:space="preserve">  </w:t>
      </w:r>
      <w:r>
        <w:rPr>
          <w:rFonts w:eastAsia="Calibri"/>
        </w:rPr>
        <w:t xml:space="preserve">Without </w:t>
      </w:r>
      <w:r w:rsidR="006711A4">
        <w:rPr>
          <w:rFonts w:eastAsia="Calibri"/>
        </w:rPr>
        <w:t xml:space="preserve">this information, it is impossible </w:t>
      </w:r>
      <w:r>
        <w:rPr>
          <w:rFonts w:eastAsia="Calibri"/>
        </w:rPr>
        <w:t xml:space="preserve">for the Commission to appreciate the implications of the </w:t>
      </w:r>
      <w:r w:rsidR="009A3689">
        <w:rPr>
          <w:rFonts w:eastAsia="Calibri"/>
        </w:rPr>
        <w:t xml:space="preserve">approval </w:t>
      </w:r>
      <w:r w:rsidR="006711A4">
        <w:rPr>
          <w:rFonts w:eastAsia="Calibri"/>
        </w:rPr>
        <w:t>called for by the Stipulation.</w:t>
      </w:r>
    </w:p>
    <w:p w:rsidR="00FD64B7" w:rsidRDefault="00F96714" w:rsidP="000801BE">
      <w:pPr>
        <w:spacing w:line="480" w:lineRule="auto"/>
        <w:ind w:firstLine="720"/>
        <w:jc w:val="both"/>
        <w:rPr>
          <w:rFonts w:eastAsia="Calibri"/>
        </w:rPr>
      </w:pPr>
      <w:r>
        <w:rPr>
          <w:rFonts w:eastAsia="Calibri"/>
        </w:rPr>
        <w:t xml:space="preserve">Approval of full legal corporate separation as proposed through the Stipulation would also prejudice interested parties’ ability to “file specific objections to the plan” </w:t>
      </w:r>
      <w:r w:rsidR="009A3689">
        <w:rPr>
          <w:rFonts w:eastAsia="Calibri"/>
        </w:rPr>
        <w:t>as required by Section 4928.17(B), Revised Code</w:t>
      </w:r>
      <w:r>
        <w:rPr>
          <w:rFonts w:eastAsia="Calibri"/>
        </w:rPr>
        <w:t>.</w:t>
      </w:r>
      <w:r>
        <w:rPr>
          <w:rFonts w:eastAsia="Calibri"/>
          <w:vertAlign w:val="superscript"/>
        </w:rPr>
        <w:footnoteReference w:id="210"/>
      </w:r>
      <w:r>
        <w:rPr>
          <w:rFonts w:eastAsia="Calibri"/>
        </w:rPr>
        <w:t xml:space="preserve">  Section 4928.17(B), Revised Code, directs the Commission to adopt rules which “include an opportunity for any person having a real and substantial interest in the corporate separation plan to file specific objections to the plan and propose specific responses to issues raised in the objections, which objections and responses the commission shall address in its final order.”</w:t>
      </w:r>
      <w:r>
        <w:rPr>
          <w:rFonts w:eastAsia="Calibri"/>
          <w:vertAlign w:val="superscript"/>
        </w:rPr>
        <w:footnoteReference w:id="211"/>
      </w:r>
      <w:r>
        <w:rPr>
          <w:rFonts w:eastAsia="Calibri"/>
        </w:rPr>
        <w:t xml:space="preserve">  </w:t>
      </w:r>
      <w:r w:rsidR="00F46574">
        <w:rPr>
          <w:rFonts w:eastAsia="Calibri"/>
        </w:rPr>
        <w:t>The Commission, by rule, provides that the Commission shall set an application to transfer assets if the application proposes to alter the jurisdiction of the Commission over generation assets.</w:t>
      </w:r>
      <w:r w:rsidR="00F46574">
        <w:rPr>
          <w:rStyle w:val="FootnoteReference"/>
          <w:rFonts w:eastAsia="Calibri"/>
        </w:rPr>
        <w:footnoteReference w:id="212"/>
      </w:r>
      <w:r w:rsidR="00F46574">
        <w:rPr>
          <w:rFonts w:eastAsia="Calibri"/>
        </w:rPr>
        <w:t xml:space="preserve">  </w:t>
      </w:r>
      <w:r>
        <w:rPr>
          <w:rFonts w:eastAsia="Calibri"/>
        </w:rPr>
        <w:t>If the Commission were to approve Sections IV.1.q and IV.1.t of the Stipulation, interested parties</w:t>
      </w:r>
      <w:r w:rsidR="00F46574">
        <w:rPr>
          <w:rFonts w:eastAsia="Calibri"/>
        </w:rPr>
        <w:t xml:space="preserve"> currently not involved in the review of the Stipulation and all parties that should have access to a complete application</w:t>
      </w:r>
      <w:r>
        <w:rPr>
          <w:rFonts w:eastAsia="Calibri"/>
        </w:rPr>
        <w:t xml:space="preserve"> would be denied an opportunity provided for by </w:t>
      </w:r>
      <w:r w:rsidR="00517790">
        <w:rPr>
          <w:rFonts w:eastAsia="Calibri"/>
        </w:rPr>
        <w:t>Ohio law</w:t>
      </w:r>
      <w:r>
        <w:rPr>
          <w:rFonts w:eastAsia="Calibri"/>
        </w:rPr>
        <w:t xml:space="preserve">.  </w:t>
      </w:r>
    </w:p>
    <w:p w:rsidR="00FD64B7" w:rsidRDefault="00496D15" w:rsidP="006A55AF">
      <w:pPr>
        <w:spacing w:line="480" w:lineRule="auto"/>
        <w:ind w:firstLine="720"/>
        <w:jc w:val="both"/>
        <w:rPr>
          <w:rFonts w:eastAsia="Calibri"/>
        </w:rPr>
      </w:pPr>
      <w:r>
        <w:rPr>
          <w:rFonts w:eastAsia="Calibri"/>
        </w:rPr>
        <w:t>Despite the legal requirements that govern corporate separation</w:t>
      </w:r>
      <w:r w:rsidR="00F96714">
        <w:rPr>
          <w:rFonts w:eastAsia="Calibri"/>
        </w:rPr>
        <w:t xml:space="preserve">, the Companies are asking the Commission to approve a separation plan without knowing </w:t>
      </w:r>
      <w:r w:rsidR="00C31FA1">
        <w:rPr>
          <w:rFonts w:eastAsia="Calibri"/>
        </w:rPr>
        <w:t xml:space="preserve">the </w:t>
      </w:r>
      <w:r w:rsidR="00F96714">
        <w:rPr>
          <w:rFonts w:eastAsia="Calibri"/>
        </w:rPr>
        <w:t xml:space="preserve">details and </w:t>
      </w:r>
      <w:r w:rsidR="00517790">
        <w:rPr>
          <w:rFonts w:eastAsia="Calibri"/>
        </w:rPr>
        <w:t xml:space="preserve">empower </w:t>
      </w:r>
      <w:r w:rsidR="00F96714">
        <w:rPr>
          <w:rFonts w:eastAsia="Calibri"/>
        </w:rPr>
        <w:t xml:space="preserve">the Companies to fill in the blanks </w:t>
      </w:r>
      <w:r>
        <w:rPr>
          <w:rFonts w:eastAsia="Calibri"/>
        </w:rPr>
        <w:t>later</w:t>
      </w:r>
      <w:r w:rsidR="00F96714">
        <w:rPr>
          <w:rFonts w:eastAsia="Calibri"/>
        </w:rPr>
        <w:t xml:space="preserve">.  </w:t>
      </w:r>
      <w:r w:rsidR="00517790">
        <w:rPr>
          <w:rFonts w:eastAsia="Calibri"/>
        </w:rPr>
        <w:t xml:space="preserve">This aspect of the Stipulation </w:t>
      </w:r>
      <w:r>
        <w:rPr>
          <w:rFonts w:eastAsia="Calibri"/>
        </w:rPr>
        <w:t>is unlawful and unreasonable</w:t>
      </w:r>
      <w:r w:rsidR="00F96714">
        <w:rPr>
          <w:rFonts w:eastAsia="Calibri"/>
        </w:rPr>
        <w:t xml:space="preserve">.  </w:t>
      </w:r>
    </w:p>
    <w:p w:rsidR="00FD64B7" w:rsidRDefault="006A55AF" w:rsidP="006A55AF">
      <w:pPr>
        <w:pStyle w:val="ListParagraph"/>
        <w:spacing w:line="240" w:lineRule="auto"/>
        <w:ind w:left="1440" w:hanging="720"/>
        <w:rPr>
          <w:rFonts w:eastAsia="Calibri"/>
          <w:b/>
        </w:rPr>
      </w:pPr>
      <w:r>
        <w:rPr>
          <w:rFonts w:eastAsia="Calibri"/>
          <w:b/>
        </w:rPr>
        <w:t>L.</w:t>
      </w:r>
      <w:r>
        <w:rPr>
          <w:rFonts w:eastAsia="Calibri"/>
          <w:b/>
        </w:rPr>
        <w:tab/>
      </w:r>
      <w:r w:rsidR="00F96714">
        <w:rPr>
          <w:rFonts w:eastAsia="Calibri"/>
          <w:b/>
        </w:rPr>
        <w:t>Summary</w:t>
      </w:r>
    </w:p>
    <w:p w:rsidR="0042387E" w:rsidRDefault="0042387E" w:rsidP="00B273B3">
      <w:pPr>
        <w:pStyle w:val="ListParagraph"/>
        <w:spacing w:line="240" w:lineRule="auto"/>
        <w:rPr>
          <w:rFonts w:eastAsia="Calibri"/>
          <w:b/>
        </w:rPr>
      </w:pPr>
    </w:p>
    <w:p w:rsidR="00FD64B7" w:rsidRDefault="00F96714" w:rsidP="000801BE">
      <w:pPr>
        <w:spacing w:line="480" w:lineRule="auto"/>
        <w:jc w:val="both"/>
        <w:rPr>
          <w:rFonts w:eastAsia="Calibri"/>
        </w:rPr>
      </w:pPr>
      <w:r>
        <w:rPr>
          <w:rFonts w:eastAsia="Calibri"/>
        </w:rPr>
        <w:tab/>
        <w:t xml:space="preserve">For the Commission to approve the Stipulation as filed, it would have to ignore that the proposed ESP fails the </w:t>
      </w:r>
      <w:r w:rsidR="00757DA0">
        <w:rPr>
          <w:rFonts w:eastAsia="Calibri"/>
        </w:rPr>
        <w:t xml:space="preserve">ESP is less favorable </w:t>
      </w:r>
      <w:r>
        <w:rPr>
          <w:rFonts w:eastAsia="Calibri"/>
        </w:rPr>
        <w:t xml:space="preserve">than an MRO, that the proposed rate increases lack justification, that the proposed </w:t>
      </w:r>
      <w:r w:rsidR="00CA0139">
        <w:rPr>
          <w:rFonts w:eastAsia="Calibri"/>
        </w:rPr>
        <w:t xml:space="preserve">revenue distribution and </w:t>
      </w:r>
      <w:r>
        <w:rPr>
          <w:rFonts w:eastAsia="Calibri"/>
        </w:rPr>
        <w:t xml:space="preserve">rate structure </w:t>
      </w:r>
      <w:r w:rsidR="00CA0139">
        <w:rPr>
          <w:rFonts w:eastAsia="Calibri"/>
        </w:rPr>
        <w:t xml:space="preserve">are </w:t>
      </w:r>
      <w:r>
        <w:rPr>
          <w:rFonts w:eastAsia="Calibri"/>
        </w:rPr>
        <w:t xml:space="preserve">irrational, that various riders are illegal, poorly structured, or both, that the </w:t>
      </w:r>
      <w:r w:rsidR="00CA0139">
        <w:rPr>
          <w:rFonts w:eastAsia="Calibri"/>
        </w:rPr>
        <w:t xml:space="preserve">proposed </w:t>
      </w:r>
      <w:r>
        <w:rPr>
          <w:rFonts w:eastAsia="Calibri"/>
        </w:rPr>
        <w:t xml:space="preserve">capacity </w:t>
      </w:r>
      <w:r w:rsidR="00CA0139">
        <w:rPr>
          <w:rFonts w:eastAsia="Calibri"/>
        </w:rPr>
        <w:t xml:space="preserve">charges </w:t>
      </w:r>
      <w:r>
        <w:rPr>
          <w:rFonts w:eastAsia="Calibri"/>
        </w:rPr>
        <w:t xml:space="preserve">will violate </w:t>
      </w:r>
      <w:r w:rsidR="00990BC3">
        <w:rPr>
          <w:rFonts w:eastAsia="Calibri"/>
        </w:rPr>
        <w:t>s</w:t>
      </w:r>
      <w:r>
        <w:rPr>
          <w:rFonts w:eastAsia="Calibri"/>
        </w:rPr>
        <w:t xml:space="preserve">tate policy encouraging </w:t>
      </w:r>
      <w:r w:rsidR="00B273B3">
        <w:rPr>
          <w:rFonts w:eastAsia="Calibri"/>
        </w:rPr>
        <w:t xml:space="preserve">customer choice </w:t>
      </w:r>
      <w:r>
        <w:rPr>
          <w:rFonts w:eastAsia="Calibri"/>
        </w:rPr>
        <w:t xml:space="preserve">and result in unduly discriminatory rates, and that the approval of corporate separation would be premature and in violation of statute.  As a legal matter, the Commission does not have the authority to approve the Stipulation.  As a policy matter, approval of the Stipulation will have significant negative consequences for the customers of OP and CSP and violate the </w:t>
      </w:r>
      <w:r w:rsidR="00B273B3">
        <w:rPr>
          <w:rFonts w:eastAsia="Calibri"/>
        </w:rPr>
        <w:t>s</w:t>
      </w:r>
      <w:r>
        <w:rPr>
          <w:rFonts w:eastAsia="Calibri"/>
        </w:rPr>
        <w:t>tate’s pub</w:t>
      </w:r>
      <w:r w:rsidR="00CA0139">
        <w:rPr>
          <w:rFonts w:eastAsia="Calibri"/>
        </w:rPr>
        <w:t>lic policy goals in many ways.</w:t>
      </w:r>
    </w:p>
    <w:p w:rsidR="00FD64B7" w:rsidRPr="0042387E" w:rsidRDefault="006A55AF" w:rsidP="00CA0139">
      <w:pPr>
        <w:pStyle w:val="ListParagraph"/>
        <w:autoSpaceDE w:val="0"/>
        <w:autoSpaceDN w:val="0"/>
        <w:adjustRightInd w:val="0"/>
        <w:spacing w:after="360" w:line="240" w:lineRule="auto"/>
        <w:ind w:hanging="720"/>
        <w:rPr>
          <w:rFonts w:ascii="Arial Bold" w:eastAsia="Calibri" w:hAnsi="Arial Bold"/>
          <w:caps/>
        </w:rPr>
      </w:pPr>
      <w:r>
        <w:rPr>
          <w:rFonts w:ascii="Arial Bold" w:eastAsia="Calibri" w:hAnsi="Arial Bold"/>
          <w:b/>
          <w:caps/>
        </w:rPr>
        <w:t>VI.</w:t>
      </w:r>
      <w:r>
        <w:rPr>
          <w:rFonts w:ascii="Arial Bold" w:eastAsia="Calibri" w:hAnsi="Arial Bold"/>
          <w:b/>
          <w:caps/>
        </w:rPr>
        <w:tab/>
      </w:r>
      <w:r w:rsidR="00F96714" w:rsidRPr="0074164D">
        <w:rPr>
          <w:rFonts w:ascii="Arial Bold" w:eastAsia="Calibri" w:hAnsi="Arial Bold"/>
          <w:b/>
          <w:caps/>
        </w:rPr>
        <w:t>The Stipulation Is Not the Product of Serious Bargaining</w:t>
      </w:r>
    </w:p>
    <w:p w:rsidR="0042387E" w:rsidRPr="0074164D" w:rsidRDefault="0042387E" w:rsidP="0042387E">
      <w:pPr>
        <w:pStyle w:val="ListParagraph"/>
        <w:autoSpaceDE w:val="0"/>
        <w:autoSpaceDN w:val="0"/>
        <w:adjustRightInd w:val="0"/>
        <w:spacing w:line="240" w:lineRule="auto"/>
        <w:rPr>
          <w:rFonts w:ascii="Arial Bold" w:eastAsia="Calibri" w:hAnsi="Arial Bold"/>
          <w:caps/>
        </w:rPr>
      </w:pPr>
    </w:p>
    <w:p w:rsidR="00095FD5" w:rsidRPr="00095FD5" w:rsidRDefault="00F96714" w:rsidP="000801BE">
      <w:pPr>
        <w:autoSpaceDE w:val="0"/>
        <w:autoSpaceDN w:val="0"/>
        <w:adjustRightInd w:val="0"/>
        <w:spacing w:line="480" w:lineRule="auto"/>
        <w:ind w:firstLine="720"/>
        <w:jc w:val="both"/>
        <w:rPr>
          <w:rFonts w:eastAsia="Calibri"/>
          <w:szCs w:val="22"/>
        </w:rPr>
      </w:pPr>
      <w:r>
        <w:rPr>
          <w:rFonts w:eastAsia="Calibri"/>
          <w:szCs w:val="22"/>
        </w:rPr>
        <w:t>The Stipulation should not be approved because it was not the product of serious bargaining among capable</w:t>
      </w:r>
      <w:r w:rsidR="00B273B3">
        <w:rPr>
          <w:rFonts w:eastAsia="Calibri"/>
          <w:szCs w:val="22"/>
        </w:rPr>
        <w:t>,</w:t>
      </w:r>
      <w:r>
        <w:rPr>
          <w:rFonts w:eastAsia="Calibri"/>
          <w:szCs w:val="22"/>
        </w:rPr>
        <w:t xml:space="preserve"> knowledgeable parties.  </w:t>
      </w:r>
      <w:r w:rsidR="00095FD5" w:rsidRPr="00095FD5">
        <w:rPr>
          <w:rFonts w:eastAsia="Calibri"/>
          <w:szCs w:val="22"/>
        </w:rPr>
        <w:t>First, there is no demonstration as to how the Stipulation reflects a bargained compromise involving a balancing of interest</w:t>
      </w:r>
      <w:r w:rsidR="00B273B3">
        <w:rPr>
          <w:rFonts w:eastAsia="Calibri"/>
          <w:szCs w:val="22"/>
        </w:rPr>
        <w:t>s</w:t>
      </w:r>
      <w:r w:rsidR="00095FD5" w:rsidRPr="00095FD5">
        <w:rPr>
          <w:rFonts w:eastAsia="Calibri"/>
          <w:szCs w:val="22"/>
        </w:rPr>
        <w:t xml:space="preserve"> or how it provides a reasonable and lawful resolution of all issues arising in the proceeding.  Many of the Signatory Parties, for example, initially submitted testimony that the </w:t>
      </w:r>
      <w:r w:rsidR="00B273B3">
        <w:rPr>
          <w:rFonts w:eastAsia="Calibri"/>
          <w:szCs w:val="22"/>
        </w:rPr>
        <w:t xml:space="preserve">ESP </w:t>
      </w:r>
      <w:r w:rsidR="00095FD5" w:rsidRPr="00095FD5">
        <w:rPr>
          <w:rFonts w:eastAsia="Calibri"/>
          <w:szCs w:val="22"/>
        </w:rPr>
        <w:t>Application failed the ESP versus MRO test, but then signed on to a Stipulation which also failed the test.</w:t>
      </w:r>
      <w:r w:rsidR="00095FD5" w:rsidRPr="00095FD5">
        <w:rPr>
          <w:rFonts w:eastAsia="Calibri" w:cs="Times New Roman"/>
          <w:szCs w:val="22"/>
          <w:vertAlign w:val="superscript"/>
        </w:rPr>
        <w:footnoteReference w:id="213"/>
      </w:r>
      <w:r w:rsidR="00095FD5" w:rsidRPr="00095FD5">
        <w:rPr>
          <w:rFonts w:eastAsia="Calibri"/>
          <w:szCs w:val="22"/>
        </w:rPr>
        <w:t xml:space="preserve">  The parties do not explain how they were able to reconcile this difference.</w:t>
      </w:r>
      <w:r w:rsidR="00095FD5" w:rsidRPr="00095FD5">
        <w:rPr>
          <w:rFonts w:eastAsia="Calibri" w:cs="Times New Roman"/>
          <w:szCs w:val="22"/>
          <w:vertAlign w:val="superscript"/>
        </w:rPr>
        <w:footnoteReference w:id="214"/>
      </w:r>
      <w:r w:rsidR="00095FD5" w:rsidRPr="00095FD5">
        <w:rPr>
          <w:rFonts w:eastAsia="Calibri"/>
          <w:szCs w:val="22"/>
        </w:rPr>
        <w:t xml:space="preserve">  </w:t>
      </w:r>
      <w:r w:rsidR="00B41013">
        <w:rPr>
          <w:rFonts w:eastAsia="Calibri"/>
          <w:szCs w:val="22"/>
        </w:rPr>
        <w:t xml:space="preserve">Instead, </w:t>
      </w:r>
      <w:r w:rsidR="00095FD5" w:rsidRPr="009540CE">
        <w:rPr>
          <w:rFonts w:eastAsia="Calibri"/>
          <w:szCs w:val="22"/>
        </w:rPr>
        <w:t xml:space="preserve">RESA, Paulding Wind Farm, </w:t>
      </w:r>
      <w:r w:rsidR="005038FF">
        <w:rPr>
          <w:rFonts w:eastAsia="Calibri"/>
          <w:szCs w:val="22"/>
        </w:rPr>
        <w:t>Ohio Environmental Council (“</w:t>
      </w:r>
      <w:r w:rsidR="00095FD5" w:rsidRPr="009540CE">
        <w:rPr>
          <w:rFonts w:eastAsia="Calibri"/>
          <w:szCs w:val="22"/>
        </w:rPr>
        <w:t>OEC</w:t>
      </w:r>
      <w:r w:rsidR="005038FF">
        <w:rPr>
          <w:rFonts w:eastAsia="Calibri"/>
          <w:szCs w:val="22"/>
        </w:rPr>
        <w:t>”)</w:t>
      </w:r>
      <w:r w:rsidR="00095FD5" w:rsidRPr="009540CE">
        <w:rPr>
          <w:rFonts w:eastAsia="Calibri"/>
          <w:szCs w:val="22"/>
        </w:rPr>
        <w:t xml:space="preserve">, </w:t>
      </w:r>
      <w:r w:rsidR="005038FF">
        <w:rPr>
          <w:rFonts w:eastAsia="Calibri"/>
          <w:szCs w:val="22"/>
        </w:rPr>
        <w:t>Natural Resources Defense Council (“</w:t>
      </w:r>
      <w:r w:rsidR="00095FD5" w:rsidRPr="009540CE">
        <w:rPr>
          <w:rFonts w:eastAsia="Calibri"/>
          <w:szCs w:val="22"/>
        </w:rPr>
        <w:t>NRDC</w:t>
      </w:r>
      <w:r w:rsidR="005038FF">
        <w:rPr>
          <w:rFonts w:eastAsia="Calibri"/>
          <w:szCs w:val="22"/>
        </w:rPr>
        <w:t>”)</w:t>
      </w:r>
      <w:r w:rsidR="00095FD5" w:rsidRPr="009540CE">
        <w:rPr>
          <w:rFonts w:eastAsia="Calibri"/>
          <w:szCs w:val="22"/>
        </w:rPr>
        <w:t xml:space="preserve">, Exelon, EnerNOC, </w:t>
      </w:r>
      <w:r w:rsidR="005038FF" w:rsidRPr="00095FD5">
        <w:rPr>
          <w:rFonts w:eastAsia="Calibri"/>
        </w:rPr>
        <w:t>Environmental Law &amp; Policy Center (“ELPC”)</w:t>
      </w:r>
      <w:r w:rsidR="005038FF">
        <w:rPr>
          <w:rFonts w:eastAsia="Calibri"/>
        </w:rPr>
        <w:t>, Duke Energy Retail Sales (“</w:t>
      </w:r>
      <w:r w:rsidR="00095FD5" w:rsidRPr="009540CE">
        <w:rPr>
          <w:rFonts w:eastAsia="Calibri"/>
          <w:szCs w:val="22"/>
        </w:rPr>
        <w:t>DERS</w:t>
      </w:r>
      <w:r w:rsidR="005038FF">
        <w:rPr>
          <w:rFonts w:eastAsia="Calibri"/>
          <w:szCs w:val="22"/>
        </w:rPr>
        <w:t>”)</w:t>
      </w:r>
      <w:r w:rsidR="00095FD5" w:rsidRPr="009540CE">
        <w:rPr>
          <w:rFonts w:eastAsia="Calibri"/>
          <w:szCs w:val="22"/>
        </w:rPr>
        <w:t xml:space="preserve">, </w:t>
      </w:r>
      <w:r w:rsidR="005038FF">
        <w:rPr>
          <w:rFonts w:eastAsia="Calibri"/>
          <w:szCs w:val="22"/>
        </w:rPr>
        <w:t>Association of Independent Colleges and Universities (“</w:t>
      </w:r>
      <w:r w:rsidR="00095FD5" w:rsidRPr="009540CE">
        <w:rPr>
          <w:rFonts w:eastAsia="Calibri"/>
          <w:szCs w:val="22"/>
        </w:rPr>
        <w:t>AICUO</w:t>
      </w:r>
      <w:r w:rsidR="005038FF">
        <w:rPr>
          <w:rFonts w:eastAsia="Calibri"/>
          <w:szCs w:val="22"/>
        </w:rPr>
        <w:t>”)</w:t>
      </w:r>
      <w:r w:rsidR="00095FD5" w:rsidRPr="009540CE">
        <w:rPr>
          <w:rFonts w:eastAsia="Calibri"/>
          <w:szCs w:val="22"/>
        </w:rPr>
        <w:t xml:space="preserve">, and AEP Retail each admitted that they did not undertake an independent analysis of whether the </w:t>
      </w:r>
      <w:r w:rsidR="00095FD5" w:rsidRPr="00095FD5">
        <w:rPr>
          <w:rFonts w:eastAsia="Calibri"/>
          <w:szCs w:val="22"/>
        </w:rPr>
        <w:t xml:space="preserve">proposed </w:t>
      </w:r>
      <w:r w:rsidR="00095FD5" w:rsidRPr="009540CE">
        <w:rPr>
          <w:rFonts w:eastAsia="Calibri"/>
          <w:szCs w:val="22"/>
        </w:rPr>
        <w:t>ESP is more favorable than an MRO.</w:t>
      </w:r>
      <w:r w:rsidR="00095FD5" w:rsidRPr="009540CE">
        <w:rPr>
          <w:rFonts w:eastAsia="Calibri"/>
          <w:szCs w:val="22"/>
          <w:vertAlign w:val="superscript"/>
        </w:rPr>
        <w:footnoteReference w:id="215"/>
      </w:r>
      <w:r w:rsidR="00095FD5" w:rsidRPr="009540CE">
        <w:rPr>
          <w:rFonts w:eastAsia="Calibri"/>
          <w:szCs w:val="22"/>
        </w:rPr>
        <w:t xml:space="preserve">  During cross-examination, OEG witness Baron admitted that he did not independently verify that the ESP is quantitatively more favorable than an MRO.</w:t>
      </w:r>
      <w:r w:rsidR="00095FD5" w:rsidRPr="009540CE">
        <w:rPr>
          <w:rFonts w:eastAsia="Calibri"/>
          <w:szCs w:val="22"/>
          <w:vertAlign w:val="superscript"/>
        </w:rPr>
        <w:footnoteReference w:id="216"/>
      </w:r>
      <w:r w:rsidR="00095FD5" w:rsidRPr="009540CE">
        <w:rPr>
          <w:rFonts w:eastAsia="Calibri"/>
          <w:szCs w:val="22"/>
        </w:rPr>
        <w:t xml:space="preserve">  </w:t>
      </w:r>
      <w:r w:rsidR="005038FF" w:rsidRPr="00095FD5">
        <w:rPr>
          <w:rFonts w:eastAsia="Calibri"/>
        </w:rPr>
        <w:t>Ohio Manufacturers</w:t>
      </w:r>
      <w:r w:rsidR="005038FF">
        <w:rPr>
          <w:rFonts w:eastAsia="Calibri"/>
        </w:rPr>
        <w:t>’</w:t>
      </w:r>
      <w:r w:rsidR="005038FF" w:rsidRPr="00095FD5">
        <w:rPr>
          <w:rFonts w:eastAsia="Calibri"/>
        </w:rPr>
        <w:t xml:space="preserve"> Association Energy Group (“OMAEG”)</w:t>
      </w:r>
      <w:r w:rsidR="00095FD5" w:rsidRPr="009540CE">
        <w:rPr>
          <w:rFonts w:eastAsia="Calibri"/>
          <w:szCs w:val="22"/>
        </w:rPr>
        <w:t xml:space="preserve">, </w:t>
      </w:r>
      <w:r w:rsidR="005038FF">
        <w:rPr>
          <w:rFonts w:eastAsia="Calibri"/>
          <w:szCs w:val="22"/>
        </w:rPr>
        <w:t>the Ohio Hospital Association (“</w:t>
      </w:r>
      <w:r w:rsidR="00095FD5" w:rsidRPr="009540CE">
        <w:rPr>
          <w:rFonts w:eastAsia="Calibri"/>
          <w:szCs w:val="22"/>
        </w:rPr>
        <w:t>OHA</w:t>
      </w:r>
      <w:r w:rsidR="005038FF">
        <w:rPr>
          <w:rFonts w:eastAsia="Calibri"/>
          <w:szCs w:val="22"/>
        </w:rPr>
        <w:t>”)</w:t>
      </w:r>
      <w:r w:rsidR="00095FD5" w:rsidRPr="009540CE">
        <w:rPr>
          <w:rFonts w:eastAsia="Calibri"/>
          <w:szCs w:val="22"/>
        </w:rPr>
        <w:t xml:space="preserve">, Hilliard, and Grove City pointed to the testimony of Staff witness Fortney and Companies’ witnesses Thomas, Allen, and Hamrock to </w:t>
      </w:r>
      <w:r w:rsidR="00CA0139">
        <w:rPr>
          <w:rFonts w:eastAsia="Calibri"/>
          <w:szCs w:val="22"/>
        </w:rPr>
        <w:t xml:space="preserve">satisfy the Stipulation’s claim regarding </w:t>
      </w:r>
      <w:r w:rsidR="00095FD5" w:rsidRPr="009540CE">
        <w:rPr>
          <w:rFonts w:eastAsia="Calibri"/>
          <w:szCs w:val="22"/>
        </w:rPr>
        <w:t>the ESP versus MRO.</w:t>
      </w:r>
      <w:r w:rsidR="00095FD5" w:rsidRPr="009540CE">
        <w:rPr>
          <w:rFonts w:eastAsia="Calibri"/>
          <w:szCs w:val="22"/>
          <w:vertAlign w:val="superscript"/>
        </w:rPr>
        <w:footnoteReference w:id="217"/>
      </w:r>
      <w:r w:rsidR="00095FD5" w:rsidRPr="009540CE">
        <w:rPr>
          <w:rFonts w:eastAsia="Calibri"/>
          <w:szCs w:val="22"/>
        </w:rPr>
        <w:t xml:space="preserve">  Given that the testimony they relied upon was filed after the Stipulation was signed, those parties could not have had personal knowledge when they signed the Stipulation.  Even more troubling, the </w:t>
      </w:r>
      <w:r w:rsidR="00CA0139">
        <w:rPr>
          <w:rFonts w:eastAsia="Calibri"/>
          <w:szCs w:val="22"/>
        </w:rPr>
        <w:t xml:space="preserve">persons and </w:t>
      </w:r>
      <w:r w:rsidR="00095FD5" w:rsidRPr="009540CE">
        <w:rPr>
          <w:rFonts w:eastAsia="Calibri"/>
          <w:szCs w:val="22"/>
        </w:rPr>
        <w:t xml:space="preserve">testimony </w:t>
      </w:r>
      <w:r w:rsidR="00CA0139">
        <w:rPr>
          <w:rFonts w:eastAsia="Calibri"/>
          <w:szCs w:val="22"/>
        </w:rPr>
        <w:t xml:space="preserve">to which they deferred </w:t>
      </w:r>
      <w:r w:rsidR="00095FD5" w:rsidRPr="009540CE">
        <w:rPr>
          <w:rFonts w:eastAsia="Calibri"/>
          <w:szCs w:val="22"/>
        </w:rPr>
        <w:t xml:space="preserve">ultimately </w:t>
      </w:r>
      <w:r w:rsidR="00CA0139">
        <w:rPr>
          <w:rFonts w:eastAsia="Calibri"/>
          <w:szCs w:val="22"/>
        </w:rPr>
        <w:t xml:space="preserve">agreed </w:t>
      </w:r>
      <w:r w:rsidR="00095FD5" w:rsidRPr="009540CE">
        <w:rPr>
          <w:rFonts w:eastAsia="Calibri"/>
          <w:szCs w:val="22"/>
        </w:rPr>
        <w:t>that the ESP failed the statutory test.</w:t>
      </w:r>
    </w:p>
    <w:p w:rsidR="00095FD5" w:rsidRPr="00095FD5" w:rsidRDefault="008861F2" w:rsidP="000801BE">
      <w:pPr>
        <w:autoSpaceDE w:val="0"/>
        <w:autoSpaceDN w:val="0"/>
        <w:adjustRightInd w:val="0"/>
        <w:spacing w:line="480" w:lineRule="auto"/>
        <w:ind w:firstLine="720"/>
        <w:jc w:val="both"/>
        <w:rPr>
          <w:rFonts w:eastAsia="Calibri"/>
        </w:rPr>
      </w:pPr>
      <w:r>
        <w:rPr>
          <w:rFonts w:eastAsia="Calibri"/>
          <w:szCs w:val="22"/>
        </w:rPr>
        <w:t>Second, t</w:t>
      </w:r>
      <w:r w:rsidR="00095FD5" w:rsidRPr="00095FD5">
        <w:rPr>
          <w:rFonts w:eastAsia="Calibri"/>
          <w:szCs w:val="22"/>
        </w:rPr>
        <w:t>he parties also defined differently provisions of the Stipulation.</w:t>
      </w:r>
      <w:r w:rsidR="00095FD5" w:rsidRPr="00095FD5">
        <w:rPr>
          <w:rFonts w:eastAsia="Calibri" w:cs="Times New Roman"/>
          <w:szCs w:val="22"/>
          <w:vertAlign w:val="superscript"/>
        </w:rPr>
        <w:footnoteReference w:id="218"/>
      </w:r>
      <w:r w:rsidR="00095FD5" w:rsidRPr="00095FD5">
        <w:rPr>
          <w:rFonts w:eastAsia="Calibri"/>
          <w:szCs w:val="22"/>
        </w:rPr>
        <w:t xml:space="preserve">  An example illustrative of the lack of coherence among the Signatory Parties’ views is their understanding of a key provision of the Stipulation relating to the expected outcome of the “glide path” to an auction-based SSO: </w:t>
      </w:r>
      <w:r w:rsidR="00B273B3">
        <w:rPr>
          <w:rFonts w:eastAsia="Calibri"/>
          <w:szCs w:val="22"/>
        </w:rPr>
        <w:t xml:space="preserve"> </w:t>
      </w:r>
      <w:r w:rsidR="00095FD5" w:rsidRPr="00095FD5">
        <w:rPr>
          <w:rFonts w:eastAsia="Calibri"/>
          <w:szCs w:val="22"/>
        </w:rPr>
        <w:t xml:space="preserve">the Signatory Parties do not </w:t>
      </w:r>
      <w:r w:rsidR="00B41013">
        <w:rPr>
          <w:rFonts w:eastAsia="Calibri"/>
          <w:szCs w:val="22"/>
        </w:rPr>
        <w:t>have a common understanding</w:t>
      </w:r>
      <w:r w:rsidR="00095FD5" w:rsidRPr="00095FD5">
        <w:rPr>
          <w:rFonts w:eastAsia="Calibri"/>
          <w:szCs w:val="22"/>
        </w:rPr>
        <w:t xml:space="preserve"> on whether the Companies are committing to setting the default rates after the 2015-16 delivery year through a CBP.  Most of the Signatory Parties except for Exelon and the Companies</w:t>
      </w:r>
      <w:r w:rsidR="00095FD5" w:rsidRPr="00095FD5">
        <w:rPr>
          <w:rFonts w:eastAsia="Calibri"/>
          <w:szCs w:val="22"/>
          <w:vertAlign w:val="superscript"/>
        </w:rPr>
        <w:footnoteReference w:id="219"/>
      </w:r>
      <w:r w:rsidR="00095FD5" w:rsidRPr="00095FD5">
        <w:rPr>
          <w:rFonts w:eastAsia="Calibri"/>
          <w:szCs w:val="22"/>
        </w:rPr>
        <w:t xml:space="preserve"> stated that they do not know whether the Companies’ next ESP will contain a CBP.</w:t>
      </w:r>
      <w:r w:rsidR="00095FD5" w:rsidRPr="00095FD5">
        <w:rPr>
          <w:rFonts w:eastAsia="Calibri"/>
          <w:szCs w:val="22"/>
          <w:vertAlign w:val="superscript"/>
        </w:rPr>
        <w:footnoteReference w:id="220"/>
      </w:r>
      <w:r w:rsidR="00095FD5" w:rsidRPr="00095FD5">
        <w:rPr>
          <w:rFonts w:eastAsia="Calibri"/>
          <w:szCs w:val="22"/>
        </w:rPr>
        <w:t xml:space="preserve">  The Companies and Exelon both admitted in discovery that Section IV.8 of the Stipulation does not require a CBP in the next ESP.</w:t>
      </w:r>
      <w:r w:rsidR="00095FD5" w:rsidRPr="00095FD5">
        <w:rPr>
          <w:rFonts w:eastAsia="Calibri"/>
          <w:szCs w:val="22"/>
          <w:vertAlign w:val="superscript"/>
        </w:rPr>
        <w:footnoteReference w:id="221"/>
      </w:r>
      <w:r w:rsidR="00095FD5" w:rsidRPr="00095FD5">
        <w:rPr>
          <w:rFonts w:eastAsia="Calibri"/>
          <w:szCs w:val="22"/>
        </w:rPr>
        <w:t xml:space="preserve">  </w:t>
      </w:r>
      <w:r w:rsidR="00B41013">
        <w:rPr>
          <w:rFonts w:eastAsia="Calibri"/>
          <w:szCs w:val="22"/>
        </w:rPr>
        <w:t xml:space="preserve">Thus, it is unclear whether the parties have an understanding of what is being accomplished through the Stipulation, and more importantly what is being left undone.  </w:t>
      </w:r>
    </w:p>
    <w:p w:rsidR="00095FD5" w:rsidRPr="00095FD5" w:rsidRDefault="00095FD5" w:rsidP="00095FD5">
      <w:pPr>
        <w:spacing w:line="480" w:lineRule="auto"/>
        <w:ind w:firstLine="720"/>
        <w:jc w:val="both"/>
        <w:rPr>
          <w:rFonts w:eastAsia="Calibri"/>
        </w:rPr>
      </w:pPr>
      <w:r w:rsidRPr="00095FD5">
        <w:rPr>
          <w:rFonts w:eastAsia="Calibri"/>
          <w:szCs w:val="22"/>
        </w:rPr>
        <w:t xml:space="preserve">Similarly, there is </w:t>
      </w:r>
      <w:r w:rsidR="005038FF">
        <w:rPr>
          <w:rFonts w:eastAsia="Calibri"/>
          <w:szCs w:val="22"/>
        </w:rPr>
        <w:t xml:space="preserve">disagreement </w:t>
      </w:r>
      <w:r w:rsidRPr="00095FD5">
        <w:rPr>
          <w:rFonts w:eastAsia="Calibri"/>
          <w:szCs w:val="22"/>
        </w:rPr>
        <w:t xml:space="preserve">regarding the </w:t>
      </w:r>
      <w:r w:rsidR="00CA0139">
        <w:rPr>
          <w:rFonts w:eastAsia="Calibri"/>
          <w:szCs w:val="22"/>
        </w:rPr>
        <w:t>Stipulation’s provision</w:t>
      </w:r>
      <w:r w:rsidRPr="00095FD5">
        <w:rPr>
          <w:rFonts w:eastAsia="Calibri"/>
          <w:szCs w:val="22"/>
        </w:rPr>
        <w:t xml:space="preserve"> proposing the </w:t>
      </w:r>
      <w:r w:rsidR="00B273B3">
        <w:rPr>
          <w:rFonts w:eastAsia="Calibri"/>
        </w:rPr>
        <w:t xml:space="preserve">Pool Modification or Termination Rider </w:t>
      </w:r>
      <w:r w:rsidRPr="00095FD5">
        <w:rPr>
          <w:rFonts w:eastAsia="Calibri"/>
          <w:szCs w:val="22"/>
        </w:rPr>
        <w:t xml:space="preserve">that would authorize </w:t>
      </w:r>
      <w:r w:rsidR="00B273B3">
        <w:rPr>
          <w:rFonts w:eastAsia="Calibri"/>
          <w:szCs w:val="22"/>
        </w:rPr>
        <w:t xml:space="preserve">the Companies </w:t>
      </w:r>
      <w:r w:rsidRPr="00095FD5">
        <w:rPr>
          <w:rFonts w:eastAsia="Calibri"/>
          <w:szCs w:val="22"/>
        </w:rPr>
        <w:t xml:space="preserve">to file an application to recover costs resulting from </w:t>
      </w:r>
      <w:r w:rsidR="00B273B3">
        <w:rPr>
          <w:rFonts w:eastAsia="Calibri"/>
          <w:szCs w:val="22"/>
        </w:rPr>
        <w:t>P</w:t>
      </w:r>
      <w:r w:rsidRPr="00095FD5">
        <w:rPr>
          <w:rFonts w:eastAsia="Calibri"/>
          <w:szCs w:val="22"/>
        </w:rPr>
        <w:t>ool termination if those costs are in excess of $50 million.  According to RESA witness Ringenbach, the Companies may file an application to seek only the balance of costs that exceed $50 million.</w:t>
      </w:r>
      <w:r w:rsidRPr="00095FD5">
        <w:rPr>
          <w:rFonts w:eastAsia="Calibri"/>
          <w:szCs w:val="22"/>
          <w:vertAlign w:val="superscript"/>
        </w:rPr>
        <w:footnoteReference w:id="222"/>
      </w:r>
      <w:r w:rsidRPr="00095FD5">
        <w:rPr>
          <w:rFonts w:eastAsia="Calibri"/>
          <w:szCs w:val="22"/>
        </w:rPr>
        <w:t xml:space="preserve">  The Companies’ witness, however, claims that if the costs of </w:t>
      </w:r>
      <w:r w:rsidR="009875AC">
        <w:rPr>
          <w:rFonts w:eastAsia="Calibri"/>
          <w:szCs w:val="22"/>
        </w:rPr>
        <w:t>P</w:t>
      </w:r>
      <w:r w:rsidRPr="00095FD5">
        <w:rPr>
          <w:rFonts w:eastAsia="Calibri"/>
          <w:szCs w:val="22"/>
        </w:rPr>
        <w:t xml:space="preserve">ool termination exceed $50 million, the Companies may file an application to recover the entire cost of </w:t>
      </w:r>
      <w:r w:rsidR="009875AC">
        <w:rPr>
          <w:rFonts w:eastAsia="Calibri"/>
          <w:szCs w:val="22"/>
        </w:rPr>
        <w:t>P</w:t>
      </w:r>
      <w:r w:rsidRPr="00095FD5">
        <w:rPr>
          <w:rFonts w:eastAsia="Calibri"/>
          <w:szCs w:val="22"/>
        </w:rPr>
        <w:t>ool termination including the first $50 million.</w:t>
      </w:r>
      <w:r w:rsidRPr="00095FD5">
        <w:rPr>
          <w:rFonts w:eastAsia="Calibri"/>
          <w:szCs w:val="22"/>
          <w:vertAlign w:val="superscript"/>
        </w:rPr>
        <w:footnoteReference w:id="223"/>
      </w:r>
      <w:r w:rsidRPr="00095FD5">
        <w:rPr>
          <w:rFonts w:eastAsia="Calibri"/>
          <w:szCs w:val="22"/>
        </w:rPr>
        <w:t xml:space="preserve">  To make matters worse, some parties, such as Grove City’s witness Honsey, did not weigh in one way or the other because they did not know what the </w:t>
      </w:r>
      <w:r w:rsidR="009875AC">
        <w:rPr>
          <w:rFonts w:eastAsia="Calibri"/>
        </w:rPr>
        <w:t xml:space="preserve">Pool Modification or Termination Rider </w:t>
      </w:r>
      <w:r w:rsidRPr="00095FD5">
        <w:rPr>
          <w:rFonts w:eastAsia="Calibri"/>
          <w:szCs w:val="22"/>
        </w:rPr>
        <w:t>was.</w:t>
      </w:r>
      <w:r w:rsidRPr="00095FD5">
        <w:rPr>
          <w:rFonts w:eastAsia="Calibri"/>
          <w:szCs w:val="22"/>
          <w:vertAlign w:val="superscript"/>
        </w:rPr>
        <w:footnoteReference w:id="224"/>
      </w:r>
      <w:r w:rsidRPr="00095FD5">
        <w:rPr>
          <w:rFonts w:eastAsia="Calibri"/>
          <w:szCs w:val="22"/>
        </w:rPr>
        <w:t xml:space="preserve">  Another Signatory Party witness, Stephen Baron, even admitted that he believed the </w:t>
      </w:r>
      <w:r w:rsidR="009875AC">
        <w:rPr>
          <w:rFonts w:eastAsia="Calibri"/>
        </w:rPr>
        <w:t xml:space="preserve">Pool Modification or Termination Rider </w:t>
      </w:r>
      <w:r w:rsidRPr="00095FD5">
        <w:rPr>
          <w:rFonts w:eastAsia="Calibri"/>
          <w:szCs w:val="22"/>
        </w:rPr>
        <w:t>was illegal.</w:t>
      </w:r>
      <w:r w:rsidRPr="00095FD5">
        <w:rPr>
          <w:rFonts w:eastAsia="Calibri"/>
          <w:szCs w:val="22"/>
          <w:vertAlign w:val="superscript"/>
        </w:rPr>
        <w:footnoteReference w:id="225"/>
      </w:r>
      <w:r w:rsidRPr="00095FD5">
        <w:rPr>
          <w:rFonts w:eastAsia="Calibri"/>
          <w:szCs w:val="22"/>
        </w:rPr>
        <w:t xml:space="preserve"> </w:t>
      </w:r>
    </w:p>
    <w:p w:rsidR="00095FD5" w:rsidRPr="00095FD5" w:rsidRDefault="008861F2" w:rsidP="000801BE">
      <w:pPr>
        <w:autoSpaceDE w:val="0"/>
        <w:autoSpaceDN w:val="0"/>
        <w:adjustRightInd w:val="0"/>
        <w:spacing w:line="480" w:lineRule="auto"/>
        <w:ind w:firstLine="720"/>
        <w:jc w:val="both"/>
        <w:rPr>
          <w:rFonts w:eastAsia="Calibri"/>
        </w:rPr>
      </w:pPr>
      <w:r>
        <w:rPr>
          <w:rFonts w:eastAsia="Calibri"/>
        </w:rPr>
        <w:t>Third, t</w:t>
      </w:r>
      <w:r w:rsidR="00B41013">
        <w:rPr>
          <w:rFonts w:eastAsia="Calibri"/>
        </w:rPr>
        <w:t>he</w:t>
      </w:r>
      <w:r w:rsidR="00095FD5" w:rsidRPr="00095FD5">
        <w:rPr>
          <w:rFonts w:eastAsia="Calibri"/>
        </w:rPr>
        <w:t xml:space="preserve"> Signatory Parties also committed to certain key provisions of the Stipulation without any specific knowledge to understand the </w:t>
      </w:r>
      <w:r w:rsidR="00B41013">
        <w:rPr>
          <w:rFonts w:eastAsia="Calibri"/>
        </w:rPr>
        <w:t>value</w:t>
      </w:r>
      <w:r w:rsidR="00095FD5" w:rsidRPr="00095FD5">
        <w:rPr>
          <w:rFonts w:eastAsia="Calibri"/>
        </w:rPr>
        <w:t xml:space="preserve"> of their alleged “bargain.”  For example, NRDC, OEC, ELPC, AEP Retail, Paulding Wind Farm, AICUO, DERS, Hilliard, Grove City,</w:t>
      </w:r>
      <w:r w:rsidR="00095FD5" w:rsidRPr="00095FD5">
        <w:rPr>
          <w:rFonts w:eastAsia="Calibri"/>
          <w:vertAlign w:val="superscript"/>
        </w:rPr>
        <w:footnoteReference w:id="226"/>
      </w:r>
      <w:r w:rsidR="00095FD5" w:rsidRPr="00095FD5">
        <w:rPr>
          <w:rFonts w:eastAsia="Calibri"/>
        </w:rPr>
        <w:t xml:space="preserve"> Kroger, OMAEG, OHA, RESA, EnerNOC, Exelon, Constellation, and PJM Power Providers Group (“P3”) each admitted that when they signed the Stipulation, they did not know that the RPM-priced capacity set</w:t>
      </w:r>
      <w:r w:rsidR="009875AC">
        <w:rPr>
          <w:rFonts w:eastAsia="Calibri"/>
        </w:rPr>
        <w:t>-</w:t>
      </w:r>
      <w:r w:rsidR="00095FD5" w:rsidRPr="00095FD5">
        <w:rPr>
          <w:rFonts w:eastAsia="Calibri"/>
        </w:rPr>
        <w:t>aside had been fully awarded for any customer class.</w:t>
      </w:r>
      <w:r w:rsidR="00095FD5" w:rsidRPr="00095FD5">
        <w:rPr>
          <w:rFonts w:eastAsia="Calibri" w:cs="Times New Roman"/>
          <w:vertAlign w:val="superscript"/>
        </w:rPr>
        <w:footnoteReference w:id="227"/>
      </w:r>
      <w:r w:rsidR="00095FD5" w:rsidRPr="00095FD5">
        <w:rPr>
          <w:rFonts w:eastAsia="Calibri"/>
        </w:rPr>
        <w:t xml:space="preserve">  </w:t>
      </w:r>
    </w:p>
    <w:p w:rsidR="004300D4" w:rsidRDefault="00095FD5" w:rsidP="00215264">
      <w:pPr>
        <w:spacing w:line="480" w:lineRule="auto"/>
        <w:jc w:val="both"/>
        <w:rPr>
          <w:rFonts w:eastAsia="Calibri"/>
        </w:rPr>
      </w:pPr>
      <w:r w:rsidRPr="00095FD5">
        <w:rPr>
          <w:rFonts w:eastAsia="Calibri"/>
          <w:szCs w:val="22"/>
        </w:rPr>
        <w:tab/>
      </w:r>
      <w:r w:rsidR="008861F2">
        <w:rPr>
          <w:rFonts w:eastAsia="Calibri"/>
          <w:szCs w:val="22"/>
        </w:rPr>
        <w:t>Fourth</w:t>
      </w:r>
      <w:r w:rsidRPr="00095FD5">
        <w:rPr>
          <w:rFonts w:eastAsia="Calibri"/>
          <w:szCs w:val="22"/>
        </w:rPr>
        <w:t>, several knowledgeable parties were excluded from negotiations leading up to t</w:t>
      </w:r>
      <w:r w:rsidR="00B41013">
        <w:rPr>
          <w:rFonts w:eastAsia="Calibri"/>
          <w:szCs w:val="22"/>
        </w:rPr>
        <w:t>he execution of the Stipulation.</w:t>
      </w:r>
      <w:r w:rsidRPr="00095FD5">
        <w:rPr>
          <w:rFonts w:eastAsia="Calibri" w:cs="Times New Roman"/>
          <w:szCs w:val="22"/>
          <w:vertAlign w:val="superscript"/>
        </w:rPr>
        <w:footnoteReference w:id="228"/>
      </w:r>
      <w:r w:rsidR="00D074E7">
        <w:rPr>
          <w:rFonts w:eastAsia="Calibri"/>
          <w:szCs w:val="22"/>
        </w:rPr>
        <w:t xml:space="preserve">  Other parties were narrowly focused and did not consider the overall balance struck by the terms of the Stipulation</w:t>
      </w:r>
      <w:r w:rsidR="005038FF">
        <w:rPr>
          <w:rFonts w:eastAsia="Calibri"/>
          <w:szCs w:val="22"/>
        </w:rPr>
        <w:t xml:space="preserve"> as a package</w:t>
      </w:r>
      <w:r w:rsidR="00D074E7">
        <w:rPr>
          <w:rFonts w:eastAsia="Calibri"/>
          <w:szCs w:val="22"/>
        </w:rPr>
        <w:t>.</w:t>
      </w:r>
      <w:r w:rsidR="00D074E7">
        <w:rPr>
          <w:rStyle w:val="FootnoteReference"/>
          <w:rFonts w:eastAsia="Calibri"/>
          <w:szCs w:val="22"/>
        </w:rPr>
        <w:footnoteReference w:id="229"/>
      </w:r>
    </w:p>
    <w:p w:rsidR="00E53D2A" w:rsidRDefault="007C65F2" w:rsidP="00215264">
      <w:pPr>
        <w:spacing w:line="480" w:lineRule="auto"/>
        <w:jc w:val="both"/>
        <w:rPr>
          <w:rFonts w:eastAsia="Calibri"/>
          <w:szCs w:val="22"/>
        </w:rPr>
      </w:pPr>
      <w:r>
        <w:rPr>
          <w:rFonts w:eastAsia="Calibri"/>
          <w:szCs w:val="22"/>
        </w:rPr>
        <w:tab/>
      </w:r>
      <w:r w:rsidR="00095FD5" w:rsidRPr="00095FD5">
        <w:rPr>
          <w:rFonts w:eastAsia="Calibri"/>
          <w:szCs w:val="22"/>
        </w:rPr>
        <w:t>In short, the S</w:t>
      </w:r>
      <w:r w:rsidR="00D074E7">
        <w:rPr>
          <w:rFonts w:eastAsia="Calibri"/>
          <w:szCs w:val="22"/>
        </w:rPr>
        <w:t>ignatory Parties did not have a common</w:t>
      </w:r>
      <w:r w:rsidR="00095FD5" w:rsidRPr="00095FD5">
        <w:rPr>
          <w:rFonts w:eastAsia="Calibri"/>
          <w:szCs w:val="22"/>
        </w:rPr>
        <w:t xml:space="preserve"> understanding of the implications of the Stipulation or claimed reliance on testimony that did not exist and which would ultimately contradict the basis for their signing the Stipulation.  They lacked a common understanding of key provisions of the Stipulation.  Many supporting the Stipulation were narrowly focused and offer</w:t>
      </w:r>
      <w:r w:rsidR="008861F2">
        <w:rPr>
          <w:rFonts w:eastAsia="Calibri"/>
          <w:szCs w:val="22"/>
        </w:rPr>
        <w:t>ed</w:t>
      </w:r>
      <w:r w:rsidR="00095FD5" w:rsidRPr="00095FD5">
        <w:rPr>
          <w:rFonts w:eastAsia="Calibri"/>
          <w:szCs w:val="22"/>
        </w:rPr>
        <w:t xml:space="preserve"> no support for its outcomes.  Taken together, neither the Stipulation nor the supporting testimony demonstrates that the Stipulation is the product of knowledgeable and capable parties that set about to produce a reasonable compromise of contested issues b</w:t>
      </w:r>
      <w:r w:rsidR="00B35BF4">
        <w:rPr>
          <w:rFonts w:eastAsia="Calibri"/>
          <w:szCs w:val="22"/>
        </w:rPr>
        <w:t>ased on the facts and the law.</w:t>
      </w:r>
    </w:p>
    <w:p w:rsidR="00610456" w:rsidRDefault="00E53D2A" w:rsidP="00D622E1">
      <w:pPr>
        <w:spacing w:after="360" w:line="240" w:lineRule="auto"/>
        <w:jc w:val="both"/>
        <w:rPr>
          <w:rFonts w:ascii="Arial Bold" w:eastAsia="Calibri" w:hAnsi="Arial Bold"/>
          <w:b/>
          <w:caps/>
        </w:rPr>
      </w:pPr>
      <w:r w:rsidRPr="00E53D2A">
        <w:rPr>
          <w:rFonts w:eastAsia="Calibri"/>
          <w:b/>
          <w:szCs w:val="22"/>
        </w:rPr>
        <w:t>V</w:t>
      </w:r>
      <w:r w:rsidR="00A6203A" w:rsidRPr="00E53D2A">
        <w:rPr>
          <w:rFonts w:ascii="Arial Bold" w:eastAsia="Calibri" w:hAnsi="Arial Bold"/>
          <w:b/>
          <w:caps/>
        </w:rPr>
        <w:t>I</w:t>
      </w:r>
      <w:r w:rsidR="00A6203A">
        <w:rPr>
          <w:rFonts w:ascii="Arial Bold" w:eastAsia="Calibri" w:hAnsi="Arial Bold"/>
          <w:b/>
          <w:caps/>
        </w:rPr>
        <w:t>I.</w:t>
      </w:r>
      <w:r w:rsidR="00A6203A">
        <w:rPr>
          <w:rFonts w:ascii="Arial Bold" w:eastAsia="Calibri" w:hAnsi="Arial Bold"/>
          <w:b/>
          <w:caps/>
        </w:rPr>
        <w:tab/>
      </w:r>
      <w:r w:rsidR="00A1577E" w:rsidRPr="0074164D">
        <w:rPr>
          <w:rFonts w:ascii="Arial Bold" w:eastAsia="Calibri" w:hAnsi="Arial Bold"/>
          <w:b/>
          <w:caps/>
        </w:rPr>
        <w:t>Modification of the Stipulation</w:t>
      </w:r>
    </w:p>
    <w:p w:rsidR="00B35BF4" w:rsidRDefault="00215264" w:rsidP="00215264">
      <w:pPr>
        <w:spacing w:line="480" w:lineRule="auto"/>
        <w:jc w:val="both"/>
      </w:pPr>
      <w:r w:rsidRPr="00215264">
        <w:rPr>
          <w:rFonts w:eastAsia="Calibri"/>
          <w:color w:val="000000" w:themeColor="text1"/>
        </w:rPr>
        <w:tab/>
        <w:t>Because</w:t>
      </w:r>
      <w:r w:rsidR="00FE41B8">
        <w:t xml:space="preserve"> the Stipulation fails to satisfy any of the standards for approval, the Commission must reject the proposed ESP and other provisions of the Stipulation.</w:t>
      </w:r>
      <w:r w:rsidR="00F96714">
        <w:t xml:space="preserve">  The Stipulation effects unlawful rate increases while denying customer choice during a period when competitive suppliers are offering better and more predictable prices.  It illegally authorizes placeholder riders</w:t>
      </w:r>
      <w:r w:rsidR="009875AC">
        <w:t xml:space="preserve"> and discriminatory charges</w:t>
      </w:r>
      <w:r w:rsidR="00F96714">
        <w:t>.  It is filled with empty commitments based on an assumption that the Companies are entitled to additional time to transition to an open marketplace.</w:t>
      </w:r>
    </w:p>
    <w:p w:rsidR="00B35BF4" w:rsidRDefault="00B35BF4" w:rsidP="00215264">
      <w:pPr>
        <w:spacing w:line="480" w:lineRule="auto"/>
        <w:jc w:val="both"/>
      </w:pPr>
      <w:r>
        <w:tab/>
      </w:r>
      <w:r w:rsidR="00F96714">
        <w:t xml:space="preserve">Rejecting </w:t>
      </w:r>
      <w:r w:rsidR="00FE41B8">
        <w:t>t</w:t>
      </w:r>
      <w:r w:rsidR="00F96714">
        <w:t xml:space="preserve">he Stipulation for the </w:t>
      </w:r>
      <w:r w:rsidR="00FE41B8">
        <w:t>reasons</w:t>
      </w:r>
      <w:r w:rsidR="00F96714">
        <w:t xml:space="preserve"> set forth herein will also put the Commission on firmer legal ground than is possible otherwise.  </w:t>
      </w:r>
    </w:p>
    <w:p w:rsidR="00610456" w:rsidRDefault="00B35BF4" w:rsidP="00215264">
      <w:pPr>
        <w:spacing w:line="480" w:lineRule="auto"/>
        <w:jc w:val="both"/>
      </w:pPr>
      <w:r>
        <w:tab/>
      </w:r>
      <w:r w:rsidR="00F96714">
        <w:t>If the Commission chooses to modify the Stipulation, however, it must make some significant adjustments to bring the Stipulation into compliance with the law governing the approval of an ESP and the policies and practices of the Commission.</w:t>
      </w:r>
    </w:p>
    <w:p w:rsidR="00610456" w:rsidRDefault="00F96714" w:rsidP="000801BE">
      <w:pPr>
        <w:spacing w:line="480" w:lineRule="auto"/>
        <w:jc w:val="both"/>
      </w:pPr>
      <w:r>
        <w:tab/>
        <w:t>Initially, the Commission must perform a reconciliation of the revenue foundation of the proposed ESP with the Supreme Court’s decision and the Commission’</w:t>
      </w:r>
      <w:r w:rsidR="006E7813">
        <w:t>s</w:t>
      </w:r>
      <w:r>
        <w:t xml:space="preserve"> recent order regarding the Companies’ current ESP.  This reconciliation must be done for each company separately.</w:t>
      </w:r>
      <w:r>
        <w:rPr>
          <w:rStyle w:val="FootnoteReference"/>
        </w:rPr>
        <w:footnoteReference w:id="230"/>
      </w:r>
      <w:r>
        <w:t xml:space="preserve">  The arbitrary rate increases should be eliminated.</w:t>
      </w:r>
      <w:r>
        <w:rPr>
          <w:rStyle w:val="FootnoteReference"/>
        </w:rPr>
        <w:footnoteReference w:id="231"/>
      </w:r>
      <w:r>
        <w:t xml:space="preserve">  Current rate schedules should be maintained; any </w:t>
      </w:r>
      <w:r w:rsidR="006E7813">
        <w:t xml:space="preserve">changes </w:t>
      </w:r>
      <w:r>
        <w:t>should be accomplished by applying a uniform percentage to current rates and charges to maintain the current rate relationship.</w:t>
      </w:r>
      <w:r>
        <w:rPr>
          <w:rStyle w:val="FootnoteReference"/>
        </w:rPr>
        <w:footnoteReference w:id="232"/>
      </w:r>
      <w:r>
        <w:t xml:space="preserve">  </w:t>
      </w:r>
      <w:r w:rsidR="006E7813">
        <w:t>T</w:t>
      </w:r>
      <w:r>
        <w:t xml:space="preserve">here would be no need for the LFP or MTR.  </w:t>
      </w:r>
      <w:r w:rsidR="006E7813">
        <w:t>T</w:t>
      </w:r>
      <w:r>
        <w:t xml:space="preserve">he DIR should be rejected, and the level and structure of </w:t>
      </w:r>
      <w:r w:rsidR="00FE41B8">
        <w:t xml:space="preserve">distribution </w:t>
      </w:r>
      <w:r>
        <w:t>rates should be addressed in the pending rate cases.</w:t>
      </w:r>
      <w:r>
        <w:rPr>
          <w:rStyle w:val="FootnoteReference"/>
        </w:rPr>
        <w:footnoteReference w:id="233"/>
      </w:r>
      <w:r>
        <w:t xml:space="preserve">  The </w:t>
      </w:r>
      <w:r w:rsidR="00083788">
        <w:t>remaining</w:t>
      </w:r>
      <w:r w:rsidR="006E7813">
        <w:t xml:space="preserve"> </w:t>
      </w:r>
      <w:r>
        <w:t>placeholder riders should be eliminated or made bypassable if not eliminated.</w:t>
      </w:r>
      <w:r>
        <w:rPr>
          <w:rStyle w:val="FootnoteReference"/>
        </w:rPr>
        <w:footnoteReference w:id="234"/>
      </w:r>
    </w:p>
    <w:p w:rsidR="00610456" w:rsidRDefault="00F96714" w:rsidP="000801BE">
      <w:pPr>
        <w:spacing w:line="480" w:lineRule="auto"/>
        <w:jc w:val="both"/>
      </w:pPr>
      <w:r>
        <w:tab/>
        <w:t xml:space="preserve">Further, the Commission should protect and promote customer choice.  To that end, the Commission should reject the provisions of the Stipulation that create the limitations on shopping and the arbitrary $255 per megawatt-day capacity charge.  </w:t>
      </w:r>
      <w:r w:rsidR="006E7813">
        <w:t>T</w:t>
      </w:r>
      <w:r>
        <w:t>he linkage between shopping and the passage of securitization should be eliminated.</w:t>
      </w:r>
      <w:r>
        <w:rPr>
          <w:rStyle w:val="FootnoteReference"/>
        </w:rPr>
        <w:footnoteReference w:id="235"/>
      </w:r>
    </w:p>
    <w:p w:rsidR="00610456" w:rsidRDefault="00F96714" w:rsidP="000801BE">
      <w:pPr>
        <w:spacing w:line="480" w:lineRule="auto"/>
        <w:jc w:val="both"/>
      </w:pPr>
      <w:r>
        <w:tab/>
        <w:t xml:space="preserve">Additionally, the Commission should address several other matters in an orderly way not contemplated by the Stipulation.  For example, the Commission should delay any recovery of </w:t>
      </w:r>
      <w:r w:rsidR="00FE41B8">
        <w:t xml:space="preserve">the </w:t>
      </w:r>
      <w:r>
        <w:t xml:space="preserve">phase-in deferral for OP until the remand and pending FAC audit cases are completed, and all deferral balances should be adjusted to reflect the effect of ADIT.  </w:t>
      </w:r>
      <w:r w:rsidR="00B35BF4">
        <w:t xml:space="preserve">Any carrying charge </w:t>
      </w:r>
      <w:r>
        <w:t xml:space="preserve">on the amortization should be reduced to a reasonable debt interest rate.  The linkage between the securitization and amortization should be </w:t>
      </w:r>
      <w:r w:rsidR="006E7813">
        <w:t>broken</w:t>
      </w:r>
      <w:r>
        <w:t>, and the Commission should not lock itself into a particular approach to establishing the next SSO.</w:t>
      </w:r>
      <w:r>
        <w:rPr>
          <w:rStyle w:val="FootnoteReference"/>
        </w:rPr>
        <w:footnoteReference w:id="236"/>
      </w:r>
    </w:p>
    <w:p w:rsidR="00610456" w:rsidRPr="0042387E" w:rsidRDefault="00F96714" w:rsidP="000801BE">
      <w:pPr>
        <w:spacing w:line="480" w:lineRule="auto"/>
        <w:jc w:val="both"/>
      </w:pPr>
      <w:r>
        <w:tab/>
        <w:t>If the Commission does modify the Stipulation, all of the modifications discussed above are necessary.  Without each one, the resulting ESP and related matters will result in unlawful injury to consumers</w:t>
      </w:r>
      <w:r w:rsidR="00B35BF4">
        <w:t xml:space="preserve"> and unreasonable rates</w:t>
      </w:r>
      <w:r>
        <w:t>.</w:t>
      </w:r>
    </w:p>
    <w:p w:rsidR="00FD64B7" w:rsidRPr="0074164D" w:rsidRDefault="00A6203A" w:rsidP="00A6203A">
      <w:pPr>
        <w:pStyle w:val="ListParagraph"/>
        <w:spacing w:after="200"/>
        <w:ind w:left="0"/>
        <w:rPr>
          <w:rFonts w:ascii="Arial Bold" w:eastAsia="Calibri" w:hAnsi="Arial Bold"/>
          <w:b/>
          <w:caps/>
        </w:rPr>
      </w:pPr>
      <w:r>
        <w:rPr>
          <w:rFonts w:ascii="Arial Bold" w:eastAsia="Calibri" w:hAnsi="Arial Bold"/>
          <w:b/>
          <w:caps/>
        </w:rPr>
        <w:t>Viii.</w:t>
      </w:r>
      <w:r>
        <w:rPr>
          <w:rFonts w:ascii="Arial Bold" w:eastAsia="Calibri" w:hAnsi="Arial Bold"/>
          <w:b/>
          <w:caps/>
        </w:rPr>
        <w:tab/>
      </w:r>
      <w:r w:rsidR="00F96714" w:rsidRPr="0074164D">
        <w:rPr>
          <w:rFonts w:ascii="Arial Bold" w:eastAsia="Calibri" w:hAnsi="Arial Bold"/>
          <w:b/>
          <w:caps/>
        </w:rPr>
        <w:t>Conclusion</w:t>
      </w:r>
    </w:p>
    <w:p w:rsidR="00FE41B8" w:rsidRDefault="00F96714" w:rsidP="000801BE">
      <w:pPr>
        <w:spacing w:line="480" w:lineRule="auto"/>
        <w:ind w:firstLine="720"/>
        <w:jc w:val="both"/>
        <w:rPr>
          <w:rFonts w:eastAsia="Calibri"/>
          <w:szCs w:val="22"/>
        </w:rPr>
      </w:pPr>
      <w:r>
        <w:rPr>
          <w:rFonts w:eastAsia="Calibri"/>
          <w:szCs w:val="22"/>
        </w:rPr>
        <w:t xml:space="preserve">In order to approve the Stipulation, the Commission must find that it is the product of serious bargaining among capable, knowledgeable parties, that the settlement as a package benefits ratepayers and the public interest, and that the settlement does not violate any important regulatory principles or practices.  On the record presented to the Commission in these cases, the Commission cannot make the necessary findings to approve the Stipulation as filed.  </w:t>
      </w:r>
    </w:p>
    <w:p w:rsidR="00FD64B7" w:rsidRDefault="00F96714" w:rsidP="004F0BF8">
      <w:pPr>
        <w:spacing w:after="0" w:line="480" w:lineRule="auto"/>
        <w:ind w:firstLine="720"/>
        <w:jc w:val="both"/>
        <w:rPr>
          <w:rFonts w:eastAsia="Calibri"/>
          <w:szCs w:val="22"/>
        </w:rPr>
      </w:pPr>
      <w:r>
        <w:rPr>
          <w:rFonts w:eastAsia="Calibri"/>
          <w:szCs w:val="22"/>
        </w:rPr>
        <w:t xml:space="preserve">The Companies have made clear that their goal is to raise rates and cut off choice.  The Stipulation </w:t>
      </w:r>
      <w:r w:rsidR="00FE41B8">
        <w:rPr>
          <w:rFonts w:eastAsia="Calibri"/>
          <w:szCs w:val="22"/>
        </w:rPr>
        <w:t xml:space="preserve">proposes to </w:t>
      </w:r>
      <w:r>
        <w:rPr>
          <w:rFonts w:eastAsia="Calibri"/>
          <w:szCs w:val="22"/>
        </w:rPr>
        <w:t>accomplish both</w:t>
      </w:r>
      <w:r w:rsidR="00FE41B8">
        <w:rPr>
          <w:rFonts w:eastAsia="Calibri"/>
          <w:szCs w:val="22"/>
        </w:rPr>
        <w:t xml:space="preserve"> results</w:t>
      </w:r>
      <w:r>
        <w:rPr>
          <w:rFonts w:eastAsia="Calibri"/>
          <w:szCs w:val="22"/>
        </w:rPr>
        <w:t xml:space="preserve">.  </w:t>
      </w:r>
      <w:r w:rsidR="006E7813">
        <w:rPr>
          <w:rFonts w:eastAsia="Calibri"/>
          <w:szCs w:val="22"/>
        </w:rPr>
        <w:t>If the Stipulation</w:t>
      </w:r>
      <w:r w:rsidR="00083788">
        <w:rPr>
          <w:rFonts w:eastAsia="Calibri"/>
          <w:szCs w:val="22"/>
        </w:rPr>
        <w:t>’s</w:t>
      </w:r>
      <w:r w:rsidR="006E7813">
        <w:rPr>
          <w:rFonts w:eastAsia="Calibri"/>
          <w:szCs w:val="22"/>
        </w:rPr>
        <w:t xml:space="preserve"> terms are authorized</w:t>
      </w:r>
      <w:r>
        <w:rPr>
          <w:rFonts w:eastAsia="Calibri"/>
          <w:szCs w:val="22"/>
        </w:rPr>
        <w:t xml:space="preserve">, customers of CSP and OP will be trapped in out-of-market ESP rates when </w:t>
      </w:r>
      <w:r w:rsidR="003760A6">
        <w:rPr>
          <w:rFonts w:eastAsia="Calibri"/>
          <w:szCs w:val="22"/>
        </w:rPr>
        <w:t>lower prices are available from CRES suppliers including the CRES supplier affiliated with the Companies</w:t>
      </w:r>
      <w:r>
        <w:rPr>
          <w:rFonts w:eastAsia="Calibri"/>
          <w:szCs w:val="22"/>
        </w:rPr>
        <w:t xml:space="preserve">.  When market prices are expected to be high, the default service rate will be based on a CBP.  Thus, customers </w:t>
      </w:r>
      <w:r w:rsidR="006E7813">
        <w:rPr>
          <w:rFonts w:eastAsia="Calibri"/>
          <w:szCs w:val="22"/>
        </w:rPr>
        <w:t xml:space="preserve">would be </w:t>
      </w:r>
      <w:r>
        <w:rPr>
          <w:rFonts w:eastAsia="Calibri"/>
          <w:szCs w:val="22"/>
        </w:rPr>
        <w:t>saddled with higher rates with no place to turn</w:t>
      </w:r>
      <w:r w:rsidR="00FE41B8">
        <w:rPr>
          <w:rFonts w:eastAsia="Calibri"/>
          <w:szCs w:val="22"/>
        </w:rPr>
        <w:t xml:space="preserve"> throughout the term of the proposed ESP</w:t>
      </w:r>
      <w:r>
        <w:rPr>
          <w:rFonts w:eastAsia="Calibri"/>
          <w:szCs w:val="22"/>
        </w:rPr>
        <w:t xml:space="preserve">.  That result is not supported by the law or policies of this </w:t>
      </w:r>
      <w:r w:rsidR="000801BE">
        <w:rPr>
          <w:rFonts w:eastAsia="Calibri"/>
          <w:szCs w:val="22"/>
        </w:rPr>
        <w:t>s</w:t>
      </w:r>
      <w:r>
        <w:rPr>
          <w:rFonts w:eastAsia="Calibri"/>
          <w:szCs w:val="22"/>
        </w:rPr>
        <w:t xml:space="preserve">tate and should not and cannot be approved by the Commission.  </w:t>
      </w:r>
      <w:r w:rsidR="00FE41B8">
        <w:rPr>
          <w:rFonts w:eastAsia="Calibri"/>
          <w:szCs w:val="22"/>
        </w:rPr>
        <w:t>Even i</w:t>
      </w:r>
      <w:r>
        <w:rPr>
          <w:rFonts w:eastAsia="Calibri"/>
          <w:szCs w:val="22"/>
        </w:rPr>
        <w:t>f the Commission does not reject the Stipulation, it must substantially revise its terms.  Anything short of outright rejection or substantial modification will leave customers represented by IEU-Ohio and the various other customer groups</w:t>
      </w:r>
      <w:r w:rsidR="006E7813">
        <w:rPr>
          <w:rFonts w:eastAsia="Calibri"/>
          <w:szCs w:val="22"/>
        </w:rPr>
        <w:t>,</w:t>
      </w:r>
      <w:r>
        <w:rPr>
          <w:rFonts w:eastAsia="Calibri"/>
          <w:szCs w:val="22"/>
        </w:rPr>
        <w:t xml:space="preserve"> already rocked by the effects of a severe and prolonged recession</w:t>
      </w:r>
      <w:r w:rsidR="006E7813">
        <w:rPr>
          <w:rFonts w:eastAsia="Calibri"/>
          <w:szCs w:val="22"/>
        </w:rPr>
        <w:t>,</w:t>
      </w:r>
      <w:r>
        <w:rPr>
          <w:rFonts w:eastAsia="Calibri"/>
          <w:szCs w:val="22"/>
        </w:rPr>
        <w:t xml:space="preserve"> </w:t>
      </w:r>
      <w:r w:rsidR="003760A6">
        <w:rPr>
          <w:rFonts w:eastAsia="Calibri"/>
          <w:szCs w:val="22"/>
        </w:rPr>
        <w:t>captive to the Companies’ above-market prices</w:t>
      </w:r>
      <w:r>
        <w:rPr>
          <w:rFonts w:eastAsia="Calibri"/>
          <w:szCs w:val="22"/>
        </w:rPr>
        <w:t xml:space="preserve">.  </w:t>
      </w:r>
    </w:p>
    <w:p w:rsidR="00FD64B7" w:rsidRDefault="00F96714">
      <w:pPr>
        <w:spacing w:after="0" w:line="240" w:lineRule="auto"/>
        <w:ind w:left="4320"/>
        <w:jc w:val="both"/>
        <w:rPr>
          <w:rFonts w:cstheme="minorBidi"/>
          <w:szCs w:val="22"/>
        </w:rPr>
      </w:pPr>
      <w:r>
        <w:rPr>
          <w:rFonts w:cstheme="minorBidi"/>
          <w:szCs w:val="22"/>
        </w:rPr>
        <w:t>Respectfully submitted,</w:t>
      </w:r>
    </w:p>
    <w:p w:rsidR="00FD64B7" w:rsidRDefault="00FD64B7">
      <w:pPr>
        <w:spacing w:after="0" w:line="240" w:lineRule="auto"/>
        <w:ind w:left="4320"/>
        <w:jc w:val="both"/>
        <w:rPr>
          <w:rFonts w:cstheme="minorBidi"/>
          <w:szCs w:val="22"/>
        </w:rPr>
      </w:pPr>
    </w:p>
    <w:p w:rsidR="00A82A81" w:rsidRDefault="00A82A81">
      <w:pPr>
        <w:spacing w:after="0" w:line="240" w:lineRule="auto"/>
        <w:ind w:left="4320"/>
        <w:jc w:val="both"/>
        <w:rPr>
          <w:rFonts w:cstheme="minorBidi"/>
          <w:szCs w:val="22"/>
        </w:rPr>
      </w:pPr>
    </w:p>
    <w:p w:rsidR="00A82A81" w:rsidRDefault="00A82A81">
      <w:pPr>
        <w:spacing w:after="0" w:line="240" w:lineRule="auto"/>
        <w:ind w:left="4320"/>
        <w:jc w:val="both"/>
        <w:rPr>
          <w:rFonts w:cstheme="minorBidi"/>
          <w:szCs w:val="22"/>
        </w:rPr>
      </w:pPr>
    </w:p>
    <w:p w:rsidR="00E55B4C" w:rsidRDefault="00E55B4C" w:rsidP="00E55B4C">
      <w:pPr>
        <w:tabs>
          <w:tab w:val="left" w:pos="-1440"/>
          <w:tab w:val="left" w:pos="-720"/>
          <w:tab w:val="left" w:pos="5040"/>
          <w:tab w:val="center" w:pos="7200"/>
          <w:tab w:val="right" w:pos="9360"/>
        </w:tabs>
        <w:spacing w:after="0" w:line="240" w:lineRule="auto"/>
        <w:ind w:firstLine="4320"/>
        <w:jc w:val="both"/>
        <w:rPr>
          <w:rFonts w:eastAsia="Times New Roman"/>
        </w:rPr>
      </w:pPr>
      <w:r>
        <w:rPr>
          <w:rFonts w:eastAsia="Times New Roman"/>
          <w:u w:val="single"/>
        </w:rPr>
        <w:t>/s/ Frank P. Darr</w:t>
      </w:r>
      <w:r>
        <w:rPr>
          <w:rFonts w:eastAsia="Times New Roman"/>
          <w:u w:val="single"/>
        </w:rPr>
        <w:tab/>
      </w:r>
      <w:r>
        <w:rPr>
          <w:rFonts w:eastAsia="Times New Roman"/>
          <w:u w:val="single"/>
        </w:rPr>
        <w:tab/>
      </w:r>
    </w:p>
    <w:p w:rsidR="00FD64B7" w:rsidRDefault="00F96714" w:rsidP="00E55B4C">
      <w:pPr>
        <w:tabs>
          <w:tab w:val="left" w:pos="4320"/>
          <w:tab w:val="right" w:pos="8640"/>
        </w:tabs>
        <w:spacing w:after="0" w:line="240" w:lineRule="auto"/>
        <w:ind w:left="4320"/>
        <w:jc w:val="both"/>
        <w:rPr>
          <w:rFonts w:eastAsia="Calibri" w:cstheme="minorBidi"/>
          <w:szCs w:val="22"/>
        </w:rPr>
      </w:pPr>
      <w:r>
        <w:rPr>
          <w:rFonts w:eastAsia="Calibri" w:cstheme="minorBidi"/>
          <w:szCs w:val="22"/>
        </w:rPr>
        <w:t>Samuel C. Randazzo (Counsel of Record)</w:t>
      </w:r>
    </w:p>
    <w:p w:rsidR="00FD64B7" w:rsidRDefault="00F96714" w:rsidP="00E55B4C">
      <w:pPr>
        <w:widowControl w:val="0"/>
        <w:tabs>
          <w:tab w:val="left" w:pos="4320"/>
        </w:tabs>
        <w:spacing w:after="0" w:line="240" w:lineRule="auto"/>
        <w:ind w:left="4320"/>
        <w:jc w:val="both"/>
        <w:rPr>
          <w:bCs/>
          <w:szCs w:val="22"/>
          <w:lang w:val="fr-FR"/>
        </w:rPr>
      </w:pPr>
      <w:r>
        <w:rPr>
          <w:bCs/>
          <w:szCs w:val="22"/>
          <w:lang w:val="fr-FR"/>
        </w:rPr>
        <w:t>Frank P. Darr</w:t>
      </w:r>
    </w:p>
    <w:p w:rsidR="00FD64B7" w:rsidRDefault="00F96714" w:rsidP="00E55B4C">
      <w:pPr>
        <w:widowControl w:val="0"/>
        <w:tabs>
          <w:tab w:val="left" w:pos="4320"/>
        </w:tabs>
        <w:spacing w:after="0" w:line="240" w:lineRule="auto"/>
        <w:ind w:left="4320"/>
        <w:jc w:val="both"/>
        <w:rPr>
          <w:bCs/>
          <w:szCs w:val="22"/>
          <w:lang w:val="fr-FR"/>
        </w:rPr>
      </w:pPr>
      <w:r>
        <w:rPr>
          <w:bCs/>
          <w:szCs w:val="22"/>
          <w:lang w:val="fr-FR"/>
        </w:rPr>
        <w:t>Joseph E. Oliker</w:t>
      </w:r>
    </w:p>
    <w:p w:rsidR="00FD64B7" w:rsidRDefault="00F96714" w:rsidP="00E55B4C">
      <w:pPr>
        <w:widowControl w:val="0"/>
        <w:tabs>
          <w:tab w:val="left" w:pos="4320"/>
        </w:tabs>
        <w:spacing w:after="0" w:line="240" w:lineRule="auto"/>
        <w:ind w:left="4320"/>
        <w:jc w:val="both"/>
        <w:rPr>
          <w:bCs/>
          <w:smallCaps/>
          <w:szCs w:val="22"/>
        </w:rPr>
      </w:pPr>
      <w:r>
        <w:rPr>
          <w:bCs/>
          <w:smallCaps/>
          <w:szCs w:val="22"/>
        </w:rPr>
        <w:t>McNees Wallace &amp; Nurick LLC</w:t>
      </w:r>
    </w:p>
    <w:p w:rsidR="00FD64B7" w:rsidRDefault="00F96714" w:rsidP="00E55B4C">
      <w:pPr>
        <w:widowControl w:val="0"/>
        <w:tabs>
          <w:tab w:val="left" w:pos="4320"/>
        </w:tabs>
        <w:spacing w:after="0" w:line="240" w:lineRule="auto"/>
        <w:ind w:left="4320"/>
        <w:jc w:val="both"/>
        <w:rPr>
          <w:bCs/>
          <w:szCs w:val="22"/>
        </w:rPr>
      </w:pPr>
      <w:r>
        <w:rPr>
          <w:bCs/>
          <w:szCs w:val="22"/>
        </w:rPr>
        <w:t>21 East State Street, 17</w:t>
      </w:r>
      <w:r>
        <w:rPr>
          <w:bCs/>
          <w:szCs w:val="22"/>
          <w:vertAlign w:val="superscript"/>
        </w:rPr>
        <w:t>TH</w:t>
      </w:r>
      <w:r>
        <w:rPr>
          <w:bCs/>
          <w:szCs w:val="22"/>
        </w:rPr>
        <w:t xml:space="preserve"> Floor</w:t>
      </w:r>
    </w:p>
    <w:p w:rsidR="00FD64B7" w:rsidRDefault="00F96714" w:rsidP="00E55B4C">
      <w:pPr>
        <w:tabs>
          <w:tab w:val="left" w:pos="4320"/>
        </w:tabs>
        <w:spacing w:after="0" w:line="240" w:lineRule="auto"/>
        <w:ind w:left="4320"/>
        <w:jc w:val="both"/>
        <w:rPr>
          <w:rFonts w:eastAsia="Calibri"/>
          <w:szCs w:val="22"/>
        </w:rPr>
      </w:pPr>
      <w:r>
        <w:rPr>
          <w:rFonts w:eastAsia="Calibri"/>
          <w:szCs w:val="22"/>
        </w:rPr>
        <w:t>Columbus, OH  43215</w:t>
      </w:r>
    </w:p>
    <w:p w:rsidR="004F0BF8" w:rsidRDefault="00F96714" w:rsidP="00E55B4C">
      <w:pPr>
        <w:spacing w:after="0" w:line="240" w:lineRule="auto"/>
        <w:ind w:left="4320"/>
        <w:jc w:val="both"/>
        <w:rPr>
          <w:rFonts w:eastAsia="Calibri"/>
          <w:szCs w:val="22"/>
        </w:rPr>
      </w:pPr>
      <w:r>
        <w:rPr>
          <w:rFonts w:eastAsia="Calibri"/>
          <w:szCs w:val="22"/>
        </w:rPr>
        <w:t>Telephone:  (614) 469-8000</w:t>
      </w:r>
      <w:r w:rsidR="004F0BF8">
        <w:rPr>
          <w:rFonts w:eastAsia="Calibri"/>
          <w:szCs w:val="22"/>
        </w:rPr>
        <w:t xml:space="preserve"> </w:t>
      </w:r>
    </w:p>
    <w:p w:rsidR="00FD64B7" w:rsidRDefault="00F96714" w:rsidP="00E55B4C">
      <w:pPr>
        <w:spacing w:after="0" w:line="240" w:lineRule="auto"/>
        <w:ind w:left="4320"/>
        <w:jc w:val="both"/>
        <w:rPr>
          <w:rFonts w:eastAsia="Calibri"/>
          <w:szCs w:val="22"/>
        </w:rPr>
      </w:pPr>
      <w:r>
        <w:rPr>
          <w:rFonts w:eastAsia="Calibri"/>
          <w:szCs w:val="22"/>
        </w:rPr>
        <w:t>Telecopier:  (614) 469-4653</w:t>
      </w:r>
    </w:p>
    <w:p w:rsidR="00FD64B7" w:rsidRDefault="00F96714" w:rsidP="00E55B4C">
      <w:pPr>
        <w:spacing w:after="0" w:line="240" w:lineRule="auto"/>
        <w:ind w:left="4320"/>
        <w:jc w:val="both"/>
        <w:rPr>
          <w:rFonts w:eastAsia="Calibri"/>
          <w:szCs w:val="22"/>
        </w:rPr>
      </w:pPr>
      <w:r>
        <w:rPr>
          <w:rFonts w:eastAsia="Calibri"/>
          <w:szCs w:val="22"/>
        </w:rPr>
        <w:t xml:space="preserve">sam@mwncmh.com </w:t>
      </w:r>
    </w:p>
    <w:p w:rsidR="00FD64B7" w:rsidRDefault="00F96714" w:rsidP="00E55B4C">
      <w:pPr>
        <w:spacing w:after="0" w:line="240" w:lineRule="auto"/>
        <w:ind w:left="4320"/>
        <w:jc w:val="both"/>
        <w:rPr>
          <w:rFonts w:eastAsia="Calibri"/>
          <w:szCs w:val="22"/>
        </w:rPr>
      </w:pPr>
      <w:r>
        <w:rPr>
          <w:rFonts w:eastAsia="Calibri"/>
          <w:szCs w:val="22"/>
        </w:rPr>
        <w:t xml:space="preserve">fdarr@mwncmh.com </w:t>
      </w:r>
    </w:p>
    <w:p w:rsidR="00FD64B7" w:rsidRDefault="00F96714" w:rsidP="00A82A81">
      <w:pPr>
        <w:spacing w:after="0" w:line="240" w:lineRule="auto"/>
        <w:ind w:left="4320"/>
        <w:jc w:val="both"/>
        <w:rPr>
          <w:rFonts w:eastAsia="Calibri"/>
          <w:szCs w:val="22"/>
        </w:rPr>
      </w:pPr>
      <w:r>
        <w:rPr>
          <w:rFonts w:eastAsia="Calibri"/>
          <w:szCs w:val="22"/>
        </w:rPr>
        <w:t xml:space="preserve">joliker@mwncmh.com </w:t>
      </w:r>
    </w:p>
    <w:p w:rsidR="00A82A81" w:rsidRDefault="00A82A81" w:rsidP="00A82A81">
      <w:pPr>
        <w:tabs>
          <w:tab w:val="left" w:pos="4320"/>
        </w:tabs>
        <w:spacing w:after="0" w:line="240" w:lineRule="auto"/>
        <w:ind w:left="4320"/>
        <w:jc w:val="both"/>
        <w:rPr>
          <w:rFonts w:eastAsia="Calibri"/>
          <w:b/>
          <w:szCs w:val="22"/>
        </w:rPr>
      </w:pPr>
    </w:p>
    <w:p w:rsidR="00FD64B7" w:rsidRDefault="00F96714" w:rsidP="00A82A81">
      <w:pPr>
        <w:tabs>
          <w:tab w:val="left" w:pos="4320"/>
        </w:tabs>
        <w:spacing w:after="0" w:line="240" w:lineRule="auto"/>
        <w:ind w:left="4320"/>
        <w:jc w:val="both"/>
        <w:rPr>
          <w:rFonts w:eastAsia="Calibri"/>
          <w:b/>
          <w:szCs w:val="22"/>
        </w:rPr>
      </w:pPr>
      <w:r>
        <w:rPr>
          <w:rFonts w:eastAsia="Calibri"/>
          <w:b/>
          <w:szCs w:val="22"/>
        </w:rPr>
        <w:t>Attorneys for Industrial Energy Users-Ohio</w:t>
      </w:r>
    </w:p>
    <w:p w:rsidR="00FD64B7" w:rsidRDefault="00FD64B7">
      <w:pPr>
        <w:spacing w:after="0" w:line="480" w:lineRule="auto"/>
        <w:jc w:val="both"/>
        <w:rPr>
          <w:rFonts w:cstheme="minorBidi"/>
          <w:szCs w:val="22"/>
        </w:rPr>
        <w:sectPr w:rsidR="00FD64B7" w:rsidSect="00E55B4C">
          <w:pgSz w:w="12240" w:h="15840" w:code="1"/>
          <w:pgMar w:top="1440" w:right="1440" w:bottom="1440" w:left="1440" w:header="720" w:footer="720" w:gutter="0"/>
          <w:pgNumType w:start="1"/>
          <w:cols w:space="720"/>
          <w:titlePg/>
          <w:docGrid w:linePitch="360"/>
        </w:sectPr>
      </w:pPr>
    </w:p>
    <w:p w:rsidR="00FD64B7" w:rsidRDefault="00F96714" w:rsidP="005154C0">
      <w:pPr>
        <w:spacing w:after="0" w:line="480" w:lineRule="auto"/>
        <w:jc w:val="center"/>
        <w:rPr>
          <w:rFonts w:eastAsia="Times New Roman"/>
          <w:b/>
          <w:smallCaps/>
          <w:sz w:val="32"/>
          <w:u w:val="single"/>
        </w:rPr>
      </w:pPr>
      <w:r>
        <w:rPr>
          <w:rFonts w:eastAsia="Times New Roman"/>
          <w:b/>
          <w:smallCaps/>
          <w:sz w:val="32"/>
          <w:u w:val="single"/>
        </w:rPr>
        <w:t>Certificate of Service</w:t>
      </w:r>
    </w:p>
    <w:p w:rsidR="00FD64B7" w:rsidRDefault="00FD64B7">
      <w:pPr>
        <w:spacing w:after="0" w:line="240" w:lineRule="auto"/>
        <w:rPr>
          <w:rFonts w:ascii="Times New Roman" w:eastAsia="Times New Roman" w:hAnsi="Times New Roman" w:cs="Times New Roman"/>
        </w:rPr>
      </w:pPr>
    </w:p>
    <w:p w:rsidR="00FD64B7" w:rsidRDefault="00F96714">
      <w:pPr>
        <w:spacing w:after="0" w:line="480" w:lineRule="auto"/>
        <w:ind w:firstLine="720"/>
        <w:jc w:val="both"/>
        <w:rPr>
          <w:rFonts w:eastAsia="Times New Roman"/>
          <w:b/>
          <w:smallCaps/>
        </w:rPr>
      </w:pPr>
      <w:r>
        <w:rPr>
          <w:rFonts w:eastAsia="Times New Roman"/>
        </w:rPr>
        <w:t>I hereby certify that a copy of the foregoing</w:t>
      </w:r>
      <w:r>
        <w:rPr>
          <w:rFonts w:eastAsia="Times New Roman"/>
          <w:i/>
          <w:iCs/>
        </w:rPr>
        <w:t xml:space="preserve"> Initial Brief of Industrial Energy Users-Ohio </w:t>
      </w:r>
      <w:r>
        <w:rPr>
          <w:rFonts w:eastAsia="Times New Roman"/>
        </w:rPr>
        <w:t>was served upon the following parties of record this 10</w:t>
      </w:r>
      <w:r>
        <w:rPr>
          <w:rFonts w:eastAsia="Times New Roman"/>
          <w:vertAlign w:val="superscript"/>
        </w:rPr>
        <w:t>th</w:t>
      </w:r>
      <w:r>
        <w:rPr>
          <w:rFonts w:eastAsia="Times New Roman"/>
        </w:rPr>
        <w:t xml:space="preserve"> day of November 2011, </w:t>
      </w:r>
      <w:r>
        <w:rPr>
          <w:rFonts w:eastAsia="Times New Roman"/>
          <w:i/>
        </w:rPr>
        <w:t>via</w:t>
      </w:r>
      <w:r>
        <w:rPr>
          <w:rFonts w:eastAsia="Times New Roman"/>
        </w:rPr>
        <w:t xml:space="preserve"> electronic transmission, hand-delivery or first class U.S. mail, postage prepaid.</w:t>
      </w:r>
    </w:p>
    <w:p w:rsidR="00FD64B7" w:rsidRDefault="00FD64B7">
      <w:pPr>
        <w:tabs>
          <w:tab w:val="left" w:pos="-1440"/>
          <w:tab w:val="left" w:pos="-720"/>
          <w:tab w:val="left" w:pos="5040"/>
          <w:tab w:val="center" w:pos="7200"/>
        </w:tabs>
        <w:spacing w:after="0" w:line="240" w:lineRule="auto"/>
        <w:jc w:val="both"/>
        <w:rPr>
          <w:rFonts w:eastAsia="Times New Roman"/>
        </w:rPr>
      </w:pPr>
    </w:p>
    <w:p w:rsidR="00FD64B7" w:rsidRDefault="00F96714">
      <w:pPr>
        <w:tabs>
          <w:tab w:val="left" w:pos="-1440"/>
          <w:tab w:val="left" w:pos="-720"/>
          <w:tab w:val="left" w:pos="5040"/>
          <w:tab w:val="center" w:pos="7200"/>
          <w:tab w:val="right" w:pos="9360"/>
        </w:tabs>
        <w:spacing w:after="0" w:line="240" w:lineRule="auto"/>
        <w:ind w:firstLine="5040"/>
        <w:jc w:val="both"/>
        <w:rPr>
          <w:rFonts w:eastAsia="Times New Roman"/>
        </w:rPr>
      </w:pPr>
      <w:r>
        <w:rPr>
          <w:rFonts w:eastAsia="Times New Roman"/>
          <w:u w:val="single"/>
        </w:rPr>
        <w:t>/s/ Frank P. Darr</w:t>
      </w:r>
      <w:r>
        <w:rPr>
          <w:rFonts w:eastAsia="Times New Roman"/>
          <w:u w:val="single"/>
        </w:rPr>
        <w:tab/>
      </w:r>
      <w:r>
        <w:rPr>
          <w:rFonts w:eastAsia="Times New Roman"/>
          <w:u w:val="single"/>
        </w:rPr>
        <w:tab/>
      </w:r>
    </w:p>
    <w:p w:rsidR="00FD64B7" w:rsidRDefault="00F96714">
      <w:pPr>
        <w:tabs>
          <w:tab w:val="left" w:pos="-1440"/>
          <w:tab w:val="left" w:pos="-720"/>
          <w:tab w:val="left" w:pos="5040"/>
          <w:tab w:val="center" w:pos="7200"/>
        </w:tabs>
        <w:spacing w:after="0" w:line="240" w:lineRule="auto"/>
        <w:ind w:firstLine="5040"/>
        <w:rPr>
          <w:rFonts w:eastAsia="Times New Roman"/>
        </w:rPr>
      </w:pPr>
      <w:r>
        <w:rPr>
          <w:rFonts w:eastAsia="Times New Roman"/>
        </w:rPr>
        <w:t>Frank P. Darr</w:t>
      </w:r>
    </w:p>
    <w:p w:rsidR="00FD64B7" w:rsidRDefault="00FD64B7">
      <w:pPr>
        <w:tabs>
          <w:tab w:val="left" w:pos="-1440"/>
          <w:tab w:val="left" w:pos="-720"/>
          <w:tab w:val="left" w:pos="5040"/>
          <w:tab w:val="center" w:pos="7200"/>
        </w:tabs>
        <w:spacing w:after="0" w:line="240" w:lineRule="auto"/>
        <w:ind w:firstLine="5040"/>
        <w:rPr>
          <w:rFonts w:eastAsia="Times New Roman"/>
        </w:rPr>
      </w:pPr>
    </w:p>
    <w:p w:rsidR="00FD64B7" w:rsidRDefault="00FD64B7">
      <w:pPr>
        <w:tabs>
          <w:tab w:val="left" w:pos="-1440"/>
          <w:tab w:val="left" w:pos="-720"/>
          <w:tab w:val="left" w:pos="5040"/>
          <w:tab w:val="center" w:pos="7200"/>
        </w:tabs>
        <w:spacing w:after="0" w:line="240" w:lineRule="auto"/>
        <w:ind w:firstLine="5040"/>
        <w:rPr>
          <w:rFonts w:eastAsia="Times New Roman"/>
        </w:rPr>
        <w:sectPr w:rsidR="00FD64B7" w:rsidSect="00E53D2A">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141" w:left="1440" w:header="720" w:footer="720" w:gutter="0"/>
          <w:pgNumType w:start="1"/>
          <w:cols w:space="720"/>
          <w:titlePg/>
          <w:docGrid w:linePitch="326"/>
        </w:sectPr>
      </w:pPr>
    </w:p>
    <w:p w:rsidR="00FD64B7" w:rsidRDefault="00FD64B7">
      <w:pPr>
        <w:tabs>
          <w:tab w:val="left" w:pos="-1440"/>
          <w:tab w:val="left" w:pos="-720"/>
          <w:tab w:val="left" w:pos="5040"/>
          <w:tab w:val="center" w:pos="7200"/>
        </w:tabs>
        <w:spacing w:after="0" w:line="240" w:lineRule="auto"/>
        <w:ind w:firstLine="5040"/>
        <w:rPr>
          <w:rFonts w:eastAsia="Times New Roman"/>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Matthew J. Satterwhite</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Steven T. Nourse</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Anne M. Vogel</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American Electric Power Service Corporation</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 Riverside Plaza, 29</w:t>
      </w:r>
      <w:r>
        <w:rPr>
          <w:rFonts w:eastAsia="Times New Roman"/>
          <w:sz w:val="22"/>
          <w:szCs w:val="22"/>
          <w:vertAlign w:val="superscript"/>
        </w:rPr>
        <w:t>th</w:t>
      </w:r>
      <w:r>
        <w:rPr>
          <w:rFonts w:eastAsia="Times New Roman"/>
          <w:sz w:val="22"/>
          <w:szCs w:val="22"/>
        </w:rPr>
        <w:t xml:space="preserve"> Floor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43215</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mjsatterwhite@aep.com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stnourse@aep.com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amvogel@aep.com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Daniel R. Conway</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Porter Wright Morris &amp; Arthur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Huntington Center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41 S. High Street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43215</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dconway@porterwright.com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Columbus Southern Power Company and Ohio Power Company</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Dorothy K. Corbett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Amy Spiller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139 East Fourth Street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1303-Main</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Cincinnati, OH  45202</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Dorothy.Corbett@duke-energy.com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Amy.spiller@duke-energy.com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br w:type="column"/>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Philip B. Sineneng</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Terrance A. Mebane</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THOMPSON HINE LLP</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41 S. High St., Suite 1700</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43215</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Philip.Sineneng@ThompsonHine.com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Terrance.Mebane@ThompsonHine.com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Duke Energy Retail Sales, LLC</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David F. Boehm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Michael L. Kurtz</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Boehm, Kurtz &amp; Lowry</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36 East Seventh Street Suite 1510</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Cincinnati, OH  45202</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dboehm@BKLlawfirm.com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mkurtz@BKLlawfirm.com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the Ohio Energy Group</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Gregory J. Poulos</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EnerNOC, Inc.</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101 Federal Street, Suite 1100</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Boston, MA  02110</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gpoulos@enernoc.com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ascii="Arial Bold" w:eastAsia="Times New Roman" w:hAnsi="Arial Bold"/>
          <w:b/>
          <w:smallCaps/>
          <w:sz w:val="22"/>
          <w:szCs w:val="22"/>
        </w:rPr>
      </w:pPr>
      <w:r>
        <w:rPr>
          <w:rFonts w:ascii="Arial Bold" w:eastAsia="Times New Roman" w:hAnsi="Arial Bold"/>
          <w:b/>
          <w:smallCaps/>
          <w:sz w:val="22"/>
          <w:szCs w:val="22"/>
        </w:rPr>
        <w:t>On Behalf of EnerNOC, Inc.</w:t>
      </w:r>
    </w:p>
    <w:p w:rsidR="00FD64B7" w:rsidRDefault="00FD64B7">
      <w:pPr>
        <w:tabs>
          <w:tab w:val="left" w:pos="2160"/>
          <w:tab w:val="left" w:pos="2280"/>
        </w:tabs>
        <w:spacing w:after="0" w:line="240" w:lineRule="auto"/>
        <w:rPr>
          <w:rFonts w:eastAsia="Times New Roman"/>
          <w:sz w:val="22"/>
          <w:szCs w:val="22"/>
        </w:rPr>
        <w:sectPr w:rsidR="00FD64B7" w:rsidSect="00E53D2A">
          <w:headerReference w:type="default" r:id="rId27"/>
          <w:footerReference w:type="default" r:id="rId28"/>
          <w:headerReference w:type="first" r:id="rId29"/>
          <w:footerReference w:type="first" r:id="rId30"/>
          <w:type w:val="continuous"/>
          <w:pgSz w:w="12240" w:h="15840" w:code="1"/>
          <w:pgMar w:top="1440" w:right="1440" w:bottom="1141" w:left="1440" w:header="720" w:footer="720" w:gutter="0"/>
          <w:pgNumType w:start="1"/>
          <w:cols w:num="2" w:space="720"/>
          <w:titlePg/>
          <w:docGrid w:linePitch="326"/>
        </w:sect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Bruce J. Weston</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 xml:space="preserve">Terry L. Etter </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Maureen R. Grady</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Jeffrey L. Small</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Office of the Ohio Consumers’ Counsel</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10 W. Broad Street, 18</w:t>
      </w:r>
      <w:r>
        <w:rPr>
          <w:rFonts w:eastAsia="Times New Roman"/>
          <w:sz w:val="22"/>
          <w:szCs w:val="22"/>
          <w:vertAlign w:val="superscript"/>
        </w:rPr>
        <w:t>th</w:t>
      </w:r>
      <w:r>
        <w:rPr>
          <w:rFonts w:eastAsia="Times New Roman"/>
          <w:sz w:val="22"/>
          <w:szCs w:val="22"/>
        </w:rPr>
        <w:t xml:space="preserve"> Floor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43215-3485</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etter@occ.state.oh.us</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grady@occ.state.oh.us</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small@occ.state.oh.us</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the Office of the Ohio</w:t>
      </w: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Consumers’ Counsel</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Richard L. Sites</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General Counsel &amp; Senior Director of Health Policy</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Ohio Hospital Association</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155 East Broad Street, 15</w:t>
      </w:r>
      <w:r>
        <w:rPr>
          <w:rFonts w:eastAsia="Times New Roman"/>
          <w:sz w:val="22"/>
          <w:szCs w:val="22"/>
          <w:vertAlign w:val="superscript"/>
        </w:rPr>
        <w:t>th</w:t>
      </w:r>
      <w:r>
        <w:rPr>
          <w:rFonts w:eastAsia="Times New Roman"/>
          <w:sz w:val="22"/>
          <w:szCs w:val="22"/>
        </w:rPr>
        <w:t xml:space="preserve"> Floor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43215-3620</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ricks@ohanet.org</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Thomas J. O’Brien</w:t>
      </w:r>
    </w:p>
    <w:p w:rsidR="00FD64B7" w:rsidRDefault="00F96714">
      <w:pPr>
        <w:tabs>
          <w:tab w:val="left" w:pos="2160"/>
          <w:tab w:val="left" w:pos="2280"/>
        </w:tabs>
        <w:spacing w:after="0" w:line="240" w:lineRule="auto"/>
        <w:rPr>
          <w:rFonts w:eastAsia="Times New Roman"/>
          <w:sz w:val="22"/>
          <w:szCs w:val="22"/>
        </w:rPr>
      </w:pPr>
      <w:r>
        <w:rPr>
          <w:rFonts w:eastAsia="Times New Roman"/>
          <w:caps/>
          <w:sz w:val="22"/>
          <w:szCs w:val="22"/>
        </w:rPr>
        <w:t>Bricker &amp; Eckler</w:t>
      </w:r>
      <w:r>
        <w:rPr>
          <w:rFonts w:eastAsia="Times New Roman"/>
          <w:sz w:val="22"/>
          <w:szCs w:val="22"/>
        </w:rPr>
        <w:t>, LLP</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100 South Third Street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43215-4291</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tobrien@bricker.com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Oh Behalf of Ohio Hospital Association</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John W. Bentine</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Mark S. Yurick</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Zachary D. Kravitz</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Chester Willcox &amp; Saxbe, LLP</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65 East State Street, Suite 1000</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43215</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jbentine@cwslaw.com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myurick@cwslaw.com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zkravitz@cwslaw.com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The Kroger Co.</w:t>
      </w:r>
    </w:p>
    <w:p w:rsidR="00FD64B7" w:rsidRDefault="00FD64B7">
      <w:pPr>
        <w:tabs>
          <w:tab w:val="left" w:pos="2160"/>
          <w:tab w:val="left" w:pos="2280"/>
        </w:tabs>
        <w:spacing w:after="0" w:line="240" w:lineRule="auto"/>
        <w:rPr>
          <w:rFonts w:eastAsia="Times New Roman"/>
          <w:smallCaps/>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Terrence O’Donnell</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Christopher Montgomery</w:t>
      </w:r>
    </w:p>
    <w:p w:rsidR="00FD64B7" w:rsidRDefault="00F96714">
      <w:pPr>
        <w:tabs>
          <w:tab w:val="left" w:pos="2160"/>
          <w:tab w:val="left" w:pos="2280"/>
        </w:tabs>
        <w:spacing w:after="0" w:line="240" w:lineRule="auto"/>
        <w:rPr>
          <w:rFonts w:eastAsia="Times New Roman"/>
          <w:sz w:val="22"/>
          <w:szCs w:val="22"/>
        </w:rPr>
      </w:pPr>
      <w:r>
        <w:rPr>
          <w:rFonts w:eastAsia="Times New Roman"/>
          <w:caps/>
          <w:sz w:val="22"/>
          <w:szCs w:val="22"/>
        </w:rPr>
        <w:t>Bricker &amp; Eckler</w:t>
      </w:r>
      <w:r>
        <w:rPr>
          <w:rFonts w:eastAsia="Times New Roman"/>
          <w:sz w:val="22"/>
          <w:szCs w:val="22"/>
        </w:rPr>
        <w:t xml:space="preserve"> LLP</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100 South Third Street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43215-4291</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todonnell@bricker.com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cmontgomery@bricker.com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Paulding Wind Farm II LLC</w:t>
      </w:r>
      <w:r>
        <w:rPr>
          <w:rFonts w:eastAsia="Times New Roman"/>
          <w:b/>
          <w:smallCaps/>
          <w:sz w:val="22"/>
          <w:szCs w:val="22"/>
        </w:rPr>
        <w:br w:type="column"/>
      </w:r>
      <w:r>
        <w:rPr>
          <w:rFonts w:eastAsia="Times New Roman"/>
          <w:sz w:val="22"/>
          <w:szCs w:val="22"/>
        </w:rPr>
        <w:t>David C. Rinebolt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Colleen L. Mooney</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Ohio Partners for Affordable Energy</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231 West Lima Street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Findlay, OH  45840</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cmooney2@columbus.rr.com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drinebolt@ohiopartners.org</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Ohio Partners for Affordable Energy</w:t>
      </w:r>
    </w:p>
    <w:p w:rsidR="00FD64B7" w:rsidRDefault="00FD64B7">
      <w:pPr>
        <w:tabs>
          <w:tab w:val="left" w:pos="2160"/>
          <w:tab w:val="left" w:pos="2280"/>
        </w:tabs>
        <w:spacing w:after="0" w:line="240" w:lineRule="auto"/>
        <w:rPr>
          <w:rFonts w:eastAsia="Times New Roman"/>
          <w:b/>
          <w:smallCaps/>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sz w:val="22"/>
          <w:szCs w:val="22"/>
        </w:rPr>
        <w:t>Mark A. Hayden</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FirstEnergy Service Company</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76 South Main Street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Akron, OH  44308</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haydenm@firstenergycorp.com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James F Lang</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Laura C. McBride</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N. Trevor Alexander</w:t>
      </w:r>
    </w:p>
    <w:p w:rsidR="00FD64B7" w:rsidRDefault="00F96714">
      <w:pPr>
        <w:tabs>
          <w:tab w:val="left" w:pos="2160"/>
          <w:tab w:val="left" w:pos="2280"/>
        </w:tabs>
        <w:spacing w:after="0" w:line="240" w:lineRule="auto"/>
        <w:rPr>
          <w:rFonts w:eastAsia="Times New Roman"/>
          <w:sz w:val="22"/>
          <w:szCs w:val="22"/>
        </w:rPr>
      </w:pPr>
      <w:r>
        <w:rPr>
          <w:rFonts w:eastAsia="Times New Roman"/>
          <w:caps/>
          <w:sz w:val="22"/>
          <w:szCs w:val="22"/>
        </w:rPr>
        <w:t>Calfee, Halter &amp; Griswold</w:t>
      </w:r>
      <w:r>
        <w:rPr>
          <w:rFonts w:eastAsia="Times New Roman"/>
          <w:sz w:val="22"/>
          <w:szCs w:val="22"/>
        </w:rPr>
        <w:t xml:space="preserve"> LLP</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1400 KeyBank Center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800 Superior Ave.</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Cleveland, OH  44114</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jlang@calfee.com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lmcbride@calfee.com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talexander@calfee.com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David A. Kutik</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Jones Day</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North Point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901 Lakeside Avenue</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Cleveland, OH  44114</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dakutik@jonesday.com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Allison E. Haedt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Jones Day</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P.O. Box 165017</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43216-5017</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aehaedt@jonesday.com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John N. Estes III</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Paul F. Wight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Skadden, Arps, Slate, Meagher &amp; Flom LLP</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1440 New York Ave., N.W.</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Washington, DC  20005</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jestes@skadden.com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paul.wight@skadden.com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sectPr w:rsidR="00FD64B7" w:rsidSect="00E53D2A">
          <w:headerReference w:type="default" r:id="rId31"/>
          <w:footerReference w:type="default" r:id="rId32"/>
          <w:headerReference w:type="first" r:id="rId33"/>
          <w:footerReference w:type="first" r:id="rId34"/>
          <w:pgSz w:w="12240" w:h="15840"/>
          <w:pgMar w:top="1440" w:right="1440" w:bottom="1440" w:left="1440" w:header="720" w:footer="720" w:gutter="0"/>
          <w:cols w:num="2" w:space="720"/>
          <w:docGrid w:linePitch="360"/>
        </w:sectPr>
      </w:pPr>
      <w:r>
        <w:rPr>
          <w:rFonts w:eastAsia="Times New Roman"/>
          <w:b/>
          <w:smallCaps/>
          <w:sz w:val="22"/>
          <w:szCs w:val="22"/>
        </w:rPr>
        <w:t>On Behalf of FirstEnergy Solutions Corp.</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Michael R. Smalz</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Joseph V. Maskovyak</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Ohio Poverty Law Center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555 Buttles Avenue</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43215</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msmalz@ohiopovertylaw.org</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jmaskovyak@ohiopovertylaw.org</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the Appalachian Peace and Justice Network</w:t>
      </w:r>
    </w:p>
    <w:p w:rsidR="00FD64B7" w:rsidRDefault="00FD64B7">
      <w:pPr>
        <w:autoSpaceDE w:val="0"/>
        <w:autoSpaceDN w:val="0"/>
        <w:adjustRightInd w:val="0"/>
        <w:spacing w:after="0" w:line="240" w:lineRule="auto"/>
        <w:rPr>
          <w:rFonts w:eastAsia="Calibri"/>
          <w:sz w:val="22"/>
          <w:szCs w:val="22"/>
        </w:rPr>
      </w:pPr>
    </w:p>
    <w:p w:rsidR="00FD64B7" w:rsidRDefault="00F96714">
      <w:pPr>
        <w:autoSpaceDE w:val="0"/>
        <w:autoSpaceDN w:val="0"/>
        <w:adjustRightInd w:val="0"/>
        <w:spacing w:after="0" w:line="240" w:lineRule="auto"/>
        <w:rPr>
          <w:rFonts w:eastAsia="Calibri"/>
          <w:sz w:val="22"/>
          <w:szCs w:val="22"/>
        </w:rPr>
      </w:pPr>
      <w:r>
        <w:rPr>
          <w:rFonts w:eastAsia="Calibri"/>
          <w:sz w:val="22"/>
          <w:szCs w:val="22"/>
        </w:rPr>
        <w:t>Lisa G. McAlister</w:t>
      </w:r>
    </w:p>
    <w:p w:rsidR="00FD64B7" w:rsidRDefault="00F96714">
      <w:pPr>
        <w:autoSpaceDE w:val="0"/>
        <w:autoSpaceDN w:val="0"/>
        <w:adjustRightInd w:val="0"/>
        <w:spacing w:after="0" w:line="240" w:lineRule="auto"/>
        <w:rPr>
          <w:rFonts w:eastAsia="Calibri"/>
          <w:sz w:val="22"/>
          <w:szCs w:val="22"/>
        </w:rPr>
      </w:pPr>
      <w:r>
        <w:rPr>
          <w:rFonts w:eastAsia="Calibri"/>
          <w:sz w:val="22"/>
          <w:szCs w:val="22"/>
        </w:rPr>
        <w:t>Matthew W. Warnock</w:t>
      </w:r>
    </w:p>
    <w:p w:rsidR="00FD64B7" w:rsidRDefault="00F96714">
      <w:pPr>
        <w:autoSpaceDE w:val="0"/>
        <w:autoSpaceDN w:val="0"/>
        <w:adjustRightInd w:val="0"/>
        <w:spacing w:after="0" w:line="240" w:lineRule="auto"/>
        <w:rPr>
          <w:rFonts w:eastAsia="Calibri"/>
          <w:sz w:val="22"/>
          <w:szCs w:val="22"/>
        </w:rPr>
      </w:pPr>
      <w:r>
        <w:rPr>
          <w:rFonts w:eastAsia="Calibri"/>
          <w:sz w:val="22"/>
          <w:szCs w:val="22"/>
        </w:rPr>
        <w:t>Thomas O’Brien</w:t>
      </w:r>
    </w:p>
    <w:p w:rsidR="00FD64B7" w:rsidRDefault="00F96714">
      <w:pPr>
        <w:autoSpaceDE w:val="0"/>
        <w:autoSpaceDN w:val="0"/>
        <w:adjustRightInd w:val="0"/>
        <w:spacing w:after="0" w:line="240" w:lineRule="auto"/>
        <w:rPr>
          <w:rFonts w:eastAsia="Calibri"/>
          <w:sz w:val="22"/>
          <w:szCs w:val="22"/>
        </w:rPr>
      </w:pPr>
      <w:r>
        <w:rPr>
          <w:rFonts w:eastAsia="Calibri"/>
          <w:sz w:val="22"/>
          <w:szCs w:val="22"/>
        </w:rPr>
        <w:t>BRICKER &amp; ECKLER LLP</w:t>
      </w:r>
    </w:p>
    <w:p w:rsidR="00FD64B7" w:rsidRDefault="00F96714">
      <w:pPr>
        <w:autoSpaceDE w:val="0"/>
        <w:autoSpaceDN w:val="0"/>
        <w:adjustRightInd w:val="0"/>
        <w:spacing w:after="0" w:line="240" w:lineRule="auto"/>
        <w:rPr>
          <w:rFonts w:eastAsia="Calibri"/>
          <w:sz w:val="22"/>
          <w:szCs w:val="22"/>
        </w:rPr>
      </w:pPr>
      <w:r>
        <w:rPr>
          <w:rFonts w:eastAsia="Calibri"/>
          <w:sz w:val="22"/>
          <w:szCs w:val="22"/>
        </w:rPr>
        <w:t>100 South Third Street</w:t>
      </w:r>
    </w:p>
    <w:p w:rsidR="00FD64B7" w:rsidRDefault="00F96714">
      <w:pPr>
        <w:tabs>
          <w:tab w:val="left" w:pos="2160"/>
          <w:tab w:val="left" w:pos="2280"/>
        </w:tabs>
        <w:spacing w:after="0" w:line="240" w:lineRule="auto"/>
        <w:rPr>
          <w:rFonts w:eastAsia="Calibri"/>
          <w:sz w:val="22"/>
          <w:szCs w:val="22"/>
        </w:rPr>
      </w:pPr>
      <w:r>
        <w:rPr>
          <w:rFonts w:eastAsia="Calibri"/>
          <w:sz w:val="22"/>
          <w:szCs w:val="22"/>
        </w:rPr>
        <w:t>Columbus, OH 43215-4291</w:t>
      </w:r>
    </w:p>
    <w:p w:rsidR="00FD64B7" w:rsidRDefault="00F96714">
      <w:pPr>
        <w:tabs>
          <w:tab w:val="left" w:pos="2160"/>
          <w:tab w:val="left" w:pos="2280"/>
        </w:tabs>
        <w:spacing w:after="0" w:line="240" w:lineRule="auto"/>
        <w:rPr>
          <w:rFonts w:eastAsia="Calibri"/>
          <w:sz w:val="22"/>
          <w:szCs w:val="22"/>
        </w:rPr>
      </w:pPr>
      <w:r>
        <w:rPr>
          <w:rFonts w:eastAsia="Calibri"/>
          <w:sz w:val="22"/>
          <w:szCs w:val="22"/>
        </w:rPr>
        <w:t>lmcalister@bricker.com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mwarnock@bricker.com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tobrien@bricker.com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OMA Energy Group</w:t>
      </w:r>
    </w:p>
    <w:p w:rsidR="00FD64B7" w:rsidRDefault="00FD64B7">
      <w:pPr>
        <w:tabs>
          <w:tab w:val="left" w:pos="2160"/>
          <w:tab w:val="left" w:pos="2280"/>
        </w:tabs>
        <w:spacing w:after="0" w:line="240" w:lineRule="auto"/>
        <w:rPr>
          <w:rFonts w:eastAsia="Times New Roman"/>
          <w:b/>
          <w:smallCaps/>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sz w:val="22"/>
          <w:szCs w:val="22"/>
        </w:rPr>
        <w:t>Jay E. Jadwin</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American Electric Power Service Corporation</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 Riverside Plaza, 29</w:t>
      </w:r>
      <w:r>
        <w:rPr>
          <w:rFonts w:eastAsia="Times New Roman"/>
          <w:sz w:val="22"/>
          <w:szCs w:val="22"/>
          <w:vertAlign w:val="superscript"/>
        </w:rPr>
        <w:t>th</w:t>
      </w:r>
      <w:r>
        <w:rPr>
          <w:rFonts w:eastAsia="Times New Roman"/>
          <w:sz w:val="22"/>
          <w:szCs w:val="22"/>
        </w:rPr>
        <w:t xml:space="preserve"> Floor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43215</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jejadwin@aep.com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AEP Retail Energy Partners LLC</w:t>
      </w:r>
    </w:p>
    <w:p w:rsidR="00C31FA1" w:rsidRDefault="00C31FA1">
      <w:pPr>
        <w:tabs>
          <w:tab w:val="left" w:pos="2160"/>
          <w:tab w:val="left" w:pos="2280"/>
        </w:tabs>
        <w:spacing w:after="0" w:line="240" w:lineRule="auto"/>
        <w:rPr>
          <w:rFonts w:eastAsia="Times New Roman"/>
          <w:b/>
          <w:smallCaps/>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 Howard Petricoff</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Stephen M. Howard</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Vorys, Sater, Seymour and Pease LLP</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52 E. Gay Street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P.O. Box 1008</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43215-1008</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mhpetricoff@vorys.com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smhoward@vorys.com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PJM Power Providers Group and the Retail Energy Supply Association</w:t>
      </w:r>
    </w:p>
    <w:p w:rsidR="00FD64B7" w:rsidRDefault="00FD64B7">
      <w:pPr>
        <w:tabs>
          <w:tab w:val="left" w:pos="2160"/>
          <w:tab w:val="left" w:pos="2280"/>
        </w:tabs>
        <w:spacing w:after="0" w:line="240" w:lineRule="auto"/>
        <w:rPr>
          <w:rFonts w:eastAsia="Times New Roman"/>
          <w:sz w:val="22"/>
          <w:szCs w:val="22"/>
        </w:rPr>
      </w:pPr>
    </w:p>
    <w:p w:rsidR="00FD64B7" w:rsidRDefault="00C31FA1">
      <w:pPr>
        <w:tabs>
          <w:tab w:val="left" w:pos="2160"/>
          <w:tab w:val="left" w:pos="2280"/>
        </w:tabs>
        <w:spacing w:after="0" w:line="240" w:lineRule="auto"/>
        <w:rPr>
          <w:rFonts w:eastAsia="Times New Roman"/>
          <w:sz w:val="22"/>
          <w:szCs w:val="22"/>
        </w:rPr>
      </w:pPr>
      <w:r>
        <w:rPr>
          <w:rFonts w:eastAsia="Times New Roman"/>
          <w:sz w:val="22"/>
          <w:szCs w:val="22"/>
        </w:rPr>
        <w:br w:type="column"/>
      </w:r>
      <w:r w:rsidR="00F96714">
        <w:rPr>
          <w:rFonts w:eastAsia="Times New Roman"/>
          <w:sz w:val="22"/>
          <w:szCs w:val="22"/>
        </w:rPr>
        <w:t>Glen Thomas</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1060 First Avenue, Ste. 400</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King of Prussia, PA  19406</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gthomas@gtpowergroup.com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Laura Chappelle</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4218 Jacob Meadows</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Okemos, MI  48864</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laurac@chappelleconsulting.net</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PJM Power Providers Group</w:t>
      </w:r>
    </w:p>
    <w:p w:rsidR="00FD64B7" w:rsidRDefault="00FD64B7">
      <w:pPr>
        <w:tabs>
          <w:tab w:val="left" w:pos="2160"/>
          <w:tab w:val="left" w:pos="2280"/>
        </w:tabs>
        <w:spacing w:after="0" w:line="240" w:lineRule="auto"/>
        <w:rPr>
          <w:rFonts w:eastAsia="Times New Roman"/>
          <w:b/>
          <w:smallCaps/>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 Howard Petricoff</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Michael Settineri</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Vorys, Sater, Seymour and Pease LLP</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52 E. Gay Street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P.O. Box 1008</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43215-1008</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mhpetricoff@vorys.com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mjsettineri@vorys.com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William L. Massey</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Covington &amp; Burling, LLP</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1201 Pennsylvania Ave., NW</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Washington, DC  20004</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wmassey@cov.com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Joel Malina</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Executive Director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COMPLETE Coalition</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1317 F Street, NW</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Suite 600</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Washington, DC  20004</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malina@wexlerwalker.com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the COMPETE Coalition</w:t>
      </w:r>
    </w:p>
    <w:p w:rsidR="00C31FA1" w:rsidRDefault="00C31FA1">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Henry W. Eckhart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1200 Chambers Road, Suite 106</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43212</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henryeckhart@aol.com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Shannon Fisk</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Natural Resources Defense Council</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2 N. Riverside Plaza, Suite 2250</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Chicago, IL  60606</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sfisk@nrdc.org</w:t>
      </w:r>
    </w:p>
    <w:p w:rsidR="00FD64B7" w:rsidRDefault="00FD64B7">
      <w:pPr>
        <w:tabs>
          <w:tab w:val="left" w:pos="2160"/>
          <w:tab w:val="left" w:pos="2280"/>
        </w:tabs>
        <w:spacing w:after="0" w:line="240" w:lineRule="auto"/>
        <w:rPr>
          <w:rFonts w:eastAsia="Times New Roman"/>
          <w:sz w:val="22"/>
          <w:szCs w:val="22"/>
        </w:rPr>
      </w:pPr>
    </w:p>
    <w:p w:rsidR="00C31FA1" w:rsidRDefault="00C31FA1">
      <w:pPr>
        <w:tabs>
          <w:tab w:val="left" w:pos="2160"/>
          <w:tab w:val="left" w:pos="2280"/>
        </w:tabs>
        <w:spacing w:after="0" w:line="240" w:lineRule="auto"/>
        <w:rPr>
          <w:rFonts w:eastAsia="Times New Roman"/>
          <w:sz w:val="22"/>
          <w:szCs w:val="22"/>
        </w:rPr>
        <w:sectPr w:rsidR="00C31FA1" w:rsidSect="00E53D2A">
          <w:headerReference w:type="default" r:id="rId35"/>
          <w:footerReference w:type="default" r:id="rId36"/>
          <w:headerReference w:type="first" r:id="rId37"/>
          <w:footerReference w:type="first" r:id="rId38"/>
          <w:pgSz w:w="12240" w:h="15840"/>
          <w:pgMar w:top="1440" w:right="1440" w:bottom="1440" w:left="1440" w:header="720" w:footer="720" w:gutter="0"/>
          <w:cols w:num="2" w:space="720"/>
          <w:docGrid w:linePitch="360"/>
        </w:sect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Christopher J. Allwein</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Williams, Allwein and Moser, LLC</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1373 Grandview Ave., Suite 212</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43212</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callwein@williamsandmoser.com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the Natural Resources Defense Council and the Sierra Club</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sz w:val="22"/>
          <w:szCs w:val="22"/>
        </w:rPr>
        <w:t>M. Howard Petricoff</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Michael J. Settineri</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Stephen M. Howard</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Vorys, Sater, Seymour and Pease LLP</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52 East Gay Street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P.O. Box 1008</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43216-1008</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mhpetricoff@vorys.com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mjsettineri@vorys.com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smhoward@vorys.com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Constellation NewEnergy, Inc., Constellation Energy Commodities Group, Inc. , Direct Energy Services, LLC</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David I. Fein</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Vice President, Energy Policy – Midwest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Constellation Energy Group, Inc.</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Cynthia Fonner Brady</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Senior Counsel</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Constellation Energy Resources LLC</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550 West Washington Blvd., Suite 300</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Chicago, IL  60661</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david.fein@constellation.com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cynthia.brady@constellation.com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Constellation NewEnergy, Inc. and Constellation Energy Commodities Group, Inc.</w:t>
      </w:r>
    </w:p>
    <w:p w:rsidR="00FD64B7" w:rsidRDefault="00FD64B7">
      <w:pPr>
        <w:tabs>
          <w:tab w:val="left" w:pos="2160"/>
          <w:tab w:val="left" w:pos="2280"/>
        </w:tabs>
        <w:spacing w:after="0" w:line="240" w:lineRule="auto"/>
        <w:rPr>
          <w:rFonts w:eastAsia="Times New Roman"/>
          <w:b/>
          <w:smallCaps/>
          <w:sz w:val="22"/>
          <w:szCs w:val="22"/>
        </w:rPr>
      </w:pPr>
    </w:p>
    <w:p w:rsidR="00FD64B7" w:rsidRDefault="00C31FA1">
      <w:pPr>
        <w:tabs>
          <w:tab w:val="left" w:pos="2160"/>
          <w:tab w:val="left" w:pos="2280"/>
        </w:tabs>
        <w:spacing w:after="0" w:line="240" w:lineRule="auto"/>
        <w:rPr>
          <w:rFonts w:eastAsia="Times New Roman"/>
          <w:sz w:val="22"/>
          <w:szCs w:val="22"/>
        </w:rPr>
      </w:pPr>
      <w:r>
        <w:rPr>
          <w:rFonts w:eastAsia="Times New Roman"/>
          <w:sz w:val="22"/>
          <w:szCs w:val="22"/>
        </w:rPr>
        <w:br w:type="column"/>
      </w:r>
      <w:r w:rsidR="00F96714">
        <w:rPr>
          <w:rFonts w:eastAsia="Times New Roman"/>
          <w:sz w:val="22"/>
          <w:szCs w:val="22"/>
        </w:rPr>
        <w:t>Pamela A. Fox</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 Todd Jones,</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Christopher L. Miller,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Gregory H. Dunn</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Asim Z. Haque</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Schottenstein Zox and Dunn Co., LPA</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250 West Street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43215</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pfox@hillardohio.gov</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cmiller@szd.com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gdunn@szd.com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ahaque@szd.com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the City of Hilliard, Ohio, the City of Grove City, Ohio and the Association of Independent Colleges and Universities of Ohio</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Sandy I-ru Grace</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Assistant General Counsel</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Exelon Business Services Company</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101 Constitution Ave., NW</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Suite 400 East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Washington, DC  20001</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sandy.grace@exeloncorp.com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Jesse A. Rodriguez, Esq.</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Public Policy &amp; Affairs Manager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Exelon Generation Company, LLC</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300 Exelon Way</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Kennett Square, PA  19348</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jesse.rodriquez@exeloncorp.com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 xml:space="preserve">M. Howard Petricoff </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Vorys, Sater, Seymour and Pease LLP</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52 East Gay Street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P.O. Box 1008</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43216-1008</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mhpetricoff@vorys.com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David M. Stahl</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Arin C. Aragona</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Scott C. Solberg</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Eimer Stahl Klevorn &amp; Solberg LLP</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224 South Michigan Avenue, Suite 1100</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Chicago, IL  60604</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dstahl@eimerstahl.com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aaragona@eimerstahl.com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ssolberg@eimerstahl.com</w:t>
      </w:r>
    </w:p>
    <w:p w:rsidR="00C31FA1" w:rsidRDefault="00C31FA1">
      <w:pPr>
        <w:tabs>
          <w:tab w:val="left" w:pos="2160"/>
          <w:tab w:val="left" w:pos="2280"/>
        </w:tabs>
        <w:spacing w:after="0" w:line="240" w:lineRule="auto"/>
        <w:rPr>
          <w:rFonts w:eastAsia="Times New Roman"/>
          <w:sz w:val="22"/>
          <w:szCs w:val="22"/>
        </w:rPr>
        <w:sectPr w:rsidR="00C31FA1" w:rsidSect="00E53D2A">
          <w:pgSz w:w="12240" w:h="15840"/>
          <w:pgMar w:top="1440" w:right="1440" w:bottom="1440" w:left="1440" w:header="720" w:footer="720" w:gutter="0"/>
          <w:cols w:num="2" w:space="720"/>
          <w:docGrid w:linePitch="360"/>
        </w:sect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Anastasia Polek-O’Brien</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Exelon Generation Company, LLC</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10 S. Dearborn Street, 49</w:t>
      </w:r>
      <w:r>
        <w:rPr>
          <w:rFonts w:eastAsia="Times New Roman"/>
          <w:sz w:val="22"/>
          <w:szCs w:val="22"/>
          <w:vertAlign w:val="superscript"/>
        </w:rPr>
        <w:t>th</w:t>
      </w:r>
      <w:r>
        <w:rPr>
          <w:rFonts w:eastAsia="Times New Roman"/>
          <w:sz w:val="22"/>
          <w:szCs w:val="22"/>
        </w:rPr>
        <w:t xml:space="preserve"> Floor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Chicago, IL  60603</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Exelon Generation Company, LLC</w:t>
      </w:r>
    </w:p>
    <w:p w:rsidR="00FD64B7" w:rsidRDefault="00FD64B7">
      <w:pPr>
        <w:tabs>
          <w:tab w:val="left" w:pos="2160"/>
          <w:tab w:val="left" w:pos="2280"/>
        </w:tabs>
        <w:spacing w:after="0" w:line="240" w:lineRule="auto"/>
        <w:rPr>
          <w:rFonts w:eastAsia="Times New Roman"/>
          <w:b/>
          <w:smallCaps/>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Gary A Jeffries</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Assistant General Counsel</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Dominion Resources Services, Inc.</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501 Martindale Street, Suite 400</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Pittsburgh, PA  15212-5817</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Gary.A.Jeffries@aol.com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Dominion Retail, Inc.</w:t>
      </w:r>
    </w:p>
    <w:p w:rsidR="00FD64B7" w:rsidRDefault="00FD64B7">
      <w:pPr>
        <w:tabs>
          <w:tab w:val="left" w:pos="2160"/>
          <w:tab w:val="left" w:pos="2280"/>
        </w:tabs>
        <w:spacing w:after="0" w:line="240" w:lineRule="auto"/>
        <w:rPr>
          <w:rFonts w:eastAsia="Times New Roman"/>
          <w:b/>
          <w:smallCaps/>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Kenneth P. Kreider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David A. Meyer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Keating Muething &amp; Klekamp PLL</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One East Fourth Street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Suite 1400</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Cincinnati, OH  45202</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kpkreider@kmklaw.com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dmeyer@kmklaw.com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Holly Rachel Smith</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Holly Rachel Smith, PLLC</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Hitt Business Center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3803 Rectortown Road</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Marshall, VA  20115</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holly@raysmithlaw.com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Steve W. Chriss</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Manager, State Rate Proceedings</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Wal-Mart Stores, Inc.</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Bentonville, AR  72716-0550</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Stephen.Chriss@wal-mart.com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Wal-Mart Stores East, LP and Sam’s East, Inc.</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Barth E. Royer (Counsel of Record)</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Bell &amp; Royer Co., LPA</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33 South Grant Avenue</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43215-3927</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BarthRoyer@aol.com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br w:type="column"/>
        <w:t xml:space="preserve">Tara C. Santarelli </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Environmental Law &amp; Policy Center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1207 Grandview Ave., Suite 201</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43212</w:t>
      </w:r>
    </w:p>
    <w:p w:rsidR="00FD64B7" w:rsidRDefault="00F96714">
      <w:pPr>
        <w:tabs>
          <w:tab w:val="left" w:pos="2160"/>
          <w:tab w:val="left" w:pos="2280"/>
        </w:tabs>
        <w:spacing w:after="0" w:line="240" w:lineRule="auto"/>
        <w:rPr>
          <w:rFonts w:eastAsia="Times New Roman"/>
          <w:sz w:val="22"/>
          <w:szCs w:val="22"/>
        </w:rPr>
      </w:pPr>
      <w:r>
        <w:rPr>
          <w:rFonts w:eastAsia="Times New Roman"/>
          <w:sz w:val="22"/>
        </w:rPr>
        <w:t>tsantarelli@elpc.org</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the Environmental Law &amp;</w:t>
      </w: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Policy Center</w:t>
      </w:r>
    </w:p>
    <w:p w:rsidR="00FD64B7" w:rsidRDefault="00FD64B7">
      <w:pPr>
        <w:tabs>
          <w:tab w:val="left" w:pos="2160"/>
          <w:tab w:val="left" w:pos="2280"/>
        </w:tabs>
        <w:spacing w:after="0" w:line="240" w:lineRule="auto"/>
        <w:rPr>
          <w:rFonts w:eastAsia="Times New Roman"/>
          <w:b/>
          <w:smallCaps/>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Nolan Moser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 xml:space="preserve">Trent A. Dougherty </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Camille Yancy</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Cathryn Loucas</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Ohio Environmental Council</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1207 Grandview Avenue, Suite 201</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43212-3449</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nolan@theoec.org</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trent@theoec.org</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camille@theoec.org</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cathy@theoec.org.</w:t>
      </w:r>
    </w:p>
    <w:p w:rsidR="00FD64B7" w:rsidRDefault="00FD64B7">
      <w:pPr>
        <w:tabs>
          <w:tab w:val="left" w:pos="2160"/>
          <w:tab w:val="left" w:pos="2280"/>
        </w:tabs>
        <w:spacing w:after="0" w:line="240" w:lineRule="auto"/>
        <w:rPr>
          <w:rFonts w:eastAsia="Times New Roman"/>
          <w:b/>
          <w:bCs/>
          <w:sz w:val="22"/>
          <w:szCs w:val="22"/>
        </w:rPr>
      </w:pPr>
    </w:p>
    <w:p w:rsidR="00FD64B7" w:rsidRDefault="00F96714">
      <w:pPr>
        <w:tabs>
          <w:tab w:val="left" w:pos="2160"/>
          <w:tab w:val="left" w:pos="2280"/>
        </w:tabs>
        <w:spacing w:after="0" w:line="240" w:lineRule="auto"/>
        <w:rPr>
          <w:rFonts w:eastAsia="Times New Roman"/>
          <w:b/>
          <w:bCs/>
          <w:smallCaps/>
          <w:sz w:val="22"/>
          <w:szCs w:val="22"/>
        </w:rPr>
      </w:pPr>
      <w:r>
        <w:rPr>
          <w:rFonts w:eastAsia="Times New Roman"/>
          <w:b/>
          <w:bCs/>
          <w:smallCaps/>
          <w:sz w:val="22"/>
          <w:szCs w:val="22"/>
        </w:rPr>
        <w:t>On Behalf of the Ohio Environmental Council</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Douglas G. Bonner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Emma F. Hand</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Keith C. Nusbaum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Clinton A. Vince</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 xml:space="preserve">Daniel D. Barnowski </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SNR Denton US LLP</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1301 K Street NW</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Suite 600, East Tower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Washington, DC 20005</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doug.bonner@snrdenton.com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emma.hand@snrdenton.com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keith.nusbaum@snrdenton.com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clinton.vince@snrdenton.com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daniel.barnowski@snrdenton.con</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On Behalf of Ormet Primary Aluminum Corporation</w:t>
      </w:r>
    </w:p>
    <w:p w:rsidR="00FD64B7" w:rsidRDefault="00FD64B7">
      <w:pPr>
        <w:tabs>
          <w:tab w:val="left" w:pos="2160"/>
          <w:tab w:val="left" w:pos="2280"/>
        </w:tabs>
        <w:spacing w:after="0" w:line="240" w:lineRule="auto"/>
        <w:rPr>
          <w:rFonts w:eastAsia="Times New Roman"/>
          <w:b/>
          <w:smallCaps/>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Jay L. Kooper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Katherine Guerry</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Hess Corporation</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One Hess Plaza</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Woodbridge, NJ  07095</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jkooper@hess.com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kguerry@hess.com</w:t>
      </w:r>
    </w:p>
    <w:p w:rsidR="00FD64B7" w:rsidRDefault="00FD64B7">
      <w:pPr>
        <w:tabs>
          <w:tab w:val="left" w:pos="2160"/>
          <w:tab w:val="left" w:pos="2280"/>
        </w:tabs>
        <w:spacing w:after="0" w:line="240" w:lineRule="auto"/>
        <w:rPr>
          <w:rFonts w:eastAsia="Times New Roman"/>
          <w:sz w:val="22"/>
          <w:szCs w:val="22"/>
        </w:rPr>
      </w:pPr>
    </w:p>
    <w:p w:rsidR="00C31FA1" w:rsidRDefault="00F96714">
      <w:pPr>
        <w:tabs>
          <w:tab w:val="left" w:pos="2160"/>
          <w:tab w:val="left" w:pos="2280"/>
        </w:tabs>
        <w:spacing w:after="0" w:line="240" w:lineRule="auto"/>
        <w:rPr>
          <w:rFonts w:ascii="Arial Bold" w:eastAsia="Times New Roman" w:hAnsi="Arial Bold"/>
          <w:b/>
          <w:smallCaps/>
          <w:sz w:val="22"/>
          <w:szCs w:val="22"/>
        </w:rPr>
        <w:sectPr w:rsidR="00C31FA1" w:rsidSect="00E53D2A">
          <w:pgSz w:w="12240" w:h="15840"/>
          <w:pgMar w:top="1440" w:right="1440" w:bottom="1440" w:left="1440" w:header="720" w:footer="720" w:gutter="0"/>
          <w:cols w:num="2" w:space="720"/>
          <w:docGrid w:linePitch="360"/>
        </w:sectPr>
      </w:pPr>
      <w:r>
        <w:rPr>
          <w:rFonts w:ascii="Arial Bold" w:eastAsia="Times New Roman" w:hAnsi="Arial Bold"/>
          <w:b/>
          <w:smallCaps/>
          <w:sz w:val="22"/>
          <w:szCs w:val="22"/>
        </w:rPr>
        <w:t>On Behalf of Hess Corporation</w:t>
      </w:r>
    </w:p>
    <w:p w:rsidR="00FD64B7" w:rsidRDefault="00F96714">
      <w:pPr>
        <w:tabs>
          <w:tab w:val="left" w:pos="2160"/>
          <w:tab w:val="left" w:pos="2280"/>
        </w:tabs>
        <w:spacing w:after="0" w:line="240" w:lineRule="auto"/>
        <w:rPr>
          <w:rFonts w:eastAsia="Calibri"/>
          <w:color w:val="000000"/>
          <w:sz w:val="22"/>
          <w:szCs w:val="22"/>
        </w:rPr>
      </w:pPr>
      <w:r>
        <w:rPr>
          <w:rFonts w:eastAsia="Calibri"/>
          <w:color w:val="000000"/>
          <w:sz w:val="22"/>
          <w:szCs w:val="22"/>
        </w:rPr>
        <w:t>Allen Freifeld</w:t>
      </w:r>
    </w:p>
    <w:p w:rsidR="00FD64B7" w:rsidRDefault="00F96714">
      <w:pPr>
        <w:autoSpaceDE w:val="0"/>
        <w:autoSpaceDN w:val="0"/>
        <w:adjustRightInd w:val="0"/>
        <w:spacing w:after="0" w:line="240" w:lineRule="auto"/>
        <w:rPr>
          <w:rFonts w:eastAsia="Calibri"/>
          <w:color w:val="000000"/>
          <w:sz w:val="22"/>
          <w:szCs w:val="22"/>
        </w:rPr>
      </w:pPr>
      <w:r>
        <w:rPr>
          <w:rFonts w:eastAsia="Calibri"/>
          <w:color w:val="000000"/>
          <w:sz w:val="22"/>
          <w:szCs w:val="22"/>
        </w:rPr>
        <w:t>Samuel A. Wolfe</w:t>
      </w:r>
    </w:p>
    <w:p w:rsidR="00FD64B7" w:rsidRDefault="00F96714">
      <w:pPr>
        <w:autoSpaceDE w:val="0"/>
        <w:autoSpaceDN w:val="0"/>
        <w:adjustRightInd w:val="0"/>
        <w:spacing w:after="0" w:line="240" w:lineRule="auto"/>
        <w:rPr>
          <w:rFonts w:eastAsia="Calibri"/>
          <w:color w:val="000000"/>
          <w:sz w:val="22"/>
          <w:szCs w:val="22"/>
        </w:rPr>
      </w:pPr>
      <w:r>
        <w:rPr>
          <w:rFonts w:eastAsia="Calibri"/>
          <w:color w:val="000000"/>
          <w:sz w:val="22"/>
          <w:szCs w:val="22"/>
        </w:rPr>
        <w:t>Viridity Energy, Inc.</w:t>
      </w:r>
    </w:p>
    <w:p w:rsidR="00FD64B7" w:rsidRDefault="00F96714">
      <w:pPr>
        <w:autoSpaceDE w:val="0"/>
        <w:autoSpaceDN w:val="0"/>
        <w:adjustRightInd w:val="0"/>
        <w:spacing w:after="0" w:line="240" w:lineRule="auto"/>
        <w:rPr>
          <w:rFonts w:eastAsia="Calibri"/>
          <w:color w:val="000000"/>
          <w:sz w:val="22"/>
          <w:szCs w:val="22"/>
        </w:rPr>
      </w:pPr>
      <w:r>
        <w:rPr>
          <w:rFonts w:eastAsia="Calibri"/>
          <w:color w:val="000000"/>
          <w:sz w:val="22"/>
          <w:szCs w:val="22"/>
        </w:rPr>
        <w:t>100 West Elm Street, Suite 410</w:t>
      </w:r>
    </w:p>
    <w:p w:rsidR="00FD64B7" w:rsidRDefault="00F96714">
      <w:pPr>
        <w:autoSpaceDE w:val="0"/>
        <w:autoSpaceDN w:val="0"/>
        <w:adjustRightInd w:val="0"/>
        <w:spacing w:after="0" w:line="240" w:lineRule="auto"/>
        <w:rPr>
          <w:rFonts w:eastAsia="Calibri"/>
          <w:color w:val="000000"/>
          <w:sz w:val="22"/>
          <w:szCs w:val="22"/>
        </w:rPr>
      </w:pPr>
      <w:r>
        <w:rPr>
          <w:rFonts w:eastAsia="Calibri"/>
          <w:color w:val="000000"/>
          <w:sz w:val="22"/>
          <w:szCs w:val="22"/>
        </w:rPr>
        <w:t>Conshohocken, PA 19428</w:t>
      </w:r>
    </w:p>
    <w:p w:rsidR="00FD64B7" w:rsidRDefault="00F96714">
      <w:pPr>
        <w:autoSpaceDE w:val="0"/>
        <w:autoSpaceDN w:val="0"/>
        <w:adjustRightInd w:val="0"/>
        <w:spacing w:after="0" w:line="240" w:lineRule="auto"/>
        <w:rPr>
          <w:rFonts w:eastAsia="Calibri"/>
          <w:sz w:val="22"/>
          <w:szCs w:val="22"/>
        </w:rPr>
      </w:pPr>
      <w:r>
        <w:rPr>
          <w:rFonts w:eastAsia="Calibri"/>
          <w:sz w:val="22"/>
          <w:szCs w:val="22"/>
        </w:rPr>
        <w:t>afreifeld@viridityenergy.com</w:t>
      </w:r>
    </w:p>
    <w:p w:rsidR="00FD64B7" w:rsidRDefault="00F96714">
      <w:pPr>
        <w:autoSpaceDE w:val="0"/>
        <w:autoSpaceDN w:val="0"/>
        <w:adjustRightInd w:val="0"/>
        <w:spacing w:after="0" w:line="240" w:lineRule="auto"/>
        <w:rPr>
          <w:rFonts w:eastAsia="Calibri"/>
          <w:sz w:val="22"/>
          <w:szCs w:val="22"/>
        </w:rPr>
      </w:pPr>
      <w:r>
        <w:rPr>
          <w:rFonts w:eastAsia="Calibri"/>
          <w:sz w:val="22"/>
          <w:szCs w:val="22"/>
        </w:rPr>
        <w:t>swolfe@viridityenergy.com</w:t>
      </w:r>
    </w:p>
    <w:p w:rsidR="00FD64B7" w:rsidRDefault="00FD64B7">
      <w:pPr>
        <w:autoSpaceDE w:val="0"/>
        <w:autoSpaceDN w:val="0"/>
        <w:adjustRightInd w:val="0"/>
        <w:spacing w:after="0" w:line="240" w:lineRule="auto"/>
        <w:rPr>
          <w:rFonts w:eastAsia="Calibri"/>
          <w:sz w:val="22"/>
          <w:szCs w:val="22"/>
        </w:rPr>
      </w:pPr>
    </w:p>
    <w:p w:rsidR="00FD64B7" w:rsidRDefault="00F96714">
      <w:pPr>
        <w:autoSpaceDE w:val="0"/>
        <w:autoSpaceDN w:val="0"/>
        <w:adjustRightInd w:val="0"/>
        <w:spacing w:after="0" w:line="240" w:lineRule="auto"/>
        <w:rPr>
          <w:rFonts w:eastAsia="Calibri"/>
          <w:sz w:val="22"/>
          <w:szCs w:val="22"/>
        </w:rPr>
      </w:pPr>
      <w:r>
        <w:rPr>
          <w:rFonts w:eastAsia="Calibri"/>
          <w:sz w:val="22"/>
          <w:szCs w:val="22"/>
        </w:rPr>
        <w:t xml:space="preserve">Jacqueline Lake Roberts, </w:t>
      </w:r>
    </w:p>
    <w:p w:rsidR="00FD64B7" w:rsidRDefault="00F96714">
      <w:pPr>
        <w:autoSpaceDE w:val="0"/>
        <w:autoSpaceDN w:val="0"/>
        <w:adjustRightInd w:val="0"/>
        <w:spacing w:after="0" w:line="240" w:lineRule="auto"/>
        <w:rPr>
          <w:rFonts w:eastAsia="Calibri"/>
          <w:sz w:val="22"/>
          <w:szCs w:val="22"/>
        </w:rPr>
      </w:pPr>
      <w:r>
        <w:rPr>
          <w:rFonts w:eastAsia="Calibri"/>
          <w:sz w:val="22"/>
          <w:szCs w:val="22"/>
        </w:rPr>
        <w:t>Counsel of Record</w:t>
      </w:r>
    </w:p>
    <w:p w:rsidR="00FD64B7" w:rsidRDefault="00F96714">
      <w:pPr>
        <w:autoSpaceDE w:val="0"/>
        <w:autoSpaceDN w:val="0"/>
        <w:adjustRightInd w:val="0"/>
        <w:spacing w:after="0" w:line="240" w:lineRule="auto"/>
        <w:rPr>
          <w:rFonts w:eastAsia="Calibri"/>
          <w:sz w:val="22"/>
          <w:szCs w:val="22"/>
        </w:rPr>
      </w:pPr>
      <w:r>
        <w:rPr>
          <w:rFonts w:eastAsia="Calibri"/>
          <w:sz w:val="22"/>
          <w:szCs w:val="22"/>
        </w:rPr>
        <w:t>101 Federal Street, Suite 1100</w:t>
      </w:r>
    </w:p>
    <w:p w:rsidR="00FD64B7" w:rsidRDefault="00F96714">
      <w:pPr>
        <w:autoSpaceDE w:val="0"/>
        <w:autoSpaceDN w:val="0"/>
        <w:adjustRightInd w:val="0"/>
        <w:spacing w:after="0" w:line="240" w:lineRule="auto"/>
        <w:rPr>
          <w:rFonts w:eastAsia="Calibri"/>
          <w:sz w:val="22"/>
          <w:szCs w:val="22"/>
        </w:rPr>
      </w:pPr>
      <w:r>
        <w:rPr>
          <w:rFonts w:eastAsia="Calibri"/>
          <w:sz w:val="22"/>
          <w:szCs w:val="22"/>
        </w:rPr>
        <w:t>Boston, MA 02110</w:t>
      </w:r>
    </w:p>
    <w:p w:rsidR="00FD64B7" w:rsidRDefault="00F96714">
      <w:pPr>
        <w:autoSpaceDE w:val="0"/>
        <w:autoSpaceDN w:val="0"/>
        <w:adjustRightInd w:val="0"/>
        <w:spacing w:after="0" w:line="240" w:lineRule="auto"/>
        <w:rPr>
          <w:rFonts w:eastAsia="Calibri"/>
          <w:sz w:val="22"/>
          <w:szCs w:val="22"/>
        </w:rPr>
      </w:pPr>
      <w:r>
        <w:rPr>
          <w:rFonts w:eastAsia="Calibri"/>
          <w:sz w:val="22"/>
          <w:szCs w:val="22"/>
        </w:rPr>
        <w:t>jroberts@enernoc.com</w:t>
      </w:r>
    </w:p>
    <w:p w:rsidR="00FD64B7" w:rsidRDefault="00FD64B7">
      <w:pPr>
        <w:autoSpaceDE w:val="0"/>
        <w:autoSpaceDN w:val="0"/>
        <w:adjustRightInd w:val="0"/>
        <w:spacing w:after="0" w:line="240" w:lineRule="auto"/>
        <w:rPr>
          <w:rFonts w:eastAsia="Calibri"/>
          <w:sz w:val="22"/>
          <w:szCs w:val="22"/>
        </w:rPr>
      </w:pPr>
    </w:p>
    <w:p w:rsidR="00FD64B7" w:rsidRDefault="00F96714">
      <w:pPr>
        <w:spacing w:after="0" w:line="240" w:lineRule="auto"/>
        <w:rPr>
          <w:rFonts w:eastAsia="Calibri"/>
          <w:b/>
          <w:smallCaps/>
          <w:sz w:val="22"/>
          <w:szCs w:val="22"/>
        </w:rPr>
      </w:pPr>
      <w:r>
        <w:rPr>
          <w:rFonts w:eastAsia="Times New Roman"/>
          <w:b/>
          <w:smallCaps/>
          <w:sz w:val="22"/>
          <w:szCs w:val="22"/>
        </w:rPr>
        <w:t>On Behalf of CPower, Inc., Viridity Energy, Inc., EnergyConnect Inc., Comverge Inc., Enerwise Global Technologies, Inc., and Energy Curtailment Specialists, Inc.</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Robert Korandovich</w:t>
      </w:r>
    </w:p>
    <w:p w:rsidR="00FD64B7" w:rsidRDefault="00F96714">
      <w:pPr>
        <w:spacing w:after="0" w:line="240" w:lineRule="auto"/>
        <w:rPr>
          <w:rFonts w:eastAsia="Times New Roman"/>
          <w:sz w:val="22"/>
          <w:szCs w:val="22"/>
        </w:rPr>
      </w:pPr>
      <w:r>
        <w:rPr>
          <w:rFonts w:eastAsia="Times New Roman"/>
          <w:sz w:val="22"/>
          <w:szCs w:val="22"/>
        </w:rPr>
        <w:t>KOREnergy</w:t>
      </w:r>
    </w:p>
    <w:p w:rsidR="00FD64B7" w:rsidRDefault="00F96714">
      <w:pPr>
        <w:spacing w:after="0" w:line="240" w:lineRule="auto"/>
        <w:rPr>
          <w:rFonts w:eastAsia="Times New Roman"/>
          <w:sz w:val="22"/>
          <w:szCs w:val="22"/>
        </w:rPr>
      </w:pPr>
      <w:r>
        <w:rPr>
          <w:rFonts w:eastAsia="Times New Roman"/>
          <w:sz w:val="22"/>
          <w:szCs w:val="22"/>
        </w:rPr>
        <w:t>P.O. Box 148</w:t>
      </w:r>
    </w:p>
    <w:p w:rsidR="00FD64B7" w:rsidRDefault="00F96714">
      <w:pPr>
        <w:spacing w:after="0" w:line="240" w:lineRule="auto"/>
        <w:rPr>
          <w:rFonts w:eastAsia="Times New Roman"/>
          <w:sz w:val="22"/>
          <w:szCs w:val="22"/>
        </w:rPr>
      </w:pPr>
      <w:r>
        <w:rPr>
          <w:rFonts w:eastAsia="Times New Roman"/>
          <w:sz w:val="22"/>
          <w:szCs w:val="22"/>
        </w:rPr>
        <w:t>Sunbury, OH  43074</w:t>
      </w:r>
    </w:p>
    <w:p w:rsidR="00FD64B7" w:rsidRDefault="00F96714">
      <w:pPr>
        <w:spacing w:after="0" w:line="240" w:lineRule="auto"/>
        <w:rPr>
          <w:rFonts w:eastAsia="Times New Roman"/>
          <w:sz w:val="22"/>
          <w:szCs w:val="22"/>
        </w:rPr>
      </w:pPr>
      <w:r>
        <w:rPr>
          <w:rFonts w:eastAsia="Times New Roman"/>
          <w:sz w:val="22"/>
          <w:szCs w:val="22"/>
        </w:rPr>
        <w:t>korenergy@insight.rr.com</w:t>
      </w:r>
    </w:p>
    <w:p w:rsidR="00FD64B7" w:rsidRDefault="00FD64B7">
      <w:pPr>
        <w:spacing w:after="0" w:line="240" w:lineRule="auto"/>
        <w:rPr>
          <w:rFonts w:eastAsia="Times New Roman"/>
          <w:sz w:val="22"/>
          <w:szCs w:val="22"/>
        </w:rPr>
      </w:pPr>
    </w:p>
    <w:p w:rsidR="00FD64B7" w:rsidRDefault="00F96714">
      <w:pPr>
        <w:spacing w:after="0" w:line="240" w:lineRule="auto"/>
        <w:rPr>
          <w:rFonts w:eastAsia="Calibri"/>
          <w:b/>
          <w:smallCaps/>
          <w:sz w:val="22"/>
          <w:szCs w:val="22"/>
        </w:rPr>
      </w:pPr>
      <w:r>
        <w:rPr>
          <w:rFonts w:eastAsia="Calibri"/>
          <w:b/>
          <w:smallCaps/>
          <w:sz w:val="22"/>
          <w:szCs w:val="22"/>
        </w:rPr>
        <w:t>On Behalf of KOREnergy</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Benita Kahn</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Lija Kaleps-Clark</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Vorys Sater, Seymour and Pease LLC</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52 East Gay Street, P.O. Box 1008</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43216-1008</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bakahn@vorys.com</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lkalepsclark@vorys.com</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William Wright</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Werner Margard</w:t>
      </w:r>
    </w:p>
    <w:p w:rsidR="00FD64B7" w:rsidRDefault="00F96714">
      <w:pPr>
        <w:tabs>
          <w:tab w:val="left" w:pos="2160"/>
          <w:tab w:val="left" w:pos="2280"/>
        </w:tabs>
        <w:spacing w:after="0" w:line="240" w:lineRule="auto"/>
        <w:rPr>
          <w:rFonts w:eastAsia="Times New Roman"/>
          <w:b/>
          <w:smallCaps/>
          <w:sz w:val="22"/>
          <w:szCs w:val="22"/>
        </w:rPr>
      </w:pPr>
      <w:r>
        <w:rPr>
          <w:rFonts w:eastAsia="Times New Roman"/>
          <w:sz w:val="22"/>
          <w:szCs w:val="22"/>
        </w:rPr>
        <w:t>Thomas Lindgren</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John H. Jones</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Assistant Attorneys’ General</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Public Utilities Section</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180 East Broad Street, 6</w:t>
      </w:r>
      <w:r>
        <w:rPr>
          <w:rFonts w:eastAsia="Times New Roman"/>
          <w:sz w:val="22"/>
          <w:szCs w:val="22"/>
          <w:vertAlign w:val="superscript"/>
        </w:rPr>
        <w:t>th</w:t>
      </w:r>
      <w:r>
        <w:rPr>
          <w:rFonts w:eastAsia="Times New Roman"/>
          <w:sz w:val="22"/>
          <w:szCs w:val="22"/>
        </w:rPr>
        <w:t xml:space="preserve"> Floor</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Columbus, OH  43215</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john.jones@puc.state.oh.us</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werner.margard@puc.state.oh.us</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thomas.lindgren@puc.state.oh.us</w:t>
      </w:r>
    </w:p>
    <w:p w:rsidR="00FD64B7" w:rsidRDefault="00F96714">
      <w:pPr>
        <w:tabs>
          <w:tab w:val="left" w:pos="2160"/>
          <w:tab w:val="left" w:pos="2280"/>
        </w:tabs>
        <w:spacing w:after="0" w:line="240" w:lineRule="auto"/>
        <w:rPr>
          <w:rFonts w:eastAsia="Times New Roman"/>
          <w:sz w:val="22"/>
          <w:szCs w:val="22"/>
        </w:rPr>
      </w:pPr>
      <w:r>
        <w:rPr>
          <w:rFonts w:eastAsia="Times New Roman"/>
          <w:sz w:val="22"/>
          <w:szCs w:val="22"/>
        </w:rPr>
        <w:t>william.wright@puc.state.oh.us</w:t>
      </w:r>
    </w:p>
    <w:p w:rsidR="00FD64B7" w:rsidRDefault="00FD64B7">
      <w:pPr>
        <w:tabs>
          <w:tab w:val="left" w:pos="2160"/>
          <w:tab w:val="left" w:pos="2280"/>
        </w:tabs>
        <w:spacing w:after="0" w:line="240" w:lineRule="auto"/>
        <w:rPr>
          <w:rFonts w:eastAsia="Times New Roman"/>
          <w:sz w:val="22"/>
          <w:szCs w:val="22"/>
        </w:rPr>
      </w:pPr>
    </w:p>
    <w:p w:rsidR="00FD64B7" w:rsidRDefault="00F96714">
      <w:pPr>
        <w:tabs>
          <w:tab w:val="left" w:pos="2160"/>
          <w:tab w:val="left" w:pos="2280"/>
        </w:tabs>
        <w:spacing w:after="0" w:line="240" w:lineRule="auto"/>
        <w:rPr>
          <w:rFonts w:eastAsia="Times New Roman"/>
          <w:b/>
          <w:smallCaps/>
          <w:sz w:val="22"/>
          <w:szCs w:val="22"/>
        </w:rPr>
      </w:pPr>
      <w:r>
        <w:rPr>
          <w:rFonts w:eastAsia="Times New Roman"/>
          <w:b/>
          <w:smallCaps/>
          <w:sz w:val="22"/>
          <w:szCs w:val="22"/>
        </w:rPr>
        <w:t xml:space="preserve">On Behalf of the </w:t>
      </w:r>
      <w:r w:rsidR="00C31FA1">
        <w:rPr>
          <w:rFonts w:eastAsia="Times New Roman"/>
          <w:b/>
          <w:smallCaps/>
          <w:sz w:val="22"/>
          <w:szCs w:val="22"/>
        </w:rPr>
        <w:t xml:space="preserve">Staff of the </w:t>
      </w:r>
      <w:r>
        <w:rPr>
          <w:rFonts w:eastAsia="Times New Roman"/>
          <w:b/>
          <w:smallCaps/>
          <w:sz w:val="22"/>
          <w:szCs w:val="22"/>
        </w:rPr>
        <w:t>Public Utilities Commission of Ohio</w:t>
      </w:r>
    </w:p>
    <w:p w:rsidR="00FD64B7" w:rsidRDefault="00F96714">
      <w:pPr>
        <w:tabs>
          <w:tab w:val="left" w:pos="4680"/>
        </w:tabs>
        <w:spacing w:after="0" w:line="240" w:lineRule="auto"/>
        <w:rPr>
          <w:rFonts w:eastAsia="Times New Roman"/>
          <w:color w:val="000000"/>
          <w:sz w:val="22"/>
          <w:szCs w:val="22"/>
        </w:rPr>
      </w:pPr>
      <w:r>
        <w:rPr>
          <w:rFonts w:eastAsia="Times New Roman"/>
          <w:color w:val="000000"/>
          <w:sz w:val="22"/>
          <w:szCs w:val="22"/>
        </w:rPr>
        <w:t>Greta See</w:t>
      </w:r>
    </w:p>
    <w:p w:rsidR="00FD64B7" w:rsidRDefault="00F96714">
      <w:pPr>
        <w:tabs>
          <w:tab w:val="left" w:pos="4680"/>
        </w:tabs>
        <w:spacing w:after="0" w:line="240" w:lineRule="auto"/>
        <w:rPr>
          <w:rFonts w:eastAsia="Times New Roman"/>
          <w:color w:val="000000"/>
          <w:sz w:val="22"/>
          <w:szCs w:val="22"/>
        </w:rPr>
      </w:pPr>
      <w:r>
        <w:rPr>
          <w:rFonts w:eastAsia="Times New Roman"/>
          <w:color w:val="000000"/>
          <w:sz w:val="22"/>
          <w:szCs w:val="22"/>
        </w:rPr>
        <w:t>Jon Tauber</w:t>
      </w:r>
    </w:p>
    <w:p w:rsidR="00FD64B7" w:rsidRDefault="00F96714">
      <w:pPr>
        <w:tabs>
          <w:tab w:val="left" w:pos="4680"/>
        </w:tabs>
        <w:spacing w:after="0" w:line="240" w:lineRule="auto"/>
        <w:rPr>
          <w:rFonts w:eastAsia="Times New Roman"/>
          <w:color w:val="000000"/>
          <w:sz w:val="22"/>
          <w:szCs w:val="22"/>
        </w:rPr>
      </w:pPr>
      <w:r>
        <w:rPr>
          <w:rFonts w:eastAsia="Times New Roman"/>
          <w:color w:val="000000"/>
          <w:sz w:val="22"/>
          <w:szCs w:val="22"/>
        </w:rPr>
        <w:t>Attorney Examiner</w:t>
      </w:r>
    </w:p>
    <w:p w:rsidR="00FD64B7" w:rsidRDefault="00F96714">
      <w:pPr>
        <w:tabs>
          <w:tab w:val="left" w:pos="4680"/>
        </w:tabs>
        <w:spacing w:after="0" w:line="240" w:lineRule="auto"/>
        <w:rPr>
          <w:rFonts w:eastAsia="Times New Roman"/>
          <w:color w:val="000000"/>
          <w:sz w:val="22"/>
          <w:szCs w:val="22"/>
        </w:rPr>
      </w:pPr>
      <w:r>
        <w:rPr>
          <w:rFonts w:eastAsia="Times New Roman"/>
          <w:color w:val="000000"/>
          <w:sz w:val="22"/>
          <w:szCs w:val="22"/>
        </w:rPr>
        <w:t>Public Utilities Commission of Ohio</w:t>
      </w:r>
    </w:p>
    <w:p w:rsidR="00FD64B7" w:rsidRDefault="00F96714">
      <w:pPr>
        <w:tabs>
          <w:tab w:val="left" w:pos="4680"/>
        </w:tabs>
        <w:spacing w:after="0" w:line="240" w:lineRule="auto"/>
        <w:rPr>
          <w:rFonts w:eastAsia="Times New Roman"/>
          <w:color w:val="000000"/>
          <w:sz w:val="22"/>
          <w:szCs w:val="22"/>
        </w:rPr>
      </w:pPr>
      <w:r>
        <w:rPr>
          <w:rFonts w:eastAsia="Times New Roman"/>
          <w:color w:val="000000"/>
          <w:sz w:val="22"/>
          <w:szCs w:val="22"/>
        </w:rPr>
        <w:t>180 East Broad Street, 12</w:t>
      </w:r>
      <w:r>
        <w:rPr>
          <w:rFonts w:eastAsia="Times New Roman"/>
          <w:color w:val="000000"/>
          <w:sz w:val="22"/>
          <w:szCs w:val="22"/>
          <w:vertAlign w:val="superscript"/>
        </w:rPr>
        <w:t>th</w:t>
      </w:r>
      <w:r>
        <w:rPr>
          <w:rFonts w:eastAsia="Times New Roman"/>
          <w:color w:val="000000"/>
          <w:sz w:val="22"/>
          <w:szCs w:val="22"/>
        </w:rPr>
        <w:t xml:space="preserve"> Floor</w:t>
      </w:r>
    </w:p>
    <w:p w:rsidR="00FD64B7" w:rsidRDefault="00F96714">
      <w:pPr>
        <w:tabs>
          <w:tab w:val="left" w:pos="4680"/>
        </w:tabs>
        <w:spacing w:after="0" w:line="240" w:lineRule="auto"/>
        <w:rPr>
          <w:rFonts w:eastAsia="Times New Roman"/>
          <w:color w:val="000000"/>
          <w:sz w:val="22"/>
          <w:szCs w:val="22"/>
        </w:rPr>
      </w:pPr>
      <w:r>
        <w:rPr>
          <w:rFonts w:eastAsia="Times New Roman"/>
          <w:color w:val="000000"/>
          <w:sz w:val="22"/>
          <w:szCs w:val="22"/>
        </w:rPr>
        <w:t>Columbus, OH  43215</w:t>
      </w:r>
    </w:p>
    <w:p w:rsidR="00FD64B7" w:rsidRDefault="00FD64B7">
      <w:pPr>
        <w:tabs>
          <w:tab w:val="left" w:pos="4680"/>
        </w:tabs>
        <w:spacing w:after="0" w:line="240" w:lineRule="auto"/>
        <w:rPr>
          <w:rFonts w:eastAsia="Times New Roman"/>
          <w:color w:val="000000"/>
          <w:sz w:val="22"/>
          <w:szCs w:val="22"/>
        </w:rPr>
      </w:pPr>
    </w:p>
    <w:p w:rsidR="00FD64B7" w:rsidRDefault="00F96714">
      <w:pPr>
        <w:tabs>
          <w:tab w:val="left" w:pos="4680"/>
        </w:tabs>
        <w:spacing w:after="0" w:line="240" w:lineRule="auto"/>
        <w:rPr>
          <w:rFonts w:eastAsia="Times New Roman"/>
          <w:b/>
          <w:smallCaps/>
          <w:color w:val="000000"/>
          <w:sz w:val="22"/>
          <w:szCs w:val="22"/>
        </w:rPr>
      </w:pPr>
      <w:r>
        <w:rPr>
          <w:rFonts w:eastAsia="Times New Roman"/>
          <w:b/>
          <w:smallCaps/>
          <w:color w:val="000000"/>
          <w:sz w:val="22"/>
          <w:szCs w:val="22"/>
        </w:rPr>
        <w:t>Attorney Examiners</w:t>
      </w:r>
    </w:p>
    <w:p w:rsidR="00FD64B7" w:rsidRDefault="00FD64B7">
      <w:pPr>
        <w:spacing w:line="480" w:lineRule="auto"/>
        <w:jc w:val="both"/>
      </w:pPr>
    </w:p>
    <w:sectPr w:rsidR="00FD64B7" w:rsidSect="00E53D2A">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DA0" w:rsidRDefault="00757DA0">
      <w:pPr>
        <w:spacing w:after="0" w:line="240" w:lineRule="auto"/>
      </w:pPr>
      <w:r>
        <w:separator/>
      </w:r>
    </w:p>
  </w:endnote>
  <w:endnote w:type="continuationSeparator" w:id="0">
    <w:p w:rsidR="00757DA0" w:rsidRDefault="00757D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sig w:usb0="00000000" w:usb1="00000000" w:usb2="00000000" w:usb3="00000000" w:csb0="00000000" w:csb1="00000000"/>
  </w:font>
  <w:font w:name="TTE1AC6558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0E61B9">
    <w:pPr>
      <w:pStyle w:val="Footer"/>
      <w:framePr w:wrap="around" w:vAnchor="text" w:hAnchor="margin" w:xAlign="center" w:y="1"/>
      <w:rPr>
        <w:rStyle w:val="PageNumber"/>
      </w:rPr>
    </w:pPr>
    <w:r>
      <w:rPr>
        <w:rStyle w:val="PageNumber"/>
      </w:rPr>
      <w:fldChar w:fldCharType="begin"/>
    </w:r>
    <w:r w:rsidR="00757DA0">
      <w:rPr>
        <w:rStyle w:val="PageNumber"/>
      </w:rPr>
      <w:instrText xml:space="preserve">PAGE  </w:instrText>
    </w:r>
    <w:r>
      <w:rPr>
        <w:rStyle w:val="PageNumber"/>
      </w:rPr>
      <w:fldChar w:fldCharType="separate"/>
    </w:r>
    <w:r w:rsidR="00016FCF">
      <w:rPr>
        <w:rStyle w:val="PageNumber"/>
        <w:noProof/>
      </w:rPr>
      <w:t>75</w:t>
    </w:r>
    <w:r>
      <w:rPr>
        <w:rStyle w:val="PageNumber"/>
      </w:rPr>
      <w:fldChar w:fldCharType="end"/>
    </w:r>
  </w:p>
  <w:p w:rsidR="00757DA0" w:rsidRDefault="00757DA0">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011EA5">
    <w:pPr>
      <w:pStyle w:val="Footer"/>
    </w:pPr>
    <w:r w:rsidRPr="00011EA5">
      <w:rPr>
        <w:noProof/>
        <w:sz w:val="16"/>
      </w:rPr>
      <w:t>{C36056: }</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011EA5">
    <w:pPr>
      <w:pStyle w:val="Footer"/>
    </w:pPr>
    <w:r w:rsidRPr="00011EA5">
      <w:rPr>
        <w:noProof/>
        <w:sz w:val="16"/>
      </w:rPr>
      <w:t>{C36056: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011EA5">
    <w:pPr>
      <w:pStyle w:val="Footer"/>
    </w:pPr>
    <w:r w:rsidRPr="00011EA5">
      <w:rPr>
        <w:noProof/>
        <w:sz w:val="16"/>
      </w:rPr>
      <w:t>{C36056: }</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011EA5">
    <w:pPr>
      <w:pStyle w:val="Footer"/>
    </w:pPr>
    <w:r w:rsidRPr="00011EA5">
      <w:rPr>
        <w:noProof/>
        <w:sz w:val="16"/>
      </w:rPr>
      <w:t>{C36056: }</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757DA0">
    <w:pPr>
      <w:pStyle w:val="Footer"/>
    </w:pPr>
    <w:r w:rsidRPr="007C65F2">
      <w:rPr>
        <w:noProof/>
        <w:sz w:val="16"/>
      </w:rPr>
      <w:t>{C36056: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011EA5">
    <w:pPr>
      <w:pStyle w:val="Footer"/>
    </w:pPr>
    <w:r w:rsidRPr="00011EA5">
      <w:rPr>
        <w:noProof/>
        <w:sz w:val="16"/>
      </w:rPr>
      <w:t>{C36056: }</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757DA0">
    <w:pPr>
      <w:pStyle w:val="Footer"/>
    </w:pPr>
    <w:r w:rsidRPr="007C65F2">
      <w:rPr>
        <w:noProof/>
        <w:sz w:val="16"/>
      </w:rPr>
      <w:t>{C36056: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011EA5">
    <w:pPr>
      <w:pStyle w:val="Footer"/>
    </w:pPr>
    <w:r w:rsidRPr="00011EA5">
      <w:rPr>
        <w:noProof/>
        <w:sz w:val="16"/>
      </w:rPr>
      <w:t>{C36056: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011EA5">
    <w:pPr>
      <w:pStyle w:val="Footer"/>
    </w:pPr>
    <w:r w:rsidRPr="00011EA5">
      <w:rPr>
        <w:noProof/>
        <w:sz w:val="16"/>
      </w:rPr>
      <w:t>{C36056: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011EA5">
    <w:pPr>
      <w:pStyle w:val="Footer"/>
    </w:pPr>
    <w:r w:rsidRPr="00011EA5">
      <w:rPr>
        <w:noProof/>
        <w:sz w:val="16"/>
      </w:rPr>
      <w:t>{C36056: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011EA5">
    <w:pPr>
      <w:pStyle w:val="Footer"/>
    </w:pPr>
    <w:r w:rsidRPr="00011EA5">
      <w:rPr>
        <w:noProof/>
        <w:sz w:val="16"/>
      </w:rPr>
      <w:t>{C36056: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011EA5">
    <w:pPr>
      <w:pStyle w:val="Footer"/>
    </w:pPr>
    <w:r w:rsidRPr="00011EA5">
      <w:rPr>
        <w:noProof/>
        <w:sz w:val="16"/>
      </w:rPr>
      <w:t>{C36056: }</w:t>
    </w:r>
    <w:r w:rsidR="00757DA0">
      <w:rPr>
        <w:noProof/>
        <w:sz w:val="16"/>
      </w:rPr>
      <w:tab/>
    </w:r>
    <w:r w:rsidR="000E61B9" w:rsidRPr="006D1C66">
      <w:rPr>
        <w:noProof/>
        <w:sz w:val="22"/>
        <w:szCs w:val="22"/>
      </w:rPr>
      <w:fldChar w:fldCharType="begin"/>
    </w:r>
    <w:r w:rsidR="00757DA0" w:rsidRPr="006D1C66">
      <w:rPr>
        <w:noProof/>
        <w:sz w:val="22"/>
        <w:szCs w:val="22"/>
      </w:rPr>
      <w:instrText xml:space="preserve"> PAGE   \* MERGEFORMAT </w:instrText>
    </w:r>
    <w:r w:rsidR="000E61B9" w:rsidRPr="006D1C66">
      <w:rPr>
        <w:noProof/>
        <w:sz w:val="22"/>
        <w:szCs w:val="22"/>
      </w:rPr>
      <w:fldChar w:fldCharType="separate"/>
    </w:r>
    <w:r w:rsidR="0078588C">
      <w:rPr>
        <w:noProof/>
        <w:sz w:val="22"/>
        <w:szCs w:val="22"/>
      </w:rPr>
      <w:t>6</w:t>
    </w:r>
    <w:r w:rsidR="000E61B9" w:rsidRPr="006D1C66">
      <w:rPr>
        <w:noProof/>
        <w:sz w:val="22"/>
        <w:szCs w:val="2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011EA5">
    <w:pPr>
      <w:pStyle w:val="Footer"/>
    </w:pPr>
    <w:r w:rsidRPr="00011EA5">
      <w:rPr>
        <w:noProof/>
        <w:sz w:val="16"/>
      </w:rPr>
      <w:t>{C36056: }</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757DA0">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011EA5">
    <w:pPr>
      <w:pStyle w:val="Footer"/>
    </w:pPr>
    <w:r w:rsidRPr="00011EA5">
      <w:rPr>
        <w:noProof/>
        <w:sz w:val="16"/>
      </w:rPr>
      <w:t>{C36056: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DA0" w:rsidRDefault="00757DA0">
      <w:pPr>
        <w:spacing w:after="0" w:line="240" w:lineRule="auto"/>
        <w:rPr>
          <w:noProof/>
        </w:rPr>
      </w:pPr>
      <w:r>
        <w:rPr>
          <w:noProof/>
        </w:rPr>
        <w:separator/>
      </w:r>
    </w:p>
  </w:footnote>
  <w:footnote w:type="continuationSeparator" w:id="0">
    <w:p w:rsidR="00757DA0" w:rsidRDefault="00757DA0">
      <w:pPr>
        <w:spacing w:after="0" w:line="240" w:lineRule="auto"/>
      </w:pPr>
      <w:r>
        <w:continuationSeparator/>
      </w:r>
    </w:p>
  </w:footnote>
  <w:footnote w:id="1">
    <w:p w:rsidR="00757DA0" w:rsidRDefault="00757DA0" w:rsidP="009B2E28">
      <w:pPr>
        <w:jc w:val="both"/>
      </w:pPr>
      <w:r>
        <w:rPr>
          <w:rStyle w:val="FootnoteReference"/>
          <w:sz w:val="20"/>
          <w:szCs w:val="20"/>
        </w:rPr>
        <w:footnoteRef/>
      </w:r>
      <w:r>
        <w:rPr>
          <w:sz w:val="20"/>
          <w:szCs w:val="20"/>
        </w:rPr>
        <w:t xml:space="preserve"> </w:t>
      </w:r>
      <w:r>
        <w:rPr>
          <w:i/>
          <w:sz w:val="20"/>
          <w:szCs w:val="20"/>
        </w:rPr>
        <w:t>In the Matter of the Applications of the Columbus Southern Power Company and the Ohio Power Company for Approval of a Post-Market Development Period Rate Stabilization Plan</w:t>
      </w:r>
      <w:r>
        <w:rPr>
          <w:sz w:val="20"/>
          <w:szCs w:val="20"/>
        </w:rPr>
        <w:t xml:space="preserve">, Case No. 04-169-EL-UNC, Opinion and Order at 9 (Jan. 26, 2005); </w:t>
      </w:r>
      <w:r>
        <w:rPr>
          <w:i/>
          <w:sz w:val="20"/>
          <w:szCs w:val="20"/>
        </w:rPr>
        <w:t>In the Matter of the Application of Columbus Southern Power Company and Ohio Power Company for Approval of an Additional Generation Service Rate Increase Pursuant to Their Post-Market Development Period Rate Stabilization Plans</w:t>
      </w:r>
      <w:r>
        <w:rPr>
          <w:sz w:val="20"/>
          <w:szCs w:val="20"/>
        </w:rPr>
        <w:t xml:space="preserve">, </w:t>
      </w:r>
      <w:r w:rsidRPr="003B7E09">
        <w:rPr>
          <w:sz w:val="20"/>
          <w:szCs w:val="20"/>
        </w:rPr>
        <w:t>Case No. 07-63-EL-UNC</w:t>
      </w:r>
      <w:r>
        <w:rPr>
          <w:sz w:val="20"/>
          <w:szCs w:val="20"/>
        </w:rPr>
        <w:t xml:space="preserve">, Opinion and Order at 27-29 (Oct. 3, 2007); </w:t>
      </w:r>
      <w:r>
        <w:rPr>
          <w:i/>
          <w:sz w:val="20"/>
          <w:szCs w:val="20"/>
        </w:rPr>
        <w:t>In the Matter of the Application of Columbus Southern Power Company for Approval of an Electric Security Plan; an Amendment to its Corporate Separation Plan; and the Sale or Transfer of Certain Generating Assets</w:t>
      </w:r>
      <w:r>
        <w:rPr>
          <w:sz w:val="20"/>
          <w:szCs w:val="20"/>
        </w:rPr>
        <w:t xml:space="preserve">, Case Nos. 08-917-EL-SSO, </w:t>
      </w:r>
      <w:r>
        <w:rPr>
          <w:i/>
          <w:sz w:val="20"/>
          <w:szCs w:val="20"/>
        </w:rPr>
        <w:t>et al.</w:t>
      </w:r>
      <w:r>
        <w:rPr>
          <w:sz w:val="20"/>
          <w:szCs w:val="20"/>
        </w:rPr>
        <w:t xml:space="preserve">, Opinion and Order at 28 (Mar. 18, 2009), </w:t>
      </w:r>
      <w:r w:rsidRPr="00F205FF">
        <w:rPr>
          <w:i/>
          <w:sz w:val="20"/>
          <w:szCs w:val="20"/>
        </w:rPr>
        <w:t xml:space="preserve">affirmed in part and reversed and remanded in part, In re </w:t>
      </w:r>
      <w:r>
        <w:rPr>
          <w:i/>
          <w:sz w:val="20"/>
          <w:szCs w:val="20"/>
        </w:rPr>
        <w:t xml:space="preserve">Application of </w:t>
      </w:r>
      <w:r w:rsidRPr="00F205FF">
        <w:rPr>
          <w:i/>
          <w:sz w:val="20"/>
          <w:szCs w:val="20"/>
        </w:rPr>
        <w:t>Columbus S. Power Co</w:t>
      </w:r>
      <w:r>
        <w:rPr>
          <w:sz w:val="20"/>
          <w:szCs w:val="20"/>
        </w:rPr>
        <w:t>., 128 Ohio St.3d 512 (2011).</w:t>
      </w:r>
    </w:p>
  </w:footnote>
  <w:footnote w:id="2">
    <w:p w:rsidR="00757DA0" w:rsidRDefault="00757DA0" w:rsidP="009B2E28">
      <w:pPr>
        <w:autoSpaceDE w:val="0"/>
        <w:autoSpaceDN w:val="0"/>
        <w:adjustRightInd w:val="0"/>
        <w:spacing w:after="0" w:line="240" w:lineRule="auto"/>
        <w:jc w:val="both"/>
        <w:rPr>
          <w:sz w:val="20"/>
          <w:szCs w:val="20"/>
        </w:rPr>
      </w:pPr>
      <w:r>
        <w:rPr>
          <w:rStyle w:val="FootnoteReference"/>
          <w:sz w:val="20"/>
          <w:szCs w:val="20"/>
        </w:rPr>
        <w:footnoteRef/>
      </w:r>
      <w:r>
        <w:rPr>
          <w:sz w:val="20"/>
          <w:szCs w:val="20"/>
        </w:rPr>
        <w:t xml:space="preserve"> </w:t>
      </w:r>
      <w:r>
        <w:rPr>
          <w:i/>
          <w:sz w:val="20"/>
          <w:szCs w:val="20"/>
        </w:rPr>
        <w:t>In the Matter of the Application of Columbus Southern Power Company and Ohio Power Company for Administration of the Significantly Excessive Earnings Test Under Section 4928.143(F), Revised Code, and Rule 4901:1-35-10, Ohio Administrative Code</w:t>
      </w:r>
      <w:r>
        <w:rPr>
          <w:sz w:val="20"/>
          <w:szCs w:val="20"/>
        </w:rPr>
        <w:t>, Case No. 10-1261-EL-UNC, Opinion and Order at 35 (Jan. 11, 2011).</w:t>
      </w:r>
    </w:p>
    <w:p w:rsidR="00757DA0" w:rsidRDefault="00757DA0" w:rsidP="009B2E28">
      <w:pPr>
        <w:pStyle w:val="FootnoteText"/>
        <w:jc w:val="both"/>
      </w:pPr>
    </w:p>
  </w:footnote>
  <w:footnote w:id="3">
    <w:p w:rsidR="00757DA0" w:rsidRDefault="00757DA0" w:rsidP="00757DA0">
      <w:pPr>
        <w:pStyle w:val="FootnoteText"/>
        <w:jc w:val="both"/>
      </w:pPr>
      <w:r>
        <w:rPr>
          <w:rStyle w:val="FootnoteReference"/>
        </w:rPr>
        <w:footnoteRef/>
      </w:r>
      <w:r>
        <w:t xml:space="preserve"> IEU-Ohio Exhibit 19 (at pages 11 and 13) contains AEP’s documentation of the extent to which rates authorized by the Commission have produced financial results stunningly superior to the results in states that set rates for the Companies’ affiliates based on a cost-of-service metric.  Tr. Vol. XII at 2251-57 (Cross-examination of Philip Nelson).</w:t>
      </w:r>
    </w:p>
    <w:p w:rsidR="00757DA0" w:rsidRDefault="00757DA0" w:rsidP="009B2E28">
      <w:pPr>
        <w:pStyle w:val="FootnoteText"/>
      </w:pPr>
    </w:p>
  </w:footnote>
  <w:footnote w:id="4">
    <w:p w:rsidR="00757DA0" w:rsidRDefault="00757DA0" w:rsidP="009B2E28">
      <w:pPr>
        <w:pStyle w:val="FootnoteText"/>
        <w:jc w:val="both"/>
      </w:pPr>
      <w:r>
        <w:rPr>
          <w:rStyle w:val="FootnoteReference"/>
        </w:rPr>
        <w:footnoteRef/>
      </w:r>
      <w:r>
        <w:t xml:space="preserve"> IEU-Ohio Ex. 16 at 9, 11-14.</w:t>
      </w:r>
    </w:p>
    <w:p w:rsidR="00757DA0" w:rsidRDefault="00757DA0" w:rsidP="009B2E28">
      <w:pPr>
        <w:pStyle w:val="FootnoteText"/>
        <w:jc w:val="both"/>
      </w:pPr>
    </w:p>
  </w:footnote>
  <w:footnote w:id="5">
    <w:p w:rsidR="00757DA0" w:rsidRDefault="00757DA0" w:rsidP="009B2E28">
      <w:pPr>
        <w:autoSpaceDE w:val="0"/>
        <w:autoSpaceDN w:val="0"/>
        <w:adjustRightInd w:val="0"/>
        <w:spacing w:after="0" w:line="240" w:lineRule="auto"/>
        <w:jc w:val="both"/>
        <w:rPr>
          <w:sz w:val="20"/>
          <w:szCs w:val="20"/>
        </w:rPr>
      </w:pPr>
      <w:r w:rsidRPr="002A41C4">
        <w:rPr>
          <w:rStyle w:val="FootnoteReference"/>
          <w:sz w:val="20"/>
          <w:szCs w:val="20"/>
        </w:rPr>
        <w:footnoteRef/>
      </w:r>
      <w:r>
        <w:rPr>
          <w:sz w:val="20"/>
          <w:szCs w:val="20"/>
        </w:rPr>
        <w:t xml:space="preserve"> Tr. Vol. V at 811-12 (Cross-examination of Joseph Hamrock);</w:t>
      </w:r>
      <w:r>
        <w:rPr>
          <w:i/>
          <w:sz w:val="20"/>
          <w:szCs w:val="20"/>
        </w:rPr>
        <w:t xml:space="preserve"> </w:t>
      </w:r>
      <w:r>
        <w:rPr>
          <w:sz w:val="20"/>
          <w:szCs w:val="20"/>
        </w:rPr>
        <w:t xml:space="preserve">IEU-Ohio Ex. 17, Attachment 1 at 2. </w:t>
      </w:r>
    </w:p>
    <w:p w:rsidR="00757DA0" w:rsidRDefault="00757DA0" w:rsidP="009B2E28">
      <w:pPr>
        <w:autoSpaceDE w:val="0"/>
        <w:autoSpaceDN w:val="0"/>
        <w:adjustRightInd w:val="0"/>
        <w:spacing w:after="0" w:line="240" w:lineRule="auto"/>
        <w:jc w:val="both"/>
        <w:rPr>
          <w:rFonts w:ascii="Times New Roman" w:hAnsi="Times New Roman" w:cs="Times New Roman"/>
        </w:rPr>
      </w:pPr>
    </w:p>
  </w:footnote>
  <w:footnote w:id="6">
    <w:p w:rsidR="00757DA0" w:rsidRDefault="00757DA0" w:rsidP="009B2E28">
      <w:pPr>
        <w:autoSpaceDE w:val="0"/>
        <w:autoSpaceDN w:val="0"/>
        <w:adjustRightInd w:val="0"/>
        <w:spacing w:after="0" w:line="240" w:lineRule="auto"/>
        <w:jc w:val="both"/>
        <w:rPr>
          <w:sz w:val="20"/>
          <w:szCs w:val="20"/>
        </w:rPr>
      </w:pPr>
      <w:r w:rsidRPr="009A1C6F">
        <w:rPr>
          <w:rStyle w:val="FootnoteReference"/>
          <w:sz w:val="20"/>
          <w:szCs w:val="20"/>
        </w:rPr>
        <w:footnoteRef/>
      </w:r>
      <w:r w:rsidRPr="009A1C6F">
        <w:rPr>
          <w:sz w:val="20"/>
          <w:szCs w:val="20"/>
        </w:rPr>
        <w:t xml:space="preserve"> </w:t>
      </w:r>
      <w:r w:rsidRPr="009A1C6F">
        <w:rPr>
          <w:i/>
          <w:sz w:val="20"/>
          <w:szCs w:val="20"/>
        </w:rPr>
        <w:t xml:space="preserve">See </w:t>
      </w:r>
      <w:r w:rsidRPr="009A1C6F">
        <w:rPr>
          <w:sz w:val="20"/>
          <w:szCs w:val="20"/>
        </w:rPr>
        <w:t xml:space="preserve">Tr. Vol. V at </w:t>
      </w:r>
      <w:r>
        <w:rPr>
          <w:sz w:val="20"/>
          <w:szCs w:val="20"/>
        </w:rPr>
        <w:t xml:space="preserve">831 (administrative notice taken of </w:t>
      </w:r>
      <w:r w:rsidRPr="002A41C4">
        <w:rPr>
          <w:i/>
          <w:sz w:val="20"/>
          <w:szCs w:val="20"/>
        </w:rPr>
        <w:t xml:space="preserve">In the Matter of the Application of Ohio Edison Company, The Cleveland Electric Illuminating Company, and The Toledo Edison Company </w:t>
      </w:r>
      <w:r>
        <w:rPr>
          <w:i/>
          <w:sz w:val="20"/>
          <w:szCs w:val="20"/>
        </w:rPr>
        <w:t>f</w:t>
      </w:r>
      <w:r w:rsidRPr="002A41C4">
        <w:rPr>
          <w:i/>
          <w:sz w:val="20"/>
          <w:szCs w:val="20"/>
        </w:rPr>
        <w:t>or Approval of a Competitive Bidding Process for Standard Service Offer Electric Generation Supply, Accounting Modifications Associated With Reconciliation Mechanism and Phase In, and Tariffs for Generation Service</w:t>
      </w:r>
      <w:r>
        <w:rPr>
          <w:sz w:val="20"/>
          <w:szCs w:val="20"/>
        </w:rPr>
        <w:t xml:space="preserve">, Case Nos. 07-796-EL-ATA, </w:t>
      </w:r>
      <w:r>
        <w:rPr>
          <w:i/>
          <w:sz w:val="20"/>
          <w:szCs w:val="20"/>
        </w:rPr>
        <w:t>et al.</w:t>
      </w:r>
      <w:r>
        <w:rPr>
          <w:sz w:val="20"/>
          <w:szCs w:val="20"/>
        </w:rPr>
        <w:t>, Comments of Columbus Southern Power Company and Ohio Power Company (Sep. 5, 2007) and Reply Comments of Columbus Southern Power Company and Ohio Power Company (Oct. 12, 2007)).</w:t>
      </w:r>
    </w:p>
    <w:p w:rsidR="00757DA0" w:rsidRPr="002A41C4" w:rsidRDefault="00757DA0" w:rsidP="009B2E28">
      <w:pPr>
        <w:autoSpaceDE w:val="0"/>
        <w:autoSpaceDN w:val="0"/>
        <w:adjustRightInd w:val="0"/>
        <w:spacing w:after="0" w:line="240" w:lineRule="auto"/>
        <w:jc w:val="both"/>
        <w:rPr>
          <w:sz w:val="20"/>
          <w:szCs w:val="20"/>
        </w:rPr>
      </w:pPr>
    </w:p>
  </w:footnote>
  <w:footnote w:id="7">
    <w:p w:rsidR="00757DA0" w:rsidRDefault="00757DA0" w:rsidP="009B2E28">
      <w:pPr>
        <w:pStyle w:val="FootnoteText"/>
        <w:jc w:val="both"/>
      </w:pPr>
      <w:r>
        <w:rPr>
          <w:rStyle w:val="FootnoteReference"/>
        </w:rPr>
        <w:footnoteRef/>
      </w:r>
      <w:r>
        <w:t xml:space="preserve"> </w:t>
      </w:r>
      <w:r>
        <w:rPr>
          <w:i/>
        </w:rPr>
        <w:t>Id</w:t>
      </w:r>
      <w:r>
        <w:t>.</w:t>
      </w:r>
    </w:p>
    <w:p w:rsidR="00757DA0" w:rsidRPr="002A41C4" w:rsidRDefault="00757DA0" w:rsidP="009B2E28">
      <w:pPr>
        <w:pStyle w:val="FootnoteText"/>
        <w:jc w:val="both"/>
      </w:pPr>
    </w:p>
  </w:footnote>
  <w:footnote w:id="8">
    <w:p w:rsidR="00757DA0" w:rsidRDefault="00757DA0" w:rsidP="009B2E28">
      <w:pPr>
        <w:autoSpaceDE w:val="0"/>
        <w:autoSpaceDN w:val="0"/>
        <w:adjustRightInd w:val="0"/>
        <w:spacing w:after="0" w:line="240" w:lineRule="auto"/>
        <w:jc w:val="both"/>
        <w:rPr>
          <w:sz w:val="20"/>
          <w:szCs w:val="20"/>
        </w:rPr>
      </w:pPr>
      <w:r>
        <w:rPr>
          <w:rStyle w:val="FootnoteReference"/>
        </w:rPr>
        <w:footnoteRef/>
      </w:r>
      <w:r>
        <w:t xml:space="preserve"> </w:t>
      </w:r>
      <w:r>
        <w:rPr>
          <w:i/>
          <w:sz w:val="20"/>
          <w:szCs w:val="20"/>
        </w:rPr>
        <w:t xml:space="preserve">See </w:t>
      </w:r>
      <w:r>
        <w:rPr>
          <w:sz w:val="20"/>
          <w:szCs w:val="20"/>
        </w:rPr>
        <w:t xml:space="preserve">Tr. Vol. XIII at 2340 (administrative notice taken of </w:t>
      </w:r>
      <w:r w:rsidRPr="002A41C4">
        <w:rPr>
          <w:i/>
          <w:sz w:val="20"/>
          <w:szCs w:val="20"/>
        </w:rPr>
        <w:t>In t</w:t>
      </w:r>
      <w:r>
        <w:rPr>
          <w:i/>
          <w:sz w:val="20"/>
          <w:szCs w:val="20"/>
        </w:rPr>
        <w:t xml:space="preserve">he Matter of the Procurement of </w:t>
      </w:r>
      <w:r w:rsidRPr="002A41C4">
        <w:rPr>
          <w:i/>
          <w:sz w:val="20"/>
          <w:szCs w:val="20"/>
        </w:rPr>
        <w:t>Standa</w:t>
      </w:r>
      <w:r>
        <w:rPr>
          <w:i/>
          <w:sz w:val="20"/>
          <w:szCs w:val="20"/>
        </w:rPr>
        <w:t xml:space="preserve">rd Service Offer Generation for </w:t>
      </w:r>
      <w:r w:rsidRPr="002A41C4">
        <w:rPr>
          <w:i/>
          <w:sz w:val="20"/>
          <w:szCs w:val="20"/>
        </w:rPr>
        <w:t>Custom</w:t>
      </w:r>
      <w:r>
        <w:rPr>
          <w:i/>
          <w:sz w:val="20"/>
          <w:szCs w:val="20"/>
        </w:rPr>
        <w:t>ers of Ohio Edison Company, The Cleveland Electric I</w:t>
      </w:r>
      <w:r w:rsidRPr="002A41C4">
        <w:rPr>
          <w:i/>
          <w:sz w:val="20"/>
          <w:szCs w:val="20"/>
        </w:rPr>
        <w:t>lluminating</w:t>
      </w:r>
      <w:r>
        <w:rPr>
          <w:i/>
          <w:sz w:val="20"/>
          <w:szCs w:val="20"/>
        </w:rPr>
        <w:t xml:space="preserve"> Company, </w:t>
      </w:r>
      <w:r w:rsidRPr="002A41C4">
        <w:rPr>
          <w:i/>
          <w:sz w:val="20"/>
          <w:szCs w:val="20"/>
        </w:rPr>
        <w:t>and The Toledo Edison Company</w:t>
      </w:r>
      <w:r>
        <w:rPr>
          <w:sz w:val="20"/>
          <w:szCs w:val="20"/>
        </w:rPr>
        <w:t>, Case No. 10-1284-EL-UNC, Finding and Order at 2 (Oct. 26, 2011)).</w:t>
      </w:r>
    </w:p>
    <w:p w:rsidR="00757DA0" w:rsidRPr="002A41C4" w:rsidRDefault="00757DA0" w:rsidP="009B2E28">
      <w:pPr>
        <w:autoSpaceDE w:val="0"/>
        <w:autoSpaceDN w:val="0"/>
        <w:adjustRightInd w:val="0"/>
        <w:spacing w:after="0" w:line="240" w:lineRule="auto"/>
        <w:jc w:val="both"/>
        <w:rPr>
          <w:sz w:val="20"/>
          <w:szCs w:val="20"/>
        </w:rPr>
      </w:pPr>
    </w:p>
  </w:footnote>
  <w:footnote w:id="9">
    <w:p w:rsidR="00757DA0" w:rsidRDefault="00757DA0">
      <w:pPr>
        <w:pStyle w:val="FootnoteText"/>
        <w:jc w:val="both"/>
      </w:pPr>
      <w:r>
        <w:rPr>
          <w:rStyle w:val="FootnoteReference"/>
        </w:rPr>
        <w:footnoteRef/>
      </w:r>
      <w:r>
        <w:t xml:space="preserve"> </w:t>
      </w:r>
      <w:r w:rsidRPr="00590648">
        <w:rPr>
          <w:i/>
        </w:rPr>
        <w:t>See, e.g.,</w:t>
      </w:r>
      <w:r>
        <w:t xml:space="preserve"> Lima, Ohio Public Hearing, Tr. at 17-24 (June 8, 2011); Columbus, Ohio Public Hearing, Tr. at 27-30 (June 6, 2011); Canton, Ohio Public Hearing, Tr. at 16-20 (June 7, 2011).</w:t>
      </w:r>
    </w:p>
    <w:p w:rsidR="00757DA0" w:rsidRDefault="00757DA0">
      <w:pPr>
        <w:pStyle w:val="FootnoteText"/>
        <w:jc w:val="both"/>
      </w:pPr>
    </w:p>
  </w:footnote>
  <w:footnote w:id="10">
    <w:p w:rsidR="00757DA0" w:rsidRPr="000C41B4" w:rsidRDefault="00757DA0">
      <w:pPr>
        <w:pStyle w:val="NormalWeb"/>
        <w:spacing w:before="0" w:beforeAutospacing="0" w:after="0" w:afterAutospacing="0"/>
        <w:jc w:val="both"/>
        <w:rPr>
          <w:rFonts w:ascii="Arial" w:hAnsi="Arial" w:cs="Arial"/>
          <w:sz w:val="20"/>
          <w:szCs w:val="20"/>
        </w:rPr>
      </w:pPr>
      <w:r w:rsidRPr="000C41B4">
        <w:rPr>
          <w:rStyle w:val="FootnoteReference"/>
          <w:rFonts w:ascii="Arial" w:hAnsi="Arial"/>
          <w:sz w:val="20"/>
          <w:szCs w:val="20"/>
        </w:rPr>
        <w:footnoteRef/>
      </w:r>
      <w:r w:rsidRPr="000C41B4">
        <w:rPr>
          <w:sz w:val="20"/>
          <w:szCs w:val="20"/>
        </w:rPr>
        <w:t xml:space="preserve"> </w:t>
      </w:r>
      <w:r w:rsidRPr="000C41B4">
        <w:rPr>
          <w:rFonts w:ascii="Arial" w:hAnsi="Arial" w:cs="Arial"/>
          <w:i/>
          <w:sz w:val="20"/>
          <w:szCs w:val="20"/>
        </w:rPr>
        <w:t>Consumers' Counsel v. Pub. Util. Comm</w:t>
      </w:r>
      <w:r w:rsidRPr="000C41B4">
        <w:rPr>
          <w:rFonts w:ascii="Arial" w:hAnsi="Arial" w:cs="Arial"/>
          <w:sz w:val="20"/>
          <w:szCs w:val="20"/>
        </w:rPr>
        <w:t xml:space="preserve">., 64 Ohio St.3d 123, 126 (1992).  </w:t>
      </w:r>
      <w:r w:rsidRPr="000C41B4">
        <w:rPr>
          <w:rFonts w:ascii="Arial" w:hAnsi="Arial" w:cs="Arial"/>
          <w:i/>
          <w:sz w:val="20"/>
          <w:szCs w:val="20"/>
        </w:rPr>
        <w:t>See, also, AK Steel Corp. v. Pub. Util. Comm</w:t>
      </w:r>
      <w:r w:rsidRPr="000C41B4">
        <w:rPr>
          <w:rFonts w:ascii="Arial" w:hAnsi="Arial" w:cs="Arial"/>
          <w:sz w:val="20"/>
          <w:szCs w:val="20"/>
        </w:rPr>
        <w:t xml:space="preserve">., 95 Ohio St.3d 81, 82-83 (2002). </w:t>
      </w:r>
    </w:p>
    <w:p w:rsidR="00757DA0" w:rsidRDefault="00757DA0">
      <w:pPr>
        <w:pStyle w:val="NormalWeb"/>
        <w:spacing w:before="0" w:beforeAutospacing="0" w:after="0" w:afterAutospacing="0"/>
        <w:jc w:val="both"/>
      </w:pPr>
    </w:p>
  </w:footnote>
  <w:footnote w:id="11">
    <w:p w:rsidR="00757DA0" w:rsidRDefault="00757DA0">
      <w:pPr>
        <w:pStyle w:val="FootnoteText"/>
        <w:jc w:val="both"/>
        <w:rPr>
          <w:rStyle w:val="ft"/>
        </w:rPr>
      </w:pPr>
      <w:r>
        <w:rPr>
          <w:rStyle w:val="FootnoteReference"/>
        </w:rPr>
        <w:footnoteRef/>
      </w:r>
      <w:r>
        <w:t xml:space="preserve"> </w:t>
      </w:r>
      <w:r>
        <w:rPr>
          <w:rStyle w:val="ft"/>
          <w:bCs/>
          <w:i/>
          <w:color w:val="000000"/>
        </w:rPr>
        <w:t>Monongahela Power Co</w:t>
      </w:r>
      <w:r>
        <w:rPr>
          <w:rStyle w:val="ft"/>
          <w:i/>
        </w:rPr>
        <w:t xml:space="preserve">. </w:t>
      </w:r>
      <w:r>
        <w:rPr>
          <w:rStyle w:val="ft"/>
          <w:bCs/>
          <w:i/>
          <w:color w:val="000000"/>
        </w:rPr>
        <w:t>v</w:t>
      </w:r>
      <w:r>
        <w:rPr>
          <w:rStyle w:val="ft"/>
          <w:i/>
        </w:rPr>
        <w:t xml:space="preserve">. </w:t>
      </w:r>
      <w:r>
        <w:rPr>
          <w:rStyle w:val="ft"/>
          <w:bCs/>
          <w:i/>
          <w:color w:val="000000"/>
        </w:rPr>
        <w:t>Pub</w:t>
      </w:r>
      <w:r>
        <w:rPr>
          <w:rStyle w:val="ft"/>
          <w:i/>
        </w:rPr>
        <w:t xml:space="preserve">. </w:t>
      </w:r>
      <w:r>
        <w:rPr>
          <w:rStyle w:val="ft"/>
          <w:bCs/>
          <w:i/>
          <w:color w:val="000000"/>
        </w:rPr>
        <w:t>Util</w:t>
      </w:r>
      <w:r>
        <w:rPr>
          <w:rStyle w:val="ft"/>
          <w:i/>
        </w:rPr>
        <w:t xml:space="preserve">. </w:t>
      </w:r>
      <w:r>
        <w:rPr>
          <w:rStyle w:val="ft"/>
          <w:bCs/>
          <w:i/>
          <w:color w:val="000000"/>
        </w:rPr>
        <w:t>Comm</w:t>
      </w:r>
      <w:r>
        <w:rPr>
          <w:rStyle w:val="ft"/>
        </w:rPr>
        <w:t xml:space="preserve">., </w:t>
      </w:r>
      <w:r>
        <w:rPr>
          <w:rStyle w:val="ft"/>
          <w:bCs/>
          <w:color w:val="000000"/>
        </w:rPr>
        <w:t xml:space="preserve">104 Ohio St.3d 571, 2004-Ohio-6896 </w:t>
      </w:r>
      <w:r>
        <w:rPr>
          <w:rStyle w:val="ft"/>
        </w:rPr>
        <w:t>at ¶ 26 (2004) (emphasis added).</w:t>
      </w:r>
    </w:p>
    <w:p w:rsidR="00757DA0" w:rsidRDefault="00757DA0">
      <w:pPr>
        <w:pStyle w:val="FootnoteText"/>
        <w:jc w:val="both"/>
      </w:pPr>
    </w:p>
  </w:footnote>
  <w:footnote w:id="12">
    <w:p w:rsidR="00757DA0" w:rsidRDefault="00757DA0">
      <w:pPr>
        <w:pStyle w:val="FootnoteText"/>
        <w:jc w:val="both"/>
      </w:pPr>
      <w:r>
        <w:rPr>
          <w:rStyle w:val="FootnoteReference"/>
        </w:rPr>
        <w:footnoteRef/>
      </w:r>
      <w:r>
        <w:t xml:space="preserve"> Tr. Vol. VI at 956.  </w:t>
      </w:r>
    </w:p>
    <w:p w:rsidR="00757DA0" w:rsidRDefault="00757DA0">
      <w:pPr>
        <w:pStyle w:val="FootnoteText"/>
        <w:jc w:val="both"/>
      </w:pPr>
    </w:p>
  </w:footnote>
  <w:footnote w:id="13">
    <w:p w:rsidR="00757DA0" w:rsidRDefault="00757DA0">
      <w:pPr>
        <w:pStyle w:val="FootnoteText"/>
        <w:jc w:val="both"/>
      </w:pPr>
      <w:r>
        <w:rPr>
          <w:rStyle w:val="FootnoteReference"/>
        </w:rPr>
        <w:footnoteRef/>
      </w:r>
      <w:r>
        <w:t xml:space="preserve"> Tr. Vol. VI at 958.</w:t>
      </w:r>
    </w:p>
  </w:footnote>
  <w:footnote w:id="14">
    <w:p w:rsidR="00757DA0" w:rsidRDefault="00757DA0">
      <w:pPr>
        <w:pStyle w:val="FootnoteText"/>
        <w:jc w:val="both"/>
      </w:pPr>
      <w:r>
        <w:rPr>
          <w:rStyle w:val="FootnoteReference"/>
        </w:rPr>
        <w:footnoteRef/>
      </w:r>
      <w:r>
        <w:t xml:space="preserve"> Tr. Vol. VI at 961.  </w:t>
      </w:r>
    </w:p>
    <w:p w:rsidR="00757DA0" w:rsidRDefault="00757DA0">
      <w:pPr>
        <w:pStyle w:val="FootnoteText"/>
        <w:jc w:val="both"/>
      </w:pPr>
    </w:p>
  </w:footnote>
  <w:footnote w:id="15">
    <w:p w:rsidR="00757DA0" w:rsidRDefault="00757DA0">
      <w:pPr>
        <w:pStyle w:val="FootnoteText"/>
        <w:jc w:val="both"/>
      </w:pPr>
      <w:r>
        <w:rPr>
          <w:rStyle w:val="FootnoteReference"/>
        </w:rPr>
        <w:footnoteRef/>
      </w:r>
      <w:r>
        <w:t xml:space="preserve"> On May 10, 2011, IEU-Ohio filed a written Motion to Dismiss and Memorandum in Support in Case Nos. 11-346-EL-SSO, </w:t>
      </w:r>
      <w:r>
        <w:rPr>
          <w:i/>
        </w:rPr>
        <w:t>et al</w:t>
      </w:r>
      <w:r>
        <w:t>.  The Motion and Memorandum are incorporated herein by reference as they relate to the failure by OP and CSP to each propose an electric distribution utility (“EDU”) ESP as required by Ohio law.</w:t>
      </w:r>
    </w:p>
    <w:p w:rsidR="00757DA0" w:rsidRDefault="00757DA0">
      <w:pPr>
        <w:pStyle w:val="FootnoteText"/>
        <w:jc w:val="both"/>
      </w:pPr>
    </w:p>
  </w:footnote>
  <w:footnote w:id="16">
    <w:p w:rsidR="00757DA0" w:rsidRDefault="00757DA0">
      <w:pPr>
        <w:pStyle w:val="FootnoteText"/>
        <w:jc w:val="both"/>
      </w:pPr>
      <w:r>
        <w:rPr>
          <w:rStyle w:val="FootnoteReference"/>
        </w:rPr>
        <w:footnoteRef/>
      </w:r>
      <w:r>
        <w:t xml:space="preserve"> Tr. Vol. V at 783 (Cross-examination of Joseph Hamrock); </w:t>
      </w:r>
      <w:r>
        <w:rPr>
          <w:i/>
        </w:rPr>
        <w:t xml:space="preserve">see also </w:t>
      </w:r>
      <w:r>
        <w:t>Section 4928.01(A)(6), Revised Code.</w:t>
      </w:r>
    </w:p>
    <w:p w:rsidR="00757DA0" w:rsidRDefault="00757DA0">
      <w:pPr>
        <w:pStyle w:val="FootnoteText"/>
        <w:jc w:val="both"/>
      </w:pPr>
    </w:p>
  </w:footnote>
  <w:footnote w:id="17">
    <w:p w:rsidR="00757DA0" w:rsidRDefault="00757DA0">
      <w:pPr>
        <w:pStyle w:val="FootnoteText"/>
        <w:jc w:val="both"/>
      </w:pPr>
      <w:r>
        <w:rPr>
          <w:rStyle w:val="FootnoteReference"/>
        </w:rPr>
        <w:footnoteRef/>
      </w:r>
      <w:r>
        <w:t xml:space="preserve"> Tr. Vol. V at 783-84 (Cross-examination of Joseph Hamrock).  In fact, American Electric Power Company, Inc. has claimed that it is not a public utility and, as a result, the Commission lacks jurisdiction over it:  “AEP posits that it is not a public utility as that term is defined in Section 4905.02, Revised Code, and therefore, the Commission lacks jurisdiction over AEP.”  </w:t>
      </w:r>
      <w:r>
        <w:rPr>
          <w:i/>
        </w:rPr>
        <w:t>In the Matter of the Complaint of Brian Tomlin v. Columbus Power Company</w:t>
      </w:r>
      <w:r>
        <w:t>, Case No. 02-46-EL-CSS, Opinion and Order (Dec. 12, 2002).</w:t>
      </w:r>
    </w:p>
  </w:footnote>
  <w:footnote w:id="18">
    <w:p w:rsidR="00757DA0" w:rsidRDefault="00757DA0">
      <w:pPr>
        <w:pStyle w:val="FootnoteText"/>
        <w:jc w:val="both"/>
      </w:pPr>
      <w:r>
        <w:rPr>
          <w:rStyle w:val="FootnoteReference"/>
        </w:rPr>
        <w:footnoteRef/>
      </w:r>
      <w:r>
        <w:t xml:space="preserve"> Section 4928.143(A), Revised Code (emphasis added).</w:t>
      </w:r>
    </w:p>
    <w:p w:rsidR="00757DA0" w:rsidRDefault="00757DA0">
      <w:pPr>
        <w:pStyle w:val="FootnoteText"/>
        <w:jc w:val="both"/>
      </w:pPr>
    </w:p>
  </w:footnote>
  <w:footnote w:id="19">
    <w:p w:rsidR="00757DA0" w:rsidRDefault="00757DA0">
      <w:pPr>
        <w:pStyle w:val="FootnoteText"/>
        <w:jc w:val="both"/>
      </w:pPr>
      <w:r>
        <w:rPr>
          <w:rStyle w:val="FootnoteReference"/>
        </w:rPr>
        <w:footnoteRef/>
      </w:r>
      <w:r>
        <w:t xml:space="preserve"> Section 4928.01(A)(11), Revised Code.</w:t>
      </w:r>
    </w:p>
    <w:p w:rsidR="00757DA0" w:rsidRDefault="00757DA0">
      <w:pPr>
        <w:pStyle w:val="FootnoteText"/>
        <w:jc w:val="both"/>
      </w:pPr>
    </w:p>
  </w:footnote>
  <w:footnote w:id="20">
    <w:p w:rsidR="00757DA0" w:rsidRDefault="00757DA0">
      <w:pPr>
        <w:pStyle w:val="FootnoteText"/>
        <w:jc w:val="both"/>
      </w:pPr>
      <w:r>
        <w:rPr>
          <w:rStyle w:val="FootnoteReference"/>
        </w:rPr>
        <w:footnoteRef/>
      </w:r>
      <w:r>
        <w:t xml:space="preserve"> Tr. Vol. V at 783-84 (Cross-examination of Joseph Hamrock).</w:t>
      </w:r>
    </w:p>
    <w:p w:rsidR="00757DA0" w:rsidRDefault="00757DA0">
      <w:pPr>
        <w:pStyle w:val="FootnoteText"/>
        <w:jc w:val="both"/>
      </w:pPr>
    </w:p>
  </w:footnote>
  <w:footnote w:id="21">
    <w:p w:rsidR="00757DA0" w:rsidRDefault="00757DA0">
      <w:pPr>
        <w:spacing w:after="0" w:line="240" w:lineRule="auto"/>
        <w:jc w:val="both"/>
        <w:rPr>
          <w:rFonts w:eastAsia="Times New Roman"/>
          <w:sz w:val="20"/>
          <w:szCs w:val="20"/>
        </w:rPr>
      </w:pPr>
      <w:r>
        <w:rPr>
          <w:rStyle w:val="FootnoteReference"/>
        </w:rPr>
        <w:footnoteRef/>
      </w:r>
      <w:r>
        <w:t xml:space="preserve"> </w:t>
      </w:r>
      <w:r>
        <w:rPr>
          <w:sz w:val="20"/>
          <w:szCs w:val="20"/>
        </w:rPr>
        <w:t>Section 4928.01(A)(27), Revised Code, defines “retail electric service” as “</w:t>
      </w:r>
      <w:r>
        <w:rPr>
          <w:rFonts w:eastAsia="Times New Roman"/>
          <w:sz w:val="20"/>
          <w:szCs w:val="20"/>
        </w:rPr>
        <w:t>any service involved in supplying or arranging for the supply of electricity to ultimate consumers in this state, from the point of generation to the point of consumption. For the purposes of this chapter, retail electric service includes one or more of the following service components:  generation service, aggregation service, power marketing service, power brokerage service, transmission.”</w:t>
      </w:r>
    </w:p>
    <w:p w:rsidR="00757DA0" w:rsidRDefault="00757DA0">
      <w:pPr>
        <w:spacing w:after="0" w:line="240" w:lineRule="auto"/>
        <w:jc w:val="both"/>
        <w:rPr>
          <w:rFonts w:eastAsia="Times New Roman"/>
          <w:sz w:val="20"/>
          <w:szCs w:val="20"/>
        </w:rPr>
      </w:pPr>
    </w:p>
  </w:footnote>
  <w:footnote w:id="22">
    <w:p w:rsidR="00757DA0" w:rsidRDefault="00757DA0">
      <w:pPr>
        <w:autoSpaceDE w:val="0"/>
        <w:autoSpaceDN w:val="0"/>
        <w:adjustRightInd w:val="0"/>
        <w:spacing w:after="0" w:line="240" w:lineRule="auto"/>
        <w:jc w:val="both"/>
      </w:pPr>
      <w:r>
        <w:rPr>
          <w:rStyle w:val="FootnoteReference"/>
          <w:sz w:val="20"/>
          <w:szCs w:val="20"/>
        </w:rPr>
        <w:footnoteRef/>
      </w:r>
      <w:r>
        <w:rPr>
          <w:sz w:val="20"/>
          <w:szCs w:val="20"/>
        </w:rPr>
        <w:t xml:space="preserve"> The relevant provisions of Sections 4928.143(C) and 4928.144, Revised Code, similarly apply to only an EDU.  The EDU has the burden to demonstrate that the ESP meets the requirement that the ESP is better in the aggregate than the alternative under Section 4928.142, Revised Code, and only the EDU may withdraw an ESP if the Commission modifies and approves an ESP not to the EDU’s liking.  Section 4928.143(C), Revised Code.  Finally, the provision regarding phase-in deferral recovery is similarly limited to the provision of a phase-in plan for an EDU.  Section 4928.144, Revised Code.</w:t>
      </w:r>
    </w:p>
    <w:p w:rsidR="00757DA0" w:rsidRDefault="00757DA0">
      <w:pPr>
        <w:autoSpaceDE w:val="0"/>
        <w:autoSpaceDN w:val="0"/>
        <w:adjustRightInd w:val="0"/>
        <w:spacing w:after="0" w:line="240" w:lineRule="auto"/>
        <w:jc w:val="both"/>
      </w:pPr>
    </w:p>
  </w:footnote>
  <w:footnote w:id="23">
    <w:p w:rsidR="00757DA0" w:rsidRDefault="00757DA0">
      <w:pPr>
        <w:pStyle w:val="FootnoteText"/>
        <w:jc w:val="both"/>
      </w:pPr>
      <w:r>
        <w:rPr>
          <w:rStyle w:val="FootnoteReference"/>
          <w:i/>
        </w:rPr>
        <w:footnoteRef/>
      </w:r>
      <w:r>
        <w:rPr>
          <w:i/>
        </w:rPr>
        <w:t xml:space="preserve"> </w:t>
      </w:r>
      <w:r>
        <w:rPr>
          <w:bCs/>
          <w:i/>
        </w:rPr>
        <w:t>In re Application of Columbus S. Power Co</w:t>
      </w:r>
      <w:r>
        <w:rPr>
          <w:bCs/>
        </w:rPr>
        <w:t>., 128 Ohio St.3d. 512, 520 (2011).</w:t>
      </w:r>
    </w:p>
    <w:p w:rsidR="00757DA0" w:rsidRDefault="00757DA0">
      <w:pPr>
        <w:pStyle w:val="FootnoteText"/>
        <w:jc w:val="both"/>
      </w:pPr>
    </w:p>
  </w:footnote>
  <w:footnote w:id="24">
    <w:p w:rsidR="00757DA0" w:rsidRDefault="00757DA0">
      <w:pPr>
        <w:pStyle w:val="FootnoteText"/>
        <w:jc w:val="both"/>
      </w:pPr>
      <w:r>
        <w:rPr>
          <w:rStyle w:val="FootnoteReference"/>
        </w:rPr>
        <w:footnoteRef/>
      </w:r>
      <w:r>
        <w:t xml:space="preserve"> The Commission is charged with evaluating the legitimacy of the terms and conditions of the plan in making a determination whether to approve, dismiss, or modify and approve an ESP application.  Section 4928.143(C), Revised Code.  </w:t>
      </w:r>
      <w:r>
        <w:rPr>
          <w:i/>
        </w:rPr>
        <w:t>In re Application of Columbus Southern Power Co</w:t>
      </w:r>
      <w:r>
        <w:t xml:space="preserve">., </w:t>
      </w:r>
      <w:r>
        <w:rPr>
          <w:rFonts w:eastAsia="Times New Roman"/>
          <w:bCs/>
        </w:rPr>
        <w:t>128 Ohio St.3d 402, 407 (2011)</w:t>
      </w:r>
      <w:r>
        <w:t xml:space="preserve"> (“[I]n evaluating the favorability of a plan, the statute instructs the commission to consider ‘pricing </w:t>
      </w:r>
      <w:r>
        <w:rPr>
          <w:i/>
          <w:iCs/>
        </w:rPr>
        <w:t>and all other terms and conditions.’”).</w:t>
      </w:r>
    </w:p>
    <w:p w:rsidR="00757DA0" w:rsidRDefault="00757DA0">
      <w:pPr>
        <w:pStyle w:val="FootnoteText"/>
        <w:jc w:val="both"/>
      </w:pPr>
    </w:p>
  </w:footnote>
  <w:footnote w:id="25">
    <w:p w:rsidR="00757DA0" w:rsidRDefault="00757DA0">
      <w:pPr>
        <w:pStyle w:val="FootnoteText"/>
        <w:jc w:val="both"/>
      </w:pPr>
      <w:r>
        <w:rPr>
          <w:rStyle w:val="FootnoteReference"/>
        </w:rPr>
        <w:footnoteRef/>
      </w:r>
      <w:r>
        <w:t xml:space="preserve"> Rule 4901:1-35-03(C)(2) and (3), OAC.</w:t>
      </w:r>
    </w:p>
    <w:p w:rsidR="00757DA0" w:rsidRDefault="00757DA0">
      <w:pPr>
        <w:pStyle w:val="FootnoteText"/>
        <w:jc w:val="both"/>
      </w:pPr>
    </w:p>
  </w:footnote>
  <w:footnote w:id="26">
    <w:p w:rsidR="00757DA0" w:rsidRDefault="00757DA0">
      <w:pPr>
        <w:pStyle w:val="FootnoteText"/>
        <w:jc w:val="both"/>
      </w:pPr>
      <w:r>
        <w:rPr>
          <w:rStyle w:val="FootnoteReference"/>
        </w:rPr>
        <w:footnoteRef/>
      </w:r>
      <w:r>
        <w:t xml:space="preserve"> Stipulation at 25-26.</w:t>
      </w:r>
    </w:p>
  </w:footnote>
  <w:footnote w:id="27">
    <w:p w:rsidR="00757DA0" w:rsidRDefault="00757DA0">
      <w:pPr>
        <w:pStyle w:val="FootnoteText"/>
        <w:jc w:val="both"/>
      </w:pPr>
      <w:r>
        <w:rPr>
          <w:rStyle w:val="FootnoteReference"/>
        </w:rPr>
        <w:footnoteRef/>
      </w:r>
      <w:r>
        <w:t xml:space="preserve"> FES Ex. 1, TCB-8, TCB-9; IEU-Ohio Ex. 13; Tr. Vol. X at 1693-94 (Cross-examination of Robert Fortney); Tr. Vol. III at 395 (Cross-examination of William Allen); Tr. Vol. IV at 542-43 (Cross-examination of Teresa Ringenbach); Tr. Vol. VI at 970-71 (Cross-examination of David Fein).</w:t>
      </w:r>
    </w:p>
    <w:p w:rsidR="00757DA0" w:rsidRDefault="00757DA0">
      <w:pPr>
        <w:pStyle w:val="FootnoteText"/>
        <w:jc w:val="both"/>
      </w:pPr>
    </w:p>
  </w:footnote>
  <w:footnote w:id="28">
    <w:p w:rsidR="00757DA0" w:rsidRDefault="00757DA0">
      <w:pPr>
        <w:pStyle w:val="FootnoteText"/>
        <w:jc w:val="both"/>
      </w:pPr>
      <w:r>
        <w:rPr>
          <w:rStyle w:val="FootnoteReference"/>
        </w:rPr>
        <w:footnoteRef/>
      </w:r>
      <w:r>
        <w:t xml:space="preserve"> Tr. Vol. X at 1693-94 (Cross-examination of Robert Fortney); Tr. Vol. III at 395 (Cross-examination of William Allen); Tr. Vol. IV at 542-43 (Cross-examination of Teresa Ringenbach); Tr. Vol. VI at 970-71 (Cross-examination of David Fein); IEU-Ohio Ex. 9A at 9-21, 24; FES Ex. 1 at 4-6, 17-37; FES Ex. 14 at 4, 16-23, 31-32; FES Ex. 3 at 4-5, 35-37; 40-41.</w:t>
      </w:r>
    </w:p>
    <w:p w:rsidR="00757DA0" w:rsidRDefault="00757DA0">
      <w:pPr>
        <w:pStyle w:val="FootnoteText"/>
        <w:jc w:val="both"/>
      </w:pPr>
    </w:p>
  </w:footnote>
  <w:footnote w:id="29">
    <w:p w:rsidR="00757DA0" w:rsidRDefault="00757DA0">
      <w:pPr>
        <w:pStyle w:val="FootnoteText"/>
        <w:jc w:val="both"/>
      </w:pPr>
      <w:r>
        <w:rPr>
          <w:rStyle w:val="FootnoteReference"/>
        </w:rPr>
        <w:footnoteRef/>
      </w:r>
      <w:r>
        <w:t xml:space="preserve"> IEU-Ohio Ex. 9A at 9-21, 24; FES Ex. 1 at 4-6, 17-37; FES Ex. 14 at 4, 16-23, 31-32; FES Ex. 3 at 4-5, 35-37, 40-41.</w:t>
      </w:r>
    </w:p>
    <w:p w:rsidR="00757DA0" w:rsidRDefault="00757DA0">
      <w:pPr>
        <w:pStyle w:val="FootnoteText"/>
        <w:jc w:val="both"/>
      </w:pPr>
    </w:p>
  </w:footnote>
  <w:footnote w:id="30">
    <w:p w:rsidR="00757DA0" w:rsidRDefault="00757DA0">
      <w:pPr>
        <w:pStyle w:val="FootnoteText"/>
        <w:jc w:val="both"/>
      </w:pPr>
      <w:r>
        <w:rPr>
          <w:rStyle w:val="FootnoteReference"/>
        </w:rPr>
        <w:footnoteRef/>
      </w:r>
      <w:r>
        <w:t xml:space="preserve"> Section 4928.20(I), Revised Code, limits the amount of any non-bypassable charge associated with a Section 4928.144, Revised Code, phase-in that may be applied to customers that are part of a governmental aggregation program.  The non-bypassable phase-in charge must not exceed an amount that is proportional to the benefits received by such customers.  The phase-in recovery rider (“PIRR”) proposed in the Stipulation would, if approved, make CSP customers responsible for an OP phase-in deferral.  Stipulation at 26.  The PIRR is illegal on its face.</w:t>
      </w:r>
    </w:p>
    <w:p w:rsidR="00757DA0" w:rsidRDefault="00757DA0">
      <w:pPr>
        <w:pStyle w:val="FootnoteText"/>
        <w:jc w:val="both"/>
      </w:pPr>
    </w:p>
  </w:footnote>
  <w:footnote w:id="31">
    <w:p w:rsidR="00757DA0" w:rsidRDefault="00757DA0">
      <w:pPr>
        <w:pStyle w:val="FootnoteText"/>
        <w:jc w:val="both"/>
      </w:pPr>
      <w:r>
        <w:rPr>
          <w:rStyle w:val="FootnoteReference"/>
        </w:rPr>
        <w:footnoteRef/>
      </w:r>
      <w:r>
        <w:t xml:space="preserve"> Section 4928.20(J), Revised Code, allows a governmental aggregation program to elect, on behalf of the program’s customers, to not receive and pay for standby service within the meaning of Section 4928.143(B)(2)(d), Revised Code.  Upon such election, any program customer returning to the SSO shall pay the “market price” of power incurred by the EDU plus an allowance for the EDU’s cost of compliance with the portfolio requirements in Section 4928.64, Revised Code.  </w:t>
      </w:r>
    </w:p>
    <w:p w:rsidR="00757DA0" w:rsidRDefault="00757DA0">
      <w:pPr>
        <w:pStyle w:val="FootnoteText"/>
        <w:jc w:val="both"/>
      </w:pPr>
    </w:p>
  </w:footnote>
  <w:footnote w:id="32">
    <w:p w:rsidR="00757DA0" w:rsidRDefault="00757DA0">
      <w:pPr>
        <w:pStyle w:val="FootnoteText"/>
        <w:jc w:val="both"/>
      </w:pPr>
      <w:r>
        <w:rPr>
          <w:rStyle w:val="FootnoteReference"/>
        </w:rPr>
        <w:footnoteRef/>
      </w:r>
      <w:r>
        <w:t xml:space="preserve"> Section 4928.20(K), Revised Code, requires the Commission to adopt rules to encourage and promote large-scale governmental aggregation and to consider, in the context of a proposed ESP, the effect of any non-bypassable generation charges on such aggregation.  </w:t>
      </w:r>
    </w:p>
    <w:p w:rsidR="00757DA0" w:rsidRDefault="00757DA0">
      <w:pPr>
        <w:pStyle w:val="FootnoteText"/>
        <w:jc w:val="both"/>
      </w:pPr>
    </w:p>
  </w:footnote>
  <w:footnote w:id="33">
    <w:p w:rsidR="00757DA0" w:rsidRDefault="00757DA0">
      <w:pPr>
        <w:pStyle w:val="FootnoteText"/>
        <w:jc w:val="both"/>
      </w:pPr>
      <w:r>
        <w:rPr>
          <w:rStyle w:val="FootnoteReference"/>
        </w:rPr>
        <w:footnoteRef/>
      </w:r>
      <w:r>
        <w:t xml:space="preserve"> IEU-Ohio Ex. 8 at 12-13; IEU-Ohio Ex. 9A at 21-22; FES Ex. 1 at 9,12-13, 18-20, 25-26, 31-35, 46, 56.</w:t>
      </w:r>
    </w:p>
    <w:p w:rsidR="00757DA0" w:rsidRDefault="00757DA0">
      <w:pPr>
        <w:pStyle w:val="FootnoteText"/>
        <w:jc w:val="both"/>
      </w:pPr>
    </w:p>
  </w:footnote>
  <w:footnote w:id="34">
    <w:p w:rsidR="00757DA0" w:rsidRDefault="00757DA0">
      <w:pPr>
        <w:pStyle w:val="FootnoteText"/>
        <w:jc w:val="both"/>
      </w:pPr>
      <w:r>
        <w:rPr>
          <w:rStyle w:val="FootnoteReference"/>
        </w:rPr>
        <w:footnoteRef/>
      </w:r>
      <w:r>
        <w:t xml:space="preserve"> Tr. Vol. XII at 2230 (Cross-examination of Philip Nelson).</w:t>
      </w:r>
    </w:p>
    <w:p w:rsidR="00757DA0" w:rsidRDefault="00757DA0">
      <w:pPr>
        <w:pStyle w:val="FootnoteText"/>
        <w:jc w:val="both"/>
      </w:pPr>
    </w:p>
  </w:footnote>
  <w:footnote w:id="35">
    <w:p w:rsidR="00757DA0" w:rsidRDefault="00757DA0">
      <w:pPr>
        <w:pStyle w:val="FootnoteText"/>
        <w:jc w:val="both"/>
      </w:pPr>
      <w:r>
        <w:rPr>
          <w:rStyle w:val="FootnoteReference"/>
        </w:rPr>
        <w:footnoteRef/>
      </w:r>
      <w:r>
        <w:t xml:space="preserve"> The definition of “standard service offer” in Rule 4901:1-35-01(L), OAC, highlights the importance of the role of the nondiscriminatory and comparable requirements that are imposed by Chapter 4928, Revised Code:  “‘Standard service offer’ means an electric utility offer to provide consumers, on a comparable and nondiscriminatory basis within its certified territory, all competitive retail electric services necessary to maintain essential electric service to consumers, including a firm supply of electric generation service.”</w:t>
      </w:r>
    </w:p>
    <w:p w:rsidR="00757DA0" w:rsidRDefault="00757DA0">
      <w:pPr>
        <w:pStyle w:val="FootnoteText"/>
        <w:jc w:val="both"/>
      </w:pPr>
    </w:p>
  </w:footnote>
  <w:footnote w:id="36">
    <w:p w:rsidR="00757DA0" w:rsidRDefault="00757DA0">
      <w:pPr>
        <w:pStyle w:val="FootnoteText"/>
      </w:pPr>
      <w:r>
        <w:rPr>
          <w:rStyle w:val="FootnoteReference"/>
        </w:rPr>
        <w:footnoteRef/>
      </w:r>
      <w:r>
        <w:t xml:space="preserve"> Stipulation at 20-23.</w:t>
      </w:r>
    </w:p>
    <w:p w:rsidR="00DF1105" w:rsidRDefault="00DF1105">
      <w:pPr>
        <w:pStyle w:val="FootnoteText"/>
      </w:pPr>
    </w:p>
  </w:footnote>
  <w:footnote w:id="37">
    <w:p w:rsidR="00757DA0" w:rsidRDefault="00757DA0">
      <w:pPr>
        <w:pStyle w:val="FootnoteText"/>
        <w:jc w:val="both"/>
      </w:pPr>
      <w:r>
        <w:rPr>
          <w:rStyle w:val="FootnoteReference"/>
        </w:rPr>
        <w:footnoteRef/>
      </w:r>
      <w:r>
        <w:t xml:space="preserve"> Tr. Vol. II at 191 (Cross-examination of Kelly Pearce); Tr. Vol. V at 737 (Cross-examination of Philip Nelson); Tr. Vol. V at 810, 845 (Cross-examination of Joseph Hamrock).</w:t>
      </w:r>
    </w:p>
  </w:footnote>
  <w:footnote w:id="38">
    <w:p w:rsidR="00757DA0" w:rsidRDefault="00757DA0">
      <w:pPr>
        <w:pStyle w:val="FootnoteText"/>
        <w:jc w:val="both"/>
      </w:pPr>
      <w:r>
        <w:rPr>
          <w:rStyle w:val="FootnoteReference"/>
        </w:rPr>
        <w:footnoteRef/>
      </w:r>
      <w:r>
        <w:t xml:space="preserve"> Tr. Vol. V at 821-25 (Cross-examination of Joseph Hamrock).</w:t>
      </w:r>
    </w:p>
    <w:p w:rsidR="00757DA0" w:rsidRDefault="00757DA0">
      <w:pPr>
        <w:pStyle w:val="FootnoteText"/>
        <w:jc w:val="both"/>
      </w:pPr>
    </w:p>
  </w:footnote>
  <w:footnote w:id="39">
    <w:p w:rsidR="00757DA0" w:rsidRDefault="00757DA0">
      <w:pPr>
        <w:pStyle w:val="FootnoteText"/>
        <w:jc w:val="both"/>
      </w:pPr>
      <w:r>
        <w:rPr>
          <w:rStyle w:val="FootnoteReference"/>
        </w:rPr>
        <w:footnoteRef/>
      </w:r>
      <w:r>
        <w:t xml:space="preserve"> </w:t>
      </w:r>
      <w:r>
        <w:rPr>
          <w:i/>
        </w:rPr>
        <w:t>In the Matter of the Application of Duke Energy Ohio, Inc., for Approval of a Market Rate Offer to Conduct a Competitive Bidding Process for a Standard Service Offer, Electric Generation Accounting Modifications and Tariffs for Generation Service</w:t>
      </w:r>
      <w:r>
        <w:t>, Case No. 10-2586-EL-SSO, Opinion and Order at 49 (Feb. 23, 2011) (“</w:t>
      </w:r>
      <w:r>
        <w:rPr>
          <w:i/>
        </w:rPr>
        <w:t>Duke SSO</w:t>
      </w:r>
      <w:r>
        <w:t>”) (emphasis added).</w:t>
      </w:r>
    </w:p>
    <w:p w:rsidR="00757DA0" w:rsidRDefault="00757DA0">
      <w:pPr>
        <w:pStyle w:val="FootnoteText"/>
        <w:jc w:val="both"/>
      </w:pPr>
    </w:p>
  </w:footnote>
  <w:footnote w:id="40">
    <w:p w:rsidR="00757DA0" w:rsidRDefault="00757DA0">
      <w:pPr>
        <w:pStyle w:val="FootnoteText"/>
        <w:jc w:val="both"/>
      </w:pPr>
      <w:r>
        <w:rPr>
          <w:rStyle w:val="FootnoteReference"/>
        </w:rPr>
        <w:footnoteRef/>
      </w:r>
      <w:r>
        <w:t xml:space="preserve"> Section 4928.143(C)(1), Revised Code.</w:t>
      </w:r>
    </w:p>
    <w:p w:rsidR="00757DA0" w:rsidRDefault="00757DA0">
      <w:pPr>
        <w:pStyle w:val="FootnoteText"/>
        <w:jc w:val="both"/>
      </w:pPr>
    </w:p>
  </w:footnote>
  <w:footnote w:id="41">
    <w:p w:rsidR="00757DA0" w:rsidRDefault="00757DA0">
      <w:pPr>
        <w:pStyle w:val="FootnoteText"/>
        <w:jc w:val="both"/>
        <w:rPr>
          <w:rStyle w:val="ft"/>
        </w:rPr>
      </w:pPr>
      <w:r>
        <w:rPr>
          <w:rStyle w:val="FootnoteReference"/>
        </w:rPr>
        <w:footnoteRef/>
      </w:r>
      <w:r>
        <w:t xml:space="preserve"> </w:t>
      </w:r>
      <w:r>
        <w:rPr>
          <w:rStyle w:val="ft"/>
          <w:bCs/>
          <w:i/>
          <w:color w:val="000000"/>
        </w:rPr>
        <w:t>Monongahela Power Co</w:t>
      </w:r>
      <w:r>
        <w:rPr>
          <w:rStyle w:val="ft"/>
          <w:i/>
        </w:rPr>
        <w:t xml:space="preserve">. </w:t>
      </w:r>
      <w:r>
        <w:rPr>
          <w:rStyle w:val="ft"/>
          <w:bCs/>
          <w:i/>
          <w:color w:val="000000"/>
        </w:rPr>
        <w:t>v</w:t>
      </w:r>
      <w:r>
        <w:rPr>
          <w:rStyle w:val="ft"/>
          <w:i/>
        </w:rPr>
        <w:t xml:space="preserve">. </w:t>
      </w:r>
      <w:r>
        <w:rPr>
          <w:rStyle w:val="ft"/>
          <w:bCs/>
          <w:i/>
          <w:color w:val="000000"/>
        </w:rPr>
        <w:t>Pub</w:t>
      </w:r>
      <w:r>
        <w:rPr>
          <w:rStyle w:val="ft"/>
          <w:i/>
        </w:rPr>
        <w:t xml:space="preserve">. </w:t>
      </w:r>
      <w:r>
        <w:rPr>
          <w:rStyle w:val="ft"/>
          <w:bCs/>
          <w:i/>
          <w:color w:val="000000"/>
        </w:rPr>
        <w:t>Util</w:t>
      </w:r>
      <w:r>
        <w:rPr>
          <w:rStyle w:val="ft"/>
          <w:i/>
        </w:rPr>
        <w:t xml:space="preserve">. </w:t>
      </w:r>
      <w:r>
        <w:rPr>
          <w:rStyle w:val="ft"/>
          <w:bCs/>
          <w:i/>
          <w:color w:val="000000"/>
        </w:rPr>
        <w:t>Comm</w:t>
      </w:r>
      <w:r>
        <w:rPr>
          <w:rStyle w:val="ft"/>
        </w:rPr>
        <w:t xml:space="preserve">., </w:t>
      </w:r>
      <w:r>
        <w:rPr>
          <w:rStyle w:val="ft"/>
          <w:bCs/>
          <w:color w:val="000000"/>
        </w:rPr>
        <w:t>104 Ohio St.3d 571</w:t>
      </w:r>
      <w:r>
        <w:rPr>
          <w:rStyle w:val="ft"/>
        </w:rPr>
        <w:t xml:space="preserve"> at ¶ 26 (2004);</w:t>
      </w:r>
      <w:r>
        <w:rPr>
          <w:i/>
        </w:rPr>
        <w:t xml:space="preserve"> In the Matter of the Application of Duke Energy Ohio, Inc. for Approval of an Electric Security Plan,</w:t>
      </w:r>
      <w:r>
        <w:t xml:space="preserve"> Case Nos. 08-920-EL-SSO, </w:t>
      </w:r>
      <w:r>
        <w:rPr>
          <w:i/>
        </w:rPr>
        <w:t>et al.</w:t>
      </w:r>
      <w:r>
        <w:t>, Opinion and Order at 34-37 (Dec. 17, 2008).</w:t>
      </w:r>
    </w:p>
    <w:p w:rsidR="00757DA0" w:rsidRDefault="00757DA0">
      <w:pPr>
        <w:pStyle w:val="FootnoteText"/>
        <w:jc w:val="both"/>
      </w:pPr>
    </w:p>
  </w:footnote>
  <w:footnote w:id="42">
    <w:p w:rsidR="00757DA0" w:rsidRDefault="00757DA0">
      <w:pPr>
        <w:pStyle w:val="FootnoteText"/>
        <w:jc w:val="both"/>
      </w:pPr>
      <w:r>
        <w:rPr>
          <w:rStyle w:val="FootnoteReference"/>
        </w:rPr>
        <w:footnoteRef/>
      </w:r>
      <w:r>
        <w:t xml:space="preserve"> Cos. Ex. 23, Revised Ex. LJT-R3 at line 16.  As discussed </w:t>
      </w:r>
      <w:r>
        <w:rPr>
          <w:i/>
        </w:rPr>
        <w:t>infra,</w:t>
      </w:r>
      <w:r>
        <w:t xml:space="preserve"> Ms. Thomas’ analysis improperly excluded the last year of the Stipulation ESP and contains other flawed assumptions.</w:t>
      </w:r>
    </w:p>
    <w:p w:rsidR="00757DA0" w:rsidRDefault="00757DA0">
      <w:pPr>
        <w:pStyle w:val="FootnoteText"/>
        <w:jc w:val="both"/>
      </w:pPr>
    </w:p>
  </w:footnote>
  <w:footnote w:id="43">
    <w:p w:rsidR="00757DA0" w:rsidRDefault="00757DA0">
      <w:pPr>
        <w:pStyle w:val="FootnoteText"/>
        <w:jc w:val="both"/>
      </w:pPr>
      <w:r>
        <w:rPr>
          <w:rStyle w:val="FootnoteReference"/>
        </w:rPr>
        <w:footnoteRef/>
      </w:r>
      <w:r>
        <w:t xml:space="preserve"> Tr. Vol. X at 1696 (Cross-examination of Robert Fortney). </w:t>
      </w:r>
    </w:p>
    <w:p w:rsidR="00757DA0" w:rsidRDefault="00757DA0">
      <w:pPr>
        <w:pStyle w:val="FootnoteText"/>
        <w:jc w:val="both"/>
      </w:pPr>
    </w:p>
  </w:footnote>
  <w:footnote w:id="44">
    <w:p w:rsidR="00757DA0" w:rsidRDefault="00757DA0">
      <w:pPr>
        <w:pStyle w:val="FootnoteText"/>
        <w:jc w:val="both"/>
      </w:pPr>
      <w:r>
        <w:rPr>
          <w:rStyle w:val="FootnoteReference"/>
        </w:rPr>
        <w:footnoteRef/>
      </w:r>
      <w:r>
        <w:t xml:space="preserve"> </w:t>
      </w:r>
      <w:r>
        <w:rPr>
          <w:i/>
        </w:rPr>
        <w:t>Id.</w:t>
      </w:r>
      <w:r>
        <w:t xml:space="preserve">  As discussed </w:t>
      </w:r>
      <w:r>
        <w:rPr>
          <w:i/>
        </w:rPr>
        <w:t>infra</w:t>
      </w:r>
      <w:r>
        <w:t xml:space="preserve">, Mr. Fortney’s analysis improperly excluded seventeen months of the Stipulation ESP and contains other flawed assumptions.  </w:t>
      </w:r>
    </w:p>
    <w:p w:rsidR="00DF1105" w:rsidRDefault="00DF1105">
      <w:pPr>
        <w:pStyle w:val="FootnoteText"/>
        <w:jc w:val="both"/>
      </w:pPr>
    </w:p>
  </w:footnote>
  <w:footnote w:id="45">
    <w:p w:rsidR="00757DA0" w:rsidRDefault="00757DA0">
      <w:pPr>
        <w:pStyle w:val="FootnoteText"/>
        <w:jc w:val="both"/>
      </w:pPr>
      <w:r>
        <w:rPr>
          <w:rStyle w:val="FootnoteReference"/>
        </w:rPr>
        <w:footnoteRef/>
      </w:r>
      <w:r>
        <w:t xml:space="preserve"> </w:t>
      </w:r>
      <w:r>
        <w:rPr>
          <w:i/>
        </w:rPr>
        <w:t>Id.</w:t>
      </w:r>
      <w:r>
        <w:t xml:space="preserve"> at 1697.</w:t>
      </w:r>
    </w:p>
    <w:p w:rsidR="00757DA0" w:rsidRDefault="00757DA0">
      <w:pPr>
        <w:pStyle w:val="FootnoteText"/>
        <w:jc w:val="both"/>
      </w:pPr>
    </w:p>
  </w:footnote>
  <w:footnote w:id="46">
    <w:p w:rsidR="00757DA0" w:rsidRDefault="00757DA0">
      <w:pPr>
        <w:pStyle w:val="FootnoteText"/>
        <w:jc w:val="both"/>
      </w:pPr>
      <w:r>
        <w:rPr>
          <w:rStyle w:val="FootnoteReference"/>
        </w:rPr>
        <w:footnoteRef/>
      </w:r>
      <w:r>
        <w:t xml:space="preserve"> The errors Mr. Schnitzer identified in Ms. Thomas’ analysis included failing to adjust fuel costs to reflect forecast fuel costs during the term of the ESP, ignoring potential costs associated with the GRR, ignoring potential pool termination costs, assuming capacity cost prices based on a CSP and OP cost-based rate rather than RPM, and understating the legacy ESP price by ignoring expected environmental investment costs.  FES Ex. 3 at 14-28.</w:t>
      </w:r>
    </w:p>
    <w:p w:rsidR="00757DA0" w:rsidRDefault="00757DA0">
      <w:pPr>
        <w:pStyle w:val="FootnoteText"/>
        <w:jc w:val="both"/>
      </w:pPr>
    </w:p>
  </w:footnote>
  <w:footnote w:id="47">
    <w:p w:rsidR="00757DA0" w:rsidRDefault="00757DA0">
      <w:pPr>
        <w:pStyle w:val="FootnoteText"/>
        <w:jc w:val="both"/>
      </w:pPr>
      <w:r>
        <w:rPr>
          <w:rStyle w:val="FootnoteReference"/>
        </w:rPr>
        <w:footnoteRef/>
      </w:r>
      <w:r>
        <w:t xml:space="preserve"> </w:t>
      </w:r>
      <w:r>
        <w:rPr>
          <w:i/>
        </w:rPr>
        <w:t>Id.</w:t>
      </w:r>
      <w:r>
        <w:t xml:space="preserve"> at 29. </w:t>
      </w:r>
    </w:p>
    <w:p w:rsidR="00757DA0" w:rsidRDefault="00757DA0">
      <w:pPr>
        <w:pStyle w:val="FootnoteText"/>
        <w:jc w:val="both"/>
      </w:pPr>
    </w:p>
  </w:footnote>
  <w:footnote w:id="48">
    <w:p w:rsidR="00757DA0" w:rsidRDefault="00757DA0">
      <w:pPr>
        <w:pStyle w:val="FootnoteText"/>
        <w:jc w:val="both"/>
      </w:pPr>
      <w:r>
        <w:rPr>
          <w:rStyle w:val="FootnoteReference"/>
        </w:rPr>
        <w:footnoteRef/>
      </w:r>
      <w:r>
        <w:t xml:space="preserve"> Tr. Vol. VIII at 1531-32 (Direct examination of Kevin Murray).</w:t>
      </w:r>
    </w:p>
    <w:p w:rsidR="00757DA0" w:rsidRDefault="00757DA0">
      <w:pPr>
        <w:pStyle w:val="FootnoteText"/>
        <w:jc w:val="both"/>
      </w:pPr>
    </w:p>
  </w:footnote>
  <w:footnote w:id="49">
    <w:p w:rsidR="00757DA0" w:rsidRDefault="00757DA0">
      <w:pPr>
        <w:pStyle w:val="FootnoteText"/>
        <w:jc w:val="both"/>
      </w:pPr>
      <w:r>
        <w:rPr>
          <w:rStyle w:val="FootnoteReference"/>
        </w:rPr>
        <w:footnoteRef/>
      </w:r>
      <w:r>
        <w:t xml:space="preserve"> IEU-Ohio Ex. 9A at 26.</w:t>
      </w:r>
    </w:p>
    <w:p w:rsidR="00757DA0" w:rsidRDefault="00757DA0">
      <w:pPr>
        <w:pStyle w:val="FootnoteText"/>
        <w:jc w:val="both"/>
      </w:pPr>
    </w:p>
  </w:footnote>
  <w:footnote w:id="50">
    <w:p w:rsidR="00757DA0" w:rsidRDefault="00757DA0">
      <w:pPr>
        <w:pStyle w:val="FootnoteText"/>
        <w:jc w:val="both"/>
      </w:pPr>
      <w:r>
        <w:rPr>
          <w:rStyle w:val="FootnoteReference"/>
        </w:rPr>
        <w:footnoteRef/>
      </w:r>
      <w:r>
        <w:t xml:space="preserve"> IEU-Ohio Ex. 9B at 30-35; Tr. Vol. XIII at 2324.</w:t>
      </w:r>
    </w:p>
    <w:p w:rsidR="00757DA0" w:rsidRDefault="00757DA0">
      <w:pPr>
        <w:pStyle w:val="FootnoteText"/>
        <w:jc w:val="both"/>
      </w:pPr>
    </w:p>
  </w:footnote>
  <w:footnote w:id="51">
    <w:p w:rsidR="00757DA0" w:rsidRDefault="00757DA0" w:rsidP="00590648">
      <w:pPr>
        <w:pStyle w:val="FootnoteText"/>
        <w:jc w:val="both"/>
      </w:pPr>
      <w:r>
        <w:rPr>
          <w:rStyle w:val="FootnoteReference"/>
        </w:rPr>
        <w:footnoteRef/>
      </w:r>
      <w:r>
        <w:t xml:space="preserve"> The results of a recent auction illustrate the amount of error contained in the Companies’ benchmark price.  While the hearing was proceeding, the results of the most recent auction for FirstEnergy were approved.  The auction closed at a level well below Ms. Thomas’ administratively-estimated price.  Tr. Vol. XIII at 2341 (Attorney Examiner’s administrative notice of results of FirstEnergy auction resulting in a clearing price of $52.83 per MWh for June 1, 2012 to May 31, 2014. </w:t>
      </w:r>
      <w:r w:rsidRPr="00C678A1">
        <w:rPr>
          <w:i/>
        </w:rPr>
        <w:t>In the Matter of the Procurement of Standard Service Offer Generation for Customers of Ohio Edison Company,</w:t>
      </w:r>
      <w:r>
        <w:rPr>
          <w:i/>
        </w:rPr>
        <w:t xml:space="preserve"> the Cleveland E</w:t>
      </w:r>
      <w:r w:rsidRPr="00C678A1">
        <w:rPr>
          <w:i/>
        </w:rPr>
        <w:t>lectric Illuminating Company, and the Toledo Edison Company</w:t>
      </w:r>
      <w:r>
        <w:t>, Case No. 10-1284-EL-UNC, Finding and Order at 2 (Oct. 26, 2011)).</w:t>
      </w:r>
    </w:p>
    <w:p w:rsidR="00757DA0" w:rsidRDefault="00757DA0">
      <w:pPr>
        <w:pStyle w:val="FootnoteText"/>
      </w:pPr>
    </w:p>
  </w:footnote>
  <w:footnote w:id="52">
    <w:p w:rsidR="00757DA0" w:rsidRDefault="00757DA0">
      <w:pPr>
        <w:pStyle w:val="FootnoteText"/>
        <w:jc w:val="both"/>
      </w:pPr>
      <w:r>
        <w:rPr>
          <w:rStyle w:val="FootnoteReference"/>
        </w:rPr>
        <w:footnoteRef/>
      </w:r>
      <w:r>
        <w:t xml:space="preserve"> Tr. Vol. IV at 577 (Cross-examination of Laura Thomas).</w:t>
      </w:r>
    </w:p>
    <w:p w:rsidR="00195CB6" w:rsidRDefault="00195CB6">
      <w:pPr>
        <w:pStyle w:val="FootnoteText"/>
        <w:jc w:val="both"/>
      </w:pPr>
    </w:p>
  </w:footnote>
  <w:footnote w:id="53">
    <w:p w:rsidR="00757DA0" w:rsidRPr="001E07F3" w:rsidRDefault="00757DA0">
      <w:pPr>
        <w:pStyle w:val="FootnoteText"/>
        <w:jc w:val="both"/>
      </w:pPr>
      <w:r w:rsidRPr="001E07F3">
        <w:rPr>
          <w:rStyle w:val="FootnoteReference"/>
          <w:rFonts w:cs="Arial"/>
        </w:rPr>
        <w:footnoteRef/>
      </w:r>
      <w:r w:rsidRPr="001E07F3">
        <w:t xml:space="preserve"> Tr. Vol. IV at 616-17 (Cross-examination of Laura Thomas).</w:t>
      </w:r>
    </w:p>
    <w:p w:rsidR="00757DA0" w:rsidRPr="0034644C" w:rsidRDefault="00757DA0">
      <w:pPr>
        <w:pStyle w:val="FootnoteText"/>
        <w:jc w:val="both"/>
      </w:pPr>
    </w:p>
  </w:footnote>
  <w:footnote w:id="54">
    <w:p w:rsidR="00757DA0" w:rsidRPr="001E07F3" w:rsidRDefault="00757DA0">
      <w:pPr>
        <w:pStyle w:val="FootnoteText"/>
        <w:jc w:val="both"/>
      </w:pPr>
      <w:r w:rsidRPr="001E07F3">
        <w:rPr>
          <w:rStyle w:val="FootnoteReference"/>
          <w:rFonts w:cs="Arial"/>
        </w:rPr>
        <w:footnoteRef/>
      </w:r>
      <w:r w:rsidRPr="001E07F3">
        <w:t xml:space="preserve"> </w:t>
      </w:r>
      <w:r w:rsidRPr="001E07F3">
        <w:rPr>
          <w:i/>
        </w:rPr>
        <w:t>Id</w:t>
      </w:r>
      <w:r w:rsidRPr="001E07F3">
        <w:t>.</w:t>
      </w:r>
    </w:p>
    <w:p w:rsidR="00757DA0" w:rsidRPr="0034644C" w:rsidRDefault="00757DA0">
      <w:pPr>
        <w:pStyle w:val="FootnoteText"/>
        <w:jc w:val="both"/>
      </w:pPr>
    </w:p>
  </w:footnote>
  <w:footnote w:id="55">
    <w:p w:rsidR="00757DA0" w:rsidRPr="001E07F3" w:rsidRDefault="00757DA0">
      <w:pPr>
        <w:pStyle w:val="FootnoteText"/>
        <w:jc w:val="both"/>
      </w:pPr>
      <w:r w:rsidRPr="001E07F3">
        <w:rPr>
          <w:rStyle w:val="FootnoteReference"/>
          <w:rFonts w:cs="Arial"/>
        </w:rPr>
        <w:footnoteRef/>
      </w:r>
      <w:r w:rsidRPr="001E07F3">
        <w:t xml:space="preserve"> Companies’ Ex. 5 at 16; Tr. Vol. IV at 593-94 (Cross-examination of Laura Thomas).</w:t>
      </w:r>
    </w:p>
    <w:p w:rsidR="00757DA0" w:rsidRPr="0034644C" w:rsidRDefault="00757DA0">
      <w:pPr>
        <w:pStyle w:val="FootnoteText"/>
        <w:jc w:val="both"/>
      </w:pPr>
    </w:p>
  </w:footnote>
  <w:footnote w:id="56">
    <w:p w:rsidR="00757DA0" w:rsidRPr="0034644C" w:rsidRDefault="00757DA0">
      <w:pPr>
        <w:pStyle w:val="NormalWeb"/>
        <w:shd w:val="clear" w:color="auto" w:fill="FFFFFF"/>
        <w:spacing w:before="0" w:beforeAutospacing="0" w:after="0" w:afterAutospacing="0"/>
        <w:jc w:val="both"/>
        <w:rPr>
          <w:rFonts w:ascii="Arial" w:hAnsi="Arial" w:cs="Arial"/>
        </w:rPr>
      </w:pPr>
      <w:r w:rsidRPr="00590648">
        <w:rPr>
          <w:rStyle w:val="FootnoteReference"/>
          <w:rFonts w:ascii="Arial" w:hAnsi="Arial" w:cs="Arial"/>
          <w:sz w:val="20"/>
        </w:rPr>
        <w:footnoteRef/>
      </w:r>
      <w:r w:rsidRPr="00590648">
        <w:rPr>
          <w:rFonts w:ascii="Arial" w:hAnsi="Arial" w:cs="Arial"/>
          <w:sz w:val="20"/>
        </w:rPr>
        <w:t xml:space="preserve"> </w:t>
      </w:r>
      <w:r w:rsidRPr="001E07F3">
        <w:rPr>
          <w:rFonts w:ascii="Arial" w:hAnsi="Arial" w:cs="Arial"/>
          <w:sz w:val="20"/>
          <w:szCs w:val="20"/>
        </w:rPr>
        <w:t>These additional costs, which total $524 million, need to be scored in the ESP versus MRO comparison.  IEU-Ohio Ex. 9A at 45.</w:t>
      </w:r>
    </w:p>
    <w:p w:rsidR="00757DA0" w:rsidRPr="00377CBE" w:rsidRDefault="00757DA0">
      <w:pPr>
        <w:pStyle w:val="FootnoteText"/>
        <w:jc w:val="both"/>
      </w:pPr>
    </w:p>
  </w:footnote>
  <w:footnote w:id="57">
    <w:p w:rsidR="00757DA0" w:rsidRDefault="00757DA0">
      <w:pPr>
        <w:pStyle w:val="FootnoteText"/>
        <w:jc w:val="both"/>
      </w:pPr>
      <w:r>
        <w:rPr>
          <w:rStyle w:val="FootnoteReference"/>
        </w:rPr>
        <w:footnoteRef/>
      </w:r>
      <w:r>
        <w:t xml:space="preserve"> </w:t>
      </w:r>
      <w:r>
        <w:rPr>
          <w:i/>
        </w:rPr>
        <w:t>Id</w:t>
      </w:r>
      <w:r>
        <w:t>.</w:t>
      </w:r>
    </w:p>
    <w:p w:rsidR="00757DA0" w:rsidRDefault="00757DA0">
      <w:pPr>
        <w:pStyle w:val="FootnoteText"/>
        <w:jc w:val="both"/>
      </w:pPr>
    </w:p>
  </w:footnote>
  <w:footnote w:id="58">
    <w:p w:rsidR="00757DA0" w:rsidRDefault="00757DA0">
      <w:pPr>
        <w:pStyle w:val="FootnoteText"/>
        <w:jc w:val="both"/>
      </w:pPr>
      <w:r>
        <w:rPr>
          <w:rStyle w:val="FootnoteReference"/>
        </w:rPr>
        <w:footnoteRef/>
      </w:r>
      <w:r>
        <w:t xml:space="preserve"> Tr. Vol. IV at 597.</w:t>
      </w:r>
    </w:p>
    <w:p w:rsidR="00757DA0" w:rsidRDefault="00757DA0">
      <w:pPr>
        <w:pStyle w:val="FootnoteText"/>
        <w:jc w:val="both"/>
      </w:pPr>
    </w:p>
  </w:footnote>
  <w:footnote w:id="59">
    <w:p w:rsidR="00757DA0" w:rsidRDefault="00757DA0">
      <w:pPr>
        <w:pStyle w:val="FootnoteText"/>
        <w:jc w:val="both"/>
      </w:pPr>
      <w:r>
        <w:rPr>
          <w:rStyle w:val="FootnoteReference"/>
        </w:rPr>
        <w:footnoteRef/>
      </w:r>
      <w:r>
        <w:t xml:space="preserve"> </w:t>
      </w:r>
      <w:r w:rsidR="00DF1105" w:rsidRPr="00DF1105">
        <w:rPr>
          <w:i/>
        </w:rPr>
        <w:t>Id</w:t>
      </w:r>
      <w:r w:rsidR="00DF1105">
        <w:t xml:space="preserve">. </w:t>
      </w:r>
      <w:r>
        <w:t>at 596-97, 600 (Cross-examination of Laura Thomas).</w:t>
      </w:r>
    </w:p>
    <w:p w:rsidR="00757DA0" w:rsidRDefault="00757DA0">
      <w:pPr>
        <w:pStyle w:val="FootnoteText"/>
        <w:jc w:val="both"/>
      </w:pPr>
    </w:p>
  </w:footnote>
  <w:footnote w:id="60">
    <w:p w:rsidR="00757DA0" w:rsidRDefault="00757DA0">
      <w:pPr>
        <w:pStyle w:val="FootnoteText"/>
        <w:jc w:val="both"/>
      </w:pPr>
      <w:r>
        <w:rPr>
          <w:rStyle w:val="FootnoteReference"/>
        </w:rPr>
        <w:footnoteRef/>
      </w:r>
      <w:r>
        <w:t xml:space="preserve"> </w:t>
      </w:r>
      <w:r w:rsidR="00DF1105" w:rsidRPr="00DF1105">
        <w:rPr>
          <w:i/>
        </w:rPr>
        <w:t>Id</w:t>
      </w:r>
      <w:r w:rsidR="00DF1105">
        <w:t xml:space="preserve">. </w:t>
      </w:r>
      <w:r>
        <w:t>at 607-611 (Cross-examination of Laura Thomas).</w:t>
      </w:r>
    </w:p>
    <w:p w:rsidR="00757DA0" w:rsidRDefault="00757DA0">
      <w:pPr>
        <w:pStyle w:val="FootnoteText"/>
        <w:jc w:val="both"/>
      </w:pPr>
    </w:p>
  </w:footnote>
  <w:footnote w:id="61">
    <w:p w:rsidR="00757DA0" w:rsidRDefault="00757DA0">
      <w:pPr>
        <w:pStyle w:val="FootnoteText"/>
        <w:jc w:val="both"/>
      </w:pPr>
      <w:r>
        <w:rPr>
          <w:rStyle w:val="FootnoteReference"/>
        </w:rPr>
        <w:footnoteRef/>
      </w:r>
      <w:r>
        <w:t xml:space="preserve"> Tr. Vol. XII at 2265 (Cross-examination of Philip Nelson).</w:t>
      </w:r>
    </w:p>
    <w:p w:rsidR="00757DA0" w:rsidRDefault="00757DA0">
      <w:pPr>
        <w:pStyle w:val="FootnoteText"/>
        <w:jc w:val="both"/>
      </w:pPr>
    </w:p>
  </w:footnote>
  <w:footnote w:id="62">
    <w:p w:rsidR="00757DA0" w:rsidRDefault="00757DA0">
      <w:pPr>
        <w:pStyle w:val="FootnoteText"/>
        <w:jc w:val="both"/>
      </w:pPr>
      <w:r>
        <w:rPr>
          <w:rStyle w:val="FootnoteReference"/>
        </w:rPr>
        <w:footnoteRef/>
      </w:r>
      <w:r>
        <w:t xml:space="preserve"> Section 4928.142(D), Revised Code.</w:t>
      </w:r>
    </w:p>
    <w:p w:rsidR="00757DA0" w:rsidRDefault="00757DA0">
      <w:pPr>
        <w:pStyle w:val="FootnoteText"/>
        <w:jc w:val="both"/>
      </w:pPr>
    </w:p>
  </w:footnote>
  <w:footnote w:id="63">
    <w:p w:rsidR="00757DA0" w:rsidRDefault="00757DA0">
      <w:pPr>
        <w:autoSpaceDE w:val="0"/>
        <w:autoSpaceDN w:val="0"/>
        <w:adjustRightInd w:val="0"/>
        <w:spacing w:after="0" w:line="240" w:lineRule="auto"/>
        <w:jc w:val="both"/>
        <w:rPr>
          <w:sz w:val="20"/>
          <w:szCs w:val="20"/>
        </w:rPr>
      </w:pPr>
      <w:r>
        <w:rPr>
          <w:rStyle w:val="FootnoteReference"/>
          <w:sz w:val="20"/>
          <w:szCs w:val="20"/>
        </w:rPr>
        <w:footnoteRef/>
      </w:r>
      <w:r>
        <w:t xml:space="preserve"> </w:t>
      </w:r>
      <w:r>
        <w:rPr>
          <w:i/>
          <w:sz w:val="20"/>
          <w:szCs w:val="20"/>
        </w:rPr>
        <w:t>Duke SSO</w:t>
      </w:r>
      <w:r w:rsidR="00C31FA1">
        <w:rPr>
          <w:i/>
          <w:sz w:val="20"/>
          <w:szCs w:val="20"/>
        </w:rPr>
        <w:t>,</w:t>
      </w:r>
      <w:r>
        <w:rPr>
          <w:i/>
          <w:sz w:val="20"/>
          <w:szCs w:val="20"/>
        </w:rPr>
        <w:t xml:space="preserve"> </w:t>
      </w:r>
      <w:r>
        <w:rPr>
          <w:sz w:val="20"/>
          <w:szCs w:val="20"/>
        </w:rPr>
        <w:t>Opinion and Order</w:t>
      </w:r>
      <w:r>
        <w:rPr>
          <w:i/>
          <w:sz w:val="20"/>
          <w:szCs w:val="20"/>
        </w:rPr>
        <w:t xml:space="preserve"> </w:t>
      </w:r>
      <w:r>
        <w:rPr>
          <w:sz w:val="20"/>
          <w:szCs w:val="20"/>
        </w:rPr>
        <w:t>(Feb. 23, 2011).</w:t>
      </w:r>
    </w:p>
    <w:p w:rsidR="00757DA0" w:rsidRDefault="00757DA0">
      <w:pPr>
        <w:autoSpaceDE w:val="0"/>
        <w:autoSpaceDN w:val="0"/>
        <w:adjustRightInd w:val="0"/>
        <w:spacing w:after="0" w:line="240" w:lineRule="auto"/>
        <w:jc w:val="both"/>
        <w:rPr>
          <w:sz w:val="20"/>
          <w:szCs w:val="20"/>
        </w:rPr>
      </w:pPr>
    </w:p>
  </w:footnote>
  <w:footnote w:id="64">
    <w:p w:rsidR="00757DA0" w:rsidRDefault="00757DA0">
      <w:pPr>
        <w:pStyle w:val="FootnoteText"/>
        <w:jc w:val="both"/>
      </w:pPr>
      <w:r>
        <w:rPr>
          <w:rStyle w:val="FootnoteReference"/>
        </w:rPr>
        <w:footnoteRef/>
      </w:r>
      <w:r>
        <w:t xml:space="preserve"> </w:t>
      </w:r>
      <w:r w:rsidRPr="00C678A1">
        <w:rPr>
          <w:i/>
        </w:rPr>
        <w:t>Duke SSO</w:t>
      </w:r>
      <w:r>
        <w:t>, Opinion and Order at 9.</w:t>
      </w:r>
    </w:p>
    <w:p w:rsidR="00757DA0" w:rsidRDefault="00757DA0">
      <w:pPr>
        <w:pStyle w:val="FootnoteText"/>
        <w:jc w:val="both"/>
      </w:pPr>
    </w:p>
  </w:footnote>
  <w:footnote w:id="65">
    <w:p w:rsidR="00757DA0" w:rsidRDefault="00757DA0">
      <w:pPr>
        <w:pStyle w:val="FootnoteText"/>
        <w:jc w:val="both"/>
      </w:pPr>
      <w:r>
        <w:rPr>
          <w:rStyle w:val="FootnoteReference"/>
        </w:rPr>
        <w:footnoteRef/>
      </w:r>
      <w:r>
        <w:t xml:space="preserve"> During his cross-examination, Staff witness Fortney acknowledged his understanding that an initial MRO application by a utility that owned generation assets requires blending of the competitive bid prices with the legacy ESP prices for a minimum of five years.  Tr. Vol. X at 1739-41 (Cross-examination of Robert Fortney).  Ohio Energy Group (“OEG”) witness Stephen Baron previously submitted testimony supporting a five-year blending period, also.  IEU-Ohio Ex. 2 at 2.</w:t>
      </w:r>
    </w:p>
    <w:p w:rsidR="00757DA0" w:rsidRDefault="00757DA0">
      <w:pPr>
        <w:pStyle w:val="FootnoteText"/>
        <w:jc w:val="both"/>
      </w:pPr>
    </w:p>
  </w:footnote>
  <w:footnote w:id="66">
    <w:p w:rsidR="00757DA0" w:rsidRDefault="00757DA0">
      <w:pPr>
        <w:pStyle w:val="FootnoteText"/>
        <w:jc w:val="both"/>
      </w:pPr>
      <w:r>
        <w:rPr>
          <w:rStyle w:val="FootnoteReference"/>
        </w:rPr>
        <w:footnoteRef/>
      </w:r>
      <w:r>
        <w:t xml:space="preserve"> </w:t>
      </w:r>
      <w:r>
        <w:rPr>
          <w:i/>
        </w:rPr>
        <w:t>Duke SSO</w:t>
      </w:r>
      <w:r>
        <w:t xml:space="preserve"> at 23.  In the Duke SSO Order, the Commission determined that Section 4928.142(E), Revised Code, could allow a party to propose prospectively an alteration of the blending percentages specified in Section 4928.142(D), Revised Code, after the first two years of an MRO.  </w:t>
      </w:r>
      <w:r>
        <w:rPr>
          <w:i/>
        </w:rPr>
        <w:t>Duke SSO</w:t>
      </w:r>
      <w:r>
        <w:t xml:space="preserve"> at 17.</w:t>
      </w:r>
    </w:p>
    <w:p w:rsidR="00757DA0" w:rsidRDefault="00757DA0">
      <w:pPr>
        <w:pStyle w:val="FootnoteText"/>
        <w:jc w:val="both"/>
      </w:pPr>
    </w:p>
  </w:footnote>
  <w:footnote w:id="67">
    <w:p w:rsidR="00757DA0" w:rsidRDefault="00757DA0">
      <w:pPr>
        <w:pStyle w:val="FootnoteText"/>
      </w:pPr>
      <w:r>
        <w:rPr>
          <w:rStyle w:val="FootnoteReference"/>
        </w:rPr>
        <w:footnoteRef/>
      </w:r>
      <w:r>
        <w:t xml:space="preserve"> Tr. Vol. XIII at 2323-24 (Cross-examination of Laura Thomas).</w:t>
      </w:r>
    </w:p>
    <w:p w:rsidR="00757DA0" w:rsidRDefault="00757DA0">
      <w:pPr>
        <w:pStyle w:val="FootnoteText"/>
      </w:pPr>
    </w:p>
  </w:footnote>
  <w:footnote w:id="68">
    <w:p w:rsidR="00757DA0" w:rsidRDefault="00757DA0">
      <w:pPr>
        <w:pStyle w:val="FootnoteText"/>
      </w:pPr>
      <w:r>
        <w:rPr>
          <w:rStyle w:val="FootnoteReference"/>
        </w:rPr>
        <w:footnoteRef/>
      </w:r>
      <w:r>
        <w:t xml:space="preserve"> Cos. Ex. 23 at 10.</w:t>
      </w:r>
    </w:p>
    <w:p w:rsidR="00757DA0" w:rsidRDefault="00757DA0">
      <w:pPr>
        <w:pStyle w:val="FootnoteText"/>
      </w:pPr>
    </w:p>
  </w:footnote>
  <w:footnote w:id="69">
    <w:p w:rsidR="00757DA0" w:rsidRDefault="00757DA0">
      <w:pPr>
        <w:pStyle w:val="FootnoteText"/>
        <w:jc w:val="both"/>
      </w:pPr>
      <w:r>
        <w:rPr>
          <w:rStyle w:val="FootnoteReference"/>
        </w:rPr>
        <w:footnoteRef/>
      </w:r>
      <w:r>
        <w:t xml:space="preserve"> IEU-Ohio Ex. 9A at 43-44.</w:t>
      </w:r>
    </w:p>
    <w:p w:rsidR="00757DA0" w:rsidRDefault="00757DA0">
      <w:pPr>
        <w:pStyle w:val="FootnoteText"/>
        <w:jc w:val="both"/>
      </w:pPr>
    </w:p>
  </w:footnote>
  <w:footnote w:id="70">
    <w:p w:rsidR="00757DA0" w:rsidRDefault="00757DA0">
      <w:pPr>
        <w:pStyle w:val="FootnoteText"/>
        <w:jc w:val="both"/>
      </w:pPr>
      <w:r>
        <w:rPr>
          <w:rStyle w:val="FootnoteReference"/>
        </w:rPr>
        <w:footnoteRef/>
      </w:r>
      <w:r>
        <w:t xml:space="preserve"> Tr. Vol. X at 1741 (Cross-examination of Robert Fortney).</w:t>
      </w:r>
    </w:p>
    <w:p w:rsidR="00757DA0" w:rsidRDefault="00757DA0">
      <w:pPr>
        <w:pStyle w:val="FootnoteText"/>
        <w:jc w:val="both"/>
      </w:pPr>
    </w:p>
  </w:footnote>
  <w:footnote w:id="71">
    <w:p w:rsidR="00757DA0" w:rsidRDefault="00757DA0">
      <w:pPr>
        <w:pStyle w:val="FootnoteText"/>
        <w:jc w:val="both"/>
      </w:pPr>
      <w:r>
        <w:rPr>
          <w:rStyle w:val="FootnoteReference"/>
        </w:rPr>
        <w:footnoteRef/>
      </w:r>
      <w:r>
        <w:t xml:space="preserve"> IEU-Ohio Ex. 9A at 45.</w:t>
      </w:r>
    </w:p>
    <w:p w:rsidR="00757DA0" w:rsidRDefault="00757DA0">
      <w:pPr>
        <w:pStyle w:val="FootnoteText"/>
        <w:jc w:val="both"/>
      </w:pPr>
    </w:p>
  </w:footnote>
  <w:footnote w:id="72">
    <w:p w:rsidR="00757DA0" w:rsidRDefault="00757DA0">
      <w:pPr>
        <w:pStyle w:val="FootnoteText"/>
        <w:jc w:val="both"/>
      </w:pPr>
      <w:r>
        <w:rPr>
          <w:rStyle w:val="FootnoteReference"/>
        </w:rPr>
        <w:footnoteRef/>
      </w:r>
      <w:r>
        <w:t xml:space="preserve"> Mr. Murray provided unrebutted testimony demonstrating that simply correcting the omission of the last year of Mr. Fortney’s analysis and ignoring the other errors in his assumptions resulted in the ESP failing the MRO price comparison.  IEU-Ohio Ex. 9A at 44-45.</w:t>
      </w:r>
    </w:p>
    <w:p w:rsidR="00757DA0" w:rsidRDefault="00757DA0">
      <w:pPr>
        <w:pStyle w:val="FootnoteText"/>
        <w:jc w:val="both"/>
      </w:pPr>
    </w:p>
  </w:footnote>
  <w:footnote w:id="73">
    <w:p w:rsidR="00757DA0" w:rsidRDefault="00757DA0">
      <w:pPr>
        <w:pStyle w:val="FootnoteText"/>
        <w:jc w:val="both"/>
      </w:pPr>
      <w:r>
        <w:rPr>
          <w:rStyle w:val="FootnoteReference"/>
        </w:rPr>
        <w:footnoteRef/>
      </w:r>
      <w:r>
        <w:t xml:space="preserve"> During his cross-examination, Mr. Allen acknowledged that the benefits associated with reduced carrying charges did not reflect the lower phase-in balance that will result from the Commission’s remand order in Case Nos. 08-917-EL-SSO, </w:t>
      </w:r>
      <w:r>
        <w:rPr>
          <w:i/>
        </w:rPr>
        <w:t>et al.</w:t>
      </w:r>
      <w:r>
        <w:t xml:space="preserve">  Tr. Vol. III at 425-430 (Cross-examination of William Allen).</w:t>
      </w:r>
    </w:p>
    <w:p w:rsidR="00757DA0" w:rsidRDefault="00757DA0">
      <w:pPr>
        <w:pStyle w:val="FootnoteText"/>
        <w:jc w:val="both"/>
      </w:pPr>
    </w:p>
  </w:footnote>
  <w:footnote w:id="74">
    <w:p w:rsidR="00757DA0" w:rsidRDefault="00757DA0">
      <w:pPr>
        <w:pStyle w:val="FootnoteText"/>
        <w:jc w:val="both"/>
      </w:pPr>
      <w:r>
        <w:rPr>
          <w:rStyle w:val="FootnoteReference"/>
        </w:rPr>
        <w:footnoteRef/>
      </w:r>
      <w:r>
        <w:t xml:space="preserve"> Cos. Ex. 4, Ex. WAA-6.</w:t>
      </w:r>
    </w:p>
    <w:p w:rsidR="00757DA0" w:rsidRDefault="00757DA0">
      <w:pPr>
        <w:pStyle w:val="FootnoteText"/>
        <w:jc w:val="both"/>
      </w:pPr>
    </w:p>
  </w:footnote>
  <w:footnote w:id="75">
    <w:p w:rsidR="00757DA0" w:rsidRDefault="00757DA0">
      <w:pPr>
        <w:pStyle w:val="FootnoteText"/>
        <w:jc w:val="both"/>
      </w:pPr>
      <w:r>
        <w:rPr>
          <w:rStyle w:val="FootnoteReference"/>
        </w:rPr>
        <w:footnoteRef/>
      </w:r>
      <w:r>
        <w:t xml:space="preserve"> Tr. Vol. II at 441-49 (Cross-examination of William Allen).</w:t>
      </w:r>
    </w:p>
    <w:p w:rsidR="00757DA0" w:rsidRDefault="00757DA0">
      <w:pPr>
        <w:pStyle w:val="FootnoteText"/>
        <w:jc w:val="both"/>
      </w:pPr>
    </w:p>
  </w:footnote>
  <w:footnote w:id="76">
    <w:p w:rsidR="00757DA0" w:rsidRDefault="00757DA0">
      <w:pPr>
        <w:pStyle w:val="FootnoteText"/>
        <w:jc w:val="both"/>
      </w:pPr>
      <w:r>
        <w:rPr>
          <w:rStyle w:val="FootnoteReference"/>
        </w:rPr>
        <w:footnoteRef/>
      </w:r>
      <w:r>
        <w:t xml:space="preserve"> IEU-Ohio Ex. 9A at 48. </w:t>
      </w:r>
    </w:p>
    <w:p w:rsidR="00757DA0" w:rsidRDefault="00757DA0">
      <w:pPr>
        <w:pStyle w:val="FootnoteText"/>
        <w:jc w:val="both"/>
      </w:pPr>
    </w:p>
  </w:footnote>
  <w:footnote w:id="77">
    <w:p w:rsidR="00757DA0" w:rsidRDefault="00757DA0">
      <w:pPr>
        <w:pStyle w:val="FootnoteText"/>
        <w:jc w:val="both"/>
      </w:pPr>
      <w:r>
        <w:rPr>
          <w:rStyle w:val="FootnoteReference"/>
        </w:rPr>
        <w:footnoteRef/>
      </w:r>
      <w:r>
        <w:t xml:space="preserve"> Tr. Vol. X at 1707-08 (Cross-examination of Robert Fortney).  Staff witness Choueiki testified that the appropriate capacity price to charge all CRES suppliers would be equal to the RPM price.  </w:t>
      </w:r>
      <w:r w:rsidRPr="00006FB7">
        <w:rPr>
          <w:i/>
        </w:rPr>
        <w:t>See</w:t>
      </w:r>
      <w:r>
        <w:t xml:space="preserve"> </w:t>
      </w:r>
      <w:r w:rsidRPr="00006FB7">
        <w:t>Staff</w:t>
      </w:r>
      <w:r>
        <w:t xml:space="preserve"> Ex. 2.</w:t>
      </w:r>
    </w:p>
    <w:p w:rsidR="00757DA0" w:rsidRDefault="00757DA0">
      <w:pPr>
        <w:pStyle w:val="FootnoteText"/>
        <w:jc w:val="both"/>
      </w:pPr>
    </w:p>
  </w:footnote>
  <w:footnote w:id="78">
    <w:p w:rsidR="00757DA0" w:rsidRDefault="00757DA0">
      <w:pPr>
        <w:autoSpaceDE w:val="0"/>
        <w:autoSpaceDN w:val="0"/>
        <w:adjustRightInd w:val="0"/>
        <w:spacing w:after="0" w:line="240" w:lineRule="auto"/>
        <w:jc w:val="both"/>
        <w:rPr>
          <w:sz w:val="20"/>
          <w:szCs w:val="20"/>
        </w:rPr>
      </w:pPr>
      <w:r>
        <w:rPr>
          <w:rStyle w:val="FootnoteReference"/>
        </w:rPr>
        <w:footnoteRef/>
      </w:r>
      <w:r>
        <w:t xml:space="preserve"> </w:t>
      </w:r>
      <w:r>
        <w:rPr>
          <w:sz w:val="20"/>
          <w:szCs w:val="20"/>
        </w:rPr>
        <w:t xml:space="preserve">Where the Commission authorizes the creation of a regulatory asset including carrying charges, such charges are typically based on the utility's cost of long-term debt.  </w:t>
      </w:r>
      <w:r>
        <w:rPr>
          <w:i/>
          <w:sz w:val="20"/>
          <w:szCs w:val="20"/>
        </w:rPr>
        <w:t xml:space="preserve">In the Matter of the Application of Columbus Southern Power Company and Ohio Power Company for Authority to Modify Their Accounting Procedure for Certain Storm-Related Services Restoration Costs, </w:t>
      </w:r>
      <w:r w:rsidRPr="00C678A1">
        <w:rPr>
          <w:sz w:val="20"/>
          <w:szCs w:val="20"/>
        </w:rPr>
        <w:t>Case No. 08-1301-EL-AAM, Finding and Order at 3 (Dec. 19, 2008).</w:t>
      </w:r>
      <w:r>
        <w:rPr>
          <w:i/>
          <w:sz w:val="20"/>
          <w:szCs w:val="20"/>
        </w:rPr>
        <w:t xml:space="preserve"> </w:t>
      </w:r>
    </w:p>
    <w:p w:rsidR="00757DA0" w:rsidRDefault="00757DA0">
      <w:pPr>
        <w:autoSpaceDE w:val="0"/>
        <w:autoSpaceDN w:val="0"/>
        <w:adjustRightInd w:val="0"/>
        <w:spacing w:after="0" w:line="240" w:lineRule="auto"/>
        <w:jc w:val="both"/>
        <w:rPr>
          <w:sz w:val="20"/>
          <w:szCs w:val="20"/>
        </w:rPr>
      </w:pPr>
    </w:p>
  </w:footnote>
  <w:footnote w:id="79">
    <w:p w:rsidR="00757DA0" w:rsidRDefault="00757DA0">
      <w:pPr>
        <w:pStyle w:val="FootnoteText"/>
        <w:jc w:val="both"/>
      </w:pPr>
      <w:r>
        <w:rPr>
          <w:rStyle w:val="FootnoteReference"/>
        </w:rPr>
        <w:footnoteRef/>
      </w:r>
      <w:r>
        <w:t xml:space="preserve"> Tr. Vol. X at 1751-52 (Cross-examination of Robert Fortney).</w:t>
      </w:r>
    </w:p>
    <w:p w:rsidR="00757DA0" w:rsidRDefault="00757DA0">
      <w:pPr>
        <w:pStyle w:val="FootnoteText"/>
        <w:jc w:val="both"/>
      </w:pPr>
    </w:p>
  </w:footnote>
  <w:footnote w:id="80">
    <w:p w:rsidR="00757DA0" w:rsidRDefault="00757DA0">
      <w:pPr>
        <w:pStyle w:val="FootnoteText"/>
        <w:jc w:val="both"/>
      </w:pPr>
      <w:r>
        <w:rPr>
          <w:rStyle w:val="FootnoteReference"/>
        </w:rPr>
        <w:footnoteRef/>
      </w:r>
      <w:r>
        <w:t xml:space="preserve"> </w:t>
      </w:r>
      <w:r w:rsidRPr="00590648">
        <w:rPr>
          <w:i/>
        </w:rPr>
        <w:t>Id</w:t>
      </w:r>
      <w:r>
        <w:t xml:space="preserve">. at 1752 (Cross-examination of Robert Fortney). </w:t>
      </w:r>
    </w:p>
    <w:p w:rsidR="00757DA0" w:rsidRDefault="00757DA0">
      <w:pPr>
        <w:pStyle w:val="FootnoteText"/>
        <w:jc w:val="both"/>
      </w:pPr>
    </w:p>
  </w:footnote>
  <w:footnote w:id="81">
    <w:p w:rsidR="00757DA0" w:rsidRDefault="00757DA0">
      <w:pPr>
        <w:pStyle w:val="FootnoteText"/>
        <w:jc w:val="both"/>
      </w:pPr>
      <w:r>
        <w:rPr>
          <w:rStyle w:val="FootnoteReference"/>
        </w:rPr>
        <w:footnoteRef/>
      </w:r>
      <w:r>
        <w:t xml:space="preserve"> </w:t>
      </w:r>
      <w:r w:rsidRPr="00590648">
        <w:rPr>
          <w:i/>
        </w:rPr>
        <w:t>Id</w:t>
      </w:r>
      <w:r>
        <w:t>. at 1762 (Cross-examination of Robert Fortney).</w:t>
      </w:r>
    </w:p>
    <w:p w:rsidR="00757DA0" w:rsidRDefault="00757DA0">
      <w:pPr>
        <w:pStyle w:val="FootnoteText"/>
        <w:jc w:val="both"/>
      </w:pPr>
    </w:p>
  </w:footnote>
  <w:footnote w:id="82">
    <w:p w:rsidR="00757DA0" w:rsidRDefault="00757DA0">
      <w:pPr>
        <w:pStyle w:val="FootnoteText"/>
        <w:jc w:val="both"/>
      </w:pPr>
      <w:r>
        <w:rPr>
          <w:rStyle w:val="FootnoteReference"/>
        </w:rPr>
        <w:footnoteRef/>
      </w:r>
      <w:r>
        <w:t xml:space="preserve"> IEU-Ohio Ex. 9A at 7-8.  Exelon witness Joseph Dominguez also conceded during his cross-examination that the Stipulation would not require a CBP for energy in the Companies’ next ESP.  Tr. Vol. VI at 1052 (Cross-examination of Joseph Dominquez).</w:t>
      </w:r>
    </w:p>
    <w:p w:rsidR="00757DA0" w:rsidRDefault="00757DA0">
      <w:pPr>
        <w:pStyle w:val="FootnoteText"/>
        <w:jc w:val="both"/>
      </w:pPr>
    </w:p>
  </w:footnote>
  <w:footnote w:id="83">
    <w:p w:rsidR="00757DA0" w:rsidRDefault="00757DA0">
      <w:pPr>
        <w:pStyle w:val="FootnoteText"/>
        <w:jc w:val="both"/>
      </w:pPr>
      <w:r>
        <w:rPr>
          <w:rStyle w:val="FootnoteReference"/>
        </w:rPr>
        <w:footnoteRef/>
      </w:r>
      <w:r>
        <w:t xml:space="preserve"> Tr. Vol. X at 1762-1763 (Cross-examination of Robert Fortney).</w:t>
      </w:r>
    </w:p>
    <w:p w:rsidR="00757DA0" w:rsidRDefault="00757DA0">
      <w:pPr>
        <w:pStyle w:val="FootnoteText"/>
        <w:jc w:val="both"/>
      </w:pPr>
    </w:p>
  </w:footnote>
  <w:footnote w:id="84">
    <w:p w:rsidR="00757DA0" w:rsidRDefault="00757DA0">
      <w:pPr>
        <w:pStyle w:val="FootnoteText"/>
        <w:jc w:val="both"/>
      </w:pPr>
      <w:r>
        <w:rPr>
          <w:rStyle w:val="FootnoteReference"/>
        </w:rPr>
        <w:footnoteRef/>
      </w:r>
      <w:r>
        <w:t xml:space="preserve"> Stipulation at 4-6.</w:t>
      </w:r>
    </w:p>
    <w:p w:rsidR="00757DA0" w:rsidRDefault="00757DA0">
      <w:pPr>
        <w:pStyle w:val="FootnoteText"/>
        <w:jc w:val="both"/>
      </w:pPr>
    </w:p>
  </w:footnote>
  <w:footnote w:id="85">
    <w:p w:rsidR="00757DA0" w:rsidRDefault="00757DA0">
      <w:pPr>
        <w:pStyle w:val="FootnoteText"/>
        <w:jc w:val="both"/>
      </w:pPr>
      <w:r>
        <w:rPr>
          <w:rStyle w:val="FootnoteReference"/>
        </w:rPr>
        <w:footnoteRef/>
      </w:r>
      <w:r>
        <w:t xml:space="preserve"> “The MTR is designed to produce a net charge of $6 million quarterly until the end of 2012 or until securitization is completed, whichever is earlier, at which time the MTR is designed to produce a net charge of $0 quarterly.  Any over/under recovery will be reflected in the quarterly adjustment.”  </w:t>
      </w:r>
      <w:r>
        <w:rPr>
          <w:i/>
        </w:rPr>
        <w:t>Id</w:t>
      </w:r>
      <w:r>
        <w:t>. at 5-6.</w:t>
      </w:r>
    </w:p>
    <w:p w:rsidR="00757DA0" w:rsidRDefault="00757DA0">
      <w:pPr>
        <w:pStyle w:val="FootnoteText"/>
        <w:jc w:val="both"/>
      </w:pPr>
    </w:p>
  </w:footnote>
  <w:footnote w:id="86">
    <w:p w:rsidR="00757DA0" w:rsidRDefault="00757DA0">
      <w:pPr>
        <w:pStyle w:val="FootnoteText"/>
        <w:jc w:val="both"/>
      </w:pPr>
      <w:r>
        <w:rPr>
          <w:rStyle w:val="FootnoteReference"/>
        </w:rPr>
        <w:footnoteRef/>
      </w:r>
      <w:r>
        <w:t xml:space="preserve"> </w:t>
      </w:r>
      <w:r>
        <w:rPr>
          <w:i/>
        </w:rPr>
        <w:t>Id</w:t>
      </w:r>
      <w:r>
        <w:t>. at 4-5.</w:t>
      </w:r>
    </w:p>
    <w:p w:rsidR="00757DA0" w:rsidRDefault="00757DA0">
      <w:pPr>
        <w:pStyle w:val="FootnoteText"/>
        <w:jc w:val="both"/>
      </w:pPr>
    </w:p>
  </w:footnote>
  <w:footnote w:id="87">
    <w:p w:rsidR="00757DA0" w:rsidRDefault="00757DA0">
      <w:pPr>
        <w:pStyle w:val="FootnoteText"/>
        <w:jc w:val="both"/>
      </w:pPr>
      <w:r>
        <w:rPr>
          <w:rStyle w:val="FootnoteReference"/>
        </w:rPr>
        <w:footnoteRef/>
      </w:r>
      <w:r>
        <w:t xml:space="preserve"> IEU-Ohio Ex. 9A at 19-20.</w:t>
      </w:r>
    </w:p>
    <w:p w:rsidR="00757DA0" w:rsidRDefault="00757DA0">
      <w:pPr>
        <w:pStyle w:val="FootnoteText"/>
        <w:jc w:val="both"/>
      </w:pPr>
    </w:p>
  </w:footnote>
  <w:footnote w:id="88">
    <w:p w:rsidR="00757DA0" w:rsidRDefault="00757DA0">
      <w:pPr>
        <w:pStyle w:val="FootnoteText"/>
        <w:jc w:val="both"/>
      </w:pPr>
      <w:r>
        <w:rPr>
          <w:rStyle w:val="FootnoteReference"/>
        </w:rPr>
        <w:footnoteRef/>
      </w:r>
      <w:r>
        <w:t xml:space="preserve"> Cos. Ex. 2 at 9.</w:t>
      </w:r>
    </w:p>
    <w:p w:rsidR="00757DA0" w:rsidRDefault="00757DA0">
      <w:pPr>
        <w:pStyle w:val="FootnoteText"/>
        <w:jc w:val="both"/>
      </w:pPr>
    </w:p>
  </w:footnote>
  <w:footnote w:id="89">
    <w:p w:rsidR="00757DA0" w:rsidRDefault="00757DA0">
      <w:pPr>
        <w:pStyle w:val="FootnoteText"/>
        <w:jc w:val="both"/>
      </w:pPr>
      <w:r>
        <w:rPr>
          <w:rStyle w:val="FootnoteReference"/>
        </w:rPr>
        <w:footnoteRef/>
      </w:r>
      <w:r>
        <w:t xml:space="preserve"> IEU-Ohio Ex. 9A at 19-20.</w:t>
      </w:r>
    </w:p>
    <w:p w:rsidR="00757DA0" w:rsidRDefault="00757DA0">
      <w:pPr>
        <w:pStyle w:val="FootnoteText"/>
        <w:jc w:val="both"/>
      </w:pPr>
    </w:p>
  </w:footnote>
  <w:footnote w:id="90">
    <w:p w:rsidR="00757DA0" w:rsidRDefault="00757DA0">
      <w:pPr>
        <w:pStyle w:val="FootnoteText"/>
        <w:jc w:val="both"/>
      </w:pPr>
      <w:r>
        <w:rPr>
          <w:rStyle w:val="FootnoteReference"/>
        </w:rPr>
        <w:footnoteRef/>
      </w:r>
      <w:r>
        <w:t xml:space="preserve"> </w:t>
      </w:r>
      <w:r>
        <w:rPr>
          <w:i/>
        </w:rPr>
        <w:t>Id</w:t>
      </w:r>
      <w:r>
        <w:t>. at 20-21.</w:t>
      </w:r>
    </w:p>
  </w:footnote>
  <w:footnote w:id="91">
    <w:p w:rsidR="00757DA0" w:rsidRDefault="00757DA0">
      <w:pPr>
        <w:pStyle w:val="FootnoteText"/>
        <w:jc w:val="both"/>
      </w:pPr>
      <w:r>
        <w:rPr>
          <w:rStyle w:val="FootnoteReference"/>
        </w:rPr>
        <w:footnoteRef/>
      </w:r>
      <w:r>
        <w:t xml:space="preserve"> The only response offered by the Companies is testimony by Mr. Roush that the resulting rates are similar to those resulting from the FirstEnergy auctions.  Cos. Ex. 22 at 3.  Mr. Roush, on cross-examination, offered that he was not relying on the stipulation in the FirstEnergy case that created the basis for the rates, but was relying on the published tariff rates that resulted from the stipulated ESP.  Tr. Vol. XIII at 2308.  Reliance on the rates resulting from the FirstEnergy stipulated ESP, however, is improper:  the Stipulation cannot be used for precedent in any other matter.  Tr. Vol. XIII at 2061.</w:t>
      </w:r>
    </w:p>
    <w:p w:rsidR="00757DA0" w:rsidRDefault="00757DA0">
      <w:pPr>
        <w:pStyle w:val="FootnoteText"/>
        <w:jc w:val="both"/>
      </w:pPr>
    </w:p>
  </w:footnote>
  <w:footnote w:id="92">
    <w:p w:rsidR="00757DA0" w:rsidRDefault="00757DA0">
      <w:pPr>
        <w:pStyle w:val="FootnoteText"/>
        <w:jc w:val="both"/>
      </w:pPr>
      <w:r>
        <w:rPr>
          <w:rStyle w:val="FootnoteReference"/>
        </w:rPr>
        <w:footnoteRef/>
      </w:r>
      <w:r>
        <w:t xml:space="preserve"> FES Ex. 2 at 39; Tr. Vol. IV at 535 (Cross-examination of Teresa Ringenbach).  As Dr. Lesser demonstrated, part of the problem with the Companies’ approach is that it is substantially driven by the value used to price capacity.  The result is that as capacity numbers are substituted the rate relationships change.  FES Ex. 2 at 40.  The sensitivity of the relationships to changes in capacity prices is heightened when a non-market-based capacity price is used as is the case presented by the Stipulation.  The results are tied to neither a market-based nor cost-based capacity charge.</w:t>
      </w:r>
    </w:p>
    <w:p w:rsidR="00757DA0" w:rsidRDefault="00757DA0">
      <w:pPr>
        <w:pStyle w:val="FootnoteText"/>
        <w:jc w:val="both"/>
      </w:pPr>
    </w:p>
  </w:footnote>
  <w:footnote w:id="93">
    <w:p w:rsidR="00757DA0" w:rsidRDefault="00757DA0">
      <w:pPr>
        <w:pStyle w:val="FootnoteText"/>
      </w:pPr>
      <w:r>
        <w:rPr>
          <w:rStyle w:val="FootnoteReference"/>
        </w:rPr>
        <w:footnoteRef/>
      </w:r>
      <w:r>
        <w:t xml:space="preserve"> Tr. Vol. X at 1715.</w:t>
      </w:r>
    </w:p>
    <w:p w:rsidR="00757DA0" w:rsidRDefault="00757DA0">
      <w:pPr>
        <w:pStyle w:val="FootnoteText"/>
      </w:pPr>
    </w:p>
  </w:footnote>
  <w:footnote w:id="94">
    <w:p w:rsidR="00757DA0" w:rsidRDefault="00757DA0">
      <w:pPr>
        <w:pStyle w:val="FootnoteText"/>
        <w:jc w:val="both"/>
      </w:pPr>
      <w:r>
        <w:rPr>
          <w:rStyle w:val="FootnoteReference"/>
        </w:rPr>
        <w:footnoteRef/>
      </w:r>
      <w:r>
        <w:t xml:space="preserve"> FES Ex. 2 at 39.</w:t>
      </w:r>
    </w:p>
    <w:p w:rsidR="00757DA0" w:rsidRDefault="00757DA0">
      <w:pPr>
        <w:pStyle w:val="FootnoteText"/>
        <w:jc w:val="both"/>
      </w:pPr>
    </w:p>
  </w:footnote>
  <w:footnote w:id="95">
    <w:p w:rsidR="00757DA0" w:rsidRDefault="00757DA0">
      <w:pPr>
        <w:pStyle w:val="FootnoteText"/>
        <w:jc w:val="both"/>
      </w:pPr>
      <w:r>
        <w:rPr>
          <w:rStyle w:val="FootnoteReference"/>
        </w:rPr>
        <w:footnoteRef/>
      </w:r>
      <w:r>
        <w:t xml:space="preserve"> Tr. Vol. IV at 532-34, 535, and 539 (Cross-examination of Teresa Ringenbach).</w:t>
      </w:r>
    </w:p>
    <w:p w:rsidR="00757DA0" w:rsidRDefault="00757DA0">
      <w:pPr>
        <w:pStyle w:val="FootnoteText"/>
        <w:jc w:val="both"/>
      </w:pPr>
    </w:p>
  </w:footnote>
  <w:footnote w:id="96">
    <w:p w:rsidR="00757DA0" w:rsidRDefault="00757DA0">
      <w:pPr>
        <w:pStyle w:val="FootnoteText"/>
        <w:jc w:val="both"/>
      </w:pPr>
      <w:r>
        <w:rPr>
          <w:rStyle w:val="FootnoteReference"/>
        </w:rPr>
        <w:footnoteRef/>
      </w:r>
      <w:r>
        <w:t xml:space="preserve"> </w:t>
      </w:r>
      <w:r w:rsidRPr="00590648">
        <w:rPr>
          <w:i/>
        </w:rPr>
        <w:t>Id</w:t>
      </w:r>
      <w:r>
        <w:t>. at 538 (Cross-examination of Teresa Ringenbach).</w:t>
      </w:r>
    </w:p>
    <w:p w:rsidR="00757DA0" w:rsidRDefault="00757DA0">
      <w:pPr>
        <w:pStyle w:val="FootnoteText"/>
        <w:jc w:val="both"/>
      </w:pPr>
    </w:p>
  </w:footnote>
  <w:footnote w:id="97">
    <w:p w:rsidR="00757DA0" w:rsidRDefault="00757DA0">
      <w:pPr>
        <w:pStyle w:val="FootnoteText"/>
        <w:jc w:val="both"/>
      </w:pPr>
      <w:r>
        <w:rPr>
          <w:rStyle w:val="FootnoteReference"/>
        </w:rPr>
        <w:footnoteRef/>
      </w:r>
      <w:r>
        <w:t xml:space="preserve"> </w:t>
      </w:r>
      <w:r w:rsidRPr="00590648">
        <w:rPr>
          <w:i/>
        </w:rPr>
        <w:t>Id</w:t>
      </w:r>
      <w:r>
        <w:t>. at 536 (Cross-examination of Teresa Ringenbach).</w:t>
      </w:r>
    </w:p>
    <w:p w:rsidR="00757DA0" w:rsidRDefault="00757DA0">
      <w:pPr>
        <w:pStyle w:val="FootnoteText"/>
        <w:jc w:val="both"/>
      </w:pPr>
    </w:p>
  </w:footnote>
  <w:footnote w:id="98">
    <w:p w:rsidR="00757DA0" w:rsidRDefault="00757DA0">
      <w:pPr>
        <w:pStyle w:val="FootnoteText"/>
        <w:jc w:val="both"/>
      </w:pPr>
      <w:r>
        <w:rPr>
          <w:rStyle w:val="FootnoteReference"/>
        </w:rPr>
        <w:footnoteRef/>
      </w:r>
      <w:r>
        <w:t xml:space="preserve"> Section 4928.02(C), Revised Code.</w:t>
      </w:r>
    </w:p>
    <w:p w:rsidR="00757DA0" w:rsidRDefault="00757DA0">
      <w:pPr>
        <w:pStyle w:val="FootnoteText"/>
        <w:jc w:val="both"/>
      </w:pPr>
    </w:p>
  </w:footnote>
  <w:footnote w:id="99">
    <w:p w:rsidR="00757DA0" w:rsidRDefault="00757DA0">
      <w:pPr>
        <w:pStyle w:val="FootnoteText"/>
        <w:jc w:val="both"/>
      </w:pPr>
      <w:r>
        <w:rPr>
          <w:rStyle w:val="FootnoteReference"/>
        </w:rPr>
        <w:footnoteRef/>
      </w:r>
      <w:r>
        <w:t xml:space="preserve"> Tr. Vol. VI at 967 (Cross-examination of David Fein) and 1039 (Cross-examination of Joseph Dominquez).</w:t>
      </w:r>
    </w:p>
    <w:p w:rsidR="00195CB6" w:rsidRDefault="00195CB6">
      <w:pPr>
        <w:pStyle w:val="FootnoteText"/>
        <w:jc w:val="both"/>
      </w:pPr>
    </w:p>
  </w:footnote>
  <w:footnote w:id="100">
    <w:p w:rsidR="00757DA0" w:rsidRDefault="00757DA0">
      <w:pPr>
        <w:pStyle w:val="FootnoteText"/>
        <w:jc w:val="both"/>
      </w:pPr>
      <w:r>
        <w:rPr>
          <w:rStyle w:val="FootnoteReference"/>
        </w:rPr>
        <w:footnoteRef/>
      </w:r>
      <w:r>
        <w:t xml:space="preserve"> FES Ex. 2 at 42.</w:t>
      </w:r>
    </w:p>
    <w:p w:rsidR="00757DA0" w:rsidRDefault="00757DA0">
      <w:pPr>
        <w:pStyle w:val="FootnoteText"/>
        <w:jc w:val="both"/>
      </w:pPr>
    </w:p>
  </w:footnote>
  <w:footnote w:id="101">
    <w:p w:rsidR="00757DA0" w:rsidRDefault="00757DA0">
      <w:pPr>
        <w:pStyle w:val="FootnoteText"/>
        <w:jc w:val="both"/>
      </w:pPr>
      <w:r>
        <w:rPr>
          <w:rStyle w:val="FootnoteReference"/>
        </w:rPr>
        <w:footnoteRef/>
      </w:r>
      <w:r>
        <w:t xml:space="preserve"> </w:t>
      </w:r>
      <w:r>
        <w:rPr>
          <w:i/>
        </w:rPr>
        <w:t>Id</w:t>
      </w:r>
      <w:r>
        <w:t>. at 43; Tr. Vol. IV at 553 and 562 (Cross-examination of Teresa Ringenbach).</w:t>
      </w:r>
    </w:p>
    <w:p w:rsidR="00757DA0" w:rsidRDefault="00757DA0">
      <w:pPr>
        <w:pStyle w:val="FootnoteText"/>
        <w:jc w:val="both"/>
      </w:pPr>
    </w:p>
  </w:footnote>
  <w:footnote w:id="102">
    <w:p w:rsidR="00757DA0" w:rsidRDefault="00757DA0" w:rsidP="00590648">
      <w:pPr>
        <w:pStyle w:val="FootnoteText"/>
        <w:jc w:val="both"/>
      </w:pPr>
      <w:r>
        <w:rPr>
          <w:rStyle w:val="FootnoteReference"/>
        </w:rPr>
        <w:footnoteRef/>
      </w:r>
      <w:r>
        <w:t xml:space="preserve"> </w:t>
      </w:r>
      <w:r w:rsidRPr="00590648">
        <w:rPr>
          <w:i/>
        </w:rPr>
        <w:t>Ohio Consumers’ Counsel v. Public Utilities Commission of Ohio</w:t>
      </w:r>
      <w:r w:rsidR="00B54E3F">
        <w:t>, 114 Ohio St. 3d 340 (2007) (</w:t>
      </w:r>
      <w:r>
        <w:t>unbundling is the cornerstone of electric deregulation begun with Senate Bill 3 (“SB 3”)</w:t>
      </w:r>
      <w:r w:rsidR="00B54E3F">
        <w:t>)</w:t>
      </w:r>
      <w:r>
        <w:t>.</w:t>
      </w:r>
    </w:p>
    <w:p w:rsidR="00757DA0" w:rsidRDefault="00757DA0">
      <w:pPr>
        <w:pStyle w:val="FootnoteText"/>
      </w:pPr>
    </w:p>
  </w:footnote>
  <w:footnote w:id="103">
    <w:p w:rsidR="00757DA0" w:rsidRDefault="00757DA0">
      <w:pPr>
        <w:pStyle w:val="FootnoteText"/>
        <w:jc w:val="both"/>
      </w:pPr>
      <w:r>
        <w:rPr>
          <w:rStyle w:val="FootnoteReference"/>
        </w:rPr>
        <w:footnoteRef/>
      </w:r>
      <w:r>
        <w:t xml:space="preserve"> </w:t>
      </w:r>
      <w:r w:rsidRPr="001816BD">
        <w:rPr>
          <w:i/>
        </w:rPr>
        <w:t xml:space="preserve">In re </w:t>
      </w:r>
      <w:r>
        <w:rPr>
          <w:i/>
        </w:rPr>
        <w:t xml:space="preserve">Application of </w:t>
      </w:r>
      <w:r w:rsidRPr="001816BD">
        <w:rPr>
          <w:i/>
        </w:rPr>
        <w:t>Columbus S. Power Co</w:t>
      </w:r>
      <w:r w:rsidRPr="001816BD">
        <w:t>., 128 Ohio St.3d 512 (2011).</w:t>
      </w:r>
    </w:p>
    <w:p w:rsidR="00757DA0" w:rsidRDefault="00757DA0">
      <w:pPr>
        <w:pStyle w:val="FootnoteText"/>
        <w:jc w:val="both"/>
      </w:pPr>
    </w:p>
  </w:footnote>
  <w:footnote w:id="104">
    <w:p w:rsidR="00757DA0" w:rsidRDefault="00757DA0">
      <w:pPr>
        <w:pStyle w:val="FootnoteText"/>
        <w:jc w:val="both"/>
      </w:pPr>
      <w:r>
        <w:rPr>
          <w:rStyle w:val="FootnoteReference"/>
        </w:rPr>
        <w:footnoteRef/>
      </w:r>
      <w:r>
        <w:t xml:space="preserve"> The Stipulation states, “The MTR Rider is designed to provide rate certainty and stabilized pricing during the transition to deregulation of generation service pricing.”  Stipulation at 5.  That statement does not address the specific requirements of the statute.  See Section 4928.143(B)(2)(d), Revised Code.  Even if the statement did address the requirements, the Stipulation is not evidence.  Thus, the assertion in the Stipulation does not provide any basis for the Commission to find that the rider may be approved under Section 4928.143(B)(2)(d), Revised Code.  </w:t>
      </w:r>
    </w:p>
    <w:p w:rsidR="00757DA0" w:rsidRDefault="00757DA0">
      <w:pPr>
        <w:pStyle w:val="FootnoteText"/>
        <w:jc w:val="both"/>
      </w:pPr>
    </w:p>
  </w:footnote>
  <w:footnote w:id="105">
    <w:p w:rsidR="00757DA0" w:rsidRDefault="00757DA0">
      <w:pPr>
        <w:pStyle w:val="FootnoteText"/>
        <w:jc w:val="both"/>
      </w:pPr>
      <w:r>
        <w:rPr>
          <w:rStyle w:val="FootnoteReference"/>
        </w:rPr>
        <w:footnoteRef/>
      </w:r>
      <w:r>
        <w:t xml:space="preserve"> A representative of the CRES Signatory Parties indicated that there would be no need for an MTR if customers had the choice to move to a CRES supplier.  Tr. Vol. IV at 562 (Cross-examination of Teresa Ringenbach).</w:t>
      </w:r>
    </w:p>
    <w:p w:rsidR="00757DA0" w:rsidRDefault="00757DA0">
      <w:pPr>
        <w:pStyle w:val="FootnoteText"/>
        <w:jc w:val="both"/>
      </w:pPr>
    </w:p>
  </w:footnote>
  <w:footnote w:id="106">
    <w:p w:rsidR="00757DA0" w:rsidRDefault="00757DA0">
      <w:pPr>
        <w:pStyle w:val="FootnoteText"/>
        <w:jc w:val="both"/>
      </w:pPr>
      <w:r>
        <w:rPr>
          <w:rStyle w:val="FootnoteReference"/>
        </w:rPr>
        <w:footnoteRef/>
      </w:r>
      <w:r>
        <w:t xml:space="preserve"> Stipulation at 7.</w:t>
      </w:r>
    </w:p>
    <w:p w:rsidR="00757DA0" w:rsidRDefault="00757DA0">
      <w:pPr>
        <w:pStyle w:val="FootnoteText"/>
        <w:jc w:val="both"/>
      </w:pPr>
    </w:p>
  </w:footnote>
  <w:footnote w:id="107">
    <w:p w:rsidR="00757DA0" w:rsidRDefault="00757DA0">
      <w:pPr>
        <w:pStyle w:val="FootnoteText"/>
        <w:jc w:val="both"/>
      </w:pPr>
      <w:r>
        <w:rPr>
          <w:rStyle w:val="FootnoteReference"/>
        </w:rPr>
        <w:footnoteRef/>
      </w:r>
      <w:r>
        <w:t xml:space="preserve"> Section 4928.02(A), Revised Code.  </w:t>
      </w:r>
    </w:p>
    <w:p w:rsidR="00757DA0" w:rsidRDefault="00757DA0">
      <w:pPr>
        <w:pStyle w:val="FootnoteText"/>
        <w:jc w:val="both"/>
      </w:pPr>
    </w:p>
  </w:footnote>
  <w:footnote w:id="108">
    <w:p w:rsidR="00757DA0" w:rsidRDefault="00757DA0">
      <w:pPr>
        <w:pStyle w:val="FootnoteText"/>
        <w:jc w:val="both"/>
      </w:pPr>
      <w:r>
        <w:rPr>
          <w:rStyle w:val="FootnoteReference"/>
        </w:rPr>
        <w:footnoteRef/>
      </w:r>
      <w:r>
        <w:t xml:space="preserve"> Section 4928.143(C), Revised Code.</w:t>
      </w:r>
    </w:p>
    <w:p w:rsidR="00757DA0" w:rsidRDefault="00757DA0">
      <w:pPr>
        <w:pStyle w:val="FootnoteText"/>
        <w:jc w:val="both"/>
      </w:pPr>
    </w:p>
  </w:footnote>
  <w:footnote w:id="109">
    <w:p w:rsidR="00757DA0" w:rsidRDefault="00757DA0">
      <w:pPr>
        <w:pStyle w:val="FootnoteText"/>
        <w:jc w:val="both"/>
      </w:pPr>
      <w:r>
        <w:rPr>
          <w:rStyle w:val="FootnoteReference"/>
        </w:rPr>
        <w:footnoteRef/>
      </w:r>
      <w:r>
        <w:t xml:space="preserve"> Tr. Vol. I at 113-14 (Cross-examination of David Roush).</w:t>
      </w:r>
    </w:p>
    <w:p w:rsidR="00757DA0" w:rsidRDefault="00757DA0">
      <w:pPr>
        <w:pStyle w:val="FootnoteText"/>
        <w:jc w:val="both"/>
      </w:pPr>
    </w:p>
  </w:footnote>
  <w:footnote w:id="110">
    <w:p w:rsidR="00757DA0" w:rsidRDefault="00757DA0">
      <w:pPr>
        <w:pStyle w:val="FootnoteText"/>
        <w:jc w:val="both"/>
      </w:pPr>
      <w:r>
        <w:rPr>
          <w:rStyle w:val="FootnoteReference"/>
        </w:rPr>
        <w:footnoteRef/>
      </w:r>
      <w:r>
        <w:t xml:space="preserve"> Tr. Vol. X at 1716-17 (Cross-examination of Robert Fortney).</w:t>
      </w:r>
    </w:p>
    <w:p w:rsidR="00757DA0" w:rsidRDefault="00757DA0">
      <w:pPr>
        <w:pStyle w:val="FootnoteText"/>
        <w:jc w:val="both"/>
      </w:pPr>
    </w:p>
  </w:footnote>
  <w:footnote w:id="111">
    <w:p w:rsidR="00757DA0" w:rsidRDefault="00757DA0">
      <w:pPr>
        <w:pStyle w:val="FootnoteText"/>
        <w:jc w:val="both"/>
      </w:pPr>
      <w:r>
        <w:rPr>
          <w:rStyle w:val="FootnoteReference"/>
        </w:rPr>
        <w:footnoteRef/>
      </w:r>
      <w:r>
        <w:t xml:space="preserve"> </w:t>
      </w:r>
      <w:r w:rsidR="00DF1105" w:rsidRPr="00DF1105">
        <w:rPr>
          <w:i/>
        </w:rPr>
        <w:t>Id</w:t>
      </w:r>
      <w:r w:rsidR="00DF1105">
        <w:t xml:space="preserve">. </w:t>
      </w:r>
      <w:r>
        <w:t>at 1719 (Cross-examination of Robert Fortney).</w:t>
      </w:r>
    </w:p>
    <w:p w:rsidR="00757DA0" w:rsidRDefault="00757DA0">
      <w:pPr>
        <w:pStyle w:val="FootnoteText"/>
        <w:jc w:val="both"/>
      </w:pPr>
    </w:p>
  </w:footnote>
  <w:footnote w:id="112">
    <w:p w:rsidR="00757DA0" w:rsidRDefault="00757DA0">
      <w:pPr>
        <w:pStyle w:val="FootnoteText"/>
        <w:jc w:val="both"/>
      </w:pPr>
      <w:r>
        <w:rPr>
          <w:rStyle w:val="FootnoteReference"/>
        </w:rPr>
        <w:footnoteRef/>
      </w:r>
      <w:r>
        <w:t xml:space="preserve"> </w:t>
      </w:r>
      <w:r>
        <w:rPr>
          <w:i/>
        </w:rPr>
        <w:t>In the Matter of the Application of Columbus Southern Power Company for Approval of an Electric Security Plan; an Amendment to its Corporate Separation Plan; and the Sale or Transfer of Certain Generating Assets</w:t>
      </w:r>
      <w:r>
        <w:t>, Case No. 08-917-EL-SSO, Opinion and Order at 30 (Mar. 18, 2009) (citations omitted).</w:t>
      </w:r>
    </w:p>
  </w:footnote>
  <w:footnote w:id="113">
    <w:p w:rsidR="00757DA0" w:rsidRDefault="00757DA0">
      <w:pPr>
        <w:pStyle w:val="FootnoteText"/>
        <w:jc w:val="both"/>
      </w:pPr>
      <w:r>
        <w:rPr>
          <w:rStyle w:val="FootnoteReference"/>
        </w:rPr>
        <w:footnoteRef/>
      </w:r>
      <w:r>
        <w:t xml:space="preserve"> Sections 4928.02(B) and (C), Revised Code.</w:t>
      </w:r>
    </w:p>
    <w:p w:rsidR="00757DA0" w:rsidRDefault="00757DA0">
      <w:pPr>
        <w:pStyle w:val="FootnoteText"/>
        <w:jc w:val="both"/>
      </w:pPr>
    </w:p>
  </w:footnote>
  <w:footnote w:id="114">
    <w:p w:rsidR="00757DA0" w:rsidRDefault="00757DA0">
      <w:pPr>
        <w:pStyle w:val="FootnoteText"/>
        <w:jc w:val="both"/>
      </w:pPr>
      <w:r>
        <w:rPr>
          <w:rStyle w:val="FootnoteReference"/>
        </w:rPr>
        <w:footnoteRef/>
      </w:r>
      <w:r>
        <w:t xml:space="preserve"> FES Ex. 1, Ex. TCB-7.</w:t>
      </w:r>
    </w:p>
    <w:p w:rsidR="00757DA0" w:rsidRDefault="00757DA0">
      <w:pPr>
        <w:pStyle w:val="FootnoteText"/>
        <w:jc w:val="both"/>
      </w:pPr>
    </w:p>
  </w:footnote>
  <w:footnote w:id="115">
    <w:p w:rsidR="00757DA0" w:rsidRDefault="00757DA0">
      <w:pPr>
        <w:pStyle w:val="FootnoteText"/>
        <w:jc w:val="both"/>
      </w:pPr>
      <w:r>
        <w:rPr>
          <w:rStyle w:val="FootnoteReference"/>
        </w:rPr>
        <w:footnoteRef/>
      </w:r>
      <w:r>
        <w:t xml:space="preserve"> </w:t>
      </w:r>
      <w:r>
        <w:rPr>
          <w:i/>
        </w:rPr>
        <w:t>Id</w:t>
      </w:r>
      <w:r>
        <w:t>., Ex. TCB-8.</w:t>
      </w:r>
    </w:p>
    <w:p w:rsidR="00757DA0" w:rsidRDefault="00757DA0">
      <w:pPr>
        <w:pStyle w:val="FootnoteText"/>
        <w:jc w:val="both"/>
      </w:pPr>
    </w:p>
  </w:footnote>
  <w:footnote w:id="116">
    <w:p w:rsidR="00757DA0" w:rsidRDefault="00757DA0">
      <w:pPr>
        <w:pStyle w:val="FootnoteText"/>
        <w:jc w:val="both"/>
      </w:pPr>
      <w:r>
        <w:rPr>
          <w:rStyle w:val="FootnoteReference"/>
        </w:rPr>
        <w:footnoteRef/>
      </w:r>
      <w:r>
        <w:t xml:space="preserve"> </w:t>
      </w:r>
      <w:r>
        <w:rPr>
          <w:i/>
        </w:rPr>
        <w:t>Id</w:t>
      </w:r>
      <w:r>
        <w:t>., Ex. TCB-9.</w:t>
      </w:r>
    </w:p>
    <w:p w:rsidR="00757DA0" w:rsidRDefault="00757DA0">
      <w:pPr>
        <w:pStyle w:val="FootnoteText"/>
        <w:jc w:val="both"/>
      </w:pPr>
    </w:p>
  </w:footnote>
  <w:footnote w:id="117">
    <w:p w:rsidR="00757DA0" w:rsidRDefault="00757DA0">
      <w:pPr>
        <w:pStyle w:val="FootnoteText"/>
        <w:jc w:val="both"/>
      </w:pPr>
      <w:r>
        <w:rPr>
          <w:rStyle w:val="FootnoteReference"/>
        </w:rPr>
        <w:footnoteRef/>
      </w:r>
      <w:r>
        <w:t xml:space="preserve"> FES Ex. 2 at 8; Tr. Vol. IV at 541-42 (Cross-examination of Teresa Ringenbach).</w:t>
      </w:r>
    </w:p>
    <w:p w:rsidR="00757DA0" w:rsidRDefault="00757DA0">
      <w:pPr>
        <w:pStyle w:val="FootnoteText"/>
        <w:jc w:val="both"/>
      </w:pPr>
    </w:p>
  </w:footnote>
  <w:footnote w:id="118">
    <w:p w:rsidR="00757DA0" w:rsidRDefault="00757DA0">
      <w:pPr>
        <w:pStyle w:val="FootnoteText"/>
        <w:jc w:val="both"/>
      </w:pPr>
      <w:r>
        <w:rPr>
          <w:rStyle w:val="FootnoteReference"/>
        </w:rPr>
        <w:footnoteRef/>
      </w:r>
      <w:r>
        <w:t xml:space="preserve"> FES Ex. 3 at 34-36.</w:t>
      </w:r>
    </w:p>
    <w:p w:rsidR="00757DA0" w:rsidRDefault="00757DA0">
      <w:pPr>
        <w:pStyle w:val="FootnoteText"/>
        <w:jc w:val="both"/>
      </w:pPr>
    </w:p>
  </w:footnote>
  <w:footnote w:id="119">
    <w:p w:rsidR="00757DA0" w:rsidRDefault="00757DA0">
      <w:pPr>
        <w:pStyle w:val="FootnoteText"/>
        <w:jc w:val="both"/>
      </w:pPr>
      <w:r>
        <w:rPr>
          <w:rStyle w:val="FootnoteReference"/>
        </w:rPr>
        <w:footnoteRef/>
      </w:r>
      <w:r>
        <w:t xml:space="preserve"> </w:t>
      </w:r>
      <w:r>
        <w:rPr>
          <w:i/>
        </w:rPr>
        <w:t>Id</w:t>
      </w:r>
      <w:r>
        <w:t>. at 36.</w:t>
      </w:r>
    </w:p>
    <w:p w:rsidR="00757DA0" w:rsidRDefault="00757DA0">
      <w:pPr>
        <w:pStyle w:val="FootnoteText"/>
        <w:jc w:val="both"/>
      </w:pPr>
    </w:p>
  </w:footnote>
  <w:footnote w:id="120">
    <w:p w:rsidR="00757DA0" w:rsidRDefault="00757DA0">
      <w:pPr>
        <w:pStyle w:val="FootnoteText"/>
        <w:jc w:val="both"/>
      </w:pPr>
      <w:r>
        <w:rPr>
          <w:rStyle w:val="FootnoteReference"/>
        </w:rPr>
        <w:footnoteRef/>
      </w:r>
      <w:r>
        <w:t xml:space="preserve"> IEU-Ohio Ex. 9A at 17.</w:t>
      </w:r>
    </w:p>
    <w:p w:rsidR="00757DA0" w:rsidRDefault="00757DA0">
      <w:pPr>
        <w:pStyle w:val="FootnoteText"/>
        <w:jc w:val="both"/>
      </w:pPr>
    </w:p>
  </w:footnote>
  <w:footnote w:id="121">
    <w:p w:rsidR="00757DA0" w:rsidRDefault="00757DA0">
      <w:pPr>
        <w:pStyle w:val="FootnoteText"/>
        <w:jc w:val="both"/>
      </w:pPr>
      <w:r>
        <w:rPr>
          <w:rStyle w:val="FootnoteReference"/>
        </w:rPr>
        <w:footnoteRef/>
      </w:r>
      <w:r>
        <w:t xml:space="preserve"> Tr. Vol. IV at 542-43 (Cross-examination of Teresa Ringenbach).</w:t>
      </w:r>
    </w:p>
    <w:p w:rsidR="00757DA0" w:rsidRDefault="00757DA0">
      <w:pPr>
        <w:pStyle w:val="FootnoteText"/>
        <w:jc w:val="both"/>
      </w:pPr>
    </w:p>
  </w:footnote>
  <w:footnote w:id="122">
    <w:p w:rsidR="00757DA0" w:rsidRDefault="00757DA0">
      <w:pPr>
        <w:pStyle w:val="FootnoteText"/>
        <w:jc w:val="both"/>
      </w:pPr>
      <w:r>
        <w:rPr>
          <w:rStyle w:val="FootnoteReference"/>
        </w:rPr>
        <w:footnoteRef/>
      </w:r>
      <w:r>
        <w:t xml:space="preserve"> </w:t>
      </w:r>
      <w:r w:rsidRPr="00590648">
        <w:rPr>
          <w:i/>
        </w:rPr>
        <w:t>Id</w:t>
      </w:r>
      <w:r>
        <w:t>. at 971 (Cross-examination of David Fein).</w:t>
      </w:r>
    </w:p>
    <w:p w:rsidR="00757DA0" w:rsidRDefault="00757DA0">
      <w:pPr>
        <w:pStyle w:val="FootnoteText"/>
        <w:jc w:val="both"/>
      </w:pPr>
    </w:p>
  </w:footnote>
  <w:footnote w:id="123">
    <w:p w:rsidR="00757DA0" w:rsidRDefault="00757DA0">
      <w:pPr>
        <w:pStyle w:val="FootnoteText"/>
        <w:jc w:val="both"/>
      </w:pPr>
      <w:r>
        <w:rPr>
          <w:rStyle w:val="FootnoteReference"/>
        </w:rPr>
        <w:footnoteRef/>
      </w:r>
      <w:r>
        <w:t xml:space="preserve"> Cos. Ex. 20A at 7-9.</w:t>
      </w:r>
    </w:p>
    <w:p w:rsidR="00757DA0" w:rsidRDefault="00757DA0">
      <w:pPr>
        <w:pStyle w:val="FootnoteText"/>
        <w:jc w:val="both"/>
      </w:pPr>
    </w:p>
  </w:footnote>
  <w:footnote w:id="124">
    <w:p w:rsidR="00757DA0" w:rsidRDefault="00757DA0">
      <w:pPr>
        <w:pStyle w:val="FootnoteText"/>
        <w:jc w:val="both"/>
      </w:pPr>
      <w:r>
        <w:rPr>
          <w:rStyle w:val="FootnoteReference"/>
        </w:rPr>
        <w:footnoteRef/>
      </w:r>
      <w:r>
        <w:t xml:space="preserve"> </w:t>
      </w:r>
      <w:r w:rsidRPr="007804F5">
        <w:rPr>
          <w:i/>
        </w:rPr>
        <w:t>Id</w:t>
      </w:r>
      <w:r>
        <w:t>. at 8.</w:t>
      </w:r>
    </w:p>
  </w:footnote>
  <w:footnote w:id="125">
    <w:p w:rsidR="00757DA0" w:rsidRDefault="00757DA0">
      <w:pPr>
        <w:pStyle w:val="FootnoteText"/>
        <w:jc w:val="both"/>
      </w:pPr>
      <w:r>
        <w:rPr>
          <w:rStyle w:val="FootnoteReference"/>
        </w:rPr>
        <w:footnoteRef/>
      </w:r>
      <w:r>
        <w:t xml:space="preserve"> Cos. Ex. 5 at 4; Tr. Vol. XII at 2105 (Cross-examination of William Allen).</w:t>
      </w:r>
    </w:p>
    <w:p w:rsidR="00757DA0" w:rsidRDefault="00757DA0">
      <w:pPr>
        <w:pStyle w:val="FootnoteText"/>
        <w:jc w:val="both"/>
      </w:pPr>
    </w:p>
  </w:footnote>
  <w:footnote w:id="126">
    <w:p w:rsidR="00757DA0" w:rsidRDefault="00757DA0">
      <w:pPr>
        <w:pStyle w:val="FootnoteText"/>
        <w:jc w:val="both"/>
        <w:rPr>
          <w:rFonts w:eastAsiaTheme="minorEastAsia"/>
        </w:rPr>
      </w:pPr>
      <w:r>
        <w:rPr>
          <w:rStyle w:val="FootnoteReference"/>
        </w:rPr>
        <w:footnoteRef/>
      </w:r>
      <w:r>
        <w:t xml:space="preserve"> </w:t>
      </w:r>
      <w:r>
        <w:rPr>
          <w:rFonts w:eastAsiaTheme="minorEastAsia"/>
        </w:rPr>
        <w:t>Mr. Allen also suggested that CRES suppliers would either sell at a loss or below market rates.  Without any basis in fact, he asserted that CRES suppliers will enter into contracts for substantial periods during part of which the CRES suppliers will suffer losses.  Cos. Ex. 20A at 8-9.  Alternatively, he assumed CRES suppliers will sell in an economically irrational manner at below market price that even he found difficult to explain.  Tr. Vol. XII at 2107-09.  Rather than relying on these contrived explanations, the Commission would do better by accepting the word of the Companies and signatory CRES suppliers that the higher capacity charges will limit consumer choice.</w:t>
      </w:r>
    </w:p>
    <w:p w:rsidR="00757DA0" w:rsidRDefault="00757DA0">
      <w:pPr>
        <w:pStyle w:val="FootnoteText"/>
        <w:jc w:val="both"/>
      </w:pPr>
    </w:p>
  </w:footnote>
  <w:footnote w:id="127">
    <w:p w:rsidR="00757DA0" w:rsidRDefault="00757DA0">
      <w:pPr>
        <w:pStyle w:val="FootnoteText"/>
        <w:jc w:val="both"/>
      </w:pPr>
      <w:r>
        <w:rPr>
          <w:rStyle w:val="FootnoteReference"/>
        </w:rPr>
        <w:footnoteRef/>
      </w:r>
      <w:r>
        <w:t xml:space="preserve"> IEU-Ohio Ex. 9A at 18.</w:t>
      </w:r>
    </w:p>
    <w:p w:rsidR="00757DA0" w:rsidRDefault="00757DA0">
      <w:pPr>
        <w:pStyle w:val="FootnoteText"/>
        <w:jc w:val="both"/>
      </w:pPr>
    </w:p>
  </w:footnote>
  <w:footnote w:id="128">
    <w:p w:rsidR="00757DA0" w:rsidRDefault="00757DA0">
      <w:pPr>
        <w:pStyle w:val="FootnoteText"/>
        <w:jc w:val="both"/>
      </w:pPr>
      <w:r>
        <w:rPr>
          <w:rStyle w:val="FootnoteReference"/>
        </w:rPr>
        <w:footnoteRef/>
      </w:r>
      <w:r>
        <w:t xml:space="preserve"> </w:t>
      </w:r>
      <w:r>
        <w:rPr>
          <w:i/>
        </w:rPr>
        <w:t>Id.</w:t>
      </w:r>
      <w:r>
        <w:t xml:space="preserve"> at 18-19.</w:t>
      </w:r>
    </w:p>
    <w:p w:rsidR="00757DA0" w:rsidRDefault="00757DA0">
      <w:pPr>
        <w:pStyle w:val="FootnoteText"/>
        <w:jc w:val="both"/>
      </w:pPr>
    </w:p>
  </w:footnote>
  <w:footnote w:id="129">
    <w:p w:rsidR="00757DA0" w:rsidRDefault="00757DA0">
      <w:pPr>
        <w:pStyle w:val="FootnoteText"/>
        <w:jc w:val="both"/>
      </w:pPr>
      <w:r>
        <w:rPr>
          <w:rStyle w:val="FootnoteReference"/>
        </w:rPr>
        <w:footnoteRef/>
      </w:r>
      <w:r>
        <w:t xml:space="preserve"> </w:t>
      </w:r>
      <w:r>
        <w:rPr>
          <w:i/>
        </w:rPr>
        <w:t>Id.</w:t>
      </w:r>
      <w:r>
        <w:t xml:space="preserve"> at 19.</w:t>
      </w:r>
    </w:p>
    <w:p w:rsidR="00757DA0" w:rsidRDefault="00757DA0">
      <w:pPr>
        <w:pStyle w:val="FootnoteText"/>
        <w:jc w:val="both"/>
      </w:pPr>
    </w:p>
  </w:footnote>
  <w:footnote w:id="130">
    <w:p w:rsidR="00757DA0" w:rsidRDefault="00757DA0">
      <w:pPr>
        <w:pStyle w:val="FootnoteText"/>
        <w:jc w:val="both"/>
      </w:pPr>
      <w:r>
        <w:rPr>
          <w:rStyle w:val="FootnoteReference"/>
        </w:rPr>
        <w:footnoteRef/>
      </w:r>
      <w:r>
        <w:t xml:space="preserve"> Section 4928.02, Revised Code.</w:t>
      </w:r>
    </w:p>
    <w:p w:rsidR="00757DA0" w:rsidRDefault="00757DA0">
      <w:pPr>
        <w:pStyle w:val="FootnoteText"/>
        <w:jc w:val="both"/>
      </w:pPr>
    </w:p>
  </w:footnote>
  <w:footnote w:id="131">
    <w:p w:rsidR="00757DA0" w:rsidRDefault="00757DA0">
      <w:pPr>
        <w:pStyle w:val="FootnoteText"/>
        <w:jc w:val="both"/>
      </w:pPr>
      <w:r>
        <w:rPr>
          <w:rStyle w:val="FootnoteReference"/>
        </w:rPr>
        <w:footnoteRef/>
      </w:r>
      <w:r>
        <w:t xml:space="preserve"> Tr. Vol. XII at 2184-85, 2230-31 (Cross-examination of Philip Nelson).</w:t>
      </w:r>
    </w:p>
    <w:p w:rsidR="00757DA0" w:rsidRDefault="00757DA0">
      <w:pPr>
        <w:pStyle w:val="FootnoteText"/>
        <w:jc w:val="both"/>
      </w:pPr>
    </w:p>
  </w:footnote>
  <w:footnote w:id="132">
    <w:p w:rsidR="00757DA0" w:rsidRDefault="00757DA0">
      <w:pPr>
        <w:pStyle w:val="FootnoteText"/>
        <w:jc w:val="both"/>
      </w:pPr>
      <w:r>
        <w:rPr>
          <w:rStyle w:val="FootnoteReference"/>
        </w:rPr>
        <w:footnoteRef/>
      </w:r>
      <w:r>
        <w:t xml:space="preserve"> Stipulation at 20-21.</w:t>
      </w:r>
    </w:p>
    <w:p w:rsidR="00757DA0" w:rsidRDefault="00757DA0">
      <w:pPr>
        <w:pStyle w:val="FootnoteText"/>
        <w:jc w:val="both"/>
      </w:pPr>
    </w:p>
  </w:footnote>
  <w:footnote w:id="133">
    <w:p w:rsidR="00757DA0" w:rsidRDefault="00757DA0">
      <w:pPr>
        <w:pStyle w:val="FootnoteText"/>
        <w:jc w:val="both"/>
      </w:pPr>
      <w:r>
        <w:rPr>
          <w:rStyle w:val="FootnoteReference"/>
        </w:rPr>
        <w:footnoteRef/>
      </w:r>
      <w:r>
        <w:t xml:space="preserve"> Tr. Vol. II at 191 (Cross-examination of Kelly Pearce); Tr. Vol. V at 737 (Cross-examination of Philip Nelson); Tr. Vol. V at 810, 845 (Cross-examination of Joseph Hamrock).</w:t>
      </w:r>
    </w:p>
    <w:p w:rsidR="00757DA0" w:rsidRDefault="00757DA0">
      <w:pPr>
        <w:pStyle w:val="FootnoteText"/>
        <w:jc w:val="both"/>
      </w:pPr>
    </w:p>
  </w:footnote>
  <w:footnote w:id="134">
    <w:p w:rsidR="00757DA0" w:rsidRDefault="00757DA0">
      <w:pPr>
        <w:pStyle w:val="FootnoteText"/>
        <w:jc w:val="both"/>
      </w:pPr>
      <w:r>
        <w:rPr>
          <w:rStyle w:val="FootnoteReference"/>
        </w:rPr>
        <w:footnoteRef/>
      </w:r>
      <w:r>
        <w:t xml:space="preserve"> Tr. Vol. VI at 973 (Cross-examination of David Fein).</w:t>
      </w:r>
    </w:p>
    <w:p w:rsidR="00757DA0" w:rsidRDefault="00757DA0">
      <w:pPr>
        <w:pStyle w:val="FootnoteText"/>
        <w:jc w:val="both"/>
      </w:pPr>
    </w:p>
  </w:footnote>
  <w:footnote w:id="135">
    <w:p w:rsidR="00757DA0" w:rsidRDefault="00757DA0">
      <w:pPr>
        <w:pStyle w:val="FootnoteText"/>
        <w:jc w:val="both"/>
      </w:pPr>
      <w:r>
        <w:rPr>
          <w:rStyle w:val="FootnoteReference"/>
        </w:rPr>
        <w:footnoteRef/>
      </w:r>
      <w:r>
        <w:t xml:space="preserve"> </w:t>
      </w:r>
      <w:r w:rsidRPr="00590648">
        <w:rPr>
          <w:i/>
        </w:rPr>
        <w:t>Id</w:t>
      </w:r>
      <w:r>
        <w:t>. at 972 (Cross-examination of David Fein).</w:t>
      </w:r>
    </w:p>
    <w:p w:rsidR="00757DA0" w:rsidRDefault="00757DA0">
      <w:pPr>
        <w:pStyle w:val="FootnoteText"/>
        <w:jc w:val="both"/>
      </w:pPr>
    </w:p>
  </w:footnote>
  <w:footnote w:id="136">
    <w:p w:rsidR="00757DA0" w:rsidRDefault="00757DA0">
      <w:pPr>
        <w:pStyle w:val="FootnoteText"/>
        <w:jc w:val="both"/>
      </w:pPr>
      <w:r>
        <w:rPr>
          <w:rStyle w:val="FootnoteReference"/>
        </w:rPr>
        <w:footnoteRef/>
      </w:r>
      <w:r>
        <w:t xml:space="preserve"> The definition of “standard service offer” in Rule 4901:1-35-01(L), OAC, highlights the importance of the role of the nondiscriminatory and comparable requirements that are imposed by Chapter 4928, Revised Code: “‘Standard service offer’ means an electric utility offer to provide consumers, on a comparable and nondiscriminatory basis within its certified territory, all competitive retail electric services necessary to maintain essential electric service to consumers, including a firm supply of electric generation service.”</w:t>
      </w:r>
    </w:p>
    <w:p w:rsidR="00757DA0" w:rsidRDefault="00757DA0">
      <w:pPr>
        <w:pStyle w:val="FootnoteText"/>
        <w:jc w:val="both"/>
      </w:pPr>
    </w:p>
  </w:footnote>
  <w:footnote w:id="137">
    <w:p w:rsidR="00757DA0" w:rsidRDefault="00757DA0">
      <w:pPr>
        <w:pStyle w:val="FootnoteText"/>
        <w:jc w:val="both"/>
      </w:pPr>
      <w:r>
        <w:rPr>
          <w:rStyle w:val="FootnoteReference"/>
        </w:rPr>
        <w:footnoteRef/>
      </w:r>
      <w:r>
        <w:t xml:space="preserve"> Tr. Vol. IV at 971 (Cross-examination of David Fein).</w:t>
      </w:r>
    </w:p>
    <w:p w:rsidR="00757DA0" w:rsidRDefault="00757DA0">
      <w:pPr>
        <w:pStyle w:val="FootnoteText"/>
        <w:jc w:val="both"/>
      </w:pPr>
    </w:p>
  </w:footnote>
  <w:footnote w:id="138">
    <w:p w:rsidR="00757DA0" w:rsidRDefault="00757DA0">
      <w:pPr>
        <w:pStyle w:val="FootnoteText"/>
        <w:jc w:val="both"/>
      </w:pPr>
      <w:r>
        <w:rPr>
          <w:rStyle w:val="FootnoteReference"/>
        </w:rPr>
        <w:footnoteRef/>
      </w:r>
      <w:r>
        <w:t xml:space="preserve"> Tr. Vol. IV at 569-70, 598 (Cross-examination of Laura Thomas).</w:t>
      </w:r>
    </w:p>
    <w:p w:rsidR="00757DA0" w:rsidRDefault="00757DA0">
      <w:pPr>
        <w:pStyle w:val="FootnoteText"/>
        <w:jc w:val="both"/>
      </w:pPr>
    </w:p>
  </w:footnote>
  <w:footnote w:id="139">
    <w:p w:rsidR="00757DA0" w:rsidRDefault="00757DA0" w:rsidP="00527EC7">
      <w:pPr>
        <w:pStyle w:val="FootnoteText"/>
        <w:jc w:val="both"/>
      </w:pPr>
      <w:r>
        <w:rPr>
          <w:rStyle w:val="FootnoteReference"/>
        </w:rPr>
        <w:footnoteRef/>
      </w:r>
      <w:r>
        <w:t xml:space="preserve"> Stipulation at 6.</w:t>
      </w:r>
    </w:p>
  </w:footnote>
  <w:footnote w:id="140">
    <w:p w:rsidR="00757DA0" w:rsidRPr="00863FF3" w:rsidRDefault="00757DA0">
      <w:pPr>
        <w:pStyle w:val="FootnoteText"/>
        <w:jc w:val="both"/>
      </w:pPr>
      <w:r w:rsidRPr="00527EC7">
        <w:rPr>
          <w:rStyle w:val="FootnoteReference"/>
        </w:rPr>
        <w:footnoteRef/>
      </w:r>
      <w:r w:rsidRPr="00527EC7">
        <w:t xml:space="preserve"> Tr. Vol. IV at 598 (Cross-examination of Laura </w:t>
      </w:r>
      <w:r w:rsidRPr="00863FF3">
        <w:t>Thomas).</w:t>
      </w:r>
    </w:p>
    <w:p w:rsidR="00757DA0" w:rsidRPr="00F3196F" w:rsidRDefault="00757DA0">
      <w:pPr>
        <w:pStyle w:val="FootnoteText"/>
        <w:jc w:val="both"/>
      </w:pPr>
    </w:p>
  </w:footnote>
  <w:footnote w:id="141">
    <w:p w:rsidR="00757DA0" w:rsidRDefault="00757DA0">
      <w:pPr>
        <w:spacing w:after="0" w:line="240" w:lineRule="auto"/>
        <w:jc w:val="both"/>
        <w:rPr>
          <w:sz w:val="20"/>
          <w:szCs w:val="20"/>
        </w:rPr>
      </w:pPr>
      <w:r w:rsidRPr="00590648">
        <w:rPr>
          <w:rStyle w:val="FootnoteReference"/>
          <w:sz w:val="20"/>
          <w:szCs w:val="20"/>
        </w:rPr>
        <w:footnoteRef/>
      </w:r>
      <w:r w:rsidRPr="00590648">
        <w:rPr>
          <w:sz w:val="20"/>
          <w:szCs w:val="20"/>
        </w:rPr>
        <w:t xml:space="preserve"> </w:t>
      </w:r>
      <w:r w:rsidRPr="00527EC7">
        <w:rPr>
          <w:i/>
          <w:sz w:val="20"/>
          <w:szCs w:val="20"/>
        </w:rPr>
        <w:t xml:space="preserve">In the Matter of the Application of Columbus Southern Power Company for Approval of an Electric Security Plan; an Amendment to its Corporate Separation Plan; and the Sale or Transfer of Certain Generating Assets, </w:t>
      </w:r>
      <w:r w:rsidRPr="00F3196F">
        <w:rPr>
          <w:sz w:val="20"/>
          <w:szCs w:val="20"/>
        </w:rPr>
        <w:t xml:space="preserve">PUCO Case Nos. 08-917-EL-SSO, </w:t>
      </w:r>
      <w:r w:rsidRPr="00F3196F">
        <w:rPr>
          <w:i/>
          <w:sz w:val="20"/>
          <w:szCs w:val="20"/>
        </w:rPr>
        <w:t>et al.</w:t>
      </w:r>
      <w:r w:rsidRPr="00CD709E">
        <w:rPr>
          <w:sz w:val="20"/>
          <w:szCs w:val="20"/>
        </w:rPr>
        <w:t>, Opinion and Order (March 18, 2009).</w:t>
      </w:r>
    </w:p>
    <w:p w:rsidR="00757DA0" w:rsidRPr="00CD709E" w:rsidRDefault="00757DA0">
      <w:pPr>
        <w:spacing w:after="0" w:line="240" w:lineRule="auto"/>
        <w:jc w:val="both"/>
        <w:rPr>
          <w:sz w:val="20"/>
          <w:szCs w:val="20"/>
        </w:rPr>
      </w:pPr>
    </w:p>
  </w:footnote>
  <w:footnote w:id="142">
    <w:p w:rsidR="00757DA0" w:rsidRDefault="00757DA0">
      <w:pPr>
        <w:pStyle w:val="FootnoteText"/>
        <w:jc w:val="both"/>
      </w:pPr>
      <w:r w:rsidRPr="001816BD">
        <w:rPr>
          <w:rStyle w:val="FootnoteReference"/>
        </w:rPr>
        <w:footnoteRef/>
      </w:r>
      <w:r w:rsidRPr="001816BD">
        <w:t xml:space="preserve"> </w:t>
      </w:r>
      <w:r w:rsidRPr="001816BD">
        <w:rPr>
          <w:i/>
        </w:rPr>
        <w:t xml:space="preserve">In re </w:t>
      </w:r>
      <w:r>
        <w:rPr>
          <w:i/>
        </w:rPr>
        <w:t xml:space="preserve">Application of </w:t>
      </w:r>
      <w:r w:rsidRPr="001816BD">
        <w:rPr>
          <w:i/>
        </w:rPr>
        <w:t>Columbus S. Power Co.</w:t>
      </w:r>
      <w:r w:rsidRPr="001816BD">
        <w:t>, 128 Ohio St.3d at 520</w:t>
      </w:r>
      <w:r w:rsidRPr="004053D5">
        <w:t>.</w:t>
      </w:r>
    </w:p>
    <w:p w:rsidR="00757DA0" w:rsidRDefault="00757DA0">
      <w:pPr>
        <w:pStyle w:val="FootnoteText"/>
        <w:jc w:val="both"/>
      </w:pPr>
    </w:p>
  </w:footnote>
  <w:footnote w:id="143">
    <w:p w:rsidR="00757DA0" w:rsidRDefault="00757DA0">
      <w:pPr>
        <w:pStyle w:val="FootnoteText"/>
        <w:jc w:val="both"/>
      </w:pPr>
      <w:r>
        <w:rPr>
          <w:rStyle w:val="FootnoteReference"/>
        </w:rPr>
        <w:footnoteRef/>
      </w:r>
      <w:r>
        <w:t xml:space="preserve"> Staff Ex. 4, Attachment A; FES Ex. 4, Ex. MMS-2; IEU-Ohio Ex. 9A, Ex. KMM-11. </w:t>
      </w:r>
    </w:p>
    <w:p w:rsidR="00757DA0" w:rsidRDefault="00757DA0">
      <w:pPr>
        <w:pStyle w:val="FootnoteText"/>
        <w:jc w:val="both"/>
      </w:pPr>
    </w:p>
  </w:footnote>
  <w:footnote w:id="144">
    <w:p w:rsidR="00757DA0" w:rsidRDefault="00757DA0">
      <w:pPr>
        <w:pStyle w:val="FootnoteText"/>
        <w:jc w:val="both"/>
      </w:pPr>
      <w:r>
        <w:rPr>
          <w:rStyle w:val="FootnoteReference"/>
        </w:rPr>
        <w:footnoteRef/>
      </w:r>
      <w:r>
        <w:t xml:space="preserve"> See, for example, Cos. Ex. 5, Ex. LJT-3, page 1 of 1.</w:t>
      </w:r>
    </w:p>
    <w:p w:rsidR="00757DA0" w:rsidRDefault="00757DA0">
      <w:pPr>
        <w:pStyle w:val="FootnoteText"/>
        <w:jc w:val="both"/>
      </w:pPr>
    </w:p>
  </w:footnote>
  <w:footnote w:id="145">
    <w:p w:rsidR="00757DA0" w:rsidRDefault="00757DA0">
      <w:pPr>
        <w:pStyle w:val="FootnoteText"/>
        <w:jc w:val="both"/>
      </w:pPr>
      <w:r>
        <w:rPr>
          <w:rStyle w:val="FootnoteReference"/>
        </w:rPr>
        <w:footnoteRef/>
      </w:r>
      <w:r>
        <w:t xml:space="preserve"> See discussion, </w:t>
      </w:r>
      <w:r>
        <w:rPr>
          <w:i/>
        </w:rPr>
        <w:t>supra</w:t>
      </w:r>
      <w:r>
        <w:t>.</w:t>
      </w:r>
    </w:p>
    <w:p w:rsidR="00757DA0" w:rsidRDefault="00757DA0">
      <w:pPr>
        <w:pStyle w:val="FootnoteText"/>
        <w:jc w:val="both"/>
      </w:pPr>
    </w:p>
  </w:footnote>
  <w:footnote w:id="146">
    <w:p w:rsidR="00757DA0" w:rsidRPr="000B58DC" w:rsidRDefault="00757DA0">
      <w:pPr>
        <w:pStyle w:val="FootnoteText"/>
        <w:jc w:val="both"/>
        <w:rPr>
          <w:rFonts w:eastAsia="Times New Roman"/>
        </w:rPr>
      </w:pPr>
      <w:r>
        <w:rPr>
          <w:rStyle w:val="FootnoteReference"/>
        </w:rPr>
        <w:footnoteRef/>
      </w:r>
      <w:r>
        <w:t xml:space="preserve"> </w:t>
      </w:r>
      <w:r>
        <w:rPr>
          <w:bCs/>
          <w:i/>
        </w:rPr>
        <w:t>In re Application of Columbus Southern Power Co.</w:t>
      </w:r>
      <w:r>
        <w:rPr>
          <w:bCs/>
        </w:rPr>
        <w:t>,</w:t>
      </w:r>
      <w:r>
        <w:t xml:space="preserve"> 128 Ohio St.3d 512 (2011).</w:t>
      </w:r>
    </w:p>
  </w:footnote>
  <w:footnote w:id="147">
    <w:p w:rsidR="00757DA0" w:rsidRDefault="00757DA0">
      <w:pPr>
        <w:pStyle w:val="FootnoteText"/>
        <w:jc w:val="both"/>
      </w:pPr>
      <w:r>
        <w:rPr>
          <w:rStyle w:val="FootnoteReference"/>
        </w:rPr>
        <w:footnoteRef/>
      </w:r>
      <w:r>
        <w:t xml:space="preserve"> Tr. Vol. IX at 1656. </w:t>
      </w:r>
    </w:p>
    <w:p w:rsidR="00757DA0" w:rsidRDefault="00757DA0">
      <w:pPr>
        <w:pStyle w:val="FootnoteText"/>
        <w:jc w:val="both"/>
      </w:pPr>
    </w:p>
  </w:footnote>
  <w:footnote w:id="148">
    <w:p w:rsidR="00757DA0" w:rsidRDefault="00757DA0">
      <w:pPr>
        <w:pStyle w:val="FootnoteText"/>
        <w:jc w:val="both"/>
        <w:rPr>
          <w:szCs w:val="24"/>
        </w:rPr>
      </w:pPr>
      <w:r>
        <w:rPr>
          <w:rStyle w:val="FootnoteReference"/>
        </w:rPr>
        <w:footnoteRef/>
      </w:r>
      <w:r>
        <w:t xml:space="preserve"> </w:t>
      </w:r>
      <w:r>
        <w:rPr>
          <w:szCs w:val="24"/>
        </w:rPr>
        <w:t>Tr. Vol. X at 1730 (Cross-examination of Robert Fortney).</w:t>
      </w:r>
    </w:p>
    <w:p w:rsidR="00757DA0" w:rsidRDefault="00757DA0">
      <w:pPr>
        <w:pStyle w:val="FootnoteText"/>
        <w:jc w:val="both"/>
      </w:pPr>
    </w:p>
  </w:footnote>
  <w:footnote w:id="149">
    <w:p w:rsidR="00757DA0" w:rsidRDefault="00757DA0">
      <w:pPr>
        <w:pStyle w:val="FootnoteText"/>
        <w:jc w:val="both"/>
      </w:pPr>
      <w:r>
        <w:rPr>
          <w:rStyle w:val="FootnoteReference"/>
        </w:rPr>
        <w:footnoteRef/>
      </w:r>
      <w:r>
        <w:t xml:space="preserve"> IEU-Ohio Ex. 8 at 7; </w:t>
      </w:r>
      <w:r>
        <w:rPr>
          <w:i/>
          <w:szCs w:val="24"/>
        </w:rPr>
        <w:t xml:space="preserve">see also </w:t>
      </w:r>
      <w:r>
        <w:rPr>
          <w:szCs w:val="24"/>
        </w:rPr>
        <w:t>IEU-Ohio Ex. 8 at 6-7</w:t>
      </w:r>
      <w:r>
        <w:t>.</w:t>
      </w:r>
    </w:p>
    <w:p w:rsidR="00757DA0" w:rsidRDefault="00757DA0">
      <w:pPr>
        <w:pStyle w:val="FootnoteText"/>
        <w:jc w:val="both"/>
      </w:pPr>
    </w:p>
  </w:footnote>
  <w:footnote w:id="150">
    <w:p w:rsidR="00757DA0" w:rsidRDefault="00757DA0">
      <w:pPr>
        <w:pStyle w:val="FootnoteText"/>
        <w:jc w:val="both"/>
      </w:pPr>
      <w:r>
        <w:rPr>
          <w:rStyle w:val="FootnoteReference"/>
        </w:rPr>
        <w:footnoteRef/>
      </w:r>
      <w:r>
        <w:t xml:space="preserve"> </w:t>
      </w:r>
      <w:r>
        <w:rPr>
          <w:i/>
        </w:rPr>
        <w:t xml:space="preserve">In the Matter of the Application of Columbus Southern Power Company and Ohio Power Company for Approval of Proposed Reliability </w:t>
      </w:r>
      <w:r>
        <w:t>Standards, Case No. 09-756-EL-ESS, Opinion and Order (Sept. 8, 2010) (“</w:t>
      </w:r>
      <w:r w:rsidRPr="00C678A1">
        <w:rPr>
          <w:i/>
        </w:rPr>
        <w:t>2009 Reliability Standards Proceeding</w:t>
      </w:r>
      <w:r>
        <w:t>”).</w:t>
      </w:r>
    </w:p>
    <w:p w:rsidR="00757DA0" w:rsidRDefault="00757DA0">
      <w:pPr>
        <w:pStyle w:val="FootnoteText"/>
        <w:jc w:val="both"/>
      </w:pPr>
      <w:r>
        <w:t xml:space="preserve">  </w:t>
      </w:r>
    </w:p>
  </w:footnote>
  <w:footnote w:id="151">
    <w:p w:rsidR="00757DA0" w:rsidRDefault="00757DA0">
      <w:pPr>
        <w:pStyle w:val="FootnoteText"/>
        <w:jc w:val="both"/>
      </w:pPr>
      <w:r>
        <w:rPr>
          <w:rStyle w:val="FootnoteReference"/>
        </w:rPr>
        <w:footnoteRef/>
      </w:r>
      <w:r>
        <w:t xml:space="preserve"> The stipulation specifically states that “[e]xcept for purposes of enforcement of the terms of this Stipulation, this Stipulation, the information and data contained therein or attached and any Commission rulings adopting it, shall not be cited as precedent in any future proceeding for or against any Party or the Commission itself.” </w:t>
      </w:r>
      <w:r w:rsidRPr="00C678A1">
        <w:rPr>
          <w:i/>
        </w:rPr>
        <w:t>2009 Reliability Standards Proceeding</w:t>
      </w:r>
      <w:r>
        <w:t xml:space="preserve">, Case No. 09-756-EL-ESS, Stipulation and Recommendation (July 22, 2010).  </w:t>
      </w:r>
    </w:p>
  </w:footnote>
  <w:footnote w:id="152">
    <w:p w:rsidR="00757DA0" w:rsidRDefault="00757DA0">
      <w:pPr>
        <w:pStyle w:val="FootnoteText"/>
        <w:jc w:val="both"/>
      </w:pPr>
      <w:r>
        <w:rPr>
          <w:rStyle w:val="FootnoteReference"/>
        </w:rPr>
        <w:footnoteRef/>
      </w:r>
      <w:r>
        <w:t xml:space="preserve"> Tr. Vol. XIII at 2377 (Cross-examination of Peter Baker).</w:t>
      </w:r>
    </w:p>
    <w:p w:rsidR="00757DA0" w:rsidRDefault="00757DA0">
      <w:pPr>
        <w:pStyle w:val="FootnoteText"/>
        <w:jc w:val="both"/>
      </w:pPr>
    </w:p>
  </w:footnote>
  <w:footnote w:id="153">
    <w:p w:rsidR="00757DA0" w:rsidRDefault="00757DA0">
      <w:pPr>
        <w:pStyle w:val="FootnoteText"/>
        <w:jc w:val="both"/>
      </w:pPr>
      <w:r>
        <w:rPr>
          <w:rStyle w:val="FootnoteReference"/>
        </w:rPr>
        <w:footnoteRef/>
      </w:r>
      <w:r>
        <w:t xml:space="preserve"> Tr. Vol. IX at 1657 (Cross-examination of Jeffrey Hecker).</w:t>
      </w:r>
    </w:p>
    <w:p w:rsidR="00757DA0" w:rsidRDefault="00757DA0">
      <w:pPr>
        <w:pStyle w:val="FootnoteText"/>
        <w:jc w:val="both"/>
      </w:pPr>
    </w:p>
  </w:footnote>
  <w:footnote w:id="154">
    <w:p w:rsidR="00757DA0" w:rsidRDefault="00757DA0">
      <w:pPr>
        <w:pStyle w:val="FootnoteText"/>
        <w:jc w:val="both"/>
      </w:pPr>
      <w:r>
        <w:rPr>
          <w:rStyle w:val="FootnoteReference"/>
        </w:rPr>
        <w:footnoteRef/>
      </w:r>
      <w:r>
        <w:t xml:space="preserve"> Of the 500 residential and 300 commercial customers who participated in the survey, only 16% of residential and 19% of commercial participants anticipated that their reliability expectations would increase over the next five years.  Conversely, 77% of residential participants and 79% of commercial participants anticipated that their reliability expectations would stay the same or decrease over the next five years.  OCC Ex. 10; Tr. Vol. XII at 2016 (Cross-examination of Joseph Hamrock).  Surveys in 2010 yielded similar results.  Tr. Vol. XII at 2022-25 (Cross-examination of Joseph Hamrock).</w:t>
      </w:r>
    </w:p>
    <w:p w:rsidR="00757DA0" w:rsidRDefault="00757DA0">
      <w:pPr>
        <w:pStyle w:val="FootnoteText"/>
        <w:jc w:val="both"/>
      </w:pPr>
    </w:p>
  </w:footnote>
  <w:footnote w:id="155">
    <w:p w:rsidR="00757DA0" w:rsidRDefault="00757DA0">
      <w:pPr>
        <w:pStyle w:val="FootnoteText"/>
        <w:jc w:val="both"/>
      </w:pPr>
      <w:r>
        <w:rPr>
          <w:rStyle w:val="FootnoteReference"/>
        </w:rPr>
        <w:footnoteRef/>
      </w:r>
      <w:r>
        <w:t xml:space="preserve"> Cos. Ex. 19 at 4 (Hamrock rebuttal); Staff Ex. 5 at 2-5.</w:t>
      </w:r>
    </w:p>
    <w:p w:rsidR="00757DA0" w:rsidRDefault="00757DA0">
      <w:pPr>
        <w:pStyle w:val="FootnoteText"/>
        <w:jc w:val="both"/>
      </w:pPr>
    </w:p>
  </w:footnote>
  <w:footnote w:id="156">
    <w:p w:rsidR="00757DA0" w:rsidRDefault="00757DA0">
      <w:pPr>
        <w:pStyle w:val="FootnoteText"/>
        <w:jc w:val="both"/>
      </w:pPr>
      <w:r>
        <w:rPr>
          <w:rStyle w:val="FootnoteReference"/>
        </w:rPr>
        <w:footnoteRef/>
      </w:r>
      <w:r>
        <w:t xml:space="preserve"> Only 20% of residential and 21% of commercial customers reported that their reliability expectations would increase over the next five years.  Cos. Ex. 19 at 4 (Hamrock rebuttal); Tr. Vol. XII at 2022-25 (Cross-examination of Joseph Hamrock).</w:t>
      </w:r>
    </w:p>
    <w:p w:rsidR="00757DA0" w:rsidRDefault="00757DA0">
      <w:pPr>
        <w:pStyle w:val="FootnoteText"/>
        <w:jc w:val="both"/>
      </w:pPr>
    </w:p>
  </w:footnote>
  <w:footnote w:id="157">
    <w:p w:rsidR="00757DA0" w:rsidRDefault="00757DA0">
      <w:pPr>
        <w:pStyle w:val="FootnoteText"/>
        <w:jc w:val="both"/>
      </w:pPr>
      <w:r>
        <w:rPr>
          <w:rStyle w:val="FootnoteReference"/>
        </w:rPr>
        <w:footnoteRef/>
      </w:r>
      <w:r>
        <w:t xml:space="preserve"> </w:t>
      </w:r>
      <w:r>
        <w:rPr>
          <w:i/>
        </w:rPr>
        <w:t>Id</w:t>
      </w:r>
      <w:r>
        <w:t xml:space="preserve">.  </w:t>
      </w:r>
      <w:r>
        <w:rPr>
          <w:i/>
        </w:rPr>
        <w:t xml:space="preserve">See also </w:t>
      </w:r>
      <w:r w:rsidRPr="00C678A1">
        <w:rPr>
          <w:i/>
        </w:rPr>
        <w:t>2009 Reliability Standards Proceeding</w:t>
      </w:r>
      <w:r>
        <w:t xml:space="preserve">, Case No. 09-756-EL-ESS, Stipulation and Recommendation (July 22, 2010).  </w:t>
      </w:r>
    </w:p>
    <w:p w:rsidR="00757DA0" w:rsidRDefault="00757DA0">
      <w:pPr>
        <w:pStyle w:val="FootnoteText"/>
        <w:jc w:val="both"/>
        <w:rPr>
          <w:i/>
        </w:rPr>
      </w:pPr>
    </w:p>
  </w:footnote>
  <w:footnote w:id="158">
    <w:p w:rsidR="00757DA0" w:rsidRDefault="00757DA0">
      <w:pPr>
        <w:pStyle w:val="FootnoteText"/>
        <w:jc w:val="both"/>
      </w:pPr>
      <w:r>
        <w:rPr>
          <w:rStyle w:val="FootnoteReference"/>
        </w:rPr>
        <w:footnoteRef/>
      </w:r>
      <w:r>
        <w:t xml:space="preserve"> Tr. Vol. XII at 1995 (Cross-examination of Joseph Hamrock); Tr. Vol. X at 1724 (Cross-examination of Robert Fortney).</w:t>
      </w:r>
    </w:p>
    <w:p w:rsidR="00757DA0" w:rsidRDefault="00757DA0">
      <w:pPr>
        <w:pStyle w:val="FootnoteText"/>
        <w:jc w:val="both"/>
      </w:pPr>
    </w:p>
  </w:footnote>
  <w:footnote w:id="159">
    <w:p w:rsidR="00757DA0" w:rsidRDefault="00757DA0">
      <w:pPr>
        <w:pStyle w:val="FootnoteText"/>
        <w:jc w:val="both"/>
      </w:pPr>
      <w:r>
        <w:rPr>
          <w:rStyle w:val="FootnoteReference"/>
        </w:rPr>
        <w:footnoteRef/>
      </w:r>
      <w:r>
        <w:t xml:space="preserve"> Stipulation at 8.</w:t>
      </w:r>
    </w:p>
    <w:p w:rsidR="00757DA0" w:rsidRDefault="00757DA0">
      <w:pPr>
        <w:pStyle w:val="FootnoteText"/>
        <w:jc w:val="both"/>
      </w:pPr>
    </w:p>
  </w:footnote>
  <w:footnote w:id="160">
    <w:p w:rsidR="00757DA0" w:rsidRDefault="00757DA0">
      <w:pPr>
        <w:pStyle w:val="FootnoteText"/>
        <w:jc w:val="both"/>
      </w:pPr>
      <w:r>
        <w:rPr>
          <w:rStyle w:val="FootnoteReference"/>
        </w:rPr>
        <w:footnoteRef/>
      </w:r>
      <w:r>
        <w:t xml:space="preserve"> Tr. Vol. III at 315-317.</w:t>
      </w:r>
    </w:p>
    <w:p w:rsidR="00757DA0" w:rsidRDefault="00757DA0">
      <w:pPr>
        <w:pStyle w:val="FootnoteText"/>
        <w:jc w:val="both"/>
      </w:pPr>
    </w:p>
  </w:footnote>
  <w:footnote w:id="161">
    <w:p w:rsidR="00757DA0" w:rsidRDefault="00757DA0" w:rsidP="00590648">
      <w:pPr>
        <w:pStyle w:val="FootnoteText"/>
        <w:jc w:val="both"/>
      </w:pPr>
      <w:r>
        <w:rPr>
          <w:rStyle w:val="FootnoteReference"/>
        </w:rPr>
        <w:footnoteRef/>
      </w:r>
      <w:r>
        <w:t xml:space="preserve"> The Companies have filed testimony in the rate case urging the Commission to consider a revenue credit if the DIR is approved, an explicit admission that the DIR will double recover.  Tr. Vol. XII at 2055.</w:t>
      </w:r>
    </w:p>
    <w:p w:rsidR="00757DA0" w:rsidRDefault="00757DA0" w:rsidP="00590648">
      <w:pPr>
        <w:pStyle w:val="FootnoteText"/>
        <w:jc w:val="both"/>
      </w:pPr>
    </w:p>
  </w:footnote>
  <w:footnote w:id="162">
    <w:p w:rsidR="00757DA0" w:rsidRDefault="00757DA0">
      <w:pPr>
        <w:pStyle w:val="FootnoteText"/>
        <w:jc w:val="both"/>
      </w:pPr>
      <w:r>
        <w:rPr>
          <w:rStyle w:val="FootnoteReference"/>
        </w:rPr>
        <w:footnoteRef/>
      </w:r>
      <w:r>
        <w:t xml:space="preserve"> Cos. Ex. 22A at 5.</w:t>
      </w:r>
    </w:p>
    <w:p w:rsidR="00757DA0" w:rsidRDefault="00757DA0">
      <w:pPr>
        <w:pStyle w:val="FootnoteText"/>
        <w:jc w:val="both"/>
      </w:pPr>
    </w:p>
  </w:footnote>
  <w:footnote w:id="163">
    <w:p w:rsidR="00757DA0" w:rsidRDefault="00757DA0">
      <w:pPr>
        <w:pStyle w:val="FootnoteText"/>
        <w:jc w:val="both"/>
      </w:pPr>
      <w:r>
        <w:rPr>
          <w:rStyle w:val="FootnoteReference"/>
        </w:rPr>
        <w:footnoteRef/>
      </w:r>
      <w:r>
        <w:t xml:space="preserve"> Tr. Vol. XII at 2142.</w:t>
      </w:r>
    </w:p>
    <w:p w:rsidR="00757DA0" w:rsidRDefault="00757DA0">
      <w:pPr>
        <w:pStyle w:val="FootnoteText"/>
        <w:jc w:val="both"/>
      </w:pPr>
    </w:p>
  </w:footnote>
  <w:footnote w:id="164">
    <w:p w:rsidR="00757DA0" w:rsidRDefault="00757DA0">
      <w:pPr>
        <w:pStyle w:val="FootnoteText"/>
        <w:jc w:val="both"/>
      </w:pPr>
      <w:r>
        <w:rPr>
          <w:rStyle w:val="FootnoteReference"/>
        </w:rPr>
        <w:footnoteRef/>
      </w:r>
      <w:r>
        <w:t xml:space="preserve"> IEU-Ohio Ex. 8 at 9 (October 13, 2011).</w:t>
      </w:r>
    </w:p>
    <w:p w:rsidR="00757DA0" w:rsidRDefault="00757DA0">
      <w:pPr>
        <w:pStyle w:val="FootnoteText"/>
        <w:jc w:val="both"/>
      </w:pPr>
    </w:p>
  </w:footnote>
  <w:footnote w:id="165">
    <w:p w:rsidR="00757DA0" w:rsidRDefault="00757DA0">
      <w:pPr>
        <w:pStyle w:val="FootnoteText"/>
        <w:jc w:val="both"/>
      </w:pPr>
      <w:r>
        <w:rPr>
          <w:rStyle w:val="FootnoteReference"/>
        </w:rPr>
        <w:footnoteRef/>
      </w:r>
      <w:r>
        <w:t xml:space="preserve"> IEU-Ohio Ex. 8 at 10.</w:t>
      </w:r>
    </w:p>
    <w:p w:rsidR="00ED36C9" w:rsidRDefault="00ED36C9">
      <w:pPr>
        <w:pStyle w:val="FootnoteText"/>
        <w:jc w:val="both"/>
      </w:pPr>
    </w:p>
  </w:footnote>
  <w:footnote w:id="166">
    <w:p w:rsidR="00757DA0" w:rsidRDefault="00757DA0">
      <w:pPr>
        <w:pStyle w:val="FootnoteText"/>
        <w:jc w:val="both"/>
      </w:pPr>
      <w:r>
        <w:rPr>
          <w:rStyle w:val="FootnoteReference"/>
        </w:rPr>
        <w:footnoteRef/>
      </w:r>
      <w:r>
        <w:t xml:space="preserve"> Stipulation at 8.</w:t>
      </w:r>
    </w:p>
    <w:p w:rsidR="00757DA0" w:rsidRDefault="00757DA0">
      <w:pPr>
        <w:pStyle w:val="FootnoteText"/>
        <w:jc w:val="both"/>
      </w:pPr>
    </w:p>
  </w:footnote>
  <w:footnote w:id="167">
    <w:p w:rsidR="00ED36C9" w:rsidRDefault="00757DA0">
      <w:pPr>
        <w:pStyle w:val="FootnoteText"/>
        <w:jc w:val="both"/>
      </w:pPr>
      <w:r>
        <w:rPr>
          <w:rStyle w:val="FootnoteReference"/>
        </w:rPr>
        <w:footnoteRef/>
      </w:r>
      <w:r>
        <w:t xml:space="preserve"> IEU-Ohio Ex. 8 at 7.</w:t>
      </w:r>
    </w:p>
    <w:p w:rsidR="00757DA0" w:rsidRDefault="00757DA0">
      <w:pPr>
        <w:pStyle w:val="FootnoteText"/>
        <w:jc w:val="both"/>
      </w:pPr>
    </w:p>
  </w:footnote>
  <w:footnote w:id="168">
    <w:p w:rsidR="00757DA0" w:rsidRDefault="00757DA0">
      <w:pPr>
        <w:pStyle w:val="FootnoteText"/>
        <w:jc w:val="both"/>
      </w:pPr>
      <w:r>
        <w:rPr>
          <w:rStyle w:val="FootnoteReference"/>
        </w:rPr>
        <w:footnoteRef/>
      </w:r>
      <w:r>
        <w:t xml:space="preserve"> </w:t>
      </w:r>
      <w:r>
        <w:rPr>
          <w:i/>
        </w:rPr>
        <w:t>Id</w:t>
      </w:r>
      <w:r>
        <w:t>.</w:t>
      </w:r>
    </w:p>
    <w:p w:rsidR="00757DA0" w:rsidRDefault="00757DA0">
      <w:pPr>
        <w:pStyle w:val="FootnoteText"/>
        <w:jc w:val="both"/>
      </w:pPr>
    </w:p>
  </w:footnote>
  <w:footnote w:id="169">
    <w:p w:rsidR="00757DA0" w:rsidRDefault="00757DA0">
      <w:pPr>
        <w:pStyle w:val="FootnoteText"/>
        <w:jc w:val="both"/>
      </w:pPr>
      <w:r>
        <w:rPr>
          <w:rStyle w:val="FootnoteReference"/>
        </w:rPr>
        <w:footnoteRef/>
      </w:r>
      <w:r>
        <w:t xml:space="preserve"> </w:t>
      </w:r>
      <w:r>
        <w:rPr>
          <w:i/>
        </w:rPr>
        <w:t>Id</w:t>
      </w:r>
      <w:r>
        <w:t>. at 7.</w:t>
      </w:r>
    </w:p>
    <w:p w:rsidR="00757DA0" w:rsidRDefault="00757DA0">
      <w:pPr>
        <w:pStyle w:val="FootnoteText"/>
        <w:jc w:val="both"/>
      </w:pPr>
    </w:p>
  </w:footnote>
  <w:footnote w:id="170">
    <w:p w:rsidR="00757DA0" w:rsidRDefault="00757DA0">
      <w:pPr>
        <w:pStyle w:val="FootnoteText"/>
        <w:jc w:val="both"/>
      </w:pPr>
      <w:r>
        <w:rPr>
          <w:rStyle w:val="FootnoteReference"/>
        </w:rPr>
        <w:footnoteRef/>
      </w:r>
      <w:r>
        <w:t xml:space="preserve"> </w:t>
      </w:r>
      <w:r w:rsidRPr="00590648">
        <w:rPr>
          <w:i/>
        </w:rPr>
        <w:t>Id</w:t>
      </w:r>
      <w:r>
        <w:t>. at 10-11.</w:t>
      </w:r>
    </w:p>
    <w:p w:rsidR="00757DA0" w:rsidRDefault="00757DA0">
      <w:pPr>
        <w:pStyle w:val="FootnoteText"/>
        <w:jc w:val="both"/>
      </w:pPr>
    </w:p>
  </w:footnote>
  <w:footnote w:id="171">
    <w:p w:rsidR="00757DA0" w:rsidRDefault="00757DA0">
      <w:pPr>
        <w:pStyle w:val="FootnoteText"/>
      </w:pPr>
      <w:r>
        <w:rPr>
          <w:rStyle w:val="FootnoteReference"/>
        </w:rPr>
        <w:footnoteRef/>
      </w:r>
      <w:r>
        <w:t xml:space="preserve"> </w:t>
      </w:r>
      <w:r w:rsidR="00ED36C9" w:rsidRPr="00ED36C9">
        <w:rPr>
          <w:i/>
        </w:rPr>
        <w:t>Id</w:t>
      </w:r>
      <w:r w:rsidR="00ED36C9">
        <w:t>.</w:t>
      </w:r>
      <w:r>
        <w:t xml:space="preserve"> at 7-8.</w:t>
      </w:r>
    </w:p>
    <w:p w:rsidR="00757DA0" w:rsidRDefault="00757DA0">
      <w:pPr>
        <w:pStyle w:val="FootnoteText"/>
      </w:pPr>
    </w:p>
  </w:footnote>
  <w:footnote w:id="172">
    <w:p w:rsidR="00757DA0" w:rsidRDefault="00757DA0">
      <w:pPr>
        <w:pStyle w:val="FootnoteText"/>
      </w:pPr>
      <w:r>
        <w:rPr>
          <w:rStyle w:val="FootnoteReference"/>
        </w:rPr>
        <w:footnoteRef/>
      </w:r>
      <w:r>
        <w:t xml:space="preserve"> </w:t>
      </w:r>
      <w:r w:rsidRPr="00590648">
        <w:rPr>
          <w:i/>
        </w:rPr>
        <w:t>Id</w:t>
      </w:r>
      <w:r>
        <w:t xml:space="preserve">. at 8.  </w:t>
      </w:r>
    </w:p>
    <w:p w:rsidR="00757DA0" w:rsidRDefault="00757DA0">
      <w:pPr>
        <w:pStyle w:val="FootnoteText"/>
      </w:pPr>
    </w:p>
  </w:footnote>
  <w:footnote w:id="173">
    <w:p w:rsidR="00757DA0" w:rsidRDefault="00757DA0">
      <w:pPr>
        <w:autoSpaceDE w:val="0"/>
        <w:autoSpaceDN w:val="0"/>
        <w:adjustRightInd w:val="0"/>
        <w:spacing w:after="0" w:line="240" w:lineRule="auto"/>
        <w:jc w:val="both"/>
        <w:rPr>
          <w:sz w:val="20"/>
          <w:szCs w:val="20"/>
        </w:rPr>
      </w:pPr>
      <w:r>
        <w:rPr>
          <w:rStyle w:val="FootnoteReference"/>
          <w:sz w:val="20"/>
          <w:szCs w:val="20"/>
        </w:rPr>
        <w:footnoteRef/>
      </w:r>
      <w:r>
        <w:rPr>
          <w:sz w:val="20"/>
          <w:szCs w:val="20"/>
        </w:rPr>
        <w:t xml:space="preserve"> </w:t>
      </w:r>
      <w:r>
        <w:rPr>
          <w:i/>
          <w:sz w:val="20"/>
          <w:szCs w:val="20"/>
        </w:rPr>
        <w:t>In the Matter of the Application of Ohio Edison Company, The Cleveland Electric Illuminating Company, and The Toledo Edison Company for Authority to Establish a Standard Service Offer Pursuant to Section 4928.143, Revised Code, in the Form of an Electric Security Plan</w:t>
      </w:r>
      <w:r>
        <w:rPr>
          <w:sz w:val="20"/>
          <w:szCs w:val="20"/>
        </w:rPr>
        <w:t>, Case No. 10-388-EL-SSO, Opinion and Order at 14 (August 25, 2010).</w:t>
      </w:r>
    </w:p>
    <w:p w:rsidR="00757DA0" w:rsidRDefault="00757DA0">
      <w:pPr>
        <w:autoSpaceDE w:val="0"/>
        <w:autoSpaceDN w:val="0"/>
        <w:adjustRightInd w:val="0"/>
        <w:spacing w:after="0" w:line="240" w:lineRule="auto"/>
        <w:jc w:val="both"/>
        <w:rPr>
          <w:i/>
          <w:sz w:val="20"/>
          <w:szCs w:val="20"/>
        </w:rPr>
      </w:pPr>
    </w:p>
  </w:footnote>
  <w:footnote w:id="174">
    <w:p w:rsidR="00757DA0" w:rsidRDefault="00757DA0">
      <w:pPr>
        <w:pStyle w:val="FootnoteText"/>
        <w:jc w:val="both"/>
      </w:pPr>
      <w:r>
        <w:rPr>
          <w:rStyle w:val="FootnoteReference"/>
        </w:rPr>
        <w:footnoteRef/>
      </w:r>
      <w:r>
        <w:t xml:space="preserve"> IEU-Ohio Ex. 8 at 8.</w:t>
      </w:r>
    </w:p>
    <w:p w:rsidR="00757DA0" w:rsidRDefault="00757DA0">
      <w:pPr>
        <w:pStyle w:val="FootnoteText"/>
        <w:jc w:val="both"/>
      </w:pPr>
      <w:r>
        <w:t xml:space="preserve"> </w:t>
      </w:r>
    </w:p>
  </w:footnote>
  <w:footnote w:id="175">
    <w:p w:rsidR="00757DA0" w:rsidRDefault="00757DA0">
      <w:pPr>
        <w:pStyle w:val="FootnoteText"/>
        <w:jc w:val="both"/>
      </w:pPr>
      <w:r>
        <w:rPr>
          <w:rStyle w:val="FootnoteReference"/>
        </w:rPr>
        <w:footnoteRef/>
      </w:r>
      <w:r>
        <w:t xml:space="preserve"> Tr. Vol. X at 1754-55 (Cross-examination of Robert Fortney).</w:t>
      </w:r>
    </w:p>
    <w:p w:rsidR="00757DA0" w:rsidRDefault="00757DA0">
      <w:pPr>
        <w:pStyle w:val="FootnoteText"/>
        <w:jc w:val="both"/>
      </w:pPr>
      <w:r>
        <w:t xml:space="preserve">  </w:t>
      </w:r>
    </w:p>
  </w:footnote>
  <w:footnote w:id="176">
    <w:p w:rsidR="00757DA0" w:rsidRDefault="00757DA0">
      <w:pPr>
        <w:pStyle w:val="FootnoteText"/>
        <w:jc w:val="both"/>
      </w:pPr>
      <w:r>
        <w:rPr>
          <w:rStyle w:val="FootnoteReference"/>
        </w:rPr>
        <w:footnoteRef/>
      </w:r>
      <w:r>
        <w:t xml:space="preserve"> Stipulation at 25.  </w:t>
      </w:r>
      <w:r>
        <w:rPr>
          <w:i/>
        </w:rPr>
        <w:t>See</w:t>
      </w:r>
      <w:r>
        <w:t xml:space="preserve"> Tr. Vol. V at 708 (Cross-examination of Philip Nelson).</w:t>
      </w:r>
    </w:p>
    <w:p w:rsidR="00757DA0" w:rsidRDefault="00757DA0">
      <w:pPr>
        <w:pStyle w:val="FootnoteText"/>
        <w:jc w:val="both"/>
      </w:pPr>
    </w:p>
  </w:footnote>
  <w:footnote w:id="177">
    <w:p w:rsidR="00757DA0" w:rsidRDefault="00757DA0">
      <w:pPr>
        <w:pStyle w:val="FootnoteText"/>
        <w:jc w:val="both"/>
      </w:pPr>
      <w:r>
        <w:rPr>
          <w:rStyle w:val="FootnoteReference"/>
        </w:rPr>
        <w:footnoteRef/>
      </w:r>
      <w:r>
        <w:t xml:space="preserve"> Tr. Vol. V at 710 (Cross-examination of Philip Nelson).</w:t>
      </w:r>
    </w:p>
    <w:p w:rsidR="00757DA0" w:rsidRDefault="00757DA0">
      <w:pPr>
        <w:pStyle w:val="FootnoteText"/>
        <w:jc w:val="both"/>
      </w:pPr>
    </w:p>
  </w:footnote>
  <w:footnote w:id="178">
    <w:p w:rsidR="00757DA0" w:rsidRDefault="00757DA0">
      <w:pPr>
        <w:pStyle w:val="FootnoteText"/>
      </w:pPr>
      <w:r>
        <w:rPr>
          <w:rStyle w:val="FootnoteReference"/>
        </w:rPr>
        <w:footnoteRef/>
      </w:r>
      <w:r>
        <w:t xml:space="preserve"> IEU-Ohio Ex. 9A at 16.</w:t>
      </w:r>
    </w:p>
    <w:p w:rsidR="00757DA0" w:rsidRDefault="00757DA0">
      <w:pPr>
        <w:pStyle w:val="FootnoteText"/>
      </w:pPr>
    </w:p>
  </w:footnote>
  <w:footnote w:id="179">
    <w:p w:rsidR="00757DA0" w:rsidRDefault="00757DA0">
      <w:pPr>
        <w:pStyle w:val="FootnoteText"/>
        <w:jc w:val="both"/>
      </w:pPr>
      <w:r>
        <w:rPr>
          <w:rStyle w:val="FootnoteReference"/>
        </w:rPr>
        <w:footnoteRef/>
      </w:r>
      <w:r>
        <w:t xml:space="preserve"> Tr. Vol. X at 1741 (Cross-examination of Robert Fortney).</w:t>
      </w:r>
    </w:p>
    <w:p w:rsidR="00757DA0" w:rsidRDefault="00757DA0">
      <w:pPr>
        <w:pStyle w:val="FootnoteText"/>
        <w:jc w:val="both"/>
      </w:pPr>
    </w:p>
  </w:footnote>
  <w:footnote w:id="180">
    <w:p w:rsidR="00757DA0" w:rsidRDefault="00757DA0">
      <w:pPr>
        <w:pStyle w:val="FootnoteText"/>
        <w:jc w:val="both"/>
      </w:pPr>
      <w:r>
        <w:rPr>
          <w:rStyle w:val="FootnoteReference"/>
        </w:rPr>
        <w:footnoteRef/>
      </w:r>
      <w:r>
        <w:t xml:space="preserve"> IEU-Ohio Ex. 9A at 45-46.</w:t>
      </w:r>
    </w:p>
    <w:p w:rsidR="00757DA0" w:rsidRDefault="00757DA0">
      <w:pPr>
        <w:pStyle w:val="FootnoteText"/>
        <w:jc w:val="both"/>
      </w:pPr>
    </w:p>
  </w:footnote>
  <w:footnote w:id="181">
    <w:p w:rsidR="00757DA0" w:rsidRDefault="00757DA0">
      <w:pPr>
        <w:pStyle w:val="FootnoteText"/>
      </w:pPr>
      <w:r>
        <w:rPr>
          <w:rStyle w:val="FootnoteReference"/>
        </w:rPr>
        <w:footnoteRef/>
      </w:r>
      <w:r>
        <w:t xml:space="preserve"> Stipulation at 25-26.</w:t>
      </w:r>
    </w:p>
    <w:p w:rsidR="00757DA0" w:rsidRDefault="00757DA0">
      <w:pPr>
        <w:pStyle w:val="FootnoteText"/>
      </w:pPr>
    </w:p>
  </w:footnote>
  <w:footnote w:id="182">
    <w:p w:rsidR="00757DA0" w:rsidRDefault="00757DA0">
      <w:pPr>
        <w:pStyle w:val="FootnoteText"/>
      </w:pPr>
      <w:r>
        <w:rPr>
          <w:rStyle w:val="FootnoteReference"/>
        </w:rPr>
        <w:footnoteRef/>
      </w:r>
      <w:r>
        <w:t xml:space="preserve"> </w:t>
      </w:r>
      <w:r w:rsidR="00011EA5" w:rsidRPr="00011EA5">
        <w:rPr>
          <w:i/>
        </w:rPr>
        <w:t>Id</w:t>
      </w:r>
      <w:r w:rsidR="00011EA5">
        <w:t xml:space="preserve">. </w:t>
      </w:r>
      <w:r>
        <w:t>at 26.</w:t>
      </w:r>
    </w:p>
    <w:p w:rsidR="00757DA0" w:rsidRDefault="00757DA0">
      <w:pPr>
        <w:pStyle w:val="FootnoteText"/>
      </w:pPr>
    </w:p>
  </w:footnote>
  <w:footnote w:id="183">
    <w:p w:rsidR="00757DA0" w:rsidRDefault="00757DA0">
      <w:pPr>
        <w:pStyle w:val="FootnoteText"/>
        <w:jc w:val="both"/>
      </w:pPr>
      <w:r>
        <w:rPr>
          <w:rStyle w:val="FootnoteReference"/>
        </w:rPr>
        <w:footnoteRef/>
      </w:r>
      <w:r>
        <w:t xml:space="preserve"> IEU-Ohio Ex. 9A at 21-22.</w:t>
      </w:r>
    </w:p>
    <w:p w:rsidR="00757DA0" w:rsidRDefault="00757DA0">
      <w:pPr>
        <w:pStyle w:val="FootnoteText"/>
        <w:jc w:val="both"/>
      </w:pPr>
    </w:p>
  </w:footnote>
  <w:footnote w:id="184">
    <w:p w:rsidR="00757DA0" w:rsidRDefault="00757DA0">
      <w:pPr>
        <w:pStyle w:val="FootnoteText"/>
        <w:jc w:val="both"/>
      </w:pPr>
      <w:r>
        <w:rPr>
          <w:rStyle w:val="FootnoteReference"/>
        </w:rPr>
        <w:footnoteRef/>
      </w:r>
      <w:r>
        <w:t xml:space="preserve"> Cos. Ex. 22 at 7.</w:t>
      </w:r>
    </w:p>
    <w:p w:rsidR="00757DA0" w:rsidRDefault="00757DA0">
      <w:pPr>
        <w:pStyle w:val="FootnoteText"/>
        <w:jc w:val="both"/>
      </w:pPr>
    </w:p>
  </w:footnote>
  <w:footnote w:id="185">
    <w:p w:rsidR="00757DA0" w:rsidRDefault="00757DA0">
      <w:pPr>
        <w:pStyle w:val="FootnoteText"/>
        <w:jc w:val="both"/>
      </w:pPr>
      <w:r>
        <w:rPr>
          <w:rStyle w:val="FootnoteReference"/>
        </w:rPr>
        <w:footnoteRef/>
      </w:r>
      <w:r>
        <w:t xml:space="preserve"> Tr. Vol. XIII at 2305 (Cross-examination of David Roush); </w:t>
      </w:r>
      <w:r>
        <w:rPr>
          <w:i/>
        </w:rPr>
        <w:t>see</w:t>
      </w:r>
      <w:r>
        <w:t xml:space="preserve"> </w:t>
      </w:r>
      <w:r>
        <w:rPr>
          <w:i/>
        </w:rPr>
        <w:t>also</w:t>
      </w:r>
      <w:r>
        <w:t xml:space="preserve"> </w:t>
      </w:r>
      <w:r>
        <w:rPr>
          <w:i/>
        </w:rPr>
        <w:t>In the Matter of the Transfer of Monongahela Power Company’s Certified Territory in Ohio to the Columbus Southern Power Company</w:t>
      </w:r>
      <w:r>
        <w:t>, PUCO Case No. 05-765-EL-UNC, Opinion and Order (November 9, 2005) (“</w:t>
      </w:r>
      <w:r w:rsidRPr="00C50D42">
        <w:rPr>
          <w:i/>
        </w:rPr>
        <w:t>Monongahela</w:t>
      </w:r>
      <w:r>
        <w:t>”).</w:t>
      </w:r>
    </w:p>
    <w:p w:rsidR="00757DA0" w:rsidRDefault="00757DA0">
      <w:pPr>
        <w:pStyle w:val="FootnoteText"/>
        <w:jc w:val="both"/>
      </w:pPr>
    </w:p>
  </w:footnote>
  <w:footnote w:id="186">
    <w:p w:rsidR="00757DA0" w:rsidRDefault="00757DA0">
      <w:pPr>
        <w:pStyle w:val="FootnoteText"/>
        <w:jc w:val="both"/>
      </w:pPr>
      <w:r>
        <w:rPr>
          <w:rStyle w:val="FootnoteReference"/>
        </w:rPr>
        <w:footnoteRef/>
      </w:r>
      <w:r>
        <w:t xml:space="preserve"> IEU-Ohio Ex. 9A. at 22.</w:t>
      </w:r>
    </w:p>
    <w:p w:rsidR="00757DA0" w:rsidRDefault="00757DA0">
      <w:pPr>
        <w:pStyle w:val="FootnoteText"/>
        <w:jc w:val="both"/>
      </w:pPr>
    </w:p>
  </w:footnote>
  <w:footnote w:id="187">
    <w:p w:rsidR="00757DA0" w:rsidRDefault="00757DA0">
      <w:pPr>
        <w:pStyle w:val="FootnoteText"/>
        <w:jc w:val="both"/>
      </w:pPr>
      <w:r>
        <w:rPr>
          <w:rStyle w:val="FootnoteReference"/>
        </w:rPr>
        <w:footnoteRef/>
      </w:r>
      <w:r>
        <w:t xml:space="preserve"> In rebuttal testimony, Mr. Allen suggested that the Companies could not have secured bonds in 2009 at the rates suggested by Mr. Bowser.  Cos. Ex. 20A at 11.  Whether that is true is irrelevant.  Mr. Allen agreed that the carrying charge is designed to compensate the Companies for the amortization period, 2012 to 2018.  Tr. Vol. XII at 2051-52.  Thus, the question for the Commission is the appropriate rate now and going forward.</w:t>
      </w:r>
    </w:p>
    <w:p w:rsidR="00757DA0" w:rsidRDefault="00757DA0">
      <w:pPr>
        <w:pStyle w:val="FootnoteText"/>
        <w:jc w:val="both"/>
      </w:pPr>
    </w:p>
  </w:footnote>
  <w:footnote w:id="188">
    <w:p w:rsidR="00757DA0" w:rsidRDefault="00757DA0">
      <w:pPr>
        <w:pStyle w:val="FootnoteText"/>
        <w:jc w:val="both"/>
      </w:pPr>
      <w:r>
        <w:rPr>
          <w:rStyle w:val="FootnoteReference"/>
        </w:rPr>
        <w:footnoteRef/>
      </w:r>
      <w:r>
        <w:t xml:space="preserve"> IEU-Ohio Ex. 8 at 15.</w:t>
      </w:r>
    </w:p>
    <w:p w:rsidR="00757DA0" w:rsidRDefault="00757DA0">
      <w:pPr>
        <w:pStyle w:val="FootnoteText"/>
        <w:jc w:val="both"/>
      </w:pPr>
    </w:p>
  </w:footnote>
  <w:footnote w:id="189">
    <w:p w:rsidR="00757DA0" w:rsidRDefault="00757DA0">
      <w:pPr>
        <w:pStyle w:val="FootnoteText"/>
        <w:jc w:val="both"/>
      </w:pPr>
      <w:r>
        <w:rPr>
          <w:rStyle w:val="FootnoteReference"/>
        </w:rPr>
        <w:footnoteRef/>
      </w:r>
      <w:r>
        <w:t xml:space="preserve"> </w:t>
      </w:r>
      <w:r>
        <w:rPr>
          <w:i/>
        </w:rPr>
        <w:t xml:space="preserve">Id. </w:t>
      </w:r>
      <w:r>
        <w:t>at 14.</w:t>
      </w:r>
    </w:p>
    <w:p w:rsidR="00757DA0" w:rsidRDefault="00757DA0">
      <w:pPr>
        <w:pStyle w:val="FootnoteText"/>
        <w:jc w:val="both"/>
      </w:pPr>
    </w:p>
  </w:footnote>
  <w:footnote w:id="190">
    <w:p w:rsidR="00757DA0" w:rsidRDefault="00757DA0">
      <w:pPr>
        <w:pStyle w:val="FootnoteText"/>
        <w:jc w:val="both"/>
      </w:pPr>
      <w:r>
        <w:rPr>
          <w:rStyle w:val="FootnoteReference"/>
        </w:rPr>
        <w:footnoteRef/>
      </w:r>
      <w:r>
        <w:t xml:space="preserve"> IEU-Ohio Ex. 8 at 14.</w:t>
      </w:r>
    </w:p>
    <w:p w:rsidR="00757DA0" w:rsidRDefault="00757DA0">
      <w:pPr>
        <w:pStyle w:val="FootnoteText"/>
        <w:jc w:val="both"/>
      </w:pPr>
    </w:p>
  </w:footnote>
  <w:footnote w:id="191">
    <w:p w:rsidR="00757DA0" w:rsidRDefault="00757DA0">
      <w:pPr>
        <w:pStyle w:val="FootnoteText"/>
        <w:jc w:val="both"/>
      </w:pPr>
      <w:r>
        <w:rPr>
          <w:rStyle w:val="FootnoteReference"/>
        </w:rPr>
        <w:footnoteRef/>
      </w:r>
      <w:r>
        <w:t xml:space="preserve"> Stipulation at 26. </w:t>
      </w:r>
    </w:p>
    <w:p w:rsidR="00757DA0" w:rsidRDefault="00757DA0">
      <w:pPr>
        <w:pStyle w:val="FootnoteText"/>
        <w:jc w:val="both"/>
      </w:pPr>
    </w:p>
  </w:footnote>
  <w:footnote w:id="192">
    <w:p w:rsidR="00757DA0" w:rsidRDefault="00757DA0">
      <w:pPr>
        <w:pStyle w:val="FootnoteText"/>
        <w:jc w:val="both"/>
      </w:pPr>
      <w:r>
        <w:rPr>
          <w:rStyle w:val="FootnoteReference"/>
        </w:rPr>
        <w:footnoteRef/>
      </w:r>
      <w:r>
        <w:t xml:space="preserve"> IEU-Ohio Ex. 4; see</w:t>
      </w:r>
      <w:r>
        <w:rPr>
          <w:i/>
        </w:rPr>
        <w:t xml:space="preserve"> also</w:t>
      </w:r>
      <w:r>
        <w:t xml:space="preserve"> IEU-Ohio Ex. 8 at 14.</w:t>
      </w:r>
    </w:p>
    <w:p w:rsidR="00757DA0" w:rsidRDefault="00757DA0">
      <w:pPr>
        <w:pStyle w:val="FootnoteText"/>
        <w:jc w:val="both"/>
      </w:pPr>
    </w:p>
  </w:footnote>
  <w:footnote w:id="193">
    <w:p w:rsidR="00757DA0" w:rsidRDefault="00757DA0">
      <w:pPr>
        <w:pStyle w:val="FootnoteText"/>
      </w:pPr>
      <w:r>
        <w:rPr>
          <w:rStyle w:val="FootnoteReference"/>
        </w:rPr>
        <w:footnoteRef/>
      </w:r>
      <w:r>
        <w:t xml:space="preserve"> IEU-Ohio Ex. 8 at 14.</w:t>
      </w:r>
    </w:p>
    <w:p w:rsidR="00757DA0" w:rsidRDefault="00757DA0">
      <w:pPr>
        <w:pStyle w:val="FootnoteText"/>
      </w:pPr>
    </w:p>
  </w:footnote>
  <w:footnote w:id="194">
    <w:p w:rsidR="00757DA0" w:rsidRDefault="00757DA0">
      <w:pPr>
        <w:pStyle w:val="FootnoteText"/>
        <w:jc w:val="both"/>
      </w:pPr>
      <w:r>
        <w:rPr>
          <w:rStyle w:val="FootnoteReference"/>
        </w:rPr>
        <w:footnoteRef/>
      </w:r>
      <w:r>
        <w:t xml:space="preserve"> IEU-Ohio Ex. 4.</w:t>
      </w:r>
    </w:p>
    <w:p w:rsidR="00757DA0" w:rsidRDefault="00757DA0">
      <w:pPr>
        <w:pStyle w:val="FootnoteText"/>
        <w:jc w:val="both"/>
      </w:pPr>
    </w:p>
  </w:footnote>
  <w:footnote w:id="195">
    <w:p w:rsidR="00757DA0" w:rsidRDefault="00757DA0">
      <w:pPr>
        <w:pStyle w:val="FootnoteText"/>
        <w:jc w:val="both"/>
      </w:pPr>
      <w:r>
        <w:rPr>
          <w:rStyle w:val="FootnoteReference"/>
        </w:rPr>
        <w:footnoteRef/>
      </w:r>
      <w:r>
        <w:t xml:space="preserve"> IEU-Ohio Ex. 8 at 14; IEU-Ohio Ex. 4.</w:t>
      </w:r>
    </w:p>
    <w:p w:rsidR="00757DA0" w:rsidRDefault="00757DA0">
      <w:pPr>
        <w:pStyle w:val="FootnoteText"/>
        <w:jc w:val="both"/>
      </w:pPr>
    </w:p>
  </w:footnote>
  <w:footnote w:id="196">
    <w:p w:rsidR="00757DA0" w:rsidRDefault="00757DA0">
      <w:pPr>
        <w:pStyle w:val="FootnoteText"/>
        <w:jc w:val="both"/>
        <w:rPr>
          <w:i/>
        </w:rPr>
      </w:pPr>
      <w:r>
        <w:rPr>
          <w:rStyle w:val="FootnoteReference"/>
        </w:rPr>
        <w:footnoteRef/>
      </w:r>
      <w:r>
        <w:rPr>
          <w:i/>
        </w:rPr>
        <w:t>Id.</w:t>
      </w:r>
    </w:p>
    <w:p w:rsidR="00757DA0" w:rsidRDefault="00757DA0">
      <w:pPr>
        <w:pStyle w:val="FootnoteText"/>
        <w:jc w:val="both"/>
        <w:rPr>
          <w:i/>
        </w:rPr>
      </w:pPr>
    </w:p>
  </w:footnote>
  <w:footnote w:id="197">
    <w:p w:rsidR="00757DA0" w:rsidRDefault="00757DA0">
      <w:pPr>
        <w:pStyle w:val="FootnoteText"/>
        <w:jc w:val="both"/>
      </w:pPr>
      <w:r>
        <w:rPr>
          <w:rStyle w:val="FootnoteReference"/>
        </w:rPr>
        <w:footnoteRef/>
      </w:r>
      <w:r>
        <w:t xml:space="preserve"> Tr. Vol. VIII at 1481 (Direct examination of Joseph Bowser); </w:t>
      </w:r>
      <w:r>
        <w:rPr>
          <w:i/>
        </w:rPr>
        <w:t xml:space="preserve">see also </w:t>
      </w:r>
      <w:r>
        <w:t>IEU-Ohio Ex. 8 at 15.</w:t>
      </w:r>
    </w:p>
    <w:p w:rsidR="00757DA0" w:rsidRDefault="00757DA0">
      <w:pPr>
        <w:pStyle w:val="FootnoteText"/>
        <w:jc w:val="both"/>
      </w:pPr>
    </w:p>
  </w:footnote>
  <w:footnote w:id="198">
    <w:p w:rsidR="00757DA0" w:rsidRDefault="00757DA0">
      <w:pPr>
        <w:pStyle w:val="FootnoteText"/>
      </w:pPr>
      <w:r>
        <w:rPr>
          <w:rStyle w:val="FootnoteReference"/>
        </w:rPr>
        <w:footnoteRef/>
      </w:r>
      <w:r>
        <w:t xml:space="preserve"> Stipulation at 25.</w:t>
      </w:r>
    </w:p>
    <w:p w:rsidR="00757DA0" w:rsidRDefault="00757DA0">
      <w:pPr>
        <w:pStyle w:val="FootnoteText"/>
      </w:pPr>
    </w:p>
  </w:footnote>
  <w:footnote w:id="199">
    <w:p w:rsidR="00757DA0" w:rsidRDefault="00757DA0" w:rsidP="002831DC">
      <w:pPr>
        <w:pStyle w:val="FootnoteText"/>
      </w:pPr>
      <w:r>
        <w:rPr>
          <w:rStyle w:val="FootnoteReference"/>
        </w:rPr>
        <w:footnoteRef/>
      </w:r>
      <w:r>
        <w:t xml:space="preserve"> </w:t>
      </w:r>
      <w:r w:rsidRPr="00590648">
        <w:rPr>
          <w:i/>
        </w:rPr>
        <w:t>Id</w:t>
      </w:r>
      <w:r>
        <w:t>. at 17-18.</w:t>
      </w:r>
    </w:p>
    <w:p w:rsidR="00757DA0" w:rsidRDefault="00757DA0" w:rsidP="002831DC">
      <w:pPr>
        <w:pStyle w:val="FootnoteText"/>
      </w:pPr>
    </w:p>
  </w:footnote>
  <w:footnote w:id="200">
    <w:p w:rsidR="00757DA0" w:rsidRDefault="00757DA0">
      <w:pPr>
        <w:pStyle w:val="FootnoteText"/>
        <w:jc w:val="both"/>
      </w:pPr>
      <w:r>
        <w:rPr>
          <w:rStyle w:val="FootnoteReference"/>
        </w:rPr>
        <w:footnoteRef/>
      </w:r>
      <w:r>
        <w:t xml:space="preserve"> IEU-Ohio Ex. 8 at 17.</w:t>
      </w:r>
    </w:p>
    <w:p w:rsidR="00D622E1" w:rsidRDefault="00D622E1">
      <w:pPr>
        <w:pStyle w:val="FootnoteText"/>
        <w:jc w:val="both"/>
      </w:pPr>
    </w:p>
  </w:footnote>
  <w:footnote w:id="201">
    <w:p w:rsidR="00757DA0" w:rsidRDefault="00757DA0">
      <w:pPr>
        <w:pStyle w:val="FootnoteText"/>
      </w:pPr>
      <w:r>
        <w:rPr>
          <w:rStyle w:val="FootnoteReference"/>
        </w:rPr>
        <w:footnoteRef/>
      </w:r>
      <w:r>
        <w:t xml:space="preserve"> Stipulation at 7.</w:t>
      </w:r>
    </w:p>
    <w:p w:rsidR="00757DA0" w:rsidRDefault="00757DA0">
      <w:pPr>
        <w:pStyle w:val="FootnoteText"/>
      </w:pPr>
    </w:p>
  </w:footnote>
  <w:footnote w:id="202">
    <w:p w:rsidR="00757DA0" w:rsidRDefault="00757DA0">
      <w:pPr>
        <w:pStyle w:val="FootnoteText"/>
      </w:pPr>
      <w:r>
        <w:rPr>
          <w:rStyle w:val="FootnoteReference"/>
        </w:rPr>
        <w:footnoteRef/>
      </w:r>
      <w:r>
        <w:t xml:space="preserve"> Stipulation at 20.</w:t>
      </w:r>
    </w:p>
    <w:p w:rsidR="00757DA0" w:rsidRDefault="00757DA0">
      <w:pPr>
        <w:pStyle w:val="FootnoteText"/>
      </w:pPr>
    </w:p>
  </w:footnote>
  <w:footnote w:id="203">
    <w:p w:rsidR="00757DA0" w:rsidRDefault="00757DA0">
      <w:pPr>
        <w:pStyle w:val="FootnoteText"/>
      </w:pPr>
      <w:r>
        <w:rPr>
          <w:rStyle w:val="FootnoteReference"/>
        </w:rPr>
        <w:footnoteRef/>
      </w:r>
      <w:r>
        <w:t xml:space="preserve"> Rule 4901:1-35-09(C), OAC.</w:t>
      </w:r>
    </w:p>
    <w:p w:rsidR="00757DA0" w:rsidRDefault="00757DA0">
      <w:pPr>
        <w:pStyle w:val="FootnoteText"/>
      </w:pPr>
    </w:p>
  </w:footnote>
  <w:footnote w:id="204">
    <w:p w:rsidR="00757DA0" w:rsidRDefault="00757DA0">
      <w:pPr>
        <w:pStyle w:val="FootnoteText"/>
      </w:pPr>
      <w:r>
        <w:rPr>
          <w:rStyle w:val="FootnoteReference"/>
        </w:rPr>
        <w:footnoteRef/>
      </w:r>
      <w:r>
        <w:t xml:space="preserve"> Tr. Vol. III at 283; Tr. Vol. I at 46.</w:t>
      </w:r>
    </w:p>
    <w:p w:rsidR="00757DA0" w:rsidRDefault="00757DA0">
      <w:pPr>
        <w:pStyle w:val="FootnoteText"/>
      </w:pPr>
    </w:p>
  </w:footnote>
  <w:footnote w:id="205">
    <w:p w:rsidR="00757DA0" w:rsidRDefault="00757DA0">
      <w:pPr>
        <w:pStyle w:val="FootnoteText"/>
        <w:jc w:val="both"/>
      </w:pPr>
      <w:r>
        <w:rPr>
          <w:rStyle w:val="FootnoteReference"/>
        </w:rPr>
        <w:footnoteRef/>
      </w:r>
      <w:r>
        <w:t xml:space="preserve"> Stipulation at 11.</w:t>
      </w:r>
    </w:p>
    <w:p w:rsidR="00757DA0" w:rsidRDefault="00757DA0">
      <w:pPr>
        <w:pStyle w:val="FootnoteText"/>
        <w:jc w:val="both"/>
      </w:pPr>
    </w:p>
  </w:footnote>
  <w:footnote w:id="206">
    <w:p w:rsidR="00757DA0" w:rsidRDefault="00757DA0">
      <w:pPr>
        <w:pStyle w:val="FootnoteText"/>
        <w:jc w:val="both"/>
      </w:pPr>
      <w:r>
        <w:rPr>
          <w:rStyle w:val="FootnoteReference"/>
        </w:rPr>
        <w:footnoteRef/>
      </w:r>
      <w:r>
        <w:t xml:space="preserve"> </w:t>
      </w:r>
      <w:r>
        <w:rPr>
          <w:i/>
        </w:rPr>
        <w:t>In the Matter of the Application of Ohio Power Company for Approval of An Amendment to Its Corporate Separation Plan</w:t>
      </w:r>
      <w:r>
        <w:t>, Case No. 11-5333-EL-UNC, Application  (Sept. 30, 2011).</w:t>
      </w:r>
    </w:p>
    <w:p w:rsidR="00757DA0" w:rsidRDefault="00757DA0">
      <w:pPr>
        <w:pStyle w:val="FootnoteText"/>
        <w:jc w:val="both"/>
      </w:pPr>
    </w:p>
  </w:footnote>
  <w:footnote w:id="207">
    <w:p w:rsidR="00757DA0" w:rsidRDefault="00757DA0">
      <w:pPr>
        <w:pStyle w:val="FootnoteText"/>
        <w:jc w:val="both"/>
      </w:pPr>
      <w:r>
        <w:rPr>
          <w:rStyle w:val="FootnoteReference"/>
        </w:rPr>
        <w:footnoteRef/>
      </w:r>
      <w:r>
        <w:t xml:space="preserve"> Tr. Vol. V at 640.</w:t>
      </w:r>
    </w:p>
    <w:p w:rsidR="00757DA0" w:rsidRDefault="00757DA0">
      <w:pPr>
        <w:pStyle w:val="FootnoteText"/>
        <w:jc w:val="both"/>
      </w:pPr>
    </w:p>
  </w:footnote>
  <w:footnote w:id="208">
    <w:p w:rsidR="00757DA0" w:rsidRDefault="00757DA0" w:rsidP="00C678A1">
      <w:pPr>
        <w:pStyle w:val="FootnoteText"/>
        <w:jc w:val="both"/>
      </w:pPr>
      <w:r>
        <w:rPr>
          <w:rStyle w:val="FootnoteReference"/>
        </w:rPr>
        <w:footnoteRef/>
      </w:r>
      <w:r>
        <w:t xml:space="preserve"> Ch. 4901:1-37, OAC.</w:t>
      </w:r>
    </w:p>
    <w:p w:rsidR="00757DA0" w:rsidRDefault="00757DA0">
      <w:pPr>
        <w:pStyle w:val="FootnoteText"/>
        <w:jc w:val="both"/>
      </w:pPr>
    </w:p>
  </w:footnote>
  <w:footnote w:id="209">
    <w:p w:rsidR="00757DA0" w:rsidRDefault="00757DA0" w:rsidP="009A3689">
      <w:pPr>
        <w:pStyle w:val="FootnoteText"/>
        <w:jc w:val="both"/>
      </w:pPr>
      <w:r>
        <w:rPr>
          <w:rStyle w:val="FootnoteReference"/>
        </w:rPr>
        <w:footnoteRef/>
      </w:r>
      <w:r>
        <w:t xml:space="preserve"> Rule 4901:1-37-09, OAC.</w:t>
      </w:r>
    </w:p>
    <w:p w:rsidR="00757DA0" w:rsidRDefault="00757DA0" w:rsidP="009A3689">
      <w:pPr>
        <w:pStyle w:val="FootnoteText"/>
        <w:jc w:val="both"/>
      </w:pPr>
    </w:p>
  </w:footnote>
  <w:footnote w:id="210">
    <w:p w:rsidR="00757DA0" w:rsidRDefault="00757DA0">
      <w:pPr>
        <w:pStyle w:val="FootnoteText"/>
        <w:jc w:val="both"/>
      </w:pPr>
      <w:r>
        <w:rPr>
          <w:rStyle w:val="FootnoteReference"/>
        </w:rPr>
        <w:footnoteRef/>
      </w:r>
      <w:r>
        <w:t xml:space="preserve"> Section 4928.17(B), Revised Code.</w:t>
      </w:r>
    </w:p>
    <w:p w:rsidR="00757DA0" w:rsidRDefault="00757DA0">
      <w:pPr>
        <w:pStyle w:val="FootnoteText"/>
        <w:jc w:val="both"/>
      </w:pPr>
    </w:p>
  </w:footnote>
  <w:footnote w:id="211">
    <w:p w:rsidR="00757DA0" w:rsidRDefault="00757DA0">
      <w:pPr>
        <w:pStyle w:val="FootnoteText"/>
        <w:jc w:val="both"/>
        <w:rPr>
          <w:i/>
        </w:rPr>
      </w:pPr>
      <w:r>
        <w:rPr>
          <w:rStyle w:val="FootnoteReference"/>
        </w:rPr>
        <w:footnoteRef/>
      </w:r>
      <w:r>
        <w:t xml:space="preserve"> </w:t>
      </w:r>
      <w:r>
        <w:rPr>
          <w:i/>
        </w:rPr>
        <w:t>Id.</w:t>
      </w:r>
    </w:p>
    <w:p w:rsidR="00757DA0" w:rsidRDefault="00757DA0">
      <w:pPr>
        <w:pStyle w:val="FootnoteText"/>
        <w:jc w:val="both"/>
      </w:pPr>
    </w:p>
  </w:footnote>
  <w:footnote w:id="212">
    <w:p w:rsidR="00757DA0" w:rsidRDefault="00757DA0" w:rsidP="00F46574">
      <w:pPr>
        <w:pStyle w:val="FootnoteText"/>
      </w:pPr>
      <w:r>
        <w:rPr>
          <w:rStyle w:val="FootnoteReference"/>
        </w:rPr>
        <w:footnoteRef/>
      </w:r>
      <w:r>
        <w:t xml:space="preserve"> Rule 4901:1-37-09(D), OAC.</w:t>
      </w:r>
    </w:p>
    <w:p w:rsidR="00757DA0" w:rsidRDefault="00757DA0" w:rsidP="00F46574">
      <w:pPr>
        <w:pStyle w:val="FootnoteText"/>
      </w:pPr>
    </w:p>
  </w:footnote>
  <w:footnote w:id="213">
    <w:p w:rsidR="00757DA0" w:rsidRDefault="00757DA0" w:rsidP="00095FD5">
      <w:pPr>
        <w:pStyle w:val="FootnoteText"/>
      </w:pPr>
      <w:r>
        <w:rPr>
          <w:rStyle w:val="FootnoteReference"/>
        </w:rPr>
        <w:footnoteRef/>
      </w:r>
      <w:r>
        <w:t xml:space="preserve"> IEU-Ohio Ex. 9A at 5.</w:t>
      </w:r>
    </w:p>
    <w:p w:rsidR="00757DA0" w:rsidRDefault="00757DA0" w:rsidP="00095FD5">
      <w:pPr>
        <w:pStyle w:val="FootnoteText"/>
      </w:pPr>
    </w:p>
  </w:footnote>
  <w:footnote w:id="214">
    <w:p w:rsidR="00757DA0" w:rsidRDefault="00757DA0" w:rsidP="00095FD5">
      <w:pPr>
        <w:pStyle w:val="FootnoteText"/>
      </w:pPr>
      <w:r>
        <w:rPr>
          <w:rStyle w:val="FootnoteReference"/>
        </w:rPr>
        <w:footnoteRef/>
      </w:r>
      <w:r>
        <w:t xml:space="preserve"> </w:t>
      </w:r>
      <w:r>
        <w:rPr>
          <w:i/>
        </w:rPr>
        <w:t>Id</w:t>
      </w:r>
      <w:r>
        <w:t>.</w:t>
      </w:r>
    </w:p>
    <w:p w:rsidR="00757DA0" w:rsidRDefault="00757DA0" w:rsidP="00095FD5">
      <w:pPr>
        <w:pStyle w:val="FootnoteText"/>
      </w:pPr>
    </w:p>
  </w:footnote>
  <w:footnote w:id="215">
    <w:p w:rsidR="00757DA0" w:rsidRDefault="00757DA0" w:rsidP="00095FD5">
      <w:pPr>
        <w:pStyle w:val="FootnoteText"/>
        <w:jc w:val="both"/>
      </w:pPr>
      <w:r>
        <w:rPr>
          <w:rStyle w:val="FootnoteReference"/>
        </w:rPr>
        <w:footnoteRef/>
      </w:r>
      <w:r>
        <w:t xml:space="preserve"> </w:t>
      </w:r>
      <w:r>
        <w:rPr>
          <w:i/>
        </w:rPr>
        <w:t xml:space="preserve">Id. </w:t>
      </w:r>
      <w:r>
        <w:t>at 6.</w:t>
      </w:r>
    </w:p>
    <w:p w:rsidR="00757DA0" w:rsidRDefault="00757DA0" w:rsidP="00095FD5">
      <w:pPr>
        <w:pStyle w:val="FootnoteText"/>
        <w:jc w:val="both"/>
      </w:pPr>
    </w:p>
  </w:footnote>
  <w:footnote w:id="216">
    <w:p w:rsidR="00757DA0" w:rsidRDefault="00757DA0" w:rsidP="00095FD5">
      <w:pPr>
        <w:pStyle w:val="FootnoteText"/>
        <w:jc w:val="both"/>
      </w:pPr>
      <w:r>
        <w:rPr>
          <w:rStyle w:val="FootnoteReference"/>
        </w:rPr>
        <w:footnoteRef/>
      </w:r>
      <w:r>
        <w:t xml:space="preserve"> </w:t>
      </w:r>
      <w:r w:rsidRPr="00083788">
        <w:t>Tr. Vol. III at 224</w:t>
      </w:r>
      <w:r>
        <w:t xml:space="preserve">.  OEG witness Baron also admitted that he previously testified that the proportion of the legacy ESP included in an MRO would be different than the proportion used by Companies’ witness Thomas in her ESP versus MRO test. </w:t>
      </w:r>
      <w:r>
        <w:rPr>
          <w:i/>
        </w:rPr>
        <w:t xml:space="preserve"> </w:t>
      </w:r>
      <w:r>
        <w:t>IEU-Ohio Ex. 2; Tr. Vol. III at 253 (Cross-examination of Stephen Baron).  During cross-examination, Peggy Claytor admitted she did not perform a quantitative analysis to determine that the ESP is more favorable than an MRO.  Tr. Vol. V at 642 (Cross-examination of Peggy Claytor).</w:t>
      </w:r>
    </w:p>
    <w:p w:rsidR="00757DA0" w:rsidRDefault="00757DA0" w:rsidP="00095FD5">
      <w:pPr>
        <w:pStyle w:val="FootnoteText"/>
        <w:jc w:val="both"/>
      </w:pPr>
    </w:p>
  </w:footnote>
  <w:footnote w:id="217">
    <w:p w:rsidR="00757DA0" w:rsidRDefault="00757DA0" w:rsidP="00095FD5">
      <w:pPr>
        <w:pStyle w:val="FootnoteText"/>
        <w:jc w:val="both"/>
      </w:pPr>
      <w:r>
        <w:rPr>
          <w:rStyle w:val="FootnoteReference"/>
        </w:rPr>
        <w:footnoteRef/>
      </w:r>
      <w:r>
        <w:t xml:space="preserve"> IEU-Ohio Ex. 9A at 6-7.</w:t>
      </w:r>
    </w:p>
    <w:p w:rsidR="00757DA0" w:rsidRDefault="00757DA0" w:rsidP="00095FD5">
      <w:pPr>
        <w:pStyle w:val="FootnoteText"/>
        <w:jc w:val="both"/>
      </w:pPr>
    </w:p>
  </w:footnote>
  <w:footnote w:id="218">
    <w:p w:rsidR="00757DA0" w:rsidRDefault="00757DA0" w:rsidP="00095FD5">
      <w:pPr>
        <w:pStyle w:val="FootnoteText"/>
      </w:pPr>
      <w:r>
        <w:rPr>
          <w:rStyle w:val="FootnoteReference"/>
        </w:rPr>
        <w:footnoteRef/>
      </w:r>
      <w:r>
        <w:t xml:space="preserve"> </w:t>
      </w:r>
      <w:r>
        <w:rPr>
          <w:i/>
        </w:rPr>
        <w:t>Id</w:t>
      </w:r>
      <w:r>
        <w:t>. at 5-6.</w:t>
      </w:r>
    </w:p>
    <w:p w:rsidR="00757DA0" w:rsidRDefault="00757DA0" w:rsidP="00095FD5">
      <w:pPr>
        <w:pStyle w:val="FootnoteText"/>
      </w:pPr>
    </w:p>
  </w:footnote>
  <w:footnote w:id="219">
    <w:p w:rsidR="00757DA0" w:rsidRDefault="00757DA0" w:rsidP="00095FD5">
      <w:pPr>
        <w:pStyle w:val="FootnoteText"/>
        <w:jc w:val="both"/>
      </w:pPr>
      <w:r>
        <w:rPr>
          <w:rStyle w:val="FootnoteReference"/>
        </w:rPr>
        <w:footnoteRef/>
      </w:r>
      <w:r>
        <w:t xml:space="preserve"> FES Ex. 17(b). </w:t>
      </w:r>
    </w:p>
    <w:p w:rsidR="00757DA0" w:rsidRDefault="00757DA0" w:rsidP="00095FD5">
      <w:pPr>
        <w:pStyle w:val="FootnoteText"/>
        <w:jc w:val="both"/>
      </w:pPr>
    </w:p>
  </w:footnote>
  <w:footnote w:id="220">
    <w:p w:rsidR="00757DA0" w:rsidRDefault="00757DA0" w:rsidP="00D074E7">
      <w:pPr>
        <w:pStyle w:val="FootnoteText"/>
        <w:jc w:val="both"/>
      </w:pPr>
      <w:r>
        <w:rPr>
          <w:rStyle w:val="FootnoteReference"/>
        </w:rPr>
        <w:footnoteRef/>
      </w:r>
      <w:r>
        <w:t xml:space="preserve"> IEU-Ohio Ex. 9A at 7.</w:t>
      </w:r>
    </w:p>
    <w:p w:rsidR="00757DA0" w:rsidRDefault="00757DA0" w:rsidP="00D074E7">
      <w:pPr>
        <w:pStyle w:val="FootnoteText"/>
        <w:jc w:val="both"/>
      </w:pPr>
    </w:p>
  </w:footnote>
  <w:footnote w:id="221">
    <w:p w:rsidR="00757DA0" w:rsidRDefault="00757DA0" w:rsidP="00D074E7">
      <w:pPr>
        <w:pStyle w:val="FootnoteText"/>
        <w:jc w:val="both"/>
      </w:pPr>
      <w:r>
        <w:rPr>
          <w:rStyle w:val="FootnoteReference"/>
        </w:rPr>
        <w:footnoteRef/>
      </w:r>
      <w:r>
        <w:t xml:space="preserve"> </w:t>
      </w:r>
      <w:r>
        <w:rPr>
          <w:i/>
        </w:rPr>
        <w:t xml:space="preserve">Id. </w:t>
      </w:r>
      <w:r>
        <w:t>at 8.</w:t>
      </w:r>
    </w:p>
    <w:p w:rsidR="00757DA0" w:rsidRDefault="00757DA0" w:rsidP="00D074E7">
      <w:pPr>
        <w:pStyle w:val="FootnoteText"/>
        <w:jc w:val="both"/>
      </w:pPr>
    </w:p>
  </w:footnote>
  <w:footnote w:id="222">
    <w:p w:rsidR="00757DA0" w:rsidRDefault="00757DA0" w:rsidP="00D074E7">
      <w:pPr>
        <w:pStyle w:val="FootnoteText"/>
        <w:jc w:val="both"/>
      </w:pPr>
      <w:r>
        <w:rPr>
          <w:rStyle w:val="FootnoteReference"/>
        </w:rPr>
        <w:footnoteRef/>
      </w:r>
      <w:r>
        <w:t xml:space="preserve"> Tr. Vol. IV at 554 (Cross-examination of Teresa Ringenbach).</w:t>
      </w:r>
    </w:p>
    <w:p w:rsidR="00757DA0" w:rsidRDefault="00757DA0" w:rsidP="00D074E7">
      <w:pPr>
        <w:pStyle w:val="FootnoteText"/>
        <w:jc w:val="both"/>
      </w:pPr>
    </w:p>
  </w:footnote>
  <w:footnote w:id="223">
    <w:p w:rsidR="00757DA0" w:rsidRDefault="00757DA0" w:rsidP="00D074E7">
      <w:pPr>
        <w:pStyle w:val="FootnoteText"/>
        <w:jc w:val="both"/>
      </w:pPr>
      <w:r>
        <w:rPr>
          <w:rStyle w:val="FootnoteReference"/>
        </w:rPr>
        <w:footnoteRef/>
      </w:r>
      <w:r>
        <w:t xml:space="preserve"> Tr. Vol. V at 708 (Cross-examination of Philip Nelson).</w:t>
      </w:r>
    </w:p>
    <w:p w:rsidR="00757DA0" w:rsidRDefault="00757DA0" w:rsidP="00D074E7">
      <w:pPr>
        <w:pStyle w:val="FootnoteText"/>
        <w:jc w:val="both"/>
      </w:pPr>
    </w:p>
  </w:footnote>
  <w:footnote w:id="224">
    <w:p w:rsidR="00757DA0" w:rsidRDefault="00757DA0" w:rsidP="00D074E7">
      <w:pPr>
        <w:pStyle w:val="FootnoteText"/>
        <w:jc w:val="both"/>
      </w:pPr>
      <w:r>
        <w:rPr>
          <w:rStyle w:val="FootnoteReference"/>
        </w:rPr>
        <w:footnoteRef/>
      </w:r>
      <w:r>
        <w:t xml:space="preserve"> Tr. Vol. IV at 492-494 (Cross-examination of Phil Honsey).  AICUO witness Todd Jones also admitted that he did not know anything about the </w:t>
      </w:r>
      <w:r>
        <w:rPr>
          <w:rFonts w:eastAsia="Calibri"/>
        </w:rPr>
        <w:t>Pool Modification or Termination Rider</w:t>
      </w:r>
      <w:r>
        <w:t>.  Tr. Vol. IX at 1639.</w:t>
      </w:r>
    </w:p>
    <w:p w:rsidR="00757DA0" w:rsidRDefault="00757DA0" w:rsidP="00D074E7">
      <w:pPr>
        <w:pStyle w:val="FootnoteText"/>
        <w:jc w:val="both"/>
      </w:pPr>
    </w:p>
  </w:footnote>
  <w:footnote w:id="225">
    <w:p w:rsidR="00757DA0" w:rsidRDefault="00757DA0" w:rsidP="00D074E7">
      <w:pPr>
        <w:pStyle w:val="FootnoteText"/>
        <w:jc w:val="both"/>
      </w:pPr>
      <w:r>
        <w:rPr>
          <w:rStyle w:val="FootnoteReference"/>
        </w:rPr>
        <w:footnoteRef/>
      </w:r>
      <w:r>
        <w:t xml:space="preserve"> Tr. Vol. III at 244 (Cross-examination of Stephen Baron). </w:t>
      </w:r>
    </w:p>
    <w:p w:rsidR="00757DA0" w:rsidRDefault="00757DA0" w:rsidP="00D074E7">
      <w:pPr>
        <w:pStyle w:val="FootnoteText"/>
        <w:jc w:val="both"/>
      </w:pPr>
    </w:p>
  </w:footnote>
  <w:footnote w:id="226">
    <w:p w:rsidR="00757DA0" w:rsidRDefault="00757DA0" w:rsidP="00D074E7">
      <w:pPr>
        <w:pStyle w:val="FootnoteText"/>
        <w:jc w:val="both"/>
      </w:pPr>
      <w:r>
        <w:rPr>
          <w:rStyle w:val="FootnoteReference"/>
        </w:rPr>
        <w:footnoteRef/>
      </w:r>
      <w:r>
        <w:t xml:space="preserve"> Grove City </w:t>
      </w:r>
      <w:r w:rsidR="00C31FA1">
        <w:t>w</w:t>
      </w:r>
      <w:r>
        <w:t>itness Honsey admitted that he never reviewed Appendix C and that he does not know what RPM means. Tr. Vol. IV at 493-494 (Cross-examination of Phil Honsey).</w:t>
      </w:r>
    </w:p>
    <w:p w:rsidR="00757DA0" w:rsidRDefault="00757DA0" w:rsidP="00D074E7">
      <w:pPr>
        <w:pStyle w:val="FootnoteText"/>
        <w:jc w:val="both"/>
      </w:pPr>
    </w:p>
  </w:footnote>
  <w:footnote w:id="227">
    <w:p w:rsidR="00757DA0" w:rsidRDefault="00757DA0" w:rsidP="00D074E7">
      <w:pPr>
        <w:pStyle w:val="FootnoteText"/>
        <w:jc w:val="both"/>
      </w:pPr>
      <w:r>
        <w:rPr>
          <w:rStyle w:val="FootnoteReference"/>
        </w:rPr>
        <w:footnoteRef/>
      </w:r>
      <w:r>
        <w:t xml:space="preserve"> IEU-Ohio Ex. 14.</w:t>
      </w:r>
    </w:p>
    <w:p w:rsidR="00757DA0" w:rsidRDefault="00757DA0" w:rsidP="00D074E7">
      <w:pPr>
        <w:pStyle w:val="FootnoteText"/>
        <w:jc w:val="both"/>
      </w:pPr>
    </w:p>
  </w:footnote>
  <w:footnote w:id="228">
    <w:p w:rsidR="00757DA0" w:rsidRDefault="00757DA0" w:rsidP="00D074E7">
      <w:pPr>
        <w:pStyle w:val="FootnoteText"/>
        <w:jc w:val="both"/>
      </w:pPr>
      <w:r>
        <w:rPr>
          <w:rStyle w:val="FootnoteReference"/>
        </w:rPr>
        <w:footnoteRef/>
      </w:r>
      <w:r>
        <w:t xml:space="preserve"> </w:t>
      </w:r>
      <w:r>
        <w:rPr>
          <w:i/>
        </w:rPr>
        <w:t>Id</w:t>
      </w:r>
      <w:r>
        <w:t>. at 3; FES Ex. 1 at 9 and 57-59.  The exclusion of parties from negotiations raises a concern that the settlement process was tainted and unreasonable.  See</w:t>
      </w:r>
      <w:r w:rsidRPr="00B41013">
        <w:rPr>
          <w:rFonts w:eastAsia="Calibri"/>
          <w:i/>
        </w:rPr>
        <w:t xml:space="preserve"> </w:t>
      </w:r>
      <w:r>
        <w:rPr>
          <w:rFonts w:eastAsia="Calibri"/>
          <w:i/>
        </w:rPr>
        <w:t>Time Warner AxS v. Pub. Util. Comm</w:t>
      </w:r>
      <w:r>
        <w:rPr>
          <w:rFonts w:eastAsia="Calibri"/>
        </w:rPr>
        <w:t>., 75 Ohio St.3d 229, 233 (1996).</w:t>
      </w:r>
    </w:p>
    <w:p w:rsidR="00757DA0" w:rsidRDefault="00757DA0" w:rsidP="00D074E7">
      <w:pPr>
        <w:pStyle w:val="FootnoteText"/>
        <w:jc w:val="both"/>
      </w:pPr>
    </w:p>
  </w:footnote>
  <w:footnote w:id="229">
    <w:p w:rsidR="00757DA0" w:rsidRDefault="00757DA0" w:rsidP="00D074E7">
      <w:pPr>
        <w:pStyle w:val="FootnoteText"/>
        <w:jc w:val="both"/>
      </w:pPr>
      <w:r>
        <w:rPr>
          <w:rStyle w:val="FootnoteReference"/>
        </w:rPr>
        <w:footnoteRef/>
      </w:r>
      <w:r>
        <w:t xml:space="preserve"> </w:t>
      </w:r>
      <w:r>
        <w:rPr>
          <w:i/>
        </w:rPr>
        <w:t xml:space="preserve">Id. </w:t>
      </w:r>
      <w:r w:rsidRPr="00D074E7">
        <w:t>at 8</w:t>
      </w:r>
      <w:r>
        <w:rPr>
          <w:i/>
        </w:rPr>
        <w:t>.</w:t>
      </w:r>
    </w:p>
  </w:footnote>
  <w:footnote w:id="230">
    <w:p w:rsidR="00757DA0" w:rsidRDefault="00757DA0">
      <w:pPr>
        <w:pStyle w:val="FootnoteText"/>
      </w:pPr>
      <w:r>
        <w:rPr>
          <w:rStyle w:val="FootnoteReference"/>
        </w:rPr>
        <w:footnoteRef/>
      </w:r>
      <w:r>
        <w:t xml:space="preserve"> </w:t>
      </w:r>
      <w:r>
        <w:rPr>
          <w:i/>
        </w:rPr>
        <w:t>Id</w:t>
      </w:r>
      <w:r>
        <w:t xml:space="preserve">. </w:t>
      </w:r>
    </w:p>
    <w:p w:rsidR="00757DA0" w:rsidRDefault="00757DA0">
      <w:pPr>
        <w:pStyle w:val="FootnoteText"/>
      </w:pPr>
    </w:p>
  </w:footnote>
  <w:footnote w:id="231">
    <w:p w:rsidR="00757DA0" w:rsidRDefault="00757DA0">
      <w:pPr>
        <w:pStyle w:val="FootnoteText"/>
      </w:pPr>
      <w:r>
        <w:rPr>
          <w:rStyle w:val="FootnoteReference"/>
        </w:rPr>
        <w:footnoteRef/>
      </w:r>
      <w:r>
        <w:t xml:space="preserve"> </w:t>
      </w:r>
      <w:r>
        <w:rPr>
          <w:i/>
        </w:rPr>
        <w:t>Id</w:t>
      </w:r>
      <w:r>
        <w:t>. at 56.</w:t>
      </w:r>
    </w:p>
  </w:footnote>
  <w:footnote w:id="232">
    <w:p w:rsidR="00757DA0" w:rsidRDefault="00757DA0" w:rsidP="00590648">
      <w:pPr>
        <w:pStyle w:val="FootnoteText"/>
        <w:jc w:val="both"/>
      </w:pPr>
      <w:r>
        <w:rPr>
          <w:rStyle w:val="FootnoteReference"/>
        </w:rPr>
        <w:footnoteRef/>
      </w:r>
      <w:r>
        <w:t xml:space="preserve"> </w:t>
      </w:r>
      <w:r>
        <w:rPr>
          <w:i/>
        </w:rPr>
        <w:t>Id</w:t>
      </w:r>
      <w:r>
        <w:t xml:space="preserve">. at 55.  The interruptible credit should be no less than the current level or be increased to the amount in the proposed ESP so as to encourage customer-sited demand response initiatives. </w:t>
      </w:r>
      <w:r w:rsidRPr="00590648">
        <w:rPr>
          <w:i/>
        </w:rPr>
        <w:t>Id</w:t>
      </w:r>
      <w:r>
        <w:t>.</w:t>
      </w:r>
    </w:p>
    <w:p w:rsidR="00757DA0" w:rsidRDefault="00757DA0">
      <w:pPr>
        <w:pStyle w:val="FootnoteText"/>
      </w:pPr>
    </w:p>
  </w:footnote>
  <w:footnote w:id="233">
    <w:p w:rsidR="00757DA0" w:rsidRDefault="00757DA0" w:rsidP="00B35BF4">
      <w:pPr>
        <w:pStyle w:val="FootnoteText"/>
        <w:spacing w:after="180"/>
      </w:pPr>
      <w:r>
        <w:rPr>
          <w:rStyle w:val="FootnoteReference"/>
        </w:rPr>
        <w:footnoteRef/>
      </w:r>
      <w:r>
        <w:t xml:space="preserve"> </w:t>
      </w:r>
      <w:r>
        <w:rPr>
          <w:i/>
        </w:rPr>
        <w:t>Id</w:t>
      </w:r>
      <w:r>
        <w:t>. at 56.</w:t>
      </w:r>
    </w:p>
  </w:footnote>
  <w:footnote w:id="234">
    <w:p w:rsidR="00757DA0" w:rsidRDefault="00757DA0">
      <w:pPr>
        <w:pStyle w:val="FootnoteText"/>
      </w:pPr>
      <w:r>
        <w:rPr>
          <w:rStyle w:val="FootnoteReference"/>
        </w:rPr>
        <w:footnoteRef/>
      </w:r>
      <w:r>
        <w:t xml:space="preserve"> </w:t>
      </w:r>
      <w:r>
        <w:rPr>
          <w:i/>
        </w:rPr>
        <w:t>Id</w:t>
      </w:r>
      <w:r>
        <w:t>.</w:t>
      </w:r>
      <w:r w:rsidR="00C31FA1">
        <w:t xml:space="preserve"> </w:t>
      </w:r>
      <w:r>
        <w:t>at 57.</w:t>
      </w:r>
    </w:p>
    <w:p w:rsidR="00757DA0" w:rsidRDefault="00757DA0">
      <w:pPr>
        <w:pStyle w:val="FootnoteText"/>
      </w:pPr>
    </w:p>
  </w:footnote>
  <w:footnote w:id="235">
    <w:p w:rsidR="00757DA0" w:rsidRDefault="00757DA0">
      <w:pPr>
        <w:pStyle w:val="FootnoteText"/>
      </w:pPr>
      <w:r>
        <w:rPr>
          <w:rStyle w:val="FootnoteReference"/>
        </w:rPr>
        <w:footnoteRef/>
      </w:r>
      <w:r>
        <w:t xml:space="preserve"> </w:t>
      </w:r>
      <w:r>
        <w:rPr>
          <w:i/>
        </w:rPr>
        <w:t>Id</w:t>
      </w:r>
      <w:r>
        <w:t>. at 56.</w:t>
      </w:r>
    </w:p>
    <w:p w:rsidR="00757DA0" w:rsidRDefault="00757DA0">
      <w:pPr>
        <w:pStyle w:val="FootnoteText"/>
      </w:pPr>
    </w:p>
  </w:footnote>
  <w:footnote w:id="236">
    <w:p w:rsidR="00757DA0" w:rsidRDefault="00757DA0">
      <w:pPr>
        <w:pStyle w:val="FootnoteText"/>
      </w:pPr>
      <w:r>
        <w:rPr>
          <w:rStyle w:val="FootnoteReference"/>
        </w:rPr>
        <w:footnoteRef/>
      </w:r>
      <w:r>
        <w:t xml:space="preserve"> </w:t>
      </w:r>
      <w:r>
        <w:rPr>
          <w:i/>
        </w:rPr>
        <w:t>Id</w:t>
      </w:r>
      <w:r>
        <w:t>. at 56-57.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EEA" w:rsidRDefault="00960EEA">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757DA0">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757DA0">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757DA0">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757DA0">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757DA0">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757DA0">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757D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EEA" w:rsidRDefault="00960E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EEA" w:rsidRDefault="00960EEA">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757DA0">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757DA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757DA0">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757DA0">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757DA0">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DA0" w:rsidRDefault="00757DA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67BF6"/>
    <w:multiLevelType w:val="hybridMultilevel"/>
    <w:tmpl w:val="2E62B648"/>
    <w:lvl w:ilvl="0" w:tplc="135022D8">
      <w:start w:val="17"/>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A651C"/>
    <w:multiLevelType w:val="hybridMultilevel"/>
    <w:tmpl w:val="22A691EC"/>
    <w:lvl w:ilvl="0" w:tplc="54C69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8635F4"/>
    <w:multiLevelType w:val="hybridMultilevel"/>
    <w:tmpl w:val="2976F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31527"/>
    <w:multiLevelType w:val="hybridMultilevel"/>
    <w:tmpl w:val="1798893C"/>
    <w:lvl w:ilvl="0" w:tplc="516ACB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9F04EA3"/>
    <w:multiLevelType w:val="hybridMultilevel"/>
    <w:tmpl w:val="9DD8EE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1A45B14"/>
    <w:multiLevelType w:val="hybridMultilevel"/>
    <w:tmpl w:val="6374CC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230F207E"/>
    <w:multiLevelType w:val="hybridMultilevel"/>
    <w:tmpl w:val="75EE9268"/>
    <w:lvl w:ilvl="0" w:tplc="9376B162">
      <w:start w:val="1"/>
      <w:numFmt w:val="upp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A6808"/>
    <w:multiLevelType w:val="hybridMultilevel"/>
    <w:tmpl w:val="A23EC240"/>
    <w:lvl w:ilvl="0" w:tplc="301C0D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FD08D5"/>
    <w:multiLevelType w:val="hybridMultilevel"/>
    <w:tmpl w:val="171E400C"/>
    <w:lvl w:ilvl="0" w:tplc="9376B162">
      <w:start w:val="1"/>
      <w:numFmt w:val="upperLetter"/>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1A32BA"/>
    <w:multiLevelType w:val="hybridMultilevel"/>
    <w:tmpl w:val="380A455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88E0D5B"/>
    <w:multiLevelType w:val="hybridMultilevel"/>
    <w:tmpl w:val="E6CA832C"/>
    <w:lvl w:ilvl="0" w:tplc="B1A807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8A40477"/>
    <w:multiLevelType w:val="hybridMultilevel"/>
    <w:tmpl w:val="F20C3B84"/>
    <w:lvl w:ilvl="0" w:tplc="A984C55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445123"/>
    <w:multiLevelType w:val="hybridMultilevel"/>
    <w:tmpl w:val="7F8CB2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46A01"/>
    <w:multiLevelType w:val="hybridMultilevel"/>
    <w:tmpl w:val="CEEA5D94"/>
    <w:lvl w:ilvl="0" w:tplc="C17087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F435829"/>
    <w:multiLevelType w:val="hybridMultilevel"/>
    <w:tmpl w:val="CADCF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F500C7"/>
    <w:multiLevelType w:val="hybridMultilevel"/>
    <w:tmpl w:val="1D26A4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D67198"/>
    <w:multiLevelType w:val="hybridMultilevel"/>
    <w:tmpl w:val="768A2BF6"/>
    <w:lvl w:ilvl="0" w:tplc="5E36D3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0"/>
  </w:num>
  <w:num w:numId="3">
    <w:abstractNumId w:val="15"/>
  </w:num>
  <w:num w:numId="4">
    <w:abstractNumId w:val="14"/>
  </w:num>
  <w:num w:numId="5">
    <w:abstractNumId w:val="7"/>
  </w:num>
  <w:num w:numId="6">
    <w:abstractNumId w:val="11"/>
  </w:num>
  <w:num w:numId="7">
    <w:abstractNumId w:val="12"/>
  </w:num>
  <w:num w:numId="8">
    <w:abstractNumId w:val="0"/>
  </w:num>
  <w:num w:numId="9">
    <w:abstractNumId w:val="1"/>
  </w:num>
  <w:num w:numId="10">
    <w:abstractNumId w:val="8"/>
  </w:num>
  <w:num w:numId="11">
    <w:abstractNumId w:val="9"/>
  </w:num>
  <w:num w:numId="12">
    <w:abstractNumId w:val="5"/>
  </w:num>
  <w:num w:numId="13">
    <w:abstractNumId w:val="6"/>
  </w:num>
  <w:num w:numId="14">
    <w:abstractNumId w:val="4"/>
  </w:num>
  <w:num w:numId="15">
    <w:abstractNumId w:val="16"/>
  </w:num>
  <w:num w:numId="16">
    <w:abstractNumId w:val="3"/>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removePersonalInformation/>
  <w:removeDateAndTime/>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FD64B7"/>
    <w:rsid w:val="00002E58"/>
    <w:rsid w:val="000038C5"/>
    <w:rsid w:val="000059E9"/>
    <w:rsid w:val="00006FB7"/>
    <w:rsid w:val="00011EA5"/>
    <w:rsid w:val="00015400"/>
    <w:rsid w:val="00016FCF"/>
    <w:rsid w:val="000801BE"/>
    <w:rsid w:val="00083788"/>
    <w:rsid w:val="00095FD5"/>
    <w:rsid w:val="00096946"/>
    <w:rsid w:val="000A38FF"/>
    <w:rsid w:val="000B58DC"/>
    <w:rsid w:val="000C3BBF"/>
    <w:rsid w:val="000C41B4"/>
    <w:rsid w:val="000C483D"/>
    <w:rsid w:val="000E61B9"/>
    <w:rsid w:val="00106130"/>
    <w:rsid w:val="001254AC"/>
    <w:rsid w:val="00141766"/>
    <w:rsid w:val="001630B2"/>
    <w:rsid w:val="00172D35"/>
    <w:rsid w:val="001816BD"/>
    <w:rsid w:val="00195CB6"/>
    <w:rsid w:val="001C494F"/>
    <w:rsid w:val="001D283C"/>
    <w:rsid w:val="001E07F3"/>
    <w:rsid w:val="001E214C"/>
    <w:rsid w:val="001E2392"/>
    <w:rsid w:val="0020461B"/>
    <w:rsid w:val="00207F2F"/>
    <w:rsid w:val="00211BF2"/>
    <w:rsid w:val="00215264"/>
    <w:rsid w:val="002831DC"/>
    <w:rsid w:val="002901C9"/>
    <w:rsid w:val="00294EF7"/>
    <w:rsid w:val="002B651D"/>
    <w:rsid w:val="002E0BD5"/>
    <w:rsid w:val="002E0D00"/>
    <w:rsid w:val="002E2525"/>
    <w:rsid w:val="00304482"/>
    <w:rsid w:val="0032151F"/>
    <w:rsid w:val="0034644C"/>
    <w:rsid w:val="00353732"/>
    <w:rsid w:val="003720CC"/>
    <w:rsid w:val="003760A6"/>
    <w:rsid w:val="00377CBE"/>
    <w:rsid w:val="00387869"/>
    <w:rsid w:val="003D1FFA"/>
    <w:rsid w:val="003D37DC"/>
    <w:rsid w:val="003F2A68"/>
    <w:rsid w:val="003F6329"/>
    <w:rsid w:val="004053D5"/>
    <w:rsid w:val="00413B82"/>
    <w:rsid w:val="0042387E"/>
    <w:rsid w:val="00427268"/>
    <w:rsid w:val="004300D4"/>
    <w:rsid w:val="00434D50"/>
    <w:rsid w:val="00453484"/>
    <w:rsid w:val="0048007A"/>
    <w:rsid w:val="00495C40"/>
    <w:rsid w:val="00496D15"/>
    <w:rsid w:val="004B0EB2"/>
    <w:rsid w:val="004F0BF8"/>
    <w:rsid w:val="004F515F"/>
    <w:rsid w:val="005038FF"/>
    <w:rsid w:val="005076B0"/>
    <w:rsid w:val="005154C0"/>
    <w:rsid w:val="00517790"/>
    <w:rsid w:val="00520291"/>
    <w:rsid w:val="00527EC7"/>
    <w:rsid w:val="005320DF"/>
    <w:rsid w:val="00546475"/>
    <w:rsid w:val="00547A0E"/>
    <w:rsid w:val="005813A6"/>
    <w:rsid w:val="00590648"/>
    <w:rsid w:val="005A7A82"/>
    <w:rsid w:val="005C4B6C"/>
    <w:rsid w:val="005D511B"/>
    <w:rsid w:val="005E7BAE"/>
    <w:rsid w:val="00601716"/>
    <w:rsid w:val="00610456"/>
    <w:rsid w:val="00632DEE"/>
    <w:rsid w:val="00636B51"/>
    <w:rsid w:val="00637691"/>
    <w:rsid w:val="006711A4"/>
    <w:rsid w:val="006A1A21"/>
    <w:rsid w:val="006A55AF"/>
    <w:rsid w:val="006D1C66"/>
    <w:rsid w:val="006D5D45"/>
    <w:rsid w:val="006E7813"/>
    <w:rsid w:val="006F6166"/>
    <w:rsid w:val="00705405"/>
    <w:rsid w:val="00717245"/>
    <w:rsid w:val="0074164D"/>
    <w:rsid w:val="00745E21"/>
    <w:rsid w:val="00747C29"/>
    <w:rsid w:val="00757DA0"/>
    <w:rsid w:val="00760194"/>
    <w:rsid w:val="007744BC"/>
    <w:rsid w:val="007804F5"/>
    <w:rsid w:val="00784872"/>
    <w:rsid w:val="0078588C"/>
    <w:rsid w:val="0079692C"/>
    <w:rsid w:val="007B4EBD"/>
    <w:rsid w:val="007C577C"/>
    <w:rsid w:val="007C65F2"/>
    <w:rsid w:val="007F6905"/>
    <w:rsid w:val="00844A65"/>
    <w:rsid w:val="00863FF3"/>
    <w:rsid w:val="00876801"/>
    <w:rsid w:val="008861F2"/>
    <w:rsid w:val="008943EE"/>
    <w:rsid w:val="008C7D26"/>
    <w:rsid w:val="008F0E7A"/>
    <w:rsid w:val="009021A3"/>
    <w:rsid w:val="009147A7"/>
    <w:rsid w:val="00920229"/>
    <w:rsid w:val="00921F42"/>
    <w:rsid w:val="00925019"/>
    <w:rsid w:val="009331EB"/>
    <w:rsid w:val="009475CB"/>
    <w:rsid w:val="00954267"/>
    <w:rsid w:val="00960EEA"/>
    <w:rsid w:val="00977A06"/>
    <w:rsid w:val="009875AC"/>
    <w:rsid w:val="00990BC3"/>
    <w:rsid w:val="009A3689"/>
    <w:rsid w:val="009B2E28"/>
    <w:rsid w:val="009C1D91"/>
    <w:rsid w:val="009C2B73"/>
    <w:rsid w:val="009F45C9"/>
    <w:rsid w:val="00A0628A"/>
    <w:rsid w:val="00A1577E"/>
    <w:rsid w:val="00A548D0"/>
    <w:rsid w:val="00A60C93"/>
    <w:rsid w:val="00A6203A"/>
    <w:rsid w:val="00A65AC2"/>
    <w:rsid w:val="00A74702"/>
    <w:rsid w:val="00A761EA"/>
    <w:rsid w:val="00A76A03"/>
    <w:rsid w:val="00A82A81"/>
    <w:rsid w:val="00A84E6A"/>
    <w:rsid w:val="00A94144"/>
    <w:rsid w:val="00AD3277"/>
    <w:rsid w:val="00AE0717"/>
    <w:rsid w:val="00AF75A3"/>
    <w:rsid w:val="00B273B3"/>
    <w:rsid w:val="00B35BF4"/>
    <w:rsid w:val="00B40E15"/>
    <w:rsid w:val="00B41013"/>
    <w:rsid w:val="00B47A26"/>
    <w:rsid w:val="00B51828"/>
    <w:rsid w:val="00B54E3F"/>
    <w:rsid w:val="00B634E4"/>
    <w:rsid w:val="00B67D87"/>
    <w:rsid w:val="00B72546"/>
    <w:rsid w:val="00BE5881"/>
    <w:rsid w:val="00C159DA"/>
    <w:rsid w:val="00C276F3"/>
    <w:rsid w:val="00C31FA1"/>
    <w:rsid w:val="00C32A5B"/>
    <w:rsid w:val="00C50D42"/>
    <w:rsid w:val="00C678A1"/>
    <w:rsid w:val="00CA0139"/>
    <w:rsid w:val="00CA3206"/>
    <w:rsid w:val="00CD709E"/>
    <w:rsid w:val="00CE47D9"/>
    <w:rsid w:val="00CF4416"/>
    <w:rsid w:val="00D074E7"/>
    <w:rsid w:val="00D07A5A"/>
    <w:rsid w:val="00D13735"/>
    <w:rsid w:val="00D14513"/>
    <w:rsid w:val="00D50E8D"/>
    <w:rsid w:val="00D5328D"/>
    <w:rsid w:val="00D622E1"/>
    <w:rsid w:val="00D7184A"/>
    <w:rsid w:val="00DA5487"/>
    <w:rsid w:val="00DB3583"/>
    <w:rsid w:val="00DC24AB"/>
    <w:rsid w:val="00DD1706"/>
    <w:rsid w:val="00DD5567"/>
    <w:rsid w:val="00DF1105"/>
    <w:rsid w:val="00DF179D"/>
    <w:rsid w:val="00E2744A"/>
    <w:rsid w:val="00E3268A"/>
    <w:rsid w:val="00E516D4"/>
    <w:rsid w:val="00E53D2A"/>
    <w:rsid w:val="00E55B4C"/>
    <w:rsid w:val="00E918F9"/>
    <w:rsid w:val="00EB04EB"/>
    <w:rsid w:val="00EB6444"/>
    <w:rsid w:val="00EC7096"/>
    <w:rsid w:val="00ED36C9"/>
    <w:rsid w:val="00F02B0E"/>
    <w:rsid w:val="00F05DBF"/>
    <w:rsid w:val="00F10C2A"/>
    <w:rsid w:val="00F10D63"/>
    <w:rsid w:val="00F24708"/>
    <w:rsid w:val="00F3196F"/>
    <w:rsid w:val="00F3443E"/>
    <w:rsid w:val="00F352A7"/>
    <w:rsid w:val="00F37B04"/>
    <w:rsid w:val="00F4104D"/>
    <w:rsid w:val="00F41D3C"/>
    <w:rsid w:val="00F46574"/>
    <w:rsid w:val="00F60FD5"/>
    <w:rsid w:val="00F92566"/>
    <w:rsid w:val="00F94A3D"/>
    <w:rsid w:val="00F96714"/>
    <w:rsid w:val="00F97D72"/>
    <w:rsid w:val="00FB2FAF"/>
    <w:rsid w:val="00FB396A"/>
    <w:rsid w:val="00FB40EB"/>
    <w:rsid w:val="00FC183C"/>
    <w:rsid w:val="00FD64B7"/>
    <w:rsid w:val="00FD7BDD"/>
    <w:rsid w:val="00FE1687"/>
    <w:rsid w:val="00FE41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E0C"/>
    <w:rPr>
      <w:rFonts w:ascii="Arial" w:hAnsi="Arial" w:cs="Arial"/>
      <w:sz w:val="24"/>
      <w:szCs w:val="24"/>
    </w:rPr>
  </w:style>
  <w:style w:type="paragraph" w:styleId="Heading1">
    <w:name w:val="heading 1"/>
    <w:basedOn w:val="Normal"/>
    <w:next w:val="Normal"/>
    <w:link w:val="Heading1Char"/>
    <w:uiPriority w:val="9"/>
    <w:qFormat/>
    <w:rsid w:val="00FB56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37E0C"/>
    <w:rPr>
      <w:rFonts w:cs="Times New Roman"/>
      <w:vertAlign w:val="superscript"/>
    </w:rPr>
  </w:style>
  <w:style w:type="paragraph" w:styleId="NormalWeb">
    <w:name w:val="Normal (Web)"/>
    <w:basedOn w:val="Normal"/>
    <w:rsid w:val="00637E0C"/>
    <w:pPr>
      <w:spacing w:before="100" w:beforeAutospacing="1" w:after="100" w:afterAutospacing="1" w:line="240" w:lineRule="auto"/>
    </w:pPr>
    <w:rPr>
      <w:rFonts w:ascii="Times New Roman" w:eastAsia="Times New Roman" w:hAnsi="Times New Roman" w:cs="Times New Roman"/>
    </w:rPr>
  </w:style>
  <w:style w:type="character" w:customStyle="1" w:styleId="ft">
    <w:name w:val="ft"/>
    <w:basedOn w:val="DefaultParagraphFont"/>
    <w:rsid w:val="00637E0C"/>
  </w:style>
  <w:style w:type="paragraph" w:styleId="FootnoteText">
    <w:name w:val="footnote text"/>
    <w:basedOn w:val="Normal"/>
    <w:link w:val="FootnoteTextChar"/>
    <w:uiPriority w:val="99"/>
    <w:unhideWhenUsed/>
    <w:rsid w:val="00637E0C"/>
    <w:pPr>
      <w:spacing w:after="0" w:line="240" w:lineRule="auto"/>
    </w:pPr>
    <w:rPr>
      <w:sz w:val="20"/>
      <w:szCs w:val="20"/>
    </w:rPr>
  </w:style>
  <w:style w:type="character" w:customStyle="1" w:styleId="FootnoteTextChar">
    <w:name w:val="Footnote Text Char"/>
    <w:basedOn w:val="DefaultParagraphFont"/>
    <w:link w:val="FootnoteText"/>
    <w:uiPriority w:val="99"/>
    <w:rsid w:val="00637E0C"/>
    <w:rPr>
      <w:rFonts w:ascii="Arial" w:hAnsi="Arial" w:cs="Arial"/>
      <w:sz w:val="20"/>
      <w:szCs w:val="20"/>
    </w:rPr>
  </w:style>
  <w:style w:type="paragraph" w:styleId="Header">
    <w:name w:val="header"/>
    <w:basedOn w:val="Normal"/>
    <w:link w:val="HeaderChar"/>
    <w:uiPriority w:val="99"/>
    <w:unhideWhenUsed/>
    <w:rsid w:val="00A94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F80"/>
    <w:rPr>
      <w:rFonts w:ascii="Arial" w:hAnsi="Arial" w:cs="Arial"/>
      <w:sz w:val="24"/>
      <w:szCs w:val="24"/>
    </w:rPr>
  </w:style>
  <w:style w:type="paragraph" w:styleId="Footer">
    <w:name w:val="footer"/>
    <w:basedOn w:val="Normal"/>
    <w:link w:val="FooterChar"/>
    <w:uiPriority w:val="99"/>
    <w:unhideWhenUsed/>
    <w:rsid w:val="00A94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F80"/>
    <w:rPr>
      <w:rFonts w:ascii="Arial" w:hAnsi="Arial" w:cs="Arial"/>
      <w:sz w:val="24"/>
      <w:szCs w:val="24"/>
    </w:rPr>
  </w:style>
  <w:style w:type="character" w:styleId="CommentReference">
    <w:name w:val="annotation reference"/>
    <w:basedOn w:val="DefaultParagraphFont"/>
    <w:uiPriority w:val="99"/>
    <w:semiHidden/>
    <w:unhideWhenUsed/>
    <w:rsid w:val="00FB568F"/>
    <w:rPr>
      <w:sz w:val="16"/>
      <w:szCs w:val="16"/>
    </w:rPr>
  </w:style>
  <w:style w:type="paragraph" w:styleId="CommentText">
    <w:name w:val="annotation text"/>
    <w:basedOn w:val="Normal"/>
    <w:link w:val="CommentTextChar"/>
    <w:uiPriority w:val="99"/>
    <w:semiHidden/>
    <w:unhideWhenUsed/>
    <w:rsid w:val="00FB568F"/>
    <w:pPr>
      <w:spacing w:line="240" w:lineRule="auto"/>
    </w:pPr>
    <w:rPr>
      <w:sz w:val="20"/>
      <w:szCs w:val="20"/>
    </w:rPr>
  </w:style>
  <w:style w:type="character" w:customStyle="1" w:styleId="CommentTextChar">
    <w:name w:val="Comment Text Char"/>
    <w:basedOn w:val="DefaultParagraphFont"/>
    <w:link w:val="CommentText"/>
    <w:uiPriority w:val="99"/>
    <w:semiHidden/>
    <w:rsid w:val="00FB568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B568F"/>
    <w:rPr>
      <w:b/>
      <w:bCs/>
    </w:rPr>
  </w:style>
  <w:style w:type="character" w:customStyle="1" w:styleId="CommentSubjectChar">
    <w:name w:val="Comment Subject Char"/>
    <w:basedOn w:val="CommentTextChar"/>
    <w:link w:val="CommentSubject"/>
    <w:uiPriority w:val="99"/>
    <w:semiHidden/>
    <w:rsid w:val="00FB568F"/>
    <w:rPr>
      <w:rFonts w:ascii="Arial" w:hAnsi="Arial" w:cs="Arial"/>
      <w:b/>
      <w:bCs/>
      <w:sz w:val="20"/>
      <w:szCs w:val="20"/>
    </w:rPr>
  </w:style>
  <w:style w:type="paragraph" w:styleId="BalloonText">
    <w:name w:val="Balloon Text"/>
    <w:basedOn w:val="Normal"/>
    <w:link w:val="BalloonTextChar"/>
    <w:uiPriority w:val="99"/>
    <w:semiHidden/>
    <w:unhideWhenUsed/>
    <w:rsid w:val="00FB5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8F"/>
    <w:rPr>
      <w:rFonts w:ascii="Tahoma" w:hAnsi="Tahoma" w:cs="Tahoma"/>
      <w:sz w:val="16"/>
      <w:szCs w:val="16"/>
    </w:rPr>
  </w:style>
  <w:style w:type="character" w:customStyle="1" w:styleId="Heading1Char">
    <w:name w:val="Heading 1 Char"/>
    <w:basedOn w:val="DefaultParagraphFont"/>
    <w:link w:val="Heading1"/>
    <w:uiPriority w:val="9"/>
    <w:rsid w:val="00FB568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B568F"/>
    <w:pPr>
      <w:spacing w:after="12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FB568F"/>
    <w:rPr>
      <w:rFonts w:ascii="Times New Roman" w:eastAsia="Times New Roman" w:hAnsi="Times New Roman" w:cs="Times New Roman"/>
      <w:sz w:val="24"/>
      <w:szCs w:val="24"/>
    </w:rPr>
  </w:style>
  <w:style w:type="paragraph" w:styleId="ListParagraph">
    <w:name w:val="List Paragraph"/>
    <w:basedOn w:val="Normal"/>
    <w:uiPriority w:val="34"/>
    <w:qFormat/>
    <w:rsid w:val="00D546E5"/>
    <w:pPr>
      <w:spacing w:after="0" w:line="480" w:lineRule="auto"/>
      <w:ind w:left="720"/>
      <w:contextualSpacing/>
      <w:jc w:val="both"/>
    </w:pPr>
    <w:rPr>
      <w:rFonts w:cstheme="minorBidi"/>
      <w:szCs w:val="22"/>
    </w:rPr>
  </w:style>
  <w:style w:type="character" w:styleId="LineNumber">
    <w:name w:val="line number"/>
    <w:basedOn w:val="DefaultParagraphFont"/>
    <w:uiPriority w:val="99"/>
    <w:semiHidden/>
    <w:unhideWhenUsed/>
    <w:rsid w:val="00D546E5"/>
    <w:rPr>
      <w:rFonts w:ascii="Arial" w:hAnsi="Arial" w:cs="Arial" w:hint="default"/>
    </w:rPr>
  </w:style>
  <w:style w:type="character" w:styleId="PageNumber">
    <w:name w:val="page number"/>
    <w:basedOn w:val="DefaultParagraphFont"/>
    <w:rsid w:val="007931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E0C"/>
    <w:rPr>
      <w:rFonts w:ascii="Arial" w:hAnsi="Arial" w:cs="Arial"/>
      <w:sz w:val="24"/>
      <w:szCs w:val="24"/>
    </w:rPr>
  </w:style>
  <w:style w:type="paragraph" w:styleId="Heading1">
    <w:name w:val="heading 1"/>
    <w:basedOn w:val="Normal"/>
    <w:next w:val="Normal"/>
    <w:link w:val="Heading1Char"/>
    <w:uiPriority w:val="9"/>
    <w:qFormat/>
    <w:rsid w:val="00FB56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637E0C"/>
    <w:rPr>
      <w:rFonts w:cs="Times New Roman"/>
      <w:vertAlign w:val="superscript"/>
    </w:rPr>
  </w:style>
  <w:style w:type="paragraph" w:styleId="NormalWeb">
    <w:name w:val="Normal (Web)"/>
    <w:basedOn w:val="Normal"/>
    <w:rsid w:val="00637E0C"/>
    <w:pPr>
      <w:spacing w:before="100" w:beforeAutospacing="1" w:after="100" w:afterAutospacing="1" w:line="240" w:lineRule="auto"/>
    </w:pPr>
    <w:rPr>
      <w:rFonts w:ascii="Times New Roman" w:eastAsia="Times New Roman" w:hAnsi="Times New Roman" w:cs="Times New Roman"/>
    </w:rPr>
  </w:style>
  <w:style w:type="character" w:customStyle="1" w:styleId="ft">
    <w:name w:val="ft"/>
    <w:basedOn w:val="DefaultParagraphFont"/>
    <w:rsid w:val="00637E0C"/>
  </w:style>
  <w:style w:type="paragraph" w:styleId="FootnoteText">
    <w:name w:val="footnote text"/>
    <w:basedOn w:val="Normal"/>
    <w:link w:val="FootnoteTextChar"/>
    <w:uiPriority w:val="99"/>
    <w:unhideWhenUsed/>
    <w:rsid w:val="00637E0C"/>
    <w:pPr>
      <w:spacing w:after="0" w:line="240" w:lineRule="auto"/>
    </w:pPr>
    <w:rPr>
      <w:sz w:val="20"/>
      <w:szCs w:val="20"/>
    </w:rPr>
  </w:style>
  <w:style w:type="character" w:customStyle="1" w:styleId="FootnoteTextChar">
    <w:name w:val="Footnote Text Char"/>
    <w:basedOn w:val="DefaultParagraphFont"/>
    <w:link w:val="FootnoteText"/>
    <w:uiPriority w:val="99"/>
    <w:rsid w:val="00637E0C"/>
    <w:rPr>
      <w:rFonts w:ascii="Arial" w:hAnsi="Arial" w:cs="Arial"/>
      <w:sz w:val="20"/>
      <w:szCs w:val="20"/>
    </w:rPr>
  </w:style>
  <w:style w:type="paragraph" w:styleId="Header">
    <w:name w:val="header"/>
    <w:basedOn w:val="Normal"/>
    <w:link w:val="HeaderChar"/>
    <w:uiPriority w:val="99"/>
    <w:unhideWhenUsed/>
    <w:rsid w:val="00A94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F80"/>
    <w:rPr>
      <w:rFonts w:ascii="Arial" w:hAnsi="Arial" w:cs="Arial"/>
      <w:sz w:val="24"/>
      <w:szCs w:val="24"/>
    </w:rPr>
  </w:style>
  <w:style w:type="paragraph" w:styleId="Footer">
    <w:name w:val="footer"/>
    <w:basedOn w:val="Normal"/>
    <w:link w:val="FooterChar"/>
    <w:uiPriority w:val="99"/>
    <w:unhideWhenUsed/>
    <w:rsid w:val="00A94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F80"/>
    <w:rPr>
      <w:rFonts w:ascii="Arial" w:hAnsi="Arial" w:cs="Arial"/>
      <w:sz w:val="24"/>
      <w:szCs w:val="24"/>
    </w:rPr>
  </w:style>
  <w:style w:type="character" w:styleId="CommentReference">
    <w:name w:val="annotation reference"/>
    <w:basedOn w:val="DefaultParagraphFont"/>
    <w:uiPriority w:val="99"/>
    <w:semiHidden/>
    <w:unhideWhenUsed/>
    <w:rsid w:val="00FB568F"/>
    <w:rPr>
      <w:sz w:val="16"/>
      <w:szCs w:val="16"/>
    </w:rPr>
  </w:style>
  <w:style w:type="paragraph" w:styleId="CommentText">
    <w:name w:val="annotation text"/>
    <w:basedOn w:val="Normal"/>
    <w:link w:val="CommentTextChar"/>
    <w:uiPriority w:val="99"/>
    <w:semiHidden/>
    <w:unhideWhenUsed/>
    <w:rsid w:val="00FB568F"/>
    <w:pPr>
      <w:spacing w:line="240" w:lineRule="auto"/>
    </w:pPr>
    <w:rPr>
      <w:sz w:val="20"/>
      <w:szCs w:val="20"/>
    </w:rPr>
  </w:style>
  <w:style w:type="character" w:customStyle="1" w:styleId="CommentTextChar">
    <w:name w:val="Comment Text Char"/>
    <w:basedOn w:val="DefaultParagraphFont"/>
    <w:link w:val="CommentText"/>
    <w:uiPriority w:val="99"/>
    <w:semiHidden/>
    <w:rsid w:val="00FB568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B568F"/>
    <w:rPr>
      <w:b/>
      <w:bCs/>
    </w:rPr>
  </w:style>
  <w:style w:type="character" w:customStyle="1" w:styleId="CommentSubjectChar">
    <w:name w:val="Comment Subject Char"/>
    <w:basedOn w:val="CommentTextChar"/>
    <w:link w:val="CommentSubject"/>
    <w:uiPriority w:val="99"/>
    <w:semiHidden/>
    <w:rsid w:val="00FB568F"/>
    <w:rPr>
      <w:rFonts w:ascii="Arial" w:hAnsi="Arial" w:cs="Arial"/>
      <w:b/>
      <w:bCs/>
      <w:sz w:val="20"/>
      <w:szCs w:val="20"/>
    </w:rPr>
  </w:style>
  <w:style w:type="paragraph" w:styleId="BalloonText">
    <w:name w:val="Balloon Text"/>
    <w:basedOn w:val="Normal"/>
    <w:link w:val="BalloonTextChar"/>
    <w:uiPriority w:val="99"/>
    <w:semiHidden/>
    <w:unhideWhenUsed/>
    <w:rsid w:val="00FB5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8F"/>
    <w:rPr>
      <w:rFonts w:ascii="Tahoma" w:hAnsi="Tahoma" w:cs="Tahoma"/>
      <w:sz w:val="16"/>
      <w:szCs w:val="16"/>
    </w:rPr>
  </w:style>
  <w:style w:type="character" w:customStyle="1" w:styleId="Heading1Char">
    <w:name w:val="Heading 1 Char"/>
    <w:basedOn w:val="DefaultParagraphFont"/>
    <w:link w:val="Heading1"/>
    <w:uiPriority w:val="9"/>
    <w:rsid w:val="00FB568F"/>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FB568F"/>
    <w:pPr>
      <w:spacing w:after="120" w:line="240" w:lineRule="auto"/>
    </w:pPr>
    <w:rPr>
      <w:rFonts w:ascii="Times New Roman" w:eastAsia="Times New Roman" w:hAnsi="Times New Roman" w:cs="Times New Roman"/>
    </w:rPr>
  </w:style>
  <w:style w:type="character" w:customStyle="1" w:styleId="BodyTextChar">
    <w:name w:val="Body Text Char"/>
    <w:basedOn w:val="DefaultParagraphFont"/>
    <w:link w:val="BodyText"/>
    <w:rsid w:val="00FB568F"/>
    <w:rPr>
      <w:rFonts w:ascii="Times New Roman" w:eastAsia="Times New Roman" w:hAnsi="Times New Roman" w:cs="Times New Roman"/>
      <w:sz w:val="24"/>
      <w:szCs w:val="24"/>
    </w:rPr>
  </w:style>
  <w:style w:type="paragraph" w:styleId="ListParagraph">
    <w:name w:val="List Paragraph"/>
    <w:basedOn w:val="Normal"/>
    <w:uiPriority w:val="34"/>
    <w:qFormat/>
    <w:rsid w:val="00D546E5"/>
    <w:pPr>
      <w:spacing w:after="0" w:line="480" w:lineRule="auto"/>
      <w:ind w:left="720"/>
      <w:contextualSpacing/>
      <w:jc w:val="both"/>
    </w:pPr>
    <w:rPr>
      <w:rFonts w:cstheme="minorBidi"/>
      <w:szCs w:val="22"/>
    </w:rPr>
  </w:style>
  <w:style w:type="character" w:styleId="LineNumber">
    <w:name w:val="line number"/>
    <w:basedOn w:val="DefaultParagraphFont"/>
    <w:uiPriority w:val="99"/>
    <w:semiHidden/>
    <w:unhideWhenUsed/>
    <w:rsid w:val="00D546E5"/>
    <w:rPr>
      <w:rFonts w:ascii="Arial" w:hAnsi="Arial" w:cs="Arial" w:hint="default"/>
    </w:rPr>
  </w:style>
  <w:style w:type="character" w:styleId="PageNumber">
    <w:name w:val="page number"/>
    <w:basedOn w:val="DefaultParagraphFont"/>
    <w:rsid w:val="0079313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18729</Words>
  <Characters>104066</Characters>
  <Application>Microsoft Office Word</Application>
  <DocSecurity>0</DocSecurity>
  <PresentationFormat/>
  <Lines>2205</Lines>
  <Paragraphs>754</Paragraphs>
  <ScaleCrop>false</ScaleCrop>
  <HeadingPairs>
    <vt:vector size="2" baseType="variant">
      <vt:variant>
        <vt:lpstr>Title</vt:lpstr>
      </vt:variant>
      <vt:variant>
        <vt:i4>1</vt:i4>
      </vt:variant>
    </vt:vector>
  </HeadingPairs>
  <TitlesOfParts>
    <vt:vector size="1" baseType="lpstr">
      <vt:lpstr>ESP STIP BRIEF; FINAL (C36056).DOCX</vt:lpstr>
    </vt:vector>
  </TitlesOfParts>
  <LinksUpToDate>false</LinksUpToDate>
  <CharactersWithSpaces>122673</CharactersWithSpaces>
  <SharedDoc>false</SharedDoc>
  <HyperlinkBase>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2011-11-10T20:57:00Z</cp:lastPrinted>
  <dcterms:created xsi:type="dcterms:W3CDTF">2011-11-10T21:16:00Z</dcterms:created>
  <dcterms:modified xsi:type="dcterms:W3CDTF">2011-11-10T21:16:00Z</dcterms:modified>
</cp:coreProperties>
</file>