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61" w:rsidRPr="00C128BD" w:rsidRDefault="00C55E61" w:rsidP="00372757">
      <w:pPr>
        <w:spacing w:after="0"/>
        <w:jc w:val="center"/>
        <w:rPr>
          <w:b/>
          <w:smallCaps/>
          <w:sz w:val="28"/>
          <w:szCs w:val="28"/>
        </w:rPr>
      </w:pPr>
      <w:r w:rsidRPr="00C128BD">
        <w:rPr>
          <w:b/>
          <w:smallCaps/>
          <w:sz w:val="28"/>
          <w:szCs w:val="28"/>
        </w:rPr>
        <w:t>Before</w:t>
      </w:r>
    </w:p>
    <w:p w:rsidR="00C55E61" w:rsidRPr="00C128BD" w:rsidRDefault="00C55E61" w:rsidP="00372757">
      <w:pPr>
        <w:spacing w:after="0"/>
        <w:jc w:val="center"/>
        <w:rPr>
          <w:smallCaps/>
          <w:sz w:val="28"/>
          <w:szCs w:val="28"/>
        </w:rPr>
      </w:pPr>
      <w:r w:rsidRPr="00C128BD">
        <w:rPr>
          <w:b/>
          <w:smallCaps/>
          <w:sz w:val="28"/>
          <w:szCs w:val="28"/>
        </w:rPr>
        <w:t>The Public Utilities Commission of Ohio</w:t>
      </w:r>
    </w:p>
    <w:p w:rsidR="00C55E61" w:rsidRPr="00C128BD" w:rsidRDefault="00C55E61" w:rsidP="00372757">
      <w:pPr>
        <w:spacing w:after="0"/>
      </w:pPr>
    </w:p>
    <w:p w:rsidR="00C55E61" w:rsidRPr="00C128BD" w:rsidRDefault="00C55E61" w:rsidP="00372757">
      <w:pPr>
        <w:spacing w:after="0"/>
      </w:pPr>
      <w:r w:rsidRPr="00C128BD">
        <w:t xml:space="preserve">In the Matter of the Application for </w:t>
      </w:r>
      <w:r w:rsidRPr="00C128BD">
        <w:tab/>
        <w:t>)</w:t>
      </w:r>
    </w:p>
    <w:p w:rsidR="00C55E61" w:rsidRPr="00C128BD" w:rsidRDefault="00C55E61" w:rsidP="00372757">
      <w:pPr>
        <w:spacing w:after="0"/>
      </w:pPr>
      <w:r w:rsidRPr="00C128BD">
        <w:t xml:space="preserve">Establishment of a Reasonable </w:t>
      </w:r>
      <w:r w:rsidRPr="00C128BD">
        <w:tab/>
      </w:r>
      <w:r w:rsidRPr="00C128BD">
        <w:tab/>
        <w:t>)</w:t>
      </w:r>
      <w:r w:rsidRPr="00C128BD">
        <w:tab/>
        <w:t>Case No. 12-1494-EL-AEC</w:t>
      </w:r>
    </w:p>
    <w:p w:rsidR="00C55E61" w:rsidRPr="00C128BD" w:rsidRDefault="00C55E61" w:rsidP="00372757">
      <w:pPr>
        <w:spacing w:after="0"/>
      </w:pPr>
      <w:r w:rsidRPr="00C128BD">
        <w:t>Arrangement Between ASHTA</w:t>
      </w:r>
      <w:r w:rsidRPr="00C128BD">
        <w:tab/>
      </w:r>
      <w:r w:rsidRPr="00C128BD">
        <w:tab/>
        <w:t>)</w:t>
      </w:r>
    </w:p>
    <w:p w:rsidR="00C55E61" w:rsidRPr="00C128BD" w:rsidRDefault="00C55E61" w:rsidP="00372757">
      <w:pPr>
        <w:spacing w:after="0"/>
      </w:pPr>
      <w:r w:rsidRPr="00C128BD">
        <w:t xml:space="preserve">Chemicals Inc. and The Cleveland </w:t>
      </w:r>
      <w:r w:rsidRPr="00C128BD">
        <w:tab/>
        <w:t>)</w:t>
      </w:r>
    </w:p>
    <w:p w:rsidR="00C55E61" w:rsidRPr="00C128BD" w:rsidRDefault="00C55E61" w:rsidP="00372757">
      <w:pPr>
        <w:spacing w:after="0"/>
      </w:pPr>
      <w:r w:rsidRPr="00C128BD">
        <w:t>Electric Illuminating Company</w:t>
      </w:r>
      <w:r w:rsidRPr="00C128BD">
        <w:tab/>
      </w:r>
      <w:r w:rsidRPr="00C128BD">
        <w:tab/>
        <w:t>)</w:t>
      </w:r>
    </w:p>
    <w:p w:rsidR="00C55E61" w:rsidRPr="00C128BD" w:rsidRDefault="00C55E61" w:rsidP="00372757">
      <w:pPr>
        <w:spacing w:after="0"/>
      </w:pPr>
    </w:p>
    <w:p w:rsidR="00C55E61" w:rsidRPr="00C128BD" w:rsidRDefault="00C55E61" w:rsidP="00372757">
      <w:pPr>
        <w:pBdr>
          <w:top w:val="single" w:sz="12" w:space="1" w:color="auto"/>
        </w:pBdr>
        <w:spacing w:after="0"/>
        <w:jc w:val="center"/>
      </w:pPr>
    </w:p>
    <w:p w:rsidR="00F76FDC" w:rsidRDefault="00F76FDC" w:rsidP="00372757">
      <w:pPr>
        <w:spacing w:after="0"/>
        <w:jc w:val="center"/>
        <w:rPr>
          <w:b/>
          <w:smallCaps/>
          <w:sz w:val="28"/>
          <w:szCs w:val="28"/>
        </w:rPr>
      </w:pPr>
      <w:r>
        <w:rPr>
          <w:b/>
          <w:smallCaps/>
          <w:sz w:val="28"/>
          <w:szCs w:val="28"/>
        </w:rPr>
        <w:t>AMENDED PUBLIC VERSION OF</w:t>
      </w:r>
    </w:p>
    <w:p w:rsidR="00C55E61" w:rsidRPr="00C128BD" w:rsidRDefault="00C128BD" w:rsidP="00372757">
      <w:pPr>
        <w:spacing w:after="0"/>
        <w:jc w:val="center"/>
        <w:rPr>
          <w:b/>
          <w:smallCaps/>
          <w:sz w:val="28"/>
          <w:szCs w:val="28"/>
        </w:rPr>
      </w:pPr>
      <w:r w:rsidRPr="00C128BD">
        <w:rPr>
          <w:b/>
          <w:smallCaps/>
          <w:sz w:val="28"/>
          <w:szCs w:val="28"/>
        </w:rPr>
        <w:t>JOINT</w:t>
      </w:r>
      <w:r w:rsidR="00F76FDC">
        <w:rPr>
          <w:b/>
          <w:smallCaps/>
          <w:sz w:val="28"/>
          <w:szCs w:val="28"/>
        </w:rPr>
        <w:t xml:space="preserve"> </w:t>
      </w:r>
      <w:r w:rsidR="00C55E61" w:rsidRPr="00C128BD">
        <w:rPr>
          <w:b/>
          <w:smallCaps/>
          <w:sz w:val="28"/>
          <w:szCs w:val="28"/>
        </w:rPr>
        <w:t>STIPULATION AND RECOM</w:t>
      </w:r>
      <w:r w:rsidR="00C162D2" w:rsidRPr="00C128BD">
        <w:rPr>
          <w:b/>
          <w:smallCaps/>
          <w:sz w:val="28"/>
          <w:szCs w:val="28"/>
        </w:rPr>
        <w:t>M</w:t>
      </w:r>
      <w:r w:rsidR="00C55E61" w:rsidRPr="00C128BD">
        <w:rPr>
          <w:b/>
          <w:smallCaps/>
          <w:sz w:val="28"/>
          <w:szCs w:val="28"/>
        </w:rPr>
        <w:t>ENDATION</w:t>
      </w:r>
    </w:p>
    <w:p w:rsidR="00C55E61" w:rsidRPr="00C128BD" w:rsidRDefault="00C55E61" w:rsidP="00372757">
      <w:pPr>
        <w:pBdr>
          <w:bottom w:val="single" w:sz="12" w:space="1" w:color="auto"/>
        </w:pBdr>
        <w:spacing w:after="0"/>
        <w:jc w:val="center"/>
      </w:pPr>
    </w:p>
    <w:p w:rsidR="00A05FCF" w:rsidRDefault="00A05FCF" w:rsidP="00372757">
      <w:pPr>
        <w:spacing w:after="0"/>
      </w:pPr>
    </w:p>
    <w:p w:rsidR="00894EC0" w:rsidRDefault="00894EC0" w:rsidP="00372757">
      <w:pPr>
        <w:spacing w:after="0"/>
      </w:pPr>
    </w:p>
    <w:p w:rsidR="00894EC0" w:rsidRDefault="00894EC0" w:rsidP="00372757">
      <w:pPr>
        <w:spacing w:after="0"/>
      </w:pPr>
    </w:p>
    <w:p w:rsidR="0018140A" w:rsidRDefault="0018140A" w:rsidP="00372757">
      <w:pPr>
        <w:spacing w:after="0"/>
      </w:pPr>
    </w:p>
    <w:p w:rsidR="0018140A" w:rsidRDefault="0018140A" w:rsidP="00372757">
      <w:pPr>
        <w:spacing w:after="0"/>
      </w:pPr>
    </w:p>
    <w:p w:rsidR="00A05FCF" w:rsidRPr="00C128BD" w:rsidRDefault="00A05FCF" w:rsidP="00372757">
      <w:pPr>
        <w:spacing w:after="0"/>
      </w:pPr>
    </w:p>
    <w:p w:rsidR="00A05FCF" w:rsidRPr="00C128BD" w:rsidRDefault="00A05FCF" w:rsidP="00372757">
      <w:pPr>
        <w:spacing w:after="0"/>
      </w:pPr>
    </w:p>
    <w:tbl>
      <w:tblPr>
        <w:tblW w:w="0" w:type="auto"/>
        <w:tblLook w:val="01E0" w:firstRow="1" w:lastRow="1" w:firstColumn="1" w:lastColumn="1" w:noHBand="0" w:noVBand="0"/>
      </w:tblPr>
      <w:tblGrid>
        <w:gridCol w:w="4788"/>
        <w:gridCol w:w="4788"/>
      </w:tblGrid>
      <w:tr w:rsidR="00532E4A" w:rsidRPr="00372757" w:rsidTr="00B21617">
        <w:tc>
          <w:tcPr>
            <w:tcW w:w="4788" w:type="dxa"/>
          </w:tcPr>
          <w:p w:rsidR="00532E4A" w:rsidRPr="00372757" w:rsidRDefault="00532E4A" w:rsidP="00372757">
            <w:pPr>
              <w:spacing w:after="0"/>
              <w:rPr>
                <w:b/>
                <w:color w:val="000000" w:themeColor="text1"/>
              </w:rPr>
            </w:pPr>
            <w:r w:rsidRPr="00372757">
              <w:rPr>
                <w:b/>
                <w:color w:val="000000" w:themeColor="text1"/>
              </w:rPr>
              <w:t>Samuel C. Randazzo</w:t>
            </w:r>
          </w:p>
          <w:p w:rsidR="00532E4A" w:rsidRPr="00372757" w:rsidRDefault="00532E4A" w:rsidP="00372757">
            <w:pPr>
              <w:spacing w:after="0"/>
              <w:rPr>
                <w:b/>
                <w:color w:val="000000" w:themeColor="text1"/>
              </w:rPr>
            </w:pPr>
            <w:r w:rsidRPr="00372757">
              <w:rPr>
                <w:b/>
                <w:color w:val="000000" w:themeColor="text1"/>
              </w:rPr>
              <w:t>Frank P. Darr</w:t>
            </w:r>
          </w:p>
          <w:p w:rsidR="00532E4A" w:rsidRPr="00372757" w:rsidRDefault="00532E4A" w:rsidP="00372757">
            <w:pPr>
              <w:spacing w:after="0"/>
              <w:rPr>
                <w:b/>
                <w:color w:val="000000" w:themeColor="text1"/>
              </w:rPr>
            </w:pPr>
            <w:r w:rsidRPr="00372757">
              <w:rPr>
                <w:b/>
                <w:color w:val="000000" w:themeColor="text1"/>
              </w:rPr>
              <w:t>Scott E. Elisar</w:t>
            </w:r>
          </w:p>
          <w:p w:rsidR="00532E4A" w:rsidRPr="00372757" w:rsidRDefault="00532E4A" w:rsidP="00372757">
            <w:pPr>
              <w:spacing w:after="0"/>
              <w:rPr>
                <w:b/>
                <w:color w:val="000000" w:themeColor="text1"/>
              </w:rPr>
            </w:pPr>
            <w:r w:rsidRPr="00372757">
              <w:rPr>
                <w:b/>
                <w:color w:val="000000" w:themeColor="text1"/>
              </w:rPr>
              <w:t>Joseph E. Oliker</w:t>
            </w:r>
          </w:p>
          <w:p w:rsidR="00532E4A" w:rsidRPr="00372757" w:rsidRDefault="00532E4A" w:rsidP="00372757">
            <w:pPr>
              <w:spacing w:after="0"/>
              <w:rPr>
                <w:color w:val="000000" w:themeColor="text1"/>
              </w:rPr>
            </w:pPr>
            <w:r w:rsidRPr="00372757">
              <w:rPr>
                <w:color w:val="000000" w:themeColor="text1"/>
              </w:rPr>
              <w:t>McNees Wallace &amp; Nurick LLC</w:t>
            </w:r>
          </w:p>
          <w:p w:rsidR="00532E4A" w:rsidRPr="00372757" w:rsidRDefault="00532E4A" w:rsidP="00372757">
            <w:pPr>
              <w:spacing w:after="0"/>
              <w:rPr>
                <w:color w:val="000000" w:themeColor="text1"/>
              </w:rPr>
            </w:pPr>
            <w:r w:rsidRPr="00372757">
              <w:rPr>
                <w:color w:val="000000" w:themeColor="text1"/>
              </w:rPr>
              <w:t>21 East State Street, 17</w:t>
            </w:r>
            <w:r w:rsidRPr="00372757">
              <w:rPr>
                <w:color w:val="000000" w:themeColor="text1"/>
                <w:vertAlign w:val="superscript"/>
              </w:rPr>
              <w:t>th</w:t>
            </w:r>
            <w:r w:rsidRPr="00372757">
              <w:rPr>
                <w:color w:val="000000" w:themeColor="text1"/>
              </w:rPr>
              <w:t xml:space="preserve"> Floor</w:t>
            </w:r>
          </w:p>
          <w:p w:rsidR="00532E4A" w:rsidRPr="00372757" w:rsidRDefault="00532E4A" w:rsidP="00372757">
            <w:pPr>
              <w:spacing w:after="0"/>
              <w:rPr>
                <w:color w:val="000000" w:themeColor="text1"/>
              </w:rPr>
            </w:pPr>
            <w:r w:rsidRPr="00372757">
              <w:rPr>
                <w:color w:val="000000" w:themeColor="text1"/>
              </w:rPr>
              <w:t>Columbus, Ohio  43215</w:t>
            </w:r>
          </w:p>
          <w:p w:rsidR="00532E4A" w:rsidRPr="00372757" w:rsidRDefault="00532E4A" w:rsidP="00372757">
            <w:pPr>
              <w:spacing w:after="0"/>
              <w:rPr>
                <w:color w:val="000000" w:themeColor="text1"/>
              </w:rPr>
            </w:pPr>
            <w:r w:rsidRPr="00372757">
              <w:rPr>
                <w:color w:val="000000" w:themeColor="text1"/>
              </w:rPr>
              <w:t>(614) 469-8000 (T)</w:t>
            </w:r>
          </w:p>
          <w:p w:rsidR="00532E4A" w:rsidRPr="00372757" w:rsidRDefault="00532E4A" w:rsidP="00372757">
            <w:pPr>
              <w:spacing w:after="0"/>
              <w:rPr>
                <w:color w:val="000000" w:themeColor="text1"/>
              </w:rPr>
            </w:pPr>
            <w:r w:rsidRPr="00372757">
              <w:rPr>
                <w:color w:val="000000" w:themeColor="text1"/>
              </w:rPr>
              <w:t>(614) 469-4653 (Fax)</w:t>
            </w:r>
          </w:p>
          <w:p w:rsidR="00532E4A" w:rsidRPr="00372757" w:rsidRDefault="00532E4A" w:rsidP="00372757">
            <w:pPr>
              <w:spacing w:after="0"/>
              <w:rPr>
                <w:color w:val="000000" w:themeColor="text1"/>
              </w:rPr>
            </w:pPr>
            <w:r w:rsidRPr="00372757">
              <w:rPr>
                <w:color w:val="000000" w:themeColor="text1"/>
              </w:rPr>
              <w:t>sam@mwncmh.com</w:t>
            </w:r>
          </w:p>
          <w:p w:rsidR="00532E4A" w:rsidRPr="00372757" w:rsidRDefault="00532E4A" w:rsidP="00372757">
            <w:pPr>
              <w:spacing w:after="0"/>
              <w:rPr>
                <w:color w:val="000000" w:themeColor="text1"/>
              </w:rPr>
            </w:pPr>
            <w:r w:rsidRPr="00372757">
              <w:rPr>
                <w:color w:val="000000" w:themeColor="text1"/>
              </w:rPr>
              <w:t>fdarr@mwncmh.com</w:t>
            </w:r>
          </w:p>
          <w:p w:rsidR="00532E4A" w:rsidRPr="00372757" w:rsidRDefault="00532E4A" w:rsidP="00372757">
            <w:pPr>
              <w:spacing w:after="0"/>
              <w:rPr>
                <w:color w:val="000000" w:themeColor="text1"/>
              </w:rPr>
            </w:pPr>
            <w:r w:rsidRPr="00372757">
              <w:rPr>
                <w:color w:val="000000" w:themeColor="text1"/>
              </w:rPr>
              <w:t>selisar@mwncmh.com</w:t>
            </w:r>
          </w:p>
          <w:p w:rsidR="00532E4A" w:rsidRPr="00372757" w:rsidRDefault="00532E4A" w:rsidP="00372757">
            <w:pPr>
              <w:spacing w:after="0"/>
              <w:rPr>
                <w:color w:val="000000" w:themeColor="text1"/>
              </w:rPr>
            </w:pPr>
            <w:r w:rsidRPr="00372757">
              <w:rPr>
                <w:color w:val="000000" w:themeColor="text1"/>
              </w:rPr>
              <w:t>joliker@mwncmh.com</w:t>
            </w:r>
          </w:p>
          <w:p w:rsidR="00532E4A" w:rsidRPr="00372757" w:rsidRDefault="00532E4A" w:rsidP="00372757">
            <w:pPr>
              <w:widowControl w:val="0"/>
              <w:tabs>
                <w:tab w:val="left" w:pos="4332"/>
              </w:tabs>
              <w:autoSpaceDE w:val="0"/>
              <w:autoSpaceDN w:val="0"/>
              <w:adjustRightInd w:val="0"/>
              <w:spacing w:after="0"/>
              <w:rPr>
                <w:color w:val="000000" w:themeColor="text1"/>
              </w:rPr>
            </w:pPr>
          </w:p>
          <w:p w:rsidR="00325478" w:rsidRPr="00372757" w:rsidRDefault="00325478" w:rsidP="00372757">
            <w:pPr>
              <w:widowControl w:val="0"/>
              <w:tabs>
                <w:tab w:val="left" w:pos="4332"/>
              </w:tabs>
              <w:autoSpaceDE w:val="0"/>
              <w:autoSpaceDN w:val="0"/>
              <w:adjustRightInd w:val="0"/>
              <w:spacing w:after="0"/>
              <w:rPr>
                <w:rFonts w:ascii="Arial Bold" w:hAnsi="Arial Bold"/>
                <w:b/>
                <w:smallCaps/>
                <w:color w:val="000000" w:themeColor="text1"/>
              </w:rPr>
            </w:pPr>
            <w:r w:rsidRPr="00372757">
              <w:rPr>
                <w:rFonts w:ascii="Arial Bold" w:hAnsi="Arial Bold"/>
                <w:b/>
                <w:smallCaps/>
                <w:color w:val="000000" w:themeColor="text1"/>
              </w:rPr>
              <w:t>On Behalf of ASHTA Chemicals Inc.</w:t>
            </w:r>
          </w:p>
          <w:p w:rsidR="00532E4A" w:rsidRPr="00372757" w:rsidRDefault="00532E4A" w:rsidP="00372757">
            <w:pPr>
              <w:widowControl w:val="0"/>
              <w:tabs>
                <w:tab w:val="left" w:pos="4332"/>
              </w:tabs>
              <w:autoSpaceDE w:val="0"/>
              <w:autoSpaceDN w:val="0"/>
              <w:adjustRightInd w:val="0"/>
              <w:spacing w:after="0"/>
              <w:rPr>
                <w:b/>
                <w:color w:val="000000" w:themeColor="text1"/>
              </w:rPr>
            </w:pPr>
          </w:p>
          <w:p w:rsidR="00325478" w:rsidRPr="00372757" w:rsidRDefault="00325478" w:rsidP="00372757">
            <w:pPr>
              <w:spacing w:after="0"/>
              <w:rPr>
                <w:rFonts w:ascii="Arial Bold" w:hAnsi="Arial Bold"/>
                <w:b/>
                <w:smallCaps/>
                <w:color w:val="000000" w:themeColor="text1"/>
              </w:rPr>
            </w:pPr>
          </w:p>
          <w:p w:rsidR="00532E4A" w:rsidRPr="00372757" w:rsidRDefault="00532E4A" w:rsidP="00372757">
            <w:pPr>
              <w:widowControl w:val="0"/>
              <w:tabs>
                <w:tab w:val="left" w:pos="4332"/>
              </w:tabs>
              <w:autoSpaceDE w:val="0"/>
              <w:autoSpaceDN w:val="0"/>
              <w:adjustRightInd w:val="0"/>
              <w:spacing w:after="0"/>
              <w:rPr>
                <w:color w:val="000000" w:themeColor="text1"/>
              </w:rPr>
            </w:pPr>
          </w:p>
        </w:tc>
        <w:tc>
          <w:tcPr>
            <w:tcW w:w="4788" w:type="dxa"/>
          </w:tcPr>
          <w:p w:rsidR="00532E4A" w:rsidRPr="00372757" w:rsidRDefault="00532E4A" w:rsidP="00372757">
            <w:pPr>
              <w:spacing w:after="0"/>
              <w:rPr>
                <w:rFonts w:eastAsia="Calibri"/>
                <w:b/>
                <w:color w:val="000000" w:themeColor="text1"/>
              </w:rPr>
            </w:pPr>
            <w:r w:rsidRPr="00372757">
              <w:rPr>
                <w:rFonts w:eastAsia="Calibri"/>
                <w:b/>
                <w:color w:val="000000" w:themeColor="text1"/>
              </w:rPr>
              <w:t>William Wright, Section Chief</w:t>
            </w:r>
          </w:p>
          <w:p w:rsidR="00532E4A" w:rsidRPr="00372757" w:rsidRDefault="00532E4A" w:rsidP="00372757">
            <w:pPr>
              <w:spacing w:after="0"/>
              <w:rPr>
                <w:rFonts w:eastAsia="Calibri"/>
                <w:b/>
                <w:smallCaps/>
                <w:color w:val="000000" w:themeColor="text1"/>
              </w:rPr>
            </w:pPr>
            <w:r w:rsidRPr="00372757">
              <w:rPr>
                <w:rFonts w:eastAsia="Calibri"/>
                <w:b/>
                <w:color w:val="000000" w:themeColor="text1"/>
              </w:rPr>
              <w:t>Thomas W. McNamee</w:t>
            </w:r>
          </w:p>
          <w:p w:rsidR="00532E4A" w:rsidRPr="00372757" w:rsidRDefault="00532E4A" w:rsidP="00372757">
            <w:pPr>
              <w:autoSpaceDE w:val="0"/>
              <w:autoSpaceDN w:val="0"/>
              <w:adjustRightInd w:val="0"/>
              <w:spacing w:after="0"/>
              <w:rPr>
                <w:rFonts w:eastAsia="Calibri"/>
                <w:color w:val="000000" w:themeColor="text1"/>
              </w:rPr>
            </w:pPr>
            <w:r w:rsidRPr="00372757">
              <w:rPr>
                <w:rFonts w:eastAsia="Calibri"/>
                <w:color w:val="000000" w:themeColor="text1"/>
              </w:rPr>
              <w:t xml:space="preserve">Assistant Attorneys General </w:t>
            </w:r>
          </w:p>
          <w:p w:rsidR="00532E4A" w:rsidRPr="00372757" w:rsidRDefault="00532E4A" w:rsidP="00372757">
            <w:pPr>
              <w:autoSpaceDE w:val="0"/>
              <w:autoSpaceDN w:val="0"/>
              <w:adjustRightInd w:val="0"/>
              <w:spacing w:after="0"/>
              <w:rPr>
                <w:rFonts w:eastAsia="Calibri"/>
                <w:color w:val="000000" w:themeColor="text1"/>
              </w:rPr>
            </w:pPr>
            <w:r w:rsidRPr="00372757">
              <w:rPr>
                <w:rFonts w:eastAsia="Calibri"/>
                <w:color w:val="000000" w:themeColor="text1"/>
              </w:rPr>
              <w:t>Public Utilities Section</w:t>
            </w:r>
          </w:p>
          <w:p w:rsidR="00532E4A" w:rsidRPr="00372757" w:rsidRDefault="00532E4A" w:rsidP="00372757">
            <w:pPr>
              <w:autoSpaceDE w:val="0"/>
              <w:autoSpaceDN w:val="0"/>
              <w:adjustRightInd w:val="0"/>
              <w:spacing w:after="0"/>
              <w:rPr>
                <w:rFonts w:eastAsia="Calibri"/>
                <w:color w:val="000000" w:themeColor="text1"/>
              </w:rPr>
            </w:pPr>
            <w:r w:rsidRPr="00372757">
              <w:rPr>
                <w:rFonts w:eastAsia="Calibri"/>
                <w:color w:val="000000" w:themeColor="text1"/>
              </w:rPr>
              <w:t>180 East Broad Street, 6th Floor</w:t>
            </w:r>
          </w:p>
          <w:p w:rsidR="00532E4A" w:rsidRPr="00372757" w:rsidRDefault="00532E4A" w:rsidP="00372757">
            <w:pPr>
              <w:autoSpaceDE w:val="0"/>
              <w:autoSpaceDN w:val="0"/>
              <w:adjustRightInd w:val="0"/>
              <w:spacing w:after="0"/>
              <w:rPr>
                <w:rFonts w:eastAsia="Calibri"/>
                <w:color w:val="000000" w:themeColor="text1"/>
              </w:rPr>
            </w:pPr>
            <w:r w:rsidRPr="00372757">
              <w:rPr>
                <w:rFonts w:eastAsia="Calibri"/>
                <w:color w:val="000000" w:themeColor="text1"/>
              </w:rPr>
              <w:t>Columbus, OH  43215-3793</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thomas.mcnamee@puc.state.oh.us</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william.wright@puc.state.oh.us</w:t>
            </w:r>
          </w:p>
          <w:p w:rsidR="00532E4A" w:rsidRPr="00372757" w:rsidRDefault="00532E4A" w:rsidP="00372757">
            <w:pPr>
              <w:widowControl w:val="0"/>
              <w:tabs>
                <w:tab w:val="left" w:pos="4452"/>
              </w:tabs>
              <w:autoSpaceDE w:val="0"/>
              <w:autoSpaceDN w:val="0"/>
              <w:adjustRightInd w:val="0"/>
              <w:spacing w:after="0"/>
              <w:rPr>
                <w:color w:val="000000" w:themeColor="text1"/>
              </w:rPr>
            </w:pPr>
          </w:p>
          <w:p w:rsidR="00532E4A" w:rsidRPr="00372757" w:rsidRDefault="00325478" w:rsidP="00372757">
            <w:pPr>
              <w:widowControl w:val="0"/>
              <w:tabs>
                <w:tab w:val="left" w:pos="4452"/>
              </w:tabs>
              <w:autoSpaceDE w:val="0"/>
              <w:autoSpaceDN w:val="0"/>
              <w:adjustRightInd w:val="0"/>
              <w:spacing w:after="0"/>
              <w:rPr>
                <w:rFonts w:ascii="Arial Bold" w:hAnsi="Arial Bold"/>
                <w:b/>
                <w:smallCaps/>
                <w:color w:val="000000" w:themeColor="text1"/>
              </w:rPr>
            </w:pPr>
            <w:r w:rsidRPr="00372757">
              <w:rPr>
                <w:rFonts w:ascii="Arial Bold" w:hAnsi="Arial Bold"/>
                <w:b/>
                <w:smallCaps/>
                <w:color w:val="000000" w:themeColor="text1"/>
              </w:rPr>
              <w:t>On Behalf of the Staff of the Public Utilities Commission of Ohio</w:t>
            </w:r>
          </w:p>
          <w:p w:rsidR="00532E4A" w:rsidRPr="00372757" w:rsidRDefault="00532E4A" w:rsidP="00372757">
            <w:pPr>
              <w:widowControl w:val="0"/>
              <w:tabs>
                <w:tab w:val="left" w:pos="4452"/>
              </w:tabs>
              <w:autoSpaceDE w:val="0"/>
              <w:autoSpaceDN w:val="0"/>
              <w:adjustRightInd w:val="0"/>
              <w:spacing w:after="0"/>
              <w:rPr>
                <w:b/>
                <w:color w:val="000000" w:themeColor="text1"/>
              </w:rPr>
            </w:pPr>
          </w:p>
          <w:p w:rsidR="00532E4A" w:rsidRPr="00372757" w:rsidRDefault="00532E4A" w:rsidP="00372757">
            <w:pPr>
              <w:spacing w:after="0"/>
              <w:jc w:val="both"/>
              <w:rPr>
                <w:rFonts w:eastAsia="Calibri"/>
                <w:b/>
                <w:color w:val="000000" w:themeColor="text1"/>
              </w:rPr>
            </w:pPr>
            <w:r w:rsidRPr="00372757">
              <w:rPr>
                <w:rFonts w:eastAsia="Calibri"/>
                <w:b/>
                <w:color w:val="000000" w:themeColor="text1"/>
              </w:rPr>
              <w:t>David F. Boehm</w:t>
            </w:r>
          </w:p>
          <w:p w:rsidR="00532E4A" w:rsidRPr="00372757" w:rsidRDefault="00532E4A" w:rsidP="00372757">
            <w:pPr>
              <w:spacing w:after="0"/>
              <w:jc w:val="both"/>
              <w:rPr>
                <w:rFonts w:eastAsia="Calibri"/>
                <w:b/>
                <w:color w:val="000000" w:themeColor="text1"/>
              </w:rPr>
            </w:pPr>
            <w:r w:rsidRPr="00372757">
              <w:rPr>
                <w:rFonts w:eastAsia="Calibri"/>
                <w:b/>
                <w:color w:val="000000" w:themeColor="text1"/>
              </w:rPr>
              <w:t>Michael L. Kurtz</w:t>
            </w:r>
          </w:p>
          <w:p w:rsidR="00532E4A" w:rsidRPr="00372757" w:rsidRDefault="00431777" w:rsidP="00372757">
            <w:pPr>
              <w:spacing w:after="0"/>
              <w:jc w:val="both"/>
              <w:rPr>
                <w:rFonts w:eastAsia="Calibri"/>
                <w:b/>
                <w:color w:val="000000" w:themeColor="text1"/>
              </w:rPr>
            </w:pPr>
            <w:r>
              <w:rPr>
                <w:rFonts w:eastAsia="Calibri"/>
                <w:b/>
                <w:color w:val="000000" w:themeColor="text1"/>
              </w:rPr>
              <w:t xml:space="preserve">Jody </w:t>
            </w:r>
            <w:r w:rsidR="00532E4A" w:rsidRPr="00372757">
              <w:rPr>
                <w:rFonts w:eastAsia="Calibri"/>
                <w:b/>
                <w:color w:val="000000" w:themeColor="text1"/>
              </w:rPr>
              <w:t>Kyler</w:t>
            </w:r>
            <w:r>
              <w:rPr>
                <w:rFonts w:eastAsia="Calibri"/>
                <w:b/>
                <w:color w:val="000000" w:themeColor="text1"/>
              </w:rPr>
              <w:t xml:space="preserve"> Cohn</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Boehm, Kurtz &amp; Lowry</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36 East Seventh Street, Suite 1510</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Cincinnati, OH  45202</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dboehm@BKLlawfirm.com</w:t>
            </w:r>
          </w:p>
          <w:p w:rsidR="00532E4A" w:rsidRPr="00372757" w:rsidRDefault="00532E4A" w:rsidP="00372757">
            <w:pPr>
              <w:spacing w:after="0"/>
              <w:jc w:val="both"/>
              <w:rPr>
                <w:rFonts w:eastAsia="Calibri"/>
                <w:color w:val="000000" w:themeColor="text1"/>
              </w:rPr>
            </w:pPr>
            <w:r w:rsidRPr="00372757">
              <w:rPr>
                <w:rFonts w:eastAsia="Calibri"/>
                <w:color w:val="000000" w:themeColor="text1"/>
              </w:rPr>
              <w:t>mkurtz@BKLlawfirm.com</w:t>
            </w:r>
          </w:p>
          <w:p w:rsidR="00532E4A" w:rsidRPr="00372757" w:rsidRDefault="00431777" w:rsidP="00372757">
            <w:pPr>
              <w:spacing w:after="0"/>
              <w:jc w:val="both"/>
              <w:rPr>
                <w:rFonts w:eastAsia="Calibri"/>
                <w:color w:val="000000" w:themeColor="text1"/>
              </w:rPr>
            </w:pPr>
            <w:r>
              <w:rPr>
                <w:rFonts w:eastAsia="Calibri"/>
              </w:rPr>
              <w:t>jkylercohn</w:t>
            </w:r>
            <w:r w:rsidR="00C128BD" w:rsidRPr="00CD32A8">
              <w:rPr>
                <w:rFonts w:eastAsia="Calibri"/>
              </w:rPr>
              <w:t>@BKLlawfirm.com</w:t>
            </w:r>
          </w:p>
          <w:p w:rsidR="00C128BD" w:rsidRPr="00372757" w:rsidRDefault="00C128BD" w:rsidP="00372757">
            <w:pPr>
              <w:spacing w:after="0"/>
              <w:jc w:val="both"/>
              <w:rPr>
                <w:rFonts w:eastAsia="Calibri"/>
                <w:color w:val="000000" w:themeColor="text1"/>
              </w:rPr>
            </w:pPr>
          </w:p>
          <w:p w:rsidR="00C128BD" w:rsidRPr="00372757" w:rsidRDefault="00C128BD" w:rsidP="00372757">
            <w:pPr>
              <w:spacing w:after="0"/>
              <w:jc w:val="both"/>
              <w:rPr>
                <w:rFonts w:ascii="Arial Bold" w:eastAsia="Calibri" w:hAnsi="Arial Bold"/>
                <w:b/>
                <w:smallCaps/>
                <w:color w:val="000000" w:themeColor="text1"/>
              </w:rPr>
            </w:pPr>
            <w:r w:rsidRPr="00372757">
              <w:rPr>
                <w:rFonts w:ascii="Arial Bold" w:eastAsia="Calibri" w:hAnsi="Arial Bold"/>
                <w:b/>
                <w:smallCaps/>
                <w:color w:val="000000" w:themeColor="text1"/>
              </w:rPr>
              <w:t>On Behalf of the Ohio Energy Group</w:t>
            </w:r>
          </w:p>
        </w:tc>
      </w:tr>
    </w:tbl>
    <w:p w:rsidR="00A05FCF" w:rsidRPr="00372757" w:rsidRDefault="00A05FCF" w:rsidP="00372757">
      <w:pPr>
        <w:spacing w:after="0"/>
        <w:rPr>
          <w:color w:val="000000" w:themeColor="text1"/>
        </w:rPr>
      </w:pPr>
    </w:p>
    <w:p w:rsidR="00C128BD" w:rsidRPr="00372757" w:rsidRDefault="005D5546" w:rsidP="00372757">
      <w:pPr>
        <w:spacing w:after="0"/>
        <w:rPr>
          <w:b/>
          <w:color w:val="000000" w:themeColor="text1"/>
        </w:rPr>
      </w:pPr>
      <w:r>
        <w:rPr>
          <w:b/>
          <w:color w:val="000000" w:themeColor="text1"/>
        </w:rPr>
        <w:t>December 10</w:t>
      </w:r>
      <w:bookmarkStart w:id="0" w:name="_GoBack"/>
      <w:bookmarkEnd w:id="0"/>
      <w:r w:rsidR="00C128BD" w:rsidRPr="00372757">
        <w:rPr>
          <w:b/>
          <w:color w:val="000000" w:themeColor="text1"/>
        </w:rPr>
        <w:t>, 2013</w:t>
      </w:r>
    </w:p>
    <w:p w:rsidR="00C128BD" w:rsidRDefault="00C128BD">
      <w:pPr>
        <w:sectPr w:rsidR="00C128BD" w:rsidSect="00C040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DE4107" w:rsidRPr="00C128BD" w:rsidRDefault="00DE4107" w:rsidP="00DE4107">
      <w:pPr>
        <w:spacing w:after="0"/>
        <w:jc w:val="center"/>
        <w:rPr>
          <w:b/>
          <w:smallCaps/>
          <w:sz w:val="28"/>
          <w:szCs w:val="28"/>
        </w:rPr>
      </w:pPr>
      <w:r w:rsidRPr="00C128BD">
        <w:rPr>
          <w:b/>
          <w:smallCaps/>
          <w:sz w:val="28"/>
          <w:szCs w:val="28"/>
        </w:rPr>
        <w:lastRenderedPageBreak/>
        <w:t>Before</w:t>
      </w:r>
    </w:p>
    <w:p w:rsidR="00DE4107" w:rsidRPr="00C128BD" w:rsidRDefault="00DE4107" w:rsidP="00DE4107">
      <w:pPr>
        <w:spacing w:after="0"/>
        <w:jc w:val="center"/>
        <w:rPr>
          <w:smallCaps/>
          <w:sz w:val="28"/>
          <w:szCs w:val="28"/>
        </w:rPr>
      </w:pPr>
      <w:r w:rsidRPr="00C128BD">
        <w:rPr>
          <w:b/>
          <w:smallCaps/>
          <w:sz w:val="28"/>
          <w:szCs w:val="28"/>
        </w:rPr>
        <w:t>The Public Utilities Commission of Ohio</w:t>
      </w:r>
    </w:p>
    <w:p w:rsidR="00DE4107" w:rsidRPr="00C128BD" w:rsidRDefault="00DE4107" w:rsidP="00DE4107">
      <w:pPr>
        <w:spacing w:after="0"/>
      </w:pPr>
    </w:p>
    <w:p w:rsidR="00DE4107" w:rsidRPr="00C128BD" w:rsidRDefault="00DE4107" w:rsidP="00DE4107">
      <w:pPr>
        <w:spacing w:after="0"/>
      </w:pPr>
      <w:r w:rsidRPr="00C128BD">
        <w:t xml:space="preserve">In the Matter of the Application for </w:t>
      </w:r>
      <w:r w:rsidRPr="00C128BD">
        <w:tab/>
        <w:t>)</w:t>
      </w:r>
    </w:p>
    <w:p w:rsidR="00DE4107" w:rsidRPr="00C128BD" w:rsidRDefault="00DE4107" w:rsidP="00DE4107">
      <w:pPr>
        <w:spacing w:after="0"/>
      </w:pPr>
      <w:r w:rsidRPr="00C128BD">
        <w:t xml:space="preserve">Establishment of a Reasonable </w:t>
      </w:r>
      <w:r w:rsidRPr="00C128BD">
        <w:tab/>
      </w:r>
      <w:r w:rsidRPr="00C128BD">
        <w:tab/>
        <w:t>)</w:t>
      </w:r>
      <w:r w:rsidRPr="00C128BD">
        <w:tab/>
        <w:t>Case No. 12-1494-EL-AEC</w:t>
      </w:r>
    </w:p>
    <w:p w:rsidR="00DE4107" w:rsidRPr="00C128BD" w:rsidRDefault="00DE4107" w:rsidP="00DE4107">
      <w:pPr>
        <w:spacing w:after="0"/>
      </w:pPr>
      <w:r w:rsidRPr="00C128BD">
        <w:t>Arrangement Between ASHTA</w:t>
      </w:r>
      <w:r w:rsidRPr="00C128BD">
        <w:tab/>
      </w:r>
      <w:r w:rsidRPr="00C128BD">
        <w:tab/>
        <w:t>)</w:t>
      </w:r>
    </w:p>
    <w:p w:rsidR="00DE4107" w:rsidRPr="00C128BD" w:rsidRDefault="00DE4107" w:rsidP="00DE4107">
      <w:pPr>
        <w:spacing w:after="0"/>
      </w:pPr>
      <w:r w:rsidRPr="00C128BD">
        <w:t xml:space="preserve">Chemicals Inc. and The Cleveland </w:t>
      </w:r>
      <w:r w:rsidRPr="00C128BD">
        <w:tab/>
        <w:t>)</w:t>
      </w:r>
    </w:p>
    <w:p w:rsidR="00DE4107" w:rsidRPr="00C128BD" w:rsidRDefault="00DE4107" w:rsidP="00DE4107">
      <w:pPr>
        <w:spacing w:after="0"/>
      </w:pPr>
      <w:r w:rsidRPr="00C128BD">
        <w:t>Electric Illuminating Company</w:t>
      </w:r>
      <w:r w:rsidRPr="00C128BD">
        <w:tab/>
      </w:r>
      <w:r w:rsidRPr="00C128BD">
        <w:tab/>
        <w:t>)</w:t>
      </w:r>
    </w:p>
    <w:p w:rsidR="00DE4107" w:rsidRDefault="00DE4107" w:rsidP="00372757">
      <w:pPr>
        <w:spacing w:after="0"/>
        <w:jc w:val="center"/>
        <w:rPr>
          <w:b/>
          <w:smallCaps/>
          <w:sz w:val="28"/>
          <w:szCs w:val="28"/>
        </w:rPr>
      </w:pPr>
    </w:p>
    <w:p w:rsidR="00DE4107" w:rsidRDefault="00DE4107" w:rsidP="00372757">
      <w:pPr>
        <w:spacing w:after="0"/>
        <w:jc w:val="center"/>
        <w:rPr>
          <w:b/>
          <w:smallCaps/>
          <w:sz w:val="28"/>
          <w:szCs w:val="28"/>
        </w:rPr>
      </w:pPr>
    </w:p>
    <w:p w:rsidR="00DE4107" w:rsidRDefault="00DE4107" w:rsidP="00DE4107">
      <w:pPr>
        <w:spacing w:after="0"/>
        <w:jc w:val="center"/>
        <w:rPr>
          <w:b/>
          <w:smallCaps/>
          <w:sz w:val="28"/>
          <w:szCs w:val="28"/>
        </w:rPr>
      </w:pPr>
    </w:p>
    <w:p w:rsidR="00DE4107" w:rsidRDefault="00DE4107" w:rsidP="00DE4107">
      <w:pPr>
        <w:spacing w:after="0"/>
        <w:jc w:val="center"/>
        <w:rPr>
          <w:b/>
          <w:smallCaps/>
        </w:rPr>
      </w:pPr>
      <w:r w:rsidRPr="00DE4107">
        <w:rPr>
          <w:b/>
          <w:smallCaps/>
        </w:rPr>
        <w:t>INDEX</w:t>
      </w:r>
    </w:p>
    <w:p w:rsidR="00DE4107" w:rsidRDefault="00DE4107" w:rsidP="00DE4107">
      <w:pPr>
        <w:spacing w:after="0"/>
        <w:jc w:val="center"/>
        <w:rPr>
          <w:b/>
          <w:smallCaps/>
        </w:rPr>
      </w:pPr>
    </w:p>
    <w:p w:rsidR="00DE4107" w:rsidRDefault="00DE4107" w:rsidP="00DE4107">
      <w:pPr>
        <w:spacing w:after="0"/>
        <w:jc w:val="center"/>
        <w:rPr>
          <w:b/>
          <w:smallCaps/>
        </w:rPr>
      </w:pPr>
    </w:p>
    <w:p w:rsidR="00DE4107" w:rsidRDefault="00DE4107" w:rsidP="00DE4107">
      <w:pPr>
        <w:spacing w:after="0"/>
        <w:rPr>
          <w:u w:val="single"/>
        </w:rPr>
      </w:pP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sidR="001F5D19">
        <w:rPr>
          <w:b/>
          <w:smallCaps/>
        </w:rPr>
        <w:t xml:space="preserve">     </w:t>
      </w:r>
      <w:r w:rsidRPr="00DE4107">
        <w:rPr>
          <w:u w:val="single"/>
        </w:rPr>
        <w:t>Page No.</w:t>
      </w:r>
    </w:p>
    <w:p w:rsidR="00DE4107" w:rsidRDefault="00DE4107" w:rsidP="00DE4107">
      <w:pPr>
        <w:spacing w:after="0"/>
        <w:rPr>
          <w:u w:val="single"/>
        </w:rPr>
      </w:pPr>
    </w:p>
    <w:p w:rsidR="00DE4107" w:rsidRPr="00EF7E00" w:rsidRDefault="00DE4107" w:rsidP="00EF7E00">
      <w:pPr>
        <w:pStyle w:val="ListParagraph"/>
        <w:numPr>
          <w:ilvl w:val="0"/>
          <w:numId w:val="9"/>
        </w:numPr>
        <w:spacing w:after="0"/>
        <w:ind w:left="720"/>
        <w:rPr>
          <w:rFonts w:eastAsia="Calibri"/>
          <w:caps/>
        </w:rPr>
      </w:pPr>
      <w:r w:rsidRPr="00EF7E00">
        <w:rPr>
          <w:rFonts w:eastAsia="Calibri"/>
          <w:caps/>
        </w:rPr>
        <w:t>Background</w:t>
      </w:r>
      <w:r w:rsidR="001F5D19">
        <w:rPr>
          <w:rFonts w:eastAsia="Calibri"/>
          <w:caps/>
        </w:rPr>
        <w:tab/>
      </w:r>
      <w:r w:rsidR="001F5D19">
        <w:rPr>
          <w:rFonts w:eastAsia="Calibri"/>
          <w:caps/>
        </w:rPr>
        <w:tab/>
      </w:r>
      <w:r w:rsidR="001F5D19">
        <w:rPr>
          <w:rFonts w:eastAsia="Calibri"/>
          <w:caps/>
        </w:rPr>
        <w:tab/>
      </w:r>
      <w:r w:rsidR="001F5D19">
        <w:rPr>
          <w:rFonts w:eastAsia="Calibri"/>
          <w:caps/>
        </w:rPr>
        <w:tab/>
      </w:r>
      <w:r w:rsidR="001F5D19">
        <w:rPr>
          <w:rFonts w:eastAsia="Calibri"/>
          <w:caps/>
        </w:rPr>
        <w:tab/>
      </w:r>
      <w:r w:rsidR="001F5D19">
        <w:rPr>
          <w:rFonts w:eastAsia="Calibri"/>
          <w:caps/>
        </w:rPr>
        <w:tab/>
      </w:r>
      <w:r w:rsidR="001F5D19">
        <w:rPr>
          <w:rFonts w:eastAsia="Calibri"/>
          <w:caps/>
        </w:rPr>
        <w:tab/>
      </w:r>
      <w:r w:rsidR="001F5D19">
        <w:rPr>
          <w:rFonts w:eastAsia="Calibri"/>
          <w:caps/>
        </w:rPr>
        <w:tab/>
      </w:r>
      <w:r w:rsidR="001F5D19">
        <w:rPr>
          <w:rFonts w:eastAsia="Calibri"/>
          <w:caps/>
        </w:rPr>
        <w:tab/>
        <w:t xml:space="preserve">  1</w:t>
      </w:r>
    </w:p>
    <w:p w:rsidR="00DE4107" w:rsidRDefault="00DE4107" w:rsidP="00DE4107">
      <w:pPr>
        <w:spacing w:after="0"/>
        <w:rPr>
          <w:rFonts w:eastAsia="Calibri"/>
        </w:rPr>
      </w:pPr>
    </w:p>
    <w:p w:rsidR="00DE4107" w:rsidRPr="00EF7E00" w:rsidRDefault="00EF7E00" w:rsidP="00DE4107">
      <w:pPr>
        <w:spacing w:after="0"/>
        <w:rPr>
          <w:caps/>
        </w:rPr>
      </w:pPr>
      <w:r>
        <w:rPr>
          <w:caps/>
        </w:rPr>
        <w:t>ii.</w:t>
      </w:r>
      <w:r>
        <w:rPr>
          <w:caps/>
        </w:rPr>
        <w:tab/>
      </w:r>
      <w:r w:rsidR="00DE4107" w:rsidRPr="00EF7E00">
        <w:rPr>
          <w:caps/>
        </w:rPr>
        <w:t>Introduction</w:t>
      </w:r>
      <w:r w:rsidR="001F5D19">
        <w:rPr>
          <w:caps/>
        </w:rPr>
        <w:tab/>
      </w:r>
      <w:r w:rsidR="001F5D19">
        <w:rPr>
          <w:caps/>
        </w:rPr>
        <w:tab/>
      </w:r>
      <w:r w:rsidR="001F5D19">
        <w:rPr>
          <w:caps/>
        </w:rPr>
        <w:tab/>
      </w:r>
      <w:r w:rsidR="001F5D19">
        <w:rPr>
          <w:caps/>
        </w:rPr>
        <w:tab/>
      </w:r>
      <w:r w:rsidR="001F5D19">
        <w:rPr>
          <w:caps/>
        </w:rPr>
        <w:tab/>
      </w:r>
      <w:r w:rsidR="001F5D19">
        <w:rPr>
          <w:caps/>
        </w:rPr>
        <w:tab/>
      </w:r>
      <w:r w:rsidR="001F5D19">
        <w:rPr>
          <w:caps/>
        </w:rPr>
        <w:tab/>
      </w:r>
      <w:r w:rsidR="001F5D19">
        <w:rPr>
          <w:caps/>
        </w:rPr>
        <w:tab/>
      </w:r>
      <w:r w:rsidR="001F5D19">
        <w:rPr>
          <w:caps/>
        </w:rPr>
        <w:tab/>
        <w:t xml:space="preserve">  3</w:t>
      </w:r>
    </w:p>
    <w:p w:rsidR="00DE4107" w:rsidRDefault="00DE4107" w:rsidP="00DE4107">
      <w:pPr>
        <w:spacing w:after="0"/>
      </w:pPr>
    </w:p>
    <w:p w:rsidR="00DE4107" w:rsidRDefault="00EF7E00" w:rsidP="00DE4107">
      <w:pPr>
        <w:spacing w:after="0"/>
      </w:pPr>
      <w:r>
        <w:t>III.</w:t>
      </w:r>
      <w:r>
        <w:tab/>
      </w:r>
      <w:r w:rsidR="00DE4107" w:rsidRPr="00C128BD">
        <w:t>PARTIES</w:t>
      </w:r>
      <w:r w:rsidR="001F5D19">
        <w:tab/>
      </w:r>
      <w:r w:rsidR="001F5D19">
        <w:tab/>
      </w:r>
      <w:r w:rsidR="001F5D19">
        <w:tab/>
      </w:r>
      <w:r w:rsidR="001F5D19">
        <w:tab/>
      </w:r>
      <w:r w:rsidR="001F5D19">
        <w:tab/>
      </w:r>
      <w:r w:rsidR="001F5D19">
        <w:tab/>
      </w:r>
      <w:r w:rsidR="001F5D19">
        <w:tab/>
      </w:r>
      <w:r w:rsidR="001F5D19">
        <w:tab/>
      </w:r>
      <w:r w:rsidR="001F5D19">
        <w:tab/>
      </w:r>
      <w:r w:rsidR="001F5D19">
        <w:tab/>
        <w:t xml:space="preserve">  4</w:t>
      </w:r>
    </w:p>
    <w:p w:rsidR="00DE4107" w:rsidRDefault="00DE4107" w:rsidP="00DE4107">
      <w:pPr>
        <w:spacing w:after="0"/>
      </w:pPr>
    </w:p>
    <w:p w:rsidR="00DE4107" w:rsidRDefault="00EF7E00" w:rsidP="00DE4107">
      <w:pPr>
        <w:spacing w:after="0"/>
      </w:pPr>
      <w:r>
        <w:t>IV.</w:t>
      </w:r>
      <w:r>
        <w:tab/>
      </w:r>
      <w:r w:rsidR="00DE4107" w:rsidRPr="00C128BD">
        <w:t>RECITALS</w:t>
      </w:r>
      <w:r w:rsidR="001F5D19">
        <w:tab/>
      </w:r>
      <w:r w:rsidR="001F5D19">
        <w:tab/>
      </w:r>
      <w:r w:rsidR="001F5D19">
        <w:tab/>
      </w:r>
      <w:r w:rsidR="001F5D19">
        <w:tab/>
      </w:r>
      <w:r w:rsidR="001F5D19">
        <w:tab/>
      </w:r>
      <w:r w:rsidR="001F5D19">
        <w:tab/>
      </w:r>
      <w:r w:rsidR="001F5D19">
        <w:tab/>
      </w:r>
      <w:r w:rsidR="001F5D19">
        <w:tab/>
      </w:r>
      <w:r w:rsidR="001F5D19">
        <w:tab/>
      </w:r>
      <w:r w:rsidR="001F5D19">
        <w:tab/>
        <w:t xml:space="preserve">  4</w:t>
      </w:r>
    </w:p>
    <w:p w:rsidR="00DE4107" w:rsidRDefault="00DE4107" w:rsidP="00DE4107">
      <w:pPr>
        <w:spacing w:after="0"/>
      </w:pPr>
    </w:p>
    <w:p w:rsidR="00DE4107" w:rsidRDefault="00DE4107" w:rsidP="00EF7E00">
      <w:pPr>
        <w:pStyle w:val="ListParagraph"/>
        <w:numPr>
          <w:ilvl w:val="0"/>
          <w:numId w:val="10"/>
        </w:numPr>
        <w:spacing w:after="0"/>
        <w:ind w:left="1440" w:hanging="720"/>
      </w:pPr>
      <w:r w:rsidRPr="00C128BD">
        <w:t>Economic Retention/Development Commitments</w:t>
      </w:r>
      <w:r w:rsidR="001F5D19">
        <w:tab/>
      </w:r>
      <w:r w:rsidR="001F5D19">
        <w:tab/>
      </w:r>
      <w:r w:rsidR="001F5D19">
        <w:tab/>
        <w:t xml:space="preserve">  5</w:t>
      </w:r>
    </w:p>
    <w:p w:rsidR="00DE4107" w:rsidRDefault="00DE4107" w:rsidP="00DE4107">
      <w:pPr>
        <w:spacing w:after="0"/>
      </w:pPr>
    </w:p>
    <w:p w:rsidR="00DE4107" w:rsidRDefault="00EF7E00" w:rsidP="00EF7E00">
      <w:pPr>
        <w:spacing w:after="0"/>
        <w:ind w:firstLine="720"/>
      </w:pPr>
      <w:r>
        <w:t>B.</w:t>
      </w:r>
      <w:r>
        <w:tab/>
      </w:r>
      <w:r w:rsidR="00DE4107" w:rsidRPr="00C128BD">
        <w:t>Recommended Term of the Reasonable Arrangement</w:t>
      </w:r>
      <w:r w:rsidR="001F5D19">
        <w:tab/>
      </w:r>
      <w:r w:rsidR="001F5D19">
        <w:tab/>
      </w:r>
      <w:r w:rsidR="001F5D19">
        <w:tab/>
        <w:t xml:space="preserve">  6</w:t>
      </w:r>
    </w:p>
    <w:p w:rsidR="00DE4107" w:rsidRDefault="00DE4107" w:rsidP="00DE4107">
      <w:pPr>
        <w:spacing w:after="0"/>
      </w:pPr>
    </w:p>
    <w:p w:rsidR="00DE4107" w:rsidRDefault="00B65302" w:rsidP="00EF7E00">
      <w:pPr>
        <w:spacing w:after="0"/>
        <w:ind w:firstLine="720"/>
      </w:pPr>
      <w:r>
        <w:t>C.</w:t>
      </w:r>
      <w:r>
        <w:tab/>
      </w:r>
      <w:r w:rsidR="00DE4107" w:rsidRPr="00C128BD">
        <w:t>Distribution Service</w:t>
      </w:r>
      <w:r w:rsidR="001F5D19">
        <w:tab/>
      </w:r>
      <w:r w:rsidR="001F5D19">
        <w:tab/>
      </w:r>
      <w:r w:rsidR="001F5D19">
        <w:tab/>
      </w:r>
      <w:r w:rsidR="001F5D19">
        <w:tab/>
      </w:r>
      <w:r w:rsidR="001F5D19">
        <w:tab/>
      </w:r>
      <w:r w:rsidR="001F5D19">
        <w:tab/>
      </w:r>
      <w:r w:rsidR="001F5D19">
        <w:tab/>
      </w:r>
      <w:r w:rsidR="001F5D19">
        <w:tab/>
        <w:t xml:space="preserve">  7</w:t>
      </w:r>
    </w:p>
    <w:p w:rsidR="00DE4107" w:rsidRDefault="00DE4107" w:rsidP="00DE4107">
      <w:pPr>
        <w:spacing w:after="0"/>
      </w:pPr>
    </w:p>
    <w:p w:rsidR="00DE4107" w:rsidRDefault="00B65302" w:rsidP="00EF7E00">
      <w:pPr>
        <w:spacing w:after="0"/>
        <w:ind w:firstLine="720"/>
      </w:pPr>
      <w:r>
        <w:t>D.</w:t>
      </w:r>
      <w:r>
        <w:tab/>
      </w:r>
      <w:r w:rsidR="00DE4107">
        <w:t>Energy Efficiency (“EE”)/</w:t>
      </w:r>
      <w:r w:rsidR="00DE4107" w:rsidRPr="00C128BD">
        <w:t>Peak Demand Reduction (“PDR”)</w:t>
      </w:r>
      <w:r w:rsidR="001F5D19">
        <w:tab/>
      </w:r>
      <w:r w:rsidR="001F5D19">
        <w:tab/>
        <w:t xml:space="preserve">  8</w:t>
      </w:r>
    </w:p>
    <w:p w:rsidR="00DE4107" w:rsidRDefault="00DE4107" w:rsidP="00DE4107">
      <w:pPr>
        <w:spacing w:after="0"/>
      </w:pPr>
    </w:p>
    <w:p w:rsidR="00DE4107" w:rsidRDefault="00B65302" w:rsidP="00EF7E00">
      <w:pPr>
        <w:spacing w:after="0"/>
        <w:ind w:firstLine="720"/>
      </w:pPr>
      <w:r>
        <w:t>E.</w:t>
      </w:r>
      <w:r>
        <w:tab/>
      </w:r>
      <w:r w:rsidR="00DE4107" w:rsidRPr="00C128BD">
        <w:t>Reporting</w:t>
      </w:r>
      <w:r w:rsidR="001F5D19">
        <w:tab/>
      </w:r>
      <w:r w:rsidR="001F5D19">
        <w:tab/>
      </w:r>
      <w:r w:rsidR="001F5D19">
        <w:tab/>
      </w:r>
      <w:r w:rsidR="001F5D19">
        <w:tab/>
      </w:r>
      <w:r w:rsidR="001F5D19">
        <w:tab/>
      </w:r>
      <w:r w:rsidR="001F5D19">
        <w:tab/>
      </w:r>
      <w:r w:rsidR="001F5D19">
        <w:tab/>
      </w:r>
      <w:r w:rsidR="001F5D19">
        <w:tab/>
      </w:r>
      <w:r w:rsidR="001F5D19">
        <w:tab/>
        <w:t>12</w:t>
      </w:r>
    </w:p>
    <w:p w:rsidR="00DE4107" w:rsidRDefault="00DE4107" w:rsidP="00DE4107">
      <w:pPr>
        <w:spacing w:after="0"/>
      </w:pPr>
    </w:p>
    <w:p w:rsidR="00DE4107" w:rsidRDefault="00B65302" w:rsidP="00EF7E00">
      <w:pPr>
        <w:spacing w:after="0"/>
        <w:ind w:firstLine="720"/>
      </w:pPr>
      <w:r>
        <w:t>F.</w:t>
      </w:r>
      <w:r>
        <w:tab/>
      </w:r>
      <w:r w:rsidR="00DE4107" w:rsidRPr="000233A0">
        <w:t>Other Terms and Conditions</w:t>
      </w:r>
      <w:r w:rsidR="001F5D19">
        <w:tab/>
      </w:r>
      <w:r w:rsidR="001F5D19">
        <w:tab/>
      </w:r>
      <w:r w:rsidR="001F5D19">
        <w:tab/>
      </w:r>
      <w:r w:rsidR="001F5D19">
        <w:tab/>
      </w:r>
      <w:r w:rsidR="001F5D19">
        <w:tab/>
      </w:r>
      <w:r w:rsidR="001F5D19">
        <w:tab/>
        <w:t>13</w:t>
      </w:r>
    </w:p>
    <w:p w:rsidR="00DE4107" w:rsidRDefault="00DE4107" w:rsidP="00DE4107">
      <w:pPr>
        <w:spacing w:after="0"/>
      </w:pPr>
    </w:p>
    <w:p w:rsidR="00DE4107" w:rsidRDefault="00EF7E00" w:rsidP="00DE4107">
      <w:pPr>
        <w:spacing w:after="0"/>
      </w:pPr>
      <w:r>
        <w:t>APPENDIX A</w:t>
      </w:r>
    </w:p>
    <w:p w:rsidR="00EF7E00" w:rsidRDefault="00EF7E00" w:rsidP="00DE4107">
      <w:pPr>
        <w:spacing w:after="0"/>
      </w:pPr>
    </w:p>
    <w:p w:rsidR="00EF7E00" w:rsidRDefault="00EF7E00" w:rsidP="00DE4107">
      <w:pPr>
        <w:spacing w:after="0"/>
      </w:pPr>
      <w:r>
        <w:t>CERTIFICATE OF SERVICE</w:t>
      </w:r>
    </w:p>
    <w:p w:rsidR="00EF7E00" w:rsidRPr="00DE4107" w:rsidRDefault="00EF7E00" w:rsidP="00DE4107">
      <w:pPr>
        <w:spacing w:after="0"/>
        <w:rPr>
          <w:u w:val="single"/>
        </w:rPr>
      </w:pPr>
    </w:p>
    <w:p w:rsidR="00DE4107" w:rsidRPr="00DE4107" w:rsidRDefault="00DE4107" w:rsidP="00DE4107">
      <w:pPr>
        <w:spacing w:after="0"/>
        <w:rPr>
          <w:b/>
          <w:smallCaps/>
        </w:rPr>
        <w:sectPr w:rsidR="00DE4107" w:rsidRPr="00DE4107" w:rsidSect="00C128BD">
          <w:pgSz w:w="12240" w:h="15840" w:code="1"/>
          <w:pgMar w:top="1440" w:right="1440" w:bottom="1440" w:left="1440" w:header="720" w:footer="720" w:gutter="0"/>
          <w:pgNumType w:start="1"/>
          <w:cols w:space="720"/>
          <w:titlePg/>
          <w:docGrid w:linePitch="360"/>
        </w:sectPr>
      </w:pPr>
    </w:p>
    <w:p w:rsidR="00AF3DF8" w:rsidRPr="00C128BD" w:rsidRDefault="00AF3DF8" w:rsidP="00372757">
      <w:pPr>
        <w:spacing w:after="0"/>
        <w:jc w:val="center"/>
        <w:rPr>
          <w:b/>
          <w:smallCaps/>
          <w:sz w:val="28"/>
          <w:szCs w:val="28"/>
        </w:rPr>
      </w:pPr>
      <w:r w:rsidRPr="00C128BD">
        <w:rPr>
          <w:b/>
          <w:smallCaps/>
          <w:sz w:val="28"/>
          <w:szCs w:val="28"/>
        </w:rPr>
        <w:lastRenderedPageBreak/>
        <w:t>Before</w:t>
      </w:r>
    </w:p>
    <w:p w:rsidR="00AF3DF8" w:rsidRPr="00C128BD" w:rsidRDefault="00AF3DF8" w:rsidP="00372757">
      <w:pPr>
        <w:spacing w:after="0"/>
        <w:jc w:val="center"/>
        <w:rPr>
          <w:smallCaps/>
          <w:sz w:val="28"/>
          <w:szCs w:val="28"/>
        </w:rPr>
      </w:pPr>
      <w:r w:rsidRPr="00C128BD">
        <w:rPr>
          <w:b/>
          <w:smallCaps/>
          <w:sz w:val="28"/>
          <w:szCs w:val="28"/>
        </w:rPr>
        <w:t>The Public Utilities Commission of Ohio</w:t>
      </w:r>
    </w:p>
    <w:p w:rsidR="00AF3DF8" w:rsidRPr="00C128BD" w:rsidRDefault="00AF3DF8" w:rsidP="00372757">
      <w:pPr>
        <w:spacing w:after="0"/>
      </w:pPr>
    </w:p>
    <w:p w:rsidR="00AF3DF8" w:rsidRPr="00C128BD" w:rsidRDefault="00AF3DF8" w:rsidP="00372757">
      <w:pPr>
        <w:spacing w:after="0"/>
      </w:pPr>
      <w:r w:rsidRPr="00C128BD">
        <w:t xml:space="preserve">In the Matter of the Application for </w:t>
      </w:r>
      <w:r w:rsidRPr="00C128BD">
        <w:tab/>
        <w:t>)</w:t>
      </w:r>
    </w:p>
    <w:p w:rsidR="00AF3DF8" w:rsidRPr="00C128BD" w:rsidRDefault="00AF3DF8" w:rsidP="00372757">
      <w:pPr>
        <w:spacing w:after="0"/>
      </w:pPr>
      <w:r w:rsidRPr="00C128BD">
        <w:t xml:space="preserve">Establishment of a Reasonable </w:t>
      </w:r>
      <w:r w:rsidRPr="00C128BD">
        <w:tab/>
      </w:r>
      <w:r w:rsidRPr="00C128BD">
        <w:tab/>
        <w:t>)</w:t>
      </w:r>
      <w:r w:rsidRPr="00C128BD">
        <w:tab/>
        <w:t>Case No. 12-1494-EL-AEC</w:t>
      </w:r>
    </w:p>
    <w:p w:rsidR="00AF3DF8" w:rsidRPr="00C128BD" w:rsidRDefault="00AF3DF8" w:rsidP="00372757">
      <w:pPr>
        <w:spacing w:after="0"/>
      </w:pPr>
      <w:r w:rsidRPr="00C128BD">
        <w:t>Arrangement Between ASHTA</w:t>
      </w:r>
      <w:r w:rsidRPr="00C128BD">
        <w:tab/>
      </w:r>
      <w:r w:rsidRPr="00C128BD">
        <w:tab/>
        <w:t>)</w:t>
      </w:r>
    </w:p>
    <w:p w:rsidR="00AF3DF8" w:rsidRPr="00C128BD" w:rsidRDefault="00AF3DF8" w:rsidP="00372757">
      <w:pPr>
        <w:spacing w:after="0"/>
      </w:pPr>
      <w:r w:rsidRPr="00C128BD">
        <w:t xml:space="preserve">Chemicals Inc. and The Cleveland </w:t>
      </w:r>
      <w:r w:rsidRPr="00C128BD">
        <w:tab/>
        <w:t>)</w:t>
      </w:r>
    </w:p>
    <w:p w:rsidR="00AF3DF8" w:rsidRPr="00C128BD" w:rsidRDefault="00AF3DF8" w:rsidP="00372757">
      <w:pPr>
        <w:spacing w:after="0"/>
      </w:pPr>
      <w:r w:rsidRPr="00C128BD">
        <w:t>Electric Illuminating Company</w:t>
      </w:r>
      <w:r w:rsidRPr="00C128BD">
        <w:tab/>
      </w:r>
      <w:r w:rsidRPr="00C128BD">
        <w:tab/>
        <w:t>)</w:t>
      </w:r>
    </w:p>
    <w:p w:rsidR="00AF3DF8" w:rsidRPr="00C128BD" w:rsidRDefault="00AF3DF8" w:rsidP="00372757">
      <w:pPr>
        <w:spacing w:after="0"/>
      </w:pPr>
    </w:p>
    <w:p w:rsidR="00AF3DF8" w:rsidRPr="00C128BD" w:rsidRDefault="00AF3DF8" w:rsidP="00372757">
      <w:pPr>
        <w:pBdr>
          <w:top w:val="single" w:sz="12" w:space="1" w:color="auto"/>
        </w:pBdr>
        <w:spacing w:after="0"/>
        <w:jc w:val="center"/>
      </w:pPr>
    </w:p>
    <w:p w:rsidR="00F76FDC" w:rsidRDefault="00F76FDC" w:rsidP="00F76FDC">
      <w:pPr>
        <w:spacing w:after="0"/>
        <w:jc w:val="center"/>
        <w:rPr>
          <w:b/>
          <w:smallCaps/>
          <w:sz w:val="28"/>
          <w:szCs w:val="28"/>
        </w:rPr>
      </w:pPr>
      <w:r>
        <w:rPr>
          <w:b/>
          <w:smallCaps/>
          <w:sz w:val="28"/>
          <w:szCs w:val="28"/>
        </w:rPr>
        <w:t>AMENDED PUBLIC VERSION OF</w:t>
      </w:r>
    </w:p>
    <w:p w:rsidR="00F76FDC" w:rsidRPr="00C128BD" w:rsidRDefault="00F76FDC" w:rsidP="00F76FDC">
      <w:pPr>
        <w:spacing w:after="0"/>
        <w:jc w:val="center"/>
        <w:rPr>
          <w:b/>
          <w:smallCaps/>
          <w:sz w:val="28"/>
          <w:szCs w:val="28"/>
        </w:rPr>
      </w:pPr>
      <w:r w:rsidRPr="00C128BD">
        <w:rPr>
          <w:b/>
          <w:smallCaps/>
          <w:sz w:val="28"/>
          <w:szCs w:val="28"/>
        </w:rPr>
        <w:t>JOINT</w:t>
      </w:r>
      <w:r>
        <w:rPr>
          <w:b/>
          <w:smallCaps/>
          <w:sz w:val="28"/>
          <w:szCs w:val="28"/>
        </w:rPr>
        <w:t xml:space="preserve"> </w:t>
      </w:r>
      <w:r w:rsidRPr="00C128BD">
        <w:rPr>
          <w:b/>
          <w:smallCaps/>
          <w:sz w:val="28"/>
          <w:szCs w:val="28"/>
        </w:rPr>
        <w:t>STIPULATION AND RECOMMENDATION</w:t>
      </w:r>
    </w:p>
    <w:p w:rsidR="00AF3DF8" w:rsidRPr="00C128BD" w:rsidRDefault="00AF3DF8" w:rsidP="00372757">
      <w:pPr>
        <w:pBdr>
          <w:bottom w:val="single" w:sz="12" w:space="1" w:color="auto"/>
        </w:pBdr>
        <w:spacing w:after="0"/>
        <w:jc w:val="center"/>
      </w:pPr>
    </w:p>
    <w:p w:rsidR="00AF3DF8" w:rsidRPr="00C128BD" w:rsidRDefault="00AF3DF8" w:rsidP="00372757">
      <w:pPr>
        <w:spacing w:after="0"/>
      </w:pPr>
    </w:p>
    <w:p w:rsidR="00C162D2" w:rsidRPr="00C128BD" w:rsidRDefault="009F232F" w:rsidP="00384BDA">
      <w:pPr>
        <w:pStyle w:val="Heading1"/>
        <w:rPr>
          <w:rFonts w:eastAsia="Calibri"/>
        </w:rPr>
      </w:pPr>
      <w:r w:rsidRPr="00C128BD">
        <w:rPr>
          <w:rFonts w:eastAsia="Calibri"/>
        </w:rPr>
        <w:t>Background</w:t>
      </w:r>
    </w:p>
    <w:p w:rsidR="001717A4" w:rsidRPr="00C128BD" w:rsidRDefault="001717A4" w:rsidP="00C128BD">
      <w:pPr>
        <w:spacing w:line="480" w:lineRule="auto"/>
        <w:ind w:firstLine="720"/>
        <w:jc w:val="both"/>
      </w:pPr>
      <w:r w:rsidRPr="00C128BD">
        <w:t xml:space="preserve">For purposes of resolving any contested issues that may have been raised in this proceeding, the undersigned </w:t>
      </w:r>
      <w:r w:rsidR="00970D67">
        <w:t>P</w:t>
      </w:r>
      <w:r w:rsidRPr="00C128BD">
        <w:t>arties stipulate and agree that the following statements are, based on information and belief, true and correct.</w:t>
      </w:r>
    </w:p>
    <w:p w:rsidR="00AF3DF8" w:rsidRDefault="00A57098" w:rsidP="00C128BD">
      <w:pPr>
        <w:spacing w:line="480" w:lineRule="auto"/>
        <w:ind w:firstLine="720"/>
        <w:jc w:val="both"/>
      </w:pPr>
      <w:r w:rsidRPr="00C128BD">
        <w:t>On May 7, 2012</w:t>
      </w:r>
      <w:r w:rsidR="00C128BD">
        <w:t>,</w:t>
      </w:r>
      <w:r w:rsidRPr="00C128BD">
        <w:t xml:space="preserve"> </w:t>
      </w:r>
      <w:r w:rsidR="00AF3DF8" w:rsidRPr="00C128BD">
        <w:t xml:space="preserve">ASHTA Chemicals Inc. </w:t>
      </w:r>
      <w:r w:rsidR="00CA499D" w:rsidRPr="00C128BD">
        <w:t>(“ASHTA”)</w:t>
      </w:r>
      <w:r w:rsidRPr="00C128BD">
        <w:t>, a mercantile customer as defined by Section 4928.01, Revised Code</w:t>
      </w:r>
      <w:r w:rsidR="00384BDA">
        <w:t>,</w:t>
      </w:r>
      <w:r w:rsidRPr="00C128BD">
        <w:t xml:space="preserve"> and a producer and marketer of </w:t>
      </w:r>
      <w:r w:rsidR="00202A54" w:rsidRPr="00C128BD">
        <w:t>chlorine</w:t>
      </w:r>
      <w:r w:rsidRPr="00C128BD">
        <w:t xml:space="preserve"> and </w:t>
      </w:r>
      <w:r w:rsidR="001717A4" w:rsidRPr="00C128BD">
        <w:t>potassium</w:t>
      </w:r>
      <w:r w:rsidRPr="00C128BD">
        <w:t xml:space="preserve">-based inorganic chemicals, </w:t>
      </w:r>
      <w:r w:rsidR="00BF08E7" w:rsidRPr="00C128BD">
        <w:t xml:space="preserve">properly </w:t>
      </w:r>
      <w:r w:rsidRPr="00C128BD">
        <w:t xml:space="preserve">filed an </w:t>
      </w:r>
      <w:r w:rsidR="00CA499D" w:rsidRPr="00C128BD">
        <w:t>application (“Application”)</w:t>
      </w:r>
      <w:r w:rsidR="001717A4" w:rsidRPr="00C128BD">
        <w:t xml:space="preserve"> </w:t>
      </w:r>
      <w:r w:rsidRPr="00C128BD">
        <w:t xml:space="preserve">seeking </w:t>
      </w:r>
      <w:r w:rsidR="00713ADF" w:rsidRPr="00C128BD">
        <w:t>approval of a reasonable arrangement</w:t>
      </w:r>
      <w:r w:rsidRPr="00C128BD">
        <w:t xml:space="preserve"> between The Cleveland Electric Illuminating Company </w:t>
      </w:r>
      <w:r w:rsidR="001717A4" w:rsidRPr="00C128BD">
        <w:t xml:space="preserve">(“CEI”) </w:t>
      </w:r>
      <w:r w:rsidRPr="00C128BD">
        <w:t>and ASHTA.</w:t>
      </w:r>
      <w:r w:rsidR="00D35326">
        <w:t xml:space="preserve">  The Application was properly filed pursuant to Section 4905.31, Revised Code.</w:t>
      </w:r>
    </w:p>
    <w:p w:rsidR="00945B31" w:rsidRPr="00C128BD" w:rsidRDefault="00945B31" w:rsidP="00C128BD">
      <w:pPr>
        <w:spacing w:line="480" w:lineRule="auto"/>
        <w:ind w:firstLine="720"/>
        <w:jc w:val="both"/>
      </w:pPr>
      <w:r>
        <w:t>On June 28, 2012, CEI and the Staff of the Public Utilities Commission of Ohio (“Commission”</w:t>
      </w:r>
      <w:r w:rsidR="00894EC0">
        <w:t xml:space="preserve"> or “PUCO”</w:t>
      </w:r>
      <w:r>
        <w:t>) filed comments regarding ASHTA’s Application.</w:t>
      </w:r>
    </w:p>
    <w:p w:rsidR="00945B31" w:rsidRDefault="00BF08E7" w:rsidP="00C128BD">
      <w:pPr>
        <w:spacing w:line="480" w:lineRule="auto"/>
        <w:ind w:firstLine="720"/>
        <w:jc w:val="both"/>
      </w:pPr>
      <w:r w:rsidRPr="00C128BD">
        <w:t>On August 20, 2012</w:t>
      </w:r>
      <w:r w:rsidR="00D53756">
        <w:t>,</w:t>
      </w:r>
      <w:r w:rsidRPr="00C128BD">
        <w:t xml:space="preserve"> and in response to an Entry issued in this proceeding on August 1, 2012, </w:t>
      </w:r>
      <w:r w:rsidR="00C538A5" w:rsidRPr="00C128BD">
        <w:t xml:space="preserve">ASHTA filed prepared testimony containing proposed modifications to the May 7, 2012 </w:t>
      </w:r>
      <w:r w:rsidR="00384BDA">
        <w:t>A</w:t>
      </w:r>
      <w:r w:rsidR="00C538A5" w:rsidRPr="00C128BD">
        <w:t>pplication.  The proposed modifications were submitted by ASHTA to address questions raised by the comments filed by other parties.</w:t>
      </w:r>
      <w:r w:rsidR="00F50025" w:rsidRPr="00C128BD">
        <w:t xml:space="preserve">  </w:t>
      </w:r>
      <w:r w:rsidR="00945B31">
        <w:t>On November 5, 2012, the motions to intervene filed by CEI and the Ohio Energy Group (“OEG”) we</w:t>
      </w:r>
      <w:r w:rsidR="00483E5C">
        <w:t>re</w:t>
      </w:r>
      <w:r w:rsidR="00945B31">
        <w:t xml:space="preserve"> granted.  </w:t>
      </w:r>
    </w:p>
    <w:p w:rsidR="00945B31" w:rsidRPr="00C128BD" w:rsidRDefault="00945B31" w:rsidP="00C128BD">
      <w:pPr>
        <w:spacing w:line="480" w:lineRule="auto"/>
        <w:ind w:firstLine="720"/>
        <w:jc w:val="both"/>
      </w:pPr>
      <w:r>
        <w:t>During the course of this proceeding, OEG and the Commission’s Staff have conducted discovery and ASHTA has provided timely responses to all formal and informal discovery requests.</w:t>
      </w:r>
    </w:p>
    <w:p w:rsidR="001743B6" w:rsidRDefault="001743B6" w:rsidP="00C128BD">
      <w:pPr>
        <w:spacing w:line="480" w:lineRule="auto"/>
        <w:ind w:firstLine="720"/>
        <w:jc w:val="both"/>
      </w:pPr>
      <w:r>
        <w:t>During the course of this proceeding, the Commission has received numerous letters from individuals and public officials which expressed support for approval of a reasonable arrangement for ASHTA.</w:t>
      </w:r>
    </w:p>
    <w:p w:rsidR="00C538A5" w:rsidRPr="00C128BD" w:rsidRDefault="00C538A5" w:rsidP="00C128BD">
      <w:pPr>
        <w:spacing w:line="480" w:lineRule="auto"/>
        <w:ind w:firstLine="720"/>
        <w:jc w:val="both"/>
      </w:pPr>
      <w:r w:rsidRPr="00C128BD">
        <w:t xml:space="preserve">Since </w:t>
      </w:r>
      <w:r w:rsidR="00DC0404">
        <w:t xml:space="preserve">the </w:t>
      </w:r>
      <w:r w:rsidRPr="00C128BD">
        <w:t xml:space="preserve">filing </w:t>
      </w:r>
      <w:r w:rsidR="00DC0404">
        <w:t xml:space="preserve">of ASHTA’s </w:t>
      </w:r>
      <w:r w:rsidR="00384BDA">
        <w:t>A</w:t>
      </w:r>
      <w:r w:rsidRPr="00C128BD">
        <w:t>pplication</w:t>
      </w:r>
      <w:r w:rsidR="00384BDA">
        <w:t xml:space="preserve"> on May 7, 2012, </w:t>
      </w:r>
      <w:r w:rsidR="00FE246C">
        <w:t xml:space="preserve">the </w:t>
      </w:r>
      <w:r w:rsidR="00970D67">
        <w:t>P</w:t>
      </w:r>
      <w:r w:rsidR="00FE246C">
        <w:t xml:space="preserve">arties </w:t>
      </w:r>
      <w:r w:rsidR="00384BDA">
        <w:t>ha</w:t>
      </w:r>
      <w:r w:rsidR="00FE246C">
        <w:t>ve</w:t>
      </w:r>
      <w:r w:rsidR="00384BDA">
        <w:t xml:space="preserve"> engag</w:t>
      </w:r>
      <w:r w:rsidRPr="00C128BD">
        <w:t xml:space="preserve">ed in good faith </w:t>
      </w:r>
      <w:r w:rsidR="00AF0C10" w:rsidRPr="00C128BD">
        <w:t xml:space="preserve">and lengthy </w:t>
      </w:r>
      <w:r w:rsidR="00140ABA">
        <w:t xml:space="preserve">discussions </w:t>
      </w:r>
      <w:r w:rsidRPr="00C128BD">
        <w:t xml:space="preserve">to address and resolve any issues and </w:t>
      </w:r>
      <w:r w:rsidR="00945B31">
        <w:t xml:space="preserve">exchange information related to ASHTA’s Application as modified by ASHTA’s testimony filed on </w:t>
      </w:r>
      <w:r w:rsidR="00D35326">
        <w:t>August 20, 2012</w:t>
      </w:r>
      <w:r w:rsidRPr="00C128BD">
        <w:t>.</w:t>
      </w:r>
    </w:p>
    <w:p w:rsidR="000E0BCE" w:rsidRPr="00C128BD" w:rsidRDefault="00B4029F" w:rsidP="00C128BD">
      <w:pPr>
        <w:spacing w:line="480" w:lineRule="auto"/>
        <w:ind w:firstLine="720"/>
        <w:jc w:val="both"/>
      </w:pPr>
      <w:r>
        <w:t xml:space="preserve">ASHTA </w:t>
      </w:r>
      <w:r w:rsidR="00274E0B">
        <w:t xml:space="preserve">represents </w:t>
      </w:r>
      <w:r>
        <w:t xml:space="preserve">that its </w:t>
      </w:r>
      <w:r w:rsidR="009F232F" w:rsidRPr="00C128BD">
        <w:t>c</w:t>
      </w:r>
      <w:r w:rsidR="00A57098" w:rsidRPr="00C128BD">
        <w:t xml:space="preserve">urrent </w:t>
      </w:r>
      <w:r w:rsidR="00202A54" w:rsidRPr="00C128BD">
        <w:t>manufacturing</w:t>
      </w:r>
      <w:r w:rsidR="00A57098" w:rsidRPr="00C128BD">
        <w:t xml:space="preserve"> facilities and its c</w:t>
      </w:r>
      <w:r w:rsidR="009F232F" w:rsidRPr="00C128BD">
        <w:t xml:space="preserve">orporate offices are located in or around Ashtabula, Ohio.  ASHTA currently employs </w:t>
      </w:r>
      <w:r w:rsidR="009F232F" w:rsidRPr="00AB5E4B">
        <w:t>9</w:t>
      </w:r>
      <w:r w:rsidR="00FF7F09" w:rsidRPr="00AB5E4B">
        <w:t>0</w:t>
      </w:r>
      <w:r w:rsidR="009F232F" w:rsidRPr="00AB5E4B">
        <w:t xml:space="preserve"> </w:t>
      </w:r>
      <w:r w:rsidR="00017B05" w:rsidRPr="00AB5E4B">
        <w:t>employees</w:t>
      </w:r>
      <w:r w:rsidR="009F232F" w:rsidRPr="00AB5E4B">
        <w:t xml:space="preserve"> with a combined annual payroll of approximately $9.6 million</w:t>
      </w:r>
      <w:r w:rsidR="009F232F" w:rsidRPr="00A90CCC">
        <w:t>.</w:t>
      </w:r>
      <w:r w:rsidR="009F232F" w:rsidRPr="00C128BD">
        <w:t xml:space="preserve">  </w:t>
      </w:r>
      <w:r w:rsidR="00A57098" w:rsidRPr="00C128BD">
        <w:t>A</w:t>
      </w:r>
      <w:r w:rsidR="009F232F" w:rsidRPr="00C128BD">
        <w:t>SHTA’s Ashtabula plant produces products that are sold directly to customers throughout the United States and Canada or sold through distributors to a wide variety of customers and end users.</w:t>
      </w:r>
    </w:p>
    <w:p w:rsidR="001717A4" w:rsidRPr="00C128BD" w:rsidRDefault="000E0BCE" w:rsidP="00C128BD">
      <w:pPr>
        <w:spacing w:line="480" w:lineRule="auto"/>
        <w:ind w:firstLine="720"/>
        <w:jc w:val="both"/>
      </w:pPr>
      <w:r w:rsidRPr="00C128BD">
        <w:t>ASHTA</w:t>
      </w:r>
      <w:r w:rsidR="00384BDA">
        <w:t>’s</w:t>
      </w:r>
      <w:r w:rsidRPr="00C128BD">
        <w:t xml:space="preserve"> </w:t>
      </w:r>
      <w:r w:rsidR="00A57098" w:rsidRPr="00C128BD">
        <w:t xml:space="preserve">manufacturing facilities are located </w:t>
      </w:r>
      <w:r w:rsidRPr="00C128BD">
        <w:t>within the certified service area of CEI, an electric distribution utility (“EDU”) as defined by Section 4928.01, Revised Code</w:t>
      </w:r>
      <w:r w:rsidR="001717A4" w:rsidRPr="00C128BD">
        <w:t>.</w:t>
      </w:r>
      <w:r w:rsidRPr="00C128BD">
        <w:t xml:space="preserve"> </w:t>
      </w:r>
      <w:r w:rsidR="001717A4" w:rsidRPr="00C128BD">
        <w:t xml:space="preserve"> </w:t>
      </w:r>
      <w:r w:rsidR="00A57098" w:rsidRPr="00C128BD">
        <w:t xml:space="preserve">ASHTA </w:t>
      </w:r>
      <w:r w:rsidRPr="00C128BD">
        <w:t>receives electric</w:t>
      </w:r>
      <w:r w:rsidR="00A57098" w:rsidRPr="00C128BD">
        <w:t xml:space="preserve"> distribution service</w:t>
      </w:r>
      <w:r w:rsidRPr="00C128BD">
        <w:t xml:space="preserve"> from CEI at </w:t>
      </w:r>
      <w:r w:rsidR="00AA6602">
        <w:t>transmission voltage 138 kV</w:t>
      </w:r>
      <w:r w:rsidR="00431777">
        <w:t>.</w:t>
      </w:r>
      <w:r w:rsidR="00A57098" w:rsidRPr="00411C78">
        <w:t xml:space="preserve"> </w:t>
      </w:r>
    </w:p>
    <w:p w:rsidR="009F232F" w:rsidRPr="00C128BD" w:rsidRDefault="00E96DAD" w:rsidP="00C128BD">
      <w:pPr>
        <w:spacing w:line="480" w:lineRule="auto"/>
        <w:ind w:firstLine="720"/>
        <w:jc w:val="both"/>
      </w:pPr>
      <w:r w:rsidRPr="00C128BD">
        <w:t xml:space="preserve">ASHTA’s manufacturing process is very electricity intensive. </w:t>
      </w:r>
      <w:r w:rsidR="00D53756">
        <w:t xml:space="preserve"> </w:t>
      </w:r>
      <w:r w:rsidRPr="00C128BD">
        <w:t xml:space="preserve">The delivered cost of electricity is a significant percentage of ASHTA’s total production cost and represents </w:t>
      </w:r>
      <w:r w:rsidR="00AE5097">
        <w:rPr>
          <w:noProof/>
          <w:color w:val="000000"/>
          <w:highlight w:val="black"/>
        </w:rPr>
        <w:t>'''''''''''''' '''''''''''' ''''' '''''''''''''''''''''''' ''''''''''' ''''''''''''''''''''''' ''''''''''''''''''''''''' ''''''''''</w:t>
      </w:r>
      <w:r w:rsidRPr="00C128BD">
        <w:t>.</w:t>
      </w:r>
    </w:p>
    <w:p w:rsidR="009F232F" w:rsidRPr="00C128BD" w:rsidRDefault="009F232F" w:rsidP="00C128BD">
      <w:pPr>
        <w:spacing w:line="480" w:lineRule="auto"/>
        <w:ind w:firstLine="720"/>
        <w:jc w:val="both"/>
      </w:pPr>
      <w:r w:rsidRPr="00C128BD">
        <w:t xml:space="preserve">ASHTA </w:t>
      </w:r>
      <w:r w:rsidR="001717A4" w:rsidRPr="00C128BD">
        <w:t xml:space="preserve">has been and </w:t>
      </w:r>
      <w:r w:rsidRPr="00C128BD">
        <w:t xml:space="preserve">is evaluating </w:t>
      </w:r>
      <w:r w:rsidR="00A57098" w:rsidRPr="00C128BD">
        <w:t xml:space="preserve">a major </w:t>
      </w:r>
      <w:r w:rsidRPr="00C128BD">
        <w:t xml:space="preserve">capital expenditure to significantly change </w:t>
      </w:r>
      <w:r w:rsidR="00E64713" w:rsidRPr="00C128BD">
        <w:t>the manufacturing</w:t>
      </w:r>
      <w:r w:rsidRPr="00C128BD">
        <w:t xml:space="preserve"> process at its </w:t>
      </w:r>
      <w:r w:rsidR="00A57098" w:rsidRPr="00C128BD">
        <w:t>Ashtabula</w:t>
      </w:r>
      <w:r w:rsidR="00A338A4" w:rsidRPr="00C128BD">
        <w:t>, Ohio</w:t>
      </w:r>
      <w:r w:rsidRPr="00C128BD">
        <w:t xml:space="preserve"> location.  The change </w:t>
      </w:r>
      <w:r w:rsidR="001717A4" w:rsidRPr="00C128BD">
        <w:t xml:space="preserve">could </w:t>
      </w:r>
      <w:r w:rsidRPr="00411C78">
        <w:t>expand the range and quantity of products produced and sold by ASHTA</w:t>
      </w:r>
      <w:r w:rsidR="004166B0" w:rsidRPr="00411C78">
        <w:t xml:space="preserve">. </w:t>
      </w:r>
      <w:r w:rsidR="00431777">
        <w:t xml:space="preserve"> </w:t>
      </w:r>
      <w:r w:rsidR="00D35326">
        <w:t xml:space="preserve">ASHTA has asserted that a </w:t>
      </w:r>
      <w:r w:rsidRPr="00C128BD">
        <w:t xml:space="preserve">successful transformation of the current manufacturing process is probable </w:t>
      </w:r>
      <w:r w:rsidR="00A338A4" w:rsidRPr="00C128BD">
        <w:t>if ASHTA</w:t>
      </w:r>
      <w:r w:rsidRPr="00C128BD">
        <w:t xml:space="preserve"> can secure a reliable supply of electricity </w:t>
      </w:r>
      <w:r w:rsidR="00A57098" w:rsidRPr="00C128BD">
        <w:t xml:space="preserve">at a total delivered price to justify proceeding with the </w:t>
      </w:r>
      <w:r w:rsidRPr="00C128BD">
        <w:t xml:space="preserve">capital investment.  </w:t>
      </w:r>
      <w:r w:rsidR="00D35326">
        <w:t>ASHTA believes that t</w:t>
      </w:r>
      <w:r w:rsidRPr="00C128BD">
        <w:t>his capital investment will position ASHTA’s Ohio manufacturing facility to be viable for many years, allow for substantial operational and environmental performance improvements, sustain current employment and likely expand ASHTA’s direct employment.  In addition</w:t>
      </w:r>
      <w:r w:rsidR="00894EC0">
        <w:t>,</w:t>
      </w:r>
      <w:r w:rsidR="00D35326">
        <w:t xml:space="preserve"> ASHTA believes that </w:t>
      </w:r>
      <w:r w:rsidRPr="00C128BD">
        <w:t xml:space="preserve">numerous jobs related to design, engineering and construction will be created during the </w:t>
      </w:r>
      <w:r w:rsidR="00AE5097">
        <w:rPr>
          <w:noProof/>
          <w:color w:val="000000"/>
          <w:highlight w:val="black"/>
        </w:rPr>
        <w:t>''''''' ''''' '''''' ''''''''''''''</w:t>
      </w:r>
      <w:r w:rsidR="004501F9">
        <w:t xml:space="preserve"> </w:t>
      </w:r>
      <w:r w:rsidR="00D35326">
        <w:t xml:space="preserve">transformation </w:t>
      </w:r>
      <w:r w:rsidRPr="00C128BD">
        <w:t>project cycle.</w:t>
      </w:r>
    </w:p>
    <w:p w:rsidR="009F232F" w:rsidRPr="00C128BD" w:rsidRDefault="00E96DAD" w:rsidP="00384BDA">
      <w:pPr>
        <w:pStyle w:val="Heading1"/>
      </w:pPr>
      <w:r w:rsidRPr="00C128BD">
        <w:t>Introduction</w:t>
      </w:r>
    </w:p>
    <w:p w:rsidR="00E96DAD" w:rsidRPr="00C128BD" w:rsidRDefault="00E96DAD" w:rsidP="005C58FC">
      <w:pPr>
        <w:pStyle w:val="textstyle"/>
      </w:pPr>
      <w:r w:rsidRPr="00C128BD">
        <w:t xml:space="preserve">Rule 4901-1-30, </w:t>
      </w:r>
      <w:r w:rsidR="00384BDA">
        <w:t>Ohio Administrative Code (“</w:t>
      </w:r>
      <w:r w:rsidRPr="00C128BD">
        <w:t>O</w:t>
      </w:r>
      <w:r w:rsidR="00384BDA">
        <w:t>.</w:t>
      </w:r>
      <w:r w:rsidRPr="00C128BD">
        <w:t>A</w:t>
      </w:r>
      <w:r w:rsidR="00384BDA">
        <w:t>.</w:t>
      </w:r>
      <w:r w:rsidRPr="00C128BD">
        <w:t>C</w:t>
      </w:r>
      <w:r w:rsidR="00384BDA">
        <w:t>.”)</w:t>
      </w:r>
      <w:r w:rsidRPr="00C128BD">
        <w:t xml:space="preserve">, provides that any two or more parties to a proceeding may enter into a written stipulation covering the issues presented in such a proceeding.  The purpose of this document is to set forth the understanding and agreement of the parties who have signed below and to recommend that the Commission approve and adopt this </w:t>
      </w:r>
      <w:r w:rsidR="00970D67">
        <w:t xml:space="preserve">Joint </w:t>
      </w:r>
      <w:r w:rsidRPr="00C128BD">
        <w:t xml:space="preserve">Stipulation and Recommendation (“Stipulation”) as part of its Opinion and Order in </w:t>
      </w:r>
      <w:r w:rsidR="00CA67D3">
        <w:t xml:space="preserve">this </w:t>
      </w:r>
      <w:r w:rsidRPr="00C128BD">
        <w:t xml:space="preserve">proceeding, resolving all of the </w:t>
      </w:r>
      <w:r w:rsidR="001717A4" w:rsidRPr="00C128BD">
        <w:t xml:space="preserve">contested </w:t>
      </w:r>
      <w:r w:rsidRPr="00C128BD">
        <w:t xml:space="preserve">issues </w:t>
      </w:r>
      <w:r w:rsidR="001717A4" w:rsidRPr="00C128BD">
        <w:t xml:space="preserve">that have been or could have been raised </w:t>
      </w:r>
      <w:r w:rsidRPr="00C128BD">
        <w:t>in th</w:t>
      </w:r>
      <w:r w:rsidR="00A57098" w:rsidRPr="00C128BD">
        <w:t>is</w:t>
      </w:r>
      <w:r w:rsidRPr="00C128BD">
        <w:t xml:space="preserve"> proceeding.</w:t>
      </w:r>
    </w:p>
    <w:p w:rsidR="000202BB" w:rsidRPr="00C128BD" w:rsidRDefault="00E96DAD" w:rsidP="005C58FC">
      <w:pPr>
        <w:pStyle w:val="textstyle"/>
      </w:pPr>
      <w:r w:rsidRPr="00C128BD">
        <w:t xml:space="preserve">This Stipulation is supported by adequate data and information; represents a just and reasonable resolution of issues in this proceeding; violates no regulatory principle or precedent; and is the product of lengthy, serious bargaining among knowledgeable and capable </w:t>
      </w:r>
      <w:r w:rsidR="001717A4" w:rsidRPr="00C128BD">
        <w:t>p</w:t>
      </w:r>
      <w:r w:rsidRPr="00C128BD">
        <w:t xml:space="preserve">arties in a cooperative process and undertaken by </w:t>
      </w:r>
      <w:r w:rsidR="001717A4" w:rsidRPr="00C128BD">
        <w:t>p</w:t>
      </w:r>
      <w:r w:rsidRPr="00C128BD">
        <w:t xml:space="preserve">arties representing a wide range of interests to resolve the aforementioned issues.  This Stipulation represents an accommodation of the diverse interests represented by the </w:t>
      </w:r>
      <w:r w:rsidR="00970D67">
        <w:t>P</w:t>
      </w:r>
      <w:r w:rsidRPr="00C128BD">
        <w:t xml:space="preserve">arties, and it is entitled to careful consideration by the Commission.  For purposes of resolving the issues raised by </w:t>
      </w:r>
      <w:r w:rsidR="00384BDA">
        <w:t xml:space="preserve">this </w:t>
      </w:r>
      <w:r w:rsidRPr="00C128BD">
        <w:t xml:space="preserve">proceeding, the </w:t>
      </w:r>
      <w:r w:rsidR="00BF08E7" w:rsidRPr="00C128BD">
        <w:t xml:space="preserve">undersigned </w:t>
      </w:r>
      <w:r w:rsidR="00970D67">
        <w:t>P</w:t>
      </w:r>
      <w:r w:rsidRPr="00C128BD">
        <w:t xml:space="preserve">arties </w:t>
      </w:r>
      <w:r w:rsidR="00BF08E7" w:rsidRPr="00C128BD">
        <w:t xml:space="preserve">further </w:t>
      </w:r>
      <w:r w:rsidRPr="00C128BD">
        <w:t xml:space="preserve">stipulate, agree and recommend as set forth below.  </w:t>
      </w:r>
    </w:p>
    <w:p w:rsidR="00615FFB" w:rsidRPr="00C128BD" w:rsidRDefault="00615FFB" w:rsidP="00384BDA">
      <w:pPr>
        <w:pStyle w:val="Heading1"/>
      </w:pPr>
      <w:r w:rsidRPr="00C128BD">
        <w:t>PARTIES</w:t>
      </w:r>
    </w:p>
    <w:p w:rsidR="00FC698A" w:rsidRPr="00C128BD" w:rsidRDefault="00FC698A" w:rsidP="005C58FC">
      <w:pPr>
        <w:pStyle w:val="textstyle"/>
      </w:pPr>
      <w:r w:rsidRPr="00C128BD">
        <w:t xml:space="preserve">This Stipulation is entered into by the </w:t>
      </w:r>
      <w:r w:rsidR="00D35326">
        <w:t xml:space="preserve">Commission’s </w:t>
      </w:r>
      <w:r w:rsidRPr="00C128BD">
        <w:t>Staff, ASHTA, and O</w:t>
      </w:r>
      <w:r w:rsidR="00615FFB" w:rsidRPr="00C128BD">
        <w:t>EG</w:t>
      </w:r>
      <w:r w:rsidRPr="00C128BD">
        <w:t xml:space="preserve"> (hereinafter “Parties”).</w:t>
      </w:r>
    </w:p>
    <w:p w:rsidR="00E46FEA" w:rsidRPr="00C128BD" w:rsidRDefault="00CA6211" w:rsidP="00384BDA">
      <w:pPr>
        <w:pStyle w:val="Heading1"/>
      </w:pPr>
      <w:r w:rsidRPr="00C128BD">
        <w:t>RECITALS</w:t>
      </w:r>
    </w:p>
    <w:p w:rsidR="00EF02E3" w:rsidRPr="00C128BD" w:rsidRDefault="00E46FEA" w:rsidP="00C128BD">
      <w:pPr>
        <w:spacing w:line="480" w:lineRule="auto"/>
        <w:ind w:firstLine="720"/>
        <w:jc w:val="both"/>
        <w:rPr>
          <w:b/>
        </w:rPr>
      </w:pPr>
      <w:r w:rsidRPr="00C128BD">
        <w:t xml:space="preserve">Section 4905.31, Revised Code, permits the Commission to approve and authorize a reasonable schedule or arrangement between a mercantile customer and an EDU or a public utility electric light company upon application by a mercantile customer.  ASHTA </w:t>
      </w:r>
      <w:r w:rsidR="00173470" w:rsidRPr="00C128BD">
        <w:t xml:space="preserve">filed such an application with the Commission in this docket requesting </w:t>
      </w:r>
      <w:r w:rsidRPr="00C128BD">
        <w:t>that the Commission authorize and approve a schedule or arrangement that will</w:t>
      </w:r>
      <w:r w:rsidR="00894EC0">
        <w:t>, among other things</w:t>
      </w:r>
      <w:r w:rsidR="00DC0404">
        <w:t>:</w:t>
      </w:r>
      <w:r w:rsidR="00894EC0">
        <w:t xml:space="preserve"> </w:t>
      </w:r>
      <w:r w:rsidRPr="00C128BD">
        <w:t xml:space="preserve"> </w:t>
      </w:r>
      <w:r w:rsidR="00431777">
        <w:t>(1) f</w:t>
      </w:r>
      <w:r w:rsidR="00200311" w:rsidRPr="00C128BD">
        <w:t xml:space="preserve">acilitate </w:t>
      </w:r>
      <w:r w:rsidRPr="00C128BD">
        <w:t>ASHTA</w:t>
      </w:r>
      <w:r w:rsidR="00BF08E7" w:rsidRPr="00C128BD">
        <w:t>’s ability to compete in the global economy</w:t>
      </w:r>
      <w:r w:rsidR="00D35326">
        <w:t>;</w:t>
      </w:r>
      <w:r w:rsidR="00BF08E7" w:rsidRPr="00C128BD">
        <w:t xml:space="preserve"> </w:t>
      </w:r>
      <w:r w:rsidR="00431777">
        <w:t>(2) f</w:t>
      </w:r>
      <w:r w:rsidR="00D35326">
        <w:t>acilitate ASHTA obtaining the management and owner</w:t>
      </w:r>
      <w:r w:rsidR="00DC0404">
        <w:t>ship</w:t>
      </w:r>
      <w:r w:rsidR="00D35326">
        <w:t xml:space="preserve"> approvals required to </w:t>
      </w:r>
      <w:r w:rsidRPr="00C128BD">
        <w:t xml:space="preserve">invest the capital </w:t>
      </w:r>
      <w:r w:rsidR="00BF08E7" w:rsidRPr="00C128BD">
        <w:t xml:space="preserve">that must be invested </w:t>
      </w:r>
      <w:r w:rsidRPr="00C128BD">
        <w:t xml:space="preserve">to transform </w:t>
      </w:r>
      <w:r w:rsidR="00BF08E7" w:rsidRPr="00C128BD">
        <w:t>its current manufacturing process</w:t>
      </w:r>
      <w:r w:rsidR="00D35326">
        <w:t>; (3)</w:t>
      </w:r>
      <w:r w:rsidR="00BF08E7" w:rsidRPr="00C128BD">
        <w:t xml:space="preserve"> </w:t>
      </w:r>
      <w:r w:rsidR="00431777">
        <w:t>a</w:t>
      </w:r>
      <w:r w:rsidR="00BF08E7" w:rsidRPr="00C128BD">
        <w:t>ddress certain environmental concerns</w:t>
      </w:r>
      <w:r w:rsidR="00D35326">
        <w:t>; and (4)</w:t>
      </w:r>
      <w:r w:rsidR="00BF08E7" w:rsidRPr="00C128BD">
        <w:t xml:space="preserve"> </w:t>
      </w:r>
      <w:r w:rsidR="00431777">
        <w:t>r</w:t>
      </w:r>
      <w:r w:rsidR="00BF08E7" w:rsidRPr="00C128BD">
        <w:t>educ</w:t>
      </w:r>
      <w:r w:rsidR="00483E5C">
        <w:t xml:space="preserve">e </w:t>
      </w:r>
      <w:r w:rsidR="00BF08E7" w:rsidRPr="00C128BD">
        <w:t xml:space="preserve">the </w:t>
      </w:r>
      <w:r w:rsidR="008C5616">
        <w:t>electric</w:t>
      </w:r>
      <w:r w:rsidR="00685DAB">
        <w:t>al</w:t>
      </w:r>
      <w:r w:rsidR="008C5616">
        <w:t xml:space="preserve"> </w:t>
      </w:r>
      <w:r w:rsidR="00BF08E7" w:rsidRPr="00C128BD">
        <w:t>energy intensity of ASHTA’s manufacturing process</w:t>
      </w:r>
      <w:r w:rsidR="00DC0404">
        <w:t>.</w:t>
      </w:r>
      <w:r w:rsidRPr="00C128BD">
        <w:t>.</w:t>
      </w:r>
    </w:p>
    <w:p w:rsidR="00173470" w:rsidRPr="00C128BD" w:rsidRDefault="00DC0404" w:rsidP="00C128BD">
      <w:pPr>
        <w:spacing w:line="480" w:lineRule="auto"/>
        <w:ind w:firstLine="720"/>
        <w:jc w:val="both"/>
      </w:pPr>
      <w:r>
        <w:t>In view of the foregoing, t</w:t>
      </w:r>
      <w:r w:rsidR="00173470" w:rsidRPr="00C128BD">
        <w:t>he Parties agree and recommend that the Comm</w:t>
      </w:r>
      <w:r w:rsidR="00384BDA">
        <w:t xml:space="preserve">ission approve </w:t>
      </w:r>
      <w:r w:rsidR="00FE246C">
        <w:t>this Stipulation</w:t>
      </w:r>
      <w:r w:rsidR="00173470" w:rsidRPr="00C128BD">
        <w:t>,</w:t>
      </w:r>
      <w:r w:rsidR="00FE246C">
        <w:t xml:space="preserve"> the components </w:t>
      </w:r>
      <w:r w:rsidR="00173470" w:rsidRPr="00C128BD">
        <w:t>of which are</w:t>
      </w:r>
      <w:r w:rsidR="00FE246C">
        <w:t xml:space="preserve"> all</w:t>
      </w:r>
      <w:r w:rsidR="00173470" w:rsidRPr="00C128BD">
        <w:t xml:space="preserve"> set forth below:</w:t>
      </w:r>
    </w:p>
    <w:p w:rsidR="00173470" w:rsidRPr="00C128BD" w:rsidRDefault="00173470" w:rsidP="00384BDA">
      <w:pPr>
        <w:pStyle w:val="Heading2"/>
      </w:pPr>
      <w:r w:rsidRPr="00C128BD">
        <w:t xml:space="preserve">Economic </w:t>
      </w:r>
      <w:r w:rsidR="00C538A5" w:rsidRPr="00C128BD">
        <w:t>Retention/</w:t>
      </w:r>
      <w:r w:rsidRPr="00C128BD">
        <w:t xml:space="preserve">Development </w:t>
      </w:r>
      <w:r w:rsidR="00F06FE7" w:rsidRPr="00C128BD">
        <w:t>Commitments</w:t>
      </w:r>
    </w:p>
    <w:p w:rsidR="00384BDA" w:rsidRDefault="00C538A5" w:rsidP="00384BDA">
      <w:pPr>
        <w:spacing w:line="480" w:lineRule="auto"/>
        <w:ind w:left="1440"/>
        <w:jc w:val="both"/>
      </w:pPr>
      <w:r w:rsidRPr="00C128BD">
        <w:t xml:space="preserve">Subject to approval of the reasonable arrangement recommended herein and subject to such final approvals as </w:t>
      </w:r>
      <w:r w:rsidR="00366392" w:rsidRPr="00C128BD">
        <w:t xml:space="preserve">ASHTA </w:t>
      </w:r>
      <w:r w:rsidRPr="00C128BD">
        <w:t>may need or require, ASHTA shall</w:t>
      </w:r>
      <w:r w:rsidR="00F06FE7" w:rsidRPr="00C128BD">
        <w:t>:</w:t>
      </w:r>
      <w:r w:rsidRPr="00C128BD">
        <w:t xml:space="preserve"> </w:t>
      </w:r>
    </w:p>
    <w:p w:rsidR="00F06FE7" w:rsidRPr="00C128BD" w:rsidRDefault="00384BDA" w:rsidP="00384BDA">
      <w:pPr>
        <w:spacing w:line="480" w:lineRule="auto"/>
        <w:ind w:left="2160" w:hanging="720"/>
        <w:jc w:val="both"/>
      </w:pPr>
      <w:r>
        <w:t>1.</w:t>
      </w:r>
      <w:r>
        <w:tab/>
      </w:r>
      <w:r w:rsidR="00DC0404">
        <w:t>Prior to the effective date of the reasonable arrangement attached hereto (Appendix A), ASHTA shall i</w:t>
      </w:r>
      <w:r w:rsidR="00366392" w:rsidRPr="00C128BD">
        <w:t xml:space="preserve">nvest </w:t>
      </w:r>
      <w:r w:rsidR="00C538A5" w:rsidRPr="00C128BD">
        <w:t xml:space="preserve">at least </w:t>
      </w:r>
      <w:r w:rsidR="00366392" w:rsidRPr="00AB5E4B">
        <w:t>$60 million</w:t>
      </w:r>
      <w:r w:rsidR="00366392" w:rsidRPr="00A90CCC">
        <w:t xml:space="preserve"> </w:t>
      </w:r>
      <w:r w:rsidR="00233599" w:rsidRPr="00C128BD">
        <w:t xml:space="preserve">at its existing manufacturing facility in or near Ashtabula, Ohio to </w:t>
      </w:r>
      <w:r w:rsidR="00366392" w:rsidRPr="00C128BD">
        <w:t>replace its existing mercury</w:t>
      </w:r>
      <w:r w:rsidR="00233599" w:rsidRPr="00C128BD">
        <w:t>-</w:t>
      </w:r>
      <w:r w:rsidR="00200311" w:rsidRPr="00C128BD">
        <w:t>cell</w:t>
      </w:r>
      <w:r w:rsidR="00233599" w:rsidRPr="00C128BD">
        <w:t>-</w:t>
      </w:r>
      <w:r w:rsidR="00366392" w:rsidRPr="00C128BD">
        <w:t>based manufacturing process</w:t>
      </w:r>
      <w:r w:rsidR="00DC0404">
        <w:t>.  In the event that ASHTA does not do so, the Parties recommend that such reasonable arrangement shall be null and void.</w:t>
      </w:r>
      <w:r w:rsidR="00366392" w:rsidRPr="00C128BD">
        <w:t xml:space="preserve"> </w:t>
      </w:r>
    </w:p>
    <w:p w:rsidR="001F5D19" w:rsidRDefault="00384BDA" w:rsidP="001F5D19">
      <w:pPr>
        <w:spacing w:line="480" w:lineRule="auto"/>
        <w:ind w:left="2160" w:hanging="720"/>
        <w:jc w:val="both"/>
      </w:pPr>
      <w:r>
        <w:t>2.</w:t>
      </w:r>
      <w:r>
        <w:tab/>
      </w:r>
      <w:r w:rsidR="00233599" w:rsidRPr="00C128BD">
        <w:t>Subject to the execution of an acc</w:t>
      </w:r>
      <w:r>
        <w:t>e</w:t>
      </w:r>
      <w:r w:rsidR="00F06FE7" w:rsidRPr="00C128BD">
        <w:t>ptable protective agreement or</w:t>
      </w:r>
      <w:r w:rsidR="00233599" w:rsidRPr="00C128BD">
        <w:t xml:space="preserve"> other procedures acceptable to ASHTA</w:t>
      </w:r>
      <w:r w:rsidR="00894EC0">
        <w:t>,</w:t>
      </w:r>
      <w:r w:rsidR="00233599" w:rsidRPr="00C128BD">
        <w:t xml:space="preserve"> </w:t>
      </w:r>
      <w:r w:rsidR="00366392" w:rsidRPr="00C128BD">
        <w:t xml:space="preserve">ASHTA </w:t>
      </w:r>
      <w:r w:rsidR="00233599" w:rsidRPr="00C128BD">
        <w:t>shall, following the Commission’s approval of the reasonable arrangement recommended herein and at six-month intervals during the</w:t>
      </w:r>
      <w:r w:rsidR="001F5D19">
        <w:br/>
      </w:r>
      <w:r w:rsidR="001F5D19">
        <w:br w:type="page"/>
      </w:r>
    </w:p>
    <w:p w:rsidR="00384BDA" w:rsidRDefault="00233599" w:rsidP="001F5D19">
      <w:pPr>
        <w:spacing w:line="480" w:lineRule="auto"/>
        <w:ind w:left="2160"/>
        <w:jc w:val="both"/>
      </w:pPr>
      <w:r w:rsidRPr="00C128BD">
        <w:t xml:space="preserve">construction phase, </w:t>
      </w:r>
      <w:r w:rsidR="00200311" w:rsidRPr="00C128BD">
        <w:t xml:space="preserve">provide </w:t>
      </w:r>
      <w:r w:rsidR="00DC0404">
        <w:t xml:space="preserve">or make available </w:t>
      </w:r>
      <w:r w:rsidR="00200311" w:rsidRPr="00C128BD">
        <w:t>written reports</w:t>
      </w:r>
      <w:r w:rsidR="00F83A44" w:rsidRPr="00C128BD">
        <w:rPr>
          <w:rStyle w:val="FootnoteReference"/>
        </w:rPr>
        <w:footnoteReference w:id="1"/>
      </w:r>
      <w:r w:rsidR="00200311" w:rsidRPr="00C128BD">
        <w:t xml:space="preserve"> to </w:t>
      </w:r>
      <w:r w:rsidR="00366392" w:rsidRPr="00C128BD">
        <w:t xml:space="preserve">the </w:t>
      </w:r>
      <w:r w:rsidRPr="00C128BD">
        <w:t xml:space="preserve">Commission Staff </w:t>
      </w:r>
      <w:r w:rsidR="00200311" w:rsidRPr="00C128BD">
        <w:t xml:space="preserve">and CEI </w:t>
      </w:r>
      <w:r w:rsidRPr="00C128BD">
        <w:t xml:space="preserve">regarding the </w:t>
      </w:r>
      <w:r w:rsidR="00366392" w:rsidRPr="00C128BD">
        <w:t>progress o</w:t>
      </w:r>
      <w:r w:rsidRPr="00C128BD">
        <w:t xml:space="preserve">f ASHTA’s construction and transformation of its </w:t>
      </w:r>
      <w:r w:rsidR="00366392" w:rsidRPr="00C128BD">
        <w:t>manufacturing process.</w:t>
      </w:r>
    </w:p>
    <w:p w:rsidR="00BB5AC5" w:rsidRPr="00C128BD" w:rsidRDefault="00384BDA" w:rsidP="00384BDA">
      <w:pPr>
        <w:spacing w:line="480" w:lineRule="auto"/>
        <w:ind w:left="2160" w:hanging="720"/>
        <w:jc w:val="both"/>
      </w:pPr>
      <w:r>
        <w:t>3.</w:t>
      </w:r>
      <w:r>
        <w:tab/>
      </w:r>
      <w:r w:rsidR="00F06FE7" w:rsidRPr="00C128BD">
        <w:t xml:space="preserve">During the term of the </w:t>
      </w:r>
      <w:r>
        <w:t>reasonable</w:t>
      </w:r>
      <w:r w:rsidR="00F06FE7" w:rsidRPr="00C128BD">
        <w:t xml:space="preserve"> arrangement, </w:t>
      </w:r>
      <w:r w:rsidR="00366392" w:rsidRPr="00C128BD">
        <w:t xml:space="preserve">ASHTA </w:t>
      </w:r>
      <w:r w:rsidR="00F06FE7" w:rsidRPr="00C128BD">
        <w:t xml:space="preserve">shall </w:t>
      </w:r>
      <w:r w:rsidR="00366392" w:rsidRPr="00C128BD">
        <w:t xml:space="preserve">retain </w:t>
      </w:r>
      <w:r w:rsidR="00366392" w:rsidRPr="00AB5E4B">
        <w:t>9</w:t>
      </w:r>
      <w:r w:rsidR="00FF7F09" w:rsidRPr="00AB5E4B">
        <w:t>0</w:t>
      </w:r>
      <w:r w:rsidRPr="00AB5E4B">
        <w:t xml:space="preserve"> full-</w:t>
      </w:r>
      <w:r w:rsidR="00366392" w:rsidRPr="00AB5E4B">
        <w:t xml:space="preserve">time </w:t>
      </w:r>
      <w:r w:rsidR="0071661D" w:rsidRPr="00AB5E4B">
        <w:t>or full-</w:t>
      </w:r>
      <w:r w:rsidR="00F06FE7" w:rsidRPr="00AB5E4B">
        <w:t xml:space="preserve">time equivalent </w:t>
      </w:r>
      <w:r w:rsidR="0031406E" w:rsidRPr="00AB5E4B">
        <w:t xml:space="preserve">direct </w:t>
      </w:r>
      <w:r w:rsidR="00366392" w:rsidRPr="00AB5E4B">
        <w:t>employees</w:t>
      </w:r>
      <w:r w:rsidR="00ED653E">
        <w:t xml:space="preserve"> </w:t>
      </w:r>
      <w:r w:rsidR="00366392" w:rsidRPr="00C128BD">
        <w:t xml:space="preserve">and make a good faith effort </w:t>
      </w:r>
      <w:r>
        <w:t xml:space="preserve">to hire an additional five </w:t>
      </w:r>
      <w:r w:rsidR="0071661D">
        <w:t xml:space="preserve">(5) </w:t>
      </w:r>
      <w:r>
        <w:t>full-</w:t>
      </w:r>
      <w:r w:rsidR="00366392" w:rsidRPr="00C128BD">
        <w:t xml:space="preserve">time </w:t>
      </w:r>
      <w:r>
        <w:t>or full-</w:t>
      </w:r>
      <w:r w:rsidR="00FF7F09" w:rsidRPr="00C128BD">
        <w:t xml:space="preserve">time equivalent </w:t>
      </w:r>
      <w:r w:rsidR="00366392" w:rsidRPr="00C128BD">
        <w:t>employees</w:t>
      </w:r>
      <w:r w:rsidR="003002DF">
        <w:t xml:space="preserve"> upon commercial operation of the new manufacturing process</w:t>
      </w:r>
      <w:r w:rsidR="0031406E" w:rsidRPr="0031406E">
        <w:t xml:space="preserve"> </w:t>
      </w:r>
      <w:r w:rsidR="0031406E">
        <w:t>in order to obtain the financial benefits of this Stipulation</w:t>
      </w:r>
      <w:r w:rsidR="0031406E" w:rsidRPr="00C128BD">
        <w:t>.</w:t>
      </w:r>
      <w:r w:rsidR="0071661D">
        <w:t xml:space="preserve"> </w:t>
      </w:r>
      <w:r w:rsidR="0031406E">
        <w:t xml:space="preserve"> If ASHTA fails to maintain this level of employment, the terms of this agreement are no longer in effect and ASHTA shall pay for its electric service pursuant to applicable tariffs.</w:t>
      </w:r>
      <w:r w:rsidR="0031406E" w:rsidRPr="00C128BD">
        <w:t xml:space="preserve">  </w:t>
      </w:r>
    </w:p>
    <w:p w:rsidR="00277DFD" w:rsidRPr="00C128BD" w:rsidRDefault="00F06FE7" w:rsidP="00384BDA">
      <w:pPr>
        <w:pStyle w:val="Heading2"/>
      </w:pPr>
      <w:r w:rsidRPr="00C128BD">
        <w:t xml:space="preserve">Recommended </w:t>
      </w:r>
      <w:r w:rsidR="00277DFD" w:rsidRPr="00C128BD">
        <w:t>Term</w:t>
      </w:r>
      <w:r w:rsidRPr="00C128BD">
        <w:t xml:space="preserve"> of the Reasonable Arrangement</w:t>
      </w:r>
    </w:p>
    <w:p w:rsidR="0019071F" w:rsidRPr="00274E0B" w:rsidRDefault="00F06FE7" w:rsidP="00894EC0">
      <w:pPr>
        <w:pStyle w:val="Heading2"/>
        <w:numPr>
          <w:ilvl w:val="0"/>
          <w:numId w:val="0"/>
        </w:numPr>
        <w:spacing w:line="480" w:lineRule="auto"/>
        <w:ind w:left="1440"/>
        <w:rPr>
          <w:b w:val="0"/>
        </w:rPr>
      </w:pPr>
      <w:r w:rsidRPr="00894EC0">
        <w:rPr>
          <w:b w:val="0"/>
        </w:rPr>
        <w:t xml:space="preserve">The Parties recommend that the Commission authorize a reasonable arrangement with a term of </w:t>
      </w:r>
      <w:r w:rsidR="00277DFD" w:rsidRPr="00894EC0">
        <w:rPr>
          <w:b w:val="0"/>
        </w:rPr>
        <w:t>five (5) years</w:t>
      </w:r>
      <w:r w:rsidR="00E8052E">
        <w:rPr>
          <w:b w:val="0"/>
        </w:rPr>
        <w:t>,</w:t>
      </w:r>
      <w:r w:rsidR="00F83A44" w:rsidRPr="00894EC0">
        <w:rPr>
          <w:b w:val="0"/>
        </w:rPr>
        <w:t xml:space="preserve"> </w:t>
      </w:r>
      <w:r w:rsidRPr="00894EC0">
        <w:rPr>
          <w:b w:val="0"/>
        </w:rPr>
        <w:t xml:space="preserve">which shall run from the date that </w:t>
      </w:r>
      <w:r w:rsidR="00F83A44" w:rsidRPr="00894EC0">
        <w:rPr>
          <w:b w:val="0"/>
        </w:rPr>
        <w:t>ASHTA provid</w:t>
      </w:r>
      <w:r w:rsidRPr="00894EC0">
        <w:rPr>
          <w:b w:val="0"/>
        </w:rPr>
        <w:t>es</w:t>
      </w:r>
      <w:r w:rsidR="00F83A44" w:rsidRPr="00894EC0">
        <w:rPr>
          <w:b w:val="0"/>
        </w:rPr>
        <w:t xml:space="preserve"> written notification to CEI and the </w:t>
      </w:r>
      <w:r w:rsidR="0071661D" w:rsidRPr="00894EC0">
        <w:rPr>
          <w:b w:val="0"/>
        </w:rPr>
        <w:t>Commission</w:t>
      </w:r>
      <w:r w:rsidR="00F83A44" w:rsidRPr="00894EC0">
        <w:rPr>
          <w:b w:val="0"/>
        </w:rPr>
        <w:t xml:space="preserve"> Staff that its new manufacturing process ha</w:t>
      </w:r>
      <w:r w:rsidRPr="00894EC0">
        <w:rPr>
          <w:b w:val="0"/>
        </w:rPr>
        <w:t>s</w:t>
      </w:r>
      <w:r w:rsidR="00F83A44" w:rsidRPr="00894EC0">
        <w:rPr>
          <w:b w:val="0"/>
        </w:rPr>
        <w:t xml:space="preserve"> </w:t>
      </w:r>
      <w:r w:rsidRPr="00894EC0">
        <w:rPr>
          <w:b w:val="0"/>
        </w:rPr>
        <w:t>beg</w:t>
      </w:r>
      <w:r w:rsidR="00FF7F09" w:rsidRPr="00894EC0">
        <w:rPr>
          <w:b w:val="0"/>
        </w:rPr>
        <w:t>u</w:t>
      </w:r>
      <w:r w:rsidRPr="00894EC0">
        <w:rPr>
          <w:b w:val="0"/>
        </w:rPr>
        <w:t xml:space="preserve">n </w:t>
      </w:r>
      <w:r w:rsidR="00F83A44" w:rsidRPr="00894EC0">
        <w:rPr>
          <w:b w:val="0"/>
        </w:rPr>
        <w:t xml:space="preserve">commercial operation.  </w:t>
      </w:r>
      <w:r w:rsidR="00B4029F">
        <w:rPr>
          <w:b w:val="0"/>
        </w:rPr>
        <w:t xml:space="preserve">Under no circumstances shall this </w:t>
      </w:r>
      <w:r w:rsidR="00184762">
        <w:rPr>
          <w:b w:val="0"/>
        </w:rPr>
        <w:t>contract</w:t>
      </w:r>
      <w:r w:rsidR="00B4029F">
        <w:rPr>
          <w:b w:val="0"/>
        </w:rPr>
        <w:t xml:space="preserve"> </w:t>
      </w:r>
      <w:r w:rsidR="00184762">
        <w:rPr>
          <w:b w:val="0"/>
        </w:rPr>
        <w:t xml:space="preserve">go </w:t>
      </w:r>
      <w:r w:rsidR="00B4029F">
        <w:rPr>
          <w:b w:val="0"/>
        </w:rPr>
        <w:t>beyond</w:t>
      </w:r>
      <w:r w:rsidR="00431777">
        <w:rPr>
          <w:b w:val="0"/>
          <w:strike/>
        </w:rPr>
        <w:t xml:space="preserve"> </w:t>
      </w:r>
      <w:r w:rsidR="00274E0B">
        <w:rPr>
          <w:b w:val="0"/>
        </w:rPr>
        <w:t>eight (8) years following Commission approval of the stipulation</w:t>
      </w:r>
      <w:r w:rsidR="009D43A4">
        <w:rPr>
          <w:b w:val="0"/>
        </w:rPr>
        <w:t xml:space="preserve">. </w:t>
      </w:r>
      <w:r w:rsidR="00274E0B">
        <w:rPr>
          <w:b w:val="0"/>
        </w:rPr>
        <w:t xml:space="preserve"> </w:t>
      </w:r>
    </w:p>
    <w:p w:rsidR="00366392" w:rsidRPr="00C128BD" w:rsidRDefault="00366392" w:rsidP="0031406E">
      <w:pPr>
        <w:pStyle w:val="Heading2"/>
      </w:pPr>
      <w:r w:rsidRPr="00C128BD">
        <w:t>Distribution</w:t>
      </w:r>
      <w:r w:rsidR="00F06FE7" w:rsidRPr="00C128BD">
        <w:t xml:space="preserve"> Service </w:t>
      </w:r>
    </w:p>
    <w:p w:rsidR="00366392" w:rsidRPr="00C128BD" w:rsidRDefault="00D3239C" w:rsidP="00372757">
      <w:pPr>
        <w:pStyle w:val="ListParagraph"/>
        <w:spacing w:line="480" w:lineRule="auto"/>
        <w:ind w:left="1440"/>
        <w:jc w:val="both"/>
        <w:rPr>
          <w:rFonts w:eastAsiaTheme="minorHAnsi"/>
        </w:rPr>
      </w:pPr>
      <w:r w:rsidRPr="00C128BD">
        <w:t>For the purposes identified herein, t</w:t>
      </w:r>
      <w:r w:rsidR="00EB3F7D" w:rsidRPr="00C128BD">
        <w:t xml:space="preserve">he Parties recommend that the Commission authorize a reasonable arrangement for </w:t>
      </w:r>
      <w:r w:rsidR="00F83A44" w:rsidRPr="00C128BD">
        <w:t>ASHTA</w:t>
      </w:r>
      <w:r w:rsidR="00EB3F7D" w:rsidRPr="00C128BD">
        <w:t xml:space="preserve"> that, during its term, provides ASHTA with certainty regarding the distribution-related rates and charges that may be billed to and collected from ASHTA by </w:t>
      </w:r>
      <w:r w:rsidR="00F83A44" w:rsidRPr="00C128BD">
        <w:t>CEI</w:t>
      </w:r>
      <w:r w:rsidR="009D7EF9" w:rsidRPr="00C128BD">
        <w:t xml:space="preserve">. </w:t>
      </w:r>
      <w:r w:rsidR="00F83A44" w:rsidRPr="00C128BD">
        <w:t xml:space="preserve"> </w:t>
      </w:r>
      <w:r w:rsidR="00EB3F7D" w:rsidRPr="00C128BD">
        <w:t>More specifically, the Parties recommend that the Commission approve a reasonable arrangement that requires, irrespective of what may be provided by the otherwise applicable rate</w:t>
      </w:r>
      <w:r w:rsidR="00861236">
        <w:t xml:space="preserve"> schedule</w:t>
      </w:r>
      <w:r w:rsidR="00EB3F7D" w:rsidRPr="00C128BD">
        <w:t>, CEI to bill ASHTA mo</w:t>
      </w:r>
      <w:r w:rsidR="00FF7F09" w:rsidRPr="00C128BD">
        <w:t>n</w:t>
      </w:r>
      <w:r w:rsidR="00EB3F7D" w:rsidRPr="00C128BD">
        <w:t>thly distribution-related charges in accordance with the following schedule</w:t>
      </w:r>
      <w:r w:rsidR="00200170" w:rsidRPr="00C128BD">
        <w:t>.</w:t>
      </w:r>
    </w:p>
    <w:p w:rsidR="00366392" w:rsidRPr="00C128BD" w:rsidRDefault="00366392" w:rsidP="0071661D">
      <w:pPr>
        <w:spacing w:after="240" w:line="480" w:lineRule="auto"/>
        <w:ind w:left="1440"/>
        <w:jc w:val="both"/>
        <w:rPr>
          <w:rFonts w:eastAsiaTheme="minorHAnsi"/>
        </w:rPr>
      </w:pPr>
      <w:r w:rsidRPr="00C128BD">
        <w:rPr>
          <w:rFonts w:eastAsiaTheme="minorHAnsi"/>
        </w:rPr>
        <w:t xml:space="preserve">CEI </w:t>
      </w:r>
      <w:r w:rsidR="009E6687" w:rsidRPr="00C128BD">
        <w:rPr>
          <w:rFonts w:eastAsiaTheme="minorHAnsi"/>
        </w:rPr>
        <w:t xml:space="preserve">shall first compute what ASHTA’s distribution-related bill would be under the otherwise applicable rate schedule provided that such computation shall exclude the cost recovery </w:t>
      </w:r>
      <w:r w:rsidR="00372757">
        <w:rPr>
          <w:rFonts w:eastAsiaTheme="minorHAnsi"/>
        </w:rPr>
        <w:t xml:space="preserve">mechanism </w:t>
      </w:r>
      <w:r w:rsidR="009E6687" w:rsidRPr="00C128BD">
        <w:rPr>
          <w:rFonts w:eastAsiaTheme="minorHAnsi"/>
        </w:rPr>
        <w:t>associated with the requirements of Section 4928.66, Revised Code</w:t>
      </w:r>
      <w:r w:rsidR="00372757">
        <w:rPr>
          <w:rFonts w:eastAsiaTheme="minorHAnsi"/>
        </w:rPr>
        <w:t>,</w:t>
      </w:r>
      <w:r w:rsidR="009E6687" w:rsidRPr="00C128BD">
        <w:rPr>
          <w:rFonts w:eastAsiaTheme="minorHAnsi"/>
        </w:rPr>
        <w:t xml:space="preserve"> which is presently known as </w:t>
      </w:r>
      <w:r w:rsidR="009240BE">
        <w:rPr>
          <w:rFonts w:eastAsiaTheme="minorHAnsi"/>
        </w:rPr>
        <w:t>the Demand Side Management and Energy Efficiency Rider (“</w:t>
      </w:r>
      <w:r w:rsidRPr="00C128BD">
        <w:rPr>
          <w:rFonts w:eastAsiaTheme="minorHAnsi"/>
        </w:rPr>
        <w:t>Rider DSE2</w:t>
      </w:r>
      <w:r w:rsidR="009240BE">
        <w:rPr>
          <w:rFonts w:eastAsiaTheme="minorHAnsi"/>
        </w:rPr>
        <w:t>”)</w:t>
      </w:r>
      <w:r w:rsidRPr="00C128BD">
        <w:rPr>
          <w:rFonts w:eastAsiaTheme="minorHAnsi"/>
        </w:rPr>
        <w:t xml:space="preserve"> </w:t>
      </w:r>
      <w:r w:rsidR="009E6687" w:rsidRPr="00C128BD">
        <w:rPr>
          <w:rFonts w:eastAsiaTheme="minorHAnsi"/>
        </w:rPr>
        <w:t xml:space="preserve">and shall also exclude </w:t>
      </w:r>
      <w:r w:rsidR="009240BE">
        <w:rPr>
          <w:rFonts w:eastAsiaTheme="minorHAnsi"/>
        </w:rPr>
        <w:t>the State kWh Tax Rider (“</w:t>
      </w:r>
      <w:r w:rsidRPr="00C128BD">
        <w:rPr>
          <w:rFonts w:eastAsiaTheme="minorHAnsi"/>
        </w:rPr>
        <w:t>Rider SKT</w:t>
      </w:r>
      <w:r w:rsidR="009240BE">
        <w:rPr>
          <w:rFonts w:eastAsiaTheme="minorHAnsi"/>
        </w:rPr>
        <w:t>”)</w:t>
      </w:r>
      <w:r w:rsidRPr="00C128BD">
        <w:rPr>
          <w:rFonts w:eastAsiaTheme="minorHAnsi"/>
        </w:rPr>
        <w:t>.</w:t>
      </w:r>
      <w:r w:rsidR="009E6687" w:rsidRPr="00C128BD">
        <w:rPr>
          <w:rFonts w:eastAsiaTheme="minorHAnsi"/>
        </w:rPr>
        <w:t xml:space="preserve">  </w:t>
      </w:r>
      <w:r w:rsidRPr="00C128BD">
        <w:rPr>
          <w:rFonts w:eastAsiaTheme="minorHAnsi"/>
        </w:rPr>
        <w:t xml:space="preserve">If the actual </w:t>
      </w:r>
      <w:r w:rsidR="009E6687" w:rsidRPr="00C128BD">
        <w:rPr>
          <w:rFonts w:eastAsiaTheme="minorHAnsi"/>
        </w:rPr>
        <w:t xml:space="preserve">amount of such computed distribution-related </w:t>
      </w:r>
      <w:r w:rsidR="00A90CCC">
        <w:rPr>
          <w:rFonts w:eastAsiaTheme="minorHAnsi"/>
        </w:rPr>
        <w:t>bill is less than</w:t>
      </w:r>
      <w:r w:rsidR="006C60A3" w:rsidRPr="00A90CCC">
        <w:rPr>
          <w:rFonts w:eastAsiaTheme="minorHAnsi"/>
        </w:rPr>
        <w:t xml:space="preserve"> </w:t>
      </w:r>
      <w:r w:rsidR="00AE5097">
        <w:rPr>
          <w:rFonts w:eastAsiaTheme="minorHAnsi"/>
          <w:noProof/>
          <w:color w:val="000000"/>
          <w:highlight w:val="black"/>
        </w:rPr>
        <w:t>'''''''''''' ''''''''''' ''''''''''''''''</w:t>
      </w:r>
      <w:r w:rsidRPr="00C128BD">
        <w:rPr>
          <w:rFonts w:eastAsiaTheme="minorHAnsi"/>
        </w:rPr>
        <w:t xml:space="preserve"> </w:t>
      </w:r>
      <w:r w:rsidR="00483E5C">
        <w:rPr>
          <w:rFonts w:eastAsiaTheme="minorHAnsi"/>
        </w:rPr>
        <w:t>per</w:t>
      </w:r>
      <w:r w:rsidR="00861236">
        <w:rPr>
          <w:rFonts w:eastAsiaTheme="minorHAnsi"/>
        </w:rPr>
        <w:t xml:space="preserve"> </w:t>
      </w:r>
      <w:r w:rsidR="00483E5C">
        <w:rPr>
          <w:rFonts w:eastAsiaTheme="minorHAnsi"/>
        </w:rPr>
        <w:t xml:space="preserve">kVa of monthly </w:t>
      </w:r>
      <w:r w:rsidR="00861236">
        <w:rPr>
          <w:rFonts w:eastAsiaTheme="minorHAnsi"/>
        </w:rPr>
        <w:t>billing demand</w:t>
      </w:r>
      <w:r w:rsidRPr="00C128BD">
        <w:rPr>
          <w:rFonts w:eastAsiaTheme="minorHAnsi"/>
        </w:rPr>
        <w:t xml:space="preserve">, </w:t>
      </w:r>
      <w:r w:rsidR="009E6687" w:rsidRPr="00C128BD">
        <w:rPr>
          <w:rFonts w:eastAsiaTheme="minorHAnsi"/>
        </w:rPr>
        <w:t xml:space="preserve">ASHTA shall be billed the lesser actual amount.  </w:t>
      </w:r>
      <w:r w:rsidRPr="00C128BD">
        <w:rPr>
          <w:rFonts w:eastAsiaTheme="minorHAnsi"/>
        </w:rPr>
        <w:t xml:space="preserve">If the </w:t>
      </w:r>
      <w:r w:rsidR="009E6687" w:rsidRPr="00C128BD">
        <w:rPr>
          <w:rFonts w:eastAsiaTheme="minorHAnsi"/>
        </w:rPr>
        <w:t xml:space="preserve">amount of </w:t>
      </w:r>
      <w:r w:rsidR="00372757">
        <w:rPr>
          <w:rFonts w:eastAsiaTheme="minorHAnsi"/>
        </w:rPr>
        <w:t>such computed distribution-</w:t>
      </w:r>
      <w:r w:rsidR="003C4E46" w:rsidRPr="00C128BD">
        <w:rPr>
          <w:rFonts w:eastAsiaTheme="minorHAnsi"/>
        </w:rPr>
        <w:t>related bill is gr</w:t>
      </w:r>
      <w:r w:rsidR="00FF7F09" w:rsidRPr="00C128BD">
        <w:rPr>
          <w:rFonts w:eastAsiaTheme="minorHAnsi"/>
        </w:rPr>
        <w:t>e</w:t>
      </w:r>
      <w:r w:rsidR="003C4E46" w:rsidRPr="00C128BD">
        <w:rPr>
          <w:rFonts w:eastAsiaTheme="minorHAnsi"/>
        </w:rPr>
        <w:t xml:space="preserve">ater than </w:t>
      </w:r>
      <w:r w:rsidR="00AE5097">
        <w:rPr>
          <w:rFonts w:eastAsiaTheme="minorHAnsi"/>
          <w:noProof/>
          <w:color w:val="000000"/>
          <w:highlight w:val="black"/>
        </w:rPr>
        <w:t>''''''''''''' ''''''''''' ''''''''''''''''''</w:t>
      </w:r>
      <w:r w:rsidR="00483E5C">
        <w:rPr>
          <w:rFonts w:eastAsiaTheme="minorHAnsi"/>
        </w:rPr>
        <w:t xml:space="preserve"> per kVa </w:t>
      </w:r>
      <w:r w:rsidR="00861236">
        <w:rPr>
          <w:rFonts w:eastAsiaTheme="minorHAnsi"/>
        </w:rPr>
        <w:t>of monthly billing demand</w:t>
      </w:r>
      <w:r w:rsidRPr="00C128BD">
        <w:rPr>
          <w:rFonts w:eastAsiaTheme="minorHAnsi"/>
        </w:rPr>
        <w:t xml:space="preserve">, then </w:t>
      </w:r>
      <w:r w:rsidR="003C4E46" w:rsidRPr="00C128BD">
        <w:rPr>
          <w:rFonts w:eastAsiaTheme="minorHAnsi"/>
        </w:rPr>
        <w:t>ASHTA shall be billed</w:t>
      </w:r>
      <w:r w:rsidR="006C60A3">
        <w:rPr>
          <w:rFonts w:eastAsiaTheme="minorHAnsi"/>
        </w:rPr>
        <w:t xml:space="preserve"> </w:t>
      </w:r>
      <w:r w:rsidR="00AE5097">
        <w:rPr>
          <w:rFonts w:eastAsiaTheme="minorHAnsi"/>
          <w:noProof/>
          <w:color w:val="000000"/>
          <w:highlight w:val="black"/>
        </w:rPr>
        <w:t>''''''''''' ''''''''' ''''''''''''''''</w:t>
      </w:r>
      <w:r w:rsidR="00E8052E">
        <w:rPr>
          <w:rFonts w:eastAsiaTheme="minorHAnsi"/>
        </w:rPr>
        <w:t xml:space="preserve"> </w:t>
      </w:r>
      <w:r w:rsidR="00431777">
        <w:rPr>
          <w:rFonts w:eastAsiaTheme="minorHAnsi"/>
        </w:rPr>
        <w:t xml:space="preserve">per </w:t>
      </w:r>
      <w:r w:rsidRPr="00C128BD">
        <w:rPr>
          <w:rFonts w:eastAsiaTheme="minorHAnsi"/>
        </w:rPr>
        <w:t>k</w:t>
      </w:r>
      <w:r w:rsidR="003C4E46" w:rsidRPr="00C128BD">
        <w:rPr>
          <w:rFonts w:eastAsiaTheme="minorHAnsi"/>
        </w:rPr>
        <w:t>V</w:t>
      </w:r>
      <w:r w:rsidR="00431777">
        <w:rPr>
          <w:rFonts w:eastAsiaTheme="minorHAnsi"/>
        </w:rPr>
        <w:t>a of</w:t>
      </w:r>
      <w:r w:rsidRPr="00C128BD">
        <w:rPr>
          <w:rFonts w:eastAsiaTheme="minorHAnsi"/>
        </w:rPr>
        <w:t xml:space="preserve"> month</w:t>
      </w:r>
      <w:r w:rsidR="00861236">
        <w:rPr>
          <w:rFonts w:eastAsiaTheme="minorHAnsi"/>
        </w:rPr>
        <w:t>ly billing demand</w:t>
      </w:r>
      <w:r w:rsidR="003C4E46" w:rsidRPr="00C128BD">
        <w:rPr>
          <w:rFonts w:eastAsiaTheme="minorHAnsi"/>
        </w:rPr>
        <w:t xml:space="preserve"> provided that this limitation on the amount that CEI may bill ASHTA in any </w:t>
      </w:r>
      <w:r w:rsidR="00861236">
        <w:rPr>
          <w:rFonts w:eastAsiaTheme="minorHAnsi"/>
        </w:rPr>
        <w:t xml:space="preserve">one billing </w:t>
      </w:r>
      <w:r w:rsidR="003C4E46" w:rsidRPr="00C128BD">
        <w:rPr>
          <w:rFonts w:eastAsiaTheme="minorHAnsi"/>
        </w:rPr>
        <w:t>month for distribution-re</w:t>
      </w:r>
      <w:r w:rsidR="00FF7F09" w:rsidRPr="00C128BD">
        <w:rPr>
          <w:rFonts w:eastAsiaTheme="minorHAnsi"/>
        </w:rPr>
        <w:t>l</w:t>
      </w:r>
      <w:r w:rsidR="003C4E46" w:rsidRPr="00C128BD">
        <w:rPr>
          <w:rFonts w:eastAsiaTheme="minorHAnsi"/>
        </w:rPr>
        <w:t>ated charges shall not exceed $25,000 and CEI shall be entitled to recover, th</w:t>
      </w:r>
      <w:r w:rsidR="0031406E">
        <w:rPr>
          <w:rFonts w:eastAsiaTheme="minorHAnsi"/>
        </w:rPr>
        <w:t>r</w:t>
      </w:r>
      <w:r w:rsidR="003C4E46" w:rsidRPr="00C128BD">
        <w:rPr>
          <w:rFonts w:eastAsiaTheme="minorHAnsi"/>
        </w:rPr>
        <w:t xml:space="preserve">ough its </w:t>
      </w:r>
      <w:r w:rsidR="009240BE">
        <w:rPr>
          <w:rFonts w:eastAsiaTheme="minorHAnsi"/>
        </w:rPr>
        <w:t xml:space="preserve">Delta Revenue Recovery Rider (“Rider </w:t>
      </w:r>
      <w:r w:rsidR="0031406E">
        <w:rPr>
          <w:rFonts w:eastAsiaTheme="minorHAnsi"/>
        </w:rPr>
        <w:t>DRR</w:t>
      </w:r>
      <w:r w:rsidR="009240BE">
        <w:rPr>
          <w:rFonts w:eastAsiaTheme="minorHAnsi"/>
        </w:rPr>
        <w:t>”</w:t>
      </w:r>
      <w:r w:rsidR="00E8052E">
        <w:rPr>
          <w:rFonts w:eastAsiaTheme="minorHAnsi"/>
        </w:rPr>
        <w:t>)</w:t>
      </w:r>
      <w:r w:rsidR="0031406E">
        <w:rPr>
          <w:rFonts w:eastAsiaTheme="minorHAnsi"/>
        </w:rPr>
        <w:t xml:space="preserve"> or successor </w:t>
      </w:r>
      <w:r w:rsidR="003C4E46" w:rsidRPr="00C128BD">
        <w:rPr>
          <w:rFonts w:eastAsiaTheme="minorHAnsi"/>
        </w:rPr>
        <w:t>rider, one hundred percent (100%) of any delta revenue that may arise from this limitation on the amount that CEI may bill ASHTA for distribution-related charges</w:t>
      </w:r>
      <w:r w:rsidRPr="00C128BD">
        <w:rPr>
          <w:rFonts w:eastAsiaTheme="minorHAnsi"/>
        </w:rPr>
        <w:t>.</w:t>
      </w:r>
    </w:p>
    <w:p w:rsidR="00FC107B" w:rsidRPr="00C128BD" w:rsidRDefault="00B42F17" w:rsidP="00372757">
      <w:pPr>
        <w:pStyle w:val="Heading2"/>
      </w:pPr>
      <w:r>
        <w:t>Energy Efficiency (“EE”)/</w:t>
      </w:r>
      <w:r w:rsidR="00304B83" w:rsidRPr="00C128BD">
        <w:t>Peak Demand Reduction (“PDR”)</w:t>
      </w:r>
    </w:p>
    <w:p w:rsidR="00E14C00" w:rsidRDefault="009D7EF9" w:rsidP="00372757">
      <w:pPr>
        <w:spacing w:line="480" w:lineRule="auto"/>
        <w:ind w:left="1440"/>
        <w:jc w:val="both"/>
      </w:pPr>
      <w:r w:rsidRPr="00C128BD">
        <w:t xml:space="preserve">In recognition of ASHTA’s existing customer-sited </w:t>
      </w:r>
      <w:r w:rsidR="00372757">
        <w:t xml:space="preserve">PDR </w:t>
      </w:r>
      <w:r w:rsidRPr="00C128BD">
        <w:t>capabilities</w:t>
      </w:r>
      <w:r w:rsidR="00E14C00" w:rsidRPr="00C128BD">
        <w:t xml:space="preserve"> described in the </w:t>
      </w:r>
      <w:r w:rsidR="00FF7F09" w:rsidRPr="00C128BD">
        <w:t xml:space="preserve">direct </w:t>
      </w:r>
      <w:r w:rsidR="00E14C00" w:rsidRPr="00C128BD">
        <w:t>testimony of</w:t>
      </w:r>
      <w:r w:rsidR="00E60B54">
        <w:t xml:space="preserve"> Richard L</w:t>
      </w:r>
      <w:r w:rsidR="00FF7F09" w:rsidRPr="00C128BD">
        <w:t>. Jackson</w:t>
      </w:r>
      <w:r w:rsidR="008D427B">
        <w:t xml:space="preserve"> which was filed on August 20, 2012</w:t>
      </w:r>
      <w:r w:rsidRPr="00C128BD">
        <w:t xml:space="preserve">, </w:t>
      </w:r>
      <w:r w:rsidR="005009C1" w:rsidRPr="00C128BD">
        <w:t xml:space="preserve">and prior to the effective date of the term of the reasonable arrangement recommended herein, </w:t>
      </w:r>
      <w:r w:rsidRPr="00C128BD">
        <w:t xml:space="preserve">the Parties recommend that the Commission provide ASHTA with an immediate exemption from CEI’s </w:t>
      </w:r>
      <w:r w:rsidR="00B42F17">
        <w:t xml:space="preserve">Rider </w:t>
      </w:r>
      <w:r w:rsidRPr="00C128BD">
        <w:t>DSE2 and suc</w:t>
      </w:r>
      <w:r w:rsidR="00372757">
        <w:t>c</w:t>
      </w:r>
      <w:r w:rsidRPr="00C128BD">
        <w:t xml:space="preserve">essors provided </w:t>
      </w:r>
      <w:r w:rsidR="00372757">
        <w:t xml:space="preserve">that </w:t>
      </w:r>
      <w:r w:rsidRPr="00C128BD">
        <w:t xml:space="preserve">ASHTA commits such capabilities to CEI for the term of the exemption.  The Parties further recommend that such exemption </w:t>
      </w:r>
      <w:r w:rsidR="00E14C00" w:rsidRPr="00C128BD">
        <w:t xml:space="preserve">be effective with the first billing month subsequent to the </w:t>
      </w:r>
      <w:r w:rsidR="00372757">
        <w:t xml:space="preserve">Commission’s </w:t>
      </w:r>
      <w:r w:rsidR="00E14C00" w:rsidRPr="00C128BD">
        <w:t>approval of the exemption and extend for a period of thirty</w:t>
      </w:r>
      <w:r w:rsidR="00431777">
        <w:t>-</w:t>
      </w:r>
      <w:r w:rsidR="00274E0B">
        <w:t>six</w:t>
      </w:r>
      <w:r w:rsidR="00E14C00" w:rsidRPr="00C128BD">
        <w:t xml:space="preserve"> (3</w:t>
      </w:r>
      <w:r w:rsidR="00274E0B">
        <w:t>6</w:t>
      </w:r>
      <w:r w:rsidR="00E14C00" w:rsidRPr="00C128BD">
        <w:t>) billing months thereafter</w:t>
      </w:r>
      <w:r w:rsidR="00583B5A" w:rsidRPr="00C128BD">
        <w:t xml:space="preserve"> unless terminated sooner </w:t>
      </w:r>
      <w:r w:rsidR="005009C1" w:rsidRPr="00C128BD">
        <w:t xml:space="preserve">through the process </w:t>
      </w:r>
      <w:r w:rsidR="00583B5A" w:rsidRPr="00C128BD">
        <w:t>described below</w:t>
      </w:r>
      <w:r w:rsidR="00E14C00" w:rsidRPr="00C128BD">
        <w:t xml:space="preserve">. </w:t>
      </w:r>
      <w:r w:rsidR="00431777">
        <w:t xml:space="preserve"> </w:t>
      </w:r>
      <w:r w:rsidR="00DD6EB9">
        <w:t xml:space="preserve">Furthermore, </w:t>
      </w:r>
      <w:r w:rsidR="006D1E1D">
        <w:t>if</w:t>
      </w:r>
      <w:r w:rsidR="00DD6EB9">
        <w:t xml:space="preserve"> commercial operatio</w:t>
      </w:r>
      <w:r w:rsidR="00431777">
        <w:t>ns have not commenced in thirty-</w:t>
      </w:r>
      <w:r w:rsidR="00DD6EB9">
        <w:t>six (36) months, the DSE2 rider exemption shall be suspended until commercial operation commences</w:t>
      </w:r>
      <w:r w:rsidR="004D394A">
        <w:t>.</w:t>
      </w:r>
      <w:r w:rsidR="00E14C00" w:rsidRPr="00C128BD">
        <w:t xml:space="preserve"> Additionally, the Parties recommend that the Commission find that CEI shall be permitted to count ASHTA’</w:t>
      </w:r>
      <w:r w:rsidR="00583B5A" w:rsidRPr="00C128BD">
        <w:t>s</w:t>
      </w:r>
      <w:r w:rsidR="00E14C00" w:rsidRPr="00C128BD">
        <w:t xml:space="preserve"> </w:t>
      </w:r>
      <w:r w:rsidR="00372757">
        <w:t xml:space="preserve">PDR </w:t>
      </w:r>
      <w:r w:rsidR="00E14C00" w:rsidRPr="00C128BD">
        <w:t>capabilities</w:t>
      </w:r>
      <w:r w:rsidR="005009C1" w:rsidRPr="00C128BD">
        <w:t xml:space="preserve"> both prior to the commencement of the term of the recommended reasonable arrangement and once such term commences</w:t>
      </w:r>
      <w:r w:rsidR="00583B5A" w:rsidRPr="00C128BD">
        <w:t xml:space="preserve">, whether such capabilities arise from ASHTA’s active load management or are bid into the PJM </w:t>
      </w:r>
      <w:r w:rsidR="00372757">
        <w:t xml:space="preserve">Interconnection, </w:t>
      </w:r>
      <w:r w:rsidR="00583B5A" w:rsidRPr="00C128BD">
        <w:t>L</w:t>
      </w:r>
      <w:r w:rsidR="00372757">
        <w:t>.</w:t>
      </w:r>
      <w:r w:rsidR="00583B5A" w:rsidRPr="00C128BD">
        <w:t>L</w:t>
      </w:r>
      <w:r w:rsidR="00372757">
        <w:t>.</w:t>
      </w:r>
      <w:r w:rsidR="00583B5A" w:rsidRPr="00C128BD">
        <w:t>C</w:t>
      </w:r>
      <w:r w:rsidR="00372757">
        <w:t>.</w:t>
      </w:r>
      <w:r w:rsidR="00583B5A" w:rsidRPr="00C128BD">
        <w:t xml:space="preserve">’s (“PJM”) organized market as </w:t>
      </w:r>
      <w:r w:rsidR="00372757">
        <w:t xml:space="preserve">a </w:t>
      </w:r>
      <w:r w:rsidR="00583B5A" w:rsidRPr="00C128BD">
        <w:t>capacity resource</w:t>
      </w:r>
      <w:r w:rsidR="00E14C00" w:rsidRPr="00C128BD">
        <w:t xml:space="preserve"> </w:t>
      </w:r>
      <w:r w:rsidR="00583B5A" w:rsidRPr="00C128BD">
        <w:t xml:space="preserve">and </w:t>
      </w:r>
      <w:r w:rsidR="00E14C00" w:rsidRPr="00C128BD">
        <w:t>for purposes of measuring compliance with the obligations contained in Section 4928.66, Revised Code</w:t>
      </w:r>
      <w:r w:rsidR="00372757">
        <w:t>,</w:t>
      </w:r>
      <w:r w:rsidR="00E14C00" w:rsidRPr="00C128BD">
        <w:t xml:space="preserve"> irrespective of the status of ASHTA’s exemption from </w:t>
      </w:r>
      <w:r w:rsidR="009240BE">
        <w:t xml:space="preserve">Rider </w:t>
      </w:r>
      <w:r w:rsidR="00E14C00" w:rsidRPr="00C128BD">
        <w:t>DSE2 or su</w:t>
      </w:r>
      <w:r w:rsidR="00372757">
        <w:t>c</w:t>
      </w:r>
      <w:r w:rsidR="00E14C00" w:rsidRPr="00C128BD">
        <w:t>cessors</w:t>
      </w:r>
      <w:r w:rsidR="00583B5A" w:rsidRPr="00C128BD">
        <w:t>.</w:t>
      </w:r>
      <w:r w:rsidR="00583B5A" w:rsidRPr="00C128BD">
        <w:rPr>
          <w:rStyle w:val="FootnoteReference"/>
        </w:rPr>
        <w:footnoteReference w:id="2"/>
      </w:r>
    </w:p>
    <w:p w:rsidR="006C6244" w:rsidRDefault="006C6244" w:rsidP="00894EC0">
      <w:pPr>
        <w:spacing w:line="480" w:lineRule="auto"/>
        <w:ind w:left="1440"/>
        <w:jc w:val="both"/>
      </w:pPr>
      <w:r>
        <w:t xml:space="preserve">For the purpose of measuring CEI’s compliance with </w:t>
      </w:r>
      <w:r w:rsidR="00640216">
        <w:t xml:space="preserve">the PDR requirements of </w:t>
      </w:r>
      <w:r>
        <w:t xml:space="preserve">Section 4928.66, Revised Code, </w:t>
      </w:r>
      <w:r w:rsidR="008D427B">
        <w:t xml:space="preserve">the Parties recommend that the Commission find that CEI shall be permitted to count the </w:t>
      </w:r>
      <w:r w:rsidR="00781723">
        <w:t xml:space="preserve">annualized </w:t>
      </w:r>
      <w:r w:rsidR="008D427B">
        <w:t xml:space="preserve">positive difference between </w:t>
      </w:r>
      <w:r>
        <w:t xml:space="preserve">ASHTA’s </w:t>
      </w:r>
      <w:r w:rsidR="008D427B">
        <w:t xml:space="preserve">PJM-related </w:t>
      </w:r>
      <w:r>
        <w:t xml:space="preserve">peak load contribution </w:t>
      </w:r>
      <w:r w:rsidR="00640216">
        <w:t xml:space="preserve">(“PLC”) </w:t>
      </w:r>
      <w:r w:rsidR="008D427B">
        <w:t xml:space="preserve">factor </w:t>
      </w:r>
      <w:r>
        <w:t>for the June 1, 201</w:t>
      </w:r>
      <w:r w:rsidR="008D427B">
        <w:t>2</w:t>
      </w:r>
      <w:r>
        <w:t xml:space="preserve"> through May 31, 201</w:t>
      </w:r>
      <w:r w:rsidR="008D427B">
        <w:t>3</w:t>
      </w:r>
      <w:r>
        <w:t xml:space="preserve"> delivery year </w:t>
      </w:r>
      <w:r w:rsidR="008D427B">
        <w:t xml:space="preserve">of </w:t>
      </w:r>
      <w:r w:rsidR="00AE5097">
        <w:rPr>
          <w:noProof/>
          <w:color w:val="000000"/>
          <w:highlight w:val="black"/>
        </w:rPr>
        <w:t>''''''''''''''''''</w:t>
      </w:r>
      <w:r w:rsidR="00CF4074" w:rsidRPr="00A90CCC">
        <w:t xml:space="preserve"> </w:t>
      </w:r>
      <w:r w:rsidR="008D427B">
        <w:t xml:space="preserve">MW </w:t>
      </w:r>
      <w:r>
        <w:t xml:space="preserve">and </w:t>
      </w:r>
      <w:r w:rsidR="00781723">
        <w:t xml:space="preserve">ASHTA’s PJM-related </w:t>
      </w:r>
      <w:r w:rsidR="00640216">
        <w:t xml:space="preserve">PLC </w:t>
      </w:r>
      <w:r w:rsidR="00781723">
        <w:t xml:space="preserve">factor established </w:t>
      </w:r>
      <w:r>
        <w:t>for subsequent delivery years</w:t>
      </w:r>
      <w:r w:rsidR="0017153D">
        <w:t xml:space="preserve"> </w:t>
      </w:r>
      <w:r w:rsidR="0017153D" w:rsidRPr="0017153D">
        <w:t>reduced by any “add-back” quantity</w:t>
      </w:r>
      <w:r w:rsidR="00781723">
        <w:t>.</w:t>
      </w:r>
      <w:r w:rsidR="00B21617">
        <w:rPr>
          <w:rStyle w:val="FootnoteReference"/>
        </w:rPr>
        <w:footnoteReference w:id="3"/>
      </w:r>
      <w:r>
        <w:t xml:space="preserve"> </w:t>
      </w:r>
    </w:p>
    <w:p w:rsidR="00304B83" w:rsidRPr="00C128BD" w:rsidRDefault="00AC4199" w:rsidP="00CA67D3">
      <w:pPr>
        <w:spacing w:line="480" w:lineRule="auto"/>
        <w:ind w:left="1440"/>
        <w:jc w:val="both"/>
      </w:pPr>
      <w:r w:rsidRPr="00C128BD">
        <w:t xml:space="preserve">The Parties recommend that the Commission </w:t>
      </w:r>
      <w:r w:rsidR="0017153D">
        <w:t xml:space="preserve">find that </w:t>
      </w:r>
      <w:r w:rsidRPr="00C128BD">
        <w:t xml:space="preserve">the </w:t>
      </w:r>
      <w:r w:rsidR="00640216">
        <w:t xml:space="preserve">duration of </w:t>
      </w:r>
      <w:r w:rsidRPr="00C128BD">
        <w:t xml:space="preserve">the immediate exemption from </w:t>
      </w:r>
      <w:r w:rsidR="009240BE">
        <w:t>Rider</w:t>
      </w:r>
      <w:r w:rsidRPr="00C128BD">
        <w:t xml:space="preserve"> DSE2 </w:t>
      </w:r>
      <w:r w:rsidR="0017153D">
        <w:t xml:space="preserve">recommended herein shall depend upon </w:t>
      </w:r>
      <w:r w:rsidRPr="00C128BD">
        <w:t>ASHTA’s compliance with the reporti</w:t>
      </w:r>
      <w:r w:rsidR="005009C1" w:rsidRPr="00C128BD">
        <w:t>ng requirements specified herein</w:t>
      </w:r>
      <w:r w:rsidRPr="00C128BD">
        <w:t xml:space="preserve"> and </w:t>
      </w:r>
      <w:r w:rsidR="005009C1" w:rsidRPr="00C128BD">
        <w:t>ASHTA’</w:t>
      </w:r>
      <w:r w:rsidR="00E55F3C" w:rsidRPr="00C128BD">
        <w:t>s submission of re</w:t>
      </w:r>
      <w:r w:rsidR="005009C1" w:rsidRPr="00C128BD">
        <w:t xml:space="preserve">ports </w:t>
      </w:r>
      <w:r w:rsidR="00E55F3C" w:rsidRPr="00C128BD">
        <w:t xml:space="preserve">that document </w:t>
      </w:r>
      <w:r w:rsidRPr="00C128BD">
        <w:t>adequate progress towards ASHTA’s manufacturing process transformation.  The Parties understand and agree that the Comm</w:t>
      </w:r>
      <w:r w:rsidR="00372757">
        <w:t>i</w:t>
      </w:r>
      <w:r w:rsidRPr="00C128BD">
        <w:t xml:space="preserve">ssion shall retain supervisory and regulatory authority over the </w:t>
      </w:r>
      <w:r w:rsidR="005009C1" w:rsidRPr="00C128BD">
        <w:t xml:space="preserve">immediate exemption and the </w:t>
      </w:r>
      <w:r w:rsidRPr="00C128BD">
        <w:t>reasonable arrangement recommended herein</w:t>
      </w:r>
      <w:r w:rsidR="005009C1" w:rsidRPr="00C128BD">
        <w:rPr>
          <w:rStyle w:val="FootnoteReference"/>
        </w:rPr>
        <w:footnoteReference w:id="4"/>
      </w:r>
      <w:r w:rsidRPr="00C128BD">
        <w:t xml:space="preserve"> and that the Commission may, for good cause shown by the Staff</w:t>
      </w:r>
      <w:r w:rsidR="009240BE">
        <w:t>,</w:t>
      </w:r>
      <w:r w:rsidRPr="00C128BD">
        <w:t xml:space="preserve"> for example, modify or terminate the immediate exemption recommended herein.</w:t>
      </w:r>
    </w:p>
    <w:p w:rsidR="00E8052E" w:rsidRDefault="005009C1" w:rsidP="00CA67D3">
      <w:pPr>
        <w:spacing w:line="480" w:lineRule="auto"/>
        <w:ind w:left="1440"/>
        <w:jc w:val="both"/>
      </w:pPr>
      <w:r w:rsidRPr="00C128BD">
        <w:t xml:space="preserve">In recognition of the </w:t>
      </w:r>
      <w:r w:rsidR="008C5616">
        <w:t>electric</w:t>
      </w:r>
      <w:r w:rsidR="00685DAB">
        <w:t>al</w:t>
      </w:r>
      <w:r w:rsidR="008C5616">
        <w:t xml:space="preserve"> </w:t>
      </w:r>
      <w:r w:rsidRPr="00C128BD">
        <w:t xml:space="preserve">energy intensity reduction potential of ASHTA’s new manufacturing process </w:t>
      </w:r>
      <w:r w:rsidR="0017153D">
        <w:t xml:space="preserve">as described in the prefiled testimony of Richard </w:t>
      </w:r>
      <w:r w:rsidR="00640216">
        <w:t xml:space="preserve">L. </w:t>
      </w:r>
      <w:r w:rsidR="0017153D">
        <w:t>Jackson</w:t>
      </w:r>
      <w:r w:rsidR="00E8052E">
        <w:t>,</w:t>
      </w:r>
      <w:r w:rsidR="0017153D">
        <w:t xml:space="preserve"> </w:t>
      </w:r>
      <w:r w:rsidRPr="00C128BD">
        <w:t xml:space="preserve">and commencing with </w:t>
      </w:r>
      <w:r w:rsidR="00EE7FA2" w:rsidRPr="00C128BD">
        <w:t xml:space="preserve">the </w:t>
      </w:r>
      <w:r w:rsidR="0017153D">
        <w:t xml:space="preserve">effective date of the </w:t>
      </w:r>
      <w:r w:rsidR="00EE7FA2" w:rsidRPr="00C128BD">
        <w:t>term of the recommended reasonable arrangement</w:t>
      </w:r>
      <w:r w:rsidR="0017153D">
        <w:t xml:space="preserve"> recommended herein</w:t>
      </w:r>
      <w:r w:rsidR="00EE7FA2" w:rsidRPr="00C128BD">
        <w:t xml:space="preserve">, the Parties recommend that the </w:t>
      </w:r>
      <w:r w:rsidR="00372757">
        <w:t xml:space="preserve">Commission </w:t>
      </w:r>
      <w:r w:rsidR="00EE7FA2" w:rsidRPr="00C128BD">
        <w:t xml:space="preserve">find that ASHTA shall continue to be exempt from </w:t>
      </w:r>
      <w:r w:rsidR="009240BE">
        <w:t xml:space="preserve">Rider </w:t>
      </w:r>
      <w:r w:rsidR="00EE7FA2" w:rsidRPr="00C128BD">
        <w:t>DSE2 and suc</w:t>
      </w:r>
      <w:r w:rsidR="00372757">
        <w:t>c</w:t>
      </w:r>
      <w:r w:rsidR="00EE7FA2" w:rsidRPr="00C128BD">
        <w:t>essors provided that such</w:t>
      </w:r>
      <w:r w:rsidR="008C5616">
        <w:t xml:space="preserve"> electric</w:t>
      </w:r>
      <w:r w:rsidR="00685DAB">
        <w:t>al</w:t>
      </w:r>
      <w:r w:rsidR="00EE7FA2" w:rsidRPr="00C128BD">
        <w:t xml:space="preserve"> energy intensity reduction potential is verified in accordance with the following process.  The Parties recommend that the Commission find that the</w:t>
      </w:r>
      <w:r w:rsidR="008C5616">
        <w:t xml:space="preserve"> electric</w:t>
      </w:r>
      <w:r w:rsidR="00685DAB">
        <w:t>al</w:t>
      </w:r>
      <w:r w:rsidR="00EE7FA2" w:rsidRPr="00C128BD">
        <w:t xml:space="preserve"> energy intensity reduction verification process shall rely on the </w:t>
      </w:r>
      <w:r w:rsidR="00CD066C" w:rsidRPr="00C128BD">
        <w:t>“as</w:t>
      </w:r>
      <w:r w:rsidR="00372757">
        <w:t>-</w:t>
      </w:r>
      <w:r w:rsidR="00CD066C" w:rsidRPr="00C128BD">
        <w:t>found” method of measurement</w:t>
      </w:r>
      <w:r w:rsidR="00411C78">
        <w:t>.</w:t>
      </w:r>
      <w:r w:rsidR="00CD066C" w:rsidRPr="00C128BD">
        <w:rPr>
          <w:rStyle w:val="FootnoteReference"/>
        </w:rPr>
        <w:footnoteReference w:id="5"/>
      </w:r>
      <w:r w:rsidR="00CD066C" w:rsidRPr="00C128BD">
        <w:t xml:space="preserve"> </w:t>
      </w:r>
      <w:r w:rsidR="00431777">
        <w:t xml:space="preserve"> </w:t>
      </w:r>
      <w:r w:rsidR="00CD066C" w:rsidRPr="00C128BD">
        <w:t xml:space="preserve">The Parties further recommend that this process permit the </w:t>
      </w:r>
      <w:r w:rsidR="00EE7FA2" w:rsidRPr="00C128BD">
        <w:t>Staff</w:t>
      </w:r>
      <w:r w:rsidR="00CD066C" w:rsidRPr="00C128BD">
        <w:t xml:space="preserve"> to verify </w:t>
      </w:r>
      <w:r w:rsidR="00EE7FA2" w:rsidRPr="00C128BD">
        <w:t>that such warranted performance reasonably identifies the</w:t>
      </w:r>
      <w:r w:rsidR="008C5616">
        <w:t xml:space="preserve"> electric</w:t>
      </w:r>
      <w:r w:rsidR="00685DAB">
        <w:t>al</w:t>
      </w:r>
      <w:r w:rsidR="00EE7FA2" w:rsidRPr="00C128BD">
        <w:t xml:space="preserve"> energy intensity reduction and customer-sited capabilities associated with the new manufacturing process</w:t>
      </w:r>
      <w:r w:rsidR="00CD066C" w:rsidRPr="00C128BD">
        <w:t xml:space="preserve"> and that the Staff shall complete such verification as soon as </w:t>
      </w:r>
      <w:r w:rsidR="00431777">
        <w:t xml:space="preserve">reasonably possible during the thirty-six (36) </w:t>
      </w:r>
      <w:r w:rsidR="00CD066C" w:rsidRPr="00C128BD">
        <w:t xml:space="preserve">month period of the immediate exemption from </w:t>
      </w:r>
      <w:r w:rsidR="009240BE">
        <w:t xml:space="preserve">Rider </w:t>
      </w:r>
      <w:r w:rsidR="00CD066C" w:rsidRPr="00C128BD">
        <w:t>DSE2 recommended herein</w:t>
      </w:r>
      <w:r w:rsidR="00EE7FA2" w:rsidRPr="00C128BD">
        <w:t xml:space="preserve">.  </w:t>
      </w:r>
      <w:r w:rsidR="00640216">
        <w:t xml:space="preserve">For </w:t>
      </w:r>
      <w:r w:rsidR="00640216" w:rsidRPr="00640216">
        <w:t xml:space="preserve">the purpose of measuring CEI’s compliance with the </w:t>
      </w:r>
      <w:r w:rsidR="00640216">
        <w:t>EE</w:t>
      </w:r>
      <w:r w:rsidR="00640216" w:rsidRPr="00640216">
        <w:t xml:space="preserve"> requirements of Section 4928.66, Revised Code</w:t>
      </w:r>
      <w:r w:rsidR="00431777">
        <w:t>,</w:t>
      </w:r>
      <w:r w:rsidR="00640216">
        <w:t xml:space="preserve"> and subject to such verification process as may apply</w:t>
      </w:r>
      <w:r w:rsidR="00640216" w:rsidRPr="00640216">
        <w:t xml:space="preserve">, the Parties recommend that the Commission find that CEI shall be permitted to count the annualized positive </w:t>
      </w:r>
      <w:r w:rsidR="003822C8">
        <w:t xml:space="preserve">kWh </w:t>
      </w:r>
      <w:r w:rsidR="00640216" w:rsidRPr="00640216">
        <w:t xml:space="preserve">difference </w:t>
      </w:r>
      <w:r w:rsidR="003822C8">
        <w:t xml:space="preserve">in </w:t>
      </w:r>
      <w:r w:rsidR="007C6520">
        <w:t xml:space="preserve">energy intensity of the existing manufacturing process </w:t>
      </w:r>
      <w:r w:rsidR="003822C8">
        <w:t xml:space="preserve">as compared to the </w:t>
      </w:r>
      <w:r w:rsidR="007C6520">
        <w:t xml:space="preserve">energy intensity of the new manufacturing process.  The energy intensity of the current </w:t>
      </w:r>
      <w:r w:rsidR="003822C8">
        <w:t xml:space="preserve">and new manufacturing </w:t>
      </w:r>
      <w:r w:rsidR="007C6520">
        <w:t xml:space="preserve">process shall be defined as the average kWh consumed </w:t>
      </w:r>
      <w:r w:rsidR="003822C8">
        <w:t xml:space="preserve">per ton of equivalent chlorine unit output.  Any such positive difference shall be multiplied times the new manufacturing process units of production and then annualized to determine the </w:t>
      </w:r>
      <w:r w:rsidR="00E8052E">
        <w:t>EE</w:t>
      </w:r>
      <w:r w:rsidR="003822C8">
        <w:t xml:space="preserve"> savings that CEI shall be permitted to count for purposes of compliance with Section 4928.66, Revised Code.</w:t>
      </w:r>
    </w:p>
    <w:p w:rsidR="00372757" w:rsidRDefault="00CD066C" w:rsidP="00CA67D3">
      <w:pPr>
        <w:spacing w:line="480" w:lineRule="auto"/>
        <w:ind w:left="1440"/>
        <w:jc w:val="both"/>
      </w:pPr>
      <w:r w:rsidRPr="00C128BD">
        <w:t>Additionally, the Parties recommend that the Commission find that upon such verification by the Staff</w:t>
      </w:r>
      <w:r w:rsidR="00B4029F">
        <w:t xml:space="preserve">, and or Staff </w:t>
      </w:r>
      <w:r w:rsidR="00DD6EB9">
        <w:t>consultants</w:t>
      </w:r>
      <w:r w:rsidR="00DD6EB9">
        <w:rPr>
          <w:rStyle w:val="CommentReference"/>
        </w:rPr>
        <w:t>,</w:t>
      </w:r>
      <w:r w:rsidR="00DD6EB9">
        <w:t xml:space="preserve"> subject to the same confidentiality requirements as Staff</w:t>
      </w:r>
      <w:r w:rsidR="00D119F6">
        <w:rPr>
          <w:rStyle w:val="FootnoteReference"/>
        </w:rPr>
        <w:footnoteReference w:id="6"/>
      </w:r>
      <w:r w:rsidR="00DD6EB9">
        <w:t>,</w:t>
      </w:r>
      <w:r w:rsidR="00B4029F">
        <w:t xml:space="preserve"> </w:t>
      </w:r>
      <w:r w:rsidR="00F50025" w:rsidRPr="00C128BD">
        <w:t xml:space="preserve">and </w:t>
      </w:r>
      <w:r w:rsidRPr="00C128BD">
        <w:t>ASHTA</w:t>
      </w:r>
      <w:r w:rsidR="00F50025" w:rsidRPr="00C128BD">
        <w:t>’s</w:t>
      </w:r>
      <w:r w:rsidRPr="00C128BD">
        <w:t xml:space="preserve"> </w:t>
      </w:r>
      <w:r w:rsidR="00F50025" w:rsidRPr="00C128BD">
        <w:t xml:space="preserve">written request filed in this proceeding, the Commission </w:t>
      </w:r>
      <w:r w:rsidR="00986C69">
        <w:t xml:space="preserve">shall </w:t>
      </w:r>
      <w:r w:rsidR="00F50025" w:rsidRPr="00C128BD">
        <w:t>confirm that</w:t>
      </w:r>
      <w:r w:rsidR="00E55F3C" w:rsidRPr="00C128BD">
        <w:t>:</w:t>
      </w:r>
      <w:r w:rsidR="00F50025" w:rsidRPr="00C128BD">
        <w:t xml:space="preserve"> </w:t>
      </w:r>
    </w:p>
    <w:p w:rsidR="009D43A4" w:rsidRDefault="00372757" w:rsidP="00CA67D3">
      <w:pPr>
        <w:spacing w:line="480" w:lineRule="auto"/>
        <w:ind w:left="2160" w:hanging="720"/>
        <w:jc w:val="both"/>
      </w:pPr>
      <w:r>
        <w:t>1.</w:t>
      </w:r>
      <w:r>
        <w:tab/>
      </w:r>
      <w:r w:rsidR="00F50025" w:rsidRPr="00C128BD">
        <w:t xml:space="preserve">ASHTA’s exemption from </w:t>
      </w:r>
      <w:r w:rsidR="009240BE">
        <w:t xml:space="preserve">Rider </w:t>
      </w:r>
      <w:r w:rsidR="00F50025" w:rsidRPr="00C128BD">
        <w:t>DSE2 and suc</w:t>
      </w:r>
      <w:r>
        <w:t>c</w:t>
      </w:r>
      <w:r w:rsidR="00F50025" w:rsidRPr="00C128BD">
        <w:t xml:space="preserve">essors </w:t>
      </w:r>
      <w:r w:rsidR="00F50025" w:rsidRPr="00DD6EB9">
        <w:t>shall</w:t>
      </w:r>
      <w:r w:rsidR="00F50025" w:rsidRPr="00C128BD">
        <w:t xml:space="preserve"> continue beyond the </w:t>
      </w:r>
      <w:r w:rsidR="00431777">
        <w:t>thirty-six (</w:t>
      </w:r>
      <w:r w:rsidR="00F50025" w:rsidRPr="00C128BD">
        <w:t>3</w:t>
      </w:r>
      <w:r w:rsidR="00274E0B">
        <w:t>6</w:t>
      </w:r>
      <w:r w:rsidR="00431777">
        <w:t xml:space="preserve">) </w:t>
      </w:r>
      <w:r w:rsidR="00F50025" w:rsidRPr="00C128BD">
        <w:t>month period of the immediate exemption</w:t>
      </w:r>
      <w:r w:rsidR="00BD6E49">
        <w:t xml:space="preserve">, </w:t>
      </w:r>
      <w:r w:rsidR="00DD6EB9">
        <w:t xml:space="preserve">provided that </w:t>
      </w:r>
      <w:r w:rsidR="009D43A4">
        <w:t xml:space="preserve">the facility </w:t>
      </w:r>
      <w:r w:rsidR="00431777">
        <w:t xml:space="preserve">is commercially operational </w:t>
      </w:r>
      <w:r w:rsidR="0018140A">
        <w:t>and</w:t>
      </w:r>
      <w:r w:rsidR="00431777">
        <w:t xml:space="preserve"> S</w:t>
      </w:r>
      <w:r w:rsidR="009D43A4">
        <w:t xml:space="preserve">taff verifies the energy savings. </w:t>
      </w:r>
    </w:p>
    <w:p w:rsidR="00372757" w:rsidRDefault="00372757" w:rsidP="00CA67D3">
      <w:pPr>
        <w:spacing w:line="480" w:lineRule="auto"/>
        <w:ind w:left="2160" w:hanging="720"/>
        <w:jc w:val="both"/>
      </w:pPr>
      <w:r>
        <w:t>2.</w:t>
      </w:r>
      <w:r>
        <w:tab/>
      </w:r>
      <w:r w:rsidR="00F50025" w:rsidRPr="00C128BD">
        <w:t>CEI shall be permitted to fully count all</w:t>
      </w:r>
      <w:r w:rsidR="008C5616">
        <w:t xml:space="preserve"> electric</w:t>
      </w:r>
      <w:r w:rsidR="00685DAB">
        <w:t>al</w:t>
      </w:r>
      <w:r w:rsidR="00F50025" w:rsidRPr="00C128BD">
        <w:t xml:space="preserve"> energy intensity reductions associated with ASHTA’s new manufacturing process for purposes of measuring compliance with the requirements in Section 4928.66, Revised Code</w:t>
      </w:r>
      <w:r w:rsidR="000F25ED">
        <w:t>.</w:t>
      </w:r>
      <w:r w:rsidR="00F50025" w:rsidRPr="00C128BD">
        <w:t xml:space="preserve"> </w:t>
      </w:r>
    </w:p>
    <w:p w:rsidR="00277DFD" w:rsidRPr="00C128BD" w:rsidRDefault="00BB5AC5" w:rsidP="00CA67D3">
      <w:pPr>
        <w:pStyle w:val="Heading2"/>
      </w:pPr>
      <w:r w:rsidRPr="00C128BD">
        <w:t>Reporting</w:t>
      </w:r>
    </w:p>
    <w:p w:rsidR="00BB5AC5" w:rsidRPr="00C128BD" w:rsidRDefault="00E55F3C" w:rsidP="00CA67D3">
      <w:pPr>
        <w:spacing w:line="480" w:lineRule="auto"/>
        <w:ind w:left="1440"/>
        <w:jc w:val="both"/>
      </w:pPr>
      <w:r w:rsidRPr="00C128BD">
        <w:t xml:space="preserve">For purposes of ASHTA’s satisfaction of the reporting requirements described herein, the Parties recommend that the </w:t>
      </w:r>
      <w:r w:rsidR="00CA67D3">
        <w:t>Commission</w:t>
      </w:r>
      <w:r w:rsidRPr="00C128BD">
        <w:t xml:space="preserve"> find that such reporting requirements shall consist of </w:t>
      </w:r>
      <w:r w:rsidR="00CA67D3">
        <w:t>the following:</w:t>
      </w:r>
    </w:p>
    <w:p w:rsidR="0009299C" w:rsidRPr="00C128BD" w:rsidRDefault="00CA67D3" w:rsidP="00CA67D3">
      <w:pPr>
        <w:pStyle w:val="ListParagraph"/>
        <w:spacing w:line="480" w:lineRule="auto"/>
        <w:ind w:left="2160" w:hanging="720"/>
        <w:contextualSpacing w:val="0"/>
        <w:jc w:val="both"/>
      </w:pPr>
      <w:r>
        <w:t>1.</w:t>
      </w:r>
      <w:r>
        <w:tab/>
      </w:r>
      <w:r w:rsidR="00BB5AC5" w:rsidRPr="00C128BD">
        <w:t>Semi</w:t>
      </w:r>
      <w:r w:rsidR="0009299C" w:rsidRPr="00C128BD">
        <w:t>-</w:t>
      </w:r>
      <w:r w:rsidR="00BB5AC5" w:rsidRPr="00C128BD">
        <w:t>annual employment reports</w:t>
      </w:r>
      <w:r w:rsidR="00E55F3C" w:rsidRPr="00C128BD">
        <w:t xml:space="preserve"> dur</w:t>
      </w:r>
      <w:r>
        <w:t>i</w:t>
      </w:r>
      <w:r w:rsidR="00E55F3C" w:rsidRPr="00C128BD">
        <w:t xml:space="preserve">ng the term of the immediate exemption from </w:t>
      </w:r>
      <w:r w:rsidR="00325939">
        <w:t xml:space="preserve">Rider </w:t>
      </w:r>
      <w:r w:rsidR="00E55F3C" w:rsidRPr="00C128BD">
        <w:t>DSE2 and su</w:t>
      </w:r>
      <w:r>
        <w:t>c</w:t>
      </w:r>
      <w:r w:rsidR="00E55F3C" w:rsidRPr="00C128BD">
        <w:t xml:space="preserve">cessors and the term of the reasonable </w:t>
      </w:r>
      <w:r>
        <w:t>arrangement</w:t>
      </w:r>
      <w:r w:rsidR="0009299C" w:rsidRPr="00C128BD">
        <w:t>;</w:t>
      </w:r>
    </w:p>
    <w:p w:rsidR="0016371E" w:rsidRPr="00C128BD" w:rsidRDefault="00CA67D3" w:rsidP="00325939">
      <w:pPr>
        <w:pStyle w:val="ListParagraph"/>
        <w:spacing w:line="480" w:lineRule="auto"/>
        <w:ind w:left="2160" w:hanging="720"/>
        <w:contextualSpacing w:val="0"/>
        <w:jc w:val="both"/>
      </w:pPr>
      <w:r>
        <w:t>2.</w:t>
      </w:r>
      <w:r>
        <w:tab/>
      </w:r>
      <w:r w:rsidR="0016371E" w:rsidRPr="00C128BD">
        <w:t>Semi-annual reports regarding progress of the construction of the new manufacturing process</w:t>
      </w:r>
      <w:r w:rsidR="000233A0">
        <w:t xml:space="preserve">, including the amount of expenditures, </w:t>
      </w:r>
      <w:r>
        <w:t xml:space="preserve">during </w:t>
      </w:r>
      <w:r w:rsidR="00E55F3C" w:rsidRPr="00C128BD">
        <w:t xml:space="preserve">the term of the immediate exemption from </w:t>
      </w:r>
      <w:r w:rsidR="00325939">
        <w:t>Rider</w:t>
      </w:r>
      <w:r w:rsidR="00E55F3C" w:rsidRPr="00C128BD">
        <w:t xml:space="preserve"> DSE2</w:t>
      </w:r>
      <w:r>
        <w:t>; and</w:t>
      </w:r>
    </w:p>
    <w:p w:rsidR="00644D2A" w:rsidRDefault="00CA67D3" w:rsidP="00894EC0">
      <w:pPr>
        <w:pStyle w:val="ListParagraph"/>
        <w:spacing w:line="480" w:lineRule="auto"/>
        <w:ind w:left="2160" w:hanging="720"/>
        <w:contextualSpacing w:val="0"/>
        <w:jc w:val="both"/>
      </w:pPr>
      <w:r>
        <w:t>3.</w:t>
      </w:r>
      <w:r>
        <w:tab/>
      </w:r>
      <w:r w:rsidR="00F83A44" w:rsidRPr="00C128BD">
        <w:t xml:space="preserve">Such other information as the </w:t>
      </w:r>
      <w:r w:rsidR="009D43A4">
        <w:t xml:space="preserve">Staff </w:t>
      </w:r>
      <w:r w:rsidR="00F83A44" w:rsidRPr="00C128BD">
        <w:t xml:space="preserve">may request for the purposes of monitoring compliance </w:t>
      </w:r>
      <w:r w:rsidR="00E55F3C" w:rsidRPr="00C128BD">
        <w:t>dur</w:t>
      </w:r>
      <w:r>
        <w:t>i</w:t>
      </w:r>
      <w:r w:rsidR="00E55F3C" w:rsidRPr="00C128BD">
        <w:t xml:space="preserve">ng the term of the immediate exemption from </w:t>
      </w:r>
      <w:r w:rsidR="00325939">
        <w:t>Rider</w:t>
      </w:r>
      <w:r w:rsidR="00E55F3C" w:rsidRPr="00C128BD">
        <w:t xml:space="preserve"> DSE2 and su</w:t>
      </w:r>
      <w:r>
        <w:t>c</w:t>
      </w:r>
      <w:r w:rsidR="00E55F3C" w:rsidRPr="00C128BD">
        <w:t xml:space="preserve">cessors and the term of the reasonable </w:t>
      </w:r>
      <w:r>
        <w:t>arrangement</w:t>
      </w:r>
      <w:r w:rsidR="00F83A44" w:rsidRPr="00C128BD">
        <w:t>.</w:t>
      </w:r>
    </w:p>
    <w:p w:rsidR="00F83A44" w:rsidRPr="00C128BD" w:rsidRDefault="00F83A44" w:rsidP="00431777">
      <w:pPr>
        <w:spacing w:line="480" w:lineRule="auto"/>
        <w:ind w:left="1440"/>
        <w:jc w:val="both"/>
      </w:pPr>
      <w:r w:rsidRPr="00C128BD">
        <w:t>Upon request</w:t>
      </w:r>
      <w:r w:rsidR="00306CF6">
        <w:t>,</w:t>
      </w:r>
      <w:r w:rsidR="006F554F">
        <w:t xml:space="preserve"> and subject to the provisions herein that guard against public disclosure of any information ASHTA may provide pursuant to the reporting requirements recommended herein</w:t>
      </w:r>
      <w:r w:rsidRPr="00C128BD">
        <w:t xml:space="preserve">, </w:t>
      </w:r>
      <w:r w:rsidR="00E60B54">
        <w:t>ASHTA</w:t>
      </w:r>
      <w:r w:rsidRPr="00C128BD">
        <w:t xml:space="preserve"> shall make such reports available to the Commission Staff</w:t>
      </w:r>
      <w:r w:rsidR="000233A0">
        <w:t xml:space="preserve"> or </w:t>
      </w:r>
      <w:r w:rsidR="00431777">
        <w:t xml:space="preserve">Staff </w:t>
      </w:r>
      <w:r w:rsidR="000233A0">
        <w:t>consultants</w:t>
      </w:r>
      <w:r w:rsidRPr="00C128BD">
        <w:t xml:space="preserve"> </w:t>
      </w:r>
      <w:r w:rsidR="000233A0">
        <w:t xml:space="preserve">and permit on-site facility inspections by Commission Staff or </w:t>
      </w:r>
      <w:r w:rsidR="00431777">
        <w:t xml:space="preserve">Staff </w:t>
      </w:r>
      <w:r w:rsidR="000233A0">
        <w:t>consultants</w:t>
      </w:r>
      <w:r w:rsidRPr="00C128BD">
        <w:t>.</w:t>
      </w:r>
      <w:r w:rsidR="00325939">
        <w:t xml:space="preserve">  </w:t>
      </w:r>
      <w:r w:rsidR="006F554F">
        <w:t xml:space="preserve">The Parties recommend that the Commission find that </w:t>
      </w:r>
      <w:r w:rsidRPr="00C128BD">
        <w:t>ASHTA’s periodic reports shall not be filed with the Commission unless otherwise directed by the Commission.</w:t>
      </w:r>
    </w:p>
    <w:p w:rsidR="006F554F" w:rsidRPr="00306CF6" w:rsidRDefault="0009299C" w:rsidP="00CA67D3">
      <w:pPr>
        <w:pStyle w:val="Heading2"/>
        <w:rPr>
          <w:b w:val="0"/>
        </w:rPr>
      </w:pPr>
      <w:r w:rsidRPr="000233A0">
        <w:t>Other Terms and Conditions</w:t>
      </w:r>
    </w:p>
    <w:p w:rsidR="00BB5AC5" w:rsidRPr="00306CF6" w:rsidRDefault="00306CF6" w:rsidP="00306CF6">
      <w:pPr>
        <w:pStyle w:val="Heading3"/>
        <w:numPr>
          <w:ilvl w:val="0"/>
          <w:numId w:val="0"/>
        </w:numPr>
        <w:ind w:left="2160" w:hanging="720"/>
        <w:rPr>
          <w:b w:val="0"/>
        </w:rPr>
      </w:pPr>
      <w:r>
        <w:rPr>
          <w:b w:val="0"/>
        </w:rPr>
        <w:t>1.</w:t>
      </w:r>
      <w:r>
        <w:rPr>
          <w:b w:val="0"/>
        </w:rPr>
        <w:tab/>
      </w:r>
      <w:r w:rsidR="006F554F" w:rsidRPr="00306CF6">
        <w:rPr>
          <w:b w:val="0"/>
        </w:rPr>
        <w:t>Form of Reasonable Arrangement</w:t>
      </w:r>
    </w:p>
    <w:p w:rsidR="000233A0" w:rsidRDefault="006F554F" w:rsidP="00306CF6">
      <w:pPr>
        <w:spacing w:line="480" w:lineRule="auto"/>
        <w:ind w:left="2160"/>
        <w:jc w:val="both"/>
      </w:pPr>
      <w:r>
        <w:t xml:space="preserve">The Parties recommend that the Commission find that following the approval recommended herein, ASHTA and CEI shall enter into and file a reasonable arrangement in a form substantially similar to that contained in Appendix A attached hereto.  </w:t>
      </w:r>
    </w:p>
    <w:p w:rsidR="00431777" w:rsidRDefault="00431777">
      <w:pPr>
        <w:spacing w:after="0"/>
        <w:rPr>
          <w:rFonts w:eastAsiaTheme="majorEastAsia"/>
          <w:bCs/>
        </w:rPr>
      </w:pPr>
      <w:r>
        <w:rPr>
          <w:b/>
        </w:rPr>
        <w:br w:type="page"/>
      </w:r>
    </w:p>
    <w:p w:rsidR="006F554F" w:rsidRPr="00306CF6" w:rsidRDefault="00306CF6" w:rsidP="00306CF6">
      <w:pPr>
        <w:pStyle w:val="Heading3"/>
        <w:numPr>
          <w:ilvl w:val="0"/>
          <w:numId w:val="0"/>
        </w:numPr>
        <w:ind w:left="2160" w:hanging="720"/>
        <w:rPr>
          <w:b w:val="0"/>
        </w:rPr>
      </w:pPr>
      <w:r>
        <w:rPr>
          <w:b w:val="0"/>
        </w:rPr>
        <w:t>2.</w:t>
      </w:r>
      <w:r>
        <w:rPr>
          <w:b w:val="0"/>
        </w:rPr>
        <w:tab/>
      </w:r>
      <w:r w:rsidR="006F554F" w:rsidRPr="00306CF6">
        <w:rPr>
          <w:b w:val="0"/>
        </w:rPr>
        <w:t>Application, Comments and Testimony</w:t>
      </w:r>
    </w:p>
    <w:p w:rsidR="009B242A" w:rsidRPr="006F554F" w:rsidRDefault="006F554F" w:rsidP="00306CF6">
      <w:pPr>
        <w:spacing w:line="480" w:lineRule="auto"/>
        <w:ind w:left="2160"/>
        <w:jc w:val="both"/>
      </w:pPr>
      <w:r>
        <w:t xml:space="preserve">For </w:t>
      </w:r>
      <w:r w:rsidR="00A1353B">
        <w:t xml:space="preserve">the limited </w:t>
      </w:r>
      <w:r>
        <w:t>purposes of the Commission’s evaluation of th</w:t>
      </w:r>
      <w:r w:rsidR="00A1353B">
        <w:t xml:space="preserve">e </w:t>
      </w:r>
      <w:r>
        <w:t>Stipulation</w:t>
      </w:r>
      <w:r w:rsidR="00A1353B">
        <w:t xml:space="preserve"> contained herein</w:t>
      </w:r>
      <w:r>
        <w:t>, the Parties agree that the Application, the comments filed by CEI and the Commission’s Staff</w:t>
      </w:r>
      <w:r w:rsidR="00306CF6">
        <w:t>,</w:t>
      </w:r>
      <w:r>
        <w:t xml:space="preserve"> and ASHTA’s prefiled testimony may</w:t>
      </w:r>
      <w:r w:rsidR="00A1353B">
        <w:t>, to the extent necessary,</w:t>
      </w:r>
      <w:r>
        <w:t xml:space="preserve"> be </w:t>
      </w:r>
      <w:r w:rsidR="00A1353B">
        <w:t xml:space="preserve">admitted into the </w:t>
      </w:r>
      <w:r>
        <w:t>record and that</w:t>
      </w:r>
      <w:r w:rsidR="00A1353B">
        <w:t xml:space="preserve">, if so admitted for such purposes, each </w:t>
      </w:r>
      <w:r>
        <w:t xml:space="preserve">Party </w:t>
      </w:r>
      <w:r w:rsidR="00A1353B">
        <w:t xml:space="preserve">waives any right to conduct cross examination </w:t>
      </w:r>
    </w:p>
    <w:p w:rsidR="00990DC8" w:rsidRPr="00306CF6" w:rsidRDefault="00AE3075" w:rsidP="00306CF6">
      <w:pPr>
        <w:pStyle w:val="Heading2"/>
        <w:numPr>
          <w:ilvl w:val="0"/>
          <w:numId w:val="0"/>
        </w:numPr>
        <w:ind w:left="1440"/>
        <w:rPr>
          <w:b w:val="0"/>
        </w:rPr>
      </w:pPr>
      <w:r w:rsidRPr="00306CF6">
        <w:rPr>
          <w:b w:val="0"/>
        </w:rPr>
        <w:t>3.</w:t>
      </w:r>
      <w:r w:rsidRPr="00306CF6">
        <w:rPr>
          <w:b w:val="0"/>
        </w:rPr>
        <w:tab/>
        <w:t>Complete Resolut</w:t>
      </w:r>
      <w:r w:rsidR="00004527" w:rsidRPr="00306CF6">
        <w:rPr>
          <w:b w:val="0"/>
        </w:rPr>
        <w:t>io</w:t>
      </w:r>
      <w:r w:rsidRPr="00306CF6">
        <w:rPr>
          <w:b w:val="0"/>
        </w:rPr>
        <w:t xml:space="preserve">n </w:t>
      </w:r>
    </w:p>
    <w:p w:rsidR="00AE3075" w:rsidRDefault="00990DC8" w:rsidP="00306CF6">
      <w:pPr>
        <w:spacing w:line="480" w:lineRule="auto"/>
        <w:ind w:left="2160"/>
        <w:jc w:val="both"/>
      </w:pPr>
      <w:r w:rsidRPr="00C128BD">
        <w:t xml:space="preserve">All of the related issues and concerns raised by the Parties have been addressed in the substantive provisions of this Stipulation and reflect, as a result of such discussions and compromises by the Parties, an overall reasonable resolution of all such issues.  </w:t>
      </w:r>
    </w:p>
    <w:p w:rsidR="00AE3075" w:rsidRPr="00306CF6" w:rsidRDefault="00AE3075" w:rsidP="00306CF6">
      <w:pPr>
        <w:spacing w:after="0" w:line="480" w:lineRule="auto"/>
        <w:ind w:left="1440"/>
        <w:jc w:val="both"/>
      </w:pPr>
      <w:r w:rsidRPr="00306CF6">
        <w:t>4.</w:t>
      </w:r>
      <w:r w:rsidRPr="00306CF6">
        <w:tab/>
        <w:t>Settlement Limited to This Case</w:t>
      </w:r>
    </w:p>
    <w:p w:rsidR="00990DC8" w:rsidRPr="00C128BD" w:rsidRDefault="00990DC8" w:rsidP="00306CF6">
      <w:pPr>
        <w:spacing w:line="480" w:lineRule="auto"/>
        <w:ind w:left="2160"/>
        <w:jc w:val="both"/>
      </w:pPr>
      <w:r w:rsidRPr="00C128BD">
        <w:t>This Stipulation is the product of the discussions and negotiations of the Parties, and is not intended to reflect the procedural or substantive views or proposals which any individual party may have advanced acting unilaterally.  Accordingly, this Stipulation represents an accommodation of the diverse interests represented by the Parties, and is entitled to careful consideration by the Commission.</w:t>
      </w:r>
      <w:r w:rsidR="00AE3075">
        <w:t xml:space="preserve">  </w:t>
      </w:r>
      <w:r w:rsidRPr="00C128BD">
        <w:t>This Stipulation is submitted for purposes of this proceeding only, is not deemed binding in any other proceeding</w:t>
      </w:r>
      <w:r w:rsidR="004A3BA9">
        <w:t xml:space="preserve"> </w:t>
      </w:r>
      <w:r w:rsidRPr="00C128BD">
        <w:t>and shall not be offered or relied upon in any other proceedings, except as necessary to enforce the terms of this Stipulation.  The agreement of the Parties reflected in this document is expressly conditioned upon its acceptance in its entirety and without alte</w:t>
      </w:r>
      <w:r w:rsidR="005C58FC">
        <w:t>ration by the Commission.  Any p</w:t>
      </w:r>
      <w:r w:rsidRPr="00C128BD">
        <w:t>arty to this Stipulation has the right to withdraw and terminate the Stipulation if the Commission</w:t>
      </w:r>
      <w:r w:rsidR="005C58FC">
        <w:t>,</w:t>
      </w:r>
      <w:r w:rsidRPr="00C128BD">
        <w:t xml:space="preserve"> or any court of competent jurisdiction, rejects all or any part of the Stipulation or otherwise modifies its terms or provisions.  The Parties agree that if the Commission or any court of competent jurisdiction rejects all or any material part of this Stipulation, or otherwise materially modifies its</w:t>
      </w:r>
      <w:r w:rsidR="005C58FC">
        <w:t xml:space="preserve"> terms, any adversely affected p</w:t>
      </w:r>
      <w:r w:rsidRPr="00C128BD">
        <w:t xml:space="preserve">arty shall have the right to file an </w:t>
      </w:r>
      <w:r w:rsidR="00CA67D3">
        <w:t>a</w:t>
      </w:r>
      <w:r w:rsidR="00CA67D3" w:rsidRPr="00C128BD">
        <w:t xml:space="preserve">pplication </w:t>
      </w:r>
      <w:r w:rsidR="00CA67D3">
        <w:t>f</w:t>
      </w:r>
      <w:r w:rsidR="00CA67D3" w:rsidRPr="00C128BD">
        <w:t xml:space="preserve">or </w:t>
      </w:r>
      <w:r w:rsidR="00CA67D3">
        <w:t>r</w:t>
      </w:r>
      <w:r w:rsidR="00CA67D3" w:rsidRPr="00C128BD">
        <w:t xml:space="preserve">ehearing </w:t>
      </w:r>
      <w:r w:rsidRPr="00C128BD">
        <w:t xml:space="preserve">or a </w:t>
      </w:r>
      <w:r w:rsidR="00CA67D3">
        <w:t>m</w:t>
      </w:r>
      <w:r w:rsidRPr="00C128BD">
        <w:t>otion for reconsideration.  If such application or motion is filed, and if the Commission or court does not, on rehearing or reconsideration, accept the Stipulation without material modification, the adve</w:t>
      </w:r>
      <w:r w:rsidR="005C58FC">
        <w:t>rsely affected party may terminate its p</w:t>
      </w:r>
      <w:r w:rsidRPr="00C128BD">
        <w:t>arty status without penalty or cost by filing a notice with the Commissio</w:t>
      </w:r>
      <w:r w:rsidR="00CA67D3">
        <w:t>n within ten (10) days of such O</w:t>
      </w:r>
      <w:r w:rsidRPr="00C128BD">
        <w:t xml:space="preserve">rder.  </w:t>
      </w:r>
      <w:r w:rsidR="00AE3075">
        <w:t xml:space="preserve">If the Commission modifies and accepts or rejects this Stipulation and upon ASHTA’s election made in ASHTA’s sole discretion, ASHTA may withdraw its Application without prejudice and upon such withdrawal, any commitments offered by ASHTA herein shall be null and void.  </w:t>
      </w:r>
    </w:p>
    <w:p w:rsidR="00990DC8" w:rsidRPr="00C128BD" w:rsidRDefault="00990DC8" w:rsidP="005C58FC">
      <w:pPr>
        <w:pStyle w:val="textstyle"/>
      </w:pPr>
      <w:r w:rsidRPr="00C128BD">
        <w:t>This Stipulation</w:t>
      </w:r>
      <w:r w:rsidR="005669B6">
        <w:t xml:space="preserve"> has been signed as of this 13th</w:t>
      </w:r>
      <w:r w:rsidR="005C58FC">
        <w:t xml:space="preserve"> day of </w:t>
      </w:r>
      <w:r w:rsidR="005669B6">
        <w:t>September</w:t>
      </w:r>
      <w:r w:rsidRPr="00C128BD">
        <w:t>, 20</w:t>
      </w:r>
      <w:r w:rsidR="00F84171" w:rsidRPr="00C128BD">
        <w:t>13</w:t>
      </w:r>
      <w:r w:rsidRPr="00C128BD">
        <w:t xml:space="preserve">.  The Parties respectfully request </w:t>
      </w:r>
      <w:r w:rsidR="00CA67D3">
        <w:t xml:space="preserve">that </w:t>
      </w:r>
      <w:r w:rsidRPr="00C128BD">
        <w:t>the Commission issue its Opinion and Order in accordance with t</w:t>
      </w:r>
      <w:r w:rsidR="005C58FC">
        <w:t>he terms of this Stipulation.</w:t>
      </w:r>
    </w:p>
    <w:tbl>
      <w:tblPr>
        <w:tblW w:w="0" w:type="auto"/>
        <w:tblLook w:val="01E0" w:firstRow="1" w:lastRow="1" w:firstColumn="1" w:lastColumn="1" w:noHBand="0" w:noVBand="0"/>
      </w:tblPr>
      <w:tblGrid>
        <w:gridCol w:w="4788"/>
        <w:gridCol w:w="4788"/>
      </w:tblGrid>
      <w:tr w:rsidR="00E5512A" w:rsidRPr="00C128BD" w:rsidTr="00B21617">
        <w:tc>
          <w:tcPr>
            <w:tcW w:w="4788" w:type="dxa"/>
          </w:tcPr>
          <w:p w:rsidR="00E5512A" w:rsidRPr="00C128BD" w:rsidRDefault="00CA67D3" w:rsidP="00CA67D3">
            <w:pPr>
              <w:widowControl w:val="0"/>
              <w:tabs>
                <w:tab w:val="left" w:pos="4332"/>
              </w:tabs>
              <w:autoSpaceDE w:val="0"/>
              <w:autoSpaceDN w:val="0"/>
              <w:adjustRightInd w:val="0"/>
              <w:spacing w:after="0"/>
              <w:rPr>
                <w:b/>
              </w:rPr>
            </w:pPr>
            <w:r>
              <w:rPr>
                <w:b/>
              </w:rPr>
              <w:t>On B</w:t>
            </w:r>
            <w:r w:rsidR="00E5512A" w:rsidRPr="00C128BD">
              <w:rPr>
                <w:b/>
              </w:rPr>
              <w:t xml:space="preserve">ehalf of </w:t>
            </w:r>
            <w:r w:rsidR="009D474C" w:rsidRPr="00C128BD">
              <w:rPr>
                <w:b/>
              </w:rPr>
              <w:t>ASHTA</w:t>
            </w:r>
            <w:r>
              <w:rPr>
                <w:b/>
              </w:rPr>
              <w:t xml:space="preserve"> Chemicals Inc.</w:t>
            </w:r>
            <w:r w:rsidR="00E5512A" w:rsidRPr="00C128BD">
              <w:rPr>
                <w:b/>
              </w:rPr>
              <w:t>:</w:t>
            </w:r>
          </w:p>
          <w:p w:rsidR="00E5512A" w:rsidRPr="00C128BD" w:rsidRDefault="00E5512A" w:rsidP="00CA67D3">
            <w:pPr>
              <w:widowControl w:val="0"/>
              <w:tabs>
                <w:tab w:val="left" w:pos="4332"/>
              </w:tabs>
              <w:autoSpaceDE w:val="0"/>
              <w:autoSpaceDN w:val="0"/>
              <w:adjustRightInd w:val="0"/>
              <w:spacing w:after="0"/>
            </w:pPr>
          </w:p>
          <w:p w:rsidR="00E5512A" w:rsidRPr="00C128BD" w:rsidRDefault="00E5512A" w:rsidP="00CA67D3">
            <w:pPr>
              <w:widowControl w:val="0"/>
              <w:tabs>
                <w:tab w:val="left" w:pos="4332"/>
              </w:tabs>
              <w:autoSpaceDE w:val="0"/>
              <w:autoSpaceDN w:val="0"/>
              <w:adjustRightInd w:val="0"/>
              <w:spacing w:after="0"/>
            </w:pPr>
          </w:p>
          <w:p w:rsidR="00E5512A" w:rsidRPr="00C128BD" w:rsidRDefault="00E5512A" w:rsidP="00CA67D3">
            <w:pPr>
              <w:widowControl w:val="0"/>
              <w:tabs>
                <w:tab w:val="left" w:pos="4332"/>
              </w:tabs>
              <w:autoSpaceDE w:val="0"/>
              <w:autoSpaceDN w:val="0"/>
              <w:adjustRightInd w:val="0"/>
              <w:spacing w:after="0"/>
            </w:pPr>
          </w:p>
          <w:p w:rsidR="00E5512A" w:rsidRPr="00C128BD" w:rsidRDefault="00AB5E4B" w:rsidP="00CA67D3">
            <w:pPr>
              <w:widowControl w:val="0"/>
              <w:tabs>
                <w:tab w:val="left" w:pos="4332"/>
              </w:tabs>
              <w:autoSpaceDE w:val="0"/>
              <w:autoSpaceDN w:val="0"/>
              <w:adjustRightInd w:val="0"/>
              <w:spacing w:after="0"/>
              <w:rPr>
                <w:u w:val="single"/>
              </w:rPr>
            </w:pPr>
            <w:r>
              <w:rPr>
                <w:u w:val="single"/>
              </w:rPr>
              <w:t>/s/ Scott E. Elisar</w:t>
            </w:r>
            <w:r w:rsidR="00E5512A" w:rsidRPr="00C128BD">
              <w:rPr>
                <w:u w:val="single"/>
              </w:rPr>
              <w:tab/>
            </w:r>
          </w:p>
          <w:p w:rsidR="00532E4A" w:rsidRPr="00C128BD" w:rsidRDefault="00532E4A" w:rsidP="00CA67D3">
            <w:pPr>
              <w:spacing w:after="0"/>
              <w:rPr>
                <w:b/>
              </w:rPr>
            </w:pPr>
            <w:r w:rsidRPr="00C128BD">
              <w:rPr>
                <w:b/>
              </w:rPr>
              <w:t>Samuel C. Randazzo</w:t>
            </w:r>
          </w:p>
          <w:p w:rsidR="00532E4A" w:rsidRPr="00C128BD" w:rsidRDefault="00532E4A" w:rsidP="00CA67D3">
            <w:pPr>
              <w:spacing w:after="0"/>
              <w:rPr>
                <w:b/>
              </w:rPr>
            </w:pPr>
            <w:r w:rsidRPr="00C128BD">
              <w:rPr>
                <w:b/>
              </w:rPr>
              <w:t>Frank P. Darr</w:t>
            </w:r>
          </w:p>
          <w:p w:rsidR="00532E4A" w:rsidRPr="00C128BD" w:rsidRDefault="00532E4A" w:rsidP="00CA67D3">
            <w:pPr>
              <w:spacing w:after="0"/>
              <w:rPr>
                <w:b/>
              </w:rPr>
            </w:pPr>
            <w:r w:rsidRPr="00C128BD">
              <w:rPr>
                <w:b/>
              </w:rPr>
              <w:t>Scott E. Elisar</w:t>
            </w:r>
          </w:p>
          <w:p w:rsidR="00532E4A" w:rsidRPr="00C128BD" w:rsidRDefault="00532E4A" w:rsidP="00CA67D3">
            <w:pPr>
              <w:spacing w:after="0"/>
              <w:rPr>
                <w:b/>
              </w:rPr>
            </w:pPr>
            <w:r w:rsidRPr="00C128BD">
              <w:rPr>
                <w:b/>
              </w:rPr>
              <w:t>Joseph E. Oliker</w:t>
            </w:r>
          </w:p>
          <w:p w:rsidR="00532E4A" w:rsidRPr="00C128BD" w:rsidRDefault="00532E4A" w:rsidP="00CA67D3">
            <w:pPr>
              <w:spacing w:after="0"/>
            </w:pPr>
            <w:r w:rsidRPr="00C128BD">
              <w:t>McNees Wallace &amp; Nurick LLC</w:t>
            </w:r>
          </w:p>
          <w:p w:rsidR="00532E4A" w:rsidRPr="00C128BD" w:rsidRDefault="00532E4A" w:rsidP="00CA67D3">
            <w:pPr>
              <w:spacing w:after="0"/>
            </w:pPr>
            <w:r w:rsidRPr="00C128BD">
              <w:t>21 East State Street, 17</w:t>
            </w:r>
            <w:r w:rsidRPr="00C128BD">
              <w:rPr>
                <w:vertAlign w:val="superscript"/>
              </w:rPr>
              <w:t>th</w:t>
            </w:r>
            <w:r w:rsidRPr="00C128BD">
              <w:t xml:space="preserve"> Floor</w:t>
            </w:r>
          </w:p>
          <w:p w:rsidR="00532E4A" w:rsidRPr="00C128BD" w:rsidRDefault="00532E4A" w:rsidP="00CA67D3">
            <w:pPr>
              <w:spacing w:after="0"/>
            </w:pPr>
            <w:r w:rsidRPr="00C128BD">
              <w:t>Columbus, Ohio  43215</w:t>
            </w:r>
          </w:p>
          <w:p w:rsidR="00532E4A" w:rsidRPr="00C128BD" w:rsidRDefault="00532E4A" w:rsidP="00CA67D3">
            <w:pPr>
              <w:spacing w:after="0"/>
            </w:pPr>
            <w:r w:rsidRPr="00C128BD">
              <w:t>(614) 469-8000 (T)</w:t>
            </w:r>
          </w:p>
          <w:p w:rsidR="00532E4A" w:rsidRPr="00C128BD" w:rsidRDefault="00532E4A" w:rsidP="00CA67D3">
            <w:pPr>
              <w:spacing w:after="0"/>
            </w:pPr>
            <w:r w:rsidRPr="00C128BD">
              <w:t>(614) 469-4653 (Fax)</w:t>
            </w:r>
          </w:p>
          <w:p w:rsidR="00532E4A" w:rsidRPr="00C128BD" w:rsidRDefault="00532E4A" w:rsidP="00CA67D3">
            <w:pPr>
              <w:spacing w:after="0"/>
            </w:pPr>
            <w:r w:rsidRPr="00C128BD">
              <w:t>sam@mwncmh.com</w:t>
            </w:r>
          </w:p>
          <w:p w:rsidR="00532E4A" w:rsidRPr="00C128BD" w:rsidRDefault="00532E4A" w:rsidP="00CA67D3">
            <w:pPr>
              <w:spacing w:after="0"/>
            </w:pPr>
            <w:r w:rsidRPr="00C128BD">
              <w:t>fdarr@mwncmh.com</w:t>
            </w:r>
          </w:p>
          <w:p w:rsidR="00532E4A" w:rsidRPr="00C128BD" w:rsidRDefault="00532E4A" w:rsidP="00CA67D3">
            <w:pPr>
              <w:spacing w:after="0"/>
            </w:pPr>
            <w:r w:rsidRPr="00C128BD">
              <w:t>selisar@mwncmh.com</w:t>
            </w:r>
          </w:p>
          <w:p w:rsidR="00532E4A" w:rsidRPr="00C128BD" w:rsidRDefault="00532E4A" w:rsidP="00CA67D3">
            <w:pPr>
              <w:spacing w:after="0"/>
            </w:pPr>
            <w:r w:rsidRPr="00C128BD">
              <w:t>joliker@mwncmh.com</w:t>
            </w:r>
          </w:p>
          <w:p w:rsidR="00E5512A" w:rsidRPr="00C128BD" w:rsidRDefault="00E5512A" w:rsidP="00CA67D3">
            <w:pPr>
              <w:widowControl w:val="0"/>
              <w:tabs>
                <w:tab w:val="left" w:pos="4332"/>
              </w:tabs>
              <w:autoSpaceDE w:val="0"/>
              <w:autoSpaceDN w:val="0"/>
              <w:adjustRightInd w:val="0"/>
              <w:spacing w:after="0"/>
            </w:pPr>
          </w:p>
          <w:p w:rsidR="00532E4A" w:rsidRPr="00C128BD" w:rsidRDefault="00532E4A" w:rsidP="00CA67D3">
            <w:pPr>
              <w:widowControl w:val="0"/>
              <w:tabs>
                <w:tab w:val="left" w:pos="4332"/>
              </w:tabs>
              <w:autoSpaceDE w:val="0"/>
              <w:autoSpaceDN w:val="0"/>
              <w:adjustRightInd w:val="0"/>
              <w:spacing w:after="0"/>
              <w:rPr>
                <w:b/>
              </w:rPr>
            </w:pPr>
          </w:p>
          <w:p w:rsidR="00532E4A" w:rsidRPr="00C128BD" w:rsidRDefault="00532E4A" w:rsidP="00CA67D3">
            <w:pPr>
              <w:spacing w:after="0"/>
              <w:rPr>
                <w:color w:val="000000" w:themeColor="text1"/>
              </w:rPr>
            </w:pPr>
          </w:p>
          <w:p w:rsidR="00E5512A" w:rsidRPr="00C128BD" w:rsidRDefault="00E5512A" w:rsidP="00CA67D3">
            <w:pPr>
              <w:widowControl w:val="0"/>
              <w:tabs>
                <w:tab w:val="left" w:pos="4332"/>
              </w:tabs>
              <w:autoSpaceDE w:val="0"/>
              <w:autoSpaceDN w:val="0"/>
              <w:adjustRightInd w:val="0"/>
              <w:spacing w:after="0"/>
            </w:pPr>
          </w:p>
        </w:tc>
        <w:tc>
          <w:tcPr>
            <w:tcW w:w="4788" w:type="dxa"/>
          </w:tcPr>
          <w:p w:rsidR="00E5512A" w:rsidRPr="00C128BD" w:rsidRDefault="00E5512A" w:rsidP="00CA67D3">
            <w:pPr>
              <w:widowControl w:val="0"/>
              <w:tabs>
                <w:tab w:val="left" w:pos="4452"/>
              </w:tabs>
              <w:autoSpaceDE w:val="0"/>
              <w:autoSpaceDN w:val="0"/>
              <w:adjustRightInd w:val="0"/>
              <w:spacing w:after="0"/>
              <w:rPr>
                <w:b/>
              </w:rPr>
            </w:pPr>
            <w:r w:rsidRPr="00C128BD">
              <w:rPr>
                <w:b/>
              </w:rPr>
              <w:t xml:space="preserve">On </w:t>
            </w:r>
            <w:r w:rsidR="00CA67D3">
              <w:rPr>
                <w:b/>
              </w:rPr>
              <w:t>B</w:t>
            </w:r>
            <w:r w:rsidRPr="00C128BD">
              <w:rPr>
                <w:b/>
              </w:rPr>
              <w:t>ehalf of the Staff of the Public</w:t>
            </w:r>
          </w:p>
          <w:p w:rsidR="00E5512A" w:rsidRPr="00C128BD" w:rsidRDefault="00E5512A" w:rsidP="00CA67D3">
            <w:pPr>
              <w:widowControl w:val="0"/>
              <w:tabs>
                <w:tab w:val="left" w:pos="4452"/>
              </w:tabs>
              <w:autoSpaceDE w:val="0"/>
              <w:autoSpaceDN w:val="0"/>
              <w:adjustRightInd w:val="0"/>
              <w:spacing w:after="0"/>
              <w:rPr>
                <w:b/>
              </w:rPr>
            </w:pPr>
            <w:r w:rsidRPr="00C128BD">
              <w:rPr>
                <w:b/>
              </w:rPr>
              <w:t>Utilities Commission of Ohio:</w:t>
            </w:r>
          </w:p>
          <w:p w:rsidR="00E5512A" w:rsidRPr="00C128BD" w:rsidRDefault="00E5512A" w:rsidP="00CA67D3">
            <w:pPr>
              <w:widowControl w:val="0"/>
              <w:tabs>
                <w:tab w:val="left" w:pos="4452"/>
              </w:tabs>
              <w:autoSpaceDE w:val="0"/>
              <w:autoSpaceDN w:val="0"/>
              <w:adjustRightInd w:val="0"/>
              <w:spacing w:after="0"/>
            </w:pPr>
          </w:p>
          <w:p w:rsidR="00E5512A" w:rsidRPr="00C128BD" w:rsidRDefault="00E5512A" w:rsidP="00CA67D3">
            <w:pPr>
              <w:widowControl w:val="0"/>
              <w:tabs>
                <w:tab w:val="left" w:pos="4452"/>
              </w:tabs>
              <w:autoSpaceDE w:val="0"/>
              <w:autoSpaceDN w:val="0"/>
              <w:adjustRightInd w:val="0"/>
              <w:spacing w:after="0"/>
            </w:pPr>
          </w:p>
          <w:p w:rsidR="00E5512A" w:rsidRPr="00C128BD" w:rsidRDefault="00AB5E4B" w:rsidP="00CA67D3">
            <w:pPr>
              <w:widowControl w:val="0"/>
              <w:tabs>
                <w:tab w:val="left" w:pos="4452"/>
              </w:tabs>
              <w:autoSpaceDE w:val="0"/>
              <w:autoSpaceDN w:val="0"/>
              <w:adjustRightInd w:val="0"/>
              <w:spacing w:after="0"/>
              <w:rPr>
                <w:u w:val="single"/>
              </w:rPr>
            </w:pPr>
            <w:r>
              <w:rPr>
                <w:u w:val="single"/>
              </w:rPr>
              <w:t>/s/ Thomas W. McNamee/per email auth.</w:t>
            </w:r>
            <w:r w:rsidR="00E5512A" w:rsidRPr="00C128BD">
              <w:rPr>
                <w:u w:val="single"/>
              </w:rPr>
              <w:tab/>
            </w:r>
          </w:p>
          <w:p w:rsidR="00532E4A" w:rsidRPr="00C128BD" w:rsidRDefault="00532E4A" w:rsidP="00CA67D3">
            <w:pPr>
              <w:spacing w:after="0"/>
              <w:rPr>
                <w:rFonts w:eastAsia="Calibri"/>
                <w:b/>
                <w:color w:val="000000" w:themeColor="text1"/>
              </w:rPr>
            </w:pPr>
            <w:r w:rsidRPr="00C128BD">
              <w:rPr>
                <w:rFonts w:eastAsia="Calibri"/>
                <w:b/>
                <w:color w:val="000000" w:themeColor="text1"/>
              </w:rPr>
              <w:t>William Wright, Section Chief</w:t>
            </w:r>
          </w:p>
          <w:p w:rsidR="00532E4A" w:rsidRPr="00C128BD" w:rsidRDefault="00532E4A" w:rsidP="00CA67D3">
            <w:pPr>
              <w:spacing w:after="0"/>
              <w:rPr>
                <w:rFonts w:eastAsia="Calibri"/>
                <w:b/>
                <w:smallCaps/>
                <w:color w:val="000000" w:themeColor="text1"/>
              </w:rPr>
            </w:pPr>
            <w:r w:rsidRPr="00C128BD">
              <w:rPr>
                <w:rFonts w:eastAsia="Calibri"/>
                <w:b/>
                <w:color w:val="000000" w:themeColor="text1"/>
              </w:rPr>
              <w:t>Thomas W. McNamee</w:t>
            </w:r>
          </w:p>
          <w:p w:rsidR="00532E4A" w:rsidRPr="00C128BD" w:rsidRDefault="00532E4A" w:rsidP="00CA67D3">
            <w:pPr>
              <w:autoSpaceDE w:val="0"/>
              <w:autoSpaceDN w:val="0"/>
              <w:adjustRightInd w:val="0"/>
              <w:spacing w:after="0"/>
              <w:rPr>
                <w:rFonts w:eastAsia="Calibri"/>
                <w:color w:val="000000" w:themeColor="text1"/>
              </w:rPr>
            </w:pPr>
            <w:r w:rsidRPr="00C128BD">
              <w:rPr>
                <w:rFonts w:eastAsia="Calibri"/>
                <w:color w:val="000000" w:themeColor="text1"/>
              </w:rPr>
              <w:t xml:space="preserve">Assistant Attorneys General </w:t>
            </w:r>
          </w:p>
          <w:p w:rsidR="00532E4A" w:rsidRPr="00C128BD" w:rsidRDefault="00532E4A" w:rsidP="00CA67D3">
            <w:pPr>
              <w:autoSpaceDE w:val="0"/>
              <w:autoSpaceDN w:val="0"/>
              <w:adjustRightInd w:val="0"/>
              <w:spacing w:after="0"/>
              <w:rPr>
                <w:rFonts w:eastAsia="Calibri"/>
                <w:color w:val="000000" w:themeColor="text1"/>
              </w:rPr>
            </w:pPr>
            <w:r w:rsidRPr="00C128BD">
              <w:rPr>
                <w:rFonts w:eastAsia="Calibri"/>
                <w:color w:val="000000" w:themeColor="text1"/>
              </w:rPr>
              <w:t>Public Utilities Section</w:t>
            </w:r>
          </w:p>
          <w:p w:rsidR="00532E4A" w:rsidRPr="00C128BD" w:rsidRDefault="00532E4A" w:rsidP="00CA67D3">
            <w:pPr>
              <w:autoSpaceDE w:val="0"/>
              <w:autoSpaceDN w:val="0"/>
              <w:adjustRightInd w:val="0"/>
              <w:spacing w:after="0"/>
              <w:rPr>
                <w:rFonts w:eastAsia="Calibri"/>
                <w:color w:val="000000" w:themeColor="text1"/>
              </w:rPr>
            </w:pPr>
            <w:r w:rsidRPr="00C128BD">
              <w:rPr>
                <w:rFonts w:eastAsia="Calibri"/>
                <w:color w:val="000000" w:themeColor="text1"/>
              </w:rPr>
              <w:t>180 East Broad Street, 6th Floor</w:t>
            </w:r>
          </w:p>
          <w:p w:rsidR="00532E4A" w:rsidRPr="00C128BD" w:rsidRDefault="00532E4A" w:rsidP="00CA67D3">
            <w:pPr>
              <w:autoSpaceDE w:val="0"/>
              <w:autoSpaceDN w:val="0"/>
              <w:adjustRightInd w:val="0"/>
              <w:spacing w:after="0"/>
              <w:rPr>
                <w:rFonts w:eastAsia="Calibri"/>
                <w:color w:val="000000" w:themeColor="text1"/>
              </w:rPr>
            </w:pPr>
            <w:r w:rsidRPr="00C128BD">
              <w:rPr>
                <w:rFonts w:eastAsia="Calibri"/>
                <w:color w:val="000000" w:themeColor="text1"/>
              </w:rPr>
              <w:t>Columbus, OH  43215-3793</w:t>
            </w:r>
          </w:p>
          <w:p w:rsidR="00532E4A" w:rsidRPr="00C128BD" w:rsidRDefault="00532E4A" w:rsidP="00CA67D3">
            <w:pPr>
              <w:spacing w:after="0"/>
              <w:jc w:val="both"/>
              <w:rPr>
                <w:rFonts w:eastAsia="Calibri"/>
                <w:color w:val="000000" w:themeColor="text1"/>
              </w:rPr>
            </w:pPr>
            <w:r w:rsidRPr="00C128BD">
              <w:rPr>
                <w:rFonts w:eastAsia="Calibri"/>
              </w:rPr>
              <w:t>thomas.mcnamee@puc.state.oh.us</w:t>
            </w:r>
          </w:p>
          <w:p w:rsidR="00532E4A" w:rsidRPr="00C128BD" w:rsidRDefault="00532E4A" w:rsidP="00CA67D3">
            <w:pPr>
              <w:spacing w:after="0"/>
              <w:jc w:val="both"/>
              <w:rPr>
                <w:rFonts w:eastAsia="Calibri"/>
                <w:color w:val="000000" w:themeColor="text1"/>
              </w:rPr>
            </w:pPr>
            <w:r w:rsidRPr="00C128BD">
              <w:rPr>
                <w:rFonts w:eastAsia="Calibri"/>
                <w:color w:val="000000" w:themeColor="text1"/>
              </w:rPr>
              <w:t>william.wright@puc.state.oh.us</w:t>
            </w:r>
          </w:p>
          <w:p w:rsidR="00E5512A" w:rsidRPr="00C128BD" w:rsidRDefault="00E5512A" w:rsidP="00CA67D3">
            <w:pPr>
              <w:widowControl w:val="0"/>
              <w:tabs>
                <w:tab w:val="left" w:pos="4452"/>
              </w:tabs>
              <w:autoSpaceDE w:val="0"/>
              <w:autoSpaceDN w:val="0"/>
              <w:adjustRightInd w:val="0"/>
              <w:spacing w:after="0"/>
            </w:pPr>
          </w:p>
          <w:p w:rsidR="00E5512A" w:rsidRPr="00C128BD" w:rsidRDefault="00E5512A" w:rsidP="00CA67D3">
            <w:pPr>
              <w:widowControl w:val="0"/>
              <w:tabs>
                <w:tab w:val="left" w:pos="4452"/>
              </w:tabs>
              <w:autoSpaceDE w:val="0"/>
              <w:autoSpaceDN w:val="0"/>
              <w:adjustRightInd w:val="0"/>
              <w:spacing w:after="0"/>
            </w:pPr>
          </w:p>
          <w:p w:rsidR="00532E4A" w:rsidRPr="00C128BD" w:rsidRDefault="00532E4A" w:rsidP="00CA67D3">
            <w:pPr>
              <w:widowControl w:val="0"/>
              <w:tabs>
                <w:tab w:val="left" w:pos="4452"/>
              </w:tabs>
              <w:autoSpaceDE w:val="0"/>
              <w:autoSpaceDN w:val="0"/>
              <w:adjustRightInd w:val="0"/>
              <w:spacing w:after="0"/>
              <w:rPr>
                <w:b/>
              </w:rPr>
            </w:pPr>
          </w:p>
          <w:p w:rsidR="00532E4A" w:rsidRPr="00C128BD" w:rsidRDefault="00532E4A" w:rsidP="00CA67D3">
            <w:pPr>
              <w:widowControl w:val="0"/>
              <w:tabs>
                <w:tab w:val="left" w:pos="4452"/>
              </w:tabs>
              <w:autoSpaceDE w:val="0"/>
              <w:autoSpaceDN w:val="0"/>
              <w:adjustRightInd w:val="0"/>
              <w:spacing w:after="0"/>
              <w:rPr>
                <w:b/>
              </w:rPr>
            </w:pPr>
          </w:p>
          <w:p w:rsidR="00532E4A" w:rsidRPr="00C128BD" w:rsidRDefault="00532E4A" w:rsidP="00CA67D3">
            <w:pPr>
              <w:widowControl w:val="0"/>
              <w:tabs>
                <w:tab w:val="left" w:pos="4452"/>
              </w:tabs>
              <w:autoSpaceDE w:val="0"/>
              <w:autoSpaceDN w:val="0"/>
              <w:adjustRightInd w:val="0"/>
              <w:spacing w:after="0"/>
              <w:rPr>
                <w:b/>
              </w:rPr>
            </w:pPr>
          </w:p>
          <w:p w:rsidR="00532E4A" w:rsidRPr="00C128BD" w:rsidRDefault="00532E4A" w:rsidP="00CA67D3">
            <w:pPr>
              <w:widowControl w:val="0"/>
              <w:tabs>
                <w:tab w:val="left" w:pos="4452"/>
              </w:tabs>
              <w:autoSpaceDE w:val="0"/>
              <w:autoSpaceDN w:val="0"/>
              <w:adjustRightInd w:val="0"/>
              <w:spacing w:after="0"/>
              <w:rPr>
                <w:b/>
              </w:rPr>
            </w:pPr>
          </w:p>
          <w:p w:rsidR="00532E4A" w:rsidRPr="00C128BD" w:rsidRDefault="00532E4A" w:rsidP="00CA67D3">
            <w:pPr>
              <w:widowControl w:val="0"/>
              <w:tabs>
                <w:tab w:val="left" w:pos="4452"/>
              </w:tabs>
              <w:autoSpaceDE w:val="0"/>
              <w:autoSpaceDN w:val="0"/>
              <w:adjustRightInd w:val="0"/>
              <w:spacing w:after="0"/>
              <w:rPr>
                <w:b/>
              </w:rPr>
            </w:pPr>
          </w:p>
          <w:p w:rsidR="00E5512A" w:rsidRPr="00C128BD" w:rsidRDefault="00E5512A" w:rsidP="00CA67D3">
            <w:pPr>
              <w:widowControl w:val="0"/>
              <w:tabs>
                <w:tab w:val="left" w:pos="4452"/>
              </w:tabs>
              <w:autoSpaceDE w:val="0"/>
              <w:autoSpaceDN w:val="0"/>
              <w:adjustRightInd w:val="0"/>
              <w:spacing w:after="0"/>
              <w:rPr>
                <w:b/>
              </w:rPr>
            </w:pPr>
            <w:r w:rsidRPr="00C128BD">
              <w:rPr>
                <w:b/>
              </w:rPr>
              <w:t xml:space="preserve">On </w:t>
            </w:r>
            <w:r w:rsidR="00CA67D3">
              <w:rPr>
                <w:b/>
              </w:rPr>
              <w:t>B</w:t>
            </w:r>
            <w:r w:rsidRPr="00C128BD">
              <w:rPr>
                <w:b/>
              </w:rPr>
              <w:t xml:space="preserve">ehalf of the </w:t>
            </w:r>
            <w:r w:rsidR="009D474C" w:rsidRPr="00C128BD">
              <w:rPr>
                <w:b/>
              </w:rPr>
              <w:t>Ohio Energy Group</w:t>
            </w:r>
            <w:r w:rsidRPr="00C128BD">
              <w:rPr>
                <w:b/>
              </w:rPr>
              <w:t>:</w:t>
            </w:r>
          </w:p>
          <w:p w:rsidR="009D474C" w:rsidRPr="00C128BD" w:rsidRDefault="009D474C" w:rsidP="00CA67D3">
            <w:pPr>
              <w:widowControl w:val="0"/>
              <w:tabs>
                <w:tab w:val="left" w:pos="4452"/>
              </w:tabs>
              <w:autoSpaceDE w:val="0"/>
              <w:autoSpaceDN w:val="0"/>
              <w:adjustRightInd w:val="0"/>
              <w:spacing w:after="0"/>
              <w:rPr>
                <w:b/>
              </w:rPr>
            </w:pPr>
          </w:p>
          <w:p w:rsidR="009D474C" w:rsidRPr="00C128BD" w:rsidRDefault="009D474C" w:rsidP="00CA67D3">
            <w:pPr>
              <w:widowControl w:val="0"/>
              <w:tabs>
                <w:tab w:val="left" w:pos="4452"/>
              </w:tabs>
              <w:autoSpaceDE w:val="0"/>
              <w:autoSpaceDN w:val="0"/>
              <w:adjustRightInd w:val="0"/>
              <w:spacing w:after="0"/>
              <w:rPr>
                <w:b/>
              </w:rPr>
            </w:pPr>
          </w:p>
          <w:p w:rsidR="00E5512A" w:rsidRPr="00C128BD" w:rsidRDefault="00E5512A" w:rsidP="00CA67D3">
            <w:pPr>
              <w:widowControl w:val="0"/>
              <w:tabs>
                <w:tab w:val="left" w:pos="4452"/>
              </w:tabs>
              <w:autoSpaceDE w:val="0"/>
              <w:autoSpaceDN w:val="0"/>
              <w:adjustRightInd w:val="0"/>
              <w:spacing w:after="0"/>
              <w:rPr>
                <w:b/>
              </w:rPr>
            </w:pPr>
          </w:p>
          <w:p w:rsidR="00E5512A" w:rsidRPr="00C128BD" w:rsidRDefault="00E5512A" w:rsidP="00CA67D3">
            <w:pPr>
              <w:widowControl w:val="0"/>
              <w:tabs>
                <w:tab w:val="left" w:pos="4452"/>
              </w:tabs>
              <w:autoSpaceDE w:val="0"/>
              <w:autoSpaceDN w:val="0"/>
              <w:adjustRightInd w:val="0"/>
              <w:spacing w:after="0"/>
              <w:rPr>
                <w:b/>
              </w:rPr>
            </w:pPr>
          </w:p>
          <w:p w:rsidR="00E5512A" w:rsidRPr="00C128BD" w:rsidRDefault="00AB5E4B" w:rsidP="00CA67D3">
            <w:pPr>
              <w:widowControl w:val="0"/>
              <w:tabs>
                <w:tab w:val="left" w:pos="4452"/>
              </w:tabs>
              <w:autoSpaceDE w:val="0"/>
              <w:autoSpaceDN w:val="0"/>
              <w:adjustRightInd w:val="0"/>
              <w:spacing w:after="0"/>
              <w:rPr>
                <w:u w:val="single"/>
              </w:rPr>
            </w:pPr>
            <w:r>
              <w:rPr>
                <w:u w:val="single"/>
              </w:rPr>
              <w:t>/s/ David F. Boehm/per email auth.</w:t>
            </w:r>
            <w:r w:rsidR="00E5512A" w:rsidRPr="00C128BD">
              <w:rPr>
                <w:u w:val="single"/>
              </w:rPr>
              <w:tab/>
            </w:r>
          </w:p>
          <w:p w:rsidR="00532E4A" w:rsidRPr="00C128BD" w:rsidRDefault="00532E4A" w:rsidP="00CA67D3">
            <w:pPr>
              <w:spacing w:after="0"/>
              <w:jc w:val="both"/>
              <w:rPr>
                <w:rFonts w:eastAsia="Calibri"/>
                <w:b/>
                <w:color w:val="000000" w:themeColor="text1"/>
              </w:rPr>
            </w:pPr>
            <w:r w:rsidRPr="00C128BD">
              <w:rPr>
                <w:rFonts w:eastAsia="Calibri"/>
                <w:b/>
                <w:color w:val="000000" w:themeColor="text1"/>
              </w:rPr>
              <w:t>David F. Boehm</w:t>
            </w:r>
          </w:p>
          <w:p w:rsidR="00532E4A" w:rsidRPr="00C128BD" w:rsidRDefault="00532E4A" w:rsidP="00CA67D3">
            <w:pPr>
              <w:spacing w:after="0"/>
              <w:jc w:val="both"/>
              <w:rPr>
                <w:rFonts w:eastAsia="Calibri"/>
                <w:b/>
                <w:color w:val="000000" w:themeColor="text1"/>
              </w:rPr>
            </w:pPr>
            <w:r w:rsidRPr="00C128BD">
              <w:rPr>
                <w:rFonts w:eastAsia="Calibri"/>
                <w:b/>
                <w:color w:val="000000" w:themeColor="text1"/>
              </w:rPr>
              <w:t>Michael L. Kurtz</w:t>
            </w:r>
          </w:p>
          <w:p w:rsidR="00532E4A" w:rsidRPr="00C128BD" w:rsidRDefault="006D1E1D" w:rsidP="00CA67D3">
            <w:pPr>
              <w:spacing w:after="0"/>
              <w:jc w:val="both"/>
              <w:rPr>
                <w:rFonts w:eastAsia="Calibri"/>
                <w:b/>
                <w:color w:val="000000" w:themeColor="text1"/>
              </w:rPr>
            </w:pPr>
            <w:r>
              <w:rPr>
                <w:rFonts w:eastAsia="Calibri"/>
                <w:b/>
                <w:color w:val="000000" w:themeColor="text1"/>
              </w:rPr>
              <w:t>Jody Kyler Cohn</w:t>
            </w:r>
          </w:p>
          <w:p w:rsidR="00532E4A" w:rsidRPr="00C128BD" w:rsidRDefault="00532E4A" w:rsidP="00CA67D3">
            <w:pPr>
              <w:spacing w:after="0"/>
              <w:jc w:val="both"/>
              <w:rPr>
                <w:rFonts w:eastAsia="Calibri"/>
                <w:color w:val="000000" w:themeColor="text1"/>
              </w:rPr>
            </w:pPr>
            <w:r w:rsidRPr="00C128BD">
              <w:rPr>
                <w:rFonts w:eastAsia="Calibri"/>
                <w:color w:val="000000" w:themeColor="text1"/>
              </w:rPr>
              <w:t>Boehm, Kurtz &amp; Lowry</w:t>
            </w:r>
          </w:p>
          <w:p w:rsidR="00532E4A" w:rsidRPr="00C128BD" w:rsidRDefault="00532E4A" w:rsidP="00CA67D3">
            <w:pPr>
              <w:spacing w:after="0"/>
              <w:jc w:val="both"/>
              <w:rPr>
                <w:rFonts w:eastAsia="Calibri"/>
                <w:color w:val="000000" w:themeColor="text1"/>
              </w:rPr>
            </w:pPr>
            <w:r w:rsidRPr="00C128BD">
              <w:rPr>
                <w:rFonts w:eastAsia="Calibri"/>
                <w:color w:val="000000" w:themeColor="text1"/>
              </w:rPr>
              <w:t>36 East Seventh Street, Suite 1510</w:t>
            </w:r>
          </w:p>
          <w:p w:rsidR="00532E4A" w:rsidRPr="00C128BD" w:rsidRDefault="00532E4A" w:rsidP="00CA67D3">
            <w:pPr>
              <w:spacing w:after="0"/>
              <w:jc w:val="both"/>
              <w:rPr>
                <w:rFonts w:eastAsia="Calibri"/>
                <w:color w:val="000000" w:themeColor="text1"/>
              </w:rPr>
            </w:pPr>
            <w:r w:rsidRPr="00C128BD">
              <w:rPr>
                <w:rFonts w:eastAsia="Calibri"/>
                <w:color w:val="000000" w:themeColor="text1"/>
              </w:rPr>
              <w:t>Cincinnati, OH  45202</w:t>
            </w:r>
          </w:p>
          <w:p w:rsidR="00532E4A" w:rsidRPr="00C128BD" w:rsidRDefault="00532E4A" w:rsidP="00CA67D3">
            <w:pPr>
              <w:spacing w:after="0"/>
              <w:jc w:val="both"/>
              <w:rPr>
                <w:rFonts w:eastAsia="Calibri"/>
                <w:color w:val="000000" w:themeColor="text1"/>
              </w:rPr>
            </w:pPr>
            <w:r w:rsidRPr="00C128BD">
              <w:rPr>
                <w:rFonts w:eastAsia="Calibri"/>
              </w:rPr>
              <w:t>dboehm@BKLlawfirm.com</w:t>
            </w:r>
          </w:p>
          <w:p w:rsidR="00532E4A" w:rsidRPr="00C128BD" w:rsidRDefault="00532E4A" w:rsidP="00CA67D3">
            <w:pPr>
              <w:spacing w:after="0"/>
              <w:jc w:val="both"/>
              <w:rPr>
                <w:rFonts w:eastAsia="Calibri"/>
                <w:color w:val="000000" w:themeColor="text1"/>
              </w:rPr>
            </w:pPr>
            <w:r w:rsidRPr="00C128BD">
              <w:rPr>
                <w:rFonts w:eastAsia="Calibri"/>
              </w:rPr>
              <w:t>mkurtz@BKLlawfirm.com</w:t>
            </w:r>
          </w:p>
          <w:p w:rsidR="00E5512A" w:rsidRPr="00C128BD" w:rsidRDefault="006D1E1D" w:rsidP="00CA67D3">
            <w:pPr>
              <w:spacing w:after="0"/>
              <w:jc w:val="both"/>
              <w:rPr>
                <w:rFonts w:eastAsia="Calibri"/>
                <w:color w:val="000000" w:themeColor="text1"/>
              </w:rPr>
            </w:pPr>
            <w:r>
              <w:rPr>
                <w:rFonts w:eastAsia="Calibri"/>
                <w:color w:val="000000" w:themeColor="text1"/>
              </w:rPr>
              <w:t>jkylercohn</w:t>
            </w:r>
            <w:r w:rsidR="00532E4A" w:rsidRPr="00C128BD">
              <w:rPr>
                <w:rFonts w:eastAsia="Calibri"/>
                <w:color w:val="000000" w:themeColor="text1"/>
              </w:rPr>
              <w:t>@BKLlawfirm.com</w:t>
            </w:r>
          </w:p>
        </w:tc>
      </w:tr>
    </w:tbl>
    <w:p w:rsidR="000233A0" w:rsidRDefault="000233A0" w:rsidP="00990DC8">
      <w:pPr>
        <w:pStyle w:val="ListParagraph"/>
        <w:spacing w:line="480" w:lineRule="auto"/>
        <w:ind w:left="1080"/>
        <w:rPr>
          <w:b/>
        </w:rPr>
      </w:pPr>
    </w:p>
    <w:p w:rsidR="00306CF6" w:rsidRDefault="00306CF6">
      <w:pPr>
        <w:spacing w:after="0"/>
        <w:rPr>
          <w:b/>
        </w:rPr>
        <w:sectPr w:rsidR="00306CF6" w:rsidSect="00C128BD">
          <w:pgSz w:w="12240" w:h="15840" w:code="1"/>
          <w:pgMar w:top="1440" w:right="1440" w:bottom="1440" w:left="1440" w:header="720" w:footer="720" w:gutter="0"/>
          <w:pgNumType w:start="1"/>
          <w:cols w:space="720"/>
          <w:titlePg/>
          <w:docGrid w:linePitch="360"/>
        </w:sectPr>
      </w:pPr>
    </w:p>
    <w:p w:rsidR="000A78B0" w:rsidRDefault="000A78B0" w:rsidP="00894EC0">
      <w:pPr>
        <w:spacing w:after="0"/>
        <w:jc w:val="center"/>
        <w:rPr>
          <w:b/>
        </w:rPr>
      </w:pPr>
      <w:r w:rsidRPr="00894EC0">
        <w:rPr>
          <w:b/>
        </w:rPr>
        <w:t>APPENDIX A</w:t>
      </w:r>
    </w:p>
    <w:p w:rsidR="00E81E03" w:rsidRDefault="00E81E03" w:rsidP="00894EC0">
      <w:pPr>
        <w:spacing w:after="0"/>
        <w:jc w:val="center"/>
        <w:rPr>
          <w:b/>
        </w:rPr>
      </w:pPr>
    </w:p>
    <w:p w:rsidR="00E81E03" w:rsidRDefault="00E81E03" w:rsidP="00894EC0">
      <w:pPr>
        <w:spacing w:after="0"/>
        <w:jc w:val="center"/>
        <w:rPr>
          <w:b/>
        </w:rPr>
      </w:pPr>
    </w:p>
    <w:p w:rsidR="00E81E03" w:rsidRDefault="00E81E03">
      <w:pPr>
        <w:spacing w:after="0"/>
        <w:rPr>
          <w:b/>
        </w:rPr>
        <w:sectPr w:rsidR="00E81E03" w:rsidSect="00C128BD">
          <w:pgSz w:w="12240" w:h="15840" w:code="1"/>
          <w:pgMar w:top="1440" w:right="1440" w:bottom="1440" w:left="1440" w:header="720" w:footer="720" w:gutter="0"/>
          <w:pgNumType w:start="1"/>
          <w:cols w:space="720"/>
          <w:titlePg/>
          <w:docGrid w:linePitch="360"/>
        </w:sectPr>
      </w:pPr>
    </w:p>
    <w:p w:rsidR="004A3BA9" w:rsidRPr="0013205B" w:rsidRDefault="004A3BA9" w:rsidP="004A3BA9">
      <w:pPr>
        <w:pStyle w:val="CM5"/>
        <w:widowControl/>
        <w:spacing w:line="278" w:lineRule="atLeast"/>
        <w:jc w:val="center"/>
        <w:outlineLvl w:val="0"/>
        <w:rPr>
          <w:rFonts w:ascii="Arial" w:hAnsi="Arial" w:cs="Arial"/>
          <w:b/>
        </w:rPr>
      </w:pPr>
      <w:r w:rsidRPr="0013205B">
        <w:rPr>
          <w:rFonts w:ascii="Arial" w:hAnsi="Arial" w:cs="Arial"/>
          <w:b/>
        </w:rPr>
        <w:t>REASONABLE ARRANGEMENT FOR ELECTRIC DISTRIBUTION SERVICE</w:t>
      </w:r>
    </w:p>
    <w:p w:rsidR="004A3BA9" w:rsidRDefault="00E3404F" w:rsidP="005C58FC">
      <w:pPr>
        <w:spacing w:after="0"/>
        <w:jc w:val="both"/>
      </w:pPr>
      <w:r w:rsidRPr="00DA4797">
        <w:rPr>
          <w:b/>
        </w:rPr>
        <w:t>THIS REASONABLE ARRANGEMENT</w:t>
      </w:r>
      <w:r w:rsidRPr="00DA4797">
        <w:t xml:space="preserve"> </w:t>
      </w:r>
      <w:r w:rsidR="00753D74">
        <w:t xml:space="preserve">(“Arrangement”) </w:t>
      </w:r>
      <w:r w:rsidRPr="00DA4797">
        <w:t xml:space="preserve">is entered into on this </w:t>
      </w:r>
      <w:r>
        <w:t>__</w:t>
      </w:r>
      <w:r w:rsidRPr="00DA4797">
        <w:t xml:space="preserve"> day of </w:t>
      </w:r>
      <w:r>
        <w:t>___</w:t>
      </w:r>
      <w:r w:rsidR="00E81E03">
        <w:t xml:space="preserve">______, </w:t>
      </w:r>
      <w:r w:rsidRPr="00DA4797">
        <w:t>20</w:t>
      </w:r>
      <w:r>
        <w:t>13</w:t>
      </w:r>
      <w:r w:rsidRPr="00DA4797">
        <w:t xml:space="preserve">, by and between </w:t>
      </w:r>
      <w:r w:rsidR="0018140A">
        <w:t xml:space="preserve">The </w:t>
      </w:r>
      <w:r w:rsidR="004A3BA9">
        <w:t>Cleveland Electric Illuminating</w:t>
      </w:r>
      <w:r w:rsidRPr="00DA4797">
        <w:t xml:space="preserve"> Company, its successors and assigns (</w:t>
      </w:r>
      <w:r w:rsidR="005C58FC">
        <w:t>“</w:t>
      </w:r>
      <w:r w:rsidRPr="00DA4797">
        <w:t>Company</w:t>
      </w:r>
      <w:r w:rsidR="005C58FC">
        <w:t>”</w:t>
      </w:r>
      <w:r w:rsidRPr="00DA4797">
        <w:t xml:space="preserve">), and </w:t>
      </w:r>
      <w:r w:rsidR="004A3BA9">
        <w:t xml:space="preserve">ASHTA Chemicals </w:t>
      </w:r>
      <w:r w:rsidR="00C4710A">
        <w:t>Inc.</w:t>
      </w:r>
      <w:r w:rsidRPr="00DA4797">
        <w:t>, its permitted successors and assigns (“Customer"),</w:t>
      </w:r>
      <w:r w:rsidR="005C58FC">
        <w:t xml:space="preserve"> </w:t>
      </w:r>
      <w:r w:rsidR="0061209B">
        <w:t>(referred together as the “Parties”)</w:t>
      </w:r>
      <w:r w:rsidRPr="00DA4797">
        <w:t xml:space="preserve"> and is effective as set forth below (“Effective Date”).</w:t>
      </w:r>
    </w:p>
    <w:p w:rsidR="004A3BA9" w:rsidRDefault="004A3BA9" w:rsidP="005C58FC">
      <w:pPr>
        <w:spacing w:after="0"/>
        <w:jc w:val="both"/>
      </w:pPr>
    </w:p>
    <w:p w:rsidR="004A3BA9" w:rsidRPr="00E81E03" w:rsidRDefault="004A3BA9" w:rsidP="005C58FC">
      <w:pPr>
        <w:pStyle w:val="CM5"/>
        <w:widowControl/>
        <w:jc w:val="both"/>
        <w:outlineLvl w:val="0"/>
        <w:rPr>
          <w:rFonts w:ascii="Arial" w:hAnsi="Arial" w:cs="Arial"/>
          <w:b/>
        </w:rPr>
      </w:pPr>
      <w:r w:rsidRPr="00E81E03">
        <w:rPr>
          <w:rFonts w:ascii="Arial" w:hAnsi="Arial" w:cs="Arial"/>
          <w:b/>
        </w:rPr>
        <w:t>WITNESSETH</w:t>
      </w:r>
    </w:p>
    <w:p w:rsidR="004A3BA9" w:rsidRPr="00DA4797" w:rsidRDefault="004A3BA9" w:rsidP="005C58FC">
      <w:pPr>
        <w:pStyle w:val="CM5"/>
        <w:widowControl/>
        <w:spacing w:line="283" w:lineRule="atLeast"/>
        <w:jc w:val="both"/>
        <w:rPr>
          <w:rFonts w:ascii="Arial" w:hAnsi="Arial" w:cs="Arial"/>
        </w:rPr>
      </w:pPr>
      <w:r w:rsidRPr="00DA4797">
        <w:rPr>
          <w:rFonts w:ascii="Arial" w:hAnsi="Arial" w:cs="Arial"/>
          <w:b/>
        </w:rPr>
        <w:t>WHEREAS</w:t>
      </w:r>
      <w:r w:rsidRPr="00DA4797">
        <w:rPr>
          <w:rFonts w:ascii="Arial" w:hAnsi="Arial" w:cs="Arial"/>
        </w:rPr>
        <w:t>, the Company currently provides electric distribution service to the Customer at certain of its facilities; and</w:t>
      </w:r>
    </w:p>
    <w:p w:rsidR="00DA4797" w:rsidRPr="00DA4797" w:rsidRDefault="00DA4797" w:rsidP="005C58FC">
      <w:pPr>
        <w:pStyle w:val="CM5"/>
        <w:widowControl/>
        <w:spacing w:line="283" w:lineRule="atLeast"/>
        <w:jc w:val="both"/>
        <w:rPr>
          <w:rFonts w:ascii="Arial" w:hAnsi="Arial" w:cs="Arial"/>
        </w:rPr>
      </w:pPr>
      <w:r w:rsidRPr="00DA4797">
        <w:rPr>
          <w:rFonts w:ascii="Arial" w:hAnsi="Arial" w:cs="Arial"/>
          <w:b/>
        </w:rPr>
        <w:t>WHEREAS</w:t>
      </w:r>
      <w:r w:rsidRPr="00DA4797">
        <w:rPr>
          <w:rFonts w:ascii="Arial" w:hAnsi="Arial" w:cs="Arial"/>
        </w:rPr>
        <w:t xml:space="preserve">, Customer is evaluating </w:t>
      </w:r>
      <w:r>
        <w:rPr>
          <w:rFonts w:ascii="Arial" w:hAnsi="Arial" w:cs="Arial"/>
        </w:rPr>
        <w:t>a major capital expenditure to significantly change the manufacturing process at its Ashtabula, Ohio location</w:t>
      </w:r>
      <w:r w:rsidRPr="00DA4797">
        <w:rPr>
          <w:rFonts w:ascii="Arial" w:hAnsi="Arial" w:cs="Arial"/>
        </w:rPr>
        <w:t xml:space="preserve">, which includes as a significant factor and a prerequisite for a successful expansion, the securing of a reliable supply of </w:t>
      </w:r>
      <w:r>
        <w:rPr>
          <w:rFonts w:ascii="Arial" w:hAnsi="Arial" w:cs="Arial"/>
        </w:rPr>
        <w:t xml:space="preserve">distribution </w:t>
      </w:r>
      <w:r w:rsidRPr="00DA4797">
        <w:rPr>
          <w:rFonts w:ascii="Arial" w:hAnsi="Arial" w:cs="Arial"/>
        </w:rPr>
        <w:t>electricity under terms and conditions that provide it with a reasonable and predictable price over a term sufficient to justify a significant capital expenditure; and</w:t>
      </w:r>
    </w:p>
    <w:p w:rsidR="00990DC8" w:rsidRPr="00DA4797" w:rsidRDefault="00DA4797" w:rsidP="005C58FC">
      <w:pPr>
        <w:spacing w:after="0"/>
        <w:jc w:val="both"/>
      </w:pPr>
      <w:r w:rsidRPr="00DA4797">
        <w:rPr>
          <w:b/>
        </w:rPr>
        <w:t>WHEREAS</w:t>
      </w:r>
      <w:r w:rsidRPr="00DA4797">
        <w:t>, in order to obtain such a supply of electricity, Customer submitted to the Public Utilities Commission of Ohio (“Commission”) an application for a reasonable arrangement in Commission Case No. 12</w:t>
      </w:r>
      <w:r w:rsidR="00753D74">
        <w:t>-</w:t>
      </w:r>
      <w:r w:rsidRPr="00DA4797">
        <w:t>1494-EL-AEC, which was, pursuant to a Stipulation and Recommendation, approved by the Commission on</w:t>
      </w:r>
      <w:r w:rsidR="00E81E03">
        <w:t xml:space="preserve"> ____</w:t>
      </w:r>
      <w:r w:rsidRPr="00DA4797">
        <w:t>____,</w:t>
      </w:r>
      <w:r w:rsidR="00E81E03">
        <w:t xml:space="preserve"> </w:t>
      </w:r>
      <w:r w:rsidRPr="00DA4797">
        <w:t>___</w:t>
      </w:r>
      <w:r w:rsidR="00E81E03">
        <w:t>__</w:t>
      </w:r>
      <w:r w:rsidRPr="00DA4797">
        <w:t>; and</w:t>
      </w:r>
    </w:p>
    <w:p w:rsidR="00DA4797" w:rsidRDefault="00DA4797" w:rsidP="005C58FC">
      <w:pPr>
        <w:spacing w:after="0"/>
        <w:jc w:val="both"/>
        <w:rPr>
          <w:sz w:val="22"/>
          <w:szCs w:val="22"/>
        </w:rPr>
      </w:pPr>
    </w:p>
    <w:p w:rsidR="00DA4797" w:rsidRDefault="00DA4797" w:rsidP="005C58FC">
      <w:pPr>
        <w:pStyle w:val="CM5"/>
        <w:widowControl/>
        <w:spacing w:line="283" w:lineRule="atLeast"/>
        <w:ind w:right="-41"/>
        <w:jc w:val="both"/>
        <w:rPr>
          <w:rFonts w:ascii="Arial" w:hAnsi="Arial" w:cs="Arial"/>
        </w:rPr>
      </w:pPr>
      <w:r w:rsidRPr="00DA4797">
        <w:rPr>
          <w:rFonts w:ascii="Arial" w:hAnsi="Arial" w:cs="Arial"/>
          <w:b/>
        </w:rPr>
        <w:t>WHEREAS</w:t>
      </w:r>
      <w:r w:rsidRPr="00DA4797">
        <w:rPr>
          <w:rFonts w:ascii="Arial" w:hAnsi="Arial" w:cs="Arial"/>
        </w:rPr>
        <w:t>, in accordance with the Commission’s approval of the Stipulation and Recommendation as modified by the Commission and as set forth in its</w:t>
      </w:r>
      <w:r w:rsidR="00E81E03">
        <w:rPr>
          <w:rFonts w:ascii="Arial" w:hAnsi="Arial" w:cs="Arial"/>
        </w:rPr>
        <w:t xml:space="preserve"> ______</w:t>
      </w:r>
      <w:r>
        <w:rPr>
          <w:rFonts w:ascii="Arial" w:hAnsi="Arial" w:cs="Arial"/>
        </w:rPr>
        <w:t>___</w:t>
      </w:r>
      <w:r w:rsidRPr="00DA4797">
        <w:rPr>
          <w:rFonts w:ascii="Arial" w:hAnsi="Arial" w:cs="Arial"/>
        </w:rPr>
        <w:t xml:space="preserve">, </w:t>
      </w:r>
      <w:r w:rsidR="00E81E03">
        <w:rPr>
          <w:rFonts w:ascii="Arial" w:hAnsi="Arial" w:cs="Arial"/>
        </w:rPr>
        <w:t>___</w:t>
      </w:r>
      <w:r>
        <w:rPr>
          <w:rFonts w:ascii="Arial" w:hAnsi="Arial" w:cs="Arial"/>
        </w:rPr>
        <w:t>___</w:t>
      </w:r>
      <w:r w:rsidRPr="00DA4797">
        <w:rPr>
          <w:rFonts w:ascii="Arial" w:hAnsi="Arial" w:cs="Arial"/>
        </w:rPr>
        <w:t xml:space="preserve"> Opinion and Order (“Order”), the Company and the Customer enter into this </w:t>
      </w:r>
      <w:r w:rsidR="00753D74">
        <w:rPr>
          <w:rFonts w:ascii="Arial" w:hAnsi="Arial" w:cs="Arial"/>
        </w:rPr>
        <w:t>Arrangement</w:t>
      </w:r>
      <w:r w:rsidRPr="00DA4797">
        <w:rPr>
          <w:rFonts w:ascii="Arial" w:hAnsi="Arial" w:cs="Arial"/>
        </w:rPr>
        <w:t>.</w:t>
      </w:r>
    </w:p>
    <w:p w:rsidR="00DA4797" w:rsidRPr="00DA4797" w:rsidRDefault="00DA4797" w:rsidP="005C58FC">
      <w:pPr>
        <w:pStyle w:val="CM5"/>
        <w:widowControl/>
        <w:spacing w:line="293" w:lineRule="atLeast"/>
        <w:ind w:right="-41"/>
        <w:jc w:val="both"/>
        <w:rPr>
          <w:rFonts w:ascii="Arial" w:hAnsi="Arial" w:cs="Arial"/>
        </w:rPr>
      </w:pPr>
      <w:r w:rsidRPr="00DA4797">
        <w:rPr>
          <w:rFonts w:ascii="Arial" w:hAnsi="Arial" w:cs="Arial"/>
          <w:b/>
        </w:rPr>
        <w:t>NOW, THEREFORE</w:t>
      </w:r>
      <w:r w:rsidRPr="00DA4797">
        <w:rPr>
          <w:rFonts w:ascii="Arial" w:hAnsi="Arial" w:cs="Arial"/>
        </w:rPr>
        <w:t xml:space="preserve">, in consideration of the promises and mutual covenants set forth herein, and for other good and valuable consideration, the sufficiency and receipt of which is hereby acknowledged, the </w:t>
      </w:r>
      <w:r w:rsidR="00753D74">
        <w:rPr>
          <w:rFonts w:ascii="Arial" w:hAnsi="Arial" w:cs="Arial"/>
        </w:rPr>
        <w:t>P</w:t>
      </w:r>
      <w:r w:rsidRPr="00DA4797">
        <w:rPr>
          <w:rFonts w:ascii="Arial" w:hAnsi="Arial" w:cs="Arial"/>
        </w:rPr>
        <w:t>arties, intending to be legally bound, do hereby agree as follows:</w:t>
      </w:r>
    </w:p>
    <w:p w:rsidR="0095339B" w:rsidRPr="0013205B" w:rsidRDefault="00CF2EDC" w:rsidP="00306CF6">
      <w:pPr>
        <w:pStyle w:val="Heading3"/>
        <w:numPr>
          <w:ilvl w:val="0"/>
          <w:numId w:val="0"/>
        </w:numPr>
        <w:tabs>
          <w:tab w:val="left" w:pos="1350"/>
        </w:tabs>
        <w:spacing w:after="0"/>
        <w:ind w:left="720" w:hanging="720"/>
        <w:rPr>
          <w:b w:val="0"/>
        </w:rPr>
      </w:pPr>
      <w:r>
        <w:t>1</w:t>
      </w:r>
      <w:r w:rsidRPr="0013205B">
        <w:rPr>
          <w:b w:val="0"/>
        </w:rPr>
        <w:t>.</w:t>
      </w:r>
      <w:r w:rsidR="00753D74">
        <w:rPr>
          <w:b w:val="0"/>
        </w:rPr>
        <w:tab/>
      </w:r>
      <w:r w:rsidR="00DA4797" w:rsidRPr="0013205B">
        <w:t>Electric Distribution Service</w:t>
      </w:r>
      <w:r w:rsidR="00DA4797" w:rsidRPr="0013205B">
        <w:rPr>
          <w:b w:val="0"/>
        </w:rPr>
        <w:t xml:space="preserve">. </w:t>
      </w:r>
      <w:r w:rsidR="00753D74">
        <w:rPr>
          <w:b w:val="0"/>
        </w:rPr>
        <w:t xml:space="preserve"> </w:t>
      </w:r>
      <w:r w:rsidR="00DA4797" w:rsidRPr="0013205B">
        <w:rPr>
          <w:b w:val="0"/>
        </w:rPr>
        <w:t>This Arrangement shall be applicable to the electric distribution supply furnished by Company and any successors or assigns approved by the Commission to the facilities, plant and equipment associated with Customer’s manufacturing operations located in or around Ashtabula, Ohio (“Customer’s Facility”).  Pursuant to this Arrangement, Company shall provide, and the Customer shall receive, all of Customer’s distribution electric service needs at the Customer’s Facility with a current billing address of</w:t>
      </w:r>
      <w:r w:rsidR="0095339B" w:rsidRPr="0013205B">
        <w:rPr>
          <w:b w:val="0"/>
        </w:rPr>
        <w:t xml:space="preserve"> 3509 Middle Road Ashtabula, OH  44004.</w:t>
      </w:r>
      <w:r w:rsidR="00435E57">
        <w:rPr>
          <w:b w:val="0"/>
        </w:rPr>
        <w:t xml:space="preserve"> </w:t>
      </w:r>
      <w:r w:rsidR="0095339B" w:rsidRPr="0013205B">
        <w:t xml:space="preserve"> </w:t>
      </w:r>
      <w:r w:rsidR="00D5627E" w:rsidRPr="00E46E70">
        <w:rPr>
          <w:b w:val="0"/>
        </w:rPr>
        <w:t>The</w:t>
      </w:r>
      <w:r w:rsidR="00D5627E">
        <w:t xml:space="preserve"> </w:t>
      </w:r>
      <w:r w:rsidR="0095339B" w:rsidRPr="0013205B">
        <w:rPr>
          <w:b w:val="0"/>
        </w:rPr>
        <w:t xml:space="preserve">Company shall bill </w:t>
      </w:r>
      <w:r w:rsidR="00E46E70">
        <w:rPr>
          <w:b w:val="0"/>
        </w:rPr>
        <w:t>C</w:t>
      </w:r>
      <w:r w:rsidRPr="00CF2EDC">
        <w:rPr>
          <w:b w:val="0"/>
        </w:rPr>
        <w:t>ustomer monthly</w:t>
      </w:r>
      <w:r w:rsidR="0095339B" w:rsidRPr="0013205B">
        <w:rPr>
          <w:b w:val="0"/>
        </w:rPr>
        <w:t xml:space="preserve"> distribution related charges in accordance with the following schedule.</w:t>
      </w:r>
    </w:p>
    <w:p w:rsidR="0095339B" w:rsidRDefault="0095339B" w:rsidP="00306CF6">
      <w:pPr>
        <w:autoSpaceDE w:val="0"/>
        <w:autoSpaceDN w:val="0"/>
        <w:adjustRightInd w:val="0"/>
        <w:spacing w:after="0"/>
        <w:jc w:val="both"/>
        <w:rPr>
          <w:sz w:val="22"/>
          <w:szCs w:val="22"/>
        </w:rPr>
      </w:pPr>
    </w:p>
    <w:p w:rsidR="0095339B" w:rsidRDefault="0095339B" w:rsidP="00435E57">
      <w:pPr>
        <w:autoSpaceDE w:val="0"/>
        <w:autoSpaceDN w:val="0"/>
        <w:adjustRightInd w:val="0"/>
        <w:spacing w:after="0"/>
        <w:ind w:left="720"/>
        <w:jc w:val="both"/>
        <w:rPr>
          <w:rFonts w:eastAsiaTheme="minorHAnsi"/>
        </w:rPr>
      </w:pPr>
      <w:r>
        <w:rPr>
          <w:rFonts w:eastAsiaTheme="minorHAnsi"/>
        </w:rPr>
        <w:t xml:space="preserve">Company </w:t>
      </w:r>
      <w:r w:rsidRPr="00C128BD">
        <w:rPr>
          <w:rFonts w:eastAsiaTheme="minorHAnsi"/>
        </w:rPr>
        <w:t>shall first compute what</w:t>
      </w:r>
      <w:r w:rsidR="00CF2EDC">
        <w:rPr>
          <w:rFonts w:eastAsiaTheme="minorHAnsi"/>
        </w:rPr>
        <w:t xml:space="preserve"> </w:t>
      </w:r>
      <w:r w:rsidR="00435E57">
        <w:rPr>
          <w:rFonts w:eastAsiaTheme="minorHAnsi"/>
        </w:rPr>
        <w:t>C</w:t>
      </w:r>
      <w:r>
        <w:rPr>
          <w:rFonts w:eastAsiaTheme="minorHAnsi"/>
        </w:rPr>
        <w:t>ustomer’s</w:t>
      </w:r>
      <w:r w:rsidRPr="00C128BD">
        <w:rPr>
          <w:rFonts w:eastAsiaTheme="minorHAnsi"/>
        </w:rPr>
        <w:t xml:space="preserve"> distribution-related bill would be under the otherwise applicable rate schedule provided that such computation shall exclude the cost recovery </w:t>
      </w:r>
      <w:r>
        <w:rPr>
          <w:rFonts w:eastAsiaTheme="minorHAnsi"/>
        </w:rPr>
        <w:t xml:space="preserve">mechanism </w:t>
      </w:r>
      <w:r w:rsidRPr="00C128BD">
        <w:rPr>
          <w:rFonts w:eastAsiaTheme="minorHAnsi"/>
        </w:rPr>
        <w:t>associated with the requirements of Section 4928.66, Revised Code</w:t>
      </w:r>
      <w:r>
        <w:rPr>
          <w:rFonts w:eastAsiaTheme="minorHAnsi"/>
        </w:rPr>
        <w:t>,</w:t>
      </w:r>
      <w:r w:rsidRPr="00C128BD">
        <w:rPr>
          <w:rFonts w:eastAsiaTheme="minorHAnsi"/>
        </w:rPr>
        <w:t xml:space="preserve"> which is presently known as </w:t>
      </w:r>
      <w:r w:rsidR="00435E57">
        <w:rPr>
          <w:rFonts w:eastAsiaTheme="minorHAnsi"/>
        </w:rPr>
        <w:t>the Demand Side Management and Energy Efficiency Rider (“</w:t>
      </w:r>
      <w:r w:rsidRPr="00C128BD">
        <w:rPr>
          <w:rFonts w:eastAsiaTheme="minorHAnsi"/>
        </w:rPr>
        <w:t>Rider DSE2</w:t>
      </w:r>
      <w:r w:rsidR="00435E57">
        <w:rPr>
          <w:rFonts w:eastAsiaTheme="minorHAnsi"/>
        </w:rPr>
        <w:t>”)</w:t>
      </w:r>
      <w:r w:rsidRPr="00C128BD">
        <w:rPr>
          <w:rFonts w:eastAsiaTheme="minorHAnsi"/>
        </w:rPr>
        <w:t xml:space="preserve"> and shall also exclude </w:t>
      </w:r>
      <w:r w:rsidR="00435E57">
        <w:rPr>
          <w:rFonts w:eastAsiaTheme="minorHAnsi"/>
        </w:rPr>
        <w:t>the State kWh Tax Rider (“</w:t>
      </w:r>
      <w:r w:rsidRPr="00C128BD">
        <w:rPr>
          <w:rFonts w:eastAsiaTheme="minorHAnsi"/>
        </w:rPr>
        <w:t>Rider SKT</w:t>
      </w:r>
      <w:r w:rsidR="00435E57">
        <w:rPr>
          <w:rFonts w:eastAsiaTheme="minorHAnsi"/>
        </w:rPr>
        <w:t>”)</w:t>
      </w:r>
      <w:r w:rsidRPr="00C128BD">
        <w:rPr>
          <w:rFonts w:eastAsiaTheme="minorHAnsi"/>
        </w:rPr>
        <w:t>.  If the actual amount of such computed distribution-related bill is less</w:t>
      </w:r>
      <w:r w:rsidR="00E81E03">
        <w:rPr>
          <w:rFonts w:eastAsiaTheme="minorHAnsi"/>
        </w:rPr>
        <w:t xml:space="preserve"> than</w:t>
      </w:r>
      <w:r w:rsidR="004939AA">
        <w:rPr>
          <w:rFonts w:eastAsiaTheme="minorHAnsi"/>
        </w:rPr>
        <w:t xml:space="preserve"> </w:t>
      </w:r>
      <w:r w:rsidR="00AE5097">
        <w:rPr>
          <w:rFonts w:eastAsiaTheme="minorHAnsi"/>
          <w:noProof/>
          <w:color w:val="000000"/>
          <w:highlight w:val="black"/>
        </w:rPr>
        <w:t>''''''''''' '''''''''' '''''''''''''''</w:t>
      </w:r>
      <w:r w:rsidR="003D68A4" w:rsidRPr="00A90CCC">
        <w:rPr>
          <w:rFonts w:eastAsiaTheme="minorHAnsi"/>
        </w:rPr>
        <w:t xml:space="preserve"> </w:t>
      </w:r>
      <w:r w:rsidR="003D68A4">
        <w:rPr>
          <w:rFonts w:eastAsiaTheme="minorHAnsi"/>
        </w:rPr>
        <w:t xml:space="preserve">per </w:t>
      </w:r>
      <w:r w:rsidRPr="00C128BD">
        <w:rPr>
          <w:rFonts w:eastAsiaTheme="minorHAnsi"/>
        </w:rPr>
        <w:t xml:space="preserve">kVa </w:t>
      </w:r>
      <w:r w:rsidR="003D68A4">
        <w:rPr>
          <w:rFonts w:eastAsiaTheme="minorHAnsi"/>
        </w:rPr>
        <w:t>of monthly billing demand</w:t>
      </w:r>
      <w:r w:rsidRPr="00C128BD">
        <w:rPr>
          <w:rFonts w:eastAsiaTheme="minorHAnsi"/>
        </w:rPr>
        <w:t xml:space="preserve">, </w:t>
      </w:r>
      <w:r w:rsidR="00435E57">
        <w:rPr>
          <w:rFonts w:eastAsiaTheme="minorHAnsi"/>
        </w:rPr>
        <w:t>C</w:t>
      </w:r>
      <w:r w:rsidR="00CF2EDC">
        <w:rPr>
          <w:rFonts w:eastAsiaTheme="minorHAnsi"/>
        </w:rPr>
        <w:t>ustomer</w:t>
      </w:r>
      <w:r w:rsidRPr="00C128BD">
        <w:rPr>
          <w:rFonts w:eastAsiaTheme="minorHAnsi"/>
        </w:rPr>
        <w:t xml:space="preserve"> shall be billed the lesser actual amount.  If the amount of </w:t>
      </w:r>
      <w:r>
        <w:rPr>
          <w:rFonts w:eastAsiaTheme="minorHAnsi"/>
        </w:rPr>
        <w:t>such computed distribution-</w:t>
      </w:r>
      <w:r w:rsidRPr="00C128BD">
        <w:rPr>
          <w:rFonts w:eastAsiaTheme="minorHAnsi"/>
        </w:rPr>
        <w:t xml:space="preserve">related bill is greater than </w:t>
      </w:r>
      <w:r w:rsidR="00AE5097">
        <w:rPr>
          <w:rFonts w:eastAsiaTheme="minorHAnsi"/>
          <w:noProof/>
          <w:color w:val="000000"/>
          <w:highlight w:val="black"/>
        </w:rPr>
        <w:t>'''''''''''' ''''''''''' '''''''''''''''</w:t>
      </w:r>
      <w:r w:rsidR="00E81E03">
        <w:rPr>
          <w:rFonts w:eastAsiaTheme="minorHAnsi"/>
        </w:rPr>
        <w:t xml:space="preserve"> per </w:t>
      </w:r>
      <w:r w:rsidRPr="00C128BD">
        <w:rPr>
          <w:rFonts w:eastAsiaTheme="minorHAnsi"/>
        </w:rPr>
        <w:t xml:space="preserve">kVa </w:t>
      </w:r>
      <w:r w:rsidR="00E81E03">
        <w:rPr>
          <w:rFonts w:eastAsiaTheme="minorHAnsi"/>
        </w:rPr>
        <w:t>of</w:t>
      </w:r>
      <w:r w:rsidRPr="00C128BD">
        <w:rPr>
          <w:rFonts w:eastAsiaTheme="minorHAnsi"/>
        </w:rPr>
        <w:t xml:space="preserve"> month</w:t>
      </w:r>
      <w:r w:rsidR="00E81E03">
        <w:rPr>
          <w:rFonts w:eastAsiaTheme="minorHAnsi"/>
        </w:rPr>
        <w:t>ly billing demand</w:t>
      </w:r>
      <w:r w:rsidRPr="00C128BD">
        <w:rPr>
          <w:rFonts w:eastAsiaTheme="minorHAnsi"/>
        </w:rPr>
        <w:t xml:space="preserve">, then </w:t>
      </w:r>
      <w:r w:rsidR="00435E57">
        <w:rPr>
          <w:rFonts w:eastAsiaTheme="minorHAnsi"/>
        </w:rPr>
        <w:t>C</w:t>
      </w:r>
      <w:r w:rsidR="00CF2EDC">
        <w:rPr>
          <w:rFonts w:eastAsiaTheme="minorHAnsi"/>
        </w:rPr>
        <w:t xml:space="preserve">ustomer </w:t>
      </w:r>
      <w:r w:rsidRPr="00C128BD">
        <w:rPr>
          <w:rFonts w:eastAsiaTheme="minorHAnsi"/>
        </w:rPr>
        <w:t xml:space="preserve">shall be billed </w:t>
      </w:r>
      <w:r w:rsidR="00AE5097">
        <w:rPr>
          <w:rFonts w:eastAsiaTheme="minorHAnsi"/>
          <w:noProof/>
          <w:color w:val="000000"/>
          <w:highlight w:val="black"/>
        </w:rPr>
        <w:t>'''''''''''' ''''''''''' '''''''''''''''''</w:t>
      </w:r>
      <w:r w:rsidR="003D68A4">
        <w:rPr>
          <w:rFonts w:eastAsiaTheme="minorHAnsi"/>
        </w:rPr>
        <w:t xml:space="preserve"> per </w:t>
      </w:r>
      <w:r w:rsidRPr="00C128BD">
        <w:rPr>
          <w:rFonts w:eastAsiaTheme="minorHAnsi"/>
        </w:rPr>
        <w:t xml:space="preserve">kVa </w:t>
      </w:r>
      <w:r w:rsidR="003D68A4">
        <w:rPr>
          <w:rFonts w:eastAsiaTheme="minorHAnsi"/>
        </w:rPr>
        <w:t xml:space="preserve">of monthly billing demand </w:t>
      </w:r>
      <w:r w:rsidRPr="00C128BD">
        <w:rPr>
          <w:rFonts w:eastAsiaTheme="minorHAnsi"/>
        </w:rPr>
        <w:t xml:space="preserve"> provided that this</w:t>
      </w:r>
      <w:r w:rsidR="00CF2EDC">
        <w:rPr>
          <w:rFonts w:eastAsiaTheme="minorHAnsi"/>
        </w:rPr>
        <w:t xml:space="preserve"> limitation on the amount that </w:t>
      </w:r>
      <w:r w:rsidR="00435E57">
        <w:rPr>
          <w:rFonts w:eastAsiaTheme="minorHAnsi"/>
        </w:rPr>
        <w:t>C</w:t>
      </w:r>
      <w:r w:rsidR="00CF2EDC">
        <w:rPr>
          <w:rFonts w:eastAsiaTheme="minorHAnsi"/>
        </w:rPr>
        <w:t xml:space="preserve">ompany </w:t>
      </w:r>
      <w:r w:rsidRPr="00C128BD">
        <w:rPr>
          <w:rFonts w:eastAsiaTheme="minorHAnsi"/>
        </w:rPr>
        <w:t xml:space="preserve">may bill </w:t>
      </w:r>
      <w:r w:rsidR="00435E57">
        <w:rPr>
          <w:rFonts w:eastAsiaTheme="minorHAnsi"/>
        </w:rPr>
        <w:t>C</w:t>
      </w:r>
      <w:r w:rsidR="00CF2EDC">
        <w:rPr>
          <w:rFonts w:eastAsiaTheme="minorHAnsi"/>
        </w:rPr>
        <w:t xml:space="preserve">ustomer </w:t>
      </w:r>
      <w:r w:rsidRPr="00C128BD">
        <w:rPr>
          <w:rFonts w:eastAsiaTheme="minorHAnsi"/>
        </w:rPr>
        <w:t xml:space="preserve">in any </w:t>
      </w:r>
      <w:r w:rsidR="00E81E03">
        <w:rPr>
          <w:rFonts w:eastAsiaTheme="minorHAnsi"/>
        </w:rPr>
        <w:t xml:space="preserve">one billing </w:t>
      </w:r>
      <w:r w:rsidRPr="00C128BD">
        <w:rPr>
          <w:rFonts w:eastAsiaTheme="minorHAnsi"/>
        </w:rPr>
        <w:t xml:space="preserve">month for distribution-related charges shall not exceed $25,000 and </w:t>
      </w:r>
      <w:r w:rsidR="00E81E03">
        <w:rPr>
          <w:rFonts w:eastAsiaTheme="minorHAnsi"/>
        </w:rPr>
        <w:t>Company</w:t>
      </w:r>
      <w:r w:rsidRPr="00C128BD">
        <w:rPr>
          <w:rFonts w:eastAsiaTheme="minorHAnsi"/>
        </w:rPr>
        <w:t xml:space="preserve"> shall be entitled to recover, th</w:t>
      </w:r>
      <w:r>
        <w:rPr>
          <w:rFonts w:eastAsiaTheme="minorHAnsi"/>
        </w:rPr>
        <w:t>r</w:t>
      </w:r>
      <w:r w:rsidRPr="00C128BD">
        <w:rPr>
          <w:rFonts w:eastAsiaTheme="minorHAnsi"/>
        </w:rPr>
        <w:t xml:space="preserve">ough its </w:t>
      </w:r>
      <w:r w:rsidR="00435E57">
        <w:rPr>
          <w:rFonts w:eastAsiaTheme="minorHAnsi"/>
        </w:rPr>
        <w:t>Delta Revenue Recovery Rider (“</w:t>
      </w:r>
      <w:r w:rsidR="00E81E03">
        <w:rPr>
          <w:rFonts w:eastAsiaTheme="minorHAnsi"/>
        </w:rPr>
        <w:t xml:space="preserve">Rider </w:t>
      </w:r>
      <w:r w:rsidR="00CF2EDC">
        <w:rPr>
          <w:rFonts w:eastAsiaTheme="minorHAnsi"/>
        </w:rPr>
        <w:t>DRR</w:t>
      </w:r>
      <w:r w:rsidR="00435E57">
        <w:rPr>
          <w:rFonts w:eastAsiaTheme="minorHAnsi"/>
        </w:rPr>
        <w:t>”)</w:t>
      </w:r>
      <w:r>
        <w:rPr>
          <w:rFonts w:eastAsiaTheme="minorHAnsi"/>
        </w:rPr>
        <w:t xml:space="preserve"> or successor </w:t>
      </w:r>
      <w:r w:rsidRPr="00C128BD">
        <w:rPr>
          <w:rFonts w:eastAsiaTheme="minorHAnsi"/>
        </w:rPr>
        <w:t xml:space="preserve">rider, one hundred percent (100%) of any delta revenue that may arise from this limitation on the amount that </w:t>
      </w:r>
      <w:r w:rsidR="00435E57">
        <w:rPr>
          <w:rFonts w:eastAsiaTheme="minorHAnsi"/>
        </w:rPr>
        <w:t>C</w:t>
      </w:r>
      <w:r w:rsidR="00CF2EDC">
        <w:rPr>
          <w:rFonts w:eastAsiaTheme="minorHAnsi"/>
        </w:rPr>
        <w:t>ompany</w:t>
      </w:r>
      <w:r w:rsidRPr="00C128BD">
        <w:rPr>
          <w:rFonts w:eastAsiaTheme="minorHAnsi"/>
        </w:rPr>
        <w:t xml:space="preserve"> may bill </w:t>
      </w:r>
      <w:r w:rsidR="00435E57">
        <w:rPr>
          <w:rFonts w:eastAsiaTheme="minorHAnsi"/>
        </w:rPr>
        <w:t>C</w:t>
      </w:r>
      <w:r w:rsidR="00CF2EDC">
        <w:rPr>
          <w:rFonts w:eastAsiaTheme="minorHAnsi"/>
        </w:rPr>
        <w:t>ustomer</w:t>
      </w:r>
      <w:r w:rsidRPr="00C128BD">
        <w:rPr>
          <w:rFonts w:eastAsiaTheme="minorHAnsi"/>
        </w:rPr>
        <w:t xml:space="preserve"> for distribution-related charges.</w:t>
      </w:r>
    </w:p>
    <w:p w:rsidR="00CF2EDC" w:rsidRDefault="00CF2EDC" w:rsidP="005C58FC">
      <w:pPr>
        <w:autoSpaceDE w:val="0"/>
        <w:autoSpaceDN w:val="0"/>
        <w:adjustRightInd w:val="0"/>
        <w:spacing w:after="0"/>
        <w:jc w:val="both"/>
        <w:rPr>
          <w:rFonts w:eastAsiaTheme="minorHAnsi"/>
        </w:rPr>
      </w:pPr>
    </w:p>
    <w:p w:rsidR="006C6244" w:rsidRDefault="00CF2EDC" w:rsidP="00894EC0">
      <w:pPr>
        <w:spacing w:after="0"/>
        <w:ind w:left="720" w:hanging="720"/>
        <w:jc w:val="both"/>
      </w:pPr>
      <w:r>
        <w:rPr>
          <w:rFonts w:eastAsiaTheme="minorHAnsi"/>
          <w:b/>
        </w:rPr>
        <w:t>2.</w:t>
      </w:r>
      <w:r w:rsidR="00AE66AB">
        <w:rPr>
          <w:rFonts w:eastAsiaTheme="minorHAnsi"/>
          <w:b/>
        </w:rPr>
        <w:tab/>
      </w:r>
      <w:r w:rsidR="009D102A">
        <w:rPr>
          <w:rFonts w:eastAsiaTheme="minorHAnsi"/>
          <w:b/>
        </w:rPr>
        <w:t xml:space="preserve">Customer-Sited Capabilities. </w:t>
      </w:r>
      <w:r w:rsidR="00AE66AB">
        <w:rPr>
          <w:rFonts w:eastAsiaTheme="minorHAnsi"/>
          <w:b/>
        </w:rPr>
        <w:t xml:space="preserve"> </w:t>
      </w:r>
      <w:r w:rsidR="006C6244">
        <w:t xml:space="preserve">In exchange for committing its existing customer-sited peak demand reduction </w:t>
      </w:r>
      <w:r w:rsidR="00306CF6">
        <w:t xml:space="preserve">(“PDR”) </w:t>
      </w:r>
      <w:r w:rsidR="006C6244">
        <w:t xml:space="preserve">capabilities to the Company, </w:t>
      </w:r>
      <w:r w:rsidR="00172EDF">
        <w:t xml:space="preserve">the </w:t>
      </w:r>
      <w:r w:rsidR="006C6244">
        <w:t xml:space="preserve">Customer shall receive an exemption from Rider DSE2 or its successor. </w:t>
      </w:r>
      <w:r w:rsidR="00DC49A4">
        <w:t xml:space="preserve"> </w:t>
      </w:r>
      <w:r w:rsidR="006C6244">
        <w:t xml:space="preserve">The exemption from Rider DSE2 shall commence upon execution of this </w:t>
      </w:r>
      <w:r w:rsidR="00DC49A4">
        <w:t xml:space="preserve">Arrangement </w:t>
      </w:r>
      <w:r w:rsidR="006C6244">
        <w:t>and shall continue thereafter for thirty</w:t>
      </w:r>
      <w:r w:rsidR="00E81E03">
        <w:t>-</w:t>
      </w:r>
      <w:r w:rsidR="00274E0B">
        <w:t>six</w:t>
      </w:r>
      <w:r w:rsidR="006C6244">
        <w:t xml:space="preserve"> (3</w:t>
      </w:r>
      <w:r w:rsidR="00274E0B">
        <w:t>6</w:t>
      </w:r>
      <w:r w:rsidR="006C6244">
        <w:t>) months.</w:t>
      </w:r>
      <w:r w:rsidR="00DC49A4">
        <w:t xml:space="preserve"> </w:t>
      </w:r>
      <w:r w:rsidR="006C6244">
        <w:t xml:space="preserve"> The Rider DSE2 exemption shall continue thereafter subject to verification and </w:t>
      </w:r>
      <w:r w:rsidR="00B03BE6">
        <w:t xml:space="preserve">Commission </w:t>
      </w:r>
      <w:r w:rsidR="006C6244">
        <w:t>Staff recommendation</w:t>
      </w:r>
      <w:r w:rsidR="003D68A4">
        <w:t xml:space="preserve"> described in the Stipulation and Recommendation</w:t>
      </w:r>
      <w:r w:rsidR="006C6244">
        <w:t>.</w:t>
      </w:r>
    </w:p>
    <w:p w:rsidR="0079238C" w:rsidRDefault="0079238C" w:rsidP="00894EC0">
      <w:pPr>
        <w:spacing w:after="0"/>
        <w:ind w:left="720" w:hanging="720"/>
        <w:jc w:val="both"/>
      </w:pPr>
    </w:p>
    <w:p w:rsidR="00172EDF" w:rsidRPr="0079238C" w:rsidRDefault="00172EDF" w:rsidP="00894EC0">
      <w:pPr>
        <w:spacing w:after="0"/>
        <w:ind w:left="720" w:hanging="720"/>
        <w:jc w:val="both"/>
      </w:pPr>
      <w:r w:rsidRPr="00894EC0">
        <w:rPr>
          <w:b/>
        </w:rPr>
        <w:t>3</w:t>
      </w:r>
      <w:r>
        <w:t>.</w:t>
      </w:r>
      <w:r>
        <w:tab/>
      </w:r>
      <w:r w:rsidRPr="00B03BE6">
        <w:rPr>
          <w:b/>
        </w:rPr>
        <w:t xml:space="preserve">Effective Date and Term.  </w:t>
      </w:r>
      <w:r>
        <w:t xml:space="preserve">The term of this Arrangement shall commence upon execution and continue thereafter for five (5) years following written notification from Customer to the Company that its new manufacturing process has commenced commercial operations. </w:t>
      </w:r>
    </w:p>
    <w:p w:rsidR="009D102A" w:rsidRDefault="009D102A" w:rsidP="00172EDF">
      <w:pPr>
        <w:pStyle w:val="Default"/>
        <w:widowControl/>
        <w:jc w:val="both"/>
        <w:rPr>
          <w:rFonts w:ascii="Arial" w:eastAsiaTheme="minorHAnsi" w:hAnsi="Arial" w:cs="Arial"/>
          <w:b/>
        </w:rPr>
      </w:pPr>
    </w:p>
    <w:p w:rsidR="00CF2EDC" w:rsidRPr="00792D08" w:rsidRDefault="0079238C" w:rsidP="00172EDF">
      <w:pPr>
        <w:pStyle w:val="Default"/>
        <w:widowControl/>
        <w:ind w:left="720" w:hanging="720"/>
        <w:jc w:val="both"/>
        <w:rPr>
          <w:rFonts w:ascii="Arial" w:hAnsi="Arial" w:cs="Arial"/>
          <w:color w:val="auto"/>
        </w:rPr>
      </w:pPr>
      <w:r>
        <w:rPr>
          <w:rFonts w:ascii="Arial" w:eastAsiaTheme="minorHAnsi" w:hAnsi="Arial" w:cs="Arial"/>
          <w:b/>
        </w:rPr>
        <w:t>4</w:t>
      </w:r>
      <w:r w:rsidR="00CF2EDC" w:rsidRPr="00792D08">
        <w:rPr>
          <w:rFonts w:ascii="Arial" w:eastAsiaTheme="minorHAnsi" w:hAnsi="Arial" w:cs="Arial"/>
          <w:b/>
        </w:rPr>
        <w:t>.</w:t>
      </w:r>
      <w:r w:rsidR="00E46E70">
        <w:rPr>
          <w:rFonts w:ascii="Arial" w:eastAsiaTheme="minorHAnsi" w:hAnsi="Arial" w:cs="Arial"/>
          <w:b/>
        </w:rPr>
        <w:tab/>
      </w:r>
      <w:r w:rsidR="00CF2EDC" w:rsidRPr="00792D08">
        <w:rPr>
          <w:rFonts w:ascii="Arial" w:hAnsi="Arial" w:cs="Arial"/>
          <w:b/>
          <w:color w:val="auto"/>
        </w:rPr>
        <w:t>Assignment</w:t>
      </w:r>
      <w:r w:rsidR="00CF2EDC">
        <w:rPr>
          <w:b/>
          <w:color w:val="auto"/>
          <w:sz w:val="22"/>
          <w:szCs w:val="22"/>
        </w:rPr>
        <w:t>.</w:t>
      </w:r>
      <w:r w:rsidR="00CF2EDC">
        <w:rPr>
          <w:color w:val="auto"/>
          <w:sz w:val="22"/>
          <w:szCs w:val="22"/>
        </w:rPr>
        <w:t xml:space="preserve">  </w:t>
      </w:r>
      <w:r w:rsidR="00CF2EDC" w:rsidRPr="00792D08">
        <w:rPr>
          <w:rFonts w:ascii="Arial" w:hAnsi="Arial" w:cs="Arial"/>
          <w:color w:val="auto"/>
        </w:rPr>
        <w:t>The Customer may assign this Arrangement with the written consent of both the Commission and the Company.  Such consent shall be deemed to have been received in the event that neither the Commission nor the Company objects to Customer’s proposed assignment within thirty (30) days of receipt of Customer’s written request to do so.</w:t>
      </w:r>
    </w:p>
    <w:p w:rsidR="00640CDE" w:rsidRPr="00792D08" w:rsidRDefault="00640CDE" w:rsidP="005C58FC">
      <w:pPr>
        <w:pStyle w:val="Default"/>
        <w:widowControl/>
        <w:jc w:val="both"/>
        <w:rPr>
          <w:rFonts w:ascii="Arial" w:hAnsi="Arial" w:cs="Arial"/>
          <w:color w:val="auto"/>
        </w:rPr>
      </w:pPr>
    </w:p>
    <w:p w:rsidR="00CF2EDC" w:rsidRPr="009D102A" w:rsidRDefault="00C829F5" w:rsidP="00E46E70">
      <w:pPr>
        <w:pStyle w:val="Heading3"/>
        <w:numPr>
          <w:ilvl w:val="0"/>
          <w:numId w:val="0"/>
        </w:numPr>
        <w:ind w:left="720" w:hanging="720"/>
      </w:pPr>
      <w:r>
        <w:t>5</w:t>
      </w:r>
      <w:r w:rsidR="00CF2EDC" w:rsidRPr="00792D08">
        <w:t>.</w:t>
      </w:r>
      <w:r w:rsidR="00E46E70">
        <w:tab/>
      </w:r>
      <w:r w:rsidR="00CF2EDC" w:rsidRPr="00CF2EDC">
        <w:t>Notices</w:t>
      </w:r>
      <w:r w:rsidR="00CF2EDC" w:rsidRPr="00E46E70">
        <w:rPr>
          <w:b w:val="0"/>
        </w:rPr>
        <w:t xml:space="preserve">.  Any notice required or desired by either </w:t>
      </w:r>
      <w:r w:rsidR="00337CC6">
        <w:rPr>
          <w:b w:val="0"/>
        </w:rPr>
        <w:t>p</w:t>
      </w:r>
      <w:r w:rsidR="00CF2EDC" w:rsidRPr="00E46E70">
        <w:rPr>
          <w:b w:val="0"/>
        </w:rPr>
        <w:t>arty to be given hereunder shall be made:</w:t>
      </w:r>
    </w:p>
    <w:p w:rsidR="00CF2EDC" w:rsidRDefault="00CF2EDC" w:rsidP="00CF2EDC">
      <w:pPr>
        <w:pStyle w:val="Default"/>
        <w:widowControl/>
        <w:rPr>
          <w:color w:val="auto"/>
          <w:sz w:val="22"/>
          <w:szCs w:val="22"/>
        </w:rPr>
      </w:pPr>
    </w:p>
    <w:p w:rsidR="00CF2EDC" w:rsidRPr="00792D08" w:rsidRDefault="00CF2EDC" w:rsidP="00CF2EDC">
      <w:pPr>
        <w:pStyle w:val="Default"/>
        <w:widowControl/>
        <w:ind w:firstLine="720"/>
        <w:rPr>
          <w:rFonts w:ascii="Arial" w:hAnsi="Arial" w:cs="Arial"/>
          <w:color w:val="auto"/>
        </w:rPr>
      </w:pPr>
      <w:r w:rsidRPr="00792D08">
        <w:rPr>
          <w:rFonts w:ascii="Arial" w:hAnsi="Arial" w:cs="Arial"/>
          <w:color w:val="auto"/>
        </w:rPr>
        <w:t>If to the Company at:</w:t>
      </w:r>
      <w:r w:rsidRPr="00792D08">
        <w:rPr>
          <w:rFonts w:ascii="Arial" w:hAnsi="Arial" w:cs="Arial"/>
          <w:color w:val="auto"/>
        </w:rPr>
        <w:tab/>
      </w:r>
      <w:r w:rsidRPr="00792D08">
        <w:rPr>
          <w:rFonts w:ascii="Arial" w:hAnsi="Arial" w:cs="Arial"/>
          <w:color w:val="auto"/>
        </w:rPr>
        <w:tab/>
      </w:r>
      <w:r w:rsidRPr="00792D08">
        <w:rPr>
          <w:rFonts w:ascii="Arial" w:hAnsi="Arial" w:cs="Arial"/>
          <w:color w:val="auto"/>
        </w:rPr>
        <w:tab/>
        <w:t>If to the Customer at:</w:t>
      </w:r>
    </w:p>
    <w:p w:rsidR="00CF2EDC" w:rsidRPr="00792D08" w:rsidRDefault="00CF2EDC" w:rsidP="00CF2EDC">
      <w:pPr>
        <w:pStyle w:val="Default"/>
        <w:widowControl/>
        <w:ind w:left="2160"/>
        <w:rPr>
          <w:rFonts w:ascii="Arial" w:hAnsi="Arial" w:cs="Arial"/>
          <w:color w:val="auto"/>
        </w:rPr>
      </w:pPr>
    </w:p>
    <w:p w:rsidR="00CF2EDC" w:rsidRPr="00792D08" w:rsidRDefault="00CF2EDC" w:rsidP="009B6BDE">
      <w:pPr>
        <w:pStyle w:val="Default"/>
        <w:widowControl/>
        <w:ind w:firstLine="720"/>
        <w:rPr>
          <w:rFonts w:ascii="Arial" w:hAnsi="Arial" w:cs="Arial"/>
          <w:color w:val="auto"/>
          <w:highlight w:val="yellow"/>
        </w:rPr>
      </w:pPr>
      <w:r w:rsidRPr="00792D08">
        <w:rPr>
          <w:rFonts w:ascii="Arial" w:hAnsi="Arial" w:cs="Arial"/>
          <w:color w:val="auto"/>
        </w:rPr>
        <w:t>FirstEnergy Corp.</w:t>
      </w:r>
      <w:r w:rsidRPr="00792D08">
        <w:rPr>
          <w:rFonts w:ascii="Arial" w:hAnsi="Arial" w:cs="Arial"/>
          <w:color w:val="auto"/>
        </w:rPr>
        <w:tab/>
      </w:r>
      <w:r w:rsidRPr="00792D08">
        <w:rPr>
          <w:rFonts w:ascii="Arial" w:hAnsi="Arial" w:cs="Arial"/>
          <w:color w:val="auto"/>
        </w:rPr>
        <w:tab/>
      </w:r>
      <w:r w:rsidRPr="00792D08">
        <w:rPr>
          <w:rFonts w:ascii="Arial" w:hAnsi="Arial" w:cs="Arial"/>
          <w:color w:val="auto"/>
        </w:rPr>
        <w:tab/>
      </w:r>
      <w:r w:rsidRPr="00792D08">
        <w:rPr>
          <w:rFonts w:ascii="Arial" w:hAnsi="Arial" w:cs="Arial"/>
          <w:color w:val="auto"/>
        </w:rPr>
        <w:tab/>
        <w:t xml:space="preserve">ASHTA </w:t>
      </w:r>
      <w:r w:rsidR="009B6BDE" w:rsidRPr="00792D08">
        <w:rPr>
          <w:rFonts w:ascii="Arial" w:hAnsi="Arial" w:cs="Arial"/>
          <w:color w:val="auto"/>
        </w:rPr>
        <w:t>Chemicals Inc</w:t>
      </w:r>
      <w:r w:rsidR="00E46E70">
        <w:rPr>
          <w:rFonts w:ascii="Arial" w:hAnsi="Arial" w:cs="Arial"/>
          <w:color w:val="auto"/>
        </w:rPr>
        <w:t>.</w:t>
      </w:r>
    </w:p>
    <w:p w:rsidR="009B6BDE" w:rsidRPr="009B6BDE" w:rsidRDefault="00CF2EDC" w:rsidP="00385BB2">
      <w:pPr>
        <w:autoSpaceDE w:val="0"/>
        <w:autoSpaceDN w:val="0"/>
        <w:adjustRightInd w:val="0"/>
        <w:spacing w:after="0"/>
        <w:ind w:firstLine="720"/>
      </w:pPr>
      <w:r w:rsidRPr="009B6BDE">
        <w:t>76 South Main Street</w:t>
      </w:r>
      <w:r w:rsidRPr="009B6BDE">
        <w:tab/>
      </w:r>
      <w:r w:rsidRPr="009B6BDE">
        <w:tab/>
      </w:r>
      <w:r w:rsidRPr="009B6BDE">
        <w:tab/>
      </w:r>
      <w:r w:rsidR="009B6BDE" w:rsidRPr="009B6BDE">
        <w:t>3509 Middle Road 44004</w:t>
      </w:r>
    </w:p>
    <w:p w:rsidR="00CF2EDC" w:rsidRPr="00792D08" w:rsidRDefault="00CF2EDC" w:rsidP="009B6BDE">
      <w:pPr>
        <w:pStyle w:val="Default"/>
        <w:widowControl/>
        <w:ind w:firstLine="720"/>
        <w:rPr>
          <w:rFonts w:ascii="Arial" w:hAnsi="Arial" w:cs="Arial"/>
          <w:color w:val="auto"/>
          <w:highlight w:val="yellow"/>
        </w:rPr>
      </w:pPr>
      <w:r w:rsidRPr="00792D08">
        <w:rPr>
          <w:rFonts w:ascii="Arial" w:hAnsi="Arial" w:cs="Arial"/>
          <w:color w:val="auto"/>
        </w:rPr>
        <w:t>Akron, OH  44308</w:t>
      </w:r>
      <w:r w:rsidRPr="00792D08">
        <w:rPr>
          <w:rFonts w:ascii="Arial" w:hAnsi="Arial" w:cs="Arial"/>
          <w:color w:val="auto"/>
        </w:rPr>
        <w:tab/>
      </w:r>
      <w:r w:rsidRPr="00792D08">
        <w:rPr>
          <w:rFonts w:ascii="Arial" w:hAnsi="Arial" w:cs="Arial"/>
          <w:color w:val="auto"/>
        </w:rPr>
        <w:tab/>
      </w:r>
      <w:r w:rsidRPr="00792D08">
        <w:rPr>
          <w:rFonts w:ascii="Arial" w:hAnsi="Arial" w:cs="Arial"/>
          <w:color w:val="auto"/>
        </w:rPr>
        <w:tab/>
      </w:r>
      <w:r w:rsidRPr="00792D08">
        <w:rPr>
          <w:rFonts w:ascii="Arial" w:hAnsi="Arial" w:cs="Arial"/>
          <w:color w:val="auto"/>
        </w:rPr>
        <w:tab/>
      </w:r>
      <w:r w:rsidR="009B6BDE" w:rsidRPr="00792D08">
        <w:rPr>
          <w:rFonts w:ascii="Arial" w:hAnsi="Arial" w:cs="Arial"/>
          <w:color w:val="auto"/>
        </w:rPr>
        <w:t>Ashtabula</w:t>
      </w:r>
      <w:r w:rsidR="00E81E03">
        <w:rPr>
          <w:rFonts w:ascii="Arial" w:hAnsi="Arial" w:cs="Arial"/>
          <w:color w:val="auto"/>
        </w:rPr>
        <w:t>, Ohio  44004</w:t>
      </w:r>
    </w:p>
    <w:p w:rsidR="00CF2EDC" w:rsidRPr="00792D08" w:rsidRDefault="00CF2EDC" w:rsidP="00CF2EDC">
      <w:pPr>
        <w:pStyle w:val="Default"/>
        <w:widowControl/>
        <w:ind w:left="2160"/>
        <w:rPr>
          <w:rFonts w:ascii="Arial" w:hAnsi="Arial" w:cs="Arial"/>
          <w:color w:val="auto"/>
        </w:rPr>
      </w:pPr>
    </w:p>
    <w:p w:rsidR="00CF2EDC" w:rsidRPr="00792D08" w:rsidRDefault="00CF2EDC" w:rsidP="00CF2EDC">
      <w:pPr>
        <w:pStyle w:val="Default"/>
        <w:widowControl/>
        <w:ind w:firstLine="720"/>
        <w:outlineLvl w:val="0"/>
        <w:rPr>
          <w:rFonts w:ascii="Arial" w:hAnsi="Arial" w:cs="Arial"/>
          <w:color w:val="auto"/>
        </w:rPr>
      </w:pPr>
      <w:r w:rsidRPr="00792D08">
        <w:rPr>
          <w:rFonts w:ascii="Arial" w:hAnsi="Arial" w:cs="Arial"/>
          <w:color w:val="auto"/>
        </w:rPr>
        <w:t>Attn:</w:t>
      </w:r>
      <w:r w:rsidRPr="00792D08">
        <w:rPr>
          <w:rFonts w:ascii="Arial" w:hAnsi="Arial" w:cs="Arial"/>
          <w:color w:val="auto"/>
        </w:rPr>
        <w:tab/>
      </w:r>
      <w:r w:rsidR="00385BB2">
        <w:rPr>
          <w:rFonts w:ascii="Arial" w:hAnsi="Arial" w:cs="Arial"/>
          <w:color w:val="auto"/>
        </w:rPr>
        <w:t>Director of Rates Ohio</w:t>
      </w:r>
      <w:r w:rsidRPr="00792D08">
        <w:rPr>
          <w:rFonts w:ascii="Arial" w:hAnsi="Arial" w:cs="Arial"/>
          <w:color w:val="auto"/>
        </w:rPr>
        <w:tab/>
      </w:r>
      <w:r w:rsidRPr="00792D08">
        <w:rPr>
          <w:rFonts w:ascii="Arial" w:hAnsi="Arial" w:cs="Arial"/>
          <w:color w:val="auto"/>
        </w:rPr>
        <w:tab/>
        <w:t>Attn:</w:t>
      </w:r>
      <w:r w:rsidRPr="00792D08">
        <w:rPr>
          <w:rFonts w:ascii="Arial" w:hAnsi="Arial" w:cs="Arial"/>
          <w:color w:val="auto"/>
        </w:rPr>
        <w:tab/>
      </w:r>
      <w:r w:rsidR="004939AA">
        <w:rPr>
          <w:rFonts w:ascii="Arial" w:hAnsi="Arial" w:cs="Arial"/>
          <w:color w:val="auto"/>
        </w:rPr>
        <w:t>Vice President Operations</w:t>
      </w:r>
      <w:r w:rsidR="009B6BDE">
        <w:rPr>
          <w:rFonts w:ascii="Arial" w:hAnsi="Arial" w:cs="Arial"/>
          <w:color w:val="auto"/>
        </w:rPr>
        <w:t xml:space="preserve"> </w:t>
      </w:r>
    </w:p>
    <w:p w:rsidR="00CF2EDC" w:rsidRPr="00E81E03" w:rsidRDefault="004939AA" w:rsidP="00792D08">
      <w:pPr>
        <w:pStyle w:val="Default"/>
        <w:widowControl/>
        <w:ind w:firstLine="720"/>
        <w:outlineLvl w:val="0"/>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sidRPr="00E81E03">
        <w:rPr>
          <w:rFonts w:ascii="Arial" w:hAnsi="Arial" w:cs="Arial"/>
          <w:color w:val="auto"/>
        </w:rPr>
        <w:t>Richard L. Jackson</w:t>
      </w:r>
    </w:p>
    <w:p w:rsidR="009B6BDE" w:rsidRPr="00792D08" w:rsidRDefault="00CF2EDC" w:rsidP="00385BB2">
      <w:pPr>
        <w:autoSpaceDE w:val="0"/>
        <w:autoSpaceDN w:val="0"/>
        <w:adjustRightInd w:val="0"/>
        <w:spacing w:after="0"/>
        <w:ind w:firstLine="720"/>
      </w:pPr>
      <w:r w:rsidRPr="00792D08">
        <w:rPr>
          <w:color w:val="000000" w:themeColor="text1"/>
        </w:rPr>
        <w:t>Email:</w:t>
      </w:r>
      <w:r w:rsidRPr="00792D08">
        <w:rPr>
          <w:color w:val="000000" w:themeColor="text1"/>
        </w:rPr>
        <w:tab/>
      </w:r>
      <w:r w:rsidR="00B03BE6">
        <w:rPr>
          <w:color w:val="000000" w:themeColor="text1"/>
        </w:rPr>
        <w:tab/>
      </w:r>
      <w:r w:rsidRPr="00792D08">
        <w:rPr>
          <w:color w:val="000000" w:themeColor="text1"/>
        </w:rPr>
        <w:tab/>
      </w:r>
      <w:r w:rsidR="0061209B" w:rsidRPr="00792D08">
        <w:rPr>
          <w:color w:val="000000" w:themeColor="text1"/>
        </w:rPr>
        <w:tab/>
      </w:r>
      <w:r w:rsidR="0061209B" w:rsidRPr="00792D08">
        <w:rPr>
          <w:color w:val="000000" w:themeColor="text1"/>
        </w:rPr>
        <w:tab/>
      </w:r>
      <w:r w:rsidR="00E81E03">
        <w:rPr>
          <w:color w:val="000000" w:themeColor="text1"/>
        </w:rPr>
        <w:tab/>
      </w:r>
      <w:r w:rsidRPr="00792D08">
        <w:rPr>
          <w:color w:val="000000" w:themeColor="text1"/>
        </w:rPr>
        <w:t>Email:</w:t>
      </w:r>
      <w:r w:rsidRPr="00792D08">
        <w:rPr>
          <w:color w:val="000000" w:themeColor="text1"/>
        </w:rPr>
        <w:tab/>
      </w:r>
      <w:r w:rsidR="009B6BDE" w:rsidRPr="00D07A47">
        <w:t>rjackson@ashtachemicals.com</w:t>
      </w:r>
    </w:p>
    <w:p w:rsidR="00CF2EDC" w:rsidRPr="00894EC0" w:rsidRDefault="00CF2EDC" w:rsidP="00385BB2">
      <w:pPr>
        <w:pStyle w:val="Default"/>
        <w:widowControl/>
        <w:ind w:firstLine="720"/>
        <w:outlineLvl w:val="0"/>
        <w:rPr>
          <w:rFonts w:ascii="Arial" w:hAnsi="Arial" w:cs="Arial"/>
          <w:color w:val="auto"/>
        </w:rPr>
      </w:pPr>
      <w:r w:rsidRPr="00894EC0">
        <w:rPr>
          <w:rFonts w:ascii="Arial" w:hAnsi="Arial" w:cs="Arial"/>
          <w:color w:val="auto"/>
        </w:rPr>
        <w:t>Tel.</w:t>
      </w:r>
      <w:r w:rsidRPr="00894EC0">
        <w:rPr>
          <w:rFonts w:ascii="Arial" w:hAnsi="Arial" w:cs="Arial"/>
          <w:color w:val="auto"/>
        </w:rPr>
        <w:tab/>
      </w:r>
      <w:r w:rsidR="0061209B" w:rsidRPr="00894EC0">
        <w:rPr>
          <w:rFonts w:ascii="Arial" w:hAnsi="Arial" w:cs="Arial"/>
          <w:color w:val="auto"/>
        </w:rPr>
        <w:tab/>
      </w:r>
      <w:r w:rsidRPr="00894EC0">
        <w:rPr>
          <w:rFonts w:ascii="Arial" w:hAnsi="Arial" w:cs="Arial"/>
          <w:color w:val="auto"/>
        </w:rPr>
        <w:tab/>
      </w:r>
      <w:r w:rsidRPr="00894EC0">
        <w:rPr>
          <w:rFonts w:ascii="Arial" w:hAnsi="Arial" w:cs="Arial"/>
          <w:color w:val="auto"/>
        </w:rPr>
        <w:tab/>
      </w:r>
      <w:r w:rsidRPr="00894EC0">
        <w:rPr>
          <w:rFonts w:ascii="Arial" w:hAnsi="Arial" w:cs="Arial"/>
          <w:color w:val="auto"/>
        </w:rPr>
        <w:tab/>
      </w:r>
      <w:r w:rsidRPr="00894EC0">
        <w:rPr>
          <w:rFonts w:ascii="Arial" w:hAnsi="Arial" w:cs="Arial"/>
          <w:color w:val="auto"/>
        </w:rPr>
        <w:tab/>
        <w:t>Tel</w:t>
      </w:r>
      <w:r w:rsidR="00C4710A">
        <w:rPr>
          <w:rFonts w:ascii="Arial" w:hAnsi="Arial" w:cs="Arial"/>
          <w:color w:val="auto"/>
        </w:rPr>
        <w:t>.</w:t>
      </w:r>
      <w:r w:rsidRPr="00894EC0">
        <w:rPr>
          <w:rFonts w:ascii="Arial" w:hAnsi="Arial" w:cs="Arial"/>
          <w:color w:val="auto"/>
        </w:rPr>
        <w:tab/>
      </w:r>
      <w:r w:rsidR="009B6BDE">
        <w:rPr>
          <w:rFonts w:ascii="Arial" w:hAnsi="Arial" w:cs="Arial"/>
          <w:color w:val="auto"/>
        </w:rPr>
        <w:t>440</w:t>
      </w:r>
      <w:r w:rsidRPr="00894EC0">
        <w:rPr>
          <w:rFonts w:ascii="Arial" w:hAnsi="Arial" w:cs="Arial"/>
          <w:color w:val="auto"/>
        </w:rPr>
        <w:t>-</w:t>
      </w:r>
      <w:r w:rsidR="009B6BDE">
        <w:rPr>
          <w:rFonts w:ascii="Arial" w:hAnsi="Arial" w:cs="Arial"/>
          <w:color w:val="auto"/>
        </w:rPr>
        <w:t>997</w:t>
      </w:r>
      <w:r w:rsidRPr="00894EC0">
        <w:rPr>
          <w:rFonts w:ascii="Arial" w:hAnsi="Arial" w:cs="Arial"/>
          <w:color w:val="auto"/>
        </w:rPr>
        <w:t>-6</w:t>
      </w:r>
      <w:r w:rsidR="009B6BDE">
        <w:rPr>
          <w:rFonts w:ascii="Arial" w:hAnsi="Arial" w:cs="Arial"/>
          <w:color w:val="auto"/>
        </w:rPr>
        <w:t>863</w:t>
      </w:r>
    </w:p>
    <w:p w:rsidR="00CF2EDC" w:rsidRPr="00894EC0" w:rsidRDefault="00CF2EDC" w:rsidP="00385BB2">
      <w:pPr>
        <w:pStyle w:val="Default"/>
        <w:widowControl/>
        <w:ind w:firstLine="720"/>
        <w:outlineLvl w:val="0"/>
        <w:rPr>
          <w:rFonts w:ascii="Arial" w:hAnsi="Arial" w:cs="Arial"/>
          <w:color w:val="auto"/>
        </w:rPr>
      </w:pPr>
      <w:r w:rsidRPr="00894EC0">
        <w:rPr>
          <w:rFonts w:ascii="Arial" w:hAnsi="Arial" w:cs="Arial"/>
          <w:color w:val="auto"/>
        </w:rPr>
        <w:t>Fax</w:t>
      </w:r>
      <w:r w:rsidRPr="00894EC0">
        <w:rPr>
          <w:rFonts w:ascii="Arial" w:hAnsi="Arial" w:cs="Arial"/>
          <w:color w:val="auto"/>
        </w:rPr>
        <w:tab/>
      </w:r>
      <w:r w:rsidRPr="00894EC0">
        <w:rPr>
          <w:rFonts w:ascii="Arial" w:hAnsi="Arial" w:cs="Arial"/>
          <w:color w:val="auto"/>
        </w:rPr>
        <w:tab/>
      </w:r>
      <w:r w:rsidRPr="00894EC0">
        <w:rPr>
          <w:rFonts w:ascii="Arial" w:hAnsi="Arial" w:cs="Arial"/>
          <w:color w:val="auto"/>
        </w:rPr>
        <w:tab/>
      </w:r>
      <w:r w:rsidRPr="00894EC0">
        <w:rPr>
          <w:rFonts w:ascii="Arial" w:hAnsi="Arial" w:cs="Arial"/>
          <w:color w:val="auto"/>
        </w:rPr>
        <w:tab/>
      </w:r>
      <w:r w:rsidR="0061209B" w:rsidRPr="00894EC0">
        <w:rPr>
          <w:rFonts w:ascii="Arial" w:hAnsi="Arial" w:cs="Arial"/>
          <w:color w:val="auto"/>
        </w:rPr>
        <w:tab/>
      </w:r>
      <w:r w:rsidR="0061209B" w:rsidRPr="00894EC0">
        <w:rPr>
          <w:rFonts w:ascii="Arial" w:hAnsi="Arial" w:cs="Arial"/>
          <w:color w:val="auto"/>
        </w:rPr>
        <w:tab/>
      </w:r>
      <w:r w:rsidR="00B03BE6">
        <w:rPr>
          <w:rFonts w:ascii="Arial" w:hAnsi="Arial" w:cs="Arial"/>
          <w:color w:val="auto"/>
        </w:rPr>
        <w:t>Fax</w:t>
      </w:r>
      <w:r w:rsidRPr="00894EC0">
        <w:rPr>
          <w:rFonts w:ascii="Arial" w:hAnsi="Arial" w:cs="Arial"/>
          <w:color w:val="auto"/>
        </w:rPr>
        <w:tab/>
      </w:r>
      <w:r w:rsidR="009B6BDE">
        <w:rPr>
          <w:rFonts w:ascii="Arial" w:hAnsi="Arial" w:cs="Arial"/>
          <w:color w:val="auto"/>
        </w:rPr>
        <w:t>440-998-0286</w:t>
      </w:r>
    </w:p>
    <w:p w:rsidR="00CF2EDC" w:rsidRPr="00894EC0" w:rsidRDefault="00CF2EDC" w:rsidP="00894EC0">
      <w:pPr>
        <w:autoSpaceDE w:val="0"/>
        <w:autoSpaceDN w:val="0"/>
        <w:adjustRightInd w:val="0"/>
        <w:spacing w:after="0"/>
      </w:pPr>
    </w:p>
    <w:p w:rsidR="009B6BDE" w:rsidRPr="00894EC0" w:rsidRDefault="00C829F5" w:rsidP="00172EDF">
      <w:pPr>
        <w:pStyle w:val="Default"/>
        <w:widowControl/>
        <w:ind w:left="720" w:hanging="720"/>
        <w:jc w:val="both"/>
        <w:rPr>
          <w:rFonts w:ascii="Arial" w:hAnsi="Arial" w:cs="Arial"/>
          <w:color w:val="auto"/>
        </w:rPr>
      </w:pPr>
      <w:r>
        <w:rPr>
          <w:rFonts w:ascii="Arial" w:hAnsi="Arial" w:cs="Arial"/>
          <w:b/>
        </w:rPr>
        <w:t>6</w:t>
      </w:r>
      <w:r w:rsidR="009B6BDE">
        <w:rPr>
          <w:rFonts w:ascii="Arial" w:hAnsi="Arial" w:cs="Arial"/>
          <w:b/>
        </w:rPr>
        <w:t>.</w:t>
      </w:r>
      <w:r w:rsidR="00385BB2">
        <w:rPr>
          <w:rFonts w:ascii="Arial" w:hAnsi="Arial" w:cs="Arial"/>
          <w:b/>
        </w:rPr>
        <w:tab/>
      </w:r>
      <w:r w:rsidR="009B6BDE" w:rsidRPr="00894EC0">
        <w:rPr>
          <w:rFonts w:ascii="Arial" w:hAnsi="Arial" w:cs="Arial"/>
          <w:b/>
        </w:rPr>
        <w:t>Other Events of Default; Termination</w:t>
      </w:r>
      <w:r w:rsidR="009B6BDE" w:rsidRPr="00894EC0">
        <w:rPr>
          <w:rFonts w:ascii="Arial" w:hAnsi="Arial" w:cs="Arial"/>
        </w:rPr>
        <w:t xml:space="preserve">.  This Arrangement shall not be cancelled without the prior written consent of the Commission.  Notwithstanding the foregoing, the </w:t>
      </w:r>
      <w:r w:rsidR="00385BB2">
        <w:rPr>
          <w:rFonts w:ascii="Arial" w:hAnsi="Arial" w:cs="Arial"/>
        </w:rPr>
        <w:t>P</w:t>
      </w:r>
      <w:r w:rsidR="009B6BDE" w:rsidRPr="00894EC0">
        <w:rPr>
          <w:rFonts w:ascii="Arial" w:hAnsi="Arial" w:cs="Arial"/>
        </w:rPr>
        <w:t xml:space="preserve">arties agree that each of the following events shall individually constitute a breach of this Arrangement that allows the Company the right to cancel without liability to the </w:t>
      </w:r>
      <w:r w:rsidR="009B6BDE" w:rsidRPr="00A90CCC">
        <w:rPr>
          <w:rFonts w:ascii="Arial" w:hAnsi="Arial" w:cs="Arial"/>
        </w:rPr>
        <w:t>Customer</w:t>
      </w:r>
      <w:r w:rsidR="009B6BDE" w:rsidRPr="00894EC0">
        <w:rPr>
          <w:rFonts w:ascii="Arial" w:hAnsi="Arial" w:cs="Arial"/>
        </w:rPr>
        <w:t xml:space="preserve"> all or any part of this Arrangement and/or pursue any further remedies available at law or in equity:  (1) Customer fails to comply with the Commission’s Order; or (2) Customer assigns this Arrangement or any part hereof without obtaining the proper consent; or, (3) Customer becomes insolvent or makes a general assignment for the benefit of creditors or admits in writing its inability to pay debts as they mature or if a trustee or receiver of Customer or of any substantial part of Customer’s assets is appointed by any court or proceedings instituted under any provisions of the Federal Bankruptcy Code</w:t>
      </w:r>
      <w:r w:rsidR="00385BB2">
        <w:rPr>
          <w:rFonts w:ascii="Arial" w:hAnsi="Arial" w:cs="Arial"/>
        </w:rPr>
        <w:t>,</w:t>
      </w:r>
      <w:r w:rsidR="009B6BDE" w:rsidRPr="00894EC0">
        <w:rPr>
          <w:rFonts w:ascii="Arial" w:hAnsi="Arial" w:cs="Arial"/>
        </w:rPr>
        <w:t xml:space="preserve"> or any state insolvency law by or against Customer are acquiesced in or are not dismissed within thirty (30) days or result in an adjudication in bankruptcy or insolvency.</w:t>
      </w:r>
    </w:p>
    <w:p w:rsidR="009B6BDE" w:rsidRPr="00DA4797" w:rsidRDefault="009B6BDE" w:rsidP="00172EDF">
      <w:pPr>
        <w:spacing w:after="0"/>
      </w:pPr>
    </w:p>
    <w:p w:rsidR="009B6BDE" w:rsidRPr="00894EC0" w:rsidRDefault="00C829F5" w:rsidP="00385BB2">
      <w:pPr>
        <w:pStyle w:val="Default"/>
        <w:widowControl/>
        <w:ind w:left="720" w:hanging="720"/>
        <w:jc w:val="both"/>
        <w:rPr>
          <w:rFonts w:ascii="Arial" w:hAnsi="Arial" w:cs="Arial"/>
          <w:color w:val="auto"/>
        </w:rPr>
      </w:pPr>
      <w:r>
        <w:rPr>
          <w:rFonts w:ascii="Arial" w:hAnsi="Arial" w:cs="Arial"/>
          <w:b/>
          <w:color w:val="auto"/>
        </w:rPr>
        <w:t>7</w:t>
      </w:r>
      <w:r w:rsidR="009B6BDE" w:rsidRPr="00385BB2">
        <w:rPr>
          <w:rFonts w:ascii="Arial" w:hAnsi="Arial" w:cs="Arial"/>
          <w:b/>
          <w:color w:val="auto"/>
        </w:rPr>
        <w:t>.</w:t>
      </w:r>
      <w:r w:rsidR="00385BB2">
        <w:rPr>
          <w:b/>
          <w:color w:val="auto"/>
          <w:sz w:val="22"/>
          <w:szCs w:val="22"/>
        </w:rPr>
        <w:tab/>
      </w:r>
      <w:r w:rsidR="009B6BDE" w:rsidRPr="00894EC0">
        <w:rPr>
          <w:rFonts w:ascii="Arial" w:hAnsi="Arial" w:cs="Arial"/>
          <w:b/>
          <w:color w:val="auto"/>
        </w:rPr>
        <w:t>Force Majeure</w:t>
      </w:r>
      <w:r w:rsidR="009B6BDE" w:rsidRPr="00894EC0">
        <w:rPr>
          <w:rFonts w:ascii="Arial" w:hAnsi="Arial" w:cs="Arial"/>
          <w:color w:val="auto"/>
        </w:rPr>
        <w:t xml:space="preserve">.  </w:t>
      </w:r>
      <w:r w:rsidR="009B6BDE" w:rsidRPr="00894EC0">
        <w:rPr>
          <w:rFonts w:ascii="Arial" w:hAnsi="Arial" w:cs="Arial"/>
        </w:rPr>
        <w:t xml:space="preserve">Neither </w:t>
      </w:r>
      <w:r w:rsidR="00385BB2">
        <w:rPr>
          <w:rFonts w:ascii="Arial" w:hAnsi="Arial" w:cs="Arial"/>
        </w:rPr>
        <w:t>P</w:t>
      </w:r>
      <w:r w:rsidR="009B6BDE" w:rsidRPr="00894EC0">
        <w:rPr>
          <w:rFonts w:ascii="Arial" w:hAnsi="Arial" w:cs="Arial"/>
        </w:rPr>
        <w:t xml:space="preserve">arty shall be liable to the other for any expenses, loss or damage resulting from delays or prevention of performance arising from a Force Majeure.  “Force Majeure” shall mean </w:t>
      </w:r>
      <w:r w:rsidR="009B6BDE" w:rsidRPr="00894EC0">
        <w:rPr>
          <w:rFonts w:ascii="Arial" w:hAnsi="Arial" w:cs="Arial"/>
          <w:color w:val="auto"/>
        </w:rPr>
        <w:t xml:space="preserve">acts of God, riots, strikes, labor disputes, labor or material shortages, act(s) by any government, governmental body or instrumentality, or regulatory agency (including delay or failure to act in the issuance of approvals, permits or licenses), fires, explosions, floods, breakdown of or damage to plants, equipment or facilities, or other causes of similar nature which are beyond the reasonable control of the </w:t>
      </w:r>
      <w:r w:rsidR="00385BB2">
        <w:rPr>
          <w:rFonts w:ascii="Arial" w:hAnsi="Arial" w:cs="Arial"/>
          <w:color w:val="auto"/>
        </w:rPr>
        <w:t>P</w:t>
      </w:r>
      <w:r w:rsidR="009B6BDE" w:rsidRPr="00894EC0">
        <w:rPr>
          <w:rFonts w:ascii="Arial" w:hAnsi="Arial" w:cs="Arial"/>
          <w:color w:val="auto"/>
        </w:rPr>
        <w:t xml:space="preserve">arty and which wholly or partially prevent the supplying of electricity by the Company or the receiving or utilization of such electricity by the Customer.  The </w:t>
      </w:r>
      <w:r w:rsidR="00385BB2">
        <w:rPr>
          <w:rFonts w:ascii="Arial" w:hAnsi="Arial" w:cs="Arial"/>
          <w:color w:val="auto"/>
        </w:rPr>
        <w:t>P</w:t>
      </w:r>
      <w:r w:rsidR="009B6BDE" w:rsidRPr="00894EC0">
        <w:rPr>
          <w:rFonts w:ascii="Arial" w:hAnsi="Arial" w:cs="Arial"/>
          <w:color w:val="auto"/>
        </w:rPr>
        <w:t xml:space="preserve">arty affected by Force Majeure shall give notice to the other </w:t>
      </w:r>
      <w:r w:rsidR="00385BB2">
        <w:rPr>
          <w:rFonts w:ascii="Arial" w:hAnsi="Arial" w:cs="Arial"/>
          <w:color w:val="auto"/>
        </w:rPr>
        <w:t>P</w:t>
      </w:r>
      <w:r w:rsidR="009B6BDE" w:rsidRPr="00894EC0">
        <w:rPr>
          <w:rFonts w:ascii="Arial" w:hAnsi="Arial" w:cs="Arial"/>
          <w:color w:val="auto"/>
        </w:rPr>
        <w:t xml:space="preserve">arty as promptly as practical of the nature and probable duration of such Force Majeure, with the effect of such Force Majeure eliminated insofar as possible with all reasonable dispatch.  The performance by the </w:t>
      </w:r>
      <w:r w:rsidR="00385BB2">
        <w:rPr>
          <w:rFonts w:ascii="Arial" w:hAnsi="Arial" w:cs="Arial"/>
          <w:color w:val="auto"/>
        </w:rPr>
        <w:t>P</w:t>
      </w:r>
      <w:r w:rsidR="009B6BDE" w:rsidRPr="00894EC0">
        <w:rPr>
          <w:rFonts w:ascii="Arial" w:hAnsi="Arial" w:cs="Arial"/>
          <w:color w:val="auto"/>
        </w:rPr>
        <w:t xml:space="preserve">arties hereunder shall be excused only to the extent made necessary by the Force Majeure condition, provided that neither </w:t>
      </w:r>
      <w:r w:rsidR="00385BB2">
        <w:rPr>
          <w:rFonts w:ascii="Arial" w:hAnsi="Arial" w:cs="Arial"/>
          <w:color w:val="auto"/>
        </w:rPr>
        <w:t>P</w:t>
      </w:r>
      <w:r w:rsidR="009B6BDE" w:rsidRPr="00894EC0">
        <w:rPr>
          <w:rFonts w:ascii="Arial" w:hAnsi="Arial" w:cs="Arial"/>
          <w:color w:val="auto"/>
        </w:rPr>
        <w:t xml:space="preserve">arty shall be required to settle a labor dispute on terms unacceptable to the </w:t>
      </w:r>
      <w:r w:rsidR="00385BB2">
        <w:rPr>
          <w:rFonts w:ascii="Arial" w:hAnsi="Arial" w:cs="Arial"/>
          <w:color w:val="auto"/>
        </w:rPr>
        <w:t>P</w:t>
      </w:r>
      <w:r w:rsidR="009B6BDE" w:rsidRPr="00894EC0">
        <w:rPr>
          <w:rFonts w:ascii="Arial" w:hAnsi="Arial" w:cs="Arial"/>
          <w:color w:val="auto"/>
        </w:rPr>
        <w:t xml:space="preserve">arty affected; and provided further, that neither </w:t>
      </w:r>
      <w:r w:rsidR="00385BB2">
        <w:rPr>
          <w:rFonts w:ascii="Arial" w:hAnsi="Arial" w:cs="Arial"/>
          <w:color w:val="auto"/>
        </w:rPr>
        <w:t>P</w:t>
      </w:r>
      <w:r w:rsidR="009B6BDE" w:rsidRPr="00894EC0">
        <w:rPr>
          <w:rFonts w:ascii="Arial" w:hAnsi="Arial" w:cs="Arial"/>
          <w:color w:val="auto"/>
        </w:rPr>
        <w:t>arty shall be required pursuant to this Arrangement to rebuild all or a major portion of its facilities which are destroyed or substantially impaired by a Force Majeure Event.</w:t>
      </w:r>
    </w:p>
    <w:p w:rsidR="00DA4797" w:rsidRPr="009B6BDE" w:rsidRDefault="00DA4797" w:rsidP="00DA4797">
      <w:pPr>
        <w:spacing w:after="0"/>
        <w:rPr>
          <w:b/>
        </w:rPr>
      </w:pPr>
    </w:p>
    <w:p w:rsidR="009B6BDE" w:rsidRPr="00894EC0" w:rsidRDefault="00C829F5" w:rsidP="00894EC0">
      <w:pPr>
        <w:pStyle w:val="Default"/>
        <w:widowControl/>
        <w:ind w:left="720" w:hanging="720"/>
        <w:jc w:val="both"/>
        <w:rPr>
          <w:rFonts w:ascii="Arial" w:hAnsi="Arial" w:cs="Arial"/>
          <w:color w:val="auto"/>
          <w:highlight w:val="yellow"/>
        </w:rPr>
      </w:pPr>
      <w:r>
        <w:rPr>
          <w:rFonts w:ascii="Arial" w:hAnsi="Arial" w:cs="Arial"/>
          <w:b/>
          <w:color w:val="auto"/>
        </w:rPr>
        <w:t>8</w:t>
      </w:r>
      <w:r w:rsidR="0079238C">
        <w:rPr>
          <w:rFonts w:ascii="Arial" w:hAnsi="Arial" w:cs="Arial"/>
          <w:b/>
          <w:color w:val="auto"/>
        </w:rPr>
        <w:t>.</w:t>
      </w:r>
      <w:r w:rsidR="009B6BDE" w:rsidRPr="00894EC0">
        <w:rPr>
          <w:rFonts w:ascii="Arial" w:hAnsi="Arial" w:cs="Arial"/>
          <w:b/>
          <w:color w:val="auto"/>
        </w:rPr>
        <w:tab/>
        <w:t>Confidentiality of Information and Reporting</w:t>
      </w:r>
      <w:r w:rsidR="009B6BDE" w:rsidRPr="00894EC0">
        <w:rPr>
          <w:rFonts w:ascii="Arial" w:hAnsi="Arial" w:cs="Arial"/>
          <w:color w:val="auto"/>
        </w:rPr>
        <w:t xml:space="preserve">.  The </w:t>
      </w:r>
      <w:r w:rsidR="00337CC6">
        <w:rPr>
          <w:rFonts w:ascii="Arial" w:hAnsi="Arial" w:cs="Arial"/>
          <w:color w:val="auto"/>
        </w:rPr>
        <w:t>P</w:t>
      </w:r>
      <w:r w:rsidR="009B6BDE" w:rsidRPr="00894EC0">
        <w:rPr>
          <w:rFonts w:ascii="Arial" w:hAnsi="Arial" w:cs="Arial"/>
          <w:color w:val="auto"/>
        </w:rPr>
        <w:t xml:space="preserve">arties agree that except to the extent made public by the Commission, all information included in this Arrangement, as well as any underlying schedules or other documents related to the development of this Arrangement, shall be deemed and treated as confidential information by the </w:t>
      </w:r>
      <w:r w:rsidR="00337CC6">
        <w:rPr>
          <w:rFonts w:ascii="Arial" w:hAnsi="Arial" w:cs="Arial"/>
          <w:color w:val="auto"/>
        </w:rPr>
        <w:t>P</w:t>
      </w:r>
      <w:r w:rsidR="009B6BDE" w:rsidRPr="00894EC0">
        <w:rPr>
          <w:rFonts w:ascii="Arial" w:hAnsi="Arial" w:cs="Arial"/>
          <w:color w:val="auto"/>
        </w:rPr>
        <w:t xml:space="preserve">arties, their employees, agents, contractors  and subcontractors.  Neither </w:t>
      </w:r>
      <w:r w:rsidR="00337CC6">
        <w:rPr>
          <w:rFonts w:ascii="Arial" w:hAnsi="Arial" w:cs="Arial"/>
          <w:color w:val="auto"/>
        </w:rPr>
        <w:t>P</w:t>
      </w:r>
      <w:r w:rsidR="009B6BDE" w:rsidRPr="00894EC0">
        <w:rPr>
          <w:rFonts w:ascii="Arial" w:hAnsi="Arial" w:cs="Arial"/>
          <w:color w:val="auto"/>
        </w:rPr>
        <w:t xml:space="preserve">arty shall use for any other purpose or disclose such information without the prior written consent of the non-disclosing </w:t>
      </w:r>
      <w:r w:rsidR="00337CC6">
        <w:rPr>
          <w:rFonts w:ascii="Arial" w:hAnsi="Arial" w:cs="Arial"/>
          <w:color w:val="auto"/>
        </w:rPr>
        <w:t>P</w:t>
      </w:r>
      <w:r w:rsidR="009B6BDE" w:rsidRPr="00894EC0">
        <w:rPr>
          <w:rFonts w:ascii="Arial" w:hAnsi="Arial" w:cs="Arial"/>
          <w:color w:val="auto"/>
        </w:rPr>
        <w:t xml:space="preserve">arty, with such consent to be determined by the latter based on its sole discretion.  Notwithstanding the foregoing, the restrictions set forth in this Section 8 shall not apply to any information (i) that is in the public domain at the time it was disclosed to the other </w:t>
      </w:r>
      <w:r w:rsidR="00337CC6">
        <w:rPr>
          <w:rFonts w:ascii="Arial" w:hAnsi="Arial" w:cs="Arial"/>
          <w:color w:val="auto"/>
        </w:rPr>
        <w:t>P</w:t>
      </w:r>
      <w:r w:rsidR="009B6BDE" w:rsidRPr="00894EC0">
        <w:rPr>
          <w:rFonts w:ascii="Arial" w:hAnsi="Arial" w:cs="Arial"/>
          <w:color w:val="auto"/>
        </w:rPr>
        <w:t xml:space="preserve">arty; (ii) is required by law to be disclosed, provided that the non-disclosing </w:t>
      </w:r>
      <w:r w:rsidR="00337CC6">
        <w:rPr>
          <w:rFonts w:ascii="Arial" w:hAnsi="Arial" w:cs="Arial"/>
          <w:color w:val="auto"/>
        </w:rPr>
        <w:t>P</w:t>
      </w:r>
      <w:r w:rsidR="009B6BDE" w:rsidRPr="00894EC0">
        <w:rPr>
          <w:rFonts w:ascii="Arial" w:hAnsi="Arial" w:cs="Arial"/>
          <w:color w:val="auto"/>
        </w:rPr>
        <w:t xml:space="preserve">arty be notified of any such request for disclosure within a reasonable period of time so as to allow it to take measures to prevent such disclosure; or (iii) that is made known to the disclosing </w:t>
      </w:r>
      <w:r w:rsidR="00337CC6">
        <w:rPr>
          <w:rFonts w:ascii="Arial" w:hAnsi="Arial" w:cs="Arial"/>
          <w:color w:val="auto"/>
        </w:rPr>
        <w:t>P</w:t>
      </w:r>
      <w:r w:rsidR="009B6BDE" w:rsidRPr="00894EC0">
        <w:rPr>
          <w:rFonts w:ascii="Arial" w:hAnsi="Arial" w:cs="Arial"/>
          <w:color w:val="auto"/>
        </w:rPr>
        <w:t>arty from a non-</w:t>
      </w:r>
      <w:r w:rsidR="00337CC6">
        <w:rPr>
          <w:rFonts w:ascii="Arial" w:hAnsi="Arial" w:cs="Arial"/>
          <w:color w:val="auto"/>
        </w:rPr>
        <w:t>P</w:t>
      </w:r>
      <w:r w:rsidR="009B6BDE" w:rsidRPr="00894EC0">
        <w:rPr>
          <w:rFonts w:ascii="Arial" w:hAnsi="Arial" w:cs="Arial"/>
          <w:color w:val="auto"/>
        </w:rPr>
        <w:t xml:space="preserve">arty to this Arrangement without breach of this or any other confidentiality agreement.  </w:t>
      </w:r>
      <w:r w:rsidR="009B6BDE" w:rsidRPr="00894EC0">
        <w:rPr>
          <w:rFonts w:ascii="Arial" w:hAnsi="Arial" w:cs="Arial"/>
        </w:rPr>
        <w:t>Subject to such confidentiality requirements as may be appropriate, Customer shall, during the term of this Arrangement, provide Company with:  (1) reports regarding the status of the project described in Customer’s ap</w:t>
      </w:r>
      <w:r w:rsidR="00B03BE6">
        <w:rPr>
          <w:rFonts w:ascii="Arial" w:hAnsi="Arial" w:cs="Arial"/>
        </w:rPr>
        <w:t>plication in Commission Case No.</w:t>
      </w:r>
      <w:r w:rsidR="009B6BDE" w:rsidRPr="00894EC0">
        <w:rPr>
          <w:rFonts w:ascii="Arial" w:hAnsi="Arial" w:cs="Arial"/>
        </w:rPr>
        <w:t xml:space="preserve"> 12-1494-EL-AEC; (2) reports describing the effect of this </w:t>
      </w:r>
      <w:r w:rsidR="00337CC6">
        <w:rPr>
          <w:rFonts w:ascii="Arial" w:hAnsi="Arial" w:cs="Arial"/>
        </w:rPr>
        <w:t>A</w:t>
      </w:r>
      <w:r w:rsidR="009B6BDE" w:rsidRPr="00894EC0">
        <w:rPr>
          <w:rFonts w:ascii="Arial" w:hAnsi="Arial" w:cs="Arial"/>
        </w:rPr>
        <w:t>rrangement upon Customer’s ability to successfully sustain its Ohio manufacturing operations; and, (3) such other information as the Com</w:t>
      </w:r>
      <w:r w:rsidR="006C2014">
        <w:rPr>
          <w:rFonts w:ascii="Arial" w:hAnsi="Arial" w:cs="Arial"/>
        </w:rPr>
        <w:t>pany</w:t>
      </w:r>
      <w:r w:rsidR="009B6BDE" w:rsidRPr="00894EC0">
        <w:rPr>
          <w:rFonts w:ascii="Arial" w:hAnsi="Arial" w:cs="Arial"/>
        </w:rPr>
        <w:t xml:space="preserve"> may request for purposes of monitoring compliance with this Arrangement.  Upon request, Company shall make such reports available to the Commission Staff provided that the </w:t>
      </w:r>
      <w:r w:rsidR="006C2014">
        <w:rPr>
          <w:rFonts w:ascii="Arial" w:hAnsi="Arial" w:cs="Arial"/>
        </w:rPr>
        <w:t xml:space="preserve">Commission </w:t>
      </w:r>
      <w:r w:rsidR="009B6BDE" w:rsidRPr="00894EC0">
        <w:rPr>
          <w:rFonts w:ascii="Arial" w:hAnsi="Arial" w:cs="Arial"/>
        </w:rPr>
        <w:t xml:space="preserve">Staff agrees to comply with confidentiality requirements that apply to the reports furnished by Customer to Company.  The </w:t>
      </w:r>
      <w:r w:rsidR="00337CC6">
        <w:rPr>
          <w:rFonts w:ascii="Arial" w:hAnsi="Arial" w:cs="Arial"/>
        </w:rPr>
        <w:t>P</w:t>
      </w:r>
      <w:r w:rsidR="009B6BDE" w:rsidRPr="00894EC0">
        <w:rPr>
          <w:rFonts w:ascii="Arial" w:hAnsi="Arial" w:cs="Arial"/>
        </w:rPr>
        <w:t>arties understand that Customer’s periodic reports shall not be filed with the Commission unless otherwise directed by the Commission.</w:t>
      </w:r>
    </w:p>
    <w:p w:rsidR="009B6BDE" w:rsidRDefault="009B6BDE" w:rsidP="00DA4797">
      <w:pPr>
        <w:spacing w:after="0"/>
        <w:rPr>
          <w:b/>
        </w:rPr>
      </w:pPr>
    </w:p>
    <w:p w:rsidR="009B6BDE" w:rsidRDefault="00C829F5" w:rsidP="00894EC0">
      <w:pPr>
        <w:tabs>
          <w:tab w:val="left" w:pos="0"/>
        </w:tabs>
        <w:spacing w:after="0"/>
        <w:ind w:left="720" w:hanging="720"/>
        <w:jc w:val="both"/>
      </w:pPr>
      <w:r>
        <w:rPr>
          <w:b/>
          <w:sz w:val="22"/>
          <w:szCs w:val="22"/>
        </w:rPr>
        <w:t>9</w:t>
      </w:r>
      <w:r w:rsidR="009B6BDE">
        <w:rPr>
          <w:b/>
          <w:sz w:val="22"/>
          <w:szCs w:val="22"/>
        </w:rPr>
        <w:t>.</w:t>
      </w:r>
      <w:r w:rsidR="00337CC6">
        <w:rPr>
          <w:b/>
          <w:sz w:val="22"/>
          <w:szCs w:val="22"/>
        </w:rPr>
        <w:tab/>
      </w:r>
      <w:r w:rsidR="009B6BDE" w:rsidRPr="00894EC0">
        <w:rPr>
          <w:b/>
        </w:rPr>
        <w:t>Dispute Resolution</w:t>
      </w:r>
      <w:r w:rsidR="009B6BDE" w:rsidRPr="00894EC0">
        <w:t xml:space="preserve">.  If a dispute arises out of this Arrangement, if the dispute cannot be settled by the </w:t>
      </w:r>
      <w:r w:rsidR="00337CC6">
        <w:t>P</w:t>
      </w:r>
      <w:r w:rsidR="009B6BDE" w:rsidRPr="00894EC0">
        <w:t xml:space="preserve">arties through negotiation and if the dispute relates to a subject matter which is within the Commission’s exclusive or primary jurisdiction, the </w:t>
      </w:r>
      <w:r w:rsidR="00337CC6">
        <w:t>P</w:t>
      </w:r>
      <w:r w:rsidR="009B6BDE" w:rsidRPr="00894EC0">
        <w:t>arties agree first to try in good faith to settle the dispute by mediation before the Commission or such alternative dispute resolution process which the Commission may designate before resorting to arbitration, litigation, or some other dispute resolution procedure.</w:t>
      </w:r>
      <w:r w:rsidR="009B6BDE" w:rsidRPr="009B6BDE">
        <w:t xml:space="preserve">  </w:t>
      </w:r>
      <w:r w:rsidR="009B6BDE" w:rsidRPr="00894EC0">
        <w:t xml:space="preserve">Nothing herein shall be construed or implied to preclude either </w:t>
      </w:r>
      <w:r w:rsidR="00337CC6">
        <w:t>P</w:t>
      </w:r>
      <w:r w:rsidR="009B6BDE" w:rsidRPr="00894EC0">
        <w:t xml:space="preserve">arty from initiating litigation on questions outside of the Commission’s jurisdiction if they are unable to resolve such dispute through negotiations with the other </w:t>
      </w:r>
      <w:r w:rsidR="00337CC6">
        <w:t>P</w:t>
      </w:r>
      <w:r w:rsidR="009B6BDE" w:rsidRPr="00894EC0">
        <w:t>arty.</w:t>
      </w:r>
    </w:p>
    <w:p w:rsidR="009B6BDE" w:rsidRDefault="009B6BDE" w:rsidP="005C58FC">
      <w:pPr>
        <w:spacing w:after="0"/>
        <w:jc w:val="both"/>
      </w:pPr>
    </w:p>
    <w:p w:rsidR="008A2726" w:rsidRDefault="00B03BE6" w:rsidP="00894EC0">
      <w:pPr>
        <w:pStyle w:val="Default"/>
        <w:widowControl/>
        <w:ind w:left="720" w:hanging="720"/>
        <w:jc w:val="both"/>
        <w:rPr>
          <w:color w:val="auto"/>
          <w:sz w:val="22"/>
          <w:szCs w:val="22"/>
          <w:highlight w:val="yellow"/>
        </w:rPr>
      </w:pPr>
      <w:r>
        <w:rPr>
          <w:rFonts w:ascii="Arial" w:hAnsi="Arial" w:cs="Arial"/>
          <w:b/>
        </w:rPr>
        <w:t>1</w:t>
      </w:r>
      <w:r w:rsidR="00C829F5">
        <w:rPr>
          <w:rFonts w:ascii="Arial" w:hAnsi="Arial" w:cs="Arial"/>
          <w:b/>
        </w:rPr>
        <w:t>0</w:t>
      </w:r>
      <w:r w:rsidR="00337CC6">
        <w:rPr>
          <w:rFonts w:ascii="Arial" w:hAnsi="Arial" w:cs="Arial"/>
          <w:b/>
        </w:rPr>
        <w:t>.</w:t>
      </w:r>
      <w:r w:rsidR="00337CC6">
        <w:rPr>
          <w:rFonts w:ascii="Arial" w:hAnsi="Arial" w:cs="Arial"/>
          <w:b/>
        </w:rPr>
        <w:tab/>
      </w:r>
      <w:r w:rsidR="008A2726" w:rsidRPr="00894EC0">
        <w:rPr>
          <w:rFonts w:ascii="Arial" w:hAnsi="Arial" w:cs="Arial"/>
          <w:b/>
        </w:rPr>
        <w:t xml:space="preserve">Mutual Cooperation.  </w:t>
      </w:r>
      <w:r w:rsidR="008A2726" w:rsidRPr="00894EC0">
        <w:rPr>
          <w:rFonts w:ascii="Arial" w:hAnsi="Arial" w:cs="Arial"/>
        </w:rPr>
        <w:t xml:space="preserve">The </w:t>
      </w:r>
      <w:r w:rsidR="00337CC6">
        <w:rPr>
          <w:rFonts w:ascii="Arial" w:hAnsi="Arial" w:cs="Arial"/>
        </w:rPr>
        <w:t>P</w:t>
      </w:r>
      <w:r w:rsidR="008A2726" w:rsidRPr="00894EC0">
        <w:rPr>
          <w:rFonts w:ascii="Arial" w:hAnsi="Arial" w:cs="Arial"/>
        </w:rPr>
        <w:t>arties</w:t>
      </w:r>
      <w:r w:rsidR="008A2726" w:rsidRPr="00894EC0">
        <w:rPr>
          <w:rFonts w:ascii="Arial" w:hAnsi="Arial" w:cs="Arial"/>
          <w:b/>
        </w:rPr>
        <w:t xml:space="preserve"> </w:t>
      </w:r>
      <w:r w:rsidR="008A2726" w:rsidRPr="00894EC0">
        <w:rPr>
          <w:rFonts w:ascii="Arial" w:hAnsi="Arial" w:cs="Arial"/>
        </w:rPr>
        <w:t xml:space="preserve">agree to provide mutual and timely support for purposes of effectively administering or otherwise advancing the underlying purpose of this Arrangement.  Such support shall include, without limitation, reasonable and timely access to documents and personnel of the other </w:t>
      </w:r>
      <w:r w:rsidR="00337CC6">
        <w:rPr>
          <w:rFonts w:ascii="Arial" w:hAnsi="Arial" w:cs="Arial"/>
        </w:rPr>
        <w:t>P</w:t>
      </w:r>
      <w:r w:rsidR="008A2726" w:rsidRPr="00894EC0">
        <w:rPr>
          <w:rFonts w:ascii="Arial" w:hAnsi="Arial" w:cs="Arial"/>
        </w:rPr>
        <w:t>arty.</w:t>
      </w:r>
    </w:p>
    <w:p w:rsidR="009B6BDE" w:rsidRDefault="009B6BDE" w:rsidP="005C58FC">
      <w:pPr>
        <w:spacing w:after="0"/>
        <w:jc w:val="both"/>
        <w:rPr>
          <w:b/>
        </w:rPr>
      </w:pPr>
    </w:p>
    <w:p w:rsidR="008A2726" w:rsidRPr="00894EC0" w:rsidRDefault="008A2726" w:rsidP="00894EC0">
      <w:pPr>
        <w:pStyle w:val="Default"/>
        <w:widowControl/>
        <w:ind w:left="720" w:hanging="720"/>
        <w:jc w:val="both"/>
        <w:rPr>
          <w:rFonts w:ascii="Arial" w:hAnsi="Arial" w:cs="Arial"/>
        </w:rPr>
      </w:pPr>
      <w:r w:rsidRPr="00894EC0">
        <w:rPr>
          <w:rFonts w:ascii="Arial" w:hAnsi="Arial" w:cs="Arial"/>
          <w:b/>
        </w:rPr>
        <w:t>1</w:t>
      </w:r>
      <w:r w:rsidR="00C829F5">
        <w:rPr>
          <w:rFonts w:ascii="Arial" w:hAnsi="Arial" w:cs="Arial"/>
          <w:b/>
        </w:rPr>
        <w:t>1</w:t>
      </w:r>
      <w:r w:rsidR="00C4710A">
        <w:rPr>
          <w:rFonts w:ascii="Arial" w:hAnsi="Arial" w:cs="Arial"/>
          <w:b/>
        </w:rPr>
        <w:t>.</w:t>
      </w:r>
      <w:r w:rsidRPr="00894EC0">
        <w:rPr>
          <w:rFonts w:ascii="Arial" w:hAnsi="Arial" w:cs="Arial"/>
          <w:b/>
        </w:rPr>
        <w:tab/>
        <w:t>Governing Law and Continuing Jurisdiction.</w:t>
      </w:r>
      <w:r w:rsidRPr="008A2726">
        <w:rPr>
          <w:sz w:val="22"/>
          <w:szCs w:val="22"/>
        </w:rPr>
        <w:t xml:space="preserve">  </w:t>
      </w:r>
      <w:r w:rsidRPr="00894EC0">
        <w:rPr>
          <w:rFonts w:ascii="Arial" w:hAnsi="Arial" w:cs="Arial"/>
        </w:rPr>
        <w:t xml:space="preserve">The validity, construction and performance of this Arrangement shall be determined in accordance with the laws of the State of Ohio not taking into account any conflict of law provisions.  </w:t>
      </w:r>
      <w:r w:rsidRPr="00894EC0">
        <w:rPr>
          <w:rFonts w:ascii="Arial" w:hAnsi="Arial" w:cs="Arial"/>
          <w:color w:val="auto"/>
        </w:rPr>
        <w:t xml:space="preserve">The </w:t>
      </w:r>
      <w:r w:rsidR="00337CC6">
        <w:rPr>
          <w:rFonts w:ascii="Arial" w:hAnsi="Arial" w:cs="Arial"/>
          <w:color w:val="auto"/>
        </w:rPr>
        <w:t>P</w:t>
      </w:r>
      <w:r w:rsidRPr="008A2726">
        <w:rPr>
          <w:rFonts w:ascii="Arial" w:hAnsi="Arial" w:cs="Arial"/>
          <w:color w:val="auto"/>
        </w:rPr>
        <w:t>ar</w:t>
      </w:r>
      <w:r w:rsidRPr="00894EC0">
        <w:rPr>
          <w:rFonts w:ascii="Arial" w:hAnsi="Arial" w:cs="Arial"/>
          <w:color w:val="auto"/>
        </w:rPr>
        <w:t xml:space="preserve">ties understand and agree that the Commission shall have continuing jurisdiction to, for good cause shown, modify, amend or terminate this Arrangement and that </w:t>
      </w:r>
      <w:r w:rsidRPr="00894EC0">
        <w:rPr>
          <w:rFonts w:ascii="Arial" w:hAnsi="Arial" w:cs="Arial"/>
        </w:rPr>
        <w:t xml:space="preserve">good cause will be presumed in the event that Customer has not completed the </w:t>
      </w:r>
      <w:r>
        <w:rPr>
          <w:rFonts w:ascii="Arial" w:hAnsi="Arial" w:cs="Arial"/>
        </w:rPr>
        <w:t xml:space="preserve">transformation to its manufacturing process </w:t>
      </w:r>
      <w:r w:rsidRPr="00894EC0">
        <w:rPr>
          <w:rFonts w:ascii="Arial" w:hAnsi="Arial" w:cs="Arial"/>
        </w:rPr>
        <w:t xml:space="preserve">in its application in Case No. </w:t>
      </w:r>
      <w:r>
        <w:rPr>
          <w:rFonts w:ascii="Arial" w:hAnsi="Arial" w:cs="Arial"/>
        </w:rPr>
        <w:t>12</w:t>
      </w:r>
      <w:r w:rsidRPr="00894EC0">
        <w:rPr>
          <w:rFonts w:ascii="Arial" w:hAnsi="Arial" w:cs="Arial"/>
        </w:rPr>
        <w:t>-</w:t>
      </w:r>
      <w:r>
        <w:rPr>
          <w:rFonts w:ascii="Arial" w:hAnsi="Arial" w:cs="Arial"/>
        </w:rPr>
        <w:t>1494</w:t>
      </w:r>
      <w:r w:rsidRPr="00894EC0">
        <w:rPr>
          <w:rFonts w:ascii="Arial" w:hAnsi="Arial" w:cs="Arial"/>
        </w:rPr>
        <w:t>-EL-AEC within</w:t>
      </w:r>
      <w:r w:rsidR="00B03BE6">
        <w:rPr>
          <w:rFonts w:ascii="Arial" w:hAnsi="Arial" w:cs="Arial"/>
        </w:rPr>
        <w:t xml:space="preserve"> </w:t>
      </w:r>
      <w:r w:rsidR="006C2014">
        <w:rPr>
          <w:rFonts w:ascii="Arial" w:hAnsi="Arial" w:cs="Arial"/>
        </w:rPr>
        <w:t>four</w:t>
      </w:r>
      <w:r w:rsidR="00B03BE6">
        <w:rPr>
          <w:rFonts w:ascii="Arial" w:hAnsi="Arial" w:cs="Arial"/>
        </w:rPr>
        <w:t xml:space="preserve"> </w:t>
      </w:r>
      <w:r w:rsidR="006C2014">
        <w:rPr>
          <w:rFonts w:ascii="Arial" w:hAnsi="Arial" w:cs="Arial"/>
        </w:rPr>
        <w:t>(4</w:t>
      </w:r>
      <w:r w:rsidR="004939AA">
        <w:rPr>
          <w:rFonts w:ascii="Arial" w:hAnsi="Arial" w:cs="Arial"/>
        </w:rPr>
        <w:t>)</w:t>
      </w:r>
      <w:r w:rsidRPr="00894EC0">
        <w:rPr>
          <w:rFonts w:ascii="Arial" w:hAnsi="Arial" w:cs="Arial"/>
        </w:rPr>
        <w:t xml:space="preserve"> years of the Effective Date.</w:t>
      </w:r>
    </w:p>
    <w:p w:rsidR="008A2726" w:rsidRDefault="008A2726" w:rsidP="005C58FC">
      <w:pPr>
        <w:spacing w:after="0"/>
        <w:jc w:val="both"/>
        <w:rPr>
          <w:b/>
        </w:rPr>
      </w:pPr>
    </w:p>
    <w:p w:rsidR="008A2726" w:rsidRDefault="006D3476" w:rsidP="00894EC0">
      <w:pPr>
        <w:pStyle w:val="Default"/>
        <w:widowControl/>
        <w:ind w:left="720" w:hanging="720"/>
        <w:jc w:val="both"/>
        <w:rPr>
          <w:szCs w:val="22"/>
        </w:rPr>
      </w:pPr>
      <w:r>
        <w:rPr>
          <w:rFonts w:ascii="Arial" w:hAnsi="Arial" w:cs="Arial"/>
          <w:b/>
        </w:rPr>
        <w:t>1</w:t>
      </w:r>
      <w:r w:rsidR="00C829F5">
        <w:rPr>
          <w:rFonts w:ascii="Arial" w:hAnsi="Arial" w:cs="Arial"/>
          <w:b/>
        </w:rPr>
        <w:t>2</w:t>
      </w:r>
      <w:r w:rsidR="00C4710A">
        <w:rPr>
          <w:rFonts w:ascii="Arial" w:hAnsi="Arial" w:cs="Arial"/>
          <w:b/>
        </w:rPr>
        <w:t>.</w:t>
      </w:r>
      <w:r w:rsidR="008A2726" w:rsidRPr="003A1828">
        <w:rPr>
          <w:sz w:val="22"/>
          <w:szCs w:val="22"/>
        </w:rPr>
        <w:tab/>
      </w:r>
      <w:r w:rsidR="008A2726" w:rsidRPr="00894EC0">
        <w:rPr>
          <w:rFonts w:ascii="Arial" w:hAnsi="Arial" w:cs="Arial"/>
          <w:b/>
        </w:rPr>
        <w:t xml:space="preserve">Interpretation.  </w:t>
      </w:r>
      <w:r w:rsidR="008A2726" w:rsidRPr="00894EC0">
        <w:rPr>
          <w:rFonts w:ascii="Arial" w:hAnsi="Arial" w:cs="Arial"/>
        </w:rPr>
        <w:t xml:space="preserve">This Arrangement, </w:t>
      </w:r>
      <w:r w:rsidR="008A2726" w:rsidRPr="00894EC0">
        <w:rPr>
          <w:rFonts w:ascii="Arial" w:hAnsi="Arial" w:cs="Arial"/>
          <w:color w:val="auto"/>
        </w:rPr>
        <w:t>the Company’s standard tariff, as applicable and as amended from time to time by the Commission</w:t>
      </w:r>
      <w:r w:rsidR="00E81E03">
        <w:rPr>
          <w:rFonts w:ascii="Arial" w:hAnsi="Arial" w:cs="Arial"/>
          <w:color w:val="auto"/>
        </w:rPr>
        <w:t>,</w:t>
      </w:r>
      <w:r w:rsidR="008A2726" w:rsidRPr="00894EC0">
        <w:rPr>
          <w:rFonts w:ascii="Arial" w:hAnsi="Arial" w:cs="Arial"/>
          <w:color w:val="auto"/>
        </w:rPr>
        <w:t xml:space="preserve"> sets forth the entire Arrangement between the </w:t>
      </w:r>
      <w:r w:rsidR="00C4710A">
        <w:rPr>
          <w:rFonts w:ascii="Arial" w:hAnsi="Arial" w:cs="Arial"/>
          <w:color w:val="auto"/>
        </w:rPr>
        <w:t>P</w:t>
      </w:r>
      <w:r w:rsidR="008A2726" w:rsidRPr="00894EC0">
        <w:rPr>
          <w:rFonts w:ascii="Arial" w:hAnsi="Arial" w:cs="Arial"/>
          <w:color w:val="auto"/>
        </w:rPr>
        <w:t xml:space="preserve">arties.  </w:t>
      </w:r>
      <w:r w:rsidR="008A2726" w:rsidRPr="00894EC0">
        <w:rPr>
          <w:rFonts w:ascii="Arial" w:hAnsi="Arial" w:cs="Arial"/>
          <w:b/>
        </w:rPr>
        <w:t>THE PARTIES EXPRESSLY ACKNOWLEDGE THAT NO REPRES</w:t>
      </w:r>
      <w:r w:rsidR="00B03BE6">
        <w:rPr>
          <w:rFonts w:ascii="Arial" w:hAnsi="Arial" w:cs="Arial"/>
          <w:b/>
        </w:rPr>
        <w:t>ENTATIONS OR WARRANTI</w:t>
      </w:r>
      <w:r w:rsidR="008A2726" w:rsidRPr="00894EC0">
        <w:rPr>
          <w:rFonts w:ascii="Arial" w:hAnsi="Arial" w:cs="Arial"/>
          <w:b/>
        </w:rPr>
        <w:t>ES, EXPRESS OR IMPLIED, WRITTEN OR ORAL, HAVE BEEN MADE BY EITHER PARTY TO THE OTHER</w:t>
      </w:r>
      <w:r w:rsidR="008A2726" w:rsidRPr="00894EC0">
        <w:rPr>
          <w:rFonts w:ascii="Arial" w:hAnsi="Arial" w:cs="Arial"/>
        </w:rPr>
        <w:t>.  In the event of any conflict between the terms and conditions set forth in the Company’s standard distribution electric service agreement or the Company’s standard tariff and this Arrangement, the latter shall control.  This Arrangement remains, where applicable, subject to the Company’s Electric Service Regulations, as modified from time to time, unless and to the extent otherwise expressly modified herein</w:t>
      </w:r>
      <w:r w:rsidR="008A2726" w:rsidRPr="00894EC0">
        <w:rPr>
          <w:rFonts w:ascii="Arial" w:hAnsi="Arial" w:cs="Arial"/>
          <w:b/>
        </w:rPr>
        <w:t xml:space="preserve">.  </w:t>
      </w:r>
      <w:r w:rsidR="008A2726" w:rsidRPr="00894EC0">
        <w:rPr>
          <w:rFonts w:ascii="Arial" w:hAnsi="Arial" w:cs="Arial"/>
        </w:rPr>
        <w:t>If any clause or provision of this Arrangement is deemed to be illegal, or unenforceable by a court or administrative agency of competent jurisdiction, that clause or provision shall be severed from this Arrangement, and the remaining terms and conditions shall remain in full force and effect.  The section and clause headings appearing in this Arrangement have been inserted for the purpose of convenience and ready reference.  They do not purport to and shall not be deemed to define, limit or extend the scope or intent of the clauses to which they pertain.</w:t>
      </w:r>
    </w:p>
    <w:p w:rsidR="008A2726" w:rsidRDefault="008A2726" w:rsidP="005C58FC">
      <w:pPr>
        <w:pStyle w:val="BodyTextIndent3"/>
        <w:ind w:left="0" w:right="-41"/>
        <w:jc w:val="both"/>
        <w:rPr>
          <w:szCs w:val="22"/>
        </w:rPr>
      </w:pPr>
    </w:p>
    <w:p w:rsidR="008A2726" w:rsidRDefault="008A2726" w:rsidP="008A2726">
      <w:pPr>
        <w:pStyle w:val="BodyTextIndent3"/>
        <w:ind w:left="0" w:right="-41"/>
        <w:jc w:val="both"/>
        <w:rPr>
          <w:szCs w:val="22"/>
        </w:rPr>
      </w:pPr>
    </w:p>
    <w:p w:rsidR="008A2726" w:rsidRPr="005C58FC" w:rsidRDefault="008A2726" w:rsidP="005C58FC">
      <w:pPr>
        <w:pStyle w:val="Default"/>
        <w:widowControl/>
        <w:jc w:val="both"/>
        <w:rPr>
          <w:rFonts w:ascii="Arial" w:hAnsi="Arial" w:cs="Arial"/>
          <w:color w:val="auto"/>
        </w:rPr>
      </w:pPr>
      <w:r w:rsidRPr="005C58FC">
        <w:rPr>
          <w:rFonts w:ascii="Arial" w:hAnsi="Arial" w:cs="Arial"/>
          <w:b/>
          <w:color w:val="auto"/>
        </w:rPr>
        <w:t>IN WITNESS WHEREOF</w:t>
      </w:r>
      <w:r w:rsidRPr="005C58FC">
        <w:rPr>
          <w:rFonts w:ascii="Arial" w:hAnsi="Arial" w:cs="Arial"/>
          <w:color w:val="auto"/>
        </w:rPr>
        <w:t xml:space="preserve">, the </w:t>
      </w:r>
      <w:r w:rsidR="00C4710A">
        <w:rPr>
          <w:rFonts w:ascii="Arial" w:hAnsi="Arial" w:cs="Arial"/>
          <w:color w:val="auto"/>
        </w:rPr>
        <w:t>P</w:t>
      </w:r>
      <w:r w:rsidRPr="005C58FC">
        <w:rPr>
          <w:rFonts w:ascii="Arial" w:hAnsi="Arial" w:cs="Arial"/>
          <w:color w:val="auto"/>
        </w:rPr>
        <w:t>arties hereto have caused this Arrangement to be executed by their duly authorized officers or representatives as of the day and year first above written.</w:t>
      </w:r>
    </w:p>
    <w:p w:rsidR="008A2726" w:rsidRPr="005C58FC" w:rsidRDefault="008A2726" w:rsidP="005C58FC">
      <w:pPr>
        <w:pStyle w:val="CM5"/>
        <w:widowControl/>
        <w:jc w:val="both"/>
        <w:rPr>
          <w:rFonts w:ascii="Arial" w:hAnsi="Arial" w:cs="Arial"/>
        </w:rPr>
      </w:pPr>
    </w:p>
    <w:p w:rsidR="0018140A" w:rsidRDefault="008A2726" w:rsidP="005C58FC">
      <w:pPr>
        <w:pStyle w:val="CM5"/>
        <w:widowControl/>
        <w:spacing w:after="0"/>
        <w:jc w:val="both"/>
        <w:rPr>
          <w:rFonts w:ascii="Arial" w:hAnsi="Arial" w:cs="Arial"/>
          <w:b/>
        </w:rPr>
      </w:pPr>
      <w:r w:rsidRPr="005C58FC">
        <w:rPr>
          <w:rFonts w:ascii="Arial" w:hAnsi="Arial" w:cs="Arial"/>
          <w:b/>
        </w:rPr>
        <w:t>ASHTA Chemical</w:t>
      </w:r>
      <w:r w:rsidR="00E81E03">
        <w:rPr>
          <w:rFonts w:ascii="Arial" w:hAnsi="Arial" w:cs="Arial"/>
          <w:b/>
        </w:rPr>
        <w:t>s</w:t>
      </w:r>
      <w:r w:rsidRPr="005C58FC">
        <w:rPr>
          <w:rFonts w:ascii="Arial" w:hAnsi="Arial" w:cs="Arial"/>
          <w:b/>
        </w:rPr>
        <w:t xml:space="preserve"> Inc. (Customer)</w:t>
      </w:r>
      <w:r w:rsidRPr="005C58FC">
        <w:rPr>
          <w:rFonts w:ascii="Arial" w:hAnsi="Arial" w:cs="Arial"/>
          <w:b/>
        </w:rPr>
        <w:tab/>
      </w:r>
      <w:r w:rsidR="0018140A">
        <w:rPr>
          <w:rFonts w:ascii="Arial" w:hAnsi="Arial" w:cs="Arial"/>
          <w:b/>
        </w:rPr>
        <w:t xml:space="preserve">The </w:t>
      </w:r>
      <w:r w:rsidRPr="00894EC0">
        <w:rPr>
          <w:rFonts w:ascii="Arial" w:hAnsi="Arial" w:cs="Arial"/>
          <w:b/>
        </w:rPr>
        <w:t>Cleveland Electric</w:t>
      </w:r>
      <w:r w:rsidR="0018140A">
        <w:rPr>
          <w:rFonts w:ascii="Arial" w:hAnsi="Arial" w:cs="Arial"/>
          <w:b/>
        </w:rPr>
        <w:t xml:space="preserve"> Illuminating</w:t>
      </w:r>
    </w:p>
    <w:p w:rsidR="008A2726" w:rsidRPr="005C58FC" w:rsidRDefault="0018140A" w:rsidP="0018140A">
      <w:pPr>
        <w:pStyle w:val="CM5"/>
        <w:widowControl/>
        <w:spacing w:after="0"/>
        <w:ind w:left="2880" w:firstLine="720"/>
        <w:jc w:val="both"/>
        <w:rPr>
          <w:rFonts w:ascii="Arial" w:hAnsi="Arial" w:cs="Arial"/>
          <w:b/>
        </w:rPr>
      </w:pPr>
      <w:r>
        <w:rPr>
          <w:rFonts w:ascii="Arial" w:hAnsi="Arial" w:cs="Arial"/>
          <w:b/>
        </w:rPr>
        <w:t>`</w:t>
      </w:r>
      <w:r>
        <w:rPr>
          <w:rFonts w:ascii="Arial" w:hAnsi="Arial" w:cs="Arial"/>
          <w:b/>
        </w:rPr>
        <w:tab/>
        <w:t>Company (Company)</w:t>
      </w:r>
    </w:p>
    <w:p w:rsidR="008A2726" w:rsidRDefault="008A2726" w:rsidP="005C58FC">
      <w:pPr>
        <w:pStyle w:val="Default"/>
        <w:jc w:val="both"/>
        <w:rPr>
          <w:rFonts w:ascii="Arial" w:hAnsi="Arial" w:cs="Arial"/>
        </w:rPr>
      </w:pPr>
    </w:p>
    <w:p w:rsidR="00C4710A" w:rsidRPr="005C58FC" w:rsidRDefault="00C4710A" w:rsidP="005C58FC">
      <w:pPr>
        <w:pStyle w:val="Default"/>
        <w:jc w:val="both"/>
        <w:rPr>
          <w:rFonts w:ascii="Arial" w:hAnsi="Arial" w:cs="Arial"/>
        </w:rPr>
      </w:pPr>
    </w:p>
    <w:p w:rsidR="008A2726" w:rsidRDefault="008A2726" w:rsidP="005C58FC">
      <w:pPr>
        <w:pStyle w:val="Default"/>
        <w:widowControl/>
        <w:jc w:val="both"/>
        <w:rPr>
          <w:rFonts w:ascii="Arial" w:hAnsi="Arial" w:cs="Arial"/>
          <w:color w:val="auto"/>
          <w:u w:val="single"/>
        </w:rPr>
      </w:pPr>
      <w:r w:rsidRPr="005C58FC">
        <w:rPr>
          <w:rFonts w:ascii="Arial" w:hAnsi="Arial" w:cs="Arial"/>
          <w:color w:val="auto"/>
        </w:rPr>
        <w:t>By:</w:t>
      </w:r>
      <w:r w:rsidRPr="005C58FC">
        <w:rPr>
          <w:rFonts w:ascii="Arial" w:hAnsi="Arial" w:cs="Arial"/>
          <w:color w:val="auto"/>
        </w:rPr>
        <w:tab/>
      </w:r>
      <w:r w:rsidRPr="005C58FC">
        <w:rPr>
          <w:rFonts w:ascii="Arial" w:hAnsi="Arial" w:cs="Arial"/>
          <w:color w:val="auto"/>
          <w:u w:val="single"/>
        </w:rPr>
        <w:tab/>
      </w:r>
      <w:r w:rsidRPr="005C58FC">
        <w:rPr>
          <w:rFonts w:ascii="Arial" w:hAnsi="Arial" w:cs="Arial"/>
          <w:color w:val="auto"/>
          <w:u w:val="single"/>
        </w:rPr>
        <w:tab/>
      </w:r>
      <w:r w:rsidRPr="005C58FC">
        <w:rPr>
          <w:rFonts w:ascii="Arial" w:hAnsi="Arial" w:cs="Arial"/>
          <w:color w:val="auto"/>
          <w:u w:val="single"/>
        </w:rPr>
        <w:tab/>
      </w:r>
      <w:r w:rsidRPr="005C58FC">
        <w:rPr>
          <w:rFonts w:ascii="Arial" w:hAnsi="Arial" w:cs="Arial"/>
          <w:color w:val="auto"/>
          <w:u w:val="single"/>
        </w:rPr>
        <w:tab/>
      </w:r>
      <w:r w:rsidRPr="005C58FC">
        <w:rPr>
          <w:rFonts w:ascii="Arial" w:hAnsi="Arial" w:cs="Arial"/>
          <w:color w:val="auto"/>
        </w:rPr>
        <w:tab/>
        <w:t>By:</w:t>
      </w:r>
      <w:r w:rsidRPr="005C58FC">
        <w:rPr>
          <w:rFonts w:ascii="Arial" w:hAnsi="Arial" w:cs="Arial"/>
          <w:color w:val="auto"/>
        </w:rPr>
        <w:tab/>
      </w:r>
      <w:r w:rsidRPr="005C58FC">
        <w:rPr>
          <w:rFonts w:ascii="Arial" w:hAnsi="Arial" w:cs="Arial"/>
          <w:color w:val="auto"/>
          <w:u w:val="single"/>
        </w:rPr>
        <w:tab/>
      </w:r>
      <w:r w:rsidRPr="005C58FC">
        <w:rPr>
          <w:rFonts w:ascii="Arial" w:hAnsi="Arial" w:cs="Arial"/>
          <w:color w:val="auto"/>
          <w:u w:val="single"/>
        </w:rPr>
        <w:tab/>
      </w:r>
      <w:r w:rsidRPr="005C58FC">
        <w:rPr>
          <w:rFonts w:ascii="Arial" w:hAnsi="Arial" w:cs="Arial"/>
          <w:color w:val="auto"/>
          <w:u w:val="single"/>
        </w:rPr>
        <w:tab/>
      </w:r>
      <w:r w:rsidRPr="005C58FC">
        <w:rPr>
          <w:rFonts w:ascii="Arial" w:hAnsi="Arial" w:cs="Arial"/>
          <w:color w:val="auto"/>
          <w:u w:val="single"/>
        </w:rPr>
        <w:tab/>
      </w:r>
      <w:r w:rsidR="00C4710A">
        <w:rPr>
          <w:rFonts w:ascii="Arial" w:hAnsi="Arial" w:cs="Arial"/>
          <w:color w:val="auto"/>
          <w:u w:val="single"/>
        </w:rPr>
        <w:tab/>
      </w:r>
    </w:p>
    <w:p w:rsidR="00C4710A" w:rsidRDefault="00C4710A" w:rsidP="005C58FC">
      <w:pPr>
        <w:pStyle w:val="Default"/>
        <w:widowControl/>
        <w:jc w:val="both"/>
        <w:rPr>
          <w:rFonts w:ascii="Arial" w:hAnsi="Arial" w:cs="Arial"/>
          <w:color w:val="auto"/>
          <w:u w:val="single"/>
        </w:rPr>
      </w:pPr>
    </w:p>
    <w:p w:rsidR="00C4710A" w:rsidRPr="005C58FC" w:rsidRDefault="00C4710A" w:rsidP="005C58FC">
      <w:pPr>
        <w:pStyle w:val="Default"/>
        <w:widowControl/>
        <w:jc w:val="both"/>
        <w:rPr>
          <w:rFonts w:ascii="Arial" w:hAnsi="Arial" w:cs="Arial"/>
          <w:color w:val="auto"/>
        </w:rPr>
      </w:pPr>
    </w:p>
    <w:p w:rsidR="008A2726" w:rsidRPr="005C58FC" w:rsidRDefault="008A2726" w:rsidP="005C58FC">
      <w:pPr>
        <w:pStyle w:val="CM6"/>
        <w:widowControl/>
        <w:spacing w:after="0"/>
        <w:jc w:val="both"/>
        <w:rPr>
          <w:rFonts w:ascii="Arial" w:hAnsi="Arial" w:cs="Arial"/>
        </w:rPr>
      </w:pPr>
      <w:r w:rsidRPr="005C58FC">
        <w:rPr>
          <w:rFonts w:ascii="Arial" w:hAnsi="Arial" w:cs="Arial"/>
        </w:rPr>
        <w:t>Title:</w:t>
      </w:r>
      <w:r w:rsidRPr="005C58FC">
        <w:rPr>
          <w:rFonts w:ascii="Arial" w:hAnsi="Arial" w:cs="Arial"/>
        </w:rPr>
        <w:tab/>
      </w:r>
      <w:r w:rsidRPr="005C58FC">
        <w:rPr>
          <w:rFonts w:ascii="Arial" w:hAnsi="Arial" w:cs="Arial"/>
          <w:u w:val="single"/>
        </w:rPr>
        <w:tab/>
      </w:r>
      <w:r w:rsidRPr="005C58FC">
        <w:rPr>
          <w:rFonts w:ascii="Arial" w:hAnsi="Arial" w:cs="Arial"/>
          <w:u w:val="single"/>
        </w:rPr>
        <w:tab/>
      </w:r>
      <w:r w:rsidRPr="005C58FC">
        <w:rPr>
          <w:rFonts w:ascii="Arial" w:hAnsi="Arial" w:cs="Arial"/>
          <w:u w:val="single"/>
        </w:rPr>
        <w:tab/>
      </w:r>
      <w:r w:rsidRPr="005C58FC">
        <w:rPr>
          <w:rFonts w:ascii="Arial" w:hAnsi="Arial" w:cs="Arial"/>
          <w:u w:val="single"/>
        </w:rPr>
        <w:tab/>
      </w:r>
      <w:r w:rsidRPr="005C58FC">
        <w:rPr>
          <w:rFonts w:ascii="Arial" w:hAnsi="Arial" w:cs="Arial"/>
        </w:rPr>
        <w:tab/>
        <w:t>Title:</w:t>
      </w:r>
      <w:r w:rsidRPr="005C58FC">
        <w:rPr>
          <w:rFonts w:ascii="Arial" w:hAnsi="Arial" w:cs="Arial"/>
        </w:rPr>
        <w:tab/>
      </w:r>
      <w:r w:rsidRPr="005C58FC">
        <w:rPr>
          <w:rFonts w:ascii="Arial" w:hAnsi="Arial" w:cs="Arial"/>
          <w:u w:val="single"/>
        </w:rPr>
        <w:tab/>
      </w:r>
      <w:r w:rsidRPr="005C58FC">
        <w:rPr>
          <w:rFonts w:ascii="Arial" w:hAnsi="Arial" w:cs="Arial"/>
          <w:u w:val="single"/>
        </w:rPr>
        <w:tab/>
      </w:r>
      <w:r w:rsidRPr="005C58FC">
        <w:rPr>
          <w:rFonts w:ascii="Arial" w:hAnsi="Arial" w:cs="Arial"/>
          <w:u w:val="single"/>
        </w:rPr>
        <w:tab/>
      </w:r>
      <w:r w:rsidRPr="005C58FC">
        <w:rPr>
          <w:rFonts w:ascii="Arial" w:hAnsi="Arial" w:cs="Arial"/>
          <w:u w:val="single"/>
        </w:rPr>
        <w:tab/>
      </w:r>
      <w:r w:rsidR="00C4710A">
        <w:rPr>
          <w:rFonts w:ascii="Arial" w:hAnsi="Arial" w:cs="Arial"/>
          <w:u w:val="single"/>
        </w:rPr>
        <w:tab/>
      </w:r>
    </w:p>
    <w:p w:rsidR="005669B6" w:rsidRDefault="005669B6" w:rsidP="003D68A4">
      <w:pPr>
        <w:spacing w:after="0"/>
        <w:jc w:val="both"/>
        <w:rPr>
          <w:b/>
        </w:rPr>
        <w:sectPr w:rsidR="005669B6" w:rsidSect="00C128BD">
          <w:pgSz w:w="12240" w:h="15840" w:code="1"/>
          <w:pgMar w:top="1440" w:right="1440" w:bottom="1440" w:left="1440" w:header="720" w:footer="720" w:gutter="0"/>
          <w:pgNumType w:start="1"/>
          <w:cols w:space="720"/>
          <w:titlePg/>
          <w:docGrid w:linePitch="360"/>
        </w:sectPr>
      </w:pPr>
    </w:p>
    <w:p w:rsidR="005669B6" w:rsidRPr="005669B6" w:rsidRDefault="005669B6" w:rsidP="005669B6">
      <w:pPr>
        <w:tabs>
          <w:tab w:val="center" w:pos="4680"/>
        </w:tabs>
        <w:spacing w:after="0"/>
        <w:jc w:val="center"/>
        <w:rPr>
          <w:rFonts w:cs="Times New Roman"/>
          <w:b/>
          <w:smallCaps/>
          <w:sz w:val="28"/>
          <w:u w:val="single"/>
        </w:rPr>
      </w:pPr>
      <w:bookmarkStart w:id="1" w:name="_Toc381606702"/>
      <w:bookmarkStart w:id="2" w:name="_Toc385406742"/>
      <w:r w:rsidRPr="005669B6">
        <w:rPr>
          <w:rFonts w:cs="Times New Roman"/>
          <w:b/>
          <w:smallCaps/>
          <w:sz w:val="28"/>
          <w:u w:val="single"/>
        </w:rPr>
        <w:t>Certificate of Service</w:t>
      </w:r>
    </w:p>
    <w:p w:rsidR="005669B6" w:rsidRPr="005669B6" w:rsidRDefault="005669B6" w:rsidP="005669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cs="Times New Roman"/>
          <w:sz w:val="28"/>
          <w:szCs w:val="20"/>
        </w:rPr>
      </w:pPr>
    </w:p>
    <w:p w:rsidR="005669B6" w:rsidRPr="005669B6" w:rsidRDefault="005669B6" w:rsidP="005669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right="432" w:firstLine="720"/>
        <w:jc w:val="both"/>
        <w:rPr>
          <w:rFonts w:cs="Times New Roman"/>
          <w:szCs w:val="20"/>
        </w:rPr>
      </w:pPr>
      <w:r w:rsidRPr="005669B6">
        <w:rPr>
          <w:rFonts w:cs="Times New Roman"/>
          <w:szCs w:val="20"/>
        </w:rPr>
        <w:t xml:space="preserve">I hereby certify that a copy of the foregoing </w:t>
      </w:r>
      <w:r w:rsidR="00AB5E4B" w:rsidRPr="00AB5E4B">
        <w:rPr>
          <w:rFonts w:cs="Times New Roman"/>
          <w:i/>
          <w:szCs w:val="20"/>
        </w:rPr>
        <w:t>Amended Public Version of</w:t>
      </w:r>
      <w:r w:rsidR="00AB5E4B">
        <w:rPr>
          <w:rFonts w:cs="Times New Roman"/>
          <w:szCs w:val="20"/>
        </w:rPr>
        <w:t xml:space="preserve"> </w:t>
      </w:r>
      <w:r w:rsidRPr="005669B6">
        <w:rPr>
          <w:rFonts w:cs="Times New Roman"/>
          <w:i/>
          <w:szCs w:val="20"/>
        </w:rPr>
        <w:t>Joint Stipulation and Recommendation</w:t>
      </w:r>
      <w:r w:rsidRPr="005669B6">
        <w:rPr>
          <w:rFonts w:cs="Times New Roman"/>
          <w:szCs w:val="20"/>
        </w:rPr>
        <w:t xml:space="preserve"> was served upon the following parties of record this </w:t>
      </w:r>
      <w:r w:rsidR="00AB5E4B">
        <w:rPr>
          <w:rFonts w:cs="Times New Roman"/>
          <w:szCs w:val="20"/>
        </w:rPr>
        <w:t>10</w:t>
      </w:r>
      <w:r w:rsidR="00AB5E4B" w:rsidRPr="00AB5E4B">
        <w:rPr>
          <w:rFonts w:cs="Times New Roman"/>
          <w:szCs w:val="20"/>
          <w:vertAlign w:val="superscript"/>
        </w:rPr>
        <w:t>th</w:t>
      </w:r>
      <w:r w:rsidR="00AB5E4B">
        <w:rPr>
          <w:rFonts w:cs="Times New Roman"/>
          <w:szCs w:val="20"/>
        </w:rPr>
        <w:t xml:space="preserve"> </w:t>
      </w:r>
      <w:r w:rsidRPr="005669B6">
        <w:rPr>
          <w:rFonts w:cs="Times New Roman"/>
          <w:szCs w:val="20"/>
        </w:rPr>
        <w:t xml:space="preserve">day of </w:t>
      </w:r>
      <w:r w:rsidR="00AB5E4B">
        <w:rPr>
          <w:rFonts w:cs="Times New Roman"/>
          <w:szCs w:val="20"/>
        </w:rPr>
        <w:t>December</w:t>
      </w:r>
      <w:r w:rsidRPr="005669B6">
        <w:rPr>
          <w:rFonts w:cs="Times New Roman"/>
          <w:szCs w:val="20"/>
        </w:rPr>
        <w:t xml:space="preserve">, 2013, </w:t>
      </w:r>
      <w:r w:rsidRPr="005669B6">
        <w:rPr>
          <w:rFonts w:cs="Times New Roman"/>
          <w:i/>
          <w:szCs w:val="20"/>
        </w:rPr>
        <w:t>via</w:t>
      </w:r>
      <w:r w:rsidRPr="005669B6">
        <w:rPr>
          <w:rFonts w:cs="Times New Roman"/>
          <w:szCs w:val="20"/>
        </w:rPr>
        <w:t xml:space="preserve"> electronic transmission, hand-delivery, or ordinary U.S. mail, postage prepaid.</w:t>
      </w:r>
    </w:p>
    <w:p w:rsidR="005669B6" w:rsidRPr="005669B6" w:rsidRDefault="005669B6" w:rsidP="005669B6">
      <w:pPr>
        <w:tabs>
          <w:tab w:val="left" w:pos="-1440"/>
          <w:tab w:val="left" w:pos="-720"/>
          <w:tab w:val="left" w:pos="5040"/>
          <w:tab w:val="center" w:pos="7200"/>
        </w:tabs>
        <w:spacing w:after="0"/>
        <w:jc w:val="both"/>
        <w:rPr>
          <w:rFonts w:cs="Times New Roman"/>
          <w:szCs w:val="20"/>
        </w:rPr>
      </w:pPr>
    </w:p>
    <w:p w:rsidR="005669B6" w:rsidRPr="005669B6" w:rsidRDefault="00AB5E4B" w:rsidP="005669B6">
      <w:pPr>
        <w:tabs>
          <w:tab w:val="right" w:pos="8640"/>
        </w:tabs>
        <w:autoSpaceDE w:val="0"/>
        <w:autoSpaceDN w:val="0"/>
        <w:adjustRightInd w:val="0"/>
        <w:spacing w:after="0"/>
        <w:ind w:left="4320"/>
        <w:jc w:val="both"/>
        <w:rPr>
          <w:rFonts w:cs="Times New Roman"/>
          <w:szCs w:val="20"/>
          <w:u w:val="single"/>
        </w:rPr>
      </w:pPr>
      <w:r>
        <w:rPr>
          <w:rFonts w:cs="Times New Roman"/>
          <w:szCs w:val="20"/>
          <w:u w:val="single"/>
        </w:rPr>
        <w:t>/s/ Scott E. Elisar</w:t>
      </w:r>
      <w:r w:rsidR="005669B6" w:rsidRPr="005669B6">
        <w:rPr>
          <w:rFonts w:cs="Times New Roman"/>
          <w:szCs w:val="20"/>
          <w:u w:val="single"/>
        </w:rPr>
        <w:tab/>
      </w:r>
    </w:p>
    <w:p w:rsidR="005669B6" w:rsidRPr="005669B6" w:rsidRDefault="005669B6" w:rsidP="005669B6">
      <w:pPr>
        <w:tabs>
          <w:tab w:val="left" w:pos="-1440"/>
          <w:tab w:val="left" w:pos="-720"/>
          <w:tab w:val="left" w:pos="4320"/>
          <w:tab w:val="center" w:pos="6480"/>
          <w:tab w:val="right" w:pos="8640"/>
        </w:tabs>
        <w:spacing w:after="0"/>
        <w:jc w:val="both"/>
        <w:rPr>
          <w:rFonts w:cs="Times New Roman"/>
          <w:szCs w:val="20"/>
        </w:rPr>
      </w:pPr>
      <w:r w:rsidRPr="005669B6">
        <w:rPr>
          <w:rFonts w:cs="Times New Roman"/>
          <w:szCs w:val="20"/>
        </w:rPr>
        <w:tab/>
      </w:r>
      <w:r w:rsidRPr="005669B6">
        <w:rPr>
          <w:rFonts w:cs="Times New Roman"/>
          <w:szCs w:val="20"/>
        </w:rPr>
        <w:tab/>
        <w:t>Scott E. Elisar</w:t>
      </w:r>
    </w:p>
    <w:p w:rsidR="005669B6" w:rsidRPr="005669B6" w:rsidRDefault="005669B6" w:rsidP="005669B6">
      <w:pPr>
        <w:tabs>
          <w:tab w:val="left" w:pos="-1440"/>
          <w:tab w:val="left" w:pos="-720"/>
          <w:tab w:val="left" w:pos="5040"/>
          <w:tab w:val="center" w:pos="6750"/>
        </w:tabs>
        <w:spacing w:after="0"/>
        <w:ind w:firstLine="5040"/>
        <w:jc w:val="both"/>
        <w:rPr>
          <w:rFonts w:cs="Times New Roman"/>
          <w:szCs w:val="20"/>
        </w:rPr>
      </w:pPr>
    </w:p>
    <w:p w:rsidR="005669B6" w:rsidRPr="005669B6" w:rsidRDefault="005669B6" w:rsidP="005669B6">
      <w:pPr>
        <w:spacing w:after="0"/>
        <w:rPr>
          <w:rFonts w:cs="Times New Roman"/>
          <w:szCs w:val="20"/>
        </w:rPr>
        <w:sectPr w:rsidR="005669B6" w:rsidRPr="005669B6" w:rsidSect="005C1A30">
          <w:pgSz w:w="12240" w:h="15840"/>
          <w:pgMar w:top="1440" w:right="1440" w:bottom="1440" w:left="1440" w:header="720" w:footer="720" w:gutter="0"/>
          <w:pgNumType w:start="1"/>
          <w:cols w:space="720"/>
          <w:noEndnote/>
          <w:titlePg/>
          <w:docGrid w:linePitch="78"/>
        </w:sectPr>
      </w:pPr>
    </w:p>
    <w:p w:rsidR="005669B6" w:rsidRPr="005669B6" w:rsidRDefault="005669B6" w:rsidP="005669B6">
      <w:pPr>
        <w:spacing w:after="0"/>
        <w:rPr>
          <w:rFonts w:cs="Times New Roman"/>
          <w:szCs w:val="20"/>
        </w:rPr>
      </w:pPr>
    </w:p>
    <w:p w:rsidR="005669B6" w:rsidRPr="005669B6" w:rsidRDefault="005669B6" w:rsidP="005669B6">
      <w:pPr>
        <w:spacing w:after="0"/>
        <w:rPr>
          <w:rFonts w:cs="Times New Roman"/>
          <w:szCs w:val="20"/>
        </w:rPr>
        <w:sectPr w:rsidR="005669B6" w:rsidRPr="005669B6" w:rsidSect="00CC6C53">
          <w:type w:val="continuous"/>
          <w:pgSz w:w="12240" w:h="15840"/>
          <w:pgMar w:top="1440" w:right="1440" w:bottom="1440" w:left="1440" w:header="720" w:footer="720" w:gutter="0"/>
          <w:pgNumType w:start="1"/>
          <w:cols w:space="720"/>
          <w:noEndnote/>
          <w:titlePg/>
          <w:docGrid w:linePitch="78"/>
        </w:sectPr>
      </w:pPr>
    </w:p>
    <w:p w:rsidR="005669B6" w:rsidRPr="005669B6" w:rsidRDefault="005669B6" w:rsidP="005669B6">
      <w:pPr>
        <w:spacing w:after="0"/>
        <w:rPr>
          <w:rFonts w:cs="Times New Roman"/>
          <w:szCs w:val="20"/>
        </w:rPr>
      </w:pPr>
      <w:r w:rsidRPr="005669B6">
        <w:rPr>
          <w:rFonts w:cs="Times New Roman"/>
          <w:szCs w:val="20"/>
        </w:rPr>
        <w:t>James Burk</w:t>
      </w:r>
    </w:p>
    <w:p w:rsidR="005669B6" w:rsidRPr="005669B6" w:rsidRDefault="005669B6" w:rsidP="005669B6">
      <w:pPr>
        <w:spacing w:after="0"/>
        <w:rPr>
          <w:rFonts w:cs="Times New Roman"/>
          <w:szCs w:val="20"/>
        </w:rPr>
      </w:pPr>
      <w:r w:rsidRPr="005669B6">
        <w:rPr>
          <w:rFonts w:cs="Times New Roman"/>
          <w:szCs w:val="20"/>
        </w:rPr>
        <w:t>FirstEnergy Service Company</w:t>
      </w:r>
    </w:p>
    <w:p w:rsidR="005669B6" w:rsidRPr="005669B6" w:rsidRDefault="005669B6" w:rsidP="005669B6">
      <w:pPr>
        <w:spacing w:after="0"/>
        <w:rPr>
          <w:rFonts w:cs="Times New Roman"/>
          <w:szCs w:val="20"/>
        </w:rPr>
      </w:pPr>
      <w:r w:rsidRPr="005669B6">
        <w:rPr>
          <w:rFonts w:cs="Times New Roman"/>
          <w:szCs w:val="20"/>
        </w:rPr>
        <w:t>76 S. Main Street</w:t>
      </w:r>
    </w:p>
    <w:p w:rsidR="005669B6" w:rsidRPr="005669B6" w:rsidRDefault="005669B6" w:rsidP="005669B6">
      <w:pPr>
        <w:spacing w:after="0"/>
        <w:rPr>
          <w:rFonts w:cs="Times New Roman"/>
          <w:szCs w:val="20"/>
        </w:rPr>
      </w:pPr>
      <w:r w:rsidRPr="005669B6">
        <w:rPr>
          <w:rFonts w:cs="Times New Roman"/>
          <w:szCs w:val="20"/>
        </w:rPr>
        <w:t>Akron, OH  44308</w:t>
      </w:r>
    </w:p>
    <w:p w:rsidR="005669B6" w:rsidRPr="005669B6" w:rsidRDefault="005669B6" w:rsidP="005669B6">
      <w:pPr>
        <w:spacing w:after="0"/>
        <w:rPr>
          <w:color w:val="000000"/>
        </w:rPr>
      </w:pPr>
      <w:r w:rsidRPr="005669B6">
        <w:rPr>
          <w:color w:val="000000"/>
        </w:rPr>
        <w:t>burkj@firstenergycorp.com</w:t>
      </w:r>
    </w:p>
    <w:p w:rsidR="005669B6" w:rsidRPr="005669B6" w:rsidRDefault="005669B6" w:rsidP="005669B6">
      <w:pPr>
        <w:spacing w:after="0"/>
        <w:rPr>
          <w:rFonts w:cs="Times New Roman"/>
          <w:szCs w:val="20"/>
        </w:rPr>
      </w:pPr>
    </w:p>
    <w:p w:rsidR="005669B6" w:rsidRPr="005669B6" w:rsidRDefault="005669B6" w:rsidP="005669B6">
      <w:pPr>
        <w:spacing w:after="0"/>
        <w:rPr>
          <w:rFonts w:ascii="Arial Bold" w:hAnsi="Arial Bold" w:cs="Times New Roman"/>
          <w:b/>
          <w:smallCaps/>
          <w:szCs w:val="20"/>
        </w:rPr>
      </w:pPr>
      <w:r w:rsidRPr="005669B6">
        <w:rPr>
          <w:rFonts w:ascii="Arial Bold" w:hAnsi="Arial Bold" w:cs="Times New Roman"/>
          <w:b/>
          <w:smallCaps/>
          <w:szCs w:val="20"/>
        </w:rPr>
        <w:t>On Behalf of The Cleveland Electric</w:t>
      </w:r>
    </w:p>
    <w:p w:rsidR="005669B6" w:rsidRPr="005669B6" w:rsidRDefault="005669B6" w:rsidP="005669B6">
      <w:pPr>
        <w:spacing w:after="0"/>
        <w:rPr>
          <w:rFonts w:ascii="Arial Bold" w:hAnsi="Arial Bold" w:cs="Times New Roman"/>
          <w:b/>
          <w:smallCaps/>
          <w:szCs w:val="20"/>
        </w:rPr>
      </w:pPr>
      <w:r w:rsidRPr="005669B6">
        <w:rPr>
          <w:rFonts w:ascii="Arial Bold" w:hAnsi="Arial Bold" w:cs="Times New Roman"/>
          <w:b/>
          <w:smallCaps/>
          <w:szCs w:val="20"/>
        </w:rPr>
        <w:t>Illuminating Company</w:t>
      </w:r>
    </w:p>
    <w:p w:rsidR="005669B6" w:rsidRPr="005669B6" w:rsidRDefault="005669B6" w:rsidP="005669B6">
      <w:pPr>
        <w:spacing w:after="0"/>
        <w:rPr>
          <w:rFonts w:cs="Times New Roman"/>
          <w:szCs w:val="20"/>
        </w:rPr>
      </w:pPr>
    </w:p>
    <w:p w:rsidR="005669B6" w:rsidRPr="005669B6" w:rsidRDefault="005669B6" w:rsidP="005669B6">
      <w:pPr>
        <w:spacing w:after="0"/>
        <w:rPr>
          <w:rFonts w:cs="Times New Roman"/>
          <w:szCs w:val="20"/>
        </w:rPr>
      </w:pPr>
    </w:p>
    <w:p w:rsidR="005669B6" w:rsidRPr="005669B6" w:rsidRDefault="005669B6" w:rsidP="005669B6">
      <w:pPr>
        <w:spacing w:after="0"/>
        <w:rPr>
          <w:rFonts w:cs="Times New Roman"/>
          <w:szCs w:val="20"/>
          <w:lang w:val="de-DE"/>
        </w:rPr>
      </w:pPr>
      <w:r w:rsidRPr="005669B6">
        <w:rPr>
          <w:rFonts w:cs="Times New Roman"/>
          <w:szCs w:val="20"/>
          <w:lang w:val="de-DE"/>
        </w:rPr>
        <w:t>William Wright, Section Chief</w:t>
      </w:r>
    </w:p>
    <w:p w:rsidR="005669B6" w:rsidRPr="005669B6" w:rsidRDefault="005669B6" w:rsidP="005669B6">
      <w:pPr>
        <w:spacing w:after="0"/>
        <w:rPr>
          <w:rFonts w:cs="Times New Roman"/>
          <w:szCs w:val="20"/>
          <w:lang w:val="de-DE"/>
        </w:rPr>
      </w:pPr>
      <w:r w:rsidRPr="005669B6">
        <w:rPr>
          <w:rFonts w:cs="Times New Roman"/>
          <w:szCs w:val="20"/>
          <w:lang w:val="de-DE"/>
        </w:rPr>
        <w:t>Thomas W. McNamee</w:t>
      </w:r>
    </w:p>
    <w:p w:rsidR="005669B6" w:rsidRPr="005669B6" w:rsidRDefault="005669B6" w:rsidP="005669B6">
      <w:pPr>
        <w:spacing w:after="0"/>
        <w:rPr>
          <w:rFonts w:cs="Times New Roman"/>
          <w:szCs w:val="20"/>
          <w:lang w:val="de-DE"/>
        </w:rPr>
      </w:pPr>
      <w:r w:rsidRPr="005669B6">
        <w:rPr>
          <w:rFonts w:cs="Times New Roman"/>
          <w:szCs w:val="20"/>
          <w:lang w:val="de-DE"/>
        </w:rPr>
        <w:t>Assistant Attorneys General</w:t>
      </w:r>
    </w:p>
    <w:p w:rsidR="005669B6" w:rsidRPr="005669B6" w:rsidRDefault="005669B6" w:rsidP="005669B6">
      <w:pPr>
        <w:spacing w:after="0"/>
        <w:rPr>
          <w:rFonts w:cs="Times New Roman"/>
          <w:szCs w:val="20"/>
        </w:rPr>
      </w:pPr>
      <w:r w:rsidRPr="005669B6">
        <w:rPr>
          <w:rFonts w:cs="Times New Roman"/>
          <w:szCs w:val="20"/>
        </w:rPr>
        <w:t>Public Utilities Commission of Ohio</w:t>
      </w:r>
    </w:p>
    <w:p w:rsidR="005669B6" w:rsidRPr="005669B6" w:rsidRDefault="005669B6" w:rsidP="005669B6">
      <w:pPr>
        <w:spacing w:after="0"/>
        <w:rPr>
          <w:rFonts w:cs="Times New Roman"/>
          <w:szCs w:val="20"/>
        </w:rPr>
      </w:pPr>
      <w:r w:rsidRPr="005669B6">
        <w:rPr>
          <w:rFonts w:cs="Times New Roman"/>
          <w:szCs w:val="20"/>
        </w:rPr>
        <w:t>180 East Broad Street, 6</w:t>
      </w:r>
      <w:r w:rsidRPr="005669B6">
        <w:rPr>
          <w:rFonts w:cs="Times New Roman"/>
          <w:szCs w:val="20"/>
          <w:vertAlign w:val="superscript"/>
        </w:rPr>
        <w:t>th</w:t>
      </w:r>
      <w:r w:rsidRPr="005669B6">
        <w:rPr>
          <w:rFonts w:cs="Times New Roman"/>
          <w:szCs w:val="20"/>
        </w:rPr>
        <w:t xml:space="preserve"> Floor</w:t>
      </w:r>
    </w:p>
    <w:p w:rsidR="005669B6" w:rsidRPr="005669B6" w:rsidRDefault="005669B6" w:rsidP="005669B6">
      <w:pPr>
        <w:spacing w:after="0"/>
        <w:rPr>
          <w:rFonts w:cs="Times New Roman"/>
          <w:szCs w:val="20"/>
        </w:rPr>
      </w:pPr>
      <w:r w:rsidRPr="005669B6">
        <w:rPr>
          <w:rFonts w:cs="Times New Roman"/>
          <w:szCs w:val="20"/>
        </w:rPr>
        <w:t>Columbus, OH  43215</w:t>
      </w:r>
    </w:p>
    <w:p w:rsidR="005669B6" w:rsidRPr="005669B6" w:rsidRDefault="005669B6" w:rsidP="005669B6">
      <w:pPr>
        <w:spacing w:after="0"/>
        <w:jc w:val="both"/>
        <w:rPr>
          <w:rFonts w:eastAsia="Calibri"/>
          <w:color w:val="000000"/>
        </w:rPr>
      </w:pPr>
      <w:r w:rsidRPr="005669B6">
        <w:rPr>
          <w:rFonts w:eastAsia="Calibri"/>
        </w:rPr>
        <w:t>thomas.mcnamee@puc.state.oh.us</w:t>
      </w:r>
    </w:p>
    <w:p w:rsidR="005669B6" w:rsidRPr="005669B6" w:rsidRDefault="005669B6" w:rsidP="005669B6">
      <w:pPr>
        <w:spacing w:after="0"/>
        <w:jc w:val="both"/>
        <w:rPr>
          <w:rFonts w:eastAsia="Calibri"/>
          <w:color w:val="000000"/>
        </w:rPr>
      </w:pPr>
      <w:r w:rsidRPr="005669B6">
        <w:rPr>
          <w:rFonts w:eastAsia="Calibri"/>
          <w:color w:val="000000"/>
        </w:rPr>
        <w:t>william.wright@puc.state.oh.us</w:t>
      </w:r>
    </w:p>
    <w:p w:rsidR="005669B6" w:rsidRPr="005669B6" w:rsidRDefault="005669B6" w:rsidP="005669B6">
      <w:pPr>
        <w:spacing w:after="0"/>
        <w:rPr>
          <w:rFonts w:cs="Times New Roman"/>
          <w:szCs w:val="20"/>
        </w:rPr>
      </w:pPr>
    </w:p>
    <w:p w:rsidR="005669B6" w:rsidRPr="005669B6" w:rsidRDefault="005669B6" w:rsidP="005669B6">
      <w:pPr>
        <w:spacing w:after="0"/>
        <w:rPr>
          <w:rFonts w:ascii="Arial Bold" w:hAnsi="Arial Bold" w:cs="Times New Roman"/>
          <w:b/>
          <w:smallCaps/>
          <w:szCs w:val="20"/>
        </w:rPr>
      </w:pPr>
      <w:r w:rsidRPr="005669B6">
        <w:rPr>
          <w:rFonts w:ascii="Arial Bold" w:hAnsi="Arial Bold" w:cs="Times New Roman"/>
          <w:b/>
          <w:smallCaps/>
          <w:szCs w:val="20"/>
        </w:rPr>
        <w:t>On Behalf of the Staff of the Public</w:t>
      </w:r>
    </w:p>
    <w:p w:rsidR="005669B6" w:rsidRPr="005669B6" w:rsidRDefault="005669B6" w:rsidP="005669B6">
      <w:pPr>
        <w:spacing w:after="0"/>
        <w:rPr>
          <w:rFonts w:ascii="Arial Bold" w:hAnsi="Arial Bold" w:cs="Times New Roman"/>
          <w:b/>
          <w:smallCaps/>
          <w:szCs w:val="20"/>
        </w:rPr>
      </w:pPr>
      <w:r w:rsidRPr="005669B6">
        <w:rPr>
          <w:rFonts w:ascii="Arial Bold" w:hAnsi="Arial Bold" w:cs="Times New Roman"/>
          <w:b/>
          <w:smallCaps/>
          <w:szCs w:val="20"/>
        </w:rPr>
        <w:t>Utilities Commission of Ohio</w:t>
      </w:r>
    </w:p>
    <w:bookmarkEnd w:id="1"/>
    <w:bookmarkEnd w:id="2"/>
    <w:p w:rsidR="005669B6" w:rsidRPr="005669B6" w:rsidRDefault="005669B6" w:rsidP="005669B6">
      <w:pPr>
        <w:spacing w:after="0"/>
        <w:rPr>
          <w:smallCaps/>
          <w:color w:val="000000"/>
        </w:rPr>
      </w:pPr>
    </w:p>
    <w:p w:rsidR="005669B6" w:rsidRPr="005669B6" w:rsidRDefault="005669B6" w:rsidP="005669B6">
      <w:pPr>
        <w:spacing w:after="0"/>
        <w:jc w:val="both"/>
        <w:rPr>
          <w:rFonts w:eastAsia="Calibri"/>
          <w:color w:val="000000"/>
        </w:rPr>
      </w:pPr>
    </w:p>
    <w:p w:rsidR="005669B6" w:rsidRPr="005669B6" w:rsidRDefault="005669B6" w:rsidP="005669B6">
      <w:pPr>
        <w:spacing w:after="0"/>
        <w:jc w:val="both"/>
        <w:rPr>
          <w:rFonts w:eastAsia="Calibri"/>
          <w:color w:val="000000"/>
        </w:rPr>
      </w:pPr>
      <w:r w:rsidRPr="005669B6">
        <w:rPr>
          <w:rFonts w:eastAsia="Calibri"/>
          <w:color w:val="000000"/>
        </w:rPr>
        <w:br w:type="column"/>
        <w:t>David F. Boehm</w:t>
      </w:r>
    </w:p>
    <w:p w:rsidR="005669B6" w:rsidRPr="005669B6" w:rsidRDefault="005669B6" w:rsidP="005669B6">
      <w:pPr>
        <w:spacing w:after="0"/>
        <w:jc w:val="both"/>
        <w:rPr>
          <w:rFonts w:eastAsia="Calibri"/>
          <w:color w:val="000000"/>
        </w:rPr>
      </w:pPr>
      <w:r w:rsidRPr="005669B6">
        <w:rPr>
          <w:rFonts w:eastAsia="Calibri"/>
          <w:color w:val="000000"/>
        </w:rPr>
        <w:t>Michael L. Kurtz</w:t>
      </w:r>
    </w:p>
    <w:p w:rsidR="005669B6" w:rsidRPr="005669B6" w:rsidRDefault="005669B6" w:rsidP="005669B6">
      <w:pPr>
        <w:spacing w:after="0"/>
        <w:jc w:val="both"/>
        <w:rPr>
          <w:rFonts w:eastAsia="Calibri"/>
          <w:color w:val="000000"/>
        </w:rPr>
      </w:pPr>
      <w:r w:rsidRPr="005669B6">
        <w:rPr>
          <w:rFonts w:eastAsia="Calibri"/>
          <w:color w:val="000000"/>
        </w:rPr>
        <w:t>Jody Kyler Cohn</w:t>
      </w:r>
    </w:p>
    <w:p w:rsidR="005669B6" w:rsidRPr="005669B6" w:rsidRDefault="005669B6" w:rsidP="005669B6">
      <w:pPr>
        <w:spacing w:after="0"/>
        <w:jc w:val="both"/>
        <w:rPr>
          <w:rFonts w:eastAsia="Calibri"/>
          <w:color w:val="000000"/>
        </w:rPr>
      </w:pPr>
      <w:r w:rsidRPr="005669B6">
        <w:rPr>
          <w:rFonts w:eastAsia="Calibri"/>
          <w:color w:val="000000"/>
        </w:rPr>
        <w:t>Boehm, Kurtz &amp; Lowry</w:t>
      </w:r>
    </w:p>
    <w:p w:rsidR="005669B6" w:rsidRPr="005669B6" w:rsidRDefault="005669B6" w:rsidP="005669B6">
      <w:pPr>
        <w:spacing w:after="0"/>
        <w:jc w:val="both"/>
        <w:rPr>
          <w:rFonts w:eastAsia="Calibri"/>
          <w:color w:val="000000"/>
        </w:rPr>
      </w:pPr>
      <w:r w:rsidRPr="005669B6">
        <w:rPr>
          <w:rFonts w:eastAsia="Calibri"/>
          <w:color w:val="000000"/>
        </w:rPr>
        <w:t>36 East Seventh Street, Suite 1510</w:t>
      </w:r>
    </w:p>
    <w:p w:rsidR="005669B6" w:rsidRPr="005669B6" w:rsidRDefault="005669B6" w:rsidP="005669B6">
      <w:pPr>
        <w:spacing w:after="0"/>
        <w:jc w:val="both"/>
        <w:rPr>
          <w:rFonts w:eastAsia="Calibri"/>
          <w:color w:val="000000"/>
        </w:rPr>
      </w:pPr>
      <w:r w:rsidRPr="005669B6">
        <w:rPr>
          <w:rFonts w:eastAsia="Calibri"/>
          <w:color w:val="000000"/>
        </w:rPr>
        <w:t>Cincinnati, OH  45202</w:t>
      </w:r>
    </w:p>
    <w:p w:rsidR="005669B6" w:rsidRPr="005669B6" w:rsidRDefault="005669B6" w:rsidP="005669B6">
      <w:pPr>
        <w:spacing w:after="0"/>
        <w:jc w:val="both"/>
        <w:rPr>
          <w:rFonts w:eastAsia="Calibri"/>
          <w:color w:val="000000"/>
        </w:rPr>
      </w:pPr>
      <w:r w:rsidRPr="005669B6">
        <w:rPr>
          <w:rFonts w:eastAsia="Calibri"/>
        </w:rPr>
        <w:t>dboehm@BKLlawfirm.com</w:t>
      </w:r>
    </w:p>
    <w:p w:rsidR="005669B6" w:rsidRPr="005669B6" w:rsidRDefault="005669B6" w:rsidP="005669B6">
      <w:pPr>
        <w:spacing w:after="0"/>
        <w:jc w:val="both"/>
        <w:rPr>
          <w:rFonts w:eastAsia="Calibri"/>
          <w:color w:val="000000"/>
        </w:rPr>
      </w:pPr>
      <w:r w:rsidRPr="005669B6">
        <w:rPr>
          <w:rFonts w:eastAsia="Calibri"/>
        </w:rPr>
        <w:t>mkurtz@BKLlawfirm.com</w:t>
      </w:r>
    </w:p>
    <w:p w:rsidR="005669B6" w:rsidRPr="005669B6" w:rsidRDefault="005669B6" w:rsidP="005669B6">
      <w:pPr>
        <w:spacing w:after="0"/>
        <w:jc w:val="both"/>
        <w:rPr>
          <w:rFonts w:eastAsia="Calibri"/>
          <w:color w:val="000000"/>
        </w:rPr>
      </w:pPr>
      <w:r w:rsidRPr="005669B6">
        <w:rPr>
          <w:rFonts w:eastAsia="Calibri"/>
          <w:color w:val="000000"/>
        </w:rPr>
        <w:t>jkylercohn@BKLlawfirm.com</w:t>
      </w:r>
    </w:p>
    <w:p w:rsidR="005669B6" w:rsidRPr="005669B6" w:rsidRDefault="005669B6" w:rsidP="005669B6">
      <w:pPr>
        <w:spacing w:after="0"/>
        <w:jc w:val="both"/>
        <w:rPr>
          <w:rFonts w:eastAsia="Calibri"/>
          <w:color w:val="000000"/>
        </w:rPr>
      </w:pPr>
    </w:p>
    <w:p w:rsidR="005669B6" w:rsidRPr="005669B6" w:rsidRDefault="005669B6" w:rsidP="005669B6">
      <w:pPr>
        <w:tabs>
          <w:tab w:val="right" w:pos="8640"/>
        </w:tabs>
        <w:spacing w:after="0"/>
        <w:rPr>
          <w:rFonts w:eastAsia="Calibri"/>
          <w:b/>
          <w:smallCaps/>
          <w:color w:val="000000"/>
        </w:rPr>
      </w:pPr>
      <w:r w:rsidRPr="005669B6">
        <w:rPr>
          <w:rFonts w:eastAsia="Calibri"/>
          <w:b/>
          <w:smallCaps/>
          <w:color w:val="000000"/>
        </w:rPr>
        <w:t>Counsel for Ohio Energy Group</w:t>
      </w:r>
    </w:p>
    <w:p w:rsidR="005669B6" w:rsidRPr="005669B6" w:rsidRDefault="005669B6" w:rsidP="005669B6">
      <w:pPr>
        <w:spacing w:after="0"/>
        <w:rPr>
          <w:rFonts w:eastAsia="Calibri"/>
          <w:color w:val="000000"/>
        </w:rPr>
      </w:pPr>
    </w:p>
    <w:p w:rsidR="005669B6" w:rsidRPr="005669B6" w:rsidRDefault="005669B6" w:rsidP="005669B6">
      <w:pPr>
        <w:spacing w:after="0"/>
        <w:rPr>
          <w:rFonts w:eastAsia="Calibri"/>
          <w:color w:val="000000"/>
        </w:rPr>
      </w:pPr>
    </w:p>
    <w:p w:rsidR="005669B6" w:rsidRDefault="005669B6" w:rsidP="005669B6">
      <w:pPr>
        <w:autoSpaceDE w:val="0"/>
        <w:autoSpaceDN w:val="0"/>
        <w:adjustRightInd w:val="0"/>
        <w:spacing w:after="0"/>
        <w:rPr>
          <w:rFonts w:eastAsia="Calibri"/>
          <w:color w:val="000000"/>
        </w:rPr>
      </w:pPr>
      <w:r w:rsidRPr="005669B6">
        <w:rPr>
          <w:rFonts w:eastAsia="Calibri"/>
          <w:color w:val="000000"/>
        </w:rPr>
        <w:t>Mandy Chiles</w:t>
      </w:r>
    </w:p>
    <w:p w:rsidR="00521CA0" w:rsidRDefault="00521CA0" w:rsidP="005669B6">
      <w:pPr>
        <w:autoSpaceDE w:val="0"/>
        <w:autoSpaceDN w:val="0"/>
        <w:adjustRightInd w:val="0"/>
        <w:spacing w:after="0"/>
        <w:rPr>
          <w:rFonts w:eastAsia="Calibri"/>
          <w:color w:val="000000"/>
        </w:rPr>
      </w:pPr>
      <w:r>
        <w:rPr>
          <w:rFonts w:eastAsia="Calibri"/>
          <w:color w:val="000000"/>
        </w:rPr>
        <w:t>Greg Price</w:t>
      </w:r>
    </w:p>
    <w:p w:rsidR="005669B6" w:rsidRPr="005669B6" w:rsidRDefault="005669B6" w:rsidP="005669B6">
      <w:pPr>
        <w:autoSpaceDE w:val="0"/>
        <w:autoSpaceDN w:val="0"/>
        <w:adjustRightInd w:val="0"/>
        <w:spacing w:after="0"/>
        <w:rPr>
          <w:rFonts w:eastAsia="Calibri"/>
          <w:color w:val="000000"/>
        </w:rPr>
      </w:pPr>
      <w:r w:rsidRPr="005669B6">
        <w:rPr>
          <w:rFonts w:eastAsia="Calibri"/>
          <w:color w:val="000000"/>
        </w:rPr>
        <w:t>Public Utilities Commission of Ohio</w:t>
      </w:r>
    </w:p>
    <w:p w:rsidR="005669B6" w:rsidRPr="005669B6" w:rsidRDefault="005669B6" w:rsidP="005669B6">
      <w:pPr>
        <w:autoSpaceDE w:val="0"/>
        <w:autoSpaceDN w:val="0"/>
        <w:adjustRightInd w:val="0"/>
        <w:spacing w:after="0"/>
        <w:rPr>
          <w:rFonts w:eastAsia="Calibri"/>
          <w:color w:val="000000"/>
        </w:rPr>
      </w:pPr>
      <w:r w:rsidRPr="005669B6">
        <w:rPr>
          <w:rFonts w:eastAsia="Calibri"/>
          <w:color w:val="000000"/>
        </w:rPr>
        <w:t>180 East Broad Street, 12th Floor</w:t>
      </w:r>
    </w:p>
    <w:p w:rsidR="005669B6" w:rsidRPr="005669B6" w:rsidRDefault="005669B6" w:rsidP="005669B6">
      <w:pPr>
        <w:autoSpaceDE w:val="0"/>
        <w:autoSpaceDN w:val="0"/>
        <w:adjustRightInd w:val="0"/>
        <w:spacing w:after="0"/>
        <w:rPr>
          <w:rFonts w:eastAsia="Calibri"/>
          <w:color w:val="000000"/>
        </w:rPr>
      </w:pPr>
      <w:r w:rsidRPr="005669B6">
        <w:rPr>
          <w:rFonts w:eastAsia="Calibri"/>
          <w:color w:val="000000"/>
        </w:rPr>
        <w:t>Columbus, OH  43215</w:t>
      </w:r>
    </w:p>
    <w:p w:rsidR="005669B6" w:rsidRPr="005669B6" w:rsidRDefault="005669B6" w:rsidP="005669B6">
      <w:pPr>
        <w:tabs>
          <w:tab w:val="right" w:pos="8640"/>
        </w:tabs>
        <w:spacing w:after="0"/>
        <w:rPr>
          <w:rFonts w:eastAsia="Calibri"/>
          <w:b/>
          <w:color w:val="000000"/>
        </w:rPr>
      </w:pPr>
      <w:r w:rsidRPr="005669B6">
        <w:t>mandy.chiles@puc.state.oh.us</w:t>
      </w:r>
    </w:p>
    <w:p w:rsidR="002D7097" w:rsidRPr="005669B6" w:rsidRDefault="002D7097" w:rsidP="002D7097">
      <w:pPr>
        <w:tabs>
          <w:tab w:val="right" w:pos="8640"/>
        </w:tabs>
        <w:spacing w:after="0"/>
        <w:rPr>
          <w:rFonts w:eastAsia="Calibri"/>
          <w:b/>
          <w:color w:val="000000"/>
        </w:rPr>
      </w:pPr>
      <w:r>
        <w:t>greg.price</w:t>
      </w:r>
      <w:r w:rsidRPr="005669B6">
        <w:t>@puc.state.oh.us</w:t>
      </w:r>
    </w:p>
    <w:p w:rsidR="002D7097" w:rsidRPr="005669B6" w:rsidRDefault="002D7097" w:rsidP="005669B6">
      <w:pPr>
        <w:tabs>
          <w:tab w:val="right" w:pos="8640"/>
        </w:tabs>
        <w:spacing w:after="0"/>
        <w:rPr>
          <w:rFonts w:eastAsia="Calibri"/>
          <w:smallCaps/>
          <w:color w:val="000000"/>
        </w:rPr>
      </w:pPr>
    </w:p>
    <w:p w:rsidR="005669B6" w:rsidRPr="005669B6" w:rsidRDefault="005669B6" w:rsidP="005669B6">
      <w:pPr>
        <w:tabs>
          <w:tab w:val="right" w:pos="8640"/>
        </w:tabs>
        <w:spacing w:after="0"/>
        <w:rPr>
          <w:rFonts w:eastAsia="Calibri"/>
          <w:b/>
          <w:smallCaps/>
          <w:color w:val="000000"/>
        </w:rPr>
      </w:pPr>
      <w:r w:rsidRPr="005669B6">
        <w:rPr>
          <w:rFonts w:eastAsia="Calibri"/>
          <w:b/>
          <w:smallCaps/>
          <w:color w:val="000000"/>
        </w:rPr>
        <w:t>Attorney Examiner</w:t>
      </w:r>
    </w:p>
    <w:p w:rsidR="005669B6" w:rsidRPr="005669B6" w:rsidRDefault="005669B6" w:rsidP="005669B6">
      <w:pPr>
        <w:spacing w:after="0"/>
        <w:rPr>
          <w:rFonts w:cs="Times New Roman"/>
          <w:b/>
          <w:szCs w:val="20"/>
        </w:rPr>
      </w:pPr>
    </w:p>
    <w:p w:rsidR="008A2726" w:rsidRPr="005C58FC" w:rsidRDefault="008A2726" w:rsidP="003D68A4">
      <w:pPr>
        <w:spacing w:after="0"/>
        <w:jc w:val="both"/>
        <w:rPr>
          <w:b/>
        </w:rPr>
      </w:pPr>
    </w:p>
    <w:sectPr w:rsidR="008A2726" w:rsidRPr="005C58FC" w:rsidSect="00CC6C53">
      <w:type w:val="continuous"/>
      <w:pgSz w:w="12240" w:h="15840"/>
      <w:pgMar w:top="1440" w:right="1440" w:bottom="1440"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097" w:rsidRDefault="00AE5097" w:rsidP="00C55E61">
      <w:r>
        <w:separator/>
      </w:r>
    </w:p>
  </w:endnote>
  <w:endnote w:type="continuationSeparator" w:id="0">
    <w:p w:rsidR="00AE5097" w:rsidRDefault="00AE5097" w:rsidP="00C5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7A" w:rsidRDefault="00AD5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7" w:rsidRPr="00AF37A1" w:rsidRDefault="00AE5097" w:rsidP="00C128BD">
    <w:pPr>
      <w:pStyle w:val="Footer"/>
      <w:tabs>
        <w:tab w:val="left" w:pos="4530"/>
      </w:tabs>
    </w:pPr>
    <w:r w:rsidRPr="00AE5097">
      <w:rPr>
        <w:noProof/>
        <w:sz w:val="16"/>
      </w:rPr>
      <w:t>{C42286: }</w:t>
    </w:r>
    <w:r w:rsidR="00B21617">
      <w:rPr>
        <w:noProof/>
        <w:sz w:val="16"/>
      </w:rPr>
      <w:tab/>
    </w:r>
    <w:r w:rsidR="00B21617" w:rsidRPr="00C128BD">
      <w:rPr>
        <w:noProof/>
      </w:rPr>
      <w:fldChar w:fldCharType="begin"/>
    </w:r>
    <w:r w:rsidR="00B21617" w:rsidRPr="00C128BD">
      <w:rPr>
        <w:noProof/>
      </w:rPr>
      <w:instrText xml:space="preserve"> PAGE   \* MERGEFORMAT </w:instrText>
    </w:r>
    <w:r w:rsidR="00B21617" w:rsidRPr="00C128BD">
      <w:rPr>
        <w:noProof/>
      </w:rPr>
      <w:fldChar w:fldCharType="separate"/>
    </w:r>
    <w:r w:rsidR="005D5546">
      <w:rPr>
        <w:noProof/>
      </w:rPr>
      <w:t>13</w:t>
    </w:r>
    <w:r w:rsidR="00B21617" w:rsidRPr="00C128B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617" w:rsidRPr="00C55E61" w:rsidRDefault="00AE5097">
    <w:pPr>
      <w:pStyle w:val="Footer"/>
    </w:pPr>
    <w:r w:rsidRPr="00AE5097">
      <w:rPr>
        <w:noProof/>
        <w:sz w:val="16"/>
      </w:rPr>
      <w:t>{C42286: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097" w:rsidRDefault="00AE5097" w:rsidP="00C55E61">
      <w:pPr>
        <w:rPr>
          <w:noProof/>
        </w:rPr>
      </w:pPr>
      <w:r>
        <w:rPr>
          <w:noProof/>
        </w:rPr>
        <w:separator/>
      </w:r>
    </w:p>
  </w:footnote>
  <w:footnote w:type="continuationSeparator" w:id="0">
    <w:p w:rsidR="00AE5097" w:rsidRDefault="00AE5097" w:rsidP="00C55E61">
      <w:r>
        <w:continuationSeparator/>
      </w:r>
    </w:p>
  </w:footnote>
  <w:footnote w:id="1">
    <w:p w:rsidR="00B21617" w:rsidRDefault="00B21617" w:rsidP="00E8052E">
      <w:pPr>
        <w:pStyle w:val="FootnoteText"/>
        <w:spacing w:after="0"/>
        <w:jc w:val="both"/>
      </w:pPr>
      <w:r>
        <w:rPr>
          <w:rStyle w:val="FootnoteReference"/>
        </w:rPr>
        <w:footnoteRef/>
      </w:r>
      <w:r>
        <w:t xml:space="preserve"> The reports shall identify cons</w:t>
      </w:r>
      <w:r w:rsidR="00E8052E">
        <w:t>truction expenditures, number of</w:t>
      </w:r>
      <w:r>
        <w:t xml:space="preserve"> construction employees and the pace of the construction effort relative to the transformation plan.  The reports shall also identify developments that may substantially alter the timing of the completion of the transformation.  </w:t>
      </w:r>
      <w:r w:rsidRPr="00861236">
        <w:t>ASHTA shall make such reports available to the Commission Staff</w:t>
      </w:r>
      <w:r w:rsidR="00274E0B">
        <w:t xml:space="preserve"> and Staff consultants</w:t>
      </w:r>
      <w:r w:rsidRPr="00861236">
        <w:t xml:space="preserve"> provided that any and all information in such reports shall be deemed information acquired by the Staff </w:t>
      </w:r>
      <w:r w:rsidR="00274E0B">
        <w:t xml:space="preserve">and Staff consultants </w:t>
      </w:r>
      <w:r w:rsidRPr="00861236">
        <w:t>acting as agent for the Commission and shall not, in accordance with Section 4901.16, Revised Code, be divulged or otherwise made available to the public.  The Parties recommend that the Commission find that this limitation on disclosure of information provided by ASHTA in such reports is adopted with the approval of the reasonable arrangement recommended herein without further need for ASHTA or any other party to seek approval of such limitation.</w:t>
      </w:r>
    </w:p>
    <w:p w:rsidR="00E8052E" w:rsidRDefault="00E8052E" w:rsidP="00E8052E">
      <w:pPr>
        <w:pStyle w:val="FootnoteText"/>
        <w:spacing w:after="0"/>
        <w:jc w:val="both"/>
      </w:pPr>
    </w:p>
  </w:footnote>
  <w:footnote w:id="2">
    <w:p w:rsidR="00B21617" w:rsidRDefault="00B21617" w:rsidP="00E8052E">
      <w:pPr>
        <w:pStyle w:val="FootnoteText"/>
        <w:spacing w:after="0"/>
        <w:jc w:val="both"/>
      </w:pPr>
      <w:r>
        <w:rPr>
          <w:rStyle w:val="FootnoteReference"/>
        </w:rPr>
        <w:footnoteRef/>
      </w:r>
      <w:r>
        <w:t xml:space="preserve"> The recommended compliance counting contained herein is designed to </w:t>
      </w:r>
      <w:r w:rsidRPr="00583B5A">
        <w:t xml:space="preserve">facilitate CEI’s compliance with </w:t>
      </w:r>
      <w:r>
        <w:t xml:space="preserve">the obligations in Section 4928.66, Revised Code, </w:t>
      </w:r>
      <w:r w:rsidRPr="00583B5A">
        <w:t xml:space="preserve">and to reduce the </w:t>
      </w:r>
      <w:r>
        <w:t xml:space="preserve">total </w:t>
      </w:r>
      <w:r w:rsidRPr="00583B5A">
        <w:t xml:space="preserve">cost of compliance otherwise recoverable by CEI through </w:t>
      </w:r>
      <w:r>
        <w:t>Rider</w:t>
      </w:r>
      <w:r w:rsidRPr="00583B5A">
        <w:t xml:space="preserve"> DSE2 and successors.</w:t>
      </w:r>
    </w:p>
    <w:p w:rsidR="00E8052E" w:rsidRDefault="00E8052E" w:rsidP="00E8052E">
      <w:pPr>
        <w:pStyle w:val="FootnoteText"/>
        <w:spacing w:after="0"/>
        <w:jc w:val="both"/>
      </w:pPr>
    </w:p>
  </w:footnote>
  <w:footnote w:id="3">
    <w:p w:rsidR="00B21617" w:rsidRDefault="00B21617" w:rsidP="00E8052E">
      <w:pPr>
        <w:pStyle w:val="FootnoteText"/>
        <w:spacing w:after="0"/>
        <w:jc w:val="both"/>
      </w:pPr>
      <w:r>
        <w:rPr>
          <w:rStyle w:val="FootnoteReference"/>
        </w:rPr>
        <w:footnoteRef/>
      </w:r>
      <w:r>
        <w:t xml:space="preserve"> ASHTA’s PDR customer-sited capability which CEI shall be permitted to count for compliance purposes shall equal ASHTA’s 2012/2013 PLC minus subsequent </w:t>
      </w:r>
      <w:r w:rsidR="0017153D">
        <w:t xml:space="preserve">delivery </w:t>
      </w:r>
      <w:r>
        <w:t>year PLC</w:t>
      </w:r>
      <w:r w:rsidR="00431777">
        <w:t xml:space="preserve"> minus any “add-</w:t>
      </w:r>
      <w:r w:rsidR="00E8052E">
        <w:t>back” quantity</w:t>
      </w:r>
      <w:r>
        <w:t>.</w:t>
      </w:r>
    </w:p>
    <w:p w:rsidR="00E8052E" w:rsidRDefault="00E8052E" w:rsidP="00E8052E">
      <w:pPr>
        <w:pStyle w:val="FootnoteText"/>
        <w:spacing w:after="0"/>
        <w:jc w:val="both"/>
      </w:pPr>
    </w:p>
  </w:footnote>
  <w:footnote w:id="4">
    <w:p w:rsidR="00B21617" w:rsidRDefault="00B21617" w:rsidP="00E8052E">
      <w:pPr>
        <w:pStyle w:val="FootnoteText"/>
        <w:spacing w:after="0"/>
        <w:jc w:val="both"/>
      </w:pPr>
      <w:r>
        <w:rPr>
          <w:rStyle w:val="FootnoteReference"/>
        </w:rPr>
        <w:footnoteRef/>
      </w:r>
      <w:r>
        <w:t xml:space="preserve"> The Parties’ understanding and agreement with regard to the Commission’s ongoing supervision and regulation of the reasonable arrangement recommended herein extends to the entire recommended reasonable arrangement and not just to the immediate exemption from Rider DSE2.</w:t>
      </w:r>
    </w:p>
    <w:p w:rsidR="00E8052E" w:rsidRDefault="00E8052E" w:rsidP="00E8052E">
      <w:pPr>
        <w:pStyle w:val="FootnoteText"/>
        <w:spacing w:after="0"/>
        <w:jc w:val="both"/>
      </w:pPr>
    </w:p>
  </w:footnote>
  <w:footnote w:id="5">
    <w:p w:rsidR="00E8052E" w:rsidRDefault="00B21617" w:rsidP="00E8052E">
      <w:pPr>
        <w:pStyle w:val="FootnoteText"/>
        <w:spacing w:after="0"/>
        <w:jc w:val="both"/>
      </w:pPr>
      <w:r>
        <w:rPr>
          <w:rStyle w:val="FootnoteReference"/>
        </w:rPr>
        <w:footnoteRef/>
      </w:r>
      <w:r>
        <w:t xml:space="preserve"> Under the “as-found” measurement method and more specifically, this recommendation will cause the electric </w:t>
      </w:r>
      <w:r w:rsidRPr="00CD066C">
        <w:t xml:space="preserve">energy savings </w:t>
      </w:r>
      <w:r>
        <w:t xml:space="preserve">and </w:t>
      </w:r>
      <w:r w:rsidR="00E8052E">
        <w:t>PDR</w:t>
      </w:r>
      <w:r>
        <w:t xml:space="preserve"> capabilities associated with the new manufacturing process to be identified </w:t>
      </w:r>
      <w:r w:rsidRPr="00CD066C">
        <w:t xml:space="preserve">relative to the </w:t>
      </w:r>
      <w:r>
        <w:t xml:space="preserve">electrical </w:t>
      </w:r>
      <w:r w:rsidRPr="00CD066C">
        <w:t xml:space="preserve">energy intensity of the current </w:t>
      </w:r>
      <w:r>
        <w:t xml:space="preserve">and to-be-displaced </w:t>
      </w:r>
      <w:r w:rsidRPr="00CD066C">
        <w:t>manufacturing process.</w:t>
      </w:r>
      <w:r>
        <w:t xml:space="preserve"> </w:t>
      </w:r>
      <w:r w:rsidRPr="00CD066C">
        <w:t xml:space="preserve"> The baseline</w:t>
      </w:r>
      <w:r>
        <w:t xml:space="preserve"> electrical</w:t>
      </w:r>
      <w:r w:rsidRPr="00CD066C">
        <w:t xml:space="preserve"> energy intensity of the current manufacturing process </w:t>
      </w:r>
      <w:r>
        <w:t>shall</w:t>
      </w:r>
      <w:r w:rsidRPr="00CD066C">
        <w:t xml:space="preserve"> be defined as the average kilowatt-hour</w:t>
      </w:r>
      <w:r>
        <w:t>(s)</w:t>
      </w:r>
      <w:r w:rsidRPr="00CD066C">
        <w:t xml:space="preserve"> consumed per unit of equivalent </w:t>
      </w:r>
      <w:r>
        <w:t xml:space="preserve">chlorine unit </w:t>
      </w:r>
      <w:r w:rsidRPr="00CD066C">
        <w:t>for the three years preceding commercial operation of the new manufacturing process.</w:t>
      </w:r>
      <w:r w:rsidR="00431777">
        <w:t xml:space="preserve"> </w:t>
      </w:r>
    </w:p>
  </w:footnote>
  <w:footnote w:id="6">
    <w:p w:rsidR="00D119F6" w:rsidRDefault="00D119F6" w:rsidP="00D119F6">
      <w:pPr>
        <w:pStyle w:val="FootnoteText"/>
        <w:spacing w:after="0"/>
        <w:jc w:val="both"/>
      </w:pPr>
      <w:r>
        <w:rPr>
          <w:rStyle w:val="FootnoteReference"/>
        </w:rPr>
        <w:footnoteRef/>
      </w:r>
      <w:r>
        <w:t xml:space="preserve"> A</w:t>
      </w:r>
      <w:r w:rsidRPr="00861236">
        <w:t xml:space="preserve">ny and all information shall be deemed information acquired by the Staff </w:t>
      </w:r>
      <w:r>
        <w:t xml:space="preserve">and Staff consultants </w:t>
      </w:r>
      <w:r w:rsidRPr="00861236">
        <w:t xml:space="preserve">acting as agent for the Commission and shall not, in accordance with Section 4901.16, Revised Code, be divulged or otherwise made available to the public.  </w:t>
      </w:r>
    </w:p>
    <w:p w:rsidR="00D119F6" w:rsidRDefault="00D119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7A" w:rsidRDefault="00AD50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7A" w:rsidRDefault="00AD50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07A" w:rsidRDefault="00AD50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5BE25"/>
    <w:multiLevelType w:val="hybridMultilevel"/>
    <w:tmpl w:val="9F0144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204DEE"/>
    <w:multiLevelType w:val="hybridMultilevel"/>
    <w:tmpl w:val="2ACE6DD6"/>
    <w:lvl w:ilvl="0" w:tplc="B78292C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64EED"/>
    <w:multiLevelType w:val="hybridMultilevel"/>
    <w:tmpl w:val="A5F65D8A"/>
    <w:lvl w:ilvl="0" w:tplc="DAAA5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C6993"/>
    <w:multiLevelType w:val="hybridMultilevel"/>
    <w:tmpl w:val="AB880824"/>
    <w:lvl w:ilvl="0" w:tplc="93FEF8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61F1C"/>
    <w:multiLevelType w:val="hybridMultilevel"/>
    <w:tmpl w:val="1BC8228A"/>
    <w:lvl w:ilvl="0" w:tplc="D16005FE">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51101A"/>
    <w:multiLevelType w:val="hybridMultilevel"/>
    <w:tmpl w:val="AF5C007C"/>
    <w:lvl w:ilvl="0" w:tplc="04090001">
      <w:start w:val="1"/>
      <w:numFmt w:val="bullet"/>
      <w:lvlText w:val=""/>
      <w:lvlJc w:val="left"/>
      <w:pPr>
        <w:ind w:left="790" w:hanging="360"/>
      </w:pPr>
      <w:rPr>
        <w:rFonts w:ascii="Symbol" w:hAnsi="Symbol" w:hint="default"/>
      </w:rPr>
    </w:lvl>
    <w:lvl w:ilvl="1" w:tplc="04090003">
      <w:start w:val="1"/>
      <w:numFmt w:val="bullet"/>
      <w:lvlText w:val="o"/>
      <w:lvlJc w:val="left"/>
      <w:pPr>
        <w:ind w:left="1510" w:hanging="360"/>
      </w:pPr>
      <w:rPr>
        <w:rFonts w:ascii="Courier New" w:hAnsi="Courier New" w:cs="Courier New" w:hint="default"/>
      </w:rPr>
    </w:lvl>
    <w:lvl w:ilvl="2" w:tplc="04090005">
      <w:start w:val="1"/>
      <w:numFmt w:val="bullet"/>
      <w:lvlText w:val=""/>
      <w:lvlJc w:val="left"/>
      <w:pPr>
        <w:ind w:left="2230" w:hanging="360"/>
      </w:pPr>
      <w:rPr>
        <w:rFonts w:ascii="Wingdings" w:hAnsi="Wingdings" w:hint="default"/>
      </w:rPr>
    </w:lvl>
    <w:lvl w:ilvl="3" w:tplc="04090001">
      <w:start w:val="1"/>
      <w:numFmt w:val="bullet"/>
      <w:lvlText w:val=""/>
      <w:lvlJc w:val="left"/>
      <w:pPr>
        <w:ind w:left="2950" w:hanging="360"/>
      </w:pPr>
      <w:rPr>
        <w:rFonts w:ascii="Symbol" w:hAnsi="Symbol" w:hint="default"/>
      </w:rPr>
    </w:lvl>
    <w:lvl w:ilvl="4" w:tplc="04090003">
      <w:start w:val="1"/>
      <w:numFmt w:val="bullet"/>
      <w:lvlText w:val="o"/>
      <w:lvlJc w:val="left"/>
      <w:pPr>
        <w:ind w:left="3670" w:hanging="360"/>
      </w:pPr>
      <w:rPr>
        <w:rFonts w:ascii="Courier New" w:hAnsi="Courier New" w:cs="Courier New" w:hint="default"/>
      </w:rPr>
    </w:lvl>
    <w:lvl w:ilvl="5" w:tplc="04090005">
      <w:start w:val="1"/>
      <w:numFmt w:val="bullet"/>
      <w:lvlText w:val=""/>
      <w:lvlJc w:val="left"/>
      <w:pPr>
        <w:ind w:left="4390" w:hanging="360"/>
      </w:pPr>
      <w:rPr>
        <w:rFonts w:ascii="Wingdings" w:hAnsi="Wingdings" w:hint="default"/>
      </w:rPr>
    </w:lvl>
    <w:lvl w:ilvl="6" w:tplc="04090001">
      <w:start w:val="1"/>
      <w:numFmt w:val="bullet"/>
      <w:lvlText w:val=""/>
      <w:lvlJc w:val="left"/>
      <w:pPr>
        <w:ind w:left="5110" w:hanging="360"/>
      </w:pPr>
      <w:rPr>
        <w:rFonts w:ascii="Symbol" w:hAnsi="Symbol" w:hint="default"/>
      </w:rPr>
    </w:lvl>
    <w:lvl w:ilvl="7" w:tplc="04090003">
      <w:start w:val="1"/>
      <w:numFmt w:val="bullet"/>
      <w:lvlText w:val="o"/>
      <w:lvlJc w:val="left"/>
      <w:pPr>
        <w:ind w:left="5830" w:hanging="360"/>
      </w:pPr>
      <w:rPr>
        <w:rFonts w:ascii="Courier New" w:hAnsi="Courier New" w:cs="Courier New" w:hint="default"/>
      </w:rPr>
    </w:lvl>
    <w:lvl w:ilvl="8" w:tplc="04090005">
      <w:start w:val="1"/>
      <w:numFmt w:val="bullet"/>
      <w:lvlText w:val=""/>
      <w:lvlJc w:val="left"/>
      <w:pPr>
        <w:ind w:left="6550" w:hanging="360"/>
      </w:pPr>
      <w:rPr>
        <w:rFonts w:ascii="Wingdings" w:hAnsi="Wingdings" w:hint="default"/>
      </w:rPr>
    </w:lvl>
  </w:abstractNum>
  <w:abstractNum w:abstractNumId="6">
    <w:nsid w:val="3478133C"/>
    <w:multiLevelType w:val="multilevel"/>
    <w:tmpl w:val="39224BD8"/>
    <w:name w:val="IEU-Ohio"/>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1440" w:hanging="720"/>
      </w:pPr>
      <w:rPr>
        <w:b/>
        <w:caps w:val="0"/>
        <w:color w:val="010000"/>
        <w:u w:val="none"/>
      </w:rPr>
    </w:lvl>
    <w:lvl w:ilvl="2">
      <w:start w:val="1"/>
      <w:numFmt w:val="decimal"/>
      <w:pStyle w:val="Heading3"/>
      <w:lvlText w:val="%3."/>
      <w:lvlJc w:val="left"/>
      <w:pPr>
        <w:tabs>
          <w:tab w:val="num" w:pos="2160"/>
        </w:tabs>
        <w:ind w:left="2160" w:hanging="720"/>
      </w:pPr>
      <w:rPr>
        <w:b/>
        <w:i w:val="0"/>
        <w:caps w:val="0"/>
        <w:color w:val="010000"/>
        <w:u w:val="none"/>
      </w:rPr>
    </w:lvl>
    <w:lvl w:ilvl="3">
      <w:start w:val="1"/>
      <w:numFmt w:val="lowerLetter"/>
      <w:pStyle w:val="Heading4"/>
      <w:lvlText w:val="%4."/>
      <w:lvlJc w:val="left"/>
      <w:pPr>
        <w:tabs>
          <w:tab w:val="num" w:pos="2880"/>
        </w:tabs>
        <w:ind w:left="2880" w:hanging="720"/>
      </w:pPr>
      <w:rPr>
        <w:b/>
        <w:i/>
        <w:caps w:val="0"/>
        <w:color w:val="010000"/>
        <w:u w:val="none"/>
      </w:rPr>
    </w:lvl>
    <w:lvl w:ilvl="4">
      <w:start w:val="1"/>
      <w:numFmt w:val="lowerRoman"/>
      <w:pStyle w:val="Heading5"/>
      <w:lvlText w:val="%5."/>
      <w:lvlJc w:val="left"/>
      <w:pPr>
        <w:tabs>
          <w:tab w:val="num" w:pos="3600"/>
        </w:tabs>
        <w:ind w:left="3600" w:hanging="720"/>
      </w:pPr>
      <w:rPr>
        <w:caps w:val="0"/>
        <w:color w:val="010000"/>
        <w:u w:val="none"/>
      </w:rPr>
    </w:lvl>
    <w:lvl w:ilvl="5">
      <w:start w:val="1"/>
      <w:numFmt w:val="lowerLetter"/>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Roman"/>
      <w:pStyle w:val="Heading8"/>
      <w:lvlText w:val="%8)"/>
      <w:lvlJc w:val="left"/>
      <w:pPr>
        <w:tabs>
          <w:tab w:val="num" w:pos="5760"/>
        </w:tabs>
        <w:ind w:left="5760" w:hanging="720"/>
      </w:pPr>
      <w:rPr>
        <w:caps w:val="0"/>
        <w:color w:val="010000"/>
        <w:u w:val="none"/>
      </w:rPr>
    </w:lvl>
    <w:lvl w:ilvl="8">
      <w:start w:val="1"/>
      <w:numFmt w:val="lowerLetter"/>
      <w:pStyle w:val="Heading9"/>
      <w:lvlText w:val="%9)"/>
      <w:lvlJc w:val="left"/>
      <w:pPr>
        <w:tabs>
          <w:tab w:val="num" w:pos="6480"/>
        </w:tabs>
        <w:ind w:left="6480" w:hanging="720"/>
      </w:pPr>
      <w:rPr>
        <w:caps w:val="0"/>
        <w:color w:val="010000"/>
        <w:u w:val="none"/>
      </w:rPr>
    </w:lvl>
  </w:abstractNum>
  <w:abstractNum w:abstractNumId="7">
    <w:nsid w:val="3914764F"/>
    <w:multiLevelType w:val="hybridMultilevel"/>
    <w:tmpl w:val="0C30E740"/>
    <w:lvl w:ilvl="0" w:tplc="B78292C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F843E7"/>
    <w:multiLevelType w:val="hybridMultilevel"/>
    <w:tmpl w:val="FEA82636"/>
    <w:lvl w:ilvl="0" w:tplc="B78292CE">
      <w:start w:val="1"/>
      <w:numFmt w:val="decimal"/>
      <w:lvlText w:val="%1."/>
      <w:lvlJc w:val="left"/>
      <w:pPr>
        <w:ind w:left="1080" w:hanging="360"/>
      </w:pPr>
      <w:rPr>
        <w:rFonts w:hint="default"/>
      </w:rPr>
    </w:lvl>
    <w:lvl w:ilvl="1" w:tplc="768EB90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7"/>
  </w:num>
  <w:num w:numId="4">
    <w:abstractNumId w:val="1"/>
  </w:num>
  <w:num w:numId="5">
    <w:abstractNumId w:val="6"/>
  </w:num>
  <w:num w:numId="6">
    <w:abstractNumId w:val="0"/>
  </w:num>
  <w:num w:numId="7">
    <w:abstractNumId w:val="6"/>
    <w:lvlOverride w:ilvl="0">
      <w:startOverride w:val="1"/>
    </w:lvlOverride>
    <w:lvlOverride w:ilvl="1">
      <w:startOverride w:val="1"/>
    </w:lvlOverride>
    <w:lvlOverride w:ilvl="2">
      <w:startOverride w:val="3"/>
    </w:lvlOverride>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61"/>
    <w:rsid w:val="00004527"/>
    <w:rsid w:val="00017B05"/>
    <w:rsid w:val="000202BB"/>
    <w:rsid w:val="000233A0"/>
    <w:rsid w:val="0004767D"/>
    <w:rsid w:val="00084667"/>
    <w:rsid w:val="0009299C"/>
    <w:rsid w:val="000A4CF2"/>
    <w:rsid w:val="000A78B0"/>
    <w:rsid w:val="000E0BCE"/>
    <w:rsid w:val="000F25ED"/>
    <w:rsid w:val="0010212F"/>
    <w:rsid w:val="00115049"/>
    <w:rsid w:val="00121A1A"/>
    <w:rsid w:val="00123255"/>
    <w:rsid w:val="0013205B"/>
    <w:rsid w:val="00137834"/>
    <w:rsid w:val="00140ABA"/>
    <w:rsid w:val="0016371E"/>
    <w:rsid w:val="001638B7"/>
    <w:rsid w:val="0017153D"/>
    <w:rsid w:val="001717A4"/>
    <w:rsid w:val="00172EDF"/>
    <w:rsid w:val="00173470"/>
    <w:rsid w:val="001743B6"/>
    <w:rsid w:val="0018140A"/>
    <w:rsid w:val="00184762"/>
    <w:rsid w:val="0019071F"/>
    <w:rsid w:val="00192B43"/>
    <w:rsid w:val="001F17EF"/>
    <w:rsid w:val="001F1B30"/>
    <w:rsid w:val="001F5D19"/>
    <w:rsid w:val="00200170"/>
    <w:rsid w:val="00200311"/>
    <w:rsid w:val="00202A54"/>
    <w:rsid w:val="00221C31"/>
    <w:rsid w:val="00233599"/>
    <w:rsid w:val="00253A93"/>
    <w:rsid w:val="00274E0B"/>
    <w:rsid w:val="00277DFD"/>
    <w:rsid w:val="002B156A"/>
    <w:rsid w:val="002C6713"/>
    <w:rsid w:val="002D7097"/>
    <w:rsid w:val="003002DF"/>
    <w:rsid w:val="00304B83"/>
    <w:rsid w:val="00306CF6"/>
    <w:rsid w:val="0031406E"/>
    <w:rsid w:val="00325478"/>
    <w:rsid w:val="00325939"/>
    <w:rsid w:val="00337CC6"/>
    <w:rsid w:val="00354FB0"/>
    <w:rsid w:val="00366392"/>
    <w:rsid w:val="00372757"/>
    <w:rsid w:val="003801CE"/>
    <w:rsid w:val="003822C8"/>
    <w:rsid w:val="00384BDA"/>
    <w:rsid w:val="00385BB2"/>
    <w:rsid w:val="003A7747"/>
    <w:rsid w:val="003B6BB5"/>
    <w:rsid w:val="003C4E46"/>
    <w:rsid w:val="003D68A4"/>
    <w:rsid w:val="003D6F65"/>
    <w:rsid w:val="003E0235"/>
    <w:rsid w:val="0040389C"/>
    <w:rsid w:val="00411C78"/>
    <w:rsid w:val="004166B0"/>
    <w:rsid w:val="00431777"/>
    <w:rsid w:val="004328FB"/>
    <w:rsid w:val="00435E57"/>
    <w:rsid w:val="00441919"/>
    <w:rsid w:val="004501F9"/>
    <w:rsid w:val="00452EB2"/>
    <w:rsid w:val="0045573A"/>
    <w:rsid w:val="00473685"/>
    <w:rsid w:val="00483E5C"/>
    <w:rsid w:val="00486EA3"/>
    <w:rsid w:val="004939AA"/>
    <w:rsid w:val="004A3BA9"/>
    <w:rsid w:val="004B0A5E"/>
    <w:rsid w:val="004D394A"/>
    <w:rsid w:val="005009C1"/>
    <w:rsid w:val="0051247F"/>
    <w:rsid w:val="00516AD8"/>
    <w:rsid w:val="00521CA0"/>
    <w:rsid w:val="00532E4A"/>
    <w:rsid w:val="005529DD"/>
    <w:rsid w:val="005669B6"/>
    <w:rsid w:val="00583B5A"/>
    <w:rsid w:val="00584010"/>
    <w:rsid w:val="005A53B9"/>
    <w:rsid w:val="005C58FC"/>
    <w:rsid w:val="005D5546"/>
    <w:rsid w:val="0061209B"/>
    <w:rsid w:val="00613A40"/>
    <w:rsid w:val="00615FFB"/>
    <w:rsid w:val="00640216"/>
    <w:rsid w:val="00640CDE"/>
    <w:rsid w:val="00643D80"/>
    <w:rsid w:val="00644D2A"/>
    <w:rsid w:val="0066322F"/>
    <w:rsid w:val="00673262"/>
    <w:rsid w:val="00685DAB"/>
    <w:rsid w:val="006A0F81"/>
    <w:rsid w:val="006C0CBE"/>
    <w:rsid w:val="006C2014"/>
    <w:rsid w:val="006C60A3"/>
    <w:rsid w:val="006C6244"/>
    <w:rsid w:val="006D1E1D"/>
    <w:rsid w:val="006D3476"/>
    <w:rsid w:val="006E571E"/>
    <w:rsid w:val="006F554F"/>
    <w:rsid w:val="00713ADF"/>
    <w:rsid w:val="0071661D"/>
    <w:rsid w:val="00723C3B"/>
    <w:rsid w:val="0072603F"/>
    <w:rsid w:val="00727D0E"/>
    <w:rsid w:val="00735C28"/>
    <w:rsid w:val="00753D74"/>
    <w:rsid w:val="00781723"/>
    <w:rsid w:val="007858CE"/>
    <w:rsid w:val="0079238C"/>
    <w:rsid w:val="00792D08"/>
    <w:rsid w:val="007B02F3"/>
    <w:rsid w:val="007C6520"/>
    <w:rsid w:val="007F6F39"/>
    <w:rsid w:val="008165C4"/>
    <w:rsid w:val="00861234"/>
    <w:rsid w:val="00861236"/>
    <w:rsid w:val="0086520F"/>
    <w:rsid w:val="00890E7F"/>
    <w:rsid w:val="00894EC0"/>
    <w:rsid w:val="008A2726"/>
    <w:rsid w:val="008C14ED"/>
    <w:rsid w:val="008C5616"/>
    <w:rsid w:val="008D427B"/>
    <w:rsid w:val="008E3BF4"/>
    <w:rsid w:val="009240BE"/>
    <w:rsid w:val="00945B31"/>
    <w:rsid w:val="0095339B"/>
    <w:rsid w:val="0095553F"/>
    <w:rsid w:val="00970D67"/>
    <w:rsid w:val="00971537"/>
    <w:rsid w:val="00986C69"/>
    <w:rsid w:val="00990DC8"/>
    <w:rsid w:val="009B242A"/>
    <w:rsid w:val="009B6BDE"/>
    <w:rsid w:val="009D102A"/>
    <w:rsid w:val="009D43A4"/>
    <w:rsid w:val="009D474C"/>
    <w:rsid w:val="009D7EF9"/>
    <w:rsid w:val="009E3C2E"/>
    <w:rsid w:val="009E6687"/>
    <w:rsid w:val="009F232F"/>
    <w:rsid w:val="00A05FCF"/>
    <w:rsid w:val="00A1353B"/>
    <w:rsid w:val="00A338A4"/>
    <w:rsid w:val="00A57098"/>
    <w:rsid w:val="00A76036"/>
    <w:rsid w:val="00A90CCC"/>
    <w:rsid w:val="00AA6602"/>
    <w:rsid w:val="00AB5E4B"/>
    <w:rsid w:val="00AC4199"/>
    <w:rsid w:val="00AD1BAA"/>
    <w:rsid w:val="00AD507A"/>
    <w:rsid w:val="00AE3075"/>
    <w:rsid w:val="00AE5097"/>
    <w:rsid w:val="00AE66AB"/>
    <w:rsid w:val="00AF0C10"/>
    <w:rsid w:val="00AF37A1"/>
    <w:rsid w:val="00AF3DF8"/>
    <w:rsid w:val="00B03BE6"/>
    <w:rsid w:val="00B21617"/>
    <w:rsid w:val="00B23FFE"/>
    <w:rsid w:val="00B33A48"/>
    <w:rsid w:val="00B33B48"/>
    <w:rsid w:val="00B352CE"/>
    <w:rsid w:val="00B4029F"/>
    <w:rsid w:val="00B42F17"/>
    <w:rsid w:val="00B50CAA"/>
    <w:rsid w:val="00B54C12"/>
    <w:rsid w:val="00B65302"/>
    <w:rsid w:val="00B91CAF"/>
    <w:rsid w:val="00BB03FE"/>
    <w:rsid w:val="00BB5AC5"/>
    <w:rsid w:val="00BD6E49"/>
    <w:rsid w:val="00BE7692"/>
    <w:rsid w:val="00BF08E7"/>
    <w:rsid w:val="00C0405A"/>
    <w:rsid w:val="00C128BD"/>
    <w:rsid w:val="00C13552"/>
    <w:rsid w:val="00C162D2"/>
    <w:rsid w:val="00C4710A"/>
    <w:rsid w:val="00C50E19"/>
    <w:rsid w:val="00C538A5"/>
    <w:rsid w:val="00C55E61"/>
    <w:rsid w:val="00C72636"/>
    <w:rsid w:val="00C829F5"/>
    <w:rsid w:val="00C9334B"/>
    <w:rsid w:val="00CA3B31"/>
    <w:rsid w:val="00CA499D"/>
    <w:rsid w:val="00CA6211"/>
    <w:rsid w:val="00CA67D3"/>
    <w:rsid w:val="00CB0EA0"/>
    <w:rsid w:val="00CB2894"/>
    <w:rsid w:val="00CD066C"/>
    <w:rsid w:val="00CD32A8"/>
    <w:rsid w:val="00CF2EDC"/>
    <w:rsid w:val="00CF32C0"/>
    <w:rsid w:val="00CF4074"/>
    <w:rsid w:val="00CF5EDD"/>
    <w:rsid w:val="00D064F3"/>
    <w:rsid w:val="00D07A47"/>
    <w:rsid w:val="00D119F6"/>
    <w:rsid w:val="00D13A87"/>
    <w:rsid w:val="00D3239C"/>
    <w:rsid w:val="00D35326"/>
    <w:rsid w:val="00D53756"/>
    <w:rsid w:val="00D5627E"/>
    <w:rsid w:val="00D86FBC"/>
    <w:rsid w:val="00DA4797"/>
    <w:rsid w:val="00DB2D57"/>
    <w:rsid w:val="00DC0404"/>
    <w:rsid w:val="00DC49A4"/>
    <w:rsid w:val="00DD23D3"/>
    <w:rsid w:val="00DD6EB9"/>
    <w:rsid w:val="00DE4107"/>
    <w:rsid w:val="00E14C00"/>
    <w:rsid w:val="00E3404F"/>
    <w:rsid w:val="00E46E70"/>
    <w:rsid w:val="00E46FEA"/>
    <w:rsid w:val="00E5512A"/>
    <w:rsid w:val="00E55F3C"/>
    <w:rsid w:val="00E60B54"/>
    <w:rsid w:val="00E64713"/>
    <w:rsid w:val="00E8052E"/>
    <w:rsid w:val="00E81E03"/>
    <w:rsid w:val="00E96DAD"/>
    <w:rsid w:val="00EB3F7D"/>
    <w:rsid w:val="00ED653E"/>
    <w:rsid w:val="00EE7FA2"/>
    <w:rsid w:val="00EF02E3"/>
    <w:rsid w:val="00EF7E00"/>
    <w:rsid w:val="00F0027D"/>
    <w:rsid w:val="00F06FE7"/>
    <w:rsid w:val="00F30EB9"/>
    <w:rsid w:val="00F50025"/>
    <w:rsid w:val="00F76FDC"/>
    <w:rsid w:val="00F83A44"/>
    <w:rsid w:val="00F84171"/>
    <w:rsid w:val="00FA338A"/>
    <w:rsid w:val="00FC107B"/>
    <w:rsid w:val="00FC698A"/>
    <w:rsid w:val="00FD1D96"/>
    <w:rsid w:val="00FE1A60"/>
    <w:rsid w:val="00FE246C"/>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57"/>
    <w:pPr>
      <w:spacing w:after="200"/>
    </w:pPr>
    <w:rPr>
      <w:rFonts w:eastAsia="Times New Roman" w:cs="Arial"/>
    </w:rPr>
  </w:style>
  <w:style w:type="paragraph" w:styleId="Heading1">
    <w:name w:val="heading 1"/>
    <w:basedOn w:val="Normal"/>
    <w:next w:val="Normal"/>
    <w:link w:val="Heading1Char"/>
    <w:autoRedefine/>
    <w:uiPriority w:val="9"/>
    <w:qFormat/>
    <w:rsid w:val="00372757"/>
    <w:pPr>
      <w:numPr>
        <w:numId w:val="5"/>
      </w:numPr>
      <w:tabs>
        <w:tab w:val="clear" w:pos="720"/>
      </w:tabs>
      <w:spacing w:before="180" w:after="240"/>
      <w:jc w:val="both"/>
      <w:outlineLvl w:val="0"/>
    </w:pPr>
    <w:rPr>
      <w:rFonts w:eastAsiaTheme="majorEastAsia"/>
      <w:b/>
      <w:bCs/>
      <w:caps/>
      <w:szCs w:val="28"/>
      <w:u w:val="single"/>
    </w:rPr>
  </w:style>
  <w:style w:type="paragraph" w:styleId="Heading2">
    <w:name w:val="heading 2"/>
    <w:basedOn w:val="Normal"/>
    <w:next w:val="Normal"/>
    <w:link w:val="Heading2Char"/>
    <w:uiPriority w:val="9"/>
    <w:unhideWhenUsed/>
    <w:qFormat/>
    <w:rsid w:val="00384BDA"/>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unhideWhenUsed/>
    <w:qFormat/>
    <w:rsid w:val="00384BDA"/>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uiPriority w:val="9"/>
    <w:semiHidden/>
    <w:unhideWhenUsed/>
    <w:qFormat/>
    <w:rsid w:val="00384BDA"/>
    <w:pPr>
      <w:numPr>
        <w:ilvl w:val="3"/>
        <w:numId w:val="5"/>
      </w:numPr>
      <w:spacing w:after="240"/>
      <w:jc w:val="both"/>
      <w:outlineLvl w:val="3"/>
    </w:pPr>
    <w:rPr>
      <w:rFonts w:eastAsiaTheme="majorEastAsia"/>
      <w:b/>
      <w:bCs/>
      <w:i/>
      <w:iCs/>
    </w:rPr>
  </w:style>
  <w:style w:type="paragraph" w:styleId="Heading5">
    <w:name w:val="heading 5"/>
    <w:basedOn w:val="Normal"/>
    <w:next w:val="Normal"/>
    <w:link w:val="Heading5Char"/>
    <w:uiPriority w:val="9"/>
    <w:semiHidden/>
    <w:unhideWhenUsed/>
    <w:qFormat/>
    <w:rsid w:val="00384BDA"/>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384BDA"/>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384BDA"/>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384BDA"/>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384BDA"/>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E61"/>
    <w:pPr>
      <w:tabs>
        <w:tab w:val="center" w:pos="4680"/>
        <w:tab w:val="right" w:pos="9360"/>
      </w:tabs>
    </w:pPr>
  </w:style>
  <w:style w:type="character" w:customStyle="1" w:styleId="HeaderChar">
    <w:name w:val="Header Char"/>
    <w:basedOn w:val="DefaultParagraphFont"/>
    <w:link w:val="Header"/>
    <w:uiPriority w:val="99"/>
    <w:rsid w:val="00C55E61"/>
    <w:rPr>
      <w:rFonts w:eastAsia="Times New Roman" w:cs="Arial"/>
    </w:rPr>
  </w:style>
  <w:style w:type="paragraph" w:styleId="Footer">
    <w:name w:val="footer"/>
    <w:basedOn w:val="Normal"/>
    <w:link w:val="FooterChar"/>
    <w:uiPriority w:val="99"/>
    <w:unhideWhenUsed/>
    <w:rsid w:val="00C55E61"/>
    <w:pPr>
      <w:tabs>
        <w:tab w:val="center" w:pos="4680"/>
        <w:tab w:val="right" w:pos="9360"/>
      </w:tabs>
    </w:pPr>
  </w:style>
  <w:style w:type="character" w:customStyle="1" w:styleId="FooterChar">
    <w:name w:val="Footer Char"/>
    <w:basedOn w:val="DefaultParagraphFont"/>
    <w:link w:val="Footer"/>
    <w:uiPriority w:val="99"/>
    <w:rsid w:val="00C55E61"/>
    <w:rPr>
      <w:rFonts w:eastAsia="Times New Roman" w:cs="Arial"/>
    </w:rPr>
  </w:style>
  <w:style w:type="paragraph" w:styleId="ListParagraph">
    <w:name w:val="List Paragraph"/>
    <w:basedOn w:val="Normal"/>
    <w:uiPriority w:val="34"/>
    <w:qFormat/>
    <w:rsid w:val="00FC107B"/>
    <w:pPr>
      <w:ind w:left="720"/>
      <w:contextualSpacing/>
    </w:pPr>
  </w:style>
  <w:style w:type="paragraph" w:styleId="FootnoteText">
    <w:name w:val="footnote text"/>
    <w:basedOn w:val="Normal"/>
    <w:link w:val="FootnoteTextChar"/>
    <w:semiHidden/>
    <w:rsid w:val="009F232F"/>
    <w:rPr>
      <w:sz w:val="20"/>
      <w:szCs w:val="20"/>
    </w:rPr>
  </w:style>
  <w:style w:type="character" w:customStyle="1" w:styleId="FootnoteTextChar">
    <w:name w:val="Footnote Text Char"/>
    <w:basedOn w:val="DefaultParagraphFont"/>
    <w:link w:val="FootnoteText"/>
    <w:semiHidden/>
    <w:rsid w:val="009F232F"/>
    <w:rPr>
      <w:rFonts w:eastAsia="Times New Roman" w:cs="Arial"/>
      <w:sz w:val="20"/>
      <w:szCs w:val="20"/>
    </w:rPr>
  </w:style>
  <w:style w:type="character" w:styleId="FootnoteReference">
    <w:name w:val="footnote reference"/>
    <w:semiHidden/>
    <w:rsid w:val="009F232F"/>
    <w:rPr>
      <w:vertAlign w:val="superscript"/>
    </w:rPr>
  </w:style>
  <w:style w:type="character" w:customStyle="1" w:styleId="Heading1Char">
    <w:name w:val="Heading 1 Char"/>
    <w:basedOn w:val="DefaultParagraphFont"/>
    <w:link w:val="Heading1"/>
    <w:uiPriority w:val="9"/>
    <w:rsid w:val="00372757"/>
    <w:rPr>
      <w:rFonts w:eastAsiaTheme="majorEastAsia" w:cs="Arial"/>
      <w:b/>
      <w:bCs/>
      <w:caps/>
      <w:szCs w:val="28"/>
      <w:u w:val="single"/>
    </w:rPr>
  </w:style>
  <w:style w:type="paragraph" w:customStyle="1" w:styleId="textstyle">
    <w:name w:val="text style"/>
    <w:basedOn w:val="Normal"/>
    <w:autoRedefine/>
    <w:rsid w:val="005C58FC"/>
    <w:pPr>
      <w:autoSpaceDE w:val="0"/>
      <w:autoSpaceDN w:val="0"/>
      <w:adjustRightInd w:val="0"/>
      <w:spacing w:line="480" w:lineRule="auto"/>
      <w:ind w:firstLine="720"/>
      <w:jc w:val="both"/>
    </w:pPr>
    <w:rPr>
      <w:szCs w:val="26"/>
    </w:rPr>
  </w:style>
  <w:style w:type="paragraph" w:customStyle="1" w:styleId="CM28">
    <w:name w:val="CM28"/>
    <w:basedOn w:val="Normal"/>
    <w:next w:val="Normal"/>
    <w:rsid w:val="00FC698A"/>
    <w:pPr>
      <w:widowControl w:val="0"/>
      <w:autoSpaceDE w:val="0"/>
      <w:autoSpaceDN w:val="0"/>
      <w:adjustRightInd w:val="0"/>
      <w:spacing w:after="578"/>
    </w:pPr>
    <w:rPr>
      <w:rFonts w:ascii="Times New Roman" w:hAnsi="Times New Roman" w:cs="Times New Roman"/>
    </w:rPr>
  </w:style>
  <w:style w:type="character" w:customStyle="1" w:styleId="Heading3Char">
    <w:name w:val="Heading 3 Char"/>
    <w:basedOn w:val="DefaultParagraphFont"/>
    <w:link w:val="Heading3"/>
    <w:uiPriority w:val="9"/>
    <w:rsid w:val="00384BDA"/>
    <w:rPr>
      <w:rFonts w:eastAsiaTheme="majorEastAsia" w:cs="Arial"/>
      <w:b/>
      <w:bCs/>
    </w:rPr>
  </w:style>
  <w:style w:type="paragraph" w:styleId="BalloonText">
    <w:name w:val="Balloon Text"/>
    <w:basedOn w:val="Normal"/>
    <w:link w:val="BalloonTextChar"/>
    <w:uiPriority w:val="99"/>
    <w:semiHidden/>
    <w:unhideWhenUsed/>
    <w:rsid w:val="0095553F"/>
    <w:rPr>
      <w:rFonts w:ascii="Tahoma" w:hAnsi="Tahoma" w:cs="Tahoma"/>
      <w:sz w:val="16"/>
      <w:szCs w:val="16"/>
    </w:rPr>
  </w:style>
  <w:style w:type="character" w:customStyle="1" w:styleId="BalloonTextChar">
    <w:name w:val="Balloon Text Char"/>
    <w:basedOn w:val="DefaultParagraphFont"/>
    <w:link w:val="BalloonText"/>
    <w:uiPriority w:val="99"/>
    <w:semiHidden/>
    <w:rsid w:val="0095553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A338A"/>
    <w:rPr>
      <w:sz w:val="16"/>
      <w:szCs w:val="16"/>
    </w:rPr>
  </w:style>
  <w:style w:type="paragraph" w:styleId="CommentText">
    <w:name w:val="annotation text"/>
    <w:basedOn w:val="Normal"/>
    <w:link w:val="CommentTextChar"/>
    <w:uiPriority w:val="99"/>
    <w:semiHidden/>
    <w:unhideWhenUsed/>
    <w:rsid w:val="00FA338A"/>
    <w:rPr>
      <w:sz w:val="20"/>
      <w:szCs w:val="20"/>
    </w:rPr>
  </w:style>
  <w:style w:type="character" w:customStyle="1" w:styleId="CommentTextChar">
    <w:name w:val="Comment Text Char"/>
    <w:basedOn w:val="DefaultParagraphFont"/>
    <w:link w:val="CommentText"/>
    <w:uiPriority w:val="99"/>
    <w:semiHidden/>
    <w:rsid w:val="00FA338A"/>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A338A"/>
    <w:rPr>
      <w:b/>
      <w:bCs/>
    </w:rPr>
  </w:style>
  <w:style w:type="character" w:customStyle="1" w:styleId="CommentSubjectChar">
    <w:name w:val="Comment Subject Char"/>
    <w:basedOn w:val="CommentTextChar"/>
    <w:link w:val="CommentSubject"/>
    <w:uiPriority w:val="99"/>
    <w:semiHidden/>
    <w:rsid w:val="00FA338A"/>
    <w:rPr>
      <w:rFonts w:eastAsia="Times New Roman" w:cs="Arial"/>
      <w:b/>
      <w:bCs/>
      <w:sz w:val="20"/>
      <w:szCs w:val="20"/>
    </w:rPr>
  </w:style>
  <w:style w:type="character" w:styleId="Hyperlink">
    <w:name w:val="Hyperlink"/>
    <w:basedOn w:val="DefaultParagraphFont"/>
    <w:uiPriority w:val="99"/>
    <w:unhideWhenUsed/>
    <w:rsid w:val="00325478"/>
    <w:rPr>
      <w:color w:val="0000FF" w:themeColor="hyperlink"/>
      <w:u w:val="single"/>
    </w:rPr>
  </w:style>
  <w:style w:type="character" w:customStyle="1" w:styleId="Heading2Char">
    <w:name w:val="Heading 2 Char"/>
    <w:basedOn w:val="DefaultParagraphFont"/>
    <w:link w:val="Heading2"/>
    <w:uiPriority w:val="9"/>
    <w:rsid w:val="00384BDA"/>
    <w:rPr>
      <w:rFonts w:eastAsiaTheme="majorEastAsia" w:cs="Arial"/>
      <w:b/>
      <w:bCs/>
      <w:szCs w:val="26"/>
    </w:rPr>
  </w:style>
  <w:style w:type="character" w:customStyle="1" w:styleId="Heading4Char">
    <w:name w:val="Heading 4 Char"/>
    <w:basedOn w:val="DefaultParagraphFont"/>
    <w:link w:val="Heading4"/>
    <w:uiPriority w:val="9"/>
    <w:semiHidden/>
    <w:rsid w:val="00384BDA"/>
    <w:rPr>
      <w:rFonts w:eastAsiaTheme="majorEastAsia" w:cs="Arial"/>
      <w:b/>
      <w:bCs/>
      <w:i/>
      <w:iCs/>
    </w:rPr>
  </w:style>
  <w:style w:type="character" w:customStyle="1" w:styleId="Heading5Char">
    <w:name w:val="Heading 5 Char"/>
    <w:basedOn w:val="DefaultParagraphFont"/>
    <w:link w:val="Heading5"/>
    <w:uiPriority w:val="9"/>
    <w:semiHidden/>
    <w:rsid w:val="00384BDA"/>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384BDA"/>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384BDA"/>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384BDA"/>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384BDA"/>
    <w:rPr>
      <w:rFonts w:asciiTheme="majorHAnsi" w:eastAsiaTheme="majorEastAsia" w:hAnsiTheme="majorHAnsi" w:cs="Arial"/>
      <w:iCs/>
      <w:color w:val="404040" w:themeColor="text1" w:themeTint="BF"/>
      <w:szCs w:val="20"/>
    </w:rPr>
  </w:style>
  <w:style w:type="paragraph" w:styleId="Revision">
    <w:name w:val="Revision"/>
    <w:hidden/>
    <w:uiPriority w:val="99"/>
    <w:semiHidden/>
    <w:rsid w:val="00384BDA"/>
    <w:rPr>
      <w:rFonts w:eastAsia="Times New Roman" w:cs="Arial"/>
    </w:rPr>
  </w:style>
  <w:style w:type="paragraph" w:customStyle="1" w:styleId="CM5">
    <w:name w:val="CM5"/>
    <w:basedOn w:val="Normal"/>
    <w:next w:val="Normal"/>
    <w:rsid w:val="004A3BA9"/>
    <w:pPr>
      <w:widowControl w:val="0"/>
      <w:autoSpaceDE w:val="0"/>
      <w:autoSpaceDN w:val="0"/>
      <w:adjustRightInd w:val="0"/>
      <w:spacing w:after="285"/>
    </w:pPr>
    <w:rPr>
      <w:rFonts w:ascii="Times New Roman" w:hAnsi="Times New Roman" w:cs="Times New Roman"/>
    </w:rPr>
  </w:style>
  <w:style w:type="paragraph" w:customStyle="1" w:styleId="Default">
    <w:name w:val="Default"/>
    <w:rsid w:val="00DA4797"/>
    <w:pPr>
      <w:widowControl w:val="0"/>
      <w:autoSpaceDE w:val="0"/>
      <w:autoSpaceDN w:val="0"/>
      <w:adjustRightInd w:val="0"/>
    </w:pPr>
    <w:rPr>
      <w:rFonts w:ascii="Times New Roman" w:eastAsia="Times New Roman" w:hAnsi="Times New Roman" w:cs="Times New Roman"/>
      <w:color w:val="000000"/>
    </w:rPr>
  </w:style>
  <w:style w:type="paragraph" w:customStyle="1" w:styleId="CM6">
    <w:name w:val="CM6"/>
    <w:basedOn w:val="Default"/>
    <w:next w:val="Default"/>
    <w:rsid w:val="008A2726"/>
    <w:pPr>
      <w:spacing w:after="257"/>
    </w:pPr>
    <w:rPr>
      <w:color w:val="auto"/>
    </w:rPr>
  </w:style>
  <w:style w:type="paragraph" w:styleId="BodyTextIndent3">
    <w:name w:val="Body Text Indent 3"/>
    <w:basedOn w:val="Normal"/>
    <w:link w:val="BodyTextIndent3Char"/>
    <w:rsid w:val="008A2726"/>
    <w:pPr>
      <w:spacing w:after="0"/>
      <w:ind w:left="1350"/>
    </w:pPr>
    <w:rPr>
      <w:rFonts w:ascii="Times New Roman" w:hAnsi="Times New Roman" w:cs="Times New Roman"/>
      <w:sz w:val="22"/>
      <w:szCs w:val="20"/>
    </w:rPr>
  </w:style>
  <w:style w:type="character" w:customStyle="1" w:styleId="BodyTextIndent3Char">
    <w:name w:val="Body Text Indent 3 Char"/>
    <w:basedOn w:val="DefaultParagraphFont"/>
    <w:link w:val="BodyTextIndent3"/>
    <w:rsid w:val="008A2726"/>
    <w:rPr>
      <w:rFonts w:ascii="Times New Roman" w:eastAsia="Times New Roman" w:hAnsi="Times New Roman"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57"/>
    <w:pPr>
      <w:spacing w:after="200"/>
    </w:pPr>
    <w:rPr>
      <w:rFonts w:eastAsia="Times New Roman" w:cs="Arial"/>
    </w:rPr>
  </w:style>
  <w:style w:type="paragraph" w:styleId="Heading1">
    <w:name w:val="heading 1"/>
    <w:basedOn w:val="Normal"/>
    <w:next w:val="Normal"/>
    <w:link w:val="Heading1Char"/>
    <w:autoRedefine/>
    <w:uiPriority w:val="9"/>
    <w:qFormat/>
    <w:rsid w:val="00372757"/>
    <w:pPr>
      <w:numPr>
        <w:numId w:val="5"/>
      </w:numPr>
      <w:tabs>
        <w:tab w:val="clear" w:pos="720"/>
      </w:tabs>
      <w:spacing w:before="180" w:after="240"/>
      <w:jc w:val="both"/>
      <w:outlineLvl w:val="0"/>
    </w:pPr>
    <w:rPr>
      <w:rFonts w:eastAsiaTheme="majorEastAsia"/>
      <w:b/>
      <w:bCs/>
      <w:caps/>
      <w:szCs w:val="28"/>
      <w:u w:val="single"/>
    </w:rPr>
  </w:style>
  <w:style w:type="paragraph" w:styleId="Heading2">
    <w:name w:val="heading 2"/>
    <w:basedOn w:val="Normal"/>
    <w:next w:val="Normal"/>
    <w:link w:val="Heading2Char"/>
    <w:uiPriority w:val="9"/>
    <w:unhideWhenUsed/>
    <w:qFormat/>
    <w:rsid w:val="00384BDA"/>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unhideWhenUsed/>
    <w:qFormat/>
    <w:rsid w:val="00384BDA"/>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uiPriority w:val="9"/>
    <w:semiHidden/>
    <w:unhideWhenUsed/>
    <w:qFormat/>
    <w:rsid w:val="00384BDA"/>
    <w:pPr>
      <w:numPr>
        <w:ilvl w:val="3"/>
        <w:numId w:val="5"/>
      </w:numPr>
      <w:spacing w:after="240"/>
      <w:jc w:val="both"/>
      <w:outlineLvl w:val="3"/>
    </w:pPr>
    <w:rPr>
      <w:rFonts w:eastAsiaTheme="majorEastAsia"/>
      <w:b/>
      <w:bCs/>
      <w:i/>
      <w:iCs/>
    </w:rPr>
  </w:style>
  <w:style w:type="paragraph" w:styleId="Heading5">
    <w:name w:val="heading 5"/>
    <w:basedOn w:val="Normal"/>
    <w:next w:val="Normal"/>
    <w:link w:val="Heading5Char"/>
    <w:uiPriority w:val="9"/>
    <w:semiHidden/>
    <w:unhideWhenUsed/>
    <w:qFormat/>
    <w:rsid w:val="00384BDA"/>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384BDA"/>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384BDA"/>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384BDA"/>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384BDA"/>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E61"/>
    <w:pPr>
      <w:tabs>
        <w:tab w:val="center" w:pos="4680"/>
        <w:tab w:val="right" w:pos="9360"/>
      </w:tabs>
    </w:pPr>
  </w:style>
  <w:style w:type="character" w:customStyle="1" w:styleId="HeaderChar">
    <w:name w:val="Header Char"/>
    <w:basedOn w:val="DefaultParagraphFont"/>
    <w:link w:val="Header"/>
    <w:uiPriority w:val="99"/>
    <w:rsid w:val="00C55E61"/>
    <w:rPr>
      <w:rFonts w:eastAsia="Times New Roman" w:cs="Arial"/>
    </w:rPr>
  </w:style>
  <w:style w:type="paragraph" w:styleId="Footer">
    <w:name w:val="footer"/>
    <w:basedOn w:val="Normal"/>
    <w:link w:val="FooterChar"/>
    <w:uiPriority w:val="99"/>
    <w:unhideWhenUsed/>
    <w:rsid w:val="00C55E61"/>
    <w:pPr>
      <w:tabs>
        <w:tab w:val="center" w:pos="4680"/>
        <w:tab w:val="right" w:pos="9360"/>
      </w:tabs>
    </w:pPr>
  </w:style>
  <w:style w:type="character" w:customStyle="1" w:styleId="FooterChar">
    <w:name w:val="Footer Char"/>
    <w:basedOn w:val="DefaultParagraphFont"/>
    <w:link w:val="Footer"/>
    <w:uiPriority w:val="99"/>
    <w:rsid w:val="00C55E61"/>
    <w:rPr>
      <w:rFonts w:eastAsia="Times New Roman" w:cs="Arial"/>
    </w:rPr>
  </w:style>
  <w:style w:type="paragraph" w:styleId="ListParagraph">
    <w:name w:val="List Paragraph"/>
    <w:basedOn w:val="Normal"/>
    <w:uiPriority w:val="34"/>
    <w:qFormat/>
    <w:rsid w:val="00FC107B"/>
    <w:pPr>
      <w:ind w:left="720"/>
      <w:contextualSpacing/>
    </w:pPr>
  </w:style>
  <w:style w:type="paragraph" w:styleId="FootnoteText">
    <w:name w:val="footnote text"/>
    <w:basedOn w:val="Normal"/>
    <w:link w:val="FootnoteTextChar"/>
    <w:semiHidden/>
    <w:rsid w:val="009F232F"/>
    <w:rPr>
      <w:sz w:val="20"/>
      <w:szCs w:val="20"/>
    </w:rPr>
  </w:style>
  <w:style w:type="character" w:customStyle="1" w:styleId="FootnoteTextChar">
    <w:name w:val="Footnote Text Char"/>
    <w:basedOn w:val="DefaultParagraphFont"/>
    <w:link w:val="FootnoteText"/>
    <w:semiHidden/>
    <w:rsid w:val="009F232F"/>
    <w:rPr>
      <w:rFonts w:eastAsia="Times New Roman" w:cs="Arial"/>
      <w:sz w:val="20"/>
      <w:szCs w:val="20"/>
    </w:rPr>
  </w:style>
  <w:style w:type="character" w:styleId="FootnoteReference">
    <w:name w:val="footnote reference"/>
    <w:semiHidden/>
    <w:rsid w:val="009F232F"/>
    <w:rPr>
      <w:vertAlign w:val="superscript"/>
    </w:rPr>
  </w:style>
  <w:style w:type="character" w:customStyle="1" w:styleId="Heading1Char">
    <w:name w:val="Heading 1 Char"/>
    <w:basedOn w:val="DefaultParagraphFont"/>
    <w:link w:val="Heading1"/>
    <w:uiPriority w:val="9"/>
    <w:rsid w:val="00372757"/>
    <w:rPr>
      <w:rFonts w:eastAsiaTheme="majorEastAsia" w:cs="Arial"/>
      <w:b/>
      <w:bCs/>
      <w:caps/>
      <w:szCs w:val="28"/>
      <w:u w:val="single"/>
    </w:rPr>
  </w:style>
  <w:style w:type="paragraph" w:customStyle="1" w:styleId="textstyle">
    <w:name w:val="text style"/>
    <w:basedOn w:val="Normal"/>
    <w:autoRedefine/>
    <w:rsid w:val="005C58FC"/>
    <w:pPr>
      <w:autoSpaceDE w:val="0"/>
      <w:autoSpaceDN w:val="0"/>
      <w:adjustRightInd w:val="0"/>
      <w:spacing w:line="480" w:lineRule="auto"/>
      <w:ind w:firstLine="720"/>
      <w:jc w:val="both"/>
    </w:pPr>
    <w:rPr>
      <w:szCs w:val="26"/>
    </w:rPr>
  </w:style>
  <w:style w:type="paragraph" w:customStyle="1" w:styleId="CM28">
    <w:name w:val="CM28"/>
    <w:basedOn w:val="Normal"/>
    <w:next w:val="Normal"/>
    <w:rsid w:val="00FC698A"/>
    <w:pPr>
      <w:widowControl w:val="0"/>
      <w:autoSpaceDE w:val="0"/>
      <w:autoSpaceDN w:val="0"/>
      <w:adjustRightInd w:val="0"/>
      <w:spacing w:after="578"/>
    </w:pPr>
    <w:rPr>
      <w:rFonts w:ascii="Times New Roman" w:hAnsi="Times New Roman" w:cs="Times New Roman"/>
    </w:rPr>
  </w:style>
  <w:style w:type="character" w:customStyle="1" w:styleId="Heading3Char">
    <w:name w:val="Heading 3 Char"/>
    <w:basedOn w:val="DefaultParagraphFont"/>
    <w:link w:val="Heading3"/>
    <w:uiPriority w:val="9"/>
    <w:rsid w:val="00384BDA"/>
    <w:rPr>
      <w:rFonts w:eastAsiaTheme="majorEastAsia" w:cs="Arial"/>
      <w:b/>
      <w:bCs/>
    </w:rPr>
  </w:style>
  <w:style w:type="paragraph" w:styleId="BalloonText">
    <w:name w:val="Balloon Text"/>
    <w:basedOn w:val="Normal"/>
    <w:link w:val="BalloonTextChar"/>
    <w:uiPriority w:val="99"/>
    <w:semiHidden/>
    <w:unhideWhenUsed/>
    <w:rsid w:val="0095553F"/>
    <w:rPr>
      <w:rFonts w:ascii="Tahoma" w:hAnsi="Tahoma" w:cs="Tahoma"/>
      <w:sz w:val="16"/>
      <w:szCs w:val="16"/>
    </w:rPr>
  </w:style>
  <w:style w:type="character" w:customStyle="1" w:styleId="BalloonTextChar">
    <w:name w:val="Balloon Text Char"/>
    <w:basedOn w:val="DefaultParagraphFont"/>
    <w:link w:val="BalloonText"/>
    <w:uiPriority w:val="99"/>
    <w:semiHidden/>
    <w:rsid w:val="0095553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A338A"/>
    <w:rPr>
      <w:sz w:val="16"/>
      <w:szCs w:val="16"/>
    </w:rPr>
  </w:style>
  <w:style w:type="paragraph" w:styleId="CommentText">
    <w:name w:val="annotation text"/>
    <w:basedOn w:val="Normal"/>
    <w:link w:val="CommentTextChar"/>
    <w:uiPriority w:val="99"/>
    <w:semiHidden/>
    <w:unhideWhenUsed/>
    <w:rsid w:val="00FA338A"/>
    <w:rPr>
      <w:sz w:val="20"/>
      <w:szCs w:val="20"/>
    </w:rPr>
  </w:style>
  <w:style w:type="character" w:customStyle="1" w:styleId="CommentTextChar">
    <w:name w:val="Comment Text Char"/>
    <w:basedOn w:val="DefaultParagraphFont"/>
    <w:link w:val="CommentText"/>
    <w:uiPriority w:val="99"/>
    <w:semiHidden/>
    <w:rsid w:val="00FA338A"/>
    <w:rPr>
      <w:rFonts w:eastAsia="Times New Roman" w:cs="Arial"/>
      <w:sz w:val="20"/>
      <w:szCs w:val="20"/>
    </w:rPr>
  </w:style>
  <w:style w:type="paragraph" w:styleId="CommentSubject">
    <w:name w:val="annotation subject"/>
    <w:basedOn w:val="CommentText"/>
    <w:next w:val="CommentText"/>
    <w:link w:val="CommentSubjectChar"/>
    <w:uiPriority w:val="99"/>
    <w:semiHidden/>
    <w:unhideWhenUsed/>
    <w:rsid w:val="00FA338A"/>
    <w:rPr>
      <w:b/>
      <w:bCs/>
    </w:rPr>
  </w:style>
  <w:style w:type="character" w:customStyle="1" w:styleId="CommentSubjectChar">
    <w:name w:val="Comment Subject Char"/>
    <w:basedOn w:val="CommentTextChar"/>
    <w:link w:val="CommentSubject"/>
    <w:uiPriority w:val="99"/>
    <w:semiHidden/>
    <w:rsid w:val="00FA338A"/>
    <w:rPr>
      <w:rFonts w:eastAsia="Times New Roman" w:cs="Arial"/>
      <w:b/>
      <w:bCs/>
      <w:sz w:val="20"/>
      <w:szCs w:val="20"/>
    </w:rPr>
  </w:style>
  <w:style w:type="character" w:styleId="Hyperlink">
    <w:name w:val="Hyperlink"/>
    <w:basedOn w:val="DefaultParagraphFont"/>
    <w:uiPriority w:val="99"/>
    <w:unhideWhenUsed/>
    <w:rsid w:val="00325478"/>
    <w:rPr>
      <w:color w:val="0000FF" w:themeColor="hyperlink"/>
      <w:u w:val="single"/>
    </w:rPr>
  </w:style>
  <w:style w:type="character" w:customStyle="1" w:styleId="Heading2Char">
    <w:name w:val="Heading 2 Char"/>
    <w:basedOn w:val="DefaultParagraphFont"/>
    <w:link w:val="Heading2"/>
    <w:uiPriority w:val="9"/>
    <w:rsid w:val="00384BDA"/>
    <w:rPr>
      <w:rFonts w:eastAsiaTheme="majorEastAsia" w:cs="Arial"/>
      <w:b/>
      <w:bCs/>
      <w:szCs w:val="26"/>
    </w:rPr>
  </w:style>
  <w:style w:type="character" w:customStyle="1" w:styleId="Heading4Char">
    <w:name w:val="Heading 4 Char"/>
    <w:basedOn w:val="DefaultParagraphFont"/>
    <w:link w:val="Heading4"/>
    <w:uiPriority w:val="9"/>
    <w:semiHidden/>
    <w:rsid w:val="00384BDA"/>
    <w:rPr>
      <w:rFonts w:eastAsiaTheme="majorEastAsia" w:cs="Arial"/>
      <w:b/>
      <w:bCs/>
      <w:i/>
      <w:iCs/>
    </w:rPr>
  </w:style>
  <w:style w:type="character" w:customStyle="1" w:styleId="Heading5Char">
    <w:name w:val="Heading 5 Char"/>
    <w:basedOn w:val="DefaultParagraphFont"/>
    <w:link w:val="Heading5"/>
    <w:uiPriority w:val="9"/>
    <w:semiHidden/>
    <w:rsid w:val="00384BDA"/>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384BDA"/>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384BDA"/>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384BDA"/>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384BDA"/>
    <w:rPr>
      <w:rFonts w:asciiTheme="majorHAnsi" w:eastAsiaTheme="majorEastAsia" w:hAnsiTheme="majorHAnsi" w:cs="Arial"/>
      <w:iCs/>
      <w:color w:val="404040" w:themeColor="text1" w:themeTint="BF"/>
      <w:szCs w:val="20"/>
    </w:rPr>
  </w:style>
  <w:style w:type="paragraph" w:styleId="Revision">
    <w:name w:val="Revision"/>
    <w:hidden/>
    <w:uiPriority w:val="99"/>
    <w:semiHidden/>
    <w:rsid w:val="00384BDA"/>
    <w:rPr>
      <w:rFonts w:eastAsia="Times New Roman" w:cs="Arial"/>
    </w:rPr>
  </w:style>
  <w:style w:type="paragraph" w:customStyle="1" w:styleId="CM5">
    <w:name w:val="CM5"/>
    <w:basedOn w:val="Normal"/>
    <w:next w:val="Normal"/>
    <w:rsid w:val="004A3BA9"/>
    <w:pPr>
      <w:widowControl w:val="0"/>
      <w:autoSpaceDE w:val="0"/>
      <w:autoSpaceDN w:val="0"/>
      <w:adjustRightInd w:val="0"/>
      <w:spacing w:after="285"/>
    </w:pPr>
    <w:rPr>
      <w:rFonts w:ascii="Times New Roman" w:hAnsi="Times New Roman" w:cs="Times New Roman"/>
    </w:rPr>
  </w:style>
  <w:style w:type="paragraph" w:customStyle="1" w:styleId="Default">
    <w:name w:val="Default"/>
    <w:rsid w:val="00DA4797"/>
    <w:pPr>
      <w:widowControl w:val="0"/>
      <w:autoSpaceDE w:val="0"/>
      <w:autoSpaceDN w:val="0"/>
      <w:adjustRightInd w:val="0"/>
    </w:pPr>
    <w:rPr>
      <w:rFonts w:ascii="Times New Roman" w:eastAsia="Times New Roman" w:hAnsi="Times New Roman" w:cs="Times New Roman"/>
      <w:color w:val="000000"/>
    </w:rPr>
  </w:style>
  <w:style w:type="paragraph" w:customStyle="1" w:styleId="CM6">
    <w:name w:val="CM6"/>
    <w:basedOn w:val="Default"/>
    <w:next w:val="Default"/>
    <w:rsid w:val="008A2726"/>
    <w:pPr>
      <w:spacing w:after="257"/>
    </w:pPr>
    <w:rPr>
      <w:color w:val="auto"/>
    </w:rPr>
  </w:style>
  <w:style w:type="paragraph" w:styleId="BodyTextIndent3">
    <w:name w:val="Body Text Indent 3"/>
    <w:basedOn w:val="Normal"/>
    <w:link w:val="BodyTextIndent3Char"/>
    <w:rsid w:val="008A2726"/>
    <w:pPr>
      <w:spacing w:after="0"/>
      <w:ind w:left="1350"/>
    </w:pPr>
    <w:rPr>
      <w:rFonts w:ascii="Times New Roman" w:hAnsi="Times New Roman" w:cs="Times New Roman"/>
      <w:sz w:val="22"/>
      <w:szCs w:val="20"/>
    </w:rPr>
  </w:style>
  <w:style w:type="character" w:customStyle="1" w:styleId="BodyTextIndent3Char">
    <w:name w:val="Body Text Indent 3 Char"/>
    <w:basedOn w:val="DefaultParagraphFont"/>
    <w:link w:val="BodyTextIndent3"/>
    <w:rsid w:val="008A2726"/>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3398">
      <w:bodyDiv w:val="1"/>
      <w:marLeft w:val="0"/>
      <w:marRight w:val="0"/>
      <w:marTop w:val="0"/>
      <w:marBottom w:val="0"/>
      <w:divBdr>
        <w:top w:val="none" w:sz="0" w:space="0" w:color="auto"/>
        <w:left w:val="none" w:sz="0" w:space="0" w:color="auto"/>
        <w:bottom w:val="none" w:sz="0" w:space="0" w:color="auto"/>
        <w:right w:val="none" w:sz="0" w:space="0" w:color="auto"/>
      </w:divBdr>
    </w:div>
    <w:div w:id="215163594">
      <w:bodyDiv w:val="1"/>
      <w:marLeft w:val="0"/>
      <w:marRight w:val="0"/>
      <w:marTop w:val="0"/>
      <w:marBottom w:val="0"/>
      <w:divBdr>
        <w:top w:val="none" w:sz="0" w:space="0" w:color="auto"/>
        <w:left w:val="none" w:sz="0" w:space="0" w:color="auto"/>
        <w:bottom w:val="none" w:sz="0" w:space="0" w:color="auto"/>
        <w:right w:val="none" w:sz="0" w:space="0" w:color="auto"/>
      </w:divBdr>
    </w:div>
    <w:div w:id="358165455">
      <w:bodyDiv w:val="1"/>
      <w:marLeft w:val="0"/>
      <w:marRight w:val="0"/>
      <w:marTop w:val="0"/>
      <w:marBottom w:val="0"/>
      <w:divBdr>
        <w:top w:val="none" w:sz="0" w:space="0" w:color="auto"/>
        <w:left w:val="none" w:sz="0" w:space="0" w:color="auto"/>
        <w:bottom w:val="none" w:sz="0" w:space="0" w:color="auto"/>
        <w:right w:val="none" w:sz="0" w:space="0" w:color="auto"/>
      </w:divBdr>
    </w:div>
    <w:div w:id="777020090">
      <w:bodyDiv w:val="1"/>
      <w:marLeft w:val="0"/>
      <w:marRight w:val="0"/>
      <w:marTop w:val="0"/>
      <w:marBottom w:val="0"/>
      <w:divBdr>
        <w:top w:val="none" w:sz="0" w:space="0" w:color="auto"/>
        <w:left w:val="none" w:sz="0" w:space="0" w:color="auto"/>
        <w:bottom w:val="none" w:sz="0" w:space="0" w:color="auto"/>
        <w:right w:val="none" w:sz="0" w:space="0" w:color="auto"/>
      </w:divBdr>
    </w:div>
    <w:div w:id="821972076">
      <w:bodyDiv w:val="1"/>
      <w:marLeft w:val="0"/>
      <w:marRight w:val="0"/>
      <w:marTop w:val="0"/>
      <w:marBottom w:val="0"/>
      <w:divBdr>
        <w:top w:val="none" w:sz="0" w:space="0" w:color="auto"/>
        <w:left w:val="none" w:sz="0" w:space="0" w:color="auto"/>
        <w:bottom w:val="none" w:sz="0" w:space="0" w:color="auto"/>
        <w:right w:val="none" w:sz="0" w:space="0" w:color="auto"/>
      </w:divBdr>
    </w:div>
    <w:div w:id="967710734">
      <w:bodyDiv w:val="1"/>
      <w:marLeft w:val="0"/>
      <w:marRight w:val="0"/>
      <w:marTop w:val="0"/>
      <w:marBottom w:val="0"/>
      <w:divBdr>
        <w:top w:val="none" w:sz="0" w:space="0" w:color="auto"/>
        <w:left w:val="none" w:sz="0" w:space="0" w:color="auto"/>
        <w:bottom w:val="none" w:sz="0" w:space="0" w:color="auto"/>
        <w:right w:val="none" w:sz="0" w:space="0" w:color="auto"/>
      </w:divBdr>
    </w:div>
    <w:div w:id="1418789613">
      <w:bodyDiv w:val="1"/>
      <w:marLeft w:val="0"/>
      <w:marRight w:val="0"/>
      <w:marTop w:val="0"/>
      <w:marBottom w:val="0"/>
      <w:divBdr>
        <w:top w:val="none" w:sz="0" w:space="0" w:color="auto"/>
        <w:left w:val="none" w:sz="0" w:space="0" w:color="auto"/>
        <w:bottom w:val="none" w:sz="0" w:space="0" w:color="auto"/>
        <w:right w:val="none" w:sz="0" w:space="0" w:color="auto"/>
      </w:divBdr>
    </w:div>
    <w:div w:id="184242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5539</Words>
  <Characters>31834</Characters>
  <Application>Microsoft Office Word</Application>
  <DocSecurity>0</DocSecurity>
  <PresentationFormat/>
  <Lines>760</Lines>
  <Paragraphs>240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37417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2013-05-12T17:47:00Z</cp:lastPrinted>
  <dcterms:created xsi:type="dcterms:W3CDTF">2013-12-10T15:14:00Z</dcterms:created>
  <dcterms:modified xsi:type="dcterms:W3CDTF">2013-12-10T15:15:00Z</dcterms:modified>
  <cp:category> </cp:category>
  <cp:contentStatus> </cp:contentStatus>
</cp:coreProperties>
</file>