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E96E45" w:rsidRPr="001977EB" w:rsidP="00DD0358" w14:paraId="78E3C592" w14:textId="77777777">
      <w:pPr>
        <w:spacing w:line="240" w:lineRule="auto"/>
        <w:jc w:val="center"/>
        <w:rPr>
          <w:rFonts w:ascii="Times New Roman" w:hAnsi="Times New Roman" w:cs="Times New Roman"/>
          <w:b/>
          <w:bCs/>
          <w:sz w:val="24"/>
          <w:szCs w:val="24"/>
        </w:rPr>
      </w:pPr>
      <w:bookmarkStart w:id="0" w:name="_Hlk154043714"/>
      <w:r w:rsidRPr="001977EB">
        <w:rPr>
          <w:rFonts w:ascii="Times New Roman" w:hAnsi="Times New Roman" w:cs="Times New Roman"/>
          <w:b/>
          <w:sz w:val="24"/>
          <w:szCs w:val="24"/>
        </w:rPr>
        <w:t>BEFORE</w:t>
      </w:r>
    </w:p>
    <w:p w:rsidR="00E96E45" w:rsidRPr="001977EB" w:rsidP="00DD0358" w14:paraId="551F668D" w14:textId="77777777">
      <w:pPr>
        <w:spacing w:line="240" w:lineRule="auto"/>
        <w:jc w:val="center"/>
        <w:rPr>
          <w:rFonts w:ascii="Times New Roman" w:hAnsi="Times New Roman" w:cs="Times New Roman"/>
          <w:b/>
          <w:sz w:val="24"/>
          <w:szCs w:val="24"/>
        </w:rPr>
      </w:pPr>
      <w:r w:rsidRPr="001977EB">
        <w:rPr>
          <w:rFonts w:ascii="Times New Roman" w:hAnsi="Times New Roman" w:cs="Times New Roman"/>
          <w:b/>
          <w:sz w:val="24"/>
          <w:szCs w:val="24"/>
        </w:rPr>
        <w:t>THE PUBLIC UTILITIES COMMISSION OF OHIO</w:t>
      </w:r>
    </w:p>
    <w:p w:rsidR="00E96E45" w:rsidRPr="001977EB" w:rsidP="007B241F" w14:paraId="30AE1A72" w14:textId="77777777">
      <w:pPr>
        <w:autoSpaceDE w:val="0"/>
        <w:autoSpaceDN w:val="0"/>
        <w:adjustRightInd w:val="0"/>
        <w:spacing w:line="240" w:lineRule="auto"/>
        <w:jc w:val="center"/>
        <w:rPr>
          <w:rFonts w:ascii="Times New Roman" w:hAnsi="Times New Roman" w:cs="Times New Roman"/>
          <w:b/>
          <w:bCs/>
          <w:sz w:val="24"/>
          <w:szCs w:val="24"/>
        </w:rPr>
      </w:pPr>
    </w:p>
    <w:tbl>
      <w:tblPr>
        <w:tblW w:w="9092" w:type="dxa"/>
        <w:tblInd w:w="0" w:type="dxa"/>
        <w:tblCellMar>
          <w:top w:w="0" w:type="dxa"/>
          <w:left w:w="108" w:type="dxa"/>
          <w:bottom w:w="0" w:type="dxa"/>
          <w:right w:w="108" w:type="dxa"/>
        </w:tblCellMar>
        <w:tblLook w:val="01E0"/>
      </w:tblPr>
      <w:tblGrid>
        <w:gridCol w:w="4230"/>
        <w:gridCol w:w="462"/>
        <w:gridCol w:w="4400"/>
      </w:tblGrid>
      <w:tr w14:paraId="022550EF" w14:textId="77777777" w:rsidTr="00FE61AF">
        <w:tblPrEx>
          <w:tblW w:w="9092" w:type="dxa"/>
          <w:tblInd w:w="0" w:type="dxa"/>
          <w:tblCellMar>
            <w:top w:w="0" w:type="dxa"/>
            <w:left w:w="108" w:type="dxa"/>
            <w:bottom w:w="0" w:type="dxa"/>
            <w:right w:w="108" w:type="dxa"/>
          </w:tblCellMar>
          <w:tblLook w:val="01E0"/>
        </w:tblPrEx>
        <w:trPr>
          <w:trHeight w:val="807"/>
        </w:trPr>
        <w:tc>
          <w:tcPr>
            <w:tcW w:w="4230" w:type="dxa"/>
            <w:shd w:val="clear" w:color="auto" w:fill="auto"/>
          </w:tcPr>
          <w:p w:rsidR="00147BA4" w:rsidRPr="001977EB" w:rsidP="00EB2523" w14:paraId="22395E7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56"/>
              <w:rPr>
                <w:rFonts w:ascii="Times New Roman" w:eastAsia="Courier New" w:hAnsi="Times New Roman" w:cs="Times New Roman"/>
                <w:sz w:val="24"/>
                <w:szCs w:val="24"/>
                <w:lang w:val="en-US" w:eastAsia="en-US" w:bidi="ar-SA"/>
              </w:rPr>
            </w:pPr>
            <w:r w:rsidRPr="001977EB">
              <w:rPr>
                <w:rFonts w:ascii="Times New Roman" w:eastAsia="Courier New" w:hAnsi="Times New Roman" w:cs="Times New Roman"/>
                <w:sz w:val="24"/>
                <w:szCs w:val="24"/>
                <w:lang w:val="en-US" w:eastAsia="en-US" w:bidi="ar-SA"/>
              </w:rPr>
              <w:t>In the Matter of the OVEC Generation Purchase Rider Audits Required by R.C. 4928.148 for Duke Energy Ohio, Inc., the Dayton Power and Light Company, and AEP Ohio.</w:t>
            </w:r>
          </w:p>
        </w:tc>
        <w:tc>
          <w:tcPr>
            <w:tcW w:w="462" w:type="dxa"/>
            <w:shd w:val="clear" w:color="auto" w:fill="auto"/>
          </w:tcPr>
          <w:p w:rsidR="00147BA4" w:rsidRPr="001977EB" w:rsidP="00EB2523" w14:paraId="0DEA711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ourier New" w:hAnsi="Times New Roman" w:cs="Times New Roman"/>
                <w:sz w:val="24"/>
                <w:szCs w:val="24"/>
                <w:lang w:val="en-US" w:eastAsia="en-US" w:bidi="ar-SA"/>
              </w:rPr>
            </w:pPr>
            <w:r w:rsidRPr="001977EB">
              <w:rPr>
                <w:rFonts w:ascii="Times New Roman" w:eastAsia="Courier New" w:hAnsi="Times New Roman" w:cs="Times New Roman"/>
                <w:sz w:val="24"/>
                <w:szCs w:val="24"/>
                <w:lang w:val="en-US" w:eastAsia="en-US" w:bidi="ar-SA"/>
              </w:rPr>
              <w:t>)</w:t>
            </w:r>
          </w:p>
          <w:p w:rsidR="00147BA4" w:rsidRPr="001977EB" w:rsidP="00EB2523" w14:paraId="760097F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ourier New" w:hAnsi="Times New Roman" w:cs="Times New Roman"/>
                <w:sz w:val="24"/>
                <w:szCs w:val="24"/>
                <w:lang w:val="en-US" w:eastAsia="en-US" w:bidi="ar-SA"/>
              </w:rPr>
            </w:pPr>
            <w:r w:rsidRPr="001977EB">
              <w:rPr>
                <w:rFonts w:ascii="Times New Roman" w:eastAsia="Courier New" w:hAnsi="Times New Roman" w:cs="Times New Roman"/>
                <w:sz w:val="24"/>
                <w:szCs w:val="24"/>
                <w:lang w:val="en-US" w:eastAsia="en-US" w:bidi="ar-SA"/>
              </w:rPr>
              <w:t>)</w:t>
            </w:r>
          </w:p>
          <w:p w:rsidR="00147BA4" w:rsidRPr="001977EB" w:rsidP="00EB2523" w14:paraId="0FD2525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ourier New" w:hAnsi="Times New Roman" w:cs="Times New Roman"/>
                <w:sz w:val="24"/>
                <w:szCs w:val="24"/>
                <w:lang w:val="en-US" w:eastAsia="en-US" w:bidi="ar-SA"/>
              </w:rPr>
            </w:pPr>
            <w:r w:rsidRPr="001977EB">
              <w:rPr>
                <w:rFonts w:ascii="Times New Roman" w:eastAsia="Courier New" w:hAnsi="Times New Roman" w:cs="Times New Roman"/>
                <w:sz w:val="24"/>
                <w:szCs w:val="24"/>
                <w:lang w:val="en-US" w:eastAsia="en-US" w:bidi="ar-SA"/>
              </w:rPr>
              <w:t>)</w:t>
            </w:r>
          </w:p>
          <w:p w:rsidR="00147BA4" w:rsidRPr="001977EB" w:rsidP="00EB2523" w14:paraId="12AEBB3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ourier New" w:hAnsi="Times New Roman" w:cs="Times New Roman"/>
                <w:sz w:val="24"/>
                <w:szCs w:val="24"/>
                <w:lang w:val="en-US" w:eastAsia="en-US" w:bidi="ar-SA"/>
              </w:rPr>
            </w:pPr>
            <w:r w:rsidRPr="001977EB">
              <w:rPr>
                <w:rFonts w:ascii="Times New Roman" w:eastAsia="Courier New" w:hAnsi="Times New Roman" w:cs="Times New Roman"/>
                <w:sz w:val="24"/>
                <w:szCs w:val="24"/>
                <w:lang w:val="en-US" w:eastAsia="en-US" w:bidi="ar-SA"/>
              </w:rPr>
              <w:t>)</w:t>
            </w:r>
          </w:p>
          <w:p w:rsidR="00147BA4" w:rsidRPr="001977EB" w:rsidP="00EB2523" w14:paraId="544FEE8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ourier New" w:hAnsi="Times New Roman" w:cs="Times New Roman"/>
                <w:sz w:val="24"/>
                <w:szCs w:val="24"/>
                <w:lang w:val="en-US" w:eastAsia="en-US" w:bidi="ar-SA"/>
              </w:rPr>
            </w:pPr>
            <w:r w:rsidRPr="001977EB">
              <w:rPr>
                <w:rFonts w:ascii="Times New Roman" w:eastAsia="Courier New" w:hAnsi="Times New Roman" w:cs="Times New Roman"/>
                <w:sz w:val="24"/>
                <w:szCs w:val="24"/>
                <w:lang w:val="en-US" w:eastAsia="en-US" w:bidi="ar-SA"/>
              </w:rPr>
              <w:t>)</w:t>
            </w:r>
          </w:p>
        </w:tc>
        <w:tc>
          <w:tcPr>
            <w:tcW w:w="4400" w:type="dxa"/>
            <w:shd w:val="clear" w:color="auto" w:fill="auto"/>
          </w:tcPr>
          <w:p w:rsidR="00147BA4" w:rsidRPr="001977EB" w:rsidP="00EB2523" w14:paraId="197DFBC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4"/>
              <w:rPr>
                <w:rFonts w:ascii="Times New Roman" w:eastAsia="Courier New" w:hAnsi="Times New Roman" w:cs="Times New Roman"/>
                <w:sz w:val="24"/>
                <w:szCs w:val="24"/>
                <w:lang w:val="en-US" w:eastAsia="en-US" w:bidi="ar-SA"/>
              </w:rPr>
            </w:pPr>
          </w:p>
          <w:p w:rsidR="00147BA4" w:rsidRPr="001977EB" w:rsidP="00EB2523" w14:paraId="113088C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4"/>
              <w:rPr>
                <w:rFonts w:ascii="Times New Roman" w:eastAsia="Courier New" w:hAnsi="Times New Roman" w:cs="Times New Roman"/>
                <w:sz w:val="24"/>
                <w:szCs w:val="24"/>
                <w:lang w:val="en-US" w:eastAsia="en-US" w:bidi="ar-SA"/>
              </w:rPr>
            </w:pPr>
          </w:p>
          <w:p w:rsidR="00147BA4" w:rsidRPr="001977EB" w:rsidP="00EB2523" w14:paraId="0DFC672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4"/>
              <w:rPr>
                <w:rFonts w:ascii="Times New Roman" w:eastAsia="Courier New" w:hAnsi="Times New Roman" w:cs="Times New Roman"/>
                <w:sz w:val="24"/>
                <w:szCs w:val="24"/>
                <w:lang w:val="en-US" w:eastAsia="en-US" w:bidi="ar-SA"/>
              </w:rPr>
            </w:pPr>
            <w:r w:rsidRPr="001977EB">
              <w:rPr>
                <w:rFonts w:ascii="Times New Roman" w:eastAsia="Courier New" w:hAnsi="Times New Roman" w:cs="Times New Roman"/>
                <w:sz w:val="24"/>
                <w:szCs w:val="24"/>
                <w:lang w:val="en-US" w:eastAsia="en-US" w:bidi="ar-SA"/>
              </w:rPr>
              <w:t>Case No. 21-477-EL-RDR</w:t>
            </w:r>
          </w:p>
          <w:p w:rsidR="00147BA4" w:rsidRPr="001977EB" w:rsidP="00EB2523" w14:paraId="270E1EB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4"/>
              <w:rPr>
                <w:rFonts w:ascii="Times New Roman" w:eastAsia="Courier New" w:hAnsi="Times New Roman" w:cs="Times New Roman"/>
                <w:sz w:val="24"/>
                <w:szCs w:val="24"/>
                <w:lang w:val="en-US" w:eastAsia="en-US" w:bidi="ar-SA"/>
              </w:rPr>
            </w:pPr>
          </w:p>
          <w:p w:rsidR="00147BA4" w:rsidRPr="001977EB" w:rsidP="00EB2523" w14:paraId="63BDC46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4"/>
              <w:rPr>
                <w:rFonts w:ascii="Times New Roman" w:eastAsia="Courier New" w:hAnsi="Times New Roman" w:cs="Times New Roman"/>
                <w:sz w:val="24"/>
                <w:szCs w:val="24"/>
                <w:lang w:val="en-US" w:eastAsia="en-US" w:bidi="ar-SA"/>
              </w:rPr>
            </w:pPr>
          </w:p>
        </w:tc>
      </w:tr>
      <w:bookmarkEnd w:id="0"/>
    </w:tbl>
    <w:p w:rsidR="00E251BA" w:rsidRPr="001977EB" w:rsidP="007B241F" w14:paraId="6C9E914D" w14:textId="77777777">
      <w:pPr>
        <w:pBdr>
          <w:bottom w:val="single" w:sz="12" w:space="1" w:color="auto"/>
        </w:pBdr>
        <w:spacing w:line="240" w:lineRule="auto"/>
        <w:rPr>
          <w:rFonts w:ascii="Times New Roman" w:hAnsi="Times New Roman" w:cs="Times New Roman"/>
          <w:sz w:val="24"/>
          <w:szCs w:val="24"/>
        </w:rPr>
      </w:pPr>
    </w:p>
    <w:p w:rsidR="00E96E45" w:rsidRPr="001977EB" w:rsidP="00E96E45" w14:paraId="1A3924D3" w14:textId="77777777">
      <w:pPr>
        <w:pStyle w:val="HTMLPreformatted"/>
        <w:rPr>
          <w:rFonts w:ascii="Times New Roman" w:hAnsi="Times New Roman" w:cs="Times New Roman"/>
          <w:b/>
          <w:bCs/>
          <w:i/>
          <w:sz w:val="24"/>
          <w:szCs w:val="24"/>
        </w:rPr>
      </w:pPr>
    </w:p>
    <w:p w:rsidR="00E96E45" w:rsidRPr="001977EB" w:rsidP="00E96E45" w14:paraId="1D4661C9" w14:textId="77777777">
      <w:pPr>
        <w:pStyle w:val="HTMLPreformatted"/>
        <w:pBdr>
          <w:bottom w:val="single" w:sz="12" w:space="1" w:color="auto"/>
        </w:pBdr>
        <w:jc w:val="center"/>
        <w:rPr>
          <w:rFonts w:ascii="Times New Roman" w:hAnsi="Times New Roman" w:cs="Times New Roman"/>
          <w:b/>
          <w:bCs/>
          <w:sz w:val="24"/>
          <w:szCs w:val="24"/>
        </w:rPr>
      </w:pPr>
      <w:r w:rsidRPr="001977EB">
        <w:rPr>
          <w:rFonts w:ascii="Times New Roman" w:hAnsi="Times New Roman" w:cs="Times New Roman"/>
          <w:b/>
          <w:bCs/>
          <w:sz w:val="24"/>
          <w:szCs w:val="24"/>
        </w:rPr>
        <w:t>INITIAL BRIEF FOR CONSUMER PROTECTION</w:t>
      </w:r>
    </w:p>
    <w:p w:rsidR="00E96E45" w:rsidRPr="001977EB" w:rsidP="00E96E45" w14:paraId="3022192A" w14:textId="77777777">
      <w:pPr>
        <w:pStyle w:val="HTMLPreformatted"/>
        <w:pBdr>
          <w:bottom w:val="single" w:sz="12" w:space="1" w:color="auto"/>
        </w:pBdr>
        <w:jc w:val="center"/>
        <w:rPr>
          <w:rFonts w:ascii="Times New Roman" w:hAnsi="Times New Roman" w:cs="Times New Roman"/>
          <w:b/>
          <w:bCs/>
          <w:sz w:val="24"/>
          <w:szCs w:val="24"/>
        </w:rPr>
      </w:pPr>
      <w:r w:rsidRPr="001977EB">
        <w:rPr>
          <w:rFonts w:ascii="Times New Roman" w:hAnsi="Times New Roman" w:cs="Times New Roman"/>
          <w:b/>
          <w:bCs/>
          <w:sz w:val="24"/>
          <w:szCs w:val="24"/>
        </w:rPr>
        <w:t>BY</w:t>
      </w:r>
    </w:p>
    <w:p w:rsidR="00E96E45" w:rsidRPr="001977EB" w:rsidP="00E96E45" w14:paraId="272C1C21" w14:textId="77777777">
      <w:pPr>
        <w:pStyle w:val="HTMLPreformatted"/>
        <w:pBdr>
          <w:bottom w:val="single" w:sz="12" w:space="1" w:color="auto"/>
        </w:pBdr>
        <w:jc w:val="center"/>
        <w:rPr>
          <w:rFonts w:ascii="Times New Roman" w:hAnsi="Times New Roman" w:cs="Times New Roman"/>
          <w:b/>
          <w:bCs/>
          <w:sz w:val="24"/>
          <w:szCs w:val="24"/>
        </w:rPr>
      </w:pPr>
      <w:r w:rsidRPr="001977EB">
        <w:rPr>
          <w:rFonts w:ascii="Times New Roman" w:hAnsi="Times New Roman" w:cs="Times New Roman"/>
          <w:b/>
          <w:bCs/>
          <w:sz w:val="24"/>
          <w:szCs w:val="24"/>
        </w:rPr>
        <w:t>OFFICE OF THE OHIO CONSUMERS</w:t>
      </w:r>
      <w:r w:rsidR="001977EB">
        <w:rPr>
          <w:rFonts w:ascii="Times New Roman" w:hAnsi="Times New Roman" w:cs="Times New Roman"/>
          <w:b/>
          <w:bCs/>
          <w:sz w:val="24"/>
          <w:szCs w:val="24"/>
        </w:rPr>
        <w:t>’</w:t>
      </w:r>
      <w:r w:rsidRPr="001977EB">
        <w:rPr>
          <w:rFonts w:ascii="Times New Roman" w:hAnsi="Times New Roman" w:cs="Times New Roman"/>
          <w:b/>
          <w:bCs/>
          <w:sz w:val="24"/>
          <w:szCs w:val="24"/>
        </w:rPr>
        <w:t xml:space="preserve"> COUNSEL</w:t>
      </w:r>
    </w:p>
    <w:p w:rsidR="00E96E45" w:rsidRPr="001977EB" w:rsidP="00E96E45" w14:paraId="623FD67C" w14:textId="77777777">
      <w:pPr>
        <w:pStyle w:val="HTMLPreformatted"/>
        <w:pBdr>
          <w:bottom w:val="single" w:sz="12" w:space="1" w:color="auto"/>
        </w:pBdr>
        <w:jc w:val="center"/>
        <w:rPr>
          <w:rFonts w:ascii="Times New Roman" w:hAnsi="Times New Roman" w:cs="Times New Roman"/>
          <w:b/>
          <w:bCs/>
          <w:sz w:val="24"/>
          <w:szCs w:val="24"/>
        </w:rPr>
      </w:pPr>
    </w:p>
    <w:p w:rsidR="000D5294" w:rsidRPr="001977EB" w:rsidP="00FC50DF" w14:paraId="46142B3D" w14:textId="77777777">
      <w:pPr>
        <w:pStyle w:val="BodyTextIndent3"/>
        <w:widowControl w:val="0"/>
        <w:spacing w:after="0" w:line="240" w:lineRule="auto"/>
        <w:ind w:left="0"/>
        <w:rPr>
          <w:rFonts w:cs="Times New Roman"/>
          <w:sz w:val="24"/>
          <w:szCs w:val="24"/>
        </w:rPr>
      </w:pPr>
      <w:r w:rsidRPr="001977EB">
        <w:rPr>
          <w:rFonts w:cs="Times New Roman"/>
          <w:sz w:val="24"/>
          <w:szCs w:val="24"/>
        </w:rPr>
        <w:tab/>
      </w:r>
    </w:p>
    <w:p w:rsidR="000D5294" w:rsidRPr="001977EB" w:rsidP="000D5294" w14:paraId="0ECB94FC" w14:textId="77777777">
      <w:pPr>
        <w:pStyle w:val="Footer"/>
        <w:ind w:left="4680"/>
        <w:rPr>
          <w:rFonts w:ascii="Times New Roman" w:hAnsi="Times New Roman" w:cs="Times New Roman"/>
          <w:sz w:val="24"/>
          <w:szCs w:val="24"/>
        </w:rPr>
      </w:pPr>
    </w:p>
    <w:p w:rsidR="00147BA4" w:rsidRPr="001977EB" w:rsidP="00DC6949" w14:paraId="331F4883" w14:textId="77777777">
      <w:pPr>
        <w:widowControl w:val="0"/>
        <w:autoSpaceDE w:val="0"/>
        <w:autoSpaceDN w:val="0"/>
        <w:spacing w:line="240" w:lineRule="auto"/>
        <w:ind w:left="3960"/>
        <w:rPr>
          <w:rFonts w:ascii="Times New Roman" w:hAnsi="Times New Roman" w:cs="Times New Roman"/>
          <w:sz w:val="24"/>
          <w:szCs w:val="24"/>
        </w:rPr>
      </w:pPr>
      <w:r w:rsidRPr="001977EB">
        <w:rPr>
          <w:rFonts w:ascii="Times New Roman" w:hAnsi="Times New Roman" w:cs="Times New Roman"/>
          <w:sz w:val="24"/>
          <w:szCs w:val="24"/>
        </w:rPr>
        <w:t>Maureen R. Willis (0020847)</w:t>
      </w:r>
    </w:p>
    <w:p w:rsidR="00147BA4" w:rsidRPr="001977EB" w:rsidP="00DC6949" w14:paraId="522D8F92" w14:textId="77777777">
      <w:pPr>
        <w:widowControl w:val="0"/>
        <w:autoSpaceDE w:val="0"/>
        <w:autoSpaceDN w:val="0"/>
        <w:spacing w:line="240" w:lineRule="auto"/>
        <w:ind w:left="3960"/>
        <w:rPr>
          <w:rFonts w:ascii="Times New Roman" w:hAnsi="Times New Roman" w:cs="Times New Roman"/>
          <w:sz w:val="24"/>
          <w:szCs w:val="24"/>
        </w:rPr>
      </w:pPr>
      <w:r w:rsidRPr="001977EB">
        <w:rPr>
          <w:rFonts w:ascii="Times New Roman" w:hAnsi="Times New Roman" w:cs="Times New Roman"/>
          <w:sz w:val="24"/>
          <w:szCs w:val="24"/>
        </w:rPr>
        <w:t>Ohio Consumers</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Counsel</w:t>
      </w:r>
    </w:p>
    <w:p w:rsidR="00147BA4" w:rsidRPr="001977EB" w:rsidP="00DC6949" w14:paraId="38E9C6E8" w14:textId="77777777">
      <w:pPr>
        <w:widowControl w:val="0"/>
        <w:autoSpaceDE w:val="0"/>
        <w:autoSpaceDN w:val="0"/>
        <w:spacing w:line="240" w:lineRule="auto"/>
        <w:rPr>
          <w:rFonts w:ascii="Times New Roman" w:hAnsi="Times New Roman" w:cs="Times New Roman"/>
          <w:i/>
          <w:sz w:val="24"/>
          <w:szCs w:val="24"/>
          <w:u w:val="single"/>
        </w:rPr>
      </w:pPr>
    </w:p>
    <w:p w:rsidR="00A81ED3" w:rsidRPr="001977EB" w:rsidP="00A81ED3" w14:paraId="7B807736"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John Finnigan (0018689)</w:t>
      </w:r>
    </w:p>
    <w:p w:rsidR="00A81ED3" w:rsidRPr="001977EB" w:rsidP="00A81ED3" w14:paraId="0A6A5705"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Counsel of Record</w:t>
      </w:r>
    </w:p>
    <w:p w:rsidR="00A81ED3" w:rsidRPr="001977EB" w:rsidP="00A81ED3" w14:paraId="2C990CCC"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William J. Michael (0070921)</w:t>
      </w:r>
    </w:p>
    <w:p w:rsidR="00A81ED3" w:rsidRPr="001977EB" w:rsidP="00A81ED3" w14:paraId="068CA782"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Assistant Consumers</w:t>
      </w:r>
      <w:r w:rsidR="001977EB">
        <w:rPr>
          <w:rFonts w:ascii="Times New Roman" w:eastAsia="Times New Roman" w:hAnsi="Times New Roman" w:cs="Times New Roman"/>
          <w:sz w:val="24"/>
          <w:szCs w:val="24"/>
          <w:lang w:val="en-US"/>
        </w:rPr>
        <w:t>’</w:t>
      </w:r>
      <w:r w:rsidRPr="001977EB">
        <w:rPr>
          <w:rFonts w:ascii="Times New Roman" w:eastAsia="Times New Roman" w:hAnsi="Times New Roman" w:cs="Times New Roman"/>
          <w:sz w:val="24"/>
          <w:szCs w:val="24"/>
          <w:lang w:val="en-US"/>
        </w:rPr>
        <w:t xml:space="preserve"> Counsel</w:t>
      </w:r>
    </w:p>
    <w:p w:rsidR="00A81ED3" w:rsidRPr="001977EB" w:rsidP="00A81ED3" w14:paraId="5D02DEF2"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 xml:space="preserve">Alex Hickey </w:t>
      </w:r>
    </w:p>
    <w:p w:rsidR="00A81ED3" w:rsidRPr="001977EB" w:rsidP="00A81ED3" w14:paraId="522FD702"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 xml:space="preserve">Thomas Zuehlke </w:t>
      </w:r>
    </w:p>
    <w:p w:rsidR="00A81ED3" w:rsidRPr="001977EB" w:rsidP="00A81ED3" w14:paraId="1058538D"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Certified Legal Interns</w:t>
      </w:r>
    </w:p>
    <w:p w:rsidR="00A81ED3" w:rsidRPr="001977EB" w:rsidP="00A81ED3" w14:paraId="278A0A50" w14:textId="77777777">
      <w:pPr>
        <w:spacing w:line="240" w:lineRule="auto"/>
        <w:ind w:left="3960"/>
        <w:rPr>
          <w:rFonts w:ascii="Times New Roman" w:eastAsia="Times New Roman" w:hAnsi="Times New Roman" w:cs="Times New Roman"/>
          <w:sz w:val="24"/>
          <w:szCs w:val="24"/>
          <w:lang w:val="en-US"/>
        </w:rPr>
      </w:pPr>
    </w:p>
    <w:p w:rsidR="00A81ED3" w:rsidRPr="001977EB" w:rsidP="00A81ED3" w14:paraId="75BA5A7A" w14:textId="77777777">
      <w:pPr>
        <w:spacing w:line="240" w:lineRule="auto"/>
        <w:ind w:left="3960"/>
        <w:rPr>
          <w:rFonts w:ascii="Times New Roman" w:eastAsia="Times New Roman" w:hAnsi="Times New Roman" w:cs="Times New Roman"/>
          <w:b/>
          <w:bCs/>
          <w:sz w:val="24"/>
          <w:szCs w:val="24"/>
          <w:lang w:val="en-US"/>
        </w:rPr>
      </w:pPr>
      <w:r w:rsidRPr="001977EB">
        <w:rPr>
          <w:rFonts w:ascii="Times New Roman" w:eastAsia="Times New Roman" w:hAnsi="Times New Roman" w:cs="Times New Roman"/>
          <w:b/>
          <w:sz w:val="24"/>
          <w:szCs w:val="24"/>
          <w:lang w:val="en-US"/>
        </w:rPr>
        <w:t>Office of the Ohio Consumers</w:t>
      </w:r>
      <w:r w:rsidR="001977EB">
        <w:rPr>
          <w:rFonts w:ascii="Times New Roman" w:eastAsia="Times New Roman" w:hAnsi="Times New Roman" w:cs="Times New Roman"/>
          <w:b/>
          <w:sz w:val="24"/>
          <w:szCs w:val="24"/>
          <w:lang w:val="en-US"/>
        </w:rPr>
        <w:t>’</w:t>
      </w:r>
      <w:r w:rsidRPr="001977EB">
        <w:rPr>
          <w:rFonts w:ascii="Times New Roman" w:eastAsia="Times New Roman" w:hAnsi="Times New Roman" w:cs="Times New Roman"/>
          <w:b/>
          <w:sz w:val="24"/>
          <w:szCs w:val="24"/>
          <w:lang w:val="en-US"/>
        </w:rPr>
        <w:t xml:space="preserve"> Counsel</w:t>
      </w:r>
    </w:p>
    <w:p w:rsidR="00A81ED3" w:rsidRPr="001977EB" w:rsidP="00A81ED3" w14:paraId="092DFC1A" w14:textId="77777777">
      <w:pPr>
        <w:spacing w:line="240" w:lineRule="auto"/>
        <w:ind w:left="3960"/>
        <w:rPr>
          <w:rFonts w:ascii="Times New Roman" w:eastAsia="Times New Roman" w:hAnsi="Times New Roman" w:cs="Times New Roman"/>
          <w:bCs/>
          <w:sz w:val="24"/>
          <w:szCs w:val="24"/>
          <w:lang w:val="en-US"/>
        </w:rPr>
      </w:pPr>
      <w:r w:rsidRPr="001977EB">
        <w:rPr>
          <w:rFonts w:ascii="Times New Roman" w:eastAsia="Times New Roman" w:hAnsi="Times New Roman" w:cs="Times New Roman"/>
          <w:sz w:val="24"/>
          <w:szCs w:val="24"/>
          <w:lang w:val="en-US"/>
        </w:rPr>
        <w:t>65 East State Street, Suite 700</w:t>
      </w:r>
    </w:p>
    <w:p w:rsidR="00A81ED3" w:rsidRPr="001977EB" w:rsidP="00A81ED3" w14:paraId="442D15A3" w14:textId="77777777">
      <w:pPr>
        <w:spacing w:line="240" w:lineRule="auto"/>
        <w:ind w:left="3960"/>
        <w:rPr>
          <w:rFonts w:ascii="Times New Roman" w:eastAsia="Times New Roman" w:hAnsi="Times New Roman" w:cs="Times New Roman"/>
          <w:bCs/>
          <w:sz w:val="24"/>
          <w:szCs w:val="24"/>
          <w:lang w:val="en-US"/>
        </w:rPr>
      </w:pPr>
      <w:r w:rsidRPr="001977EB">
        <w:rPr>
          <w:rFonts w:ascii="Times New Roman" w:eastAsia="Times New Roman" w:hAnsi="Times New Roman" w:cs="Times New Roman"/>
          <w:sz w:val="24"/>
          <w:szCs w:val="24"/>
          <w:lang w:val="en-US"/>
        </w:rPr>
        <w:t>Columbus, Ohio 43215</w:t>
      </w:r>
    </w:p>
    <w:p w:rsidR="00A81ED3" w:rsidRPr="001977EB" w:rsidP="00A81ED3" w14:paraId="10A3DDCB" w14:textId="77777777">
      <w:pPr>
        <w:autoSpaceDE w:val="0"/>
        <w:autoSpaceDN w:val="0"/>
        <w:adjustRightInd w:val="0"/>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Telephone [Finnigan]</w:t>
      </w:r>
      <w:r w:rsidR="008B5C2B">
        <w:rPr>
          <w:rFonts w:ascii="Times New Roman" w:eastAsia="Times New Roman" w:hAnsi="Times New Roman" w:cs="Times New Roman"/>
          <w:sz w:val="24"/>
          <w:szCs w:val="24"/>
          <w:lang w:val="en-US"/>
        </w:rPr>
        <w:t>:</w:t>
      </w:r>
      <w:r w:rsidRPr="001977EB">
        <w:rPr>
          <w:rFonts w:ascii="Times New Roman" w:eastAsia="Times New Roman" w:hAnsi="Times New Roman" w:cs="Times New Roman"/>
          <w:sz w:val="24"/>
          <w:szCs w:val="24"/>
          <w:lang w:val="en-US"/>
        </w:rPr>
        <w:t xml:space="preserve"> (614) 466-9585</w:t>
      </w:r>
    </w:p>
    <w:p w:rsidR="00A81ED3" w:rsidRPr="001977EB" w:rsidP="00A81ED3" w14:paraId="79806479" w14:textId="77777777">
      <w:pPr>
        <w:autoSpaceDE w:val="0"/>
        <w:autoSpaceDN w:val="0"/>
        <w:adjustRightInd w:val="0"/>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Telephone [Michael]: (614) 466-1291</w:t>
      </w:r>
    </w:p>
    <w:p w:rsidR="00A81ED3" w:rsidRPr="001977EB" w:rsidP="00A81ED3" w14:paraId="4D9B6AD8" w14:textId="77777777">
      <w:pPr>
        <w:autoSpaceDE w:val="0"/>
        <w:autoSpaceDN w:val="0"/>
        <w:adjustRightInd w:val="0"/>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 xml:space="preserve">Telephone [Hickey]: (614) 466-9549 </w:t>
      </w:r>
    </w:p>
    <w:p w:rsidR="00A81ED3" w:rsidRPr="001977EB" w:rsidP="00A81ED3" w14:paraId="5E5EC818" w14:textId="77777777">
      <w:pPr>
        <w:autoSpaceDE w:val="0"/>
        <w:autoSpaceDN w:val="0"/>
        <w:adjustRightInd w:val="0"/>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Telephone [Zuehlke]: (614) 466-9569</w:t>
      </w:r>
    </w:p>
    <w:p w:rsidR="00A81ED3" w:rsidRPr="001977EB" w:rsidP="00A81ED3" w14:paraId="752F2292" w14:textId="77777777">
      <w:pPr>
        <w:spacing w:line="240" w:lineRule="auto"/>
        <w:ind w:left="3960"/>
        <w:rPr>
          <w:rFonts w:ascii="Times New Roman" w:eastAsia="Times New Roman" w:hAnsi="Times New Roman" w:cs="Times New Roman"/>
          <w:sz w:val="24"/>
          <w:szCs w:val="24"/>
          <w:lang w:val="en-US"/>
        </w:rPr>
      </w:pPr>
      <w:hyperlink r:id="rId6" w:history="1">
        <w:r w:rsidRPr="001977EB" w:rsidR="004007B9">
          <w:rPr>
            <w:rFonts w:ascii="Times New Roman" w:eastAsia="Times New Roman" w:hAnsi="Times New Roman" w:cs="Times New Roman"/>
            <w:color w:val="0000FF"/>
            <w:sz w:val="24"/>
            <w:szCs w:val="24"/>
            <w:u w:val="single"/>
            <w:lang w:val="en-US"/>
          </w:rPr>
          <w:t>john.finnigan@occ.ohio.gov</w:t>
        </w:r>
      </w:hyperlink>
    </w:p>
    <w:p w:rsidR="00A81ED3" w:rsidRPr="001977EB" w:rsidP="00A81ED3" w14:paraId="2C4E43C9" w14:textId="77777777">
      <w:pPr>
        <w:spacing w:line="240" w:lineRule="auto"/>
        <w:ind w:left="3960"/>
        <w:rPr>
          <w:rFonts w:ascii="Times New Roman" w:eastAsia="Times New Roman" w:hAnsi="Times New Roman" w:cs="Times New Roman"/>
          <w:color w:val="0000FF"/>
          <w:sz w:val="24"/>
          <w:szCs w:val="24"/>
          <w:u w:val="single"/>
          <w:lang w:val="en-US"/>
        </w:rPr>
      </w:pPr>
      <w:hyperlink r:id="rId7" w:history="1">
        <w:r w:rsidRPr="001977EB" w:rsidR="004007B9">
          <w:rPr>
            <w:rFonts w:ascii="Times New Roman" w:eastAsia="Times New Roman" w:hAnsi="Times New Roman" w:cs="Times New Roman"/>
            <w:color w:val="0000FF"/>
            <w:sz w:val="24"/>
            <w:szCs w:val="24"/>
            <w:u w:val="single"/>
            <w:lang w:val="en-US"/>
          </w:rPr>
          <w:t>william.michael@occ.ohio.gov</w:t>
        </w:r>
      </w:hyperlink>
    </w:p>
    <w:p w:rsidR="00A81ED3" w:rsidRPr="001977EB" w:rsidP="00A81ED3" w14:paraId="518B3C87" w14:textId="77777777">
      <w:pPr>
        <w:spacing w:line="240" w:lineRule="auto"/>
        <w:ind w:left="3960"/>
        <w:rPr>
          <w:rFonts w:ascii="Times New Roman" w:eastAsia="Times New Roman" w:hAnsi="Times New Roman" w:cs="Times New Roman"/>
          <w:sz w:val="24"/>
          <w:szCs w:val="24"/>
          <w:lang w:val="en-US"/>
        </w:rPr>
      </w:pPr>
      <w:hyperlink r:id="rId8" w:history="1">
        <w:r w:rsidRPr="001977EB" w:rsidR="004007B9">
          <w:rPr>
            <w:rFonts w:ascii="Times New Roman" w:eastAsia="Times New Roman" w:hAnsi="Times New Roman" w:cs="Times New Roman"/>
            <w:color w:val="0000FF"/>
            <w:sz w:val="24"/>
            <w:szCs w:val="24"/>
            <w:u w:val="single"/>
            <w:lang w:val="en-US"/>
          </w:rPr>
          <w:t>alex.hickey@occ.ohio.gov</w:t>
        </w:r>
      </w:hyperlink>
    </w:p>
    <w:p w:rsidR="00A81ED3" w:rsidRPr="001977EB" w:rsidP="00A81ED3" w14:paraId="659DDDF5" w14:textId="77777777">
      <w:pPr>
        <w:spacing w:line="240" w:lineRule="auto"/>
        <w:ind w:left="3960"/>
        <w:rPr>
          <w:rFonts w:ascii="Times New Roman" w:eastAsia="Times New Roman" w:hAnsi="Times New Roman" w:cs="Times New Roman"/>
          <w:sz w:val="24"/>
          <w:szCs w:val="24"/>
          <w:lang w:val="en-US"/>
        </w:rPr>
      </w:pPr>
      <w:hyperlink r:id="rId9" w:history="1">
        <w:r w:rsidRPr="001977EB" w:rsidR="004007B9">
          <w:rPr>
            <w:rFonts w:ascii="Times New Roman" w:eastAsia="Times New Roman" w:hAnsi="Times New Roman" w:cs="Times New Roman"/>
            <w:color w:val="0000FF"/>
            <w:sz w:val="24"/>
            <w:szCs w:val="24"/>
            <w:u w:val="single"/>
            <w:lang w:val="en-US"/>
          </w:rPr>
          <w:t>thomas.zuehlke@occ.ohio.gov</w:t>
        </w:r>
      </w:hyperlink>
    </w:p>
    <w:p w:rsidR="00147BA4" w:rsidRPr="001977EB" w:rsidP="00700F22" w14:paraId="7458F4D0" w14:textId="77777777">
      <w:pPr>
        <w:pStyle w:val="ListParagraph"/>
        <w:autoSpaceDE w:val="0"/>
        <w:autoSpaceDN w:val="0"/>
        <w:adjustRightInd w:val="0"/>
        <w:spacing w:line="240" w:lineRule="auto"/>
        <w:ind w:left="3960" w:hanging="3960"/>
        <w:rPr>
          <w:rFonts w:ascii="Times New Roman" w:hAnsi="Times New Roman" w:cs="Times New Roman"/>
          <w:b/>
          <w:sz w:val="24"/>
          <w:szCs w:val="24"/>
        </w:rPr>
      </w:pPr>
      <w:r w:rsidRPr="001977EB">
        <w:rPr>
          <w:rStyle w:val="Hyperlink"/>
          <w:rFonts w:ascii="Times New Roman" w:hAnsi="Times New Roman" w:cs="Times New Roman"/>
          <w:color w:val="auto"/>
          <w:sz w:val="24"/>
          <w:szCs w:val="24"/>
          <w:u w:val="none"/>
        </w:rPr>
        <w:t>February 12</w:t>
      </w:r>
      <w:r w:rsidRPr="001977EB" w:rsidR="00700F22">
        <w:rPr>
          <w:rStyle w:val="Hyperlink"/>
          <w:rFonts w:ascii="Times New Roman" w:hAnsi="Times New Roman" w:cs="Times New Roman"/>
          <w:color w:val="auto"/>
          <w:sz w:val="24"/>
          <w:szCs w:val="24"/>
          <w:u w:val="none"/>
        </w:rPr>
        <w:t>, 2024</w:t>
      </w:r>
      <w:r w:rsidRPr="001977EB" w:rsidR="00700F22">
        <w:rPr>
          <w:rStyle w:val="Hyperlink"/>
          <w:rFonts w:ascii="Times New Roman" w:hAnsi="Times New Roman" w:cs="Times New Roman"/>
          <w:color w:val="auto"/>
          <w:sz w:val="24"/>
          <w:szCs w:val="24"/>
          <w:u w:val="none"/>
        </w:rPr>
        <w:tab/>
      </w:r>
      <w:r w:rsidRPr="001977EB">
        <w:rPr>
          <w:rFonts w:ascii="Times New Roman" w:hAnsi="Times New Roman" w:cs="Times New Roman"/>
          <w:sz w:val="24"/>
          <w:szCs w:val="24"/>
        </w:rPr>
        <w:t>(willing to accept service by e-mail)</w:t>
      </w:r>
    </w:p>
    <w:p w:rsidR="00147BA4" w:rsidRPr="001977EB" w:rsidP="00147BA4" w14:paraId="13B4D696" w14:textId="77777777">
      <w:pPr>
        <w:pStyle w:val="HTMLPreformatted"/>
        <w:rPr>
          <w:rFonts w:ascii="Times New Roman" w:hAnsi="Times New Roman" w:cs="Times New Roman"/>
          <w:sz w:val="24"/>
          <w:szCs w:val="24"/>
        </w:rPr>
      </w:pPr>
    </w:p>
    <w:p w:rsidR="00C614D5" w:rsidRPr="001977EB" w14:paraId="1B98F842" w14:textId="77777777">
      <w:pPr>
        <w:rPr>
          <w:rFonts w:ascii="Times New Roman" w:hAnsi="Times New Roman" w:cs="Times New Roman"/>
          <w:sz w:val="24"/>
          <w:szCs w:val="24"/>
        </w:rPr>
      </w:pPr>
    </w:p>
    <w:p w:rsidR="004207E6" w:rsidRPr="001977EB" w:rsidP="000D5294" w14:paraId="5678C58E" w14:textId="77777777">
      <w:pPr>
        <w:pStyle w:val="ListParagraph"/>
        <w:autoSpaceDE w:val="0"/>
        <w:autoSpaceDN w:val="0"/>
        <w:adjustRightInd w:val="0"/>
        <w:spacing w:line="240" w:lineRule="auto"/>
        <w:ind w:left="0" w:firstLine="720"/>
        <w:rPr>
          <w:rStyle w:val="Hyperlink"/>
          <w:rFonts w:ascii="Times New Roman" w:hAnsi="Times New Roman" w:cs="Times New Roman"/>
          <w:color w:val="auto"/>
          <w:sz w:val="24"/>
          <w:szCs w:val="24"/>
          <w:u w:val="none"/>
        </w:rPr>
      </w:pPr>
    </w:p>
    <w:p w:rsidR="004207E6" w:rsidRPr="001977EB" w:rsidP="000D5294" w14:paraId="723FC0A9" w14:textId="77777777">
      <w:pPr>
        <w:pStyle w:val="ListParagraph"/>
        <w:autoSpaceDE w:val="0"/>
        <w:autoSpaceDN w:val="0"/>
        <w:adjustRightInd w:val="0"/>
        <w:spacing w:line="240" w:lineRule="auto"/>
        <w:ind w:left="0" w:firstLine="720"/>
        <w:rPr>
          <w:rStyle w:val="Hyperlink"/>
          <w:rFonts w:ascii="Times New Roman" w:hAnsi="Times New Roman" w:cs="Times New Roman"/>
          <w:color w:val="auto"/>
          <w:sz w:val="24"/>
          <w:szCs w:val="24"/>
          <w:u w:val="none"/>
        </w:rPr>
      </w:pPr>
    </w:p>
    <w:p w:rsidR="004207E6" w:rsidRPr="001977EB" w:rsidP="000D5294" w14:paraId="12CEF8B3" w14:textId="77777777">
      <w:pPr>
        <w:pStyle w:val="ListParagraph"/>
        <w:autoSpaceDE w:val="0"/>
        <w:autoSpaceDN w:val="0"/>
        <w:adjustRightInd w:val="0"/>
        <w:spacing w:line="240" w:lineRule="auto"/>
        <w:ind w:left="0" w:firstLine="720"/>
        <w:rPr>
          <w:rStyle w:val="Hyperlink"/>
          <w:rFonts w:ascii="Times New Roman" w:hAnsi="Times New Roman" w:cs="Times New Roman"/>
          <w:color w:val="auto"/>
          <w:sz w:val="24"/>
          <w:szCs w:val="24"/>
          <w:u w:val="none"/>
        </w:rPr>
      </w:pPr>
    </w:p>
    <w:p w:rsidR="00E96E45" w:rsidRPr="001977EB" w:rsidP="00852B02" w14:paraId="2927B4AF" w14:textId="77777777">
      <w:pPr>
        <w:jc w:val="center"/>
        <w:rPr>
          <w:rFonts w:ascii="Times New Roman" w:hAnsi="Times New Roman" w:cs="Times New Roman"/>
          <w:b/>
          <w:sz w:val="24"/>
          <w:szCs w:val="24"/>
        </w:rPr>
        <w:sectPr w:rsidSect="0038144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docGrid w:linePitch="299"/>
        </w:sectPr>
      </w:pPr>
    </w:p>
    <w:p w:rsidR="00BE1210" w:rsidRPr="001977EB" w:rsidP="00852B02" w14:paraId="734B6640" w14:textId="77777777">
      <w:pPr>
        <w:jc w:val="center"/>
        <w:rPr>
          <w:rFonts w:ascii="Times New Roman" w:hAnsi="Times New Roman" w:cs="Times New Roman"/>
          <w:b/>
          <w:sz w:val="24"/>
          <w:szCs w:val="24"/>
          <w:u w:val="single"/>
        </w:rPr>
      </w:pPr>
      <w:r w:rsidRPr="001977EB">
        <w:rPr>
          <w:rFonts w:ascii="Times New Roman" w:hAnsi="Times New Roman" w:cs="Times New Roman"/>
          <w:b/>
          <w:sz w:val="24"/>
          <w:szCs w:val="24"/>
          <w:u w:val="single"/>
        </w:rPr>
        <w:t>TABLE OF CONTENTS</w:t>
      </w:r>
    </w:p>
    <w:p w:rsidR="00BE1210" w:rsidRPr="001977EB" w:rsidP="00BE1210" w14:paraId="2E9EACCC" w14:textId="77777777">
      <w:pPr>
        <w:jc w:val="right"/>
        <w:rPr>
          <w:rFonts w:ascii="Times New Roman" w:hAnsi="Times New Roman" w:cs="Times New Roman"/>
          <w:b/>
          <w:sz w:val="24"/>
          <w:szCs w:val="24"/>
        </w:rPr>
      </w:pPr>
      <w:r w:rsidRPr="001977EB">
        <w:rPr>
          <w:rFonts w:ascii="Times New Roman" w:hAnsi="Times New Roman" w:cs="Times New Roman"/>
          <w:b/>
          <w:sz w:val="24"/>
          <w:szCs w:val="24"/>
        </w:rPr>
        <w:t>PAGE</w:t>
      </w:r>
    </w:p>
    <w:p w:rsidR="00312E61" w:rsidRPr="001977EB" w:rsidP="00DC62F6" w14:paraId="1857D837" w14:textId="77777777">
      <w:pPr>
        <w:rPr>
          <w:rFonts w:ascii="Times New Roman" w:hAnsi="Times New Roman" w:cs="Times New Roman"/>
          <w:b/>
          <w:sz w:val="24"/>
          <w:szCs w:val="24"/>
        </w:rPr>
      </w:pPr>
    </w:p>
    <w:p w:rsidR="00CB344D" w14:paraId="7D0E821B" w14:textId="77777777">
      <w:pPr>
        <w:pStyle w:val="TOC1"/>
        <w:rPr>
          <w:rFonts w:asciiTheme="minorHAnsi" w:eastAsiaTheme="minorEastAsia" w:hAnsiTheme="minorHAnsi" w:cstheme="minorBidi"/>
          <w:caps w:val="0"/>
          <w:noProof/>
          <w:kern w:val="2"/>
          <w:sz w:val="22"/>
          <w:lang w:val="en-US"/>
          <w14:ligatures w14:val="standardContextual"/>
        </w:rPr>
      </w:pPr>
      <w:r w:rsidRPr="001977EB">
        <w:rPr>
          <w:rFonts w:cs="Times New Roman"/>
          <w:b/>
          <w:szCs w:val="24"/>
        </w:rPr>
        <w:fldChar w:fldCharType="begin"/>
      </w:r>
      <w:r w:rsidRPr="001977EB">
        <w:rPr>
          <w:rFonts w:cs="Times New Roman"/>
          <w:b/>
          <w:szCs w:val="24"/>
        </w:rPr>
        <w:instrText xml:space="preserve"> TOC \o "1-3" \h \z \u </w:instrText>
      </w:r>
      <w:r w:rsidRPr="001977EB">
        <w:rPr>
          <w:rFonts w:cs="Times New Roman"/>
          <w:b/>
          <w:szCs w:val="24"/>
        </w:rPr>
        <w:fldChar w:fldCharType="separate"/>
      </w:r>
      <w:hyperlink w:anchor="_Toc158641637" w:history="1">
        <w:r w:rsidRPr="00735B18">
          <w:rPr>
            <w:rStyle w:val="Hyperlink"/>
            <w:rFonts w:cs="Times New Roman"/>
            <w:noProof/>
          </w:rPr>
          <w:t>I.</w:t>
        </w:r>
        <w:r>
          <w:rPr>
            <w:rFonts w:asciiTheme="minorHAnsi" w:eastAsiaTheme="minorEastAsia" w:hAnsiTheme="minorHAnsi" w:cstheme="minorBidi"/>
            <w:caps w:val="0"/>
            <w:noProof/>
            <w:kern w:val="2"/>
            <w:sz w:val="22"/>
            <w:lang w:val="en-US"/>
            <w14:ligatures w14:val="standardContextual"/>
          </w:rPr>
          <w:tab/>
        </w:r>
        <w:r w:rsidRPr="00735B18">
          <w:rPr>
            <w:rStyle w:val="Hyperlink"/>
            <w:rFonts w:cs="Times New Roman"/>
            <w:noProof/>
          </w:rPr>
          <w:t>INTRODUCTION</w:t>
        </w:r>
        <w:r>
          <w:rPr>
            <w:noProof/>
            <w:webHidden/>
          </w:rPr>
          <w:tab/>
        </w:r>
        <w:r>
          <w:rPr>
            <w:noProof/>
            <w:webHidden/>
          </w:rPr>
          <w:fldChar w:fldCharType="begin"/>
        </w:r>
        <w:r>
          <w:rPr>
            <w:noProof/>
            <w:webHidden/>
          </w:rPr>
          <w:instrText xml:space="preserve"> PAGEREF _Toc158641637 \h </w:instrText>
        </w:r>
        <w:r>
          <w:rPr>
            <w:noProof/>
            <w:webHidden/>
          </w:rPr>
          <w:fldChar w:fldCharType="separate"/>
        </w:r>
        <w:r>
          <w:rPr>
            <w:noProof/>
            <w:webHidden/>
          </w:rPr>
          <w:t>1</w:t>
        </w:r>
        <w:r>
          <w:rPr>
            <w:noProof/>
            <w:webHidden/>
          </w:rPr>
          <w:fldChar w:fldCharType="end"/>
        </w:r>
      </w:hyperlink>
    </w:p>
    <w:p w:rsidR="00CB344D" w14:paraId="30A234A1" w14:textId="77777777">
      <w:pPr>
        <w:pStyle w:val="TOC1"/>
        <w:rPr>
          <w:rFonts w:asciiTheme="minorHAnsi" w:eastAsiaTheme="minorEastAsia" w:hAnsiTheme="minorHAnsi" w:cstheme="minorBidi"/>
          <w:caps w:val="0"/>
          <w:noProof/>
          <w:kern w:val="2"/>
          <w:sz w:val="22"/>
          <w:lang w:val="en-US"/>
          <w14:ligatures w14:val="standardContextual"/>
        </w:rPr>
      </w:pPr>
      <w:hyperlink w:anchor="_Toc158641638" w:history="1">
        <w:r w:rsidRPr="00735B18" w:rsidR="004007B9">
          <w:rPr>
            <w:rStyle w:val="Hyperlink"/>
            <w:noProof/>
          </w:rPr>
          <w:t>II.</w:t>
        </w:r>
        <w:r w:rsidR="004007B9">
          <w:rPr>
            <w:rFonts w:asciiTheme="minorHAnsi" w:eastAsiaTheme="minorEastAsia" w:hAnsiTheme="minorHAnsi" w:cstheme="minorBidi"/>
            <w:caps w:val="0"/>
            <w:noProof/>
            <w:kern w:val="2"/>
            <w:sz w:val="22"/>
            <w:lang w:val="en-US"/>
            <w14:ligatures w14:val="standardContextual"/>
          </w:rPr>
          <w:tab/>
        </w:r>
        <w:r w:rsidRPr="00735B18" w:rsidR="004007B9">
          <w:rPr>
            <w:rStyle w:val="Hyperlink"/>
            <w:noProof/>
          </w:rPr>
          <w:t>BACKGROUND</w:t>
        </w:r>
        <w:r w:rsidR="004007B9">
          <w:rPr>
            <w:noProof/>
            <w:webHidden/>
          </w:rPr>
          <w:tab/>
        </w:r>
        <w:r w:rsidR="004007B9">
          <w:rPr>
            <w:noProof/>
            <w:webHidden/>
          </w:rPr>
          <w:fldChar w:fldCharType="begin"/>
        </w:r>
        <w:r w:rsidR="004007B9">
          <w:rPr>
            <w:noProof/>
            <w:webHidden/>
          </w:rPr>
          <w:instrText xml:space="preserve"> PAGEREF _Toc158641638 \h </w:instrText>
        </w:r>
        <w:r w:rsidR="004007B9">
          <w:rPr>
            <w:noProof/>
            <w:webHidden/>
          </w:rPr>
          <w:fldChar w:fldCharType="separate"/>
        </w:r>
        <w:r w:rsidR="004007B9">
          <w:rPr>
            <w:noProof/>
            <w:webHidden/>
          </w:rPr>
          <w:t>3</w:t>
        </w:r>
        <w:r w:rsidR="004007B9">
          <w:rPr>
            <w:noProof/>
            <w:webHidden/>
          </w:rPr>
          <w:fldChar w:fldCharType="end"/>
        </w:r>
      </w:hyperlink>
    </w:p>
    <w:p w:rsidR="00CB344D" w14:paraId="59C9D0D7" w14:textId="77777777">
      <w:pPr>
        <w:pStyle w:val="TOC2"/>
        <w:rPr>
          <w:rFonts w:asciiTheme="minorHAnsi" w:eastAsiaTheme="minorEastAsia" w:hAnsiTheme="minorHAnsi" w:cstheme="minorBidi"/>
          <w:noProof/>
          <w:kern w:val="2"/>
          <w:sz w:val="22"/>
          <w:lang w:val="en-US"/>
          <w14:ligatures w14:val="standardContextual"/>
        </w:rPr>
      </w:pPr>
      <w:hyperlink w:anchor="_Toc158641639" w:history="1">
        <w:r w:rsidRPr="00735B18" w:rsidR="004007B9">
          <w:rPr>
            <w:rStyle w:val="Hyperlink"/>
            <w:noProof/>
          </w:rPr>
          <w:t>A.</w:t>
        </w:r>
        <w:r w:rsidR="004007B9">
          <w:rPr>
            <w:rFonts w:asciiTheme="minorHAnsi" w:eastAsiaTheme="minorEastAsia" w:hAnsiTheme="minorHAnsi" w:cstheme="minorBidi"/>
            <w:noProof/>
            <w:kern w:val="2"/>
            <w:sz w:val="22"/>
            <w:lang w:val="en-US"/>
            <w14:ligatures w14:val="standardContextual"/>
          </w:rPr>
          <w:tab/>
        </w:r>
        <w:r w:rsidRPr="00735B18" w:rsidR="004007B9">
          <w:rPr>
            <w:rStyle w:val="Hyperlink"/>
            <w:noProof/>
          </w:rPr>
          <w:t>The coal plants.</w:t>
        </w:r>
        <w:r w:rsidR="004007B9">
          <w:rPr>
            <w:noProof/>
            <w:webHidden/>
          </w:rPr>
          <w:tab/>
        </w:r>
        <w:r w:rsidR="004007B9">
          <w:rPr>
            <w:noProof/>
            <w:webHidden/>
          </w:rPr>
          <w:fldChar w:fldCharType="begin"/>
        </w:r>
        <w:r w:rsidR="004007B9">
          <w:rPr>
            <w:noProof/>
            <w:webHidden/>
          </w:rPr>
          <w:instrText xml:space="preserve"> PAGEREF _Toc158641639 \h </w:instrText>
        </w:r>
        <w:r w:rsidR="004007B9">
          <w:rPr>
            <w:noProof/>
            <w:webHidden/>
          </w:rPr>
          <w:fldChar w:fldCharType="separate"/>
        </w:r>
        <w:r w:rsidR="004007B9">
          <w:rPr>
            <w:noProof/>
            <w:webHidden/>
          </w:rPr>
          <w:t>3</w:t>
        </w:r>
        <w:r w:rsidR="004007B9">
          <w:rPr>
            <w:noProof/>
            <w:webHidden/>
          </w:rPr>
          <w:fldChar w:fldCharType="end"/>
        </w:r>
      </w:hyperlink>
    </w:p>
    <w:p w:rsidR="00CB344D" w14:paraId="2E5DA578" w14:textId="77777777">
      <w:pPr>
        <w:pStyle w:val="TOC2"/>
        <w:rPr>
          <w:rFonts w:asciiTheme="minorHAnsi" w:eastAsiaTheme="minorEastAsia" w:hAnsiTheme="minorHAnsi" w:cstheme="minorBidi"/>
          <w:noProof/>
          <w:kern w:val="2"/>
          <w:sz w:val="22"/>
          <w:lang w:val="en-US"/>
          <w14:ligatures w14:val="standardContextual"/>
        </w:rPr>
      </w:pPr>
      <w:hyperlink w:anchor="_Toc158641640" w:history="1">
        <w:r w:rsidRPr="00735B18" w:rsidR="004007B9">
          <w:rPr>
            <w:rStyle w:val="Hyperlink"/>
            <w:noProof/>
          </w:rPr>
          <w:t>B.</w:t>
        </w:r>
        <w:r w:rsidR="004007B9">
          <w:rPr>
            <w:rFonts w:asciiTheme="minorHAnsi" w:eastAsiaTheme="minorEastAsia" w:hAnsiTheme="minorHAnsi" w:cstheme="minorBidi"/>
            <w:noProof/>
            <w:kern w:val="2"/>
            <w:sz w:val="22"/>
            <w:lang w:val="en-US"/>
            <w14:ligatures w14:val="standardContextual"/>
          </w:rPr>
          <w:tab/>
        </w:r>
        <w:r w:rsidRPr="00735B18" w:rsidR="004007B9">
          <w:rPr>
            <w:rStyle w:val="Hyperlink"/>
            <w:noProof/>
          </w:rPr>
          <w:t>The OVEC Operating Committee and OVEC management.</w:t>
        </w:r>
        <w:r w:rsidR="004007B9">
          <w:rPr>
            <w:noProof/>
            <w:webHidden/>
          </w:rPr>
          <w:tab/>
        </w:r>
        <w:r w:rsidR="004007B9">
          <w:rPr>
            <w:noProof/>
            <w:webHidden/>
          </w:rPr>
          <w:fldChar w:fldCharType="begin"/>
        </w:r>
        <w:r w:rsidR="004007B9">
          <w:rPr>
            <w:noProof/>
            <w:webHidden/>
          </w:rPr>
          <w:instrText xml:space="preserve"> PAGEREF _Toc158641640 \h </w:instrText>
        </w:r>
        <w:r w:rsidR="004007B9">
          <w:rPr>
            <w:noProof/>
            <w:webHidden/>
          </w:rPr>
          <w:fldChar w:fldCharType="separate"/>
        </w:r>
        <w:r w:rsidR="004007B9">
          <w:rPr>
            <w:noProof/>
            <w:webHidden/>
          </w:rPr>
          <w:t>4</w:t>
        </w:r>
        <w:r w:rsidR="004007B9">
          <w:rPr>
            <w:noProof/>
            <w:webHidden/>
          </w:rPr>
          <w:fldChar w:fldCharType="end"/>
        </w:r>
      </w:hyperlink>
    </w:p>
    <w:p w:rsidR="00CB344D" w14:paraId="59A1AC82" w14:textId="77777777">
      <w:pPr>
        <w:pStyle w:val="TOC2"/>
        <w:rPr>
          <w:rFonts w:asciiTheme="minorHAnsi" w:eastAsiaTheme="minorEastAsia" w:hAnsiTheme="minorHAnsi" w:cstheme="minorBidi"/>
          <w:noProof/>
          <w:kern w:val="2"/>
          <w:sz w:val="22"/>
          <w:lang w:val="en-US"/>
          <w14:ligatures w14:val="standardContextual"/>
        </w:rPr>
      </w:pPr>
      <w:hyperlink w:anchor="_Toc158641641" w:history="1">
        <w:r w:rsidRPr="00735B18" w:rsidR="004007B9">
          <w:rPr>
            <w:rStyle w:val="Hyperlink"/>
            <w:noProof/>
          </w:rPr>
          <w:t>C.</w:t>
        </w:r>
        <w:r w:rsidR="004007B9">
          <w:rPr>
            <w:rFonts w:asciiTheme="minorHAnsi" w:eastAsiaTheme="minorEastAsia" w:hAnsiTheme="minorHAnsi" w:cstheme="minorBidi"/>
            <w:noProof/>
            <w:kern w:val="2"/>
            <w:sz w:val="22"/>
            <w:lang w:val="en-US"/>
            <w14:ligatures w14:val="standardContextual"/>
          </w:rPr>
          <w:tab/>
        </w:r>
        <w:r w:rsidRPr="00735B18" w:rsidR="004007B9">
          <w:rPr>
            <w:rStyle w:val="Hyperlink"/>
            <w:noProof/>
          </w:rPr>
          <w:t>The H.B. 6 coal bailout.</w:t>
        </w:r>
        <w:r w:rsidR="004007B9">
          <w:rPr>
            <w:noProof/>
            <w:webHidden/>
          </w:rPr>
          <w:tab/>
        </w:r>
        <w:r w:rsidR="004007B9">
          <w:rPr>
            <w:noProof/>
            <w:webHidden/>
          </w:rPr>
          <w:fldChar w:fldCharType="begin"/>
        </w:r>
        <w:r w:rsidR="004007B9">
          <w:rPr>
            <w:noProof/>
            <w:webHidden/>
          </w:rPr>
          <w:instrText xml:space="preserve"> PAGEREF _Toc158641641 \h </w:instrText>
        </w:r>
        <w:r w:rsidR="004007B9">
          <w:rPr>
            <w:noProof/>
            <w:webHidden/>
          </w:rPr>
          <w:fldChar w:fldCharType="separate"/>
        </w:r>
        <w:r w:rsidR="004007B9">
          <w:rPr>
            <w:noProof/>
            <w:webHidden/>
          </w:rPr>
          <w:t>5</w:t>
        </w:r>
        <w:r w:rsidR="004007B9">
          <w:rPr>
            <w:noProof/>
            <w:webHidden/>
          </w:rPr>
          <w:fldChar w:fldCharType="end"/>
        </w:r>
      </w:hyperlink>
    </w:p>
    <w:p w:rsidR="00CB344D" w14:paraId="2A63CEBF" w14:textId="77777777">
      <w:pPr>
        <w:pStyle w:val="TOC2"/>
        <w:rPr>
          <w:rFonts w:asciiTheme="minorHAnsi" w:eastAsiaTheme="minorEastAsia" w:hAnsiTheme="minorHAnsi" w:cstheme="minorBidi"/>
          <w:noProof/>
          <w:kern w:val="2"/>
          <w:sz w:val="22"/>
          <w:lang w:val="en-US"/>
          <w14:ligatures w14:val="standardContextual"/>
        </w:rPr>
      </w:pPr>
      <w:hyperlink w:anchor="_Toc158641642" w:history="1">
        <w:r w:rsidRPr="00735B18" w:rsidR="004007B9">
          <w:rPr>
            <w:rStyle w:val="Hyperlink"/>
            <w:noProof/>
          </w:rPr>
          <w:t>D.</w:t>
        </w:r>
        <w:r w:rsidR="004007B9">
          <w:rPr>
            <w:rFonts w:asciiTheme="minorHAnsi" w:eastAsiaTheme="minorEastAsia" w:hAnsiTheme="minorHAnsi" w:cstheme="minorBidi"/>
            <w:noProof/>
            <w:kern w:val="2"/>
            <w:sz w:val="22"/>
            <w:lang w:val="en-US"/>
            <w14:ligatures w14:val="standardContextual"/>
          </w:rPr>
          <w:tab/>
        </w:r>
        <w:r w:rsidRPr="00735B18" w:rsidR="004007B9">
          <w:rPr>
            <w:rStyle w:val="Hyperlink"/>
            <w:noProof/>
          </w:rPr>
          <w:t>The Audit Reports revealed that AEP, Duke and DP&amp;L overcharged consumers $105 million in above-market price coal plant subsidy costs during 2020.</w:t>
        </w:r>
        <w:r w:rsidR="004007B9">
          <w:rPr>
            <w:noProof/>
            <w:webHidden/>
          </w:rPr>
          <w:tab/>
        </w:r>
        <w:r w:rsidR="004007B9">
          <w:rPr>
            <w:noProof/>
            <w:webHidden/>
          </w:rPr>
          <w:fldChar w:fldCharType="begin"/>
        </w:r>
        <w:r w:rsidR="004007B9">
          <w:rPr>
            <w:noProof/>
            <w:webHidden/>
          </w:rPr>
          <w:instrText xml:space="preserve"> PAGEREF _Toc158641642 \h </w:instrText>
        </w:r>
        <w:r w:rsidR="004007B9">
          <w:rPr>
            <w:noProof/>
            <w:webHidden/>
          </w:rPr>
          <w:fldChar w:fldCharType="separate"/>
        </w:r>
        <w:r w:rsidR="004007B9">
          <w:rPr>
            <w:noProof/>
            <w:webHidden/>
          </w:rPr>
          <w:t>6</w:t>
        </w:r>
        <w:r w:rsidR="004007B9">
          <w:rPr>
            <w:noProof/>
            <w:webHidden/>
          </w:rPr>
          <w:fldChar w:fldCharType="end"/>
        </w:r>
      </w:hyperlink>
    </w:p>
    <w:p w:rsidR="00CB344D" w14:paraId="51FF2EDB" w14:textId="77777777">
      <w:pPr>
        <w:pStyle w:val="TOC1"/>
        <w:rPr>
          <w:rFonts w:asciiTheme="minorHAnsi" w:eastAsiaTheme="minorEastAsia" w:hAnsiTheme="minorHAnsi" w:cstheme="minorBidi"/>
          <w:caps w:val="0"/>
          <w:noProof/>
          <w:kern w:val="2"/>
          <w:sz w:val="22"/>
          <w:lang w:val="en-US"/>
          <w14:ligatures w14:val="standardContextual"/>
        </w:rPr>
      </w:pPr>
      <w:hyperlink w:anchor="_Toc158641643" w:history="1">
        <w:r w:rsidRPr="00735B18" w:rsidR="004007B9">
          <w:rPr>
            <w:rStyle w:val="Hyperlink"/>
            <w:rFonts w:cs="Times New Roman"/>
            <w:noProof/>
          </w:rPr>
          <w:t>III.</w:t>
        </w:r>
        <w:r w:rsidR="004007B9">
          <w:rPr>
            <w:rFonts w:asciiTheme="minorHAnsi" w:eastAsiaTheme="minorEastAsia" w:hAnsiTheme="minorHAnsi" w:cstheme="minorBidi"/>
            <w:caps w:val="0"/>
            <w:noProof/>
            <w:kern w:val="2"/>
            <w:sz w:val="22"/>
            <w:lang w:val="en-US"/>
            <w14:ligatures w14:val="standardContextual"/>
          </w:rPr>
          <w:tab/>
        </w:r>
        <w:r w:rsidRPr="00735B18" w:rsidR="004007B9">
          <w:rPr>
            <w:rStyle w:val="Hyperlink"/>
            <w:rFonts w:cs="Times New Roman"/>
            <w:noProof/>
          </w:rPr>
          <w:t>ARGUMENT</w:t>
        </w:r>
        <w:r w:rsidR="004007B9">
          <w:rPr>
            <w:noProof/>
            <w:webHidden/>
          </w:rPr>
          <w:tab/>
        </w:r>
        <w:r w:rsidR="004007B9">
          <w:rPr>
            <w:noProof/>
            <w:webHidden/>
          </w:rPr>
          <w:fldChar w:fldCharType="begin"/>
        </w:r>
        <w:r w:rsidR="004007B9">
          <w:rPr>
            <w:noProof/>
            <w:webHidden/>
          </w:rPr>
          <w:instrText xml:space="preserve"> PAGEREF _Toc158641643 \h </w:instrText>
        </w:r>
        <w:r w:rsidR="004007B9">
          <w:rPr>
            <w:noProof/>
            <w:webHidden/>
          </w:rPr>
          <w:fldChar w:fldCharType="separate"/>
        </w:r>
        <w:r w:rsidR="004007B9">
          <w:rPr>
            <w:noProof/>
            <w:webHidden/>
          </w:rPr>
          <w:t>7</w:t>
        </w:r>
        <w:r w:rsidR="004007B9">
          <w:rPr>
            <w:noProof/>
            <w:webHidden/>
          </w:rPr>
          <w:fldChar w:fldCharType="end"/>
        </w:r>
      </w:hyperlink>
    </w:p>
    <w:p w:rsidR="00CB344D" w14:paraId="45B56D9C" w14:textId="77777777">
      <w:pPr>
        <w:pStyle w:val="TOC2"/>
        <w:rPr>
          <w:rFonts w:asciiTheme="minorHAnsi" w:eastAsiaTheme="minorEastAsia" w:hAnsiTheme="minorHAnsi" w:cstheme="minorBidi"/>
          <w:noProof/>
          <w:kern w:val="2"/>
          <w:sz w:val="22"/>
          <w:lang w:val="en-US"/>
          <w14:ligatures w14:val="standardContextual"/>
        </w:rPr>
      </w:pPr>
      <w:hyperlink w:anchor="_Toc158641644" w:history="1">
        <w:r w:rsidRPr="00735B18" w:rsidR="004007B9">
          <w:rPr>
            <w:rStyle w:val="Hyperlink"/>
            <w:noProof/>
          </w:rPr>
          <w:t>A.</w:t>
        </w:r>
        <w:r w:rsidR="004007B9">
          <w:rPr>
            <w:rFonts w:asciiTheme="minorHAnsi" w:eastAsiaTheme="minorEastAsia" w:hAnsiTheme="minorHAnsi" w:cstheme="minorBidi"/>
            <w:noProof/>
            <w:kern w:val="2"/>
            <w:sz w:val="22"/>
            <w:lang w:val="en-US"/>
            <w14:ligatures w14:val="standardContextual"/>
          </w:rPr>
          <w:tab/>
        </w:r>
        <w:r w:rsidRPr="00735B18" w:rsidR="004007B9">
          <w:rPr>
            <w:rStyle w:val="Hyperlink"/>
            <w:noProof/>
          </w:rPr>
          <w:t>AEP, Duke and DP&amp;L have the burden of proof to demonstrate that the coal plants were operated prudently, in the best interest of consumers and consistent with how a merchant coal plant owner would have bid the plants into the PJM Day-Ahead Energy market.</w:t>
        </w:r>
        <w:r w:rsidR="004007B9">
          <w:rPr>
            <w:noProof/>
            <w:webHidden/>
          </w:rPr>
          <w:tab/>
        </w:r>
        <w:r w:rsidR="004007B9">
          <w:rPr>
            <w:noProof/>
            <w:webHidden/>
          </w:rPr>
          <w:fldChar w:fldCharType="begin"/>
        </w:r>
        <w:r w:rsidR="004007B9">
          <w:rPr>
            <w:noProof/>
            <w:webHidden/>
          </w:rPr>
          <w:instrText xml:space="preserve"> PAGEREF _Toc158641644 \h </w:instrText>
        </w:r>
        <w:r w:rsidR="004007B9">
          <w:rPr>
            <w:noProof/>
            <w:webHidden/>
          </w:rPr>
          <w:fldChar w:fldCharType="separate"/>
        </w:r>
        <w:r w:rsidR="004007B9">
          <w:rPr>
            <w:noProof/>
            <w:webHidden/>
          </w:rPr>
          <w:t>7</w:t>
        </w:r>
        <w:r w:rsidR="004007B9">
          <w:rPr>
            <w:noProof/>
            <w:webHidden/>
          </w:rPr>
          <w:fldChar w:fldCharType="end"/>
        </w:r>
      </w:hyperlink>
    </w:p>
    <w:p w:rsidR="00CB344D" w14:paraId="5C3AE2A5" w14:textId="77777777">
      <w:pPr>
        <w:pStyle w:val="TOC2"/>
        <w:rPr>
          <w:rFonts w:asciiTheme="minorHAnsi" w:eastAsiaTheme="minorEastAsia" w:hAnsiTheme="minorHAnsi" w:cstheme="minorBidi"/>
          <w:noProof/>
          <w:kern w:val="2"/>
          <w:sz w:val="22"/>
          <w:lang w:val="en-US"/>
          <w14:ligatures w14:val="standardContextual"/>
        </w:rPr>
      </w:pPr>
      <w:hyperlink w:anchor="_Toc158641645" w:history="1">
        <w:r w:rsidRPr="00735B18" w:rsidR="004007B9">
          <w:rPr>
            <w:rStyle w:val="Hyperlink"/>
            <w:noProof/>
          </w:rPr>
          <w:t>B.</w:t>
        </w:r>
        <w:r w:rsidR="004007B9">
          <w:rPr>
            <w:rFonts w:asciiTheme="minorHAnsi" w:eastAsiaTheme="minorEastAsia" w:hAnsiTheme="minorHAnsi" w:cstheme="minorBidi"/>
            <w:noProof/>
            <w:kern w:val="2"/>
            <w:sz w:val="22"/>
            <w:lang w:val="en-US"/>
            <w14:ligatures w14:val="standardContextual"/>
          </w:rPr>
          <w:tab/>
        </w:r>
        <w:r w:rsidRPr="00735B18" w:rsidR="004007B9">
          <w:rPr>
            <w:rStyle w:val="Hyperlink"/>
            <w:noProof/>
          </w:rPr>
          <w:t>The Auditor failed to follow the PUCO’s Request for Proposal, which required the Auditor to determine whether the coal plants were operated “in the best interest of retail ratepayers.” AEP, Duke and DP&amp;L therefore failed to meet their burden to prove that the coal plants were operated “in the best interest of retail ratepayers.” The PUCO should therefore disallow the entire $105 million in overcharges.</w:t>
        </w:r>
        <w:r w:rsidR="004007B9">
          <w:rPr>
            <w:noProof/>
            <w:webHidden/>
          </w:rPr>
          <w:tab/>
        </w:r>
        <w:r w:rsidR="004007B9">
          <w:rPr>
            <w:noProof/>
            <w:webHidden/>
          </w:rPr>
          <w:fldChar w:fldCharType="begin"/>
        </w:r>
        <w:r w:rsidR="004007B9">
          <w:rPr>
            <w:noProof/>
            <w:webHidden/>
          </w:rPr>
          <w:instrText xml:space="preserve"> PAGEREF _Toc158641645 \h </w:instrText>
        </w:r>
        <w:r w:rsidR="004007B9">
          <w:rPr>
            <w:noProof/>
            <w:webHidden/>
          </w:rPr>
          <w:fldChar w:fldCharType="separate"/>
        </w:r>
        <w:r w:rsidR="004007B9">
          <w:rPr>
            <w:noProof/>
            <w:webHidden/>
          </w:rPr>
          <w:t>9</w:t>
        </w:r>
        <w:r w:rsidR="004007B9">
          <w:rPr>
            <w:noProof/>
            <w:webHidden/>
          </w:rPr>
          <w:fldChar w:fldCharType="end"/>
        </w:r>
      </w:hyperlink>
    </w:p>
    <w:p w:rsidR="00CB344D" w14:paraId="5A15C023" w14:textId="77777777">
      <w:pPr>
        <w:pStyle w:val="TOC2"/>
        <w:rPr>
          <w:rFonts w:asciiTheme="minorHAnsi" w:eastAsiaTheme="minorEastAsia" w:hAnsiTheme="minorHAnsi" w:cstheme="minorBidi"/>
          <w:noProof/>
          <w:kern w:val="2"/>
          <w:sz w:val="22"/>
          <w:lang w:val="en-US"/>
          <w14:ligatures w14:val="standardContextual"/>
        </w:rPr>
      </w:pPr>
      <w:hyperlink w:anchor="_Toc158641646" w:history="1">
        <w:r w:rsidRPr="00735B18" w:rsidR="004007B9">
          <w:rPr>
            <w:rStyle w:val="Hyperlink"/>
            <w:noProof/>
          </w:rPr>
          <w:t>C.</w:t>
        </w:r>
        <w:r w:rsidR="004007B9">
          <w:rPr>
            <w:rFonts w:asciiTheme="minorHAnsi" w:eastAsiaTheme="minorEastAsia" w:hAnsiTheme="minorHAnsi" w:cstheme="minorBidi"/>
            <w:noProof/>
            <w:kern w:val="2"/>
            <w:sz w:val="22"/>
            <w:lang w:val="en-US"/>
            <w14:ligatures w14:val="standardContextual"/>
          </w:rPr>
          <w:tab/>
        </w:r>
        <w:r w:rsidRPr="00735B18" w:rsidR="004007B9">
          <w:rPr>
            <w:rStyle w:val="Hyperlink"/>
            <w:noProof/>
          </w:rPr>
          <w:t>The Auditor failed to follow R.C. 4928.148(A)(1), which requires the Auditor to determine the prudence of “decisions related to offering the contractual commitment into the wholesale markets.” AEP, Duke and DP&amp;L therefore failed to meet their burden to prove that such decisions were prudent. The PUCO should therefore disallow the entire $105 million in overcharges.</w:t>
        </w:r>
        <w:r w:rsidR="004007B9">
          <w:rPr>
            <w:noProof/>
            <w:webHidden/>
          </w:rPr>
          <w:tab/>
        </w:r>
        <w:r w:rsidR="004007B9">
          <w:rPr>
            <w:noProof/>
            <w:webHidden/>
          </w:rPr>
          <w:fldChar w:fldCharType="begin"/>
        </w:r>
        <w:r w:rsidR="004007B9">
          <w:rPr>
            <w:noProof/>
            <w:webHidden/>
          </w:rPr>
          <w:instrText xml:space="preserve"> PAGEREF _Toc158641646 \h </w:instrText>
        </w:r>
        <w:r w:rsidR="004007B9">
          <w:rPr>
            <w:noProof/>
            <w:webHidden/>
          </w:rPr>
          <w:fldChar w:fldCharType="separate"/>
        </w:r>
        <w:r w:rsidR="004007B9">
          <w:rPr>
            <w:noProof/>
            <w:webHidden/>
          </w:rPr>
          <w:t>10</w:t>
        </w:r>
        <w:r w:rsidR="004007B9">
          <w:rPr>
            <w:noProof/>
            <w:webHidden/>
          </w:rPr>
          <w:fldChar w:fldCharType="end"/>
        </w:r>
      </w:hyperlink>
    </w:p>
    <w:p w:rsidR="00CB344D" w14:paraId="0F78E3A6" w14:textId="77777777">
      <w:pPr>
        <w:pStyle w:val="TOC2"/>
        <w:rPr>
          <w:rFonts w:asciiTheme="minorHAnsi" w:eastAsiaTheme="minorEastAsia" w:hAnsiTheme="minorHAnsi" w:cstheme="minorBidi"/>
          <w:noProof/>
          <w:kern w:val="2"/>
          <w:sz w:val="22"/>
          <w:lang w:val="en-US"/>
          <w14:ligatures w14:val="standardContextual"/>
        </w:rPr>
      </w:pPr>
      <w:hyperlink w:anchor="_Toc158641647" w:history="1">
        <w:r w:rsidRPr="00735B18" w:rsidR="004007B9">
          <w:rPr>
            <w:rStyle w:val="Hyperlink"/>
            <w:noProof/>
          </w:rPr>
          <w:t>D.</w:t>
        </w:r>
        <w:r w:rsidR="004007B9">
          <w:rPr>
            <w:rFonts w:asciiTheme="minorHAnsi" w:eastAsiaTheme="minorEastAsia" w:hAnsiTheme="minorHAnsi" w:cstheme="minorBidi"/>
            <w:noProof/>
            <w:kern w:val="2"/>
            <w:sz w:val="22"/>
            <w:lang w:val="en-US"/>
            <w14:ligatures w14:val="standardContextual"/>
          </w:rPr>
          <w:tab/>
        </w:r>
        <w:r w:rsidRPr="00735B18" w:rsidR="004007B9">
          <w:rPr>
            <w:rStyle w:val="Hyperlink"/>
            <w:noProof/>
          </w:rPr>
          <w:t>The coal plants were committed into the Day-Ahead Energy market as “must-run” during most of the year. The coal plants’ variable fuel and O&amp;M costs, however, exceeded the PJM revenues from the sale of electricity. This led to the $105 million in overcharges. It was imprudent and not in consumers’ best interest to commit the plants as “must-run” when these significant losses were foreseeable. The PUCO should therefore disallow the overcharges.</w:t>
        </w:r>
        <w:r w:rsidR="004007B9">
          <w:rPr>
            <w:noProof/>
            <w:webHidden/>
          </w:rPr>
          <w:tab/>
        </w:r>
        <w:r w:rsidR="004007B9">
          <w:rPr>
            <w:noProof/>
            <w:webHidden/>
          </w:rPr>
          <w:fldChar w:fldCharType="begin"/>
        </w:r>
        <w:r w:rsidR="004007B9">
          <w:rPr>
            <w:noProof/>
            <w:webHidden/>
          </w:rPr>
          <w:instrText xml:space="preserve"> PAGEREF _Toc158641647 \h </w:instrText>
        </w:r>
        <w:r w:rsidR="004007B9">
          <w:rPr>
            <w:noProof/>
            <w:webHidden/>
          </w:rPr>
          <w:fldChar w:fldCharType="separate"/>
        </w:r>
        <w:r w:rsidR="004007B9">
          <w:rPr>
            <w:noProof/>
            <w:webHidden/>
          </w:rPr>
          <w:t>13</w:t>
        </w:r>
        <w:r w:rsidR="004007B9">
          <w:rPr>
            <w:noProof/>
            <w:webHidden/>
          </w:rPr>
          <w:fldChar w:fldCharType="end"/>
        </w:r>
      </w:hyperlink>
    </w:p>
    <w:p w:rsidR="00CB344D" w14:paraId="2BC1FE1E" w14:textId="77777777">
      <w:pPr>
        <w:pStyle w:val="TOC2"/>
        <w:rPr>
          <w:rFonts w:asciiTheme="minorHAnsi" w:eastAsiaTheme="minorEastAsia" w:hAnsiTheme="minorHAnsi" w:cstheme="minorBidi"/>
          <w:noProof/>
          <w:kern w:val="2"/>
          <w:sz w:val="22"/>
          <w:lang w:val="en-US"/>
          <w14:ligatures w14:val="standardContextual"/>
        </w:rPr>
      </w:pPr>
      <w:hyperlink w:anchor="_Toc158641648" w:history="1">
        <w:r w:rsidRPr="00735B18" w:rsidR="004007B9">
          <w:rPr>
            <w:rStyle w:val="Hyperlink"/>
            <w:noProof/>
          </w:rPr>
          <w:t>E.</w:t>
        </w:r>
        <w:r w:rsidR="004007B9">
          <w:rPr>
            <w:rFonts w:asciiTheme="minorHAnsi" w:eastAsiaTheme="minorEastAsia" w:hAnsiTheme="minorHAnsi" w:cstheme="minorBidi"/>
            <w:noProof/>
            <w:kern w:val="2"/>
            <w:sz w:val="22"/>
            <w:lang w:val="en-US"/>
            <w14:ligatures w14:val="standardContextual"/>
          </w:rPr>
          <w:tab/>
        </w:r>
        <w:r w:rsidRPr="00735B18" w:rsidR="004007B9">
          <w:rPr>
            <w:rStyle w:val="Hyperlink"/>
            <w:noProof/>
          </w:rPr>
          <w:t>The coal plants were not committed into the Day-Ahead Energy market in a manner consistent with how a merchant plant owner seeking to maximize profits would have operated. AEP, Duke and DP&amp;L’s failure to operate the plants in the same manner as a merchant coal plant owner seeking to maximize profits was imprudent and violated R.C. 4928.148. The PUCO should therefore disallow the full $105 million in overcharges.</w:t>
        </w:r>
        <w:r w:rsidR="004007B9">
          <w:rPr>
            <w:noProof/>
            <w:webHidden/>
          </w:rPr>
          <w:tab/>
        </w:r>
        <w:r w:rsidR="004007B9">
          <w:rPr>
            <w:noProof/>
            <w:webHidden/>
          </w:rPr>
          <w:fldChar w:fldCharType="begin"/>
        </w:r>
        <w:r w:rsidR="004007B9">
          <w:rPr>
            <w:noProof/>
            <w:webHidden/>
          </w:rPr>
          <w:instrText xml:space="preserve"> PAGEREF _Toc158641648 \h </w:instrText>
        </w:r>
        <w:r w:rsidR="004007B9">
          <w:rPr>
            <w:noProof/>
            <w:webHidden/>
          </w:rPr>
          <w:fldChar w:fldCharType="separate"/>
        </w:r>
        <w:r w:rsidR="004007B9">
          <w:rPr>
            <w:noProof/>
            <w:webHidden/>
          </w:rPr>
          <w:t>19</w:t>
        </w:r>
        <w:r w:rsidR="004007B9">
          <w:rPr>
            <w:noProof/>
            <w:webHidden/>
          </w:rPr>
          <w:fldChar w:fldCharType="end"/>
        </w:r>
      </w:hyperlink>
    </w:p>
    <w:p w:rsidR="00CB344D" w14:paraId="4C3EA22F" w14:textId="77777777">
      <w:pPr>
        <w:pStyle w:val="TOC2"/>
        <w:rPr>
          <w:rFonts w:asciiTheme="minorHAnsi" w:eastAsiaTheme="minorEastAsia" w:hAnsiTheme="minorHAnsi" w:cstheme="minorBidi"/>
          <w:noProof/>
          <w:kern w:val="2"/>
          <w:sz w:val="22"/>
          <w:lang w:val="en-US"/>
          <w14:ligatures w14:val="standardContextual"/>
        </w:rPr>
      </w:pPr>
      <w:hyperlink w:anchor="_Toc158641649" w:history="1">
        <w:r w:rsidRPr="00735B18" w:rsidR="004007B9">
          <w:rPr>
            <w:rStyle w:val="Hyperlink"/>
            <w:noProof/>
          </w:rPr>
          <w:t>F.</w:t>
        </w:r>
        <w:r w:rsidR="004007B9">
          <w:rPr>
            <w:rFonts w:asciiTheme="minorHAnsi" w:eastAsiaTheme="minorEastAsia" w:hAnsiTheme="minorHAnsi" w:cstheme="minorBidi"/>
            <w:noProof/>
            <w:kern w:val="2"/>
            <w:sz w:val="22"/>
            <w:lang w:val="en-US"/>
            <w14:ligatures w14:val="standardContextual"/>
          </w:rPr>
          <w:tab/>
        </w:r>
        <w:r w:rsidRPr="00735B18" w:rsidR="004007B9">
          <w:rPr>
            <w:rStyle w:val="Hyperlink"/>
            <w:noProof/>
          </w:rPr>
          <w:t>The PUCO should disallow AEP, Duke and DP&amp;L’s collection of $2.51 million as a return on equity (</w:t>
        </w:r>
        <w:r w:rsidRPr="00735B18" w:rsidR="004007B9">
          <w:rPr>
            <w:rStyle w:val="Hyperlink"/>
            <w:i/>
            <w:iCs/>
            <w:noProof/>
          </w:rPr>
          <w:t xml:space="preserve">i.e., </w:t>
        </w:r>
        <w:r w:rsidRPr="00735B18" w:rsidR="004007B9">
          <w:rPr>
            <w:rStyle w:val="Hyperlink"/>
            <w:noProof/>
          </w:rPr>
          <w:t>profit) on the coal plant subsidy charges, which directly violates R.C. 4928.148.</w:t>
        </w:r>
        <w:r w:rsidR="004007B9">
          <w:rPr>
            <w:noProof/>
            <w:webHidden/>
          </w:rPr>
          <w:tab/>
        </w:r>
        <w:r w:rsidR="004007B9">
          <w:rPr>
            <w:noProof/>
            <w:webHidden/>
          </w:rPr>
          <w:fldChar w:fldCharType="begin"/>
        </w:r>
        <w:r w:rsidR="004007B9">
          <w:rPr>
            <w:noProof/>
            <w:webHidden/>
          </w:rPr>
          <w:instrText xml:space="preserve"> PAGEREF _Toc158641649 \h </w:instrText>
        </w:r>
        <w:r w:rsidR="004007B9">
          <w:rPr>
            <w:noProof/>
            <w:webHidden/>
          </w:rPr>
          <w:fldChar w:fldCharType="separate"/>
        </w:r>
        <w:r w:rsidR="004007B9">
          <w:rPr>
            <w:noProof/>
            <w:webHidden/>
          </w:rPr>
          <w:t>22</w:t>
        </w:r>
        <w:r w:rsidR="004007B9">
          <w:rPr>
            <w:noProof/>
            <w:webHidden/>
          </w:rPr>
          <w:fldChar w:fldCharType="end"/>
        </w:r>
      </w:hyperlink>
    </w:p>
    <w:p w:rsidR="00CB344D" w14:paraId="19E0C463" w14:textId="77777777">
      <w:pPr>
        <w:pStyle w:val="TOC2"/>
        <w:rPr>
          <w:rFonts w:asciiTheme="minorHAnsi" w:eastAsiaTheme="minorEastAsia" w:hAnsiTheme="minorHAnsi" w:cstheme="minorBidi"/>
          <w:noProof/>
          <w:kern w:val="2"/>
          <w:sz w:val="22"/>
          <w:lang w:val="en-US"/>
          <w14:ligatures w14:val="standardContextual"/>
        </w:rPr>
      </w:pPr>
      <w:hyperlink w:anchor="_Toc158641650" w:history="1">
        <w:r w:rsidRPr="00735B18" w:rsidR="004007B9">
          <w:rPr>
            <w:rStyle w:val="Hyperlink"/>
            <w:noProof/>
          </w:rPr>
          <w:t>G.</w:t>
        </w:r>
        <w:r w:rsidR="004007B9">
          <w:rPr>
            <w:rFonts w:asciiTheme="minorHAnsi" w:eastAsiaTheme="minorEastAsia" w:hAnsiTheme="minorHAnsi" w:cstheme="minorBidi"/>
            <w:noProof/>
            <w:kern w:val="2"/>
            <w:sz w:val="22"/>
            <w:lang w:val="en-US"/>
            <w14:ligatures w14:val="standardContextual"/>
          </w:rPr>
          <w:tab/>
        </w:r>
        <w:r w:rsidRPr="00735B18" w:rsidR="004007B9">
          <w:rPr>
            <w:rStyle w:val="Hyperlink"/>
            <w:noProof/>
          </w:rPr>
          <w:t>The PUCO should disallow AEP, Duke and DP&amp;L’s share of the $30 million “advance debt repayment” collected during 2020. This directly violates R.C. 4928.148 and R.C. 4928.01(A)(42) as well as the regulatory principle of intergenerational equity. The PUCO also should also require the utilities to credit consumers with AEP, Duke and DP&amp;L’s share of the $120 million in “advance debt repayment” collected to date.</w:t>
        </w:r>
        <w:r w:rsidR="004007B9">
          <w:rPr>
            <w:noProof/>
            <w:webHidden/>
          </w:rPr>
          <w:tab/>
        </w:r>
        <w:r w:rsidR="004007B9">
          <w:rPr>
            <w:noProof/>
            <w:webHidden/>
          </w:rPr>
          <w:fldChar w:fldCharType="begin"/>
        </w:r>
        <w:r w:rsidR="004007B9">
          <w:rPr>
            <w:noProof/>
            <w:webHidden/>
          </w:rPr>
          <w:instrText xml:space="preserve"> PAGEREF _Toc158641650 \h </w:instrText>
        </w:r>
        <w:r w:rsidR="004007B9">
          <w:rPr>
            <w:noProof/>
            <w:webHidden/>
          </w:rPr>
          <w:fldChar w:fldCharType="separate"/>
        </w:r>
        <w:r w:rsidR="004007B9">
          <w:rPr>
            <w:noProof/>
            <w:webHidden/>
          </w:rPr>
          <w:t>23</w:t>
        </w:r>
        <w:r w:rsidR="004007B9">
          <w:rPr>
            <w:noProof/>
            <w:webHidden/>
          </w:rPr>
          <w:fldChar w:fldCharType="end"/>
        </w:r>
      </w:hyperlink>
    </w:p>
    <w:p w:rsidR="00CB344D" w14:paraId="5EDABF3D" w14:textId="77777777">
      <w:pPr>
        <w:pStyle w:val="TOC2"/>
        <w:rPr>
          <w:rFonts w:asciiTheme="minorHAnsi" w:eastAsiaTheme="minorEastAsia" w:hAnsiTheme="minorHAnsi" w:cstheme="minorBidi"/>
          <w:noProof/>
          <w:kern w:val="2"/>
          <w:sz w:val="22"/>
          <w:lang w:val="en-US"/>
          <w14:ligatures w14:val="standardContextual"/>
        </w:rPr>
      </w:pPr>
      <w:hyperlink w:anchor="_Toc158641651" w:history="1">
        <w:r w:rsidRPr="00735B18" w:rsidR="004007B9">
          <w:rPr>
            <w:rStyle w:val="Hyperlink"/>
            <w:noProof/>
          </w:rPr>
          <w:t>H.</w:t>
        </w:r>
        <w:r w:rsidR="004007B9">
          <w:rPr>
            <w:rFonts w:asciiTheme="minorHAnsi" w:eastAsiaTheme="minorEastAsia" w:hAnsiTheme="minorHAnsi" w:cstheme="minorBidi"/>
            <w:noProof/>
            <w:kern w:val="2"/>
            <w:sz w:val="22"/>
            <w:lang w:val="en-US"/>
            <w14:ligatures w14:val="standardContextual"/>
          </w:rPr>
          <w:tab/>
        </w:r>
        <w:r w:rsidRPr="00735B18" w:rsidR="004007B9">
          <w:rPr>
            <w:rStyle w:val="Hyperlink"/>
            <w:noProof/>
          </w:rPr>
          <w:t>The PUCO should require AEP, Duke and DP&amp;L to credit consumers for their share of the “advance postretirement benefit payments” collected during 2020 and the $64 million collected to date. This amount was collected in direct violation of R.C. 4928.148 and R.C. 4928.01(A)(42) and the regulatory principle of intergenerational equity.</w:t>
        </w:r>
        <w:r w:rsidR="004007B9">
          <w:rPr>
            <w:noProof/>
            <w:webHidden/>
          </w:rPr>
          <w:tab/>
        </w:r>
        <w:r w:rsidR="004007B9">
          <w:rPr>
            <w:noProof/>
            <w:webHidden/>
          </w:rPr>
          <w:fldChar w:fldCharType="begin"/>
        </w:r>
        <w:r w:rsidR="004007B9">
          <w:rPr>
            <w:noProof/>
            <w:webHidden/>
          </w:rPr>
          <w:instrText xml:space="preserve"> PAGEREF _Toc158641651 \h </w:instrText>
        </w:r>
        <w:r w:rsidR="004007B9">
          <w:rPr>
            <w:noProof/>
            <w:webHidden/>
          </w:rPr>
          <w:fldChar w:fldCharType="separate"/>
        </w:r>
        <w:r w:rsidR="004007B9">
          <w:rPr>
            <w:noProof/>
            <w:webHidden/>
          </w:rPr>
          <w:t>27</w:t>
        </w:r>
        <w:r w:rsidR="004007B9">
          <w:rPr>
            <w:noProof/>
            <w:webHidden/>
          </w:rPr>
          <w:fldChar w:fldCharType="end"/>
        </w:r>
      </w:hyperlink>
    </w:p>
    <w:p w:rsidR="00CB344D" w14:paraId="08E7669F" w14:textId="77777777">
      <w:pPr>
        <w:pStyle w:val="TOC2"/>
        <w:rPr>
          <w:rFonts w:asciiTheme="minorHAnsi" w:eastAsiaTheme="minorEastAsia" w:hAnsiTheme="minorHAnsi" w:cstheme="minorBidi"/>
          <w:noProof/>
          <w:kern w:val="2"/>
          <w:sz w:val="22"/>
          <w:lang w:val="en-US"/>
          <w14:ligatures w14:val="standardContextual"/>
        </w:rPr>
      </w:pPr>
      <w:hyperlink w:anchor="_Toc158641652" w:history="1">
        <w:r w:rsidRPr="00735B18" w:rsidR="004007B9">
          <w:rPr>
            <w:rStyle w:val="Hyperlink"/>
            <w:noProof/>
          </w:rPr>
          <w:t>I.</w:t>
        </w:r>
        <w:r w:rsidR="004007B9">
          <w:rPr>
            <w:rFonts w:asciiTheme="minorHAnsi" w:eastAsiaTheme="minorEastAsia" w:hAnsiTheme="minorHAnsi" w:cstheme="minorBidi"/>
            <w:noProof/>
            <w:kern w:val="2"/>
            <w:sz w:val="22"/>
            <w:lang w:val="en-US"/>
            <w14:ligatures w14:val="standardContextual"/>
          </w:rPr>
          <w:tab/>
        </w:r>
        <w:r w:rsidRPr="00735B18" w:rsidR="004007B9">
          <w:rPr>
            <w:rStyle w:val="Hyperlink"/>
            <w:noProof/>
          </w:rPr>
          <w:t xml:space="preserve">The Attorney Examiners erred by excluding evidence relating to an earlier audit of the coal plants where the PUCO Staff asked the London Economics Auditor to retract her opinion that running the plants was </w:t>
        </w:r>
        <w:r w:rsidRPr="00735B18" w:rsidR="004007B9">
          <w:rPr>
            <w:rStyle w:val="Hyperlink"/>
            <w:i/>
            <w:iCs/>
            <w:noProof/>
          </w:rPr>
          <w:t xml:space="preserve">not </w:t>
        </w:r>
        <w:r w:rsidRPr="00735B18" w:rsidR="004007B9">
          <w:rPr>
            <w:rStyle w:val="Hyperlink"/>
            <w:noProof/>
          </w:rPr>
          <w:t>“in the best interest of retail ratepayers.” The present case involves the same Auditor, the same PUCO Staff, the same coal plants and the same type of above-market energy costs. The excluded evidence was highly relevant to prove London Economics’ (and PUCO’s) bias, prejudice and lack of independence from utility influence. The Attorney Examiners also erred by prohibiting cross-examination on these issues.</w:t>
        </w:r>
        <w:r w:rsidR="004007B9">
          <w:rPr>
            <w:noProof/>
            <w:webHidden/>
          </w:rPr>
          <w:tab/>
        </w:r>
        <w:r w:rsidR="004007B9">
          <w:rPr>
            <w:noProof/>
            <w:webHidden/>
          </w:rPr>
          <w:fldChar w:fldCharType="begin"/>
        </w:r>
        <w:r w:rsidR="004007B9">
          <w:rPr>
            <w:noProof/>
            <w:webHidden/>
          </w:rPr>
          <w:instrText xml:space="preserve"> PAGEREF _Toc158641652 \h </w:instrText>
        </w:r>
        <w:r w:rsidR="004007B9">
          <w:rPr>
            <w:noProof/>
            <w:webHidden/>
          </w:rPr>
          <w:fldChar w:fldCharType="separate"/>
        </w:r>
        <w:r w:rsidR="004007B9">
          <w:rPr>
            <w:noProof/>
            <w:webHidden/>
          </w:rPr>
          <w:t>29</w:t>
        </w:r>
        <w:r w:rsidR="004007B9">
          <w:rPr>
            <w:noProof/>
            <w:webHidden/>
          </w:rPr>
          <w:fldChar w:fldCharType="end"/>
        </w:r>
      </w:hyperlink>
    </w:p>
    <w:p w:rsidR="00CB344D" w14:paraId="3058A4F9" w14:textId="77777777">
      <w:pPr>
        <w:pStyle w:val="TOC1"/>
        <w:rPr>
          <w:rFonts w:asciiTheme="minorHAnsi" w:eastAsiaTheme="minorEastAsia" w:hAnsiTheme="minorHAnsi" w:cstheme="minorBidi"/>
          <w:caps w:val="0"/>
          <w:noProof/>
          <w:kern w:val="2"/>
          <w:sz w:val="22"/>
          <w:lang w:val="en-US"/>
          <w14:ligatures w14:val="standardContextual"/>
        </w:rPr>
      </w:pPr>
      <w:hyperlink w:anchor="_Toc158641653" w:history="1">
        <w:r w:rsidRPr="00735B18" w:rsidR="004007B9">
          <w:rPr>
            <w:rStyle w:val="Hyperlink"/>
            <w:rFonts w:cs="Times New Roman"/>
            <w:noProof/>
          </w:rPr>
          <w:t>IV.</w:t>
        </w:r>
        <w:r w:rsidR="004007B9">
          <w:rPr>
            <w:rFonts w:asciiTheme="minorHAnsi" w:eastAsiaTheme="minorEastAsia" w:hAnsiTheme="minorHAnsi" w:cstheme="minorBidi"/>
            <w:caps w:val="0"/>
            <w:noProof/>
            <w:kern w:val="2"/>
            <w:sz w:val="22"/>
            <w:lang w:val="en-US"/>
            <w14:ligatures w14:val="standardContextual"/>
          </w:rPr>
          <w:tab/>
        </w:r>
        <w:r w:rsidRPr="00735B18" w:rsidR="004007B9">
          <w:rPr>
            <w:rStyle w:val="Hyperlink"/>
            <w:rFonts w:cs="Times New Roman"/>
            <w:noProof/>
          </w:rPr>
          <w:t>CONCLUSION</w:t>
        </w:r>
        <w:r w:rsidR="004007B9">
          <w:rPr>
            <w:noProof/>
            <w:webHidden/>
          </w:rPr>
          <w:tab/>
        </w:r>
        <w:r w:rsidR="004007B9">
          <w:rPr>
            <w:noProof/>
            <w:webHidden/>
          </w:rPr>
          <w:fldChar w:fldCharType="begin"/>
        </w:r>
        <w:r w:rsidR="004007B9">
          <w:rPr>
            <w:noProof/>
            <w:webHidden/>
          </w:rPr>
          <w:instrText xml:space="preserve"> PAGEREF _Toc158641653 \h </w:instrText>
        </w:r>
        <w:r w:rsidR="004007B9">
          <w:rPr>
            <w:noProof/>
            <w:webHidden/>
          </w:rPr>
          <w:fldChar w:fldCharType="separate"/>
        </w:r>
        <w:r w:rsidR="004007B9">
          <w:rPr>
            <w:noProof/>
            <w:webHidden/>
          </w:rPr>
          <w:t>34</w:t>
        </w:r>
        <w:r w:rsidR="004007B9">
          <w:rPr>
            <w:noProof/>
            <w:webHidden/>
          </w:rPr>
          <w:fldChar w:fldCharType="end"/>
        </w:r>
      </w:hyperlink>
    </w:p>
    <w:p w:rsidR="00E12694" w:rsidRPr="001977EB" w:rsidP="00DC62F6" w14:paraId="53BDBBAC" w14:textId="77777777">
      <w:pPr>
        <w:rPr>
          <w:rFonts w:ascii="Times New Roman" w:hAnsi="Times New Roman" w:cs="Times New Roman"/>
          <w:b/>
          <w:sz w:val="24"/>
          <w:szCs w:val="24"/>
        </w:rPr>
      </w:pPr>
      <w:r w:rsidRPr="001977EB">
        <w:rPr>
          <w:rFonts w:ascii="Times New Roman" w:hAnsi="Times New Roman" w:cs="Times New Roman"/>
          <w:b/>
          <w:sz w:val="24"/>
          <w:szCs w:val="24"/>
        </w:rPr>
        <w:fldChar w:fldCharType="end"/>
      </w:r>
    </w:p>
    <w:p w:rsidR="00BE1210" w:rsidRPr="001977EB" w:rsidP="00BE1210" w14:paraId="30D59FCF" w14:textId="77777777">
      <w:pPr>
        <w:jc w:val="right"/>
        <w:rPr>
          <w:rFonts w:ascii="Times New Roman" w:hAnsi="Times New Roman" w:cs="Times New Roman"/>
          <w:b/>
          <w:sz w:val="24"/>
          <w:szCs w:val="24"/>
        </w:rPr>
        <w:sectPr w:rsidSect="0038144D">
          <w:footerReference w:type="default" r:id="rId16"/>
          <w:pgSz w:w="12240" w:h="15840"/>
          <w:pgMar w:top="1440" w:right="1800" w:bottom="1440" w:left="1800" w:header="720" w:footer="720" w:gutter="0"/>
          <w:pgNumType w:fmt="lowerRoman" w:start="1"/>
          <w:cols w:space="720"/>
          <w:docGrid w:linePitch="299"/>
        </w:sectPr>
      </w:pPr>
    </w:p>
    <w:p w:rsidR="00EB14FB" w:rsidRPr="001977EB" w:rsidP="004C1E2C" w14:paraId="0E609860" w14:textId="77777777">
      <w:pPr>
        <w:spacing w:line="240" w:lineRule="auto"/>
        <w:jc w:val="center"/>
        <w:rPr>
          <w:rFonts w:ascii="Times New Roman" w:hAnsi="Times New Roman" w:cs="Times New Roman"/>
          <w:b/>
          <w:bCs/>
          <w:sz w:val="24"/>
          <w:szCs w:val="24"/>
        </w:rPr>
      </w:pPr>
      <w:r w:rsidRPr="001977EB">
        <w:rPr>
          <w:rFonts w:ascii="Times New Roman" w:hAnsi="Times New Roman" w:cs="Times New Roman"/>
          <w:b/>
          <w:sz w:val="24"/>
          <w:szCs w:val="24"/>
        </w:rPr>
        <w:t>BEFORE</w:t>
      </w:r>
    </w:p>
    <w:p w:rsidR="00EB14FB" w:rsidRPr="001977EB" w:rsidP="004C1E2C" w14:paraId="2AC25BFD" w14:textId="77777777">
      <w:pPr>
        <w:spacing w:line="240" w:lineRule="auto"/>
        <w:jc w:val="center"/>
        <w:rPr>
          <w:rFonts w:ascii="Times New Roman" w:hAnsi="Times New Roman" w:cs="Times New Roman"/>
          <w:b/>
          <w:sz w:val="24"/>
          <w:szCs w:val="24"/>
        </w:rPr>
      </w:pPr>
      <w:r w:rsidRPr="001977EB">
        <w:rPr>
          <w:rFonts w:ascii="Times New Roman" w:hAnsi="Times New Roman" w:cs="Times New Roman"/>
          <w:b/>
          <w:sz w:val="24"/>
          <w:szCs w:val="24"/>
        </w:rPr>
        <w:t>THE PUBLIC UTILITIES COMMISSION OF OHIO</w:t>
      </w:r>
    </w:p>
    <w:p w:rsidR="00EB14FB" w:rsidRPr="001977EB" w:rsidP="004C1E2C" w14:paraId="7D4FCCD4" w14:textId="77777777">
      <w:pPr>
        <w:autoSpaceDE w:val="0"/>
        <w:autoSpaceDN w:val="0"/>
        <w:adjustRightInd w:val="0"/>
        <w:spacing w:line="240" w:lineRule="auto"/>
        <w:jc w:val="center"/>
        <w:rPr>
          <w:rFonts w:ascii="Times New Roman" w:hAnsi="Times New Roman" w:cs="Times New Roman"/>
          <w:b/>
          <w:bCs/>
          <w:sz w:val="24"/>
          <w:szCs w:val="24"/>
        </w:rPr>
      </w:pPr>
    </w:p>
    <w:tbl>
      <w:tblPr>
        <w:tblW w:w="9092" w:type="dxa"/>
        <w:tblInd w:w="0" w:type="dxa"/>
        <w:tblCellMar>
          <w:top w:w="0" w:type="dxa"/>
          <w:left w:w="108" w:type="dxa"/>
          <w:bottom w:w="0" w:type="dxa"/>
          <w:right w:w="108" w:type="dxa"/>
        </w:tblCellMar>
        <w:tblLook w:val="01E0"/>
      </w:tblPr>
      <w:tblGrid>
        <w:gridCol w:w="4230"/>
        <w:gridCol w:w="462"/>
        <w:gridCol w:w="4400"/>
      </w:tblGrid>
      <w:tr w14:paraId="1D4FB28E" w14:textId="77777777" w:rsidTr="00EB2523">
        <w:tblPrEx>
          <w:tblW w:w="9092" w:type="dxa"/>
          <w:tblInd w:w="0" w:type="dxa"/>
          <w:tblCellMar>
            <w:top w:w="0" w:type="dxa"/>
            <w:left w:w="108" w:type="dxa"/>
            <w:bottom w:w="0" w:type="dxa"/>
            <w:right w:w="108" w:type="dxa"/>
          </w:tblCellMar>
          <w:tblLook w:val="01E0"/>
        </w:tblPrEx>
        <w:trPr>
          <w:trHeight w:val="807"/>
        </w:trPr>
        <w:tc>
          <w:tcPr>
            <w:tcW w:w="4230" w:type="dxa"/>
            <w:shd w:val="clear" w:color="auto" w:fill="auto"/>
          </w:tcPr>
          <w:p w:rsidR="00EB14FB" w:rsidRPr="001977EB" w:rsidP="00EB2523" w14:paraId="7971CBA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56"/>
              <w:rPr>
                <w:rFonts w:ascii="Times New Roman" w:eastAsia="Courier New" w:hAnsi="Times New Roman" w:cs="Times New Roman"/>
                <w:sz w:val="24"/>
                <w:szCs w:val="24"/>
                <w:lang w:val="en-US" w:eastAsia="en-US" w:bidi="ar-SA"/>
              </w:rPr>
            </w:pPr>
            <w:r w:rsidRPr="001977EB">
              <w:rPr>
                <w:rFonts w:ascii="Times New Roman" w:eastAsia="Courier New" w:hAnsi="Times New Roman" w:cs="Times New Roman"/>
                <w:sz w:val="24"/>
                <w:szCs w:val="24"/>
                <w:lang w:val="en-US" w:eastAsia="en-US" w:bidi="ar-SA"/>
              </w:rPr>
              <w:t>In the Matter of the OVEC Generation Purchase Rider Audits Required by R.C. 4928.148 for Duke Energy Ohio, Inc., the Dayton Power and Light Company, and AEP Ohio.</w:t>
            </w:r>
          </w:p>
        </w:tc>
        <w:tc>
          <w:tcPr>
            <w:tcW w:w="462" w:type="dxa"/>
            <w:shd w:val="clear" w:color="auto" w:fill="auto"/>
          </w:tcPr>
          <w:p w:rsidR="00EB14FB" w:rsidRPr="001977EB" w:rsidP="004C1E2C" w14:paraId="1D9E185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ourier New" w:hAnsi="Times New Roman" w:cs="Times New Roman"/>
                <w:sz w:val="24"/>
                <w:szCs w:val="24"/>
                <w:lang w:val="en-US" w:eastAsia="en-US" w:bidi="ar-SA"/>
              </w:rPr>
            </w:pPr>
            <w:r w:rsidRPr="001977EB">
              <w:rPr>
                <w:rFonts w:ascii="Times New Roman" w:eastAsia="Courier New" w:hAnsi="Times New Roman" w:cs="Times New Roman"/>
                <w:sz w:val="24"/>
                <w:szCs w:val="24"/>
                <w:lang w:val="en-US" w:eastAsia="en-US" w:bidi="ar-SA"/>
              </w:rPr>
              <w:t>)</w:t>
            </w:r>
          </w:p>
          <w:p w:rsidR="00EB14FB" w:rsidRPr="001977EB" w:rsidP="004C1E2C" w14:paraId="5518794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ourier New" w:hAnsi="Times New Roman" w:cs="Times New Roman"/>
                <w:sz w:val="24"/>
                <w:szCs w:val="24"/>
                <w:lang w:val="en-US" w:eastAsia="en-US" w:bidi="ar-SA"/>
              </w:rPr>
            </w:pPr>
            <w:r w:rsidRPr="001977EB">
              <w:rPr>
                <w:rFonts w:ascii="Times New Roman" w:eastAsia="Courier New" w:hAnsi="Times New Roman" w:cs="Times New Roman"/>
                <w:sz w:val="24"/>
                <w:szCs w:val="24"/>
                <w:lang w:val="en-US" w:eastAsia="en-US" w:bidi="ar-SA"/>
              </w:rPr>
              <w:t>)</w:t>
            </w:r>
          </w:p>
          <w:p w:rsidR="00EB14FB" w:rsidRPr="001977EB" w:rsidP="004C1E2C" w14:paraId="26F1710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ourier New" w:hAnsi="Times New Roman" w:cs="Times New Roman"/>
                <w:sz w:val="24"/>
                <w:szCs w:val="24"/>
                <w:lang w:val="en-US" w:eastAsia="en-US" w:bidi="ar-SA"/>
              </w:rPr>
            </w:pPr>
            <w:r w:rsidRPr="001977EB">
              <w:rPr>
                <w:rFonts w:ascii="Times New Roman" w:eastAsia="Courier New" w:hAnsi="Times New Roman" w:cs="Times New Roman"/>
                <w:sz w:val="24"/>
                <w:szCs w:val="24"/>
                <w:lang w:val="en-US" w:eastAsia="en-US" w:bidi="ar-SA"/>
              </w:rPr>
              <w:t>)</w:t>
            </w:r>
          </w:p>
          <w:p w:rsidR="00EB14FB" w:rsidRPr="001977EB" w:rsidP="004C1E2C" w14:paraId="178B253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ourier New" w:hAnsi="Times New Roman" w:cs="Times New Roman"/>
                <w:sz w:val="24"/>
                <w:szCs w:val="24"/>
                <w:lang w:val="en-US" w:eastAsia="en-US" w:bidi="ar-SA"/>
              </w:rPr>
            </w:pPr>
            <w:r w:rsidRPr="001977EB">
              <w:rPr>
                <w:rFonts w:ascii="Times New Roman" w:eastAsia="Courier New" w:hAnsi="Times New Roman" w:cs="Times New Roman"/>
                <w:sz w:val="24"/>
                <w:szCs w:val="24"/>
                <w:lang w:val="en-US" w:eastAsia="en-US" w:bidi="ar-SA"/>
              </w:rPr>
              <w:t>)</w:t>
            </w:r>
          </w:p>
          <w:p w:rsidR="00EB14FB" w:rsidRPr="001977EB" w:rsidP="004C1E2C" w14:paraId="5020785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ourier New" w:hAnsi="Times New Roman" w:cs="Times New Roman"/>
                <w:sz w:val="24"/>
                <w:szCs w:val="24"/>
                <w:lang w:val="en-US" w:eastAsia="en-US" w:bidi="ar-SA"/>
              </w:rPr>
            </w:pPr>
            <w:r w:rsidRPr="001977EB">
              <w:rPr>
                <w:rFonts w:ascii="Times New Roman" w:eastAsia="Courier New" w:hAnsi="Times New Roman" w:cs="Times New Roman"/>
                <w:sz w:val="24"/>
                <w:szCs w:val="24"/>
                <w:lang w:val="en-US" w:eastAsia="en-US" w:bidi="ar-SA"/>
              </w:rPr>
              <w:t>)</w:t>
            </w:r>
          </w:p>
        </w:tc>
        <w:tc>
          <w:tcPr>
            <w:tcW w:w="4400" w:type="dxa"/>
            <w:shd w:val="clear" w:color="auto" w:fill="auto"/>
          </w:tcPr>
          <w:p w:rsidR="00EB14FB" w:rsidRPr="001977EB" w:rsidP="00CC18B6" w14:paraId="08B6748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54"/>
              <w:rPr>
                <w:rFonts w:ascii="Times New Roman" w:eastAsia="Courier New" w:hAnsi="Times New Roman" w:cs="Times New Roman"/>
                <w:sz w:val="24"/>
                <w:szCs w:val="24"/>
                <w:lang w:val="en-US" w:eastAsia="en-US" w:bidi="ar-SA"/>
              </w:rPr>
            </w:pPr>
          </w:p>
          <w:p w:rsidR="00EB14FB" w:rsidRPr="001977EB" w:rsidP="00CC18B6" w14:paraId="5AA0683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54"/>
              <w:rPr>
                <w:rFonts w:ascii="Times New Roman" w:eastAsia="Courier New" w:hAnsi="Times New Roman" w:cs="Times New Roman"/>
                <w:sz w:val="24"/>
                <w:szCs w:val="24"/>
                <w:lang w:val="en-US" w:eastAsia="en-US" w:bidi="ar-SA"/>
              </w:rPr>
            </w:pPr>
          </w:p>
          <w:p w:rsidR="00EB14FB" w:rsidRPr="001977EB" w:rsidP="00CC18B6" w14:paraId="56CA8FF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54"/>
              <w:rPr>
                <w:rFonts w:ascii="Times New Roman" w:eastAsia="Courier New" w:hAnsi="Times New Roman" w:cs="Times New Roman"/>
                <w:sz w:val="24"/>
                <w:szCs w:val="24"/>
                <w:lang w:val="en-US" w:eastAsia="en-US" w:bidi="ar-SA"/>
              </w:rPr>
            </w:pPr>
            <w:r w:rsidRPr="001977EB">
              <w:rPr>
                <w:rFonts w:ascii="Times New Roman" w:eastAsia="Courier New" w:hAnsi="Times New Roman" w:cs="Times New Roman"/>
                <w:sz w:val="24"/>
                <w:szCs w:val="24"/>
                <w:lang w:val="en-US" w:eastAsia="en-US" w:bidi="ar-SA"/>
              </w:rPr>
              <w:t>Case No. 21-477-EL-RDR</w:t>
            </w:r>
          </w:p>
          <w:p w:rsidR="00EB14FB" w:rsidRPr="001977EB" w:rsidP="00CC18B6" w14:paraId="340116D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54"/>
              <w:rPr>
                <w:rFonts w:ascii="Times New Roman" w:eastAsia="Courier New" w:hAnsi="Times New Roman" w:cs="Times New Roman"/>
                <w:sz w:val="24"/>
                <w:szCs w:val="24"/>
                <w:lang w:val="en-US" w:eastAsia="en-US" w:bidi="ar-SA"/>
              </w:rPr>
            </w:pPr>
          </w:p>
          <w:p w:rsidR="00EB14FB" w:rsidRPr="001977EB" w:rsidP="00CC18B6" w14:paraId="28D5635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54"/>
              <w:rPr>
                <w:rFonts w:ascii="Times New Roman" w:eastAsia="Courier New" w:hAnsi="Times New Roman" w:cs="Times New Roman"/>
                <w:sz w:val="24"/>
                <w:szCs w:val="24"/>
                <w:lang w:val="en-US" w:eastAsia="en-US" w:bidi="ar-SA"/>
              </w:rPr>
            </w:pPr>
          </w:p>
        </w:tc>
      </w:tr>
    </w:tbl>
    <w:p w:rsidR="00852B02" w:rsidRPr="001977EB" w:rsidP="004C1E2C" w14:paraId="1581B7CC" w14:textId="77777777">
      <w:pPr>
        <w:pStyle w:val="HTMLPreformatted"/>
        <w:pBdr>
          <w:bottom w:val="single" w:sz="12" w:space="1" w:color="auto"/>
        </w:pBdr>
        <w:rPr>
          <w:rFonts w:ascii="Times New Roman" w:hAnsi="Times New Roman" w:cs="Times New Roman"/>
          <w:b/>
          <w:bCs/>
          <w:i/>
          <w:sz w:val="24"/>
          <w:szCs w:val="24"/>
        </w:rPr>
      </w:pPr>
    </w:p>
    <w:p w:rsidR="00A331AD" w:rsidRPr="001977EB" w:rsidP="00852B02" w14:paraId="2C74C828" w14:textId="77777777">
      <w:pPr>
        <w:pStyle w:val="HTMLPreformatted"/>
        <w:rPr>
          <w:rFonts w:ascii="Times New Roman" w:hAnsi="Times New Roman" w:cs="Times New Roman"/>
          <w:b/>
          <w:bCs/>
          <w:i/>
          <w:sz w:val="24"/>
          <w:szCs w:val="24"/>
        </w:rPr>
      </w:pPr>
    </w:p>
    <w:p w:rsidR="00852B02" w:rsidRPr="001977EB" w:rsidP="0087293B" w14:paraId="172F5F1B" w14:textId="77777777">
      <w:pPr>
        <w:pStyle w:val="HTMLPreformatted"/>
        <w:pBdr>
          <w:bottom w:val="single" w:sz="12" w:space="1" w:color="auto"/>
        </w:pBdr>
        <w:jc w:val="center"/>
        <w:rPr>
          <w:rFonts w:ascii="Times New Roman" w:hAnsi="Times New Roman" w:cs="Times New Roman"/>
          <w:b/>
          <w:bCs/>
          <w:sz w:val="24"/>
          <w:szCs w:val="24"/>
        </w:rPr>
      </w:pPr>
      <w:r w:rsidRPr="001977EB">
        <w:rPr>
          <w:rFonts w:ascii="Times New Roman" w:hAnsi="Times New Roman" w:cs="Times New Roman"/>
          <w:b/>
          <w:bCs/>
          <w:sz w:val="24"/>
          <w:szCs w:val="24"/>
        </w:rPr>
        <w:t>INITIAL BRIEF FOR CONSUMER PROTECTION</w:t>
      </w:r>
    </w:p>
    <w:p w:rsidR="00852B02" w:rsidRPr="001977EB" w:rsidP="0087293B" w14:paraId="0F60479C" w14:textId="77777777">
      <w:pPr>
        <w:pStyle w:val="HTMLPreformatted"/>
        <w:pBdr>
          <w:bottom w:val="single" w:sz="12" w:space="1" w:color="auto"/>
        </w:pBdr>
        <w:jc w:val="center"/>
        <w:rPr>
          <w:rFonts w:ascii="Times New Roman" w:hAnsi="Times New Roman" w:cs="Times New Roman"/>
          <w:b/>
          <w:bCs/>
          <w:sz w:val="24"/>
          <w:szCs w:val="24"/>
        </w:rPr>
      </w:pPr>
      <w:r w:rsidRPr="001977EB">
        <w:rPr>
          <w:rFonts w:ascii="Times New Roman" w:hAnsi="Times New Roman" w:cs="Times New Roman"/>
          <w:b/>
          <w:bCs/>
          <w:sz w:val="24"/>
          <w:szCs w:val="24"/>
        </w:rPr>
        <w:t>BY</w:t>
      </w:r>
    </w:p>
    <w:p w:rsidR="00852B02" w:rsidRPr="001977EB" w:rsidP="0087293B" w14:paraId="7BA7D302" w14:textId="77777777">
      <w:pPr>
        <w:pStyle w:val="HTMLPreformatted"/>
        <w:pBdr>
          <w:bottom w:val="single" w:sz="12" w:space="1" w:color="auto"/>
        </w:pBdr>
        <w:jc w:val="center"/>
        <w:rPr>
          <w:rFonts w:ascii="Times New Roman" w:hAnsi="Times New Roman" w:cs="Times New Roman"/>
          <w:b/>
          <w:bCs/>
          <w:sz w:val="24"/>
          <w:szCs w:val="24"/>
        </w:rPr>
      </w:pPr>
      <w:r w:rsidRPr="001977EB">
        <w:rPr>
          <w:rFonts w:ascii="Times New Roman" w:hAnsi="Times New Roman" w:cs="Times New Roman"/>
          <w:b/>
          <w:bCs/>
          <w:sz w:val="24"/>
          <w:szCs w:val="24"/>
        </w:rPr>
        <w:t>OFFICE OF THE OHIO CONSUMERS</w:t>
      </w:r>
      <w:r w:rsidR="001977EB">
        <w:rPr>
          <w:rFonts w:ascii="Times New Roman" w:hAnsi="Times New Roman" w:cs="Times New Roman"/>
          <w:b/>
          <w:bCs/>
          <w:sz w:val="24"/>
          <w:szCs w:val="24"/>
        </w:rPr>
        <w:t>’</w:t>
      </w:r>
      <w:r w:rsidRPr="001977EB">
        <w:rPr>
          <w:rFonts w:ascii="Times New Roman" w:hAnsi="Times New Roman" w:cs="Times New Roman"/>
          <w:b/>
          <w:bCs/>
          <w:sz w:val="24"/>
          <w:szCs w:val="24"/>
        </w:rPr>
        <w:t xml:space="preserve"> COUNSEL</w:t>
      </w:r>
    </w:p>
    <w:p w:rsidR="00852B02" w:rsidRPr="001977EB" w:rsidP="00852B02" w14:paraId="7056DB6D" w14:textId="77777777">
      <w:pPr>
        <w:pStyle w:val="HTMLPreformatted"/>
        <w:pBdr>
          <w:bottom w:val="single" w:sz="12" w:space="1" w:color="auto"/>
        </w:pBdr>
        <w:jc w:val="center"/>
        <w:rPr>
          <w:rFonts w:ascii="Times New Roman" w:hAnsi="Times New Roman" w:cs="Times New Roman"/>
          <w:b/>
          <w:bCs/>
          <w:sz w:val="24"/>
          <w:szCs w:val="24"/>
        </w:rPr>
      </w:pPr>
    </w:p>
    <w:p w:rsidR="00852B02" w:rsidRPr="001977EB" w:rsidP="00852B02" w14:paraId="4F2CCD6C" w14:textId="77777777">
      <w:pPr>
        <w:pStyle w:val="BodyTextIndent3"/>
        <w:widowControl w:val="0"/>
        <w:spacing w:after="0" w:line="240" w:lineRule="auto"/>
        <w:ind w:left="0"/>
        <w:rPr>
          <w:rFonts w:cs="Times New Roman"/>
          <w:sz w:val="24"/>
          <w:szCs w:val="24"/>
        </w:rPr>
      </w:pPr>
      <w:r w:rsidRPr="001977EB">
        <w:rPr>
          <w:rFonts w:cs="Times New Roman"/>
          <w:sz w:val="24"/>
          <w:szCs w:val="24"/>
        </w:rPr>
        <w:tab/>
      </w:r>
    </w:p>
    <w:p w:rsidR="000B5F9C" w:rsidRPr="001977EB" w:rsidP="000B5F9C" w14:paraId="04D18693" w14:textId="77777777">
      <w:pPr>
        <w:pStyle w:val="Heading1"/>
        <w:numPr>
          <w:ilvl w:val="0"/>
          <w:numId w:val="7"/>
        </w:numPr>
        <w:ind w:left="720"/>
        <w:rPr>
          <w:rFonts w:cs="Times New Roman"/>
          <w:b w:val="0"/>
          <w:szCs w:val="24"/>
        </w:rPr>
      </w:pPr>
      <w:bookmarkStart w:id="1" w:name="_Toc158641637"/>
      <w:r w:rsidRPr="001977EB">
        <w:rPr>
          <w:rFonts w:cs="Times New Roman"/>
          <w:szCs w:val="24"/>
        </w:rPr>
        <w:t>INTRODUCTION</w:t>
      </w:r>
      <w:bookmarkEnd w:id="1"/>
    </w:p>
    <w:p w:rsidR="00F546A0" w:rsidRPr="001977EB" w:rsidP="005C6DF1" w14:paraId="75245CD0" w14:textId="77777777">
      <w:pPr>
        <w:spacing w:line="480" w:lineRule="auto"/>
        <w:ind w:firstLine="720"/>
        <w:rPr>
          <w:rFonts w:ascii="Times New Roman" w:hAnsi="Times New Roman" w:cs="Times New Roman"/>
          <w:color w:val="000000"/>
          <w:sz w:val="24"/>
          <w:szCs w:val="24"/>
        </w:rPr>
      </w:pPr>
      <w:r w:rsidRPr="001977EB">
        <w:rPr>
          <w:rFonts w:ascii="Times New Roman" w:hAnsi="Times New Roman" w:cs="Times New Roman"/>
          <w:color w:val="000000"/>
          <w:sz w:val="24"/>
          <w:szCs w:val="24"/>
        </w:rPr>
        <w:t xml:space="preserve">This case concerns </w:t>
      </w:r>
      <w:r w:rsidRPr="001977EB" w:rsidR="002A3B43">
        <w:rPr>
          <w:rFonts w:ascii="Times New Roman" w:hAnsi="Times New Roman" w:cs="Times New Roman"/>
          <w:color w:val="000000"/>
          <w:sz w:val="24"/>
          <w:szCs w:val="24"/>
        </w:rPr>
        <w:t xml:space="preserve">$105 </w:t>
      </w:r>
      <w:r w:rsidRPr="001977EB" w:rsidR="008F1FD3">
        <w:rPr>
          <w:rFonts w:ascii="Times New Roman" w:hAnsi="Times New Roman" w:cs="Times New Roman"/>
          <w:color w:val="000000"/>
          <w:sz w:val="24"/>
          <w:szCs w:val="24"/>
        </w:rPr>
        <w:t xml:space="preserve">million </w:t>
      </w:r>
      <w:r w:rsidRPr="001977EB" w:rsidR="002A3B43">
        <w:rPr>
          <w:rFonts w:ascii="Times New Roman" w:hAnsi="Times New Roman" w:cs="Times New Roman"/>
          <w:color w:val="000000"/>
          <w:sz w:val="24"/>
          <w:szCs w:val="24"/>
        </w:rPr>
        <w:t>in</w:t>
      </w:r>
      <w:r w:rsidRPr="001977EB" w:rsidR="008F1FD3">
        <w:rPr>
          <w:rFonts w:ascii="Times New Roman" w:hAnsi="Times New Roman" w:cs="Times New Roman"/>
          <w:color w:val="000000"/>
          <w:sz w:val="24"/>
          <w:szCs w:val="24"/>
        </w:rPr>
        <w:t xml:space="preserve"> </w:t>
      </w:r>
      <w:r w:rsidRPr="001977EB" w:rsidR="002A3B43">
        <w:rPr>
          <w:rFonts w:ascii="Times New Roman" w:hAnsi="Times New Roman" w:cs="Times New Roman"/>
          <w:color w:val="000000"/>
          <w:sz w:val="24"/>
          <w:szCs w:val="24"/>
        </w:rPr>
        <w:t xml:space="preserve">above-market price electricity costs </w:t>
      </w:r>
      <w:r w:rsidRPr="001977EB" w:rsidR="00796038">
        <w:rPr>
          <w:rFonts w:ascii="Times New Roman" w:hAnsi="Times New Roman" w:cs="Times New Roman"/>
          <w:color w:val="000000"/>
          <w:sz w:val="24"/>
          <w:szCs w:val="24"/>
        </w:rPr>
        <w:t>that Duke, Dayton Power &amp; Light, and AEP</w:t>
      </w:r>
      <w:r w:rsidRPr="001977EB" w:rsidR="00187793">
        <w:rPr>
          <w:rFonts w:ascii="Times New Roman" w:hAnsi="Times New Roman" w:cs="Times New Roman"/>
          <w:color w:val="000000"/>
          <w:sz w:val="24"/>
          <w:szCs w:val="24"/>
        </w:rPr>
        <w:t xml:space="preserve"> Ohio </w:t>
      </w:r>
      <w:r w:rsidRPr="001977EB" w:rsidR="008F1FD3">
        <w:rPr>
          <w:rFonts w:ascii="Times New Roman" w:hAnsi="Times New Roman" w:cs="Times New Roman"/>
          <w:color w:val="000000"/>
          <w:sz w:val="24"/>
          <w:szCs w:val="24"/>
        </w:rPr>
        <w:t>charge</w:t>
      </w:r>
      <w:r w:rsidRPr="001977EB" w:rsidR="002A3B43">
        <w:rPr>
          <w:rFonts w:ascii="Times New Roman" w:hAnsi="Times New Roman" w:cs="Times New Roman"/>
          <w:color w:val="000000"/>
          <w:sz w:val="24"/>
          <w:szCs w:val="24"/>
        </w:rPr>
        <w:t>d</w:t>
      </w:r>
      <w:r w:rsidRPr="001977EB" w:rsidR="008F1FD3">
        <w:rPr>
          <w:rFonts w:ascii="Times New Roman" w:hAnsi="Times New Roman" w:cs="Times New Roman"/>
          <w:color w:val="000000"/>
          <w:sz w:val="24"/>
          <w:szCs w:val="24"/>
        </w:rPr>
        <w:t xml:space="preserve"> to Ohioans </w:t>
      </w:r>
      <w:r w:rsidRPr="001977EB" w:rsidR="002A3B43">
        <w:rPr>
          <w:rFonts w:ascii="Times New Roman" w:hAnsi="Times New Roman" w:cs="Times New Roman"/>
          <w:color w:val="000000"/>
          <w:sz w:val="24"/>
          <w:szCs w:val="24"/>
        </w:rPr>
        <w:t xml:space="preserve">in 2020 </w:t>
      </w:r>
      <w:r w:rsidRPr="001977EB" w:rsidR="008F1FD3">
        <w:rPr>
          <w:rFonts w:ascii="Times New Roman" w:hAnsi="Times New Roman" w:cs="Times New Roman"/>
          <w:color w:val="000000"/>
          <w:sz w:val="24"/>
          <w:szCs w:val="24"/>
        </w:rPr>
        <w:t xml:space="preserve">for the </w:t>
      </w:r>
      <w:r w:rsidRPr="001977EB">
        <w:rPr>
          <w:rFonts w:ascii="Times New Roman" w:hAnsi="Times New Roman" w:cs="Times New Roman"/>
          <w:color w:val="000000"/>
          <w:sz w:val="24"/>
          <w:szCs w:val="24"/>
        </w:rPr>
        <w:t xml:space="preserve">imprudent </w:t>
      </w:r>
      <w:r w:rsidRPr="001977EB" w:rsidR="008F1FD3">
        <w:rPr>
          <w:rFonts w:ascii="Times New Roman" w:hAnsi="Times New Roman" w:cs="Times New Roman"/>
          <w:color w:val="000000"/>
          <w:sz w:val="24"/>
          <w:szCs w:val="24"/>
        </w:rPr>
        <w:t xml:space="preserve">operation of two </w:t>
      </w:r>
      <w:r w:rsidRPr="001977EB" w:rsidR="00654234">
        <w:rPr>
          <w:rFonts w:ascii="Times New Roman" w:hAnsi="Times New Roman" w:cs="Times New Roman"/>
          <w:color w:val="000000"/>
          <w:sz w:val="24"/>
          <w:szCs w:val="24"/>
        </w:rPr>
        <w:t>1950s-era</w:t>
      </w:r>
      <w:r w:rsidRPr="001977EB" w:rsidR="008F1FD3">
        <w:rPr>
          <w:rFonts w:ascii="Times New Roman" w:hAnsi="Times New Roman" w:cs="Times New Roman"/>
          <w:color w:val="000000"/>
          <w:sz w:val="24"/>
          <w:szCs w:val="24"/>
        </w:rPr>
        <w:t>, dirty, inefficient</w:t>
      </w:r>
      <w:r w:rsidRPr="001977EB" w:rsidR="002A3B43">
        <w:rPr>
          <w:rFonts w:ascii="Times New Roman" w:hAnsi="Times New Roman" w:cs="Times New Roman"/>
          <w:color w:val="000000"/>
          <w:sz w:val="24"/>
          <w:szCs w:val="24"/>
        </w:rPr>
        <w:t xml:space="preserve"> </w:t>
      </w:r>
      <w:r w:rsidRPr="001977EB" w:rsidR="008F1FD3">
        <w:rPr>
          <w:rFonts w:ascii="Times New Roman" w:hAnsi="Times New Roman" w:cs="Times New Roman"/>
          <w:color w:val="000000"/>
          <w:sz w:val="24"/>
          <w:szCs w:val="24"/>
        </w:rPr>
        <w:t>coal plants</w:t>
      </w:r>
      <w:r w:rsidRPr="001977EB" w:rsidR="00484870">
        <w:rPr>
          <w:rFonts w:ascii="Times New Roman" w:hAnsi="Times New Roman" w:cs="Times New Roman"/>
          <w:color w:val="000000"/>
          <w:sz w:val="24"/>
          <w:szCs w:val="24"/>
        </w:rPr>
        <w:t xml:space="preserve"> </w:t>
      </w:r>
      <w:r w:rsidRPr="001977EB">
        <w:rPr>
          <w:rFonts w:ascii="Times New Roman" w:hAnsi="Times New Roman" w:cs="Times New Roman"/>
          <w:color w:val="000000"/>
          <w:sz w:val="24"/>
          <w:szCs w:val="24"/>
        </w:rPr>
        <w:t>known as the</w:t>
      </w:r>
      <w:r w:rsidRPr="001977EB" w:rsidR="00654234">
        <w:rPr>
          <w:rFonts w:ascii="Times New Roman" w:hAnsi="Times New Roman" w:cs="Times New Roman"/>
          <w:color w:val="000000"/>
          <w:sz w:val="24"/>
          <w:szCs w:val="24"/>
        </w:rPr>
        <w:t xml:space="preserve"> OVEC plants</w:t>
      </w:r>
      <w:r w:rsidRPr="001977EB" w:rsidR="002A3B43">
        <w:rPr>
          <w:rFonts w:ascii="Times New Roman" w:hAnsi="Times New Roman" w:cs="Times New Roman"/>
          <w:color w:val="000000"/>
          <w:sz w:val="24"/>
          <w:szCs w:val="24"/>
        </w:rPr>
        <w:t>.</w:t>
      </w:r>
      <w:r w:rsidRPr="001977EB" w:rsidR="008F1FD3">
        <w:rPr>
          <w:rFonts w:ascii="Times New Roman" w:hAnsi="Times New Roman" w:cs="Times New Roman"/>
          <w:color w:val="000000"/>
          <w:sz w:val="24"/>
          <w:szCs w:val="24"/>
        </w:rPr>
        <w:t xml:space="preserve"> </w:t>
      </w:r>
      <w:r w:rsidRPr="001977EB">
        <w:rPr>
          <w:rFonts w:ascii="Times New Roman" w:hAnsi="Times New Roman" w:cs="Times New Roman"/>
          <w:color w:val="000000"/>
          <w:sz w:val="24"/>
          <w:szCs w:val="24"/>
        </w:rPr>
        <w:t>The PUCO should not force Ohio consumers to subsidize the utilities</w:t>
      </w:r>
      <w:r w:rsidR="001977EB">
        <w:rPr>
          <w:rFonts w:ascii="Times New Roman" w:hAnsi="Times New Roman" w:cs="Times New Roman"/>
          <w:color w:val="000000"/>
          <w:sz w:val="24"/>
          <w:szCs w:val="24"/>
        </w:rPr>
        <w:t>’</w:t>
      </w:r>
      <w:r w:rsidRPr="001977EB">
        <w:rPr>
          <w:rFonts w:ascii="Times New Roman" w:hAnsi="Times New Roman" w:cs="Times New Roman"/>
          <w:color w:val="000000"/>
          <w:sz w:val="24"/>
          <w:szCs w:val="24"/>
        </w:rPr>
        <w:t xml:space="preserve"> imprudent operation of the OVEC plants and pay for above-market energy costs. </w:t>
      </w:r>
      <w:r w:rsidRPr="001977EB" w:rsidR="002A3B43">
        <w:rPr>
          <w:rFonts w:ascii="Times New Roman" w:hAnsi="Times New Roman" w:cs="Times New Roman"/>
          <w:color w:val="000000"/>
          <w:sz w:val="24"/>
          <w:szCs w:val="24"/>
        </w:rPr>
        <w:t>O</w:t>
      </w:r>
      <w:r w:rsidRPr="001977EB" w:rsidR="008F1FD3">
        <w:rPr>
          <w:rFonts w:ascii="Times New Roman" w:hAnsi="Times New Roman" w:cs="Times New Roman"/>
          <w:color w:val="000000"/>
          <w:sz w:val="24"/>
          <w:szCs w:val="24"/>
        </w:rPr>
        <w:t xml:space="preserve">ne of </w:t>
      </w:r>
      <w:r w:rsidRPr="001977EB" w:rsidR="002A3B43">
        <w:rPr>
          <w:rFonts w:ascii="Times New Roman" w:hAnsi="Times New Roman" w:cs="Times New Roman"/>
          <w:color w:val="000000"/>
          <w:sz w:val="24"/>
          <w:szCs w:val="24"/>
        </w:rPr>
        <w:t xml:space="preserve">the OVEC plants, Clifty Creek, </w:t>
      </w:r>
      <w:r w:rsidRPr="001977EB" w:rsidR="008F1FD3">
        <w:rPr>
          <w:rFonts w:ascii="Times New Roman" w:hAnsi="Times New Roman" w:cs="Times New Roman"/>
          <w:color w:val="000000"/>
          <w:sz w:val="24"/>
          <w:szCs w:val="24"/>
        </w:rPr>
        <w:t>is located in</w:t>
      </w:r>
      <w:r w:rsidRPr="001977EB" w:rsidR="008F1FD3">
        <w:rPr>
          <w:rFonts w:ascii="Times New Roman" w:hAnsi="Times New Roman" w:cs="Times New Roman"/>
          <w:i/>
          <w:iCs/>
          <w:color w:val="000000"/>
          <w:sz w:val="24"/>
          <w:szCs w:val="24"/>
        </w:rPr>
        <w:t xml:space="preserve"> Indiana </w:t>
      </w:r>
      <w:r w:rsidRPr="001977EB" w:rsidR="008F1FD3">
        <w:rPr>
          <w:rFonts w:ascii="Times New Roman" w:hAnsi="Times New Roman" w:cs="Times New Roman"/>
          <w:color w:val="000000"/>
          <w:sz w:val="24"/>
          <w:szCs w:val="24"/>
        </w:rPr>
        <w:t xml:space="preserve">and does not </w:t>
      </w:r>
      <w:r w:rsidR="00367D69">
        <w:rPr>
          <w:rFonts w:ascii="Times New Roman" w:hAnsi="Times New Roman" w:cs="Times New Roman"/>
          <w:color w:val="000000"/>
          <w:sz w:val="24"/>
          <w:szCs w:val="24"/>
        </w:rPr>
        <w:t>provide any economic benefits for</w:t>
      </w:r>
      <w:r w:rsidRPr="001977EB" w:rsidR="008F1FD3">
        <w:rPr>
          <w:rFonts w:ascii="Times New Roman" w:hAnsi="Times New Roman" w:cs="Times New Roman"/>
          <w:color w:val="000000"/>
          <w:sz w:val="24"/>
          <w:szCs w:val="24"/>
        </w:rPr>
        <w:t xml:space="preserve"> Ohio</w:t>
      </w:r>
      <w:r w:rsidR="00367D69">
        <w:rPr>
          <w:rFonts w:ascii="Times New Roman" w:hAnsi="Times New Roman" w:cs="Times New Roman"/>
          <w:color w:val="000000"/>
          <w:sz w:val="24"/>
          <w:szCs w:val="24"/>
        </w:rPr>
        <w:t>ans</w:t>
      </w:r>
      <w:r w:rsidRPr="001977EB" w:rsidR="00654234">
        <w:rPr>
          <w:rFonts w:ascii="Times New Roman" w:hAnsi="Times New Roman" w:cs="Times New Roman"/>
          <w:color w:val="000000"/>
          <w:sz w:val="24"/>
          <w:szCs w:val="24"/>
        </w:rPr>
        <w:t>!</w:t>
      </w:r>
      <w:r w:rsidRPr="001977EB" w:rsidR="002A3B43">
        <w:rPr>
          <w:rFonts w:ascii="Times New Roman" w:hAnsi="Times New Roman" w:cs="Times New Roman"/>
          <w:color w:val="000000"/>
          <w:sz w:val="24"/>
          <w:szCs w:val="24"/>
        </w:rPr>
        <w:t xml:space="preserve"> </w:t>
      </w:r>
    </w:p>
    <w:p w:rsidR="00682D6A" w:rsidRPr="001977EB" w:rsidP="00682D6A" w14:paraId="0F09863C" w14:textId="77777777">
      <w:pPr>
        <w:spacing w:line="480" w:lineRule="auto"/>
        <w:ind w:firstLine="720"/>
        <w:rPr>
          <w:rFonts w:ascii="Times New Roman" w:hAnsi="Times New Roman" w:cs="Times New Roman"/>
          <w:color w:val="000000"/>
          <w:sz w:val="24"/>
          <w:szCs w:val="24"/>
        </w:rPr>
      </w:pPr>
      <w:r w:rsidRPr="001977EB">
        <w:rPr>
          <w:rFonts w:ascii="Times New Roman" w:hAnsi="Times New Roman" w:cs="Times New Roman"/>
          <w:color w:val="000000"/>
          <w:sz w:val="24"/>
          <w:szCs w:val="24"/>
        </w:rPr>
        <w:t xml:space="preserve">Duke, DP&amp;L, and AEP Ohio charge consumers for </w:t>
      </w:r>
      <w:r w:rsidRPr="001977EB" w:rsidR="005C6DF1">
        <w:rPr>
          <w:rFonts w:ascii="Times New Roman" w:hAnsi="Times New Roman" w:cs="Times New Roman"/>
          <w:color w:val="000000"/>
          <w:sz w:val="24"/>
          <w:szCs w:val="24"/>
        </w:rPr>
        <w:t>operat</w:t>
      </w:r>
      <w:r w:rsidRPr="001977EB">
        <w:rPr>
          <w:rFonts w:ascii="Times New Roman" w:hAnsi="Times New Roman" w:cs="Times New Roman"/>
          <w:color w:val="000000"/>
          <w:sz w:val="24"/>
          <w:szCs w:val="24"/>
        </w:rPr>
        <w:t>ing</w:t>
      </w:r>
      <w:r w:rsidRPr="001977EB" w:rsidR="005C6DF1">
        <w:rPr>
          <w:rFonts w:ascii="Times New Roman" w:hAnsi="Times New Roman" w:cs="Times New Roman"/>
          <w:color w:val="000000"/>
          <w:sz w:val="24"/>
          <w:szCs w:val="24"/>
        </w:rPr>
        <w:t xml:space="preserve"> the</w:t>
      </w:r>
      <w:r w:rsidRPr="001977EB" w:rsidR="00CF4175">
        <w:rPr>
          <w:rFonts w:ascii="Times New Roman" w:hAnsi="Times New Roman" w:cs="Times New Roman"/>
          <w:color w:val="000000"/>
          <w:sz w:val="24"/>
          <w:szCs w:val="24"/>
        </w:rPr>
        <w:t xml:space="preserve"> OVEC plants</w:t>
      </w:r>
      <w:r w:rsidRPr="001977EB" w:rsidR="007A7822">
        <w:rPr>
          <w:rFonts w:ascii="Times New Roman" w:hAnsi="Times New Roman" w:cs="Times New Roman"/>
          <w:color w:val="000000"/>
          <w:sz w:val="24"/>
          <w:szCs w:val="24"/>
        </w:rPr>
        <w:t xml:space="preserve"> under</w:t>
      </w:r>
      <w:r w:rsidRPr="001977EB" w:rsidR="00654234">
        <w:rPr>
          <w:rFonts w:ascii="Times New Roman" w:hAnsi="Times New Roman" w:cs="Times New Roman"/>
          <w:color w:val="000000"/>
          <w:sz w:val="24"/>
          <w:szCs w:val="24"/>
        </w:rPr>
        <w:t xml:space="preserve"> </w:t>
      </w:r>
      <w:r w:rsidRPr="001977EB" w:rsidR="002A3B43">
        <w:rPr>
          <w:rFonts w:ascii="Times New Roman" w:hAnsi="Times New Roman" w:cs="Times New Roman"/>
          <w:color w:val="000000"/>
          <w:sz w:val="24"/>
          <w:szCs w:val="24"/>
        </w:rPr>
        <w:t xml:space="preserve">the </w:t>
      </w:r>
      <w:r w:rsidRPr="001977EB" w:rsidR="00BD2125">
        <w:rPr>
          <w:rFonts w:ascii="Times New Roman" w:hAnsi="Times New Roman" w:cs="Times New Roman"/>
          <w:color w:val="000000"/>
          <w:sz w:val="24"/>
          <w:szCs w:val="24"/>
        </w:rPr>
        <w:t>corrupt H.B. 6</w:t>
      </w:r>
      <w:r w:rsidRPr="001977EB" w:rsidR="00AE432B">
        <w:rPr>
          <w:rFonts w:ascii="Times New Roman" w:hAnsi="Times New Roman" w:cs="Times New Roman"/>
          <w:color w:val="000000"/>
          <w:sz w:val="24"/>
          <w:szCs w:val="24"/>
        </w:rPr>
        <w:t xml:space="preserve"> coal bailout</w:t>
      </w:r>
      <w:r w:rsidRPr="001977EB">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2"/>
      </w:r>
      <w:r w:rsidRPr="001977EB" w:rsidR="007A7822">
        <w:rPr>
          <w:rFonts w:ascii="Times New Roman" w:hAnsi="Times New Roman" w:cs="Times New Roman"/>
          <w:color w:val="000000"/>
          <w:sz w:val="24"/>
          <w:szCs w:val="24"/>
        </w:rPr>
        <w:t xml:space="preserve"> which </w:t>
      </w:r>
      <w:r w:rsidRPr="001977EB" w:rsidR="007A7822">
        <w:rPr>
          <w:rFonts w:ascii="Times New Roman" w:hAnsi="Times New Roman" w:cs="Times New Roman"/>
          <w:sz w:val="24"/>
          <w:szCs w:val="24"/>
        </w:rPr>
        <w:t xml:space="preserve">United States District Judge Algenon Marbley called an </w:t>
      </w:r>
      <w:r w:rsidR="001977EB">
        <w:rPr>
          <w:rFonts w:ascii="Times New Roman" w:hAnsi="Times New Roman" w:cs="Times New Roman"/>
          <w:sz w:val="24"/>
          <w:szCs w:val="24"/>
        </w:rPr>
        <w:t>“</w:t>
      </w:r>
      <w:r w:rsidRPr="001977EB" w:rsidR="007A7822">
        <w:rPr>
          <w:rFonts w:ascii="Times New Roman" w:hAnsi="Times New Roman" w:cs="Times New Roman"/>
          <w:i/>
          <w:iCs/>
          <w:sz w:val="24"/>
          <w:szCs w:val="24"/>
        </w:rPr>
        <w:t>unparalleled corruption</w:t>
      </w:r>
      <w:r w:rsidRPr="001977EB" w:rsidR="007A7822">
        <w:rPr>
          <w:rFonts w:ascii="Times New Roman" w:hAnsi="Times New Roman" w:cs="Times New Roman"/>
          <w:sz w:val="24"/>
          <w:szCs w:val="24"/>
        </w:rPr>
        <w:t xml:space="preserve"> of Ohio</w:t>
      </w:r>
      <w:r w:rsidR="001977EB">
        <w:rPr>
          <w:rFonts w:ascii="Times New Roman" w:hAnsi="Times New Roman" w:cs="Times New Roman"/>
          <w:sz w:val="24"/>
          <w:szCs w:val="24"/>
        </w:rPr>
        <w:t>’</w:t>
      </w:r>
      <w:r w:rsidRPr="001977EB" w:rsidR="007A7822">
        <w:rPr>
          <w:rFonts w:ascii="Times New Roman" w:hAnsi="Times New Roman" w:cs="Times New Roman"/>
          <w:sz w:val="24"/>
          <w:szCs w:val="24"/>
        </w:rPr>
        <w:t>s democratic process.</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1977EB">
        <w:rPr>
          <w:rFonts w:ascii="Times New Roman" w:hAnsi="Times New Roman" w:cs="Times New Roman"/>
          <w:sz w:val="24"/>
          <w:szCs w:val="24"/>
        </w:rPr>
        <w:t xml:space="preserve"> </w:t>
      </w:r>
      <w:r w:rsidRPr="001977EB" w:rsidR="007A7822">
        <w:rPr>
          <w:rFonts w:ascii="Times New Roman" w:hAnsi="Times New Roman" w:cs="Times New Roman"/>
          <w:color w:val="000000"/>
          <w:sz w:val="24"/>
          <w:szCs w:val="24"/>
        </w:rPr>
        <w:t>The H.B. 6 scandal has</w:t>
      </w:r>
      <w:r w:rsidRPr="001977EB">
        <w:rPr>
          <w:rFonts w:ascii="Times New Roman" w:hAnsi="Times New Roman" w:cs="Times New Roman"/>
          <w:color w:val="000000"/>
          <w:sz w:val="24"/>
          <w:szCs w:val="24"/>
        </w:rPr>
        <w:t xml:space="preserve"> resulted in the criminal conviction of former</w:t>
      </w:r>
      <w:r w:rsidRPr="001977EB" w:rsidR="00484870">
        <w:rPr>
          <w:rFonts w:ascii="Times New Roman" w:hAnsi="Times New Roman" w:cs="Times New Roman"/>
          <w:color w:val="000000"/>
          <w:sz w:val="24"/>
          <w:szCs w:val="24"/>
        </w:rPr>
        <w:t xml:space="preserve"> Ohio</w:t>
      </w:r>
      <w:r w:rsidRPr="001977EB">
        <w:rPr>
          <w:rFonts w:ascii="Times New Roman" w:hAnsi="Times New Roman" w:cs="Times New Roman"/>
          <w:color w:val="000000"/>
          <w:sz w:val="24"/>
          <w:szCs w:val="24"/>
        </w:rPr>
        <w:t xml:space="preserve"> House Speaker Larry Householder, FirstEnergy</w:t>
      </w:r>
      <w:r w:rsidR="001977EB">
        <w:rPr>
          <w:rFonts w:ascii="Times New Roman" w:hAnsi="Times New Roman" w:cs="Times New Roman"/>
          <w:color w:val="000000"/>
          <w:sz w:val="24"/>
          <w:szCs w:val="24"/>
        </w:rPr>
        <w:t>’</w:t>
      </w:r>
      <w:r w:rsidRPr="001977EB" w:rsidR="007A7822">
        <w:rPr>
          <w:rFonts w:ascii="Times New Roman" w:hAnsi="Times New Roman" w:cs="Times New Roman"/>
          <w:color w:val="000000"/>
          <w:sz w:val="24"/>
          <w:szCs w:val="24"/>
        </w:rPr>
        <w:t>s admission</w:t>
      </w:r>
      <w:r w:rsidRPr="001977EB">
        <w:rPr>
          <w:rFonts w:ascii="Times New Roman" w:hAnsi="Times New Roman" w:cs="Times New Roman"/>
          <w:color w:val="000000"/>
          <w:sz w:val="24"/>
          <w:szCs w:val="24"/>
        </w:rPr>
        <w:t xml:space="preserve"> that it bribed former PUCO Chair Sam Randazzo, and </w:t>
      </w:r>
      <w:r w:rsidR="00B05558">
        <w:rPr>
          <w:rFonts w:ascii="Times New Roman" w:hAnsi="Times New Roman" w:cs="Times New Roman"/>
          <w:color w:val="000000"/>
          <w:sz w:val="24"/>
          <w:szCs w:val="24"/>
        </w:rPr>
        <w:t xml:space="preserve">a </w:t>
      </w:r>
      <w:r w:rsidRPr="001977EB">
        <w:rPr>
          <w:rFonts w:ascii="Times New Roman" w:hAnsi="Times New Roman" w:cs="Times New Roman"/>
          <w:color w:val="000000"/>
          <w:sz w:val="24"/>
          <w:szCs w:val="24"/>
        </w:rPr>
        <w:t>federal criminal indictment against Randazzo for bribery</w:t>
      </w:r>
      <w:r w:rsidRPr="001977EB" w:rsidR="007A7822">
        <w:rPr>
          <w:rFonts w:ascii="Times New Roman" w:hAnsi="Times New Roman" w:cs="Times New Roman"/>
          <w:color w:val="000000"/>
          <w:sz w:val="24"/>
          <w:szCs w:val="24"/>
        </w:rPr>
        <w:t xml:space="preserve"> and </w:t>
      </w:r>
      <w:r w:rsidRPr="001977EB" w:rsidR="00836BD6">
        <w:rPr>
          <w:rFonts w:ascii="Times New Roman" w:hAnsi="Times New Roman" w:cs="Times New Roman"/>
          <w:color w:val="000000"/>
          <w:sz w:val="24"/>
          <w:szCs w:val="24"/>
        </w:rPr>
        <w:t>embezzlement</w:t>
      </w:r>
      <w:r w:rsidRPr="001977EB">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4"/>
      </w:r>
      <w:r w:rsidRPr="001977EB">
        <w:rPr>
          <w:rFonts w:ascii="Times New Roman" w:hAnsi="Times New Roman" w:cs="Times New Roman"/>
          <w:color w:val="000000"/>
          <w:sz w:val="24"/>
          <w:szCs w:val="24"/>
        </w:rPr>
        <w:t xml:space="preserve"> </w:t>
      </w:r>
      <w:r w:rsidRPr="001977EB" w:rsidR="00836BD6">
        <w:rPr>
          <w:rFonts w:ascii="Times New Roman" w:hAnsi="Times New Roman" w:cs="Times New Roman"/>
          <w:color w:val="000000"/>
          <w:sz w:val="24"/>
          <w:szCs w:val="24"/>
        </w:rPr>
        <w:t>L</w:t>
      </w:r>
      <w:r w:rsidRPr="001977EB" w:rsidR="005C6DF1">
        <w:rPr>
          <w:rFonts w:ascii="Times New Roman" w:hAnsi="Times New Roman" w:cs="Times New Roman"/>
          <w:color w:val="000000"/>
          <w:sz w:val="24"/>
          <w:szCs w:val="24"/>
        </w:rPr>
        <w:t xml:space="preserve">egislative efforts to repeal the H.B. 6 coal subsidies have stalled despite </w:t>
      </w:r>
      <w:r w:rsidRPr="001977EB">
        <w:rPr>
          <w:rFonts w:ascii="Times New Roman" w:hAnsi="Times New Roman" w:cs="Times New Roman"/>
          <w:color w:val="000000"/>
          <w:sz w:val="24"/>
          <w:szCs w:val="24"/>
        </w:rPr>
        <w:t xml:space="preserve">the </w:t>
      </w:r>
      <w:r w:rsidRPr="001977EB" w:rsidR="005C6DF1">
        <w:rPr>
          <w:rFonts w:ascii="Times New Roman" w:hAnsi="Times New Roman" w:cs="Times New Roman"/>
          <w:color w:val="000000"/>
          <w:sz w:val="24"/>
          <w:szCs w:val="24"/>
        </w:rPr>
        <w:t>criminal convictions</w:t>
      </w:r>
      <w:r w:rsidRPr="001977EB">
        <w:rPr>
          <w:rFonts w:ascii="Times New Roman" w:hAnsi="Times New Roman" w:cs="Times New Roman"/>
          <w:color w:val="000000"/>
          <w:sz w:val="24"/>
          <w:szCs w:val="24"/>
        </w:rPr>
        <w:t>, indictments,</w:t>
      </w:r>
      <w:r w:rsidRPr="001977EB" w:rsidR="005C6DF1">
        <w:rPr>
          <w:rFonts w:ascii="Times New Roman" w:hAnsi="Times New Roman" w:cs="Times New Roman"/>
          <w:color w:val="000000"/>
          <w:sz w:val="24"/>
          <w:szCs w:val="24"/>
        </w:rPr>
        <w:t xml:space="preserve"> and public outcry.</w:t>
      </w:r>
    </w:p>
    <w:p w:rsidR="00A529A6" w:rsidRPr="001977EB" w:rsidP="00484870" w14:paraId="7B6F6A35" w14:textId="77777777">
      <w:pPr>
        <w:spacing w:line="480" w:lineRule="auto"/>
        <w:ind w:firstLine="720"/>
        <w:rPr>
          <w:rFonts w:ascii="Times New Roman" w:hAnsi="Times New Roman" w:cs="Times New Roman"/>
          <w:color w:val="000000"/>
          <w:sz w:val="24"/>
          <w:szCs w:val="24"/>
        </w:rPr>
      </w:pPr>
      <w:r w:rsidRPr="001977EB">
        <w:rPr>
          <w:rFonts w:ascii="Times New Roman" w:hAnsi="Times New Roman" w:cs="Times New Roman"/>
          <w:color w:val="000000"/>
          <w:sz w:val="24"/>
          <w:szCs w:val="24"/>
        </w:rPr>
        <w:t xml:space="preserve">While the H.B. 6 coal subsidy remains, consumers should not be further harmed by subsidizing imprudent operations of the OVEC plants. </w:t>
      </w:r>
      <w:r w:rsidRPr="001977EB" w:rsidR="00284FE3">
        <w:rPr>
          <w:rFonts w:ascii="Times New Roman" w:hAnsi="Times New Roman" w:cs="Times New Roman"/>
          <w:color w:val="000000"/>
          <w:sz w:val="24"/>
          <w:szCs w:val="24"/>
        </w:rPr>
        <w:t xml:space="preserve">The day-to-day coal plant operations were performed by OVEC and </w:t>
      </w:r>
      <w:r w:rsidRPr="001977EB" w:rsidR="00167F2F">
        <w:rPr>
          <w:rFonts w:ascii="Times New Roman" w:hAnsi="Times New Roman" w:cs="Times New Roman"/>
          <w:color w:val="000000"/>
          <w:sz w:val="24"/>
          <w:szCs w:val="24"/>
        </w:rPr>
        <w:t>follow</w:t>
      </w:r>
      <w:r w:rsidRPr="001977EB" w:rsidR="00745D6E">
        <w:rPr>
          <w:rFonts w:ascii="Times New Roman" w:hAnsi="Times New Roman" w:cs="Times New Roman"/>
          <w:color w:val="000000"/>
          <w:sz w:val="24"/>
          <w:szCs w:val="24"/>
        </w:rPr>
        <w:t>ed</w:t>
      </w:r>
      <w:r w:rsidRPr="001977EB" w:rsidR="00284FE3">
        <w:rPr>
          <w:rFonts w:ascii="Times New Roman" w:hAnsi="Times New Roman" w:cs="Times New Roman"/>
          <w:color w:val="000000"/>
          <w:sz w:val="24"/>
          <w:szCs w:val="24"/>
        </w:rPr>
        <w:t xml:space="preserve"> written procedures </w:t>
      </w:r>
      <w:r w:rsidRPr="001977EB">
        <w:rPr>
          <w:rFonts w:ascii="Times New Roman" w:hAnsi="Times New Roman" w:cs="Times New Roman"/>
          <w:color w:val="000000"/>
          <w:sz w:val="24"/>
          <w:szCs w:val="24"/>
        </w:rPr>
        <w:t>developed by the plant owners</w:t>
      </w:r>
      <w:r w:rsidRPr="001977EB" w:rsidR="00484870">
        <w:rPr>
          <w:rFonts w:ascii="Times New Roman" w:hAnsi="Times New Roman" w:cs="Times New Roman"/>
          <w:color w:val="000000"/>
          <w:sz w:val="24"/>
          <w:szCs w:val="24"/>
        </w:rPr>
        <w:t xml:space="preserve"> – the utilities</w:t>
      </w:r>
      <w:r w:rsidRPr="001977EB">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5"/>
      </w:r>
      <w:r w:rsidRPr="001977EB" w:rsidR="00FC50DF">
        <w:rPr>
          <w:rFonts w:ascii="Times New Roman" w:hAnsi="Times New Roman" w:cs="Times New Roman"/>
          <w:color w:val="000000"/>
          <w:sz w:val="24"/>
          <w:szCs w:val="24"/>
        </w:rPr>
        <w:t xml:space="preserve"> </w:t>
      </w:r>
      <w:r w:rsidRPr="001977EB">
        <w:rPr>
          <w:rFonts w:ascii="Times New Roman" w:hAnsi="Times New Roman" w:cs="Times New Roman"/>
          <w:color w:val="000000"/>
          <w:sz w:val="24"/>
          <w:szCs w:val="24"/>
        </w:rPr>
        <w:t xml:space="preserve">One key operating decision was whether to keep the plants running every day (despite </w:t>
      </w:r>
      <w:r w:rsidRPr="001977EB" w:rsidR="00C459C1">
        <w:rPr>
          <w:rFonts w:ascii="Times New Roman" w:hAnsi="Times New Roman" w:cs="Times New Roman"/>
          <w:color w:val="000000"/>
          <w:sz w:val="24"/>
          <w:szCs w:val="24"/>
        </w:rPr>
        <w:t xml:space="preserve">incurring $105 million in losses </w:t>
      </w:r>
      <w:r w:rsidRPr="001977EB" w:rsidR="00745D6E">
        <w:rPr>
          <w:rFonts w:ascii="Times New Roman" w:hAnsi="Times New Roman" w:cs="Times New Roman"/>
          <w:color w:val="000000"/>
          <w:sz w:val="24"/>
          <w:szCs w:val="24"/>
        </w:rPr>
        <w:t>during</w:t>
      </w:r>
      <w:r w:rsidRPr="001977EB" w:rsidR="00C459C1">
        <w:rPr>
          <w:rFonts w:ascii="Times New Roman" w:hAnsi="Times New Roman" w:cs="Times New Roman"/>
          <w:color w:val="000000"/>
          <w:sz w:val="24"/>
          <w:szCs w:val="24"/>
        </w:rPr>
        <w:t xml:space="preserve"> 2020</w:t>
      </w:r>
      <w:r w:rsidRPr="001977EB">
        <w:rPr>
          <w:rFonts w:ascii="Times New Roman" w:hAnsi="Times New Roman" w:cs="Times New Roman"/>
          <w:color w:val="000000"/>
          <w:sz w:val="24"/>
          <w:szCs w:val="24"/>
        </w:rPr>
        <w:t xml:space="preserve">) or to only run the plants on </w:t>
      </w:r>
      <w:r w:rsidRPr="001977EB" w:rsidR="00C459C1">
        <w:rPr>
          <w:rFonts w:ascii="Times New Roman" w:hAnsi="Times New Roman" w:cs="Times New Roman"/>
          <w:color w:val="000000"/>
          <w:sz w:val="24"/>
          <w:szCs w:val="24"/>
        </w:rPr>
        <w:t xml:space="preserve">the few </w:t>
      </w:r>
      <w:r w:rsidRPr="001977EB">
        <w:rPr>
          <w:rFonts w:ascii="Times New Roman" w:hAnsi="Times New Roman" w:cs="Times New Roman"/>
          <w:color w:val="000000"/>
          <w:sz w:val="24"/>
          <w:szCs w:val="24"/>
        </w:rPr>
        <w:t xml:space="preserve">days </w:t>
      </w:r>
      <w:r w:rsidRPr="001977EB" w:rsidR="00C459C1">
        <w:rPr>
          <w:rFonts w:ascii="Times New Roman" w:hAnsi="Times New Roman" w:cs="Times New Roman"/>
          <w:color w:val="000000"/>
          <w:sz w:val="24"/>
          <w:szCs w:val="24"/>
        </w:rPr>
        <w:t xml:space="preserve">during the year </w:t>
      </w:r>
      <w:r w:rsidRPr="001977EB">
        <w:rPr>
          <w:rFonts w:ascii="Times New Roman" w:hAnsi="Times New Roman" w:cs="Times New Roman"/>
          <w:color w:val="000000"/>
          <w:sz w:val="24"/>
          <w:szCs w:val="24"/>
        </w:rPr>
        <w:t xml:space="preserve">when they might </w:t>
      </w:r>
      <w:r w:rsidRPr="001977EB" w:rsidR="00C459C1">
        <w:rPr>
          <w:rFonts w:ascii="Times New Roman" w:hAnsi="Times New Roman" w:cs="Times New Roman"/>
          <w:color w:val="000000"/>
          <w:sz w:val="24"/>
          <w:szCs w:val="24"/>
        </w:rPr>
        <w:t>earn a profit</w:t>
      </w:r>
      <w:r w:rsidRPr="001977EB">
        <w:rPr>
          <w:rFonts w:ascii="Times New Roman" w:hAnsi="Times New Roman" w:cs="Times New Roman"/>
          <w:color w:val="000000"/>
          <w:sz w:val="24"/>
          <w:szCs w:val="24"/>
        </w:rPr>
        <w:t>.</w:t>
      </w:r>
      <w:r w:rsidRPr="001977EB" w:rsidR="00484870">
        <w:rPr>
          <w:rFonts w:ascii="Times New Roman" w:hAnsi="Times New Roman" w:cs="Times New Roman"/>
          <w:color w:val="000000"/>
          <w:sz w:val="24"/>
          <w:szCs w:val="24"/>
        </w:rPr>
        <w:t xml:space="preserve"> The PUCO</w:t>
      </w:r>
      <w:r w:rsidR="001977EB">
        <w:rPr>
          <w:rFonts w:ascii="Times New Roman" w:hAnsi="Times New Roman" w:cs="Times New Roman"/>
          <w:color w:val="000000"/>
          <w:sz w:val="24"/>
          <w:szCs w:val="24"/>
        </w:rPr>
        <w:t>’</w:t>
      </w:r>
      <w:r w:rsidRPr="001977EB" w:rsidR="00484870">
        <w:rPr>
          <w:rFonts w:ascii="Times New Roman" w:hAnsi="Times New Roman" w:cs="Times New Roman"/>
          <w:color w:val="000000"/>
          <w:sz w:val="24"/>
          <w:szCs w:val="24"/>
        </w:rPr>
        <w:t xml:space="preserve">s </w:t>
      </w:r>
      <w:r w:rsidRPr="001977EB" w:rsidR="00B73C46">
        <w:rPr>
          <w:rFonts w:ascii="Times New Roman" w:hAnsi="Times New Roman" w:cs="Times New Roman"/>
          <w:color w:val="000000"/>
          <w:sz w:val="24"/>
          <w:szCs w:val="24"/>
        </w:rPr>
        <w:t>A</w:t>
      </w:r>
      <w:r w:rsidRPr="001977EB" w:rsidR="00484870">
        <w:rPr>
          <w:rFonts w:ascii="Times New Roman" w:hAnsi="Times New Roman" w:cs="Times New Roman"/>
          <w:color w:val="000000"/>
          <w:sz w:val="24"/>
          <w:szCs w:val="24"/>
        </w:rPr>
        <w:t>uditor</w:t>
      </w:r>
      <w:r w:rsidRPr="001977EB" w:rsidR="00FC50DF">
        <w:rPr>
          <w:rFonts w:ascii="Times New Roman" w:hAnsi="Times New Roman" w:cs="Times New Roman"/>
          <w:color w:val="000000"/>
          <w:sz w:val="24"/>
          <w:szCs w:val="24"/>
        </w:rPr>
        <w:t xml:space="preserve"> </w:t>
      </w:r>
      <w:r w:rsidRPr="001977EB" w:rsidR="00C459C1">
        <w:rPr>
          <w:rFonts w:ascii="Times New Roman" w:hAnsi="Times New Roman" w:cs="Times New Roman"/>
          <w:color w:val="000000"/>
          <w:sz w:val="24"/>
          <w:szCs w:val="24"/>
        </w:rPr>
        <w:t>London Economics</w:t>
      </w:r>
      <w:r w:rsidRPr="001977EB" w:rsidR="00484870">
        <w:rPr>
          <w:rFonts w:ascii="Times New Roman" w:hAnsi="Times New Roman" w:cs="Times New Roman"/>
          <w:color w:val="000000"/>
          <w:sz w:val="24"/>
          <w:szCs w:val="24"/>
        </w:rPr>
        <w:t>, charged with examining OVEC</w:t>
      </w:r>
      <w:r w:rsidR="001977EB">
        <w:rPr>
          <w:rFonts w:ascii="Times New Roman" w:hAnsi="Times New Roman" w:cs="Times New Roman"/>
          <w:color w:val="000000"/>
          <w:sz w:val="24"/>
          <w:szCs w:val="24"/>
        </w:rPr>
        <w:t>’</w:t>
      </w:r>
      <w:r w:rsidRPr="001977EB" w:rsidR="00484870">
        <w:rPr>
          <w:rFonts w:ascii="Times New Roman" w:hAnsi="Times New Roman" w:cs="Times New Roman"/>
          <w:color w:val="000000"/>
          <w:sz w:val="24"/>
          <w:szCs w:val="24"/>
        </w:rPr>
        <w:t xml:space="preserve">s operation, </w:t>
      </w:r>
      <w:r w:rsidRPr="001977EB">
        <w:rPr>
          <w:rFonts w:ascii="Times New Roman" w:hAnsi="Times New Roman" w:cs="Times New Roman"/>
          <w:color w:val="000000"/>
          <w:sz w:val="24"/>
          <w:szCs w:val="24"/>
        </w:rPr>
        <w:t>failed to examine the prudency of these daily operating decisions</w:t>
      </w:r>
      <w:r>
        <w:rPr>
          <w:rStyle w:val="FootnoteReference"/>
          <w:rFonts w:ascii="Times New Roman" w:hAnsi="Times New Roman" w:cs="Times New Roman"/>
          <w:color w:val="000000"/>
          <w:sz w:val="24"/>
          <w:szCs w:val="24"/>
        </w:rPr>
        <w:footnoteReference w:id="6"/>
      </w:r>
      <w:r w:rsidRPr="001977EB">
        <w:rPr>
          <w:rFonts w:ascii="Times New Roman" w:hAnsi="Times New Roman" w:cs="Times New Roman"/>
          <w:color w:val="000000"/>
          <w:sz w:val="24"/>
          <w:szCs w:val="24"/>
        </w:rPr>
        <w:t xml:space="preserve"> – even though the PUCO </w:t>
      </w:r>
      <w:r w:rsidRPr="001977EB" w:rsidR="002D1B05">
        <w:rPr>
          <w:rFonts w:ascii="Times New Roman" w:hAnsi="Times New Roman" w:cs="Times New Roman"/>
          <w:color w:val="000000"/>
          <w:sz w:val="24"/>
          <w:szCs w:val="24"/>
        </w:rPr>
        <w:t xml:space="preserve">had </w:t>
      </w:r>
      <w:r w:rsidRPr="001977EB">
        <w:rPr>
          <w:rFonts w:ascii="Times New Roman" w:hAnsi="Times New Roman" w:cs="Times New Roman"/>
          <w:color w:val="000000"/>
          <w:sz w:val="24"/>
          <w:szCs w:val="24"/>
        </w:rPr>
        <w:t xml:space="preserve">expressly required </w:t>
      </w:r>
      <w:r w:rsidRPr="001977EB" w:rsidR="00C459C1">
        <w:rPr>
          <w:rFonts w:ascii="Times New Roman" w:hAnsi="Times New Roman" w:cs="Times New Roman"/>
          <w:color w:val="000000"/>
          <w:sz w:val="24"/>
          <w:szCs w:val="24"/>
        </w:rPr>
        <w:t>it</w:t>
      </w:r>
      <w:r w:rsidRPr="001977EB" w:rsidR="00745D6E">
        <w:rPr>
          <w:rFonts w:ascii="Times New Roman" w:hAnsi="Times New Roman" w:cs="Times New Roman"/>
          <w:color w:val="000000"/>
          <w:sz w:val="24"/>
          <w:szCs w:val="24"/>
        </w:rPr>
        <w:t xml:space="preserve"> to do so</w:t>
      </w:r>
      <w:r w:rsidRPr="001977EB">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7"/>
      </w:r>
    </w:p>
    <w:p w:rsidR="003839E5" w:rsidP="00BD2125" w14:paraId="7C4A7F37" w14:textId="77777777">
      <w:pPr>
        <w:spacing w:line="480" w:lineRule="auto"/>
        <w:ind w:firstLine="720"/>
        <w:rPr>
          <w:rFonts w:ascii="Times New Roman" w:hAnsi="Times New Roman" w:cs="Times New Roman"/>
          <w:color w:val="000000"/>
          <w:sz w:val="24"/>
          <w:szCs w:val="24"/>
        </w:rPr>
      </w:pPr>
      <w:r w:rsidRPr="001977EB">
        <w:rPr>
          <w:rFonts w:ascii="Times New Roman" w:hAnsi="Times New Roman" w:cs="Times New Roman"/>
          <w:sz w:val="24"/>
          <w:szCs w:val="24"/>
        </w:rPr>
        <w:t>The e</w:t>
      </w:r>
      <w:r w:rsidRPr="001977EB" w:rsidR="002D1B05">
        <w:rPr>
          <w:rFonts w:ascii="Times New Roman" w:hAnsi="Times New Roman" w:cs="Times New Roman"/>
          <w:sz w:val="24"/>
          <w:szCs w:val="24"/>
        </w:rPr>
        <w:t xml:space="preserve">vidence </w:t>
      </w:r>
      <w:r w:rsidRPr="001977EB" w:rsidR="00484870">
        <w:rPr>
          <w:rFonts w:ascii="Times New Roman" w:hAnsi="Times New Roman" w:cs="Times New Roman"/>
          <w:sz w:val="24"/>
          <w:szCs w:val="24"/>
        </w:rPr>
        <w:t xml:space="preserve">in this case </w:t>
      </w:r>
      <w:r w:rsidRPr="001977EB">
        <w:rPr>
          <w:rFonts w:ascii="Times New Roman" w:hAnsi="Times New Roman" w:cs="Times New Roman"/>
          <w:sz w:val="24"/>
          <w:szCs w:val="24"/>
        </w:rPr>
        <w:t xml:space="preserve">established </w:t>
      </w:r>
      <w:r w:rsidRPr="001977EB" w:rsidR="002D1B05">
        <w:rPr>
          <w:rFonts w:ascii="Times New Roman" w:hAnsi="Times New Roman" w:cs="Times New Roman"/>
          <w:sz w:val="24"/>
          <w:szCs w:val="24"/>
        </w:rPr>
        <w:t xml:space="preserve">that the </w:t>
      </w:r>
      <w:r w:rsidRPr="001977EB">
        <w:rPr>
          <w:rFonts w:ascii="Times New Roman" w:hAnsi="Times New Roman" w:cs="Times New Roman"/>
          <w:sz w:val="24"/>
          <w:szCs w:val="24"/>
        </w:rPr>
        <w:t xml:space="preserve">coal plant subsidy </w:t>
      </w:r>
      <w:r w:rsidRPr="001977EB" w:rsidR="002D1B05">
        <w:rPr>
          <w:rFonts w:ascii="Times New Roman" w:hAnsi="Times New Roman" w:cs="Times New Roman"/>
          <w:sz w:val="24"/>
          <w:szCs w:val="24"/>
        </w:rPr>
        <w:t>costs</w:t>
      </w:r>
      <w:r w:rsidRPr="001977EB" w:rsidR="00484870">
        <w:rPr>
          <w:rFonts w:ascii="Times New Roman" w:hAnsi="Times New Roman" w:cs="Times New Roman"/>
          <w:sz w:val="24"/>
          <w:szCs w:val="24"/>
        </w:rPr>
        <w:t xml:space="preserve"> in 2020</w:t>
      </w:r>
      <w:r w:rsidRPr="001977EB" w:rsidR="002D1B05">
        <w:rPr>
          <w:rFonts w:ascii="Times New Roman" w:hAnsi="Times New Roman" w:cs="Times New Roman"/>
          <w:sz w:val="24"/>
          <w:szCs w:val="24"/>
        </w:rPr>
        <w:t xml:space="preserve"> were not prudent, not in the best interests of consumers and not consistent with how a merchant coal plant o</w:t>
      </w:r>
      <w:r w:rsidRPr="001977EB" w:rsidR="00745D6E">
        <w:rPr>
          <w:rFonts w:ascii="Times New Roman" w:hAnsi="Times New Roman" w:cs="Times New Roman"/>
          <w:sz w:val="24"/>
          <w:szCs w:val="24"/>
        </w:rPr>
        <w:t>wner</w:t>
      </w:r>
      <w:r w:rsidRPr="001977EB" w:rsidR="002D1B05">
        <w:rPr>
          <w:rFonts w:ascii="Times New Roman" w:hAnsi="Times New Roman" w:cs="Times New Roman"/>
          <w:sz w:val="24"/>
          <w:szCs w:val="24"/>
        </w:rPr>
        <w:t xml:space="preserve"> seeking to maximize profits would have operated the plants. </w:t>
      </w:r>
      <w:r w:rsidRPr="001977EB" w:rsidR="002D1B05">
        <w:rPr>
          <w:rFonts w:ascii="Times New Roman" w:hAnsi="Times New Roman" w:cs="Times New Roman"/>
          <w:color w:val="000000"/>
          <w:sz w:val="24"/>
          <w:szCs w:val="24"/>
        </w:rPr>
        <w:t>The PUCO should therefore disallow the entire $105 million in above-market</w:t>
      </w:r>
      <w:r w:rsidRPr="001977EB">
        <w:rPr>
          <w:rFonts w:ascii="Times New Roman" w:hAnsi="Times New Roman" w:cs="Times New Roman"/>
          <w:color w:val="000000"/>
          <w:sz w:val="24"/>
          <w:szCs w:val="24"/>
        </w:rPr>
        <w:t xml:space="preserve"> </w:t>
      </w:r>
      <w:r w:rsidRPr="001977EB" w:rsidR="002D1B05">
        <w:rPr>
          <w:rFonts w:ascii="Times New Roman" w:hAnsi="Times New Roman" w:cs="Times New Roman"/>
          <w:color w:val="000000"/>
          <w:sz w:val="24"/>
          <w:szCs w:val="24"/>
        </w:rPr>
        <w:t>price coal plant subsidy costs.</w:t>
      </w:r>
    </w:p>
    <w:p w:rsidR="003839E5" w14:paraId="50FF6CDF" w14:textId="7777777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97DCA" w:rsidRPr="001977EB" w:rsidP="002C1A1E" w14:paraId="720085A5" w14:textId="77777777">
      <w:pPr>
        <w:pStyle w:val="Heading1"/>
      </w:pPr>
      <w:bookmarkStart w:id="2" w:name="_Toc150780638"/>
      <w:bookmarkStart w:id="3" w:name="_Toc158641638"/>
      <w:r>
        <w:t>II.</w:t>
      </w:r>
      <w:r>
        <w:tab/>
      </w:r>
      <w:r w:rsidRPr="001977EB" w:rsidR="00682D6A">
        <w:t>BACKGROUND</w:t>
      </w:r>
      <w:bookmarkEnd w:id="2"/>
      <w:bookmarkEnd w:id="3"/>
    </w:p>
    <w:p w:rsidR="00DB27E3" w:rsidRPr="00B52AC5" w:rsidP="00B52AC5" w14:paraId="1913F498" w14:textId="77777777">
      <w:pPr>
        <w:pStyle w:val="Heading2"/>
      </w:pPr>
      <w:bookmarkStart w:id="4" w:name="_Toc158641639"/>
      <w:r w:rsidRPr="00B52AC5">
        <w:t>The coal plants.</w:t>
      </w:r>
      <w:bookmarkEnd w:id="4"/>
    </w:p>
    <w:p w:rsidR="00997DCA" w:rsidRPr="001977EB" w:rsidP="00C279D1" w14:paraId="2D9B2331" w14:textId="77777777">
      <w:pPr>
        <w:spacing w:before="160"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OVEC</w:t>
      </w:r>
      <w:r w:rsidRPr="001977EB" w:rsidR="00351D95">
        <w:rPr>
          <w:rFonts w:ascii="Times New Roman" w:eastAsia="Times New Roman" w:hAnsi="Times New Roman" w:cs="Times New Roman"/>
          <w:sz w:val="24"/>
          <w:szCs w:val="24"/>
        </w:rPr>
        <w:t xml:space="preserve"> is jointly-owned by twelve electric utilities and cooperatives in Ohio, Indiana, Michigan, Kentucky, West Virginia, and Virginia.</w:t>
      </w:r>
      <w:r>
        <w:rPr>
          <w:rStyle w:val="FootnoteReference"/>
          <w:rFonts w:ascii="Times New Roman" w:eastAsia="Times New Roman" w:hAnsi="Times New Roman" w:cs="Times New Roman"/>
          <w:sz w:val="24"/>
          <w:szCs w:val="24"/>
        </w:rPr>
        <w:footnoteReference w:id="8"/>
      </w:r>
      <w:r w:rsidRPr="001977EB" w:rsidR="00351D95">
        <w:rPr>
          <w:rFonts w:ascii="Times New Roman" w:eastAsia="Times New Roman" w:hAnsi="Times New Roman" w:cs="Times New Roman"/>
          <w:sz w:val="24"/>
          <w:szCs w:val="24"/>
        </w:rPr>
        <w:t xml:space="preserve"> OVEC owns and operates two 1950s-era, coal-fired power plants: (1) Kyger Creek, a five-unit, 1,086 MW plant in Gallia County, Ohio, and (2) Clifty Creek, a six-unit, 1,303 MW plant, in Jefferson County, Indiana.</w:t>
      </w:r>
      <w:r>
        <w:rPr>
          <w:rFonts w:ascii="Times New Roman" w:eastAsia="Times New Roman" w:hAnsi="Times New Roman" w:cs="Times New Roman"/>
          <w:sz w:val="24"/>
          <w:szCs w:val="24"/>
          <w:vertAlign w:val="superscript"/>
        </w:rPr>
        <w:footnoteReference w:id="9"/>
      </w:r>
      <w:r w:rsidRPr="001977EB" w:rsidR="006C40F0">
        <w:rPr>
          <w:rFonts w:ascii="Times New Roman" w:eastAsia="Times New Roman" w:hAnsi="Times New Roman" w:cs="Times New Roman"/>
          <w:sz w:val="24"/>
          <w:szCs w:val="24"/>
        </w:rPr>
        <w:t xml:space="preserve"> </w:t>
      </w:r>
      <w:r w:rsidRPr="001977EB" w:rsidR="00351D95">
        <w:rPr>
          <w:rFonts w:ascii="Times New Roman" w:eastAsia="Times New Roman" w:hAnsi="Times New Roman" w:cs="Times New Roman"/>
          <w:sz w:val="24"/>
          <w:szCs w:val="24"/>
        </w:rPr>
        <w:t xml:space="preserve">The </w:t>
      </w:r>
      <w:r w:rsidRPr="001977EB" w:rsidR="00745D6E">
        <w:rPr>
          <w:rFonts w:ascii="Times New Roman" w:eastAsia="Times New Roman" w:hAnsi="Times New Roman" w:cs="Times New Roman"/>
          <w:sz w:val="24"/>
          <w:szCs w:val="24"/>
        </w:rPr>
        <w:t>c</w:t>
      </w:r>
      <w:r w:rsidRPr="001977EB" w:rsidR="00466236">
        <w:rPr>
          <w:rFonts w:ascii="Times New Roman" w:eastAsia="Times New Roman" w:hAnsi="Times New Roman" w:cs="Times New Roman"/>
          <w:sz w:val="24"/>
          <w:szCs w:val="24"/>
        </w:rPr>
        <w:t xml:space="preserve">oal </w:t>
      </w:r>
      <w:r w:rsidRPr="001977EB" w:rsidR="00745D6E">
        <w:rPr>
          <w:rFonts w:ascii="Times New Roman" w:eastAsia="Times New Roman" w:hAnsi="Times New Roman" w:cs="Times New Roman"/>
          <w:sz w:val="24"/>
          <w:szCs w:val="24"/>
        </w:rPr>
        <w:t>p</w:t>
      </w:r>
      <w:r w:rsidRPr="001977EB" w:rsidR="00351D95">
        <w:rPr>
          <w:rFonts w:ascii="Times New Roman" w:eastAsia="Times New Roman" w:hAnsi="Times New Roman" w:cs="Times New Roman"/>
          <w:sz w:val="24"/>
          <w:szCs w:val="24"/>
        </w:rPr>
        <w:t>lants were originally built to provide power for the Piketon uranium enrichment facility</w:t>
      </w:r>
      <w:r w:rsidRPr="001977EB" w:rsidR="00466236">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0"/>
      </w:r>
      <w:r w:rsidRPr="001977EB" w:rsidR="006C40F0">
        <w:rPr>
          <w:rFonts w:ascii="Times New Roman" w:eastAsia="Times New Roman" w:hAnsi="Times New Roman" w:cs="Times New Roman"/>
          <w:sz w:val="24"/>
          <w:szCs w:val="24"/>
        </w:rPr>
        <w:t xml:space="preserve"> </w:t>
      </w:r>
      <w:r w:rsidRPr="001977EB" w:rsidR="00466236">
        <w:rPr>
          <w:rFonts w:ascii="Times New Roman" w:eastAsia="Times New Roman" w:hAnsi="Times New Roman" w:cs="Times New Roman"/>
          <w:sz w:val="24"/>
          <w:szCs w:val="24"/>
        </w:rPr>
        <w:t xml:space="preserve">The Piketon </w:t>
      </w:r>
      <w:r w:rsidRPr="001977EB" w:rsidR="00351D95">
        <w:rPr>
          <w:rFonts w:ascii="Times New Roman" w:eastAsia="Times New Roman" w:hAnsi="Times New Roman" w:cs="Times New Roman"/>
          <w:sz w:val="24"/>
          <w:szCs w:val="24"/>
        </w:rPr>
        <w:t>facility ceased enriching uranium</w:t>
      </w:r>
      <w:r w:rsidRPr="001977EB" w:rsidR="00466236">
        <w:rPr>
          <w:rFonts w:ascii="Times New Roman" w:eastAsia="Times New Roman" w:hAnsi="Times New Roman" w:cs="Times New Roman"/>
          <w:sz w:val="24"/>
          <w:szCs w:val="24"/>
        </w:rPr>
        <w:t>, so</w:t>
      </w:r>
      <w:r w:rsidRPr="001977EB" w:rsidR="00730864">
        <w:rPr>
          <w:rFonts w:ascii="Times New Roman" w:eastAsia="Times New Roman" w:hAnsi="Times New Roman" w:cs="Times New Roman"/>
          <w:sz w:val="24"/>
          <w:szCs w:val="24"/>
        </w:rPr>
        <w:t xml:space="preserve"> </w:t>
      </w:r>
      <w:r w:rsidRPr="001977EB" w:rsidR="00351D95">
        <w:rPr>
          <w:rFonts w:ascii="Times New Roman" w:eastAsia="Times New Roman" w:hAnsi="Times New Roman" w:cs="Times New Roman"/>
          <w:sz w:val="24"/>
          <w:szCs w:val="24"/>
        </w:rPr>
        <w:t>OVEC ceased selling power to the Department of Energy for the Piketon plant effective September 30, 2003.</w:t>
      </w:r>
      <w:r>
        <w:rPr>
          <w:rFonts w:ascii="Times New Roman" w:eastAsia="Times New Roman" w:hAnsi="Times New Roman" w:cs="Times New Roman"/>
          <w:sz w:val="24"/>
          <w:szCs w:val="24"/>
          <w:vertAlign w:val="superscript"/>
        </w:rPr>
        <w:footnoteReference w:id="11"/>
      </w:r>
    </w:p>
    <w:p w:rsidR="00344876" w:rsidRPr="001977EB" w:rsidP="00C279D1" w14:paraId="33A1DC94" w14:textId="77777777">
      <w:pPr>
        <w:spacing w:line="480" w:lineRule="auto"/>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ab/>
      </w:r>
      <w:r w:rsidRPr="001977EB" w:rsidR="00E774F5">
        <w:rPr>
          <w:rFonts w:ascii="Times New Roman" w:eastAsia="Times New Roman" w:hAnsi="Times New Roman" w:cs="Times New Roman"/>
          <w:sz w:val="24"/>
          <w:szCs w:val="24"/>
        </w:rPr>
        <w:t xml:space="preserve">The </w:t>
      </w:r>
      <w:r w:rsidRPr="001977EB" w:rsidR="00745D6E">
        <w:rPr>
          <w:rFonts w:ascii="Times New Roman" w:eastAsia="Times New Roman" w:hAnsi="Times New Roman" w:cs="Times New Roman"/>
          <w:sz w:val="24"/>
          <w:szCs w:val="24"/>
        </w:rPr>
        <w:t>c</w:t>
      </w:r>
      <w:r w:rsidRPr="001977EB" w:rsidR="00E774F5">
        <w:rPr>
          <w:rFonts w:ascii="Times New Roman" w:eastAsia="Times New Roman" w:hAnsi="Times New Roman" w:cs="Times New Roman"/>
          <w:sz w:val="24"/>
          <w:szCs w:val="24"/>
        </w:rPr>
        <w:t xml:space="preserve">oal </w:t>
      </w:r>
      <w:r w:rsidRPr="001977EB" w:rsidR="00745D6E">
        <w:rPr>
          <w:rFonts w:ascii="Times New Roman" w:eastAsia="Times New Roman" w:hAnsi="Times New Roman" w:cs="Times New Roman"/>
          <w:sz w:val="24"/>
          <w:szCs w:val="24"/>
        </w:rPr>
        <w:t>p</w:t>
      </w:r>
      <w:r w:rsidRPr="001977EB">
        <w:rPr>
          <w:rFonts w:ascii="Times New Roman" w:eastAsia="Times New Roman" w:hAnsi="Times New Roman" w:cs="Times New Roman"/>
          <w:sz w:val="24"/>
          <w:szCs w:val="24"/>
        </w:rPr>
        <w:t xml:space="preserve">lants currently provide </w:t>
      </w:r>
      <w:r w:rsidRPr="001977EB" w:rsidR="00745D6E">
        <w:rPr>
          <w:rFonts w:ascii="Times New Roman" w:eastAsia="Times New Roman" w:hAnsi="Times New Roman" w:cs="Times New Roman"/>
          <w:sz w:val="24"/>
          <w:szCs w:val="24"/>
        </w:rPr>
        <w:t>electricity</w:t>
      </w:r>
      <w:r w:rsidRPr="001977EB">
        <w:rPr>
          <w:rFonts w:ascii="Times New Roman" w:eastAsia="Times New Roman" w:hAnsi="Times New Roman" w:cs="Times New Roman"/>
          <w:sz w:val="24"/>
          <w:szCs w:val="24"/>
        </w:rPr>
        <w:t xml:space="preserve"> </w:t>
      </w:r>
      <w:r w:rsidRPr="001977EB" w:rsidR="00745D6E">
        <w:rPr>
          <w:rFonts w:ascii="Times New Roman" w:eastAsia="Times New Roman" w:hAnsi="Times New Roman" w:cs="Times New Roman"/>
          <w:sz w:val="24"/>
          <w:szCs w:val="24"/>
        </w:rPr>
        <w:t xml:space="preserve">controlled by </w:t>
      </w:r>
      <w:r w:rsidRPr="001977EB">
        <w:rPr>
          <w:rFonts w:ascii="Times New Roman" w:eastAsia="Times New Roman" w:hAnsi="Times New Roman" w:cs="Times New Roman"/>
          <w:sz w:val="24"/>
          <w:szCs w:val="24"/>
        </w:rPr>
        <w:t xml:space="preserve">the twelve </w:t>
      </w:r>
      <w:r w:rsidRPr="001977EB" w:rsidR="00745D6E">
        <w:rPr>
          <w:rFonts w:ascii="Times New Roman" w:eastAsia="Times New Roman" w:hAnsi="Times New Roman" w:cs="Times New Roman"/>
          <w:sz w:val="24"/>
          <w:szCs w:val="24"/>
        </w:rPr>
        <w:t>OVEC owners</w:t>
      </w:r>
      <w:r w:rsidRPr="001977EB">
        <w:rPr>
          <w:rFonts w:ascii="Times New Roman" w:eastAsia="Times New Roman" w:hAnsi="Times New Roman" w:cs="Times New Roman"/>
          <w:sz w:val="24"/>
          <w:szCs w:val="24"/>
        </w:rPr>
        <w:t xml:space="preserve"> in accordance with the terms of the Inter-Company Power Agreement (</w:t>
      </w:r>
      <w:r w:rsidR="001977EB">
        <w:rPr>
          <w:rFonts w:ascii="Times New Roman" w:eastAsia="Times New Roman" w:hAnsi="Times New Roman" w:cs="Times New Roman"/>
          <w:sz w:val="24"/>
          <w:szCs w:val="24"/>
        </w:rPr>
        <w:t>“</w:t>
      </w:r>
      <w:r w:rsidRPr="001977EB" w:rsidR="00466236">
        <w:rPr>
          <w:rFonts w:ascii="Times New Roman" w:eastAsia="Times New Roman" w:hAnsi="Times New Roman" w:cs="Times New Roman"/>
          <w:sz w:val="24"/>
          <w:szCs w:val="24"/>
        </w:rPr>
        <w:t xml:space="preserve">Coal Plant Ownership </w:t>
      </w:r>
      <w:r w:rsidRPr="001977EB">
        <w:rPr>
          <w:rFonts w:ascii="Times New Roman" w:eastAsia="Times New Roman" w:hAnsi="Times New Roman" w:cs="Times New Roman"/>
          <w:sz w:val="24"/>
          <w:szCs w:val="24"/>
        </w:rPr>
        <w:t>Agreement</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2"/>
      </w:r>
      <w:r w:rsidRPr="001977EB">
        <w:rPr>
          <w:rFonts w:ascii="Times New Roman" w:eastAsia="Times New Roman" w:hAnsi="Times New Roman" w:cs="Times New Roman"/>
          <w:sz w:val="24"/>
          <w:szCs w:val="24"/>
        </w:rPr>
        <w:t xml:space="preserve"> The </w:t>
      </w:r>
      <w:r w:rsidRPr="001977EB" w:rsidR="00466236">
        <w:rPr>
          <w:rFonts w:ascii="Times New Roman" w:eastAsia="Times New Roman" w:hAnsi="Times New Roman" w:cs="Times New Roman"/>
          <w:sz w:val="24"/>
          <w:szCs w:val="24"/>
        </w:rPr>
        <w:t xml:space="preserve">Coal Plant Ownership </w:t>
      </w:r>
      <w:r w:rsidRPr="001977EB" w:rsidR="00E774F5">
        <w:rPr>
          <w:rFonts w:ascii="Times New Roman" w:eastAsia="Times New Roman" w:hAnsi="Times New Roman" w:cs="Times New Roman"/>
          <w:sz w:val="24"/>
          <w:szCs w:val="24"/>
        </w:rPr>
        <w:t>A</w:t>
      </w:r>
      <w:r w:rsidRPr="001977EB">
        <w:rPr>
          <w:rFonts w:ascii="Times New Roman" w:eastAsia="Times New Roman" w:hAnsi="Times New Roman" w:cs="Times New Roman"/>
          <w:sz w:val="24"/>
          <w:szCs w:val="24"/>
        </w:rPr>
        <w:t xml:space="preserve">greement, signed on July 10, 1953 and then amended on August 11, 2011, governs </w:t>
      </w:r>
      <w:r w:rsidRPr="001977EB" w:rsidR="00745D6E">
        <w:rPr>
          <w:rFonts w:ascii="Times New Roman" w:eastAsia="Times New Roman" w:hAnsi="Times New Roman" w:cs="Times New Roman"/>
          <w:sz w:val="24"/>
          <w:szCs w:val="24"/>
        </w:rPr>
        <w:t>the owners</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rights and duties as to the power produced by the </w:t>
      </w:r>
      <w:r w:rsidRPr="001977EB" w:rsidR="00745D6E">
        <w:rPr>
          <w:rFonts w:ascii="Times New Roman" w:eastAsia="Times New Roman" w:hAnsi="Times New Roman" w:cs="Times New Roman"/>
          <w:sz w:val="24"/>
          <w:szCs w:val="24"/>
        </w:rPr>
        <w:t>c</w:t>
      </w:r>
      <w:r w:rsidRPr="001977EB" w:rsidR="00466236">
        <w:rPr>
          <w:rFonts w:ascii="Times New Roman" w:eastAsia="Times New Roman" w:hAnsi="Times New Roman" w:cs="Times New Roman"/>
          <w:sz w:val="24"/>
          <w:szCs w:val="24"/>
        </w:rPr>
        <w:t xml:space="preserve">oal </w:t>
      </w:r>
      <w:r w:rsidRPr="001977EB" w:rsidR="00745D6E">
        <w:rPr>
          <w:rFonts w:ascii="Times New Roman" w:eastAsia="Times New Roman" w:hAnsi="Times New Roman" w:cs="Times New Roman"/>
          <w:sz w:val="24"/>
          <w:szCs w:val="24"/>
        </w:rPr>
        <w:t>p</w:t>
      </w:r>
      <w:r w:rsidRPr="001977EB">
        <w:rPr>
          <w:rFonts w:ascii="Times New Roman" w:eastAsia="Times New Roman" w:hAnsi="Times New Roman" w:cs="Times New Roman"/>
          <w:sz w:val="24"/>
          <w:szCs w:val="24"/>
        </w:rPr>
        <w:t>lants.</w:t>
      </w:r>
      <w:r>
        <w:rPr>
          <w:rFonts w:ascii="Times New Roman" w:eastAsia="Times New Roman" w:hAnsi="Times New Roman" w:cs="Times New Roman"/>
          <w:sz w:val="24"/>
          <w:szCs w:val="24"/>
          <w:vertAlign w:val="superscript"/>
        </w:rPr>
        <w:footnoteReference w:id="13"/>
      </w:r>
      <w:r w:rsidRPr="001977EB">
        <w:rPr>
          <w:rFonts w:ascii="Times New Roman" w:eastAsia="Times New Roman" w:hAnsi="Times New Roman" w:cs="Times New Roman"/>
          <w:sz w:val="24"/>
          <w:szCs w:val="24"/>
        </w:rPr>
        <w:t xml:space="preserve"> OVEC bills the</w:t>
      </w:r>
      <w:r w:rsidRPr="001977EB" w:rsidR="00351D95">
        <w:rPr>
          <w:rFonts w:ascii="Times New Roman" w:eastAsia="Times New Roman" w:hAnsi="Times New Roman" w:cs="Times New Roman"/>
          <w:sz w:val="24"/>
          <w:szCs w:val="24"/>
        </w:rPr>
        <w:t xml:space="preserve"> </w:t>
      </w:r>
      <w:r w:rsidRPr="001977EB" w:rsidR="00466236">
        <w:rPr>
          <w:rFonts w:ascii="Times New Roman" w:eastAsia="Times New Roman" w:hAnsi="Times New Roman" w:cs="Times New Roman"/>
          <w:sz w:val="24"/>
          <w:szCs w:val="24"/>
        </w:rPr>
        <w:t xml:space="preserve">owners </w:t>
      </w:r>
      <w:r w:rsidRPr="001977EB">
        <w:rPr>
          <w:rFonts w:ascii="Times New Roman" w:eastAsia="Times New Roman" w:hAnsi="Times New Roman" w:cs="Times New Roman"/>
          <w:sz w:val="24"/>
          <w:szCs w:val="24"/>
        </w:rPr>
        <w:t xml:space="preserve">for their shares of energy, capacity, and ancillary services under the </w:t>
      </w:r>
      <w:r w:rsidRPr="001977EB" w:rsidR="00466236">
        <w:rPr>
          <w:rFonts w:ascii="Times New Roman" w:eastAsia="Times New Roman" w:hAnsi="Times New Roman" w:cs="Times New Roman"/>
          <w:sz w:val="24"/>
          <w:szCs w:val="24"/>
        </w:rPr>
        <w:t xml:space="preserve">Coal Plant Ownership </w:t>
      </w:r>
      <w:r w:rsidRPr="001977EB" w:rsidR="00E774F5">
        <w:rPr>
          <w:rFonts w:ascii="Times New Roman" w:eastAsia="Times New Roman" w:hAnsi="Times New Roman" w:cs="Times New Roman"/>
          <w:sz w:val="24"/>
          <w:szCs w:val="24"/>
        </w:rPr>
        <w:t>A</w:t>
      </w:r>
      <w:r w:rsidRPr="001977EB">
        <w:rPr>
          <w:rFonts w:ascii="Times New Roman" w:eastAsia="Times New Roman" w:hAnsi="Times New Roman" w:cs="Times New Roman"/>
          <w:sz w:val="24"/>
          <w:szCs w:val="24"/>
        </w:rPr>
        <w:t xml:space="preserve">greement, with each </w:t>
      </w:r>
      <w:r w:rsidRPr="001977EB" w:rsidR="00466236">
        <w:rPr>
          <w:rFonts w:ascii="Times New Roman" w:eastAsia="Times New Roman" w:hAnsi="Times New Roman" w:cs="Times New Roman"/>
          <w:sz w:val="24"/>
          <w:szCs w:val="24"/>
        </w:rPr>
        <w:t>owner</w:t>
      </w:r>
      <w:r w:rsidR="001977EB">
        <w:rPr>
          <w:rFonts w:ascii="Times New Roman" w:eastAsia="Times New Roman" w:hAnsi="Times New Roman" w:cs="Times New Roman"/>
          <w:sz w:val="24"/>
          <w:szCs w:val="24"/>
        </w:rPr>
        <w:t>’</w:t>
      </w:r>
      <w:r w:rsidRPr="001977EB" w:rsidR="00466236">
        <w:rPr>
          <w:rFonts w:ascii="Times New Roman" w:eastAsia="Times New Roman" w:hAnsi="Times New Roman" w:cs="Times New Roman"/>
          <w:sz w:val="24"/>
          <w:szCs w:val="24"/>
        </w:rPr>
        <w:t xml:space="preserve">s </w:t>
      </w:r>
      <w:r w:rsidRPr="001977EB">
        <w:rPr>
          <w:rFonts w:ascii="Times New Roman" w:eastAsia="Times New Roman" w:hAnsi="Times New Roman" w:cs="Times New Roman"/>
          <w:sz w:val="24"/>
          <w:szCs w:val="24"/>
        </w:rPr>
        <w:t>power sold into the PJM market, and each company receiving the resulting revenues.</w:t>
      </w:r>
      <w:r>
        <w:rPr>
          <w:rFonts w:ascii="Times New Roman" w:eastAsia="Times New Roman" w:hAnsi="Times New Roman" w:cs="Times New Roman"/>
          <w:sz w:val="24"/>
          <w:szCs w:val="24"/>
          <w:vertAlign w:val="superscript"/>
        </w:rPr>
        <w:footnoteReference w:id="14"/>
      </w:r>
      <w:r w:rsidRPr="001977EB">
        <w:rPr>
          <w:rFonts w:ascii="Times New Roman" w:eastAsia="Times New Roman" w:hAnsi="Times New Roman" w:cs="Times New Roman"/>
          <w:sz w:val="24"/>
          <w:szCs w:val="24"/>
        </w:rPr>
        <w:t xml:space="preserve"> </w:t>
      </w:r>
    </w:p>
    <w:p w:rsidR="00344876" w:rsidRPr="001977EB" w:rsidP="000B5F9C" w14:paraId="6397E212"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 xml:space="preserve">AEP </w:t>
      </w:r>
      <w:r w:rsidRPr="001977EB" w:rsidR="00583A03">
        <w:rPr>
          <w:rFonts w:ascii="Times New Roman" w:eastAsia="Times New Roman" w:hAnsi="Times New Roman" w:cs="Times New Roman"/>
          <w:sz w:val="24"/>
          <w:szCs w:val="24"/>
        </w:rPr>
        <w:t xml:space="preserve">Ohio </w:t>
      </w:r>
      <w:r w:rsidRPr="001977EB">
        <w:rPr>
          <w:rFonts w:ascii="Times New Roman" w:eastAsia="Times New Roman" w:hAnsi="Times New Roman" w:cs="Times New Roman"/>
          <w:sz w:val="24"/>
          <w:szCs w:val="24"/>
        </w:rPr>
        <w:t>maintains a 19.93% ownership share, is responsible for 19.93% of OVEC</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s fixed and variable costs, and is entitled to a 19.93% share of </w:t>
      </w:r>
      <w:r w:rsidRPr="001977EB" w:rsidR="00745D6E">
        <w:rPr>
          <w:rFonts w:ascii="Times New Roman" w:eastAsia="Times New Roman" w:hAnsi="Times New Roman" w:cs="Times New Roman"/>
          <w:sz w:val="24"/>
          <w:szCs w:val="24"/>
        </w:rPr>
        <w:t>c</w:t>
      </w:r>
      <w:r w:rsidRPr="001977EB">
        <w:rPr>
          <w:rFonts w:ascii="Times New Roman" w:eastAsia="Times New Roman" w:hAnsi="Times New Roman" w:cs="Times New Roman"/>
          <w:sz w:val="24"/>
          <w:szCs w:val="24"/>
        </w:rPr>
        <w:t xml:space="preserve">oal </w:t>
      </w:r>
      <w:r w:rsidRPr="001977EB" w:rsidR="00745D6E">
        <w:rPr>
          <w:rFonts w:ascii="Times New Roman" w:eastAsia="Times New Roman" w:hAnsi="Times New Roman" w:cs="Times New Roman"/>
          <w:sz w:val="24"/>
          <w:szCs w:val="24"/>
        </w:rPr>
        <w:t>p</w:t>
      </w:r>
      <w:r w:rsidRPr="001977EB">
        <w:rPr>
          <w:rFonts w:ascii="Times New Roman" w:eastAsia="Times New Roman" w:hAnsi="Times New Roman" w:cs="Times New Roman"/>
          <w:sz w:val="24"/>
          <w:szCs w:val="24"/>
        </w:rPr>
        <w:t>lant revenues from the PJM markets.</w:t>
      </w:r>
      <w:r>
        <w:rPr>
          <w:rFonts w:ascii="Times New Roman" w:eastAsia="Times New Roman" w:hAnsi="Times New Roman" w:cs="Times New Roman"/>
          <w:sz w:val="24"/>
          <w:szCs w:val="24"/>
          <w:vertAlign w:val="superscript"/>
        </w:rPr>
        <w:footnoteReference w:id="15"/>
      </w:r>
      <w:r w:rsidRPr="001977EB" w:rsidR="00A62CA1">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Duke</w:t>
      </w:r>
      <w:r w:rsidRPr="001977EB" w:rsidR="00AB6313">
        <w:rPr>
          <w:rFonts w:ascii="Times New Roman" w:eastAsia="Times New Roman" w:hAnsi="Times New Roman" w:cs="Times New Roman"/>
          <w:sz w:val="24"/>
          <w:szCs w:val="24"/>
        </w:rPr>
        <w:t xml:space="preserve"> maintains a 9% ownership share, is responsible for 9% of OVEC</w:t>
      </w:r>
      <w:r w:rsidR="001977EB">
        <w:rPr>
          <w:rFonts w:ascii="Times New Roman" w:eastAsia="Times New Roman" w:hAnsi="Times New Roman" w:cs="Times New Roman"/>
          <w:sz w:val="24"/>
          <w:szCs w:val="24"/>
        </w:rPr>
        <w:t>’</w:t>
      </w:r>
      <w:r w:rsidRPr="001977EB" w:rsidR="00AB6313">
        <w:rPr>
          <w:rFonts w:ascii="Times New Roman" w:eastAsia="Times New Roman" w:hAnsi="Times New Roman" w:cs="Times New Roman"/>
          <w:sz w:val="24"/>
          <w:szCs w:val="24"/>
        </w:rPr>
        <w:t xml:space="preserve">s fixed and variable costs, and is entitled to a 9% share of </w:t>
      </w:r>
      <w:r w:rsidRPr="001977EB" w:rsidR="00745D6E">
        <w:rPr>
          <w:rFonts w:ascii="Times New Roman" w:eastAsia="Times New Roman" w:hAnsi="Times New Roman" w:cs="Times New Roman"/>
          <w:sz w:val="24"/>
          <w:szCs w:val="24"/>
        </w:rPr>
        <w:t>c</w:t>
      </w:r>
      <w:r w:rsidRPr="001977EB" w:rsidR="00466236">
        <w:rPr>
          <w:rFonts w:ascii="Times New Roman" w:eastAsia="Times New Roman" w:hAnsi="Times New Roman" w:cs="Times New Roman"/>
          <w:sz w:val="24"/>
          <w:szCs w:val="24"/>
        </w:rPr>
        <w:t xml:space="preserve">oal </w:t>
      </w:r>
      <w:r w:rsidRPr="001977EB" w:rsidR="00745D6E">
        <w:rPr>
          <w:rFonts w:ascii="Times New Roman" w:eastAsia="Times New Roman" w:hAnsi="Times New Roman" w:cs="Times New Roman"/>
          <w:sz w:val="24"/>
          <w:szCs w:val="24"/>
        </w:rPr>
        <w:t>p</w:t>
      </w:r>
      <w:r w:rsidRPr="001977EB" w:rsidR="00466236">
        <w:rPr>
          <w:rFonts w:ascii="Times New Roman" w:eastAsia="Times New Roman" w:hAnsi="Times New Roman" w:cs="Times New Roman"/>
          <w:sz w:val="24"/>
          <w:szCs w:val="24"/>
        </w:rPr>
        <w:t>lant</w:t>
      </w:r>
      <w:r w:rsidRPr="001977EB" w:rsidR="00AB6313">
        <w:rPr>
          <w:rFonts w:ascii="Times New Roman" w:eastAsia="Times New Roman" w:hAnsi="Times New Roman" w:cs="Times New Roman"/>
          <w:sz w:val="24"/>
          <w:szCs w:val="24"/>
        </w:rPr>
        <w:t xml:space="preserve"> revenues from the PJM markets.</w:t>
      </w:r>
      <w:r>
        <w:rPr>
          <w:rFonts w:ascii="Times New Roman" w:eastAsia="Times New Roman" w:hAnsi="Times New Roman" w:cs="Times New Roman"/>
          <w:sz w:val="24"/>
          <w:szCs w:val="24"/>
          <w:vertAlign w:val="superscript"/>
        </w:rPr>
        <w:footnoteReference w:id="16"/>
      </w:r>
      <w:r w:rsidRPr="001977EB" w:rsidR="00A62CA1">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AES maintains a 4.9% ownership share, is responsible for 4.9% of OVEC</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s fixed and variable costs, and is entitled to a 4.9% share of </w:t>
      </w:r>
      <w:r w:rsidRPr="001977EB" w:rsidR="00745D6E">
        <w:rPr>
          <w:rFonts w:ascii="Times New Roman" w:eastAsia="Times New Roman" w:hAnsi="Times New Roman" w:cs="Times New Roman"/>
          <w:sz w:val="24"/>
          <w:szCs w:val="24"/>
        </w:rPr>
        <w:t>c</w:t>
      </w:r>
      <w:r w:rsidRPr="001977EB">
        <w:rPr>
          <w:rFonts w:ascii="Times New Roman" w:eastAsia="Times New Roman" w:hAnsi="Times New Roman" w:cs="Times New Roman"/>
          <w:sz w:val="24"/>
          <w:szCs w:val="24"/>
        </w:rPr>
        <w:t xml:space="preserve">oal </w:t>
      </w:r>
      <w:r w:rsidRPr="001977EB" w:rsidR="00745D6E">
        <w:rPr>
          <w:rFonts w:ascii="Times New Roman" w:eastAsia="Times New Roman" w:hAnsi="Times New Roman" w:cs="Times New Roman"/>
          <w:sz w:val="24"/>
          <w:szCs w:val="24"/>
        </w:rPr>
        <w:t>p</w:t>
      </w:r>
      <w:r w:rsidRPr="001977EB">
        <w:rPr>
          <w:rFonts w:ascii="Times New Roman" w:eastAsia="Times New Roman" w:hAnsi="Times New Roman" w:cs="Times New Roman"/>
          <w:sz w:val="24"/>
          <w:szCs w:val="24"/>
        </w:rPr>
        <w:t>lant revenues from the PJM markets.</w:t>
      </w:r>
      <w:r>
        <w:rPr>
          <w:rFonts w:ascii="Times New Roman" w:eastAsia="Times New Roman" w:hAnsi="Times New Roman" w:cs="Times New Roman"/>
          <w:sz w:val="24"/>
          <w:szCs w:val="24"/>
          <w:vertAlign w:val="superscript"/>
        </w:rPr>
        <w:footnoteReference w:id="17"/>
      </w:r>
    </w:p>
    <w:p w:rsidR="00997DCA" w:rsidRPr="001977EB" w:rsidP="00A759EA" w14:paraId="54C8B13E"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 xml:space="preserve">The difference between the </w:t>
      </w:r>
      <w:r w:rsidRPr="001977EB" w:rsidR="00745D6E">
        <w:rPr>
          <w:rFonts w:ascii="Times New Roman" w:eastAsia="Times New Roman" w:hAnsi="Times New Roman" w:cs="Times New Roman"/>
          <w:sz w:val="24"/>
          <w:szCs w:val="24"/>
        </w:rPr>
        <w:t>c</w:t>
      </w:r>
      <w:r w:rsidRPr="001977EB" w:rsidR="00466236">
        <w:rPr>
          <w:rFonts w:ascii="Times New Roman" w:eastAsia="Times New Roman" w:hAnsi="Times New Roman" w:cs="Times New Roman"/>
          <w:sz w:val="24"/>
          <w:szCs w:val="24"/>
        </w:rPr>
        <w:t xml:space="preserve">oal </w:t>
      </w:r>
      <w:r w:rsidRPr="001977EB" w:rsidR="00745D6E">
        <w:rPr>
          <w:rFonts w:ascii="Times New Roman" w:eastAsia="Times New Roman" w:hAnsi="Times New Roman" w:cs="Times New Roman"/>
          <w:sz w:val="24"/>
          <w:szCs w:val="24"/>
        </w:rPr>
        <w:t>p</w:t>
      </w:r>
      <w:r w:rsidRPr="001977EB" w:rsidR="00466236">
        <w:rPr>
          <w:rFonts w:ascii="Times New Roman" w:eastAsia="Times New Roman" w:hAnsi="Times New Roman" w:cs="Times New Roman"/>
          <w:sz w:val="24"/>
          <w:szCs w:val="24"/>
        </w:rPr>
        <w:t xml:space="preserve">lant </w:t>
      </w:r>
      <w:r w:rsidRPr="001977EB">
        <w:rPr>
          <w:rFonts w:ascii="Times New Roman" w:eastAsia="Times New Roman" w:hAnsi="Times New Roman" w:cs="Times New Roman"/>
          <w:sz w:val="24"/>
          <w:szCs w:val="24"/>
        </w:rPr>
        <w:t xml:space="preserve">costs </w:t>
      </w:r>
      <w:r w:rsidRPr="001977EB" w:rsidR="00B43783">
        <w:rPr>
          <w:rFonts w:ascii="Times New Roman" w:eastAsia="Times New Roman" w:hAnsi="Times New Roman" w:cs="Times New Roman"/>
          <w:sz w:val="24"/>
          <w:szCs w:val="24"/>
        </w:rPr>
        <w:t>versus</w:t>
      </w:r>
      <w:r w:rsidRPr="001977EB">
        <w:rPr>
          <w:rFonts w:ascii="Times New Roman" w:eastAsia="Times New Roman" w:hAnsi="Times New Roman" w:cs="Times New Roman"/>
          <w:sz w:val="24"/>
          <w:szCs w:val="24"/>
        </w:rPr>
        <w:t xml:space="preserve"> the market price received from PJM is passed on consumers as either a charge or a credit through the </w:t>
      </w:r>
      <w:r w:rsidRPr="001977EB" w:rsidR="00F64E33">
        <w:rPr>
          <w:rFonts w:ascii="Times New Roman" w:eastAsia="Times New Roman" w:hAnsi="Times New Roman" w:cs="Times New Roman"/>
          <w:sz w:val="24"/>
          <w:szCs w:val="24"/>
        </w:rPr>
        <w:t>Legacy Generation</w:t>
      </w:r>
      <w:r w:rsidRPr="001977EB">
        <w:rPr>
          <w:rFonts w:ascii="Times New Roman" w:eastAsia="Times New Roman" w:hAnsi="Times New Roman" w:cs="Times New Roman"/>
          <w:sz w:val="24"/>
          <w:szCs w:val="24"/>
        </w:rPr>
        <w:t xml:space="preserve"> Rider (</w:t>
      </w:r>
      <w:r w:rsidR="001977EB">
        <w:rPr>
          <w:rFonts w:ascii="Times New Roman" w:eastAsia="Times New Roman" w:hAnsi="Times New Roman" w:cs="Times New Roman"/>
          <w:sz w:val="24"/>
          <w:szCs w:val="24"/>
        </w:rPr>
        <w:t>“</w:t>
      </w:r>
      <w:r w:rsidRPr="001977EB" w:rsidR="00B43783">
        <w:rPr>
          <w:rFonts w:ascii="Times New Roman" w:eastAsia="Times New Roman" w:hAnsi="Times New Roman" w:cs="Times New Roman"/>
          <w:sz w:val="24"/>
          <w:szCs w:val="24"/>
        </w:rPr>
        <w:t>c</w:t>
      </w:r>
      <w:r w:rsidRPr="001977EB" w:rsidR="00466236">
        <w:rPr>
          <w:rFonts w:ascii="Times New Roman" w:eastAsia="Times New Roman" w:hAnsi="Times New Roman" w:cs="Times New Roman"/>
          <w:sz w:val="24"/>
          <w:szCs w:val="24"/>
        </w:rPr>
        <w:t xml:space="preserve">oal </w:t>
      </w:r>
      <w:r w:rsidRPr="001977EB" w:rsidR="00B43783">
        <w:rPr>
          <w:rFonts w:ascii="Times New Roman" w:eastAsia="Times New Roman" w:hAnsi="Times New Roman" w:cs="Times New Roman"/>
          <w:sz w:val="24"/>
          <w:szCs w:val="24"/>
        </w:rPr>
        <w:t>p</w:t>
      </w:r>
      <w:r w:rsidRPr="001977EB" w:rsidR="00466236">
        <w:rPr>
          <w:rFonts w:ascii="Times New Roman" w:eastAsia="Times New Roman" w:hAnsi="Times New Roman" w:cs="Times New Roman"/>
          <w:sz w:val="24"/>
          <w:szCs w:val="24"/>
        </w:rPr>
        <w:t xml:space="preserve">lant </w:t>
      </w:r>
      <w:r w:rsidRPr="001977EB" w:rsidR="00B43783">
        <w:rPr>
          <w:rFonts w:ascii="Times New Roman" w:eastAsia="Times New Roman" w:hAnsi="Times New Roman" w:cs="Times New Roman"/>
          <w:sz w:val="24"/>
          <w:szCs w:val="24"/>
        </w:rPr>
        <w:t>s</w:t>
      </w:r>
      <w:r w:rsidRPr="001977EB" w:rsidR="00466236">
        <w:rPr>
          <w:rFonts w:ascii="Times New Roman" w:eastAsia="Times New Roman" w:hAnsi="Times New Roman" w:cs="Times New Roman"/>
          <w:sz w:val="24"/>
          <w:szCs w:val="24"/>
        </w:rPr>
        <w:t xml:space="preserve">ubsidy </w:t>
      </w:r>
      <w:r w:rsidRPr="001977EB" w:rsidR="00B43783">
        <w:rPr>
          <w:rFonts w:ascii="Times New Roman" w:eastAsia="Times New Roman" w:hAnsi="Times New Roman" w:cs="Times New Roman"/>
          <w:sz w:val="24"/>
          <w:szCs w:val="24"/>
        </w:rPr>
        <w:t>c</w:t>
      </w:r>
      <w:r w:rsidRPr="001977EB" w:rsidR="00466236">
        <w:rPr>
          <w:rFonts w:ascii="Times New Roman" w:eastAsia="Times New Roman" w:hAnsi="Times New Roman" w:cs="Times New Roman"/>
          <w:sz w:val="24"/>
          <w:szCs w:val="24"/>
        </w:rPr>
        <w:t>harge</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w:t>
      </w:r>
      <w:r w:rsidRPr="001977EB" w:rsidR="00DB27E3">
        <w:rPr>
          <w:rFonts w:ascii="Times New Roman" w:eastAsia="Times New Roman" w:hAnsi="Times New Roman" w:cs="Times New Roman"/>
          <w:sz w:val="24"/>
          <w:szCs w:val="24"/>
        </w:rPr>
        <w:t xml:space="preserve"> adopted as part of H.B. 6</w:t>
      </w:r>
      <w:r w:rsidRPr="001977EB">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8"/>
      </w:r>
      <w:r w:rsidRPr="001977EB">
        <w:rPr>
          <w:rFonts w:ascii="Times New Roman" w:eastAsia="Times New Roman" w:hAnsi="Times New Roman" w:cs="Times New Roman"/>
          <w:sz w:val="24"/>
          <w:szCs w:val="24"/>
        </w:rPr>
        <w:t xml:space="preserve"> </w:t>
      </w:r>
      <w:r w:rsidRPr="001977EB" w:rsidR="00DB27E3">
        <w:rPr>
          <w:rFonts w:ascii="Times New Roman" w:eastAsia="Times New Roman" w:hAnsi="Times New Roman" w:cs="Times New Roman"/>
          <w:sz w:val="24"/>
          <w:szCs w:val="24"/>
        </w:rPr>
        <w:t>However, t</w:t>
      </w:r>
      <w:r w:rsidRPr="001977EB">
        <w:rPr>
          <w:rFonts w:ascii="Times New Roman" w:eastAsia="Times New Roman" w:hAnsi="Times New Roman" w:cs="Times New Roman"/>
          <w:sz w:val="24"/>
          <w:szCs w:val="24"/>
        </w:rPr>
        <w:t xml:space="preserve">he </w:t>
      </w:r>
      <w:r w:rsidRPr="001977EB" w:rsidR="00B43783">
        <w:rPr>
          <w:rFonts w:ascii="Times New Roman" w:eastAsia="Times New Roman" w:hAnsi="Times New Roman" w:cs="Times New Roman"/>
          <w:sz w:val="24"/>
          <w:szCs w:val="24"/>
        </w:rPr>
        <w:t>c</w:t>
      </w:r>
      <w:r w:rsidRPr="001977EB" w:rsidR="00466236">
        <w:rPr>
          <w:rFonts w:ascii="Times New Roman" w:eastAsia="Times New Roman" w:hAnsi="Times New Roman" w:cs="Times New Roman"/>
          <w:sz w:val="24"/>
          <w:szCs w:val="24"/>
        </w:rPr>
        <w:t xml:space="preserve">oal </w:t>
      </w:r>
      <w:r w:rsidRPr="001977EB" w:rsidR="00B43783">
        <w:rPr>
          <w:rFonts w:ascii="Times New Roman" w:eastAsia="Times New Roman" w:hAnsi="Times New Roman" w:cs="Times New Roman"/>
          <w:sz w:val="24"/>
          <w:szCs w:val="24"/>
        </w:rPr>
        <w:t>p</w:t>
      </w:r>
      <w:r w:rsidRPr="001977EB">
        <w:rPr>
          <w:rFonts w:ascii="Times New Roman" w:eastAsia="Times New Roman" w:hAnsi="Times New Roman" w:cs="Times New Roman"/>
          <w:sz w:val="24"/>
          <w:szCs w:val="24"/>
        </w:rPr>
        <w:t xml:space="preserve">lants are uncompetitive because </w:t>
      </w:r>
      <w:r w:rsidRPr="001977EB" w:rsidR="00B43783">
        <w:rPr>
          <w:rFonts w:ascii="Times New Roman" w:eastAsia="Times New Roman" w:hAnsi="Times New Roman" w:cs="Times New Roman"/>
          <w:sz w:val="24"/>
          <w:szCs w:val="24"/>
        </w:rPr>
        <w:t>operating</w:t>
      </w:r>
      <w:r w:rsidRPr="001977EB" w:rsidR="00DB27E3">
        <w:rPr>
          <w:rFonts w:ascii="Times New Roman" w:eastAsia="Times New Roman" w:hAnsi="Times New Roman" w:cs="Times New Roman"/>
          <w:sz w:val="24"/>
          <w:szCs w:val="24"/>
        </w:rPr>
        <w:t xml:space="preserve"> the old inefficient plants</w:t>
      </w:r>
      <w:r w:rsidRPr="001977EB">
        <w:rPr>
          <w:rFonts w:ascii="Times New Roman" w:eastAsia="Times New Roman" w:hAnsi="Times New Roman" w:cs="Times New Roman"/>
          <w:sz w:val="24"/>
          <w:szCs w:val="24"/>
        </w:rPr>
        <w:t xml:space="preserve"> costs significantly </w:t>
      </w:r>
      <w:r w:rsidRPr="001977EB" w:rsidR="00DB27E3">
        <w:rPr>
          <w:rFonts w:ascii="Times New Roman" w:eastAsia="Times New Roman" w:hAnsi="Times New Roman" w:cs="Times New Roman"/>
          <w:sz w:val="24"/>
          <w:szCs w:val="24"/>
        </w:rPr>
        <w:t>more</w:t>
      </w:r>
      <w:r w:rsidRPr="001977EB">
        <w:rPr>
          <w:rFonts w:ascii="Times New Roman" w:eastAsia="Times New Roman" w:hAnsi="Times New Roman" w:cs="Times New Roman"/>
          <w:sz w:val="24"/>
          <w:szCs w:val="24"/>
        </w:rPr>
        <w:t xml:space="preserve"> than </w:t>
      </w:r>
      <w:r w:rsidRPr="001977EB" w:rsidR="00B43783">
        <w:rPr>
          <w:rFonts w:ascii="Times New Roman" w:eastAsia="Times New Roman" w:hAnsi="Times New Roman" w:cs="Times New Roman"/>
          <w:sz w:val="24"/>
          <w:szCs w:val="24"/>
        </w:rPr>
        <w:t xml:space="preserve">current </w:t>
      </w:r>
      <w:r w:rsidRPr="001977EB">
        <w:rPr>
          <w:rFonts w:ascii="Times New Roman" w:eastAsia="Times New Roman" w:hAnsi="Times New Roman" w:cs="Times New Roman"/>
          <w:sz w:val="24"/>
          <w:szCs w:val="24"/>
        </w:rPr>
        <w:t>market prices</w:t>
      </w:r>
      <w:r w:rsidRPr="001977EB" w:rsidR="00B43783">
        <w:rPr>
          <w:rFonts w:ascii="Times New Roman" w:eastAsia="Times New Roman" w:hAnsi="Times New Roman" w:cs="Times New Roman"/>
          <w:sz w:val="24"/>
          <w:szCs w:val="24"/>
        </w:rPr>
        <w:t xml:space="preserve"> for electricity</w:t>
      </w:r>
      <w:r w:rsidRPr="001977EB">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sidRPr="001977EB" w:rsidR="006C40F0">
        <w:rPr>
          <w:rFonts w:ascii="Times New Roman" w:eastAsia="Times New Roman" w:hAnsi="Times New Roman" w:cs="Times New Roman"/>
          <w:sz w:val="24"/>
          <w:szCs w:val="24"/>
        </w:rPr>
        <w:t xml:space="preserve"> </w:t>
      </w:r>
      <w:r w:rsidRPr="001977EB" w:rsidR="00A322A7">
        <w:rPr>
          <w:rFonts w:ascii="Times New Roman" w:eastAsia="Times New Roman" w:hAnsi="Times New Roman" w:cs="Times New Roman"/>
          <w:sz w:val="24"/>
          <w:szCs w:val="24"/>
        </w:rPr>
        <w:t>AEP, Duke and DP&amp;L</w:t>
      </w:r>
      <w:r w:rsidR="001977EB">
        <w:rPr>
          <w:rFonts w:ascii="Times New Roman" w:eastAsia="Times New Roman" w:hAnsi="Times New Roman" w:cs="Times New Roman"/>
          <w:sz w:val="24"/>
          <w:szCs w:val="24"/>
        </w:rPr>
        <w:t>’</w:t>
      </w:r>
      <w:r w:rsidRPr="001977EB" w:rsidR="00A322A7">
        <w:rPr>
          <w:rFonts w:ascii="Times New Roman" w:eastAsia="Times New Roman" w:hAnsi="Times New Roman" w:cs="Times New Roman"/>
          <w:sz w:val="24"/>
          <w:szCs w:val="24"/>
        </w:rPr>
        <w:t>s continuing</w:t>
      </w:r>
      <w:r w:rsidRPr="001977EB" w:rsidR="00B41D73">
        <w:rPr>
          <w:rFonts w:ascii="Times New Roman" w:eastAsia="Times New Roman" w:hAnsi="Times New Roman" w:cs="Times New Roman"/>
          <w:sz w:val="24"/>
          <w:szCs w:val="24"/>
        </w:rPr>
        <w:t xml:space="preserve"> operation of </w:t>
      </w:r>
      <w:r w:rsidRPr="001977EB" w:rsidR="00466236">
        <w:rPr>
          <w:rFonts w:ascii="Times New Roman" w:eastAsia="Times New Roman" w:hAnsi="Times New Roman" w:cs="Times New Roman"/>
          <w:sz w:val="24"/>
          <w:szCs w:val="24"/>
        </w:rPr>
        <w:t xml:space="preserve">the </w:t>
      </w:r>
      <w:r w:rsidRPr="001977EB" w:rsidR="00A322A7">
        <w:rPr>
          <w:rFonts w:ascii="Times New Roman" w:eastAsia="Times New Roman" w:hAnsi="Times New Roman" w:cs="Times New Roman"/>
          <w:sz w:val="24"/>
          <w:szCs w:val="24"/>
        </w:rPr>
        <w:t>c</w:t>
      </w:r>
      <w:r w:rsidRPr="001977EB" w:rsidR="00466236">
        <w:rPr>
          <w:rFonts w:ascii="Times New Roman" w:eastAsia="Times New Roman" w:hAnsi="Times New Roman" w:cs="Times New Roman"/>
          <w:sz w:val="24"/>
          <w:szCs w:val="24"/>
        </w:rPr>
        <w:t xml:space="preserve">oal </w:t>
      </w:r>
      <w:r w:rsidRPr="001977EB" w:rsidR="00A322A7">
        <w:rPr>
          <w:rFonts w:ascii="Times New Roman" w:eastAsia="Times New Roman" w:hAnsi="Times New Roman" w:cs="Times New Roman"/>
          <w:sz w:val="24"/>
          <w:szCs w:val="24"/>
        </w:rPr>
        <w:t>p</w:t>
      </w:r>
      <w:r w:rsidRPr="001977EB">
        <w:rPr>
          <w:rFonts w:ascii="Times New Roman" w:eastAsia="Times New Roman" w:hAnsi="Times New Roman" w:cs="Times New Roman"/>
          <w:sz w:val="24"/>
          <w:szCs w:val="24"/>
        </w:rPr>
        <w:t>lants harm</w:t>
      </w:r>
      <w:r w:rsidRPr="001977EB" w:rsidR="00A322A7">
        <w:rPr>
          <w:rFonts w:ascii="Times New Roman" w:eastAsia="Times New Roman" w:hAnsi="Times New Roman" w:cs="Times New Roman"/>
          <w:sz w:val="24"/>
          <w:szCs w:val="24"/>
        </w:rPr>
        <w:t>s</w:t>
      </w:r>
      <w:r w:rsidRPr="001977EB">
        <w:rPr>
          <w:rFonts w:ascii="Times New Roman" w:eastAsia="Times New Roman" w:hAnsi="Times New Roman" w:cs="Times New Roman"/>
          <w:sz w:val="24"/>
          <w:szCs w:val="24"/>
        </w:rPr>
        <w:t xml:space="preserve"> Ohio </w:t>
      </w:r>
      <w:r w:rsidRPr="001977EB" w:rsidR="00A322A7">
        <w:rPr>
          <w:rFonts w:ascii="Times New Roman" w:eastAsia="Times New Roman" w:hAnsi="Times New Roman" w:cs="Times New Roman"/>
          <w:sz w:val="24"/>
          <w:szCs w:val="24"/>
        </w:rPr>
        <w:t>consumers</w:t>
      </w:r>
      <w:r w:rsidRPr="001977EB" w:rsidR="00193767">
        <w:rPr>
          <w:rFonts w:ascii="Times New Roman" w:eastAsia="Times New Roman" w:hAnsi="Times New Roman" w:cs="Times New Roman"/>
          <w:sz w:val="24"/>
          <w:szCs w:val="24"/>
        </w:rPr>
        <w:t xml:space="preserve"> </w:t>
      </w:r>
      <w:r w:rsidRPr="001977EB" w:rsidR="00B41D73">
        <w:rPr>
          <w:rFonts w:ascii="Times New Roman" w:eastAsia="Times New Roman" w:hAnsi="Times New Roman" w:cs="Times New Roman"/>
          <w:sz w:val="24"/>
          <w:szCs w:val="24"/>
        </w:rPr>
        <w:t>because the</w:t>
      </w:r>
      <w:r w:rsidRPr="001977EB" w:rsidR="00A322A7">
        <w:rPr>
          <w:rFonts w:ascii="Times New Roman" w:eastAsia="Times New Roman" w:hAnsi="Times New Roman" w:cs="Times New Roman"/>
          <w:sz w:val="24"/>
          <w:szCs w:val="24"/>
        </w:rPr>
        <w:t xml:space="preserve"> coal plants operate</w:t>
      </w:r>
      <w:r w:rsidRPr="001977EB" w:rsidR="00B41D73">
        <w:rPr>
          <w:rFonts w:ascii="Times New Roman" w:eastAsia="Times New Roman" w:hAnsi="Times New Roman" w:cs="Times New Roman"/>
          <w:sz w:val="24"/>
          <w:szCs w:val="24"/>
        </w:rPr>
        <w:t xml:space="preserve"> </w:t>
      </w:r>
      <w:r w:rsidRPr="001977EB" w:rsidR="00467247">
        <w:rPr>
          <w:rFonts w:ascii="Times New Roman" w:eastAsia="Times New Roman" w:hAnsi="Times New Roman" w:cs="Times New Roman"/>
          <w:sz w:val="24"/>
          <w:szCs w:val="24"/>
        </w:rPr>
        <w:t>for lengthy periods when the</w:t>
      </w:r>
      <w:r w:rsidRPr="001977EB" w:rsidR="00A322A7">
        <w:rPr>
          <w:rFonts w:ascii="Times New Roman" w:eastAsia="Times New Roman" w:hAnsi="Times New Roman" w:cs="Times New Roman"/>
          <w:sz w:val="24"/>
          <w:szCs w:val="24"/>
        </w:rPr>
        <w:t>y</w:t>
      </w:r>
      <w:r w:rsidRPr="001977EB" w:rsidR="00467247">
        <w:rPr>
          <w:rFonts w:ascii="Times New Roman" w:eastAsia="Times New Roman" w:hAnsi="Times New Roman" w:cs="Times New Roman"/>
          <w:sz w:val="24"/>
          <w:szCs w:val="24"/>
        </w:rPr>
        <w:t xml:space="preserve"> lose money</w:t>
      </w:r>
      <w:r w:rsidRPr="001977EB" w:rsidR="00193767">
        <w:rPr>
          <w:rFonts w:ascii="Times New Roman" w:eastAsia="Times New Roman" w:hAnsi="Times New Roman" w:cs="Times New Roman"/>
          <w:sz w:val="24"/>
          <w:szCs w:val="24"/>
        </w:rPr>
        <w:t xml:space="preserve"> </w:t>
      </w:r>
      <w:r w:rsidRPr="001977EB" w:rsidR="00B41D73">
        <w:rPr>
          <w:rFonts w:ascii="Times New Roman" w:eastAsia="Times New Roman" w:hAnsi="Times New Roman" w:cs="Times New Roman"/>
          <w:sz w:val="24"/>
          <w:szCs w:val="24"/>
        </w:rPr>
        <w:t xml:space="preserve">and contribute to </w:t>
      </w:r>
      <w:r w:rsidRPr="001977EB">
        <w:rPr>
          <w:rFonts w:ascii="Times New Roman" w:eastAsia="Times New Roman" w:hAnsi="Times New Roman" w:cs="Times New Roman"/>
          <w:sz w:val="24"/>
          <w:szCs w:val="24"/>
        </w:rPr>
        <w:t>air pollution.</w:t>
      </w:r>
    </w:p>
    <w:p w:rsidR="00997DCA" w:rsidRPr="001977EB" w:rsidP="00B52AC5" w14:paraId="32447629" w14:textId="77777777">
      <w:pPr>
        <w:pStyle w:val="Heading2"/>
      </w:pPr>
      <w:bookmarkStart w:id="5" w:name="_Toc150780639"/>
      <w:bookmarkStart w:id="6" w:name="_Toc158641640"/>
      <w:r w:rsidRPr="001977EB">
        <w:t>The OVEC Operating Committee</w:t>
      </w:r>
      <w:bookmarkEnd w:id="5"/>
      <w:r w:rsidRPr="001977EB" w:rsidR="00C930BC">
        <w:t xml:space="preserve"> and OVEC management</w:t>
      </w:r>
      <w:r w:rsidRPr="001977EB" w:rsidR="00104E2C">
        <w:t>.</w:t>
      </w:r>
      <w:bookmarkEnd w:id="6"/>
    </w:p>
    <w:p w:rsidR="009111AE" w:rsidRPr="001977EB" w:rsidP="009111AE" w14:paraId="0775C62F" w14:textId="77777777">
      <w:pPr>
        <w:spacing w:line="480" w:lineRule="auto"/>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ab/>
        <w:t xml:space="preserve">The </w:t>
      </w:r>
      <w:r w:rsidRPr="001977EB" w:rsidR="00466236">
        <w:rPr>
          <w:rFonts w:ascii="Times New Roman" w:eastAsia="Times New Roman" w:hAnsi="Times New Roman" w:cs="Times New Roman"/>
          <w:sz w:val="24"/>
          <w:szCs w:val="24"/>
        </w:rPr>
        <w:t xml:space="preserve">OVEC </w:t>
      </w:r>
      <w:r w:rsidRPr="001977EB">
        <w:rPr>
          <w:rFonts w:ascii="Times New Roman" w:eastAsia="Times New Roman" w:hAnsi="Times New Roman" w:cs="Times New Roman"/>
          <w:sz w:val="24"/>
          <w:szCs w:val="24"/>
        </w:rPr>
        <w:t xml:space="preserve">Operating Committee developed a written procedure </w:t>
      </w:r>
      <w:r w:rsidRPr="001977EB" w:rsidR="00C930BC">
        <w:rPr>
          <w:rFonts w:ascii="Times New Roman" w:eastAsia="Times New Roman" w:hAnsi="Times New Roman" w:cs="Times New Roman"/>
          <w:sz w:val="24"/>
          <w:szCs w:val="24"/>
        </w:rPr>
        <w:t xml:space="preserve">requiring that the coal plants be committed into the Day-Ahead Energy market as </w:t>
      </w:r>
      <w:r w:rsidR="001977EB">
        <w:rPr>
          <w:rFonts w:ascii="Times New Roman" w:eastAsia="Times New Roman" w:hAnsi="Times New Roman" w:cs="Times New Roman"/>
          <w:sz w:val="24"/>
          <w:szCs w:val="24"/>
        </w:rPr>
        <w:t>“</w:t>
      </w:r>
      <w:r w:rsidRPr="001977EB" w:rsidR="00C930BC">
        <w:rPr>
          <w:rFonts w:ascii="Times New Roman" w:eastAsia="Times New Roman" w:hAnsi="Times New Roman" w:cs="Times New Roman"/>
          <w:sz w:val="24"/>
          <w:szCs w:val="24"/>
        </w:rPr>
        <w:t>must-run</w:t>
      </w:r>
      <w:r w:rsidR="001977EB">
        <w:rPr>
          <w:rFonts w:ascii="Times New Roman" w:eastAsia="Times New Roman" w:hAnsi="Times New Roman" w:cs="Times New Roman"/>
          <w:sz w:val="24"/>
          <w:szCs w:val="24"/>
        </w:rPr>
        <w:t>”</w:t>
      </w:r>
      <w:r w:rsidRPr="001977EB" w:rsidR="00C930BC">
        <w:rPr>
          <w:rFonts w:ascii="Times New Roman" w:eastAsia="Times New Roman" w:hAnsi="Times New Roman" w:cs="Times New Roman"/>
          <w:sz w:val="24"/>
          <w:szCs w:val="24"/>
        </w:rPr>
        <w:t xml:space="preserve"> at all times.</w:t>
      </w:r>
      <w:r>
        <w:rPr>
          <w:rStyle w:val="FootnoteReference"/>
          <w:rFonts w:ascii="Times New Roman" w:eastAsia="Times New Roman" w:hAnsi="Times New Roman" w:cs="Times New Roman"/>
          <w:sz w:val="24"/>
          <w:szCs w:val="24"/>
        </w:rPr>
        <w:footnoteReference w:id="20"/>
      </w:r>
      <w:r w:rsidRPr="001977EB" w:rsidR="00FC50DF">
        <w:rPr>
          <w:rFonts w:ascii="Times New Roman" w:eastAsia="Times New Roman" w:hAnsi="Times New Roman" w:cs="Times New Roman"/>
          <w:sz w:val="24"/>
          <w:szCs w:val="24"/>
        </w:rPr>
        <w:t xml:space="preserve"> </w:t>
      </w:r>
      <w:r w:rsidRPr="001977EB" w:rsidR="00D65758">
        <w:rPr>
          <w:rFonts w:ascii="Times New Roman" w:eastAsia="Times New Roman" w:hAnsi="Times New Roman" w:cs="Times New Roman"/>
          <w:sz w:val="24"/>
          <w:szCs w:val="24"/>
        </w:rPr>
        <w:t xml:space="preserve">Due to circumstances relating to the Covid pandemic, the OVEC Operating Committee granted OVEC management the right to commit the plants as either </w:t>
      </w:r>
      <w:r w:rsidR="001977EB">
        <w:rPr>
          <w:rFonts w:ascii="Times New Roman" w:eastAsia="Times New Roman" w:hAnsi="Times New Roman" w:cs="Times New Roman"/>
          <w:sz w:val="24"/>
          <w:szCs w:val="24"/>
        </w:rPr>
        <w:t>“</w:t>
      </w:r>
      <w:r w:rsidRPr="001977EB" w:rsidR="00D65758">
        <w:rPr>
          <w:rFonts w:ascii="Times New Roman" w:eastAsia="Times New Roman" w:hAnsi="Times New Roman" w:cs="Times New Roman"/>
          <w:sz w:val="24"/>
          <w:szCs w:val="24"/>
        </w:rPr>
        <w:t>must-run</w:t>
      </w:r>
      <w:r w:rsidR="001977EB">
        <w:rPr>
          <w:rFonts w:ascii="Times New Roman" w:eastAsia="Times New Roman" w:hAnsi="Times New Roman" w:cs="Times New Roman"/>
          <w:sz w:val="24"/>
          <w:szCs w:val="24"/>
        </w:rPr>
        <w:t>”</w:t>
      </w:r>
      <w:r w:rsidRPr="001977EB" w:rsidR="00D65758">
        <w:rPr>
          <w:rFonts w:ascii="Times New Roman" w:eastAsia="Times New Roman" w:hAnsi="Times New Roman" w:cs="Times New Roman"/>
          <w:sz w:val="24"/>
          <w:szCs w:val="24"/>
        </w:rPr>
        <w:t xml:space="preserve"> or </w:t>
      </w:r>
      <w:r w:rsidR="001977EB">
        <w:rPr>
          <w:rFonts w:ascii="Times New Roman" w:eastAsia="Times New Roman" w:hAnsi="Times New Roman" w:cs="Times New Roman"/>
          <w:sz w:val="24"/>
          <w:szCs w:val="24"/>
        </w:rPr>
        <w:t>“</w:t>
      </w:r>
      <w:r w:rsidRPr="001977EB" w:rsidR="00D65758">
        <w:rPr>
          <w:rFonts w:ascii="Times New Roman" w:eastAsia="Times New Roman" w:hAnsi="Times New Roman" w:cs="Times New Roman"/>
          <w:sz w:val="24"/>
          <w:szCs w:val="24"/>
        </w:rPr>
        <w:t>economic</w:t>
      </w:r>
      <w:r w:rsidR="001977EB">
        <w:rPr>
          <w:rFonts w:ascii="Times New Roman" w:eastAsia="Times New Roman" w:hAnsi="Times New Roman" w:cs="Times New Roman"/>
          <w:sz w:val="24"/>
          <w:szCs w:val="24"/>
        </w:rPr>
        <w:t>”</w:t>
      </w:r>
      <w:r w:rsidRPr="001977EB" w:rsidR="00D65758">
        <w:rPr>
          <w:rFonts w:ascii="Times New Roman" w:eastAsia="Times New Roman" w:hAnsi="Times New Roman" w:cs="Times New Roman"/>
          <w:sz w:val="24"/>
          <w:szCs w:val="24"/>
        </w:rPr>
        <w:t xml:space="preserve"> </w:t>
      </w:r>
      <w:r w:rsidRPr="001977EB" w:rsidR="005E1A4D">
        <w:rPr>
          <w:rFonts w:ascii="Times New Roman" w:eastAsia="Times New Roman" w:hAnsi="Times New Roman" w:cs="Times New Roman"/>
          <w:sz w:val="24"/>
          <w:szCs w:val="24"/>
        </w:rPr>
        <w:t>during the period of April 14, 2020 through June 30, 2020.</w:t>
      </w:r>
      <w:r>
        <w:rPr>
          <w:rStyle w:val="FootnoteReference"/>
          <w:rFonts w:ascii="Times New Roman" w:eastAsia="Times New Roman" w:hAnsi="Times New Roman" w:cs="Times New Roman"/>
          <w:sz w:val="24"/>
          <w:szCs w:val="24"/>
        </w:rPr>
        <w:footnoteReference w:id="21"/>
      </w:r>
      <w:r w:rsidRPr="001977EB" w:rsidR="00FC50DF">
        <w:rPr>
          <w:rFonts w:ascii="Times New Roman" w:eastAsia="Times New Roman" w:hAnsi="Times New Roman" w:cs="Times New Roman"/>
          <w:sz w:val="24"/>
          <w:szCs w:val="24"/>
        </w:rPr>
        <w:t xml:space="preserve"> </w:t>
      </w:r>
      <w:r w:rsidRPr="001977EB" w:rsidR="005E1A4D">
        <w:rPr>
          <w:rFonts w:ascii="Times New Roman" w:eastAsia="Times New Roman" w:hAnsi="Times New Roman" w:cs="Times New Roman"/>
          <w:sz w:val="24"/>
          <w:szCs w:val="24"/>
        </w:rPr>
        <w:t xml:space="preserve">The record contains no evidence as to how often OVEC management used </w:t>
      </w:r>
      <w:r w:rsidR="001977EB">
        <w:rPr>
          <w:rFonts w:ascii="Times New Roman" w:eastAsia="Times New Roman" w:hAnsi="Times New Roman" w:cs="Times New Roman"/>
          <w:sz w:val="24"/>
          <w:szCs w:val="24"/>
        </w:rPr>
        <w:t>“</w:t>
      </w:r>
      <w:r w:rsidRPr="001977EB" w:rsidR="005E1A4D">
        <w:rPr>
          <w:rFonts w:ascii="Times New Roman" w:eastAsia="Times New Roman" w:hAnsi="Times New Roman" w:cs="Times New Roman"/>
          <w:sz w:val="24"/>
          <w:szCs w:val="24"/>
        </w:rPr>
        <w:t>economic</w:t>
      </w:r>
      <w:r w:rsidR="001977EB">
        <w:rPr>
          <w:rFonts w:ascii="Times New Roman" w:eastAsia="Times New Roman" w:hAnsi="Times New Roman" w:cs="Times New Roman"/>
          <w:sz w:val="24"/>
          <w:szCs w:val="24"/>
        </w:rPr>
        <w:t>”</w:t>
      </w:r>
      <w:r w:rsidRPr="001977EB" w:rsidR="005E1A4D">
        <w:rPr>
          <w:rFonts w:ascii="Times New Roman" w:eastAsia="Times New Roman" w:hAnsi="Times New Roman" w:cs="Times New Roman"/>
          <w:sz w:val="24"/>
          <w:szCs w:val="24"/>
        </w:rPr>
        <w:t xml:space="preserve"> commitment during this period.</w:t>
      </w:r>
      <w:r w:rsidRPr="001977EB" w:rsidR="00FC50DF">
        <w:rPr>
          <w:rFonts w:ascii="Times New Roman" w:eastAsia="Times New Roman" w:hAnsi="Times New Roman" w:cs="Times New Roman"/>
          <w:sz w:val="24"/>
          <w:szCs w:val="24"/>
        </w:rPr>
        <w:t xml:space="preserve"> </w:t>
      </w:r>
    </w:p>
    <w:p w:rsidR="00BF1ABB" w:rsidRPr="001977EB" w:rsidP="00B52AC5" w14:paraId="4C40B0E5" w14:textId="77777777">
      <w:pPr>
        <w:pStyle w:val="Heading2"/>
      </w:pPr>
      <w:bookmarkStart w:id="7" w:name="_Toc150780640"/>
      <w:bookmarkStart w:id="8" w:name="_Toc158641641"/>
      <w:r w:rsidRPr="001977EB">
        <w:t xml:space="preserve">The </w:t>
      </w:r>
      <w:bookmarkEnd w:id="7"/>
      <w:r w:rsidRPr="001977EB" w:rsidR="00E720B7">
        <w:t>H.B. 6 coal bailout</w:t>
      </w:r>
      <w:r w:rsidRPr="001977EB" w:rsidR="005E295B">
        <w:t>.</w:t>
      </w:r>
      <w:bookmarkEnd w:id="8"/>
    </w:p>
    <w:p w:rsidR="00B81D88" w:rsidRPr="001977EB" w:rsidP="00DC62F6" w14:paraId="68CF2764"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The H.B. 6 coal bailout created the</w:t>
      </w:r>
      <w:r w:rsidRPr="001977EB" w:rsidR="0016593D">
        <w:rPr>
          <w:rFonts w:ascii="Times New Roman" w:hAnsi="Times New Roman" w:cs="Times New Roman"/>
          <w:sz w:val="24"/>
          <w:szCs w:val="24"/>
        </w:rPr>
        <w:t xml:space="preserve"> </w:t>
      </w:r>
      <w:r w:rsidR="001977EB">
        <w:rPr>
          <w:rFonts w:ascii="Times New Roman" w:hAnsi="Times New Roman" w:cs="Times New Roman"/>
          <w:sz w:val="24"/>
          <w:szCs w:val="24"/>
        </w:rPr>
        <w:t>“</w:t>
      </w:r>
      <w:r w:rsidRPr="001977EB" w:rsidR="0016593D">
        <w:rPr>
          <w:rFonts w:ascii="Times New Roman" w:hAnsi="Times New Roman" w:cs="Times New Roman"/>
          <w:sz w:val="24"/>
          <w:szCs w:val="24"/>
        </w:rPr>
        <w:t>Legacy Generation Rider</w:t>
      </w:r>
      <w:r w:rsidRPr="001977EB" w:rsidR="00E720B7">
        <w:rPr>
          <w:rFonts w:ascii="Times New Roman" w:hAnsi="Times New Roman" w:cs="Times New Roman"/>
          <w:sz w:val="24"/>
          <w:szCs w:val="24"/>
        </w:rPr>
        <w:t>,</w:t>
      </w:r>
      <w:r w:rsidR="001977EB">
        <w:rPr>
          <w:rFonts w:ascii="Times New Roman" w:hAnsi="Times New Roman" w:cs="Times New Roman"/>
          <w:sz w:val="24"/>
          <w:szCs w:val="24"/>
        </w:rPr>
        <w:t>”</w:t>
      </w:r>
      <w:r w:rsidRPr="001977EB" w:rsidR="0016593D">
        <w:rPr>
          <w:rFonts w:ascii="Times New Roman" w:hAnsi="Times New Roman" w:cs="Times New Roman"/>
          <w:sz w:val="24"/>
          <w:szCs w:val="24"/>
        </w:rPr>
        <w:t xml:space="preserve"> </w:t>
      </w:r>
      <w:r w:rsidRPr="001977EB" w:rsidR="00E720B7">
        <w:rPr>
          <w:rFonts w:ascii="Times New Roman" w:hAnsi="Times New Roman" w:cs="Times New Roman"/>
          <w:sz w:val="24"/>
          <w:szCs w:val="24"/>
        </w:rPr>
        <w:t>which allows AEP, Duke and DP&amp;L to collect coal plant subsidy costs</w:t>
      </w:r>
      <w:r w:rsidRPr="001977EB" w:rsidR="009904F7">
        <w:rPr>
          <w:rFonts w:ascii="Times New Roman" w:hAnsi="Times New Roman" w:cs="Times New Roman"/>
          <w:sz w:val="24"/>
          <w:szCs w:val="24"/>
        </w:rPr>
        <w:t xml:space="preserve"> through December 31, 2030</w:t>
      </w:r>
      <w:r w:rsidRPr="001977EB" w:rsidR="00E720B7">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Pr="001977EB" w:rsidR="00FC50DF">
        <w:rPr>
          <w:rFonts w:ascii="Times New Roman" w:hAnsi="Times New Roman" w:cs="Times New Roman"/>
          <w:sz w:val="24"/>
          <w:szCs w:val="24"/>
        </w:rPr>
        <w:t xml:space="preserve"> </w:t>
      </w:r>
      <w:r w:rsidRPr="001977EB" w:rsidR="00E9200D">
        <w:rPr>
          <w:rFonts w:ascii="Times New Roman" w:hAnsi="Times New Roman" w:cs="Times New Roman"/>
          <w:sz w:val="24"/>
          <w:szCs w:val="24"/>
        </w:rPr>
        <w:t xml:space="preserve">The PUCO </w:t>
      </w:r>
      <w:r w:rsidRPr="001977EB">
        <w:rPr>
          <w:rFonts w:ascii="Times New Roman" w:hAnsi="Times New Roman" w:cs="Times New Roman"/>
          <w:sz w:val="24"/>
          <w:szCs w:val="24"/>
        </w:rPr>
        <w:t>must</w:t>
      </w:r>
      <w:r w:rsidRPr="001977EB" w:rsidR="00E9200D">
        <w:rPr>
          <w:rFonts w:ascii="Times New Roman" w:hAnsi="Times New Roman" w:cs="Times New Roman"/>
          <w:sz w:val="24"/>
          <w:szCs w:val="24"/>
        </w:rPr>
        <w:t xml:space="preserve"> determine </w:t>
      </w:r>
      <w:r w:rsidR="001977EB">
        <w:rPr>
          <w:rFonts w:ascii="Times New Roman" w:hAnsi="Times New Roman" w:cs="Times New Roman"/>
          <w:sz w:val="24"/>
          <w:szCs w:val="24"/>
        </w:rPr>
        <w:t>“</w:t>
      </w:r>
      <w:r w:rsidRPr="001977EB" w:rsidR="00E9200D">
        <w:rPr>
          <w:rFonts w:ascii="Times New Roman" w:hAnsi="Times New Roman" w:cs="Times New Roman"/>
          <w:sz w:val="24"/>
          <w:szCs w:val="24"/>
        </w:rPr>
        <w:t>the prudence and reasonableness of the actions of electric distribution utilities with ownership interests in the legacy generation resource</w:t>
      </w:r>
      <w:r w:rsidRPr="001977EB">
        <w:rPr>
          <w:rFonts w:ascii="Times New Roman" w:hAnsi="Times New Roman" w:cs="Times New Roman"/>
          <w:sz w:val="24"/>
          <w:szCs w:val="24"/>
        </w:rPr>
        <w:t xml:space="preserve"> (</w:t>
      </w:r>
      <w:r w:rsidRPr="001977EB">
        <w:rPr>
          <w:rFonts w:ascii="Times New Roman" w:hAnsi="Times New Roman" w:cs="Times New Roman"/>
          <w:i/>
          <w:iCs/>
          <w:sz w:val="24"/>
          <w:szCs w:val="24"/>
        </w:rPr>
        <w:t xml:space="preserve">i.e., </w:t>
      </w:r>
      <w:r w:rsidRPr="001977EB">
        <w:rPr>
          <w:rFonts w:ascii="Times New Roman" w:hAnsi="Times New Roman" w:cs="Times New Roman"/>
          <w:sz w:val="24"/>
          <w:szCs w:val="24"/>
        </w:rPr>
        <w:t>the two coal plants)</w:t>
      </w:r>
      <w:r w:rsidRPr="001977EB" w:rsidR="00E9200D">
        <w:rPr>
          <w:rFonts w:ascii="Times New Roman" w:hAnsi="Times New Roman" w:cs="Times New Roman"/>
          <w:sz w:val="24"/>
          <w:szCs w:val="24"/>
        </w:rPr>
        <w:t>, including their decisions related to offering the contractual commitment into the wholesale markets, and the prudence and reasonableness of such actions.</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sidRPr="001977EB" w:rsidR="00FC50DF">
        <w:rPr>
          <w:rFonts w:ascii="Times New Roman" w:hAnsi="Times New Roman" w:cs="Times New Roman"/>
          <w:sz w:val="24"/>
          <w:szCs w:val="24"/>
        </w:rPr>
        <w:t xml:space="preserve"> </w:t>
      </w:r>
    </w:p>
    <w:p w:rsidR="00E9200D" w:rsidRPr="001977EB" w:rsidP="00DC62F6" w14:paraId="6E271E3D"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Revised Code Section 4928.01(</w:t>
      </w:r>
      <w:r w:rsidRPr="001977EB" w:rsidR="005B1CA7">
        <w:rPr>
          <w:rFonts w:ascii="Times New Roman" w:hAnsi="Times New Roman" w:cs="Times New Roman"/>
          <w:sz w:val="24"/>
          <w:szCs w:val="24"/>
        </w:rPr>
        <w:t>A</w:t>
      </w:r>
      <w:r w:rsidRPr="001977EB">
        <w:rPr>
          <w:rFonts w:ascii="Times New Roman" w:hAnsi="Times New Roman" w:cs="Times New Roman"/>
          <w:sz w:val="24"/>
          <w:szCs w:val="24"/>
        </w:rPr>
        <w:t xml:space="preserve">)(42) defines </w:t>
      </w:r>
      <w:r w:rsidR="001977EB">
        <w:rPr>
          <w:rFonts w:ascii="Times New Roman" w:hAnsi="Times New Roman" w:cs="Times New Roman"/>
          <w:sz w:val="24"/>
          <w:szCs w:val="24"/>
        </w:rPr>
        <w:t>“</w:t>
      </w:r>
      <w:r w:rsidRPr="001977EB">
        <w:rPr>
          <w:rFonts w:ascii="Times New Roman" w:hAnsi="Times New Roman" w:cs="Times New Roman"/>
          <w:sz w:val="24"/>
          <w:szCs w:val="24"/>
        </w:rPr>
        <w:t>prudently incurred costs</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as: </w:t>
      </w:r>
    </w:p>
    <w:p w:rsidR="00E9200D" w:rsidRPr="001977EB" w:rsidP="00E23F8A" w14:paraId="6DBFEE1D" w14:textId="77777777">
      <w:pPr>
        <w:spacing w:line="240" w:lineRule="auto"/>
        <w:ind w:left="1440" w:right="1440"/>
        <w:rPr>
          <w:rFonts w:ascii="Times New Roman" w:hAnsi="Times New Roman" w:cs="Times New Roman"/>
          <w:sz w:val="24"/>
          <w:szCs w:val="24"/>
        </w:rPr>
      </w:pPr>
      <w:r w:rsidRPr="001977EB">
        <w:rPr>
          <w:rFonts w:ascii="Times New Roman" w:hAnsi="Times New Roman" w:cs="Times New Roman"/>
          <w:sz w:val="24"/>
          <w:szCs w:val="24"/>
        </w:rPr>
        <w:t>deferred costs, allocated pursuant to a power agreement approved by the federal energy regulatory commission that relates to a legacy generation resource, less any revenues realized from offering the contractual commitment for the power agreement into the wholesale markets, provided that where the net revenues exceed net costs, those excess revenues shall be credited to customers.</w:t>
      </w:r>
      <w:r>
        <w:rPr>
          <w:rStyle w:val="FootnoteReference"/>
          <w:rFonts w:ascii="Times New Roman" w:hAnsi="Times New Roman" w:cs="Times New Roman"/>
          <w:sz w:val="24"/>
          <w:szCs w:val="24"/>
        </w:rPr>
        <w:footnoteReference w:id="24"/>
      </w:r>
    </w:p>
    <w:p w:rsidR="008919D4" w:rsidRPr="001977EB" w:rsidP="008919D4" w14:paraId="771EB45C" w14:textId="77777777">
      <w:pPr>
        <w:spacing w:line="240" w:lineRule="auto"/>
        <w:ind w:left="1440" w:right="1440"/>
        <w:rPr>
          <w:rFonts w:ascii="Times New Roman" w:hAnsi="Times New Roman" w:cs="Times New Roman"/>
          <w:sz w:val="24"/>
          <w:szCs w:val="24"/>
        </w:rPr>
      </w:pPr>
    </w:p>
    <w:p w:rsidR="002D1B05" w:rsidRPr="001977EB" w:rsidP="000B5F9C" w14:paraId="6FFA27ED" w14:textId="77777777">
      <w:pPr>
        <w:spacing w:line="480" w:lineRule="auto"/>
        <w:rPr>
          <w:rFonts w:ascii="Times New Roman" w:hAnsi="Times New Roman" w:cs="Times New Roman"/>
          <w:sz w:val="24"/>
          <w:szCs w:val="24"/>
        </w:rPr>
      </w:pPr>
      <w:r w:rsidRPr="001977EB">
        <w:rPr>
          <w:rFonts w:ascii="Times New Roman" w:hAnsi="Times New Roman" w:cs="Times New Roman"/>
          <w:sz w:val="24"/>
          <w:szCs w:val="24"/>
        </w:rPr>
        <w:tab/>
      </w:r>
      <w:r w:rsidRPr="001977EB" w:rsidR="005B1CA7">
        <w:rPr>
          <w:rFonts w:ascii="Times New Roman" w:hAnsi="Times New Roman" w:cs="Times New Roman"/>
          <w:sz w:val="24"/>
          <w:szCs w:val="24"/>
        </w:rPr>
        <w:t xml:space="preserve">The statute does not, however, define how </w:t>
      </w:r>
      <w:r w:rsidR="001977EB">
        <w:rPr>
          <w:rFonts w:ascii="Times New Roman" w:hAnsi="Times New Roman" w:cs="Times New Roman"/>
          <w:sz w:val="24"/>
          <w:szCs w:val="24"/>
        </w:rPr>
        <w:t>“</w:t>
      </w:r>
      <w:r w:rsidRPr="001977EB" w:rsidR="005B1CA7">
        <w:rPr>
          <w:rFonts w:ascii="Times New Roman" w:hAnsi="Times New Roman" w:cs="Times New Roman"/>
          <w:sz w:val="24"/>
          <w:szCs w:val="24"/>
        </w:rPr>
        <w:t>prudence</w:t>
      </w:r>
      <w:r w:rsidR="001977EB">
        <w:rPr>
          <w:rFonts w:ascii="Times New Roman" w:hAnsi="Times New Roman" w:cs="Times New Roman"/>
          <w:sz w:val="24"/>
          <w:szCs w:val="24"/>
        </w:rPr>
        <w:t>”</w:t>
      </w:r>
      <w:r w:rsidRPr="001977EB" w:rsidR="005B1CA7">
        <w:rPr>
          <w:rFonts w:ascii="Times New Roman" w:hAnsi="Times New Roman" w:cs="Times New Roman"/>
          <w:sz w:val="24"/>
          <w:szCs w:val="24"/>
        </w:rPr>
        <w:t xml:space="preserve"> should be determined.</w:t>
      </w:r>
      <w:r w:rsidRPr="001977EB" w:rsidR="00FC50DF">
        <w:rPr>
          <w:rFonts w:ascii="Times New Roman" w:hAnsi="Times New Roman" w:cs="Times New Roman"/>
          <w:sz w:val="24"/>
          <w:szCs w:val="24"/>
        </w:rPr>
        <w:t xml:space="preserve"> </w:t>
      </w:r>
      <w:r w:rsidRPr="001977EB" w:rsidR="00895164">
        <w:rPr>
          <w:rFonts w:ascii="Times New Roman" w:hAnsi="Times New Roman" w:cs="Times New Roman"/>
          <w:sz w:val="24"/>
          <w:szCs w:val="24"/>
        </w:rPr>
        <w:t>The statute requires periodic prudency reviews, including one for coal plant subsidy costs</w:t>
      </w:r>
      <w:r w:rsidRPr="001977EB" w:rsidR="00841D3F">
        <w:rPr>
          <w:rFonts w:ascii="Times New Roman" w:hAnsi="Times New Roman" w:cs="Times New Roman"/>
          <w:sz w:val="24"/>
          <w:szCs w:val="24"/>
        </w:rPr>
        <w:t xml:space="preserve"> collected from consumers during 2020</w:t>
      </w:r>
      <w:r w:rsidRPr="001977EB" w:rsidR="00895164">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rsidR="002D1B05" w:rsidRPr="001977EB" w:rsidP="00B52AC5" w14:paraId="6ADAAEB3" w14:textId="77777777">
      <w:pPr>
        <w:pStyle w:val="Heading2"/>
      </w:pPr>
      <w:bookmarkStart w:id="9" w:name="_Toc158641642"/>
      <w:r w:rsidRPr="001977EB">
        <w:t xml:space="preserve">The Audit Reports revealed that </w:t>
      </w:r>
      <w:r w:rsidRPr="001977EB" w:rsidR="00895164">
        <w:t>AEP, Duke and DP&amp;L</w:t>
      </w:r>
      <w:r w:rsidRPr="001977EB">
        <w:t xml:space="preserve"> overcharged </w:t>
      </w:r>
      <w:r w:rsidRPr="001977EB" w:rsidR="00895164">
        <w:t xml:space="preserve">consumers </w:t>
      </w:r>
      <w:r w:rsidRPr="001977EB">
        <w:t>$1</w:t>
      </w:r>
      <w:r w:rsidRPr="001977EB" w:rsidR="00895164">
        <w:t>0</w:t>
      </w:r>
      <w:r w:rsidRPr="001977EB">
        <w:t xml:space="preserve">5 million in above-market price coal plant subsidy costs </w:t>
      </w:r>
      <w:r w:rsidRPr="001977EB" w:rsidR="00841D3F">
        <w:t>during</w:t>
      </w:r>
      <w:r w:rsidRPr="001977EB">
        <w:t xml:space="preserve"> 2020.</w:t>
      </w:r>
      <w:bookmarkEnd w:id="9"/>
    </w:p>
    <w:p w:rsidR="002D1B05" w:rsidRPr="001977EB" w:rsidP="00895164" w14:paraId="626CEFC1"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 xml:space="preserve">The PUCO-ordered </w:t>
      </w:r>
      <w:r w:rsidRPr="001977EB" w:rsidR="00841D3F">
        <w:rPr>
          <w:rFonts w:ascii="Times New Roman" w:hAnsi="Times New Roman" w:cs="Times New Roman"/>
          <w:sz w:val="24"/>
          <w:szCs w:val="24"/>
        </w:rPr>
        <w:t>A</w:t>
      </w:r>
      <w:r w:rsidRPr="001977EB">
        <w:rPr>
          <w:rFonts w:ascii="Times New Roman" w:hAnsi="Times New Roman" w:cs="Times New Roman"/>
          <w:sz w:val="24"/>
          <w:szCs w:val="24"/>
        </w:rPr>
        <w:t xml:space="preserve">udit </w:t>
      </w:r>
      <w:r w:rsidRPr="001977EB" w:rsidR="00841D3F">
        <w:rPr>
          <w:rFonts w:ascii="Times New Roman" w:hAnsi="Times New Roman" w:cs="Times New Roman"/>
          <w:sz w:val="24"/>
          <w:szCs w:val="24"/>
        </w:rPr>
        <w:t>R</w:t>
      </w:r>
      <w:r w:rsidRPr="001977EB">
        <w:rPr>
          <w:rFonts w:ascii="Times New Roman" w:hAnsi="Times New Roman" w:cs="Times New Roman"/>
          <w:sz w:val="24"/>
          <w:szCs w:val="24"/>
        </w:rPr>
        <w:t xml:space="preserve">eports showed that AEP, Duke and DP&amp;L </w:t>
      </w:r>
      <w:r w:rsidRPr="001977EB" w:rsidR="00841D3F">
        <w:rPr>
          <w:rFonts w:ascii="Times New Roman" w:hAnsi="Times New Roman" w:cs="Times New Roman"/>
          <w:sz w:val="24"/>
          <w:szCs w:val="24"/>
        </w:rPr>
        <w:t>over</w:t>
      </w:r>
      <w:r w:rsidRPr="001977EB">
        <w:rPr>
          <w:rFonts w:ascii="Times New Roman" w:hAnsi="Times New Roman" w:cs="Times New Roman"/>
          <w:sz w:val="24"/>
          <w:szCs w:val="24"/>
        </w:rPr>
        <w:t>charged consumers $105 million in above-market</w:t>
      </w:r>
      <w:r w:rsidRPr="001977EB" w:rsidR="008919D4">
        <w:rPr>
          <w:rFonts w:ascii="Times New Roman" w:hAnsi="Times New Roman" w:cs="Times New Roman"/>
          <w:sz w:val="24"/>
          <w:szCs w:val="24"/>
        </w:rPr>
        <w:t xml:space="preserve"> </w:t>
      </w:r>
      <w:r w:rsidRPr="001977EB">
        <w:rPr>
          <w:rFonts w:ascii="Times New Roman" w:hAnsi="Times New Roman" w:cs="Times New Roman"/>
          <w:sz w:val="24"/>
          <w:szCs w:val="24"/>
        </w:rPr>
        <w:t xml:space="preserve">price coal plant subsidy costs </w:t>
      </w:r>
      <w:r w:rsidRPr="001977EB" w:rsidR="00841D3F">
        <w:rPr>
          <w:rFonts w:ascii="Times New Roman" w:hAnsi="Times New Roman" w:cs="Times New Roman"/>
          <w:sz w:val="24"/>
          <w:szCs w:val="24"/>
        </w:rPr>
        <w:t>during</w:t>
      </w:r>
      <w:r w:rsidRPr="001977EB">
        <w:rPr>
          <w:rFonts w:ascii="Times New Roman" w:hAnsi="Times New Roman" w:cs="Times New Roman"/>
          <w:sz w:val="24"/>
          <w:szCs w:val="24"/>
        </w:rPr>
        <w:t xml:space="preserve"> 2020, as shown below:</w:t>
      </w:r>
    </w:p>
    <w:p w:rsidR="00A46B99" w:rsidRPr="001977EB" w:rsidP="00A46B99" w14:paraId="08369A28" w14:textId="77777777">
      <w:pPr>
        <w:spacing w:line="480" w:lineRule="auto"/>
        <w:jc w:val="center"/>
        <w:rPr>
          <w:rFonts w:ascii="Times New Roman" w:hAnsi="Times New Roman" w:cs="Times New Roman"/>
          <w:b/>
          <w:bCs/>
          <w:color w:val="000000"/>
          <w:sz w:val="24"/>
          <w:szCs w:val="24"/>
        </w:rPr>
      </w:pPr>
      <w:r w:rsidRPr="001977EB">
        <w:rPr>
          <w:rFonts w:ascii="Times New Roman" w:hAnsi="Times New Roman" w:cs="Times New Roman"/>
          <w:b/>
          <w:bCs/>
          <w:color w:val="000000"/>
          <w:sz w:val="24"/>
          <w:szCs w:val="24"/>
        </w:rPr>
        <w:t>Table</w:t>
      </w:r>
      <w:r w:rsidRPr="001977EB" w:rsidR="00A57D3E">
        <w:rPr>
          <w:rFonts w:ascii="Times New Roman" w:hAnsi="Times New Roman" w:cs="Times New Roman"/>
          <w:b/>
          <w:bCs/>
          <w:color w:val="000000"/>
          <w:sz w:val="24"/>
          <w:szCs w:val="24"/>
        </w:rPr>
        <w:t xml:space="preserve"> 1</w:t>
      </w:r>
      <w:r w:rsidRPr="001977EB">
        <w:rPr>
          <w:rFonts w:ascii="Times New Roman" w:hAnsi="Times New Roman" w:cs="Times New Roman"/>
          <w:b/>
          <w:bCs/>
          <w:color w:val="000000"/>
          <w:sz w:val="24"/>
          <w:szCs w:val="24"/>
        </w:rPr>
        <w:t xml:space="preserve">: H.B. 6 </w:t>
      </w:r>
      <w:r w:rsidRPr="001977EB" w:rsidR="00A57D3E">
        <w:rPr>
          <w:rFonts w:ascii="Times New Roman" w:hAnsi="Times New Roman" w:cs="Times New Roman"/>
          <w:b/>
          <w:bCs/>
          <w:color w:val="000000"/>
          <w:sz w:val="24"/>
          <w:szCs w:val="24"/>
        </w:rPr>
        <w:t>C</w:t>
      </w:r>
      <w:r w:rsidRPr="001977EB">
        <w:rPr>
          <w:rFonts w:ascii="Times New Roman" w:hAnsi="Times New Roman" w:cs="Times New Roman"/>
          <w:b/>
          <w:bCs/>
          <w:color w:val="000000"/>
          <w:sz w:val="24"/>
          <w:szCs w:val="24"/>
        </w:rPr>
        <w:t xml:space="preserve">oal </w:t>
      </w:r>
      <w:r w:rsidRPr="001977EB" w:rsidR="00A57D3E">
        <w:rPr>
          <w:rFonts w:ascii="Times New Roman" w:hAnsi="Times New Roman" w:cs="Times New Roman"/>
          <w:b/>
          <w:bCs/>
          <w:color w:val="000000"/>
          <w:sz w:val="24"/>
          <w:szCs w:val="24"/>
        </w:rPr>
        <w:t>P</w:t>
      </w:r>
      <w:r w:rsidRPr="001977EB">
        <w:rPr>
          <w:rFonts w:ascii="Times New Roman" w:hAnsi="Times New Roman" w:cs="Times New Roman"/>
          <w:b/>
          <w:bCs/>
          <w:color w:val="000000"/>
          <w:sz w:val="24"/>
          <w:szCs w:val="24"/>
        </w:rPr>
        <w:t xml:space="preserve">lant </w:t>
      </w:r>
      <w:r w:rsidRPr="001977EB" w:rsidR="00A57D3E">
        <w:rPr>
          <w:rFonts w:ascii="Times New Roman" w:hAnsi="Times New Roman" w:cs="Times New Roman"/>
          <w:b/>
          <w:bCs/>
          <w:color w:val="000000"/>
          <w:sz w:val="24"/>
          <w:szCs w:val="24"/>
        </w:rPr>
        <w:t>S</w:t>
      </w:r>
      <w:r w:rsidRPr="001977EB">
        <w:rPr>
          <w:rFonts w:ascii="Times New Roman" w:hAnsi="Times New Roman" w:cs="Times New Roman"/>
          <w:b/>
          <w:bCs/>
          <w:color w:val="000000"/>
          <w:sz w:val="24"/>
          <w:szCs w:val="24"/>
        </w:rPr>
        <w:t xml:space="preserve">ubsidy </w:t>
      </w:r>
      <w:r w:rsidRPr="001977EB" w:rsidR="00A57D3E">
        <w:rPr>
          <w:rFonts w:ascii="Times New Roman" w:hAnsi="Times New Roman" w:cs="Times New Roman"/>
          <w:b/>
          <w:bCs/>
          <w:color w:val="000000"/>
          <w:sz w:val="24"/>
          <w:szCs w:val="24"/>
        </w:rPr>
        <w:t>O</w:t>
      </w:r>
      <w:r w:rsidRPr="001977EB">
        <w:rPr>
          <w:rFonts w:ascii="Times New Roman" w:hAnsi="Times New Roman" w:cs="Times New Roman"/>
          <w:b/>
          <w:bCs/>
          <w:color w:val="000000"/>
          <w:sz w:val="24"/>
          <w:szCs w:val="24"/>
        </w:rPr>
        <w:t xml:space="preserve">vercharges </w:t>
      </w:r>
      <w:r w:rsidRPr="001977EB" w:rsidR="00A57D3E">
        <w:rPr>
          <w:rFonts w:ascii="Times New Roman" w:hAnsi="Times New Roman" w:cs="Times New Roman"/>
          <w:b/>
          <w:bCs/>
          <w:color w:val="000000"/>
          <w:sz w:val="24"/>
          <w:szCs w:val="24"/>
        </w:rPr>
        <w:t>D</w:t>
      </w:r>
      <w:r w:rsidRPr="001977EB" w:rsidR="00841D3F">
        <w:rPr>
          <w:rFonts w:ascii="Times New Roman" w:hAnsi="Times New Roman" w:cs="Times New Roman"/>
          <w:b/>
          <w:bCs/>
          <w:color w:val="000000"/>
          <w:sz w:val="24"/>
          <w:szCs w:val="24"/>
        </w:rPr>
        <w:t>uring</w:t>
      </w:r>
      <w:r w:rsidRPr="001977EB">
        <w:rPr>
          <w:rFonts w:ascii="Times New Roman" w:hAnsi="Times New Roman" w:cs="Times New Roman"/>
          <w:b/>
          <w:bCs/>
          <w:color w:val="000000"/>
          <w:sz w:val="24"/>
          <w:szCs w:val="24"/>
        </w:rPr>
        <w:t xml:space="preserve"> 2020</w:t>
      </w: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340"/>
        <w:gridCol w:w="3150"/>
      </w:tblGrid>
      <w:tr w14:paraId="5C9DDB9C" w14:textId="77777777" w:rsidTr="008D736D">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32"/>
          <w:jc w:val="center"/>
        </w:trPr>
        <w:tc>
          <w:tcPr>
            <w:tcW w:w="2340" w:type="dxa"/>
          </w:tcPr>
          <w:p w:rsidR="00A46B99" w:rsidRPr="001977EB" w:rsidP="008D736D" w14:paraId="31C4983F" w14:textId="77777777">
            <w:pPr>
              <w:spacing w:line="240" w:lineRule="auto"/>
              <w:jc w:val="center"/>
              <w:rPr>
                <w:rFonts w:ascii="Times New Roman" w:eastAsia="Times New Roman" w:hAnsi="Times New Roman" w:cs="Times New Roman"/>
                <w:b/>
                <w:bCs/>
                <w:color w:val="000000"/>
                <w:sz w:val="24"/>
                <w:szCs w:val="24"/>
                <w:u w:val="single"/>
                <w:lang w:val="en-US" w:eastAsia="en-US" w:bidi="ar-SA"/>
              </w:rPr>
            </w:pPr>
            <w:r w:rsidRPr="001977EB">
              <w:rPr>
                <w:rFonts w:ascii="Times New Roman" w:eastAsia="Times New Roman" w:hAnsi="Times New Roman" w:cs="Times New Roman"/>
                <w:color w:val="000000"/>
                <w:sz w:val="24"/>
                <w:szCs w:val="24"/>
                <w:lang w:val="en-US" w:eastAsia="en-US" w:bidi="ar-SA"/>
              </w:rPr>
              <w:br w:type="page"/>
            </w:r>
            <w:r w:rsidRPr="001977EB">
              <w:rPr>
                <w:rFonts w:ascii="Times New Roman" w:eastAsia="Times New Roman" w:hAnsi="Times New Roman" w:cs="Times New Roman"/>
                <w:b/>
                <w:bCs/>
                <w:color w:val="000000"/>
                <w:sz w:val="24"/>
                <w:szCs w:val="24"/>
                <w:u w:val="single"/>
                <w:lang w:val="en-US" w:eastAsia="en-US" w:bidi="ar-SA"/>
              </w:rPr>
              <w:t>Utility</w:t>
            </w:r>
          </w:p>
        </w:tc>
        <w:tc>
          <w:tcPr>
            <w:tcW w:w="3150" w:type="dxa"/>
          </w:tcPr>
          <w:p w:rsidR="00A46B99" w:rsidRPr="001977EB" w:rsidP="008D736D" w14:paraId="5E1166B3" w14:textId="77777777">
            <w:pPr>
              <w:spacing w:line="240" w:lineRule="auto"/>
              <w:jc w:val="center"/>
              <w:rPr>
                <w:rFonts w:ascii="Times New Roman" w:eastAsia="Times New Roman" w:hAnsi="Times New Roman" w:cs="Times New Roman"/>
                <w:b/>
                <w:bCs/>
                <w:color w:val="000000"/>
                <w:sz w:val="24"/>
                <w:szCs w:val="24"/>
                <w:u w:val="single"/>
                <w:lang w:val="en-US" w:eastAsia="en-US" w:bidi="ar-SA"/>
              </w:rPr>
            </w:pPr>
            <w:r w:rsidRPr="001977EB">
              <w:rPr>
                <w:rFonts w:ascii="Times New Roman" w:eastAsia="Times New Roman" w:hAnsi="Times New Roman" w:cs="Times New Roman"/>
                <w:b/>
                <w:bCs/>
                <w:color w:val="000000"/>
                <w:sz w:val="24"/>
                <w:szCs w:val="24"/>
                <w:u w:val="single"/>
                <w:lang w:val="en-US" w:eastAsia="en-US" w:bidi="ar-SA"/>
              </w:rPr>
              <w:t>Amount of Overcharge</w:t>
            </w:r>
          </w:p>
        </w:tc>
      </w:tr>
      <w:tr w14:paraId="6D7E3A8B" w14:textId="77777777" w:rsidTr="008D736D">
        <w:tblPrEx>
          <w:tblW w:w="0" w:type="auto"/>
          <w:jc w:val="center"/>
          <w:tblInd w:w="0" w:type="dxa"/>
          <w:tblCellMar>
            <w:top w:w="0" w:type="dxa"/>
            <w:left w:w="108" w:type="dxa"/>
            <w:bottom w:w="0" w:type="dxa"/>
            <w:right w:w="108" w:type="dxa"/>
          </w:tblCellMar>
          <w:tblLook w:val="04A0"/>
        </w:tblPrEx>
        <w:trPr>
          <w:jc w:val="center"/>
        </w:trPr>
        <w:tc>
          <w:tcPr>
            <w:tcW w:w="2340" w:type="dxa"/>
          </w:tcPr>
          <w:p w:rsidR="00A46B99" w:rsidRPr="001977EB" w:rsidP="008D736D" w14:paraId="2EFECFCE" w14:textId="77777777">
            <w:pPr>
              <w:spacing w:line="240" w:lineRule="auto"/>
              <w:jc w:val="center"/>
              <w:rPr>
                <w:rFonts w:ascii="Times New Roman" w:eastAsia="Times New Roman" w:hAnsi="Times New Roman" w:cs="Times New Roman"/>
                <w:color w:val="000000"/>
                <w:sz w:val="24"/>
                <w:szCs w:val="24"/>
                <w:lang w:val="en-US" w:eastAsia="en-US" w:bidi="ar-SA"/>
              </w:rPr>
            </w:pPr>
            <w:r w:rsidRPr="001977EB">
              <w:rPr>
                <w:rFonts w:ascii="Times New Roman" w:eastAsia="Times New Roman" w:hAnsi="Times New Roman" w:cs="Times New Roman"/>
                <w:color w:val="000000"/>
                <w:sz w:val="24"/>
                <w:szCs w:val="24"/>
                <w:lang w:val="en-US" w:eastAsia="en-US" w:bidi="ar-SA"/>
              </w:rPr>
              <w:t>Duke</w:t>
            </w:r>
          </w:p>
        </w:tc>
        <w:tc>
          <w:tcPr>
            <w:tcW w:w="3150" w:type="dxa"/>
          </w:tcPr>
          <w:p w:rsidR="00A46B99" w:rsidRPr="001977EB" w:rsidP="008D736D" w14:paraId="0076ED67" w14:textId="77777777">
            <w:pPr>
              <w:spacing w:line="240" w:lineRule="auto"/>
              <w:jc w:val="center"/>
              <w:rPr>
                <w:rFonts w:ascii="Times New Roman" w:eastAsia="Times New Roman" w:hAnsi="Times New Roman" w:cs="Times New Roman"/>
                <w:color w:val="000000"/>
                <w:sz w:val="24"/>
                <w:szCs w:val="24"/>
                <w:lang w:val="en-US" w:eastAsia="en-US" w:bidi="ar-SA"/>
              </w:rPr>
            </w:pPr>
            <w:r w:rsidRPr="001977EB">
              <w:rPr>
                <w:rFonts w:ascii="Times New Roman" w:eastAsia="Times New Roman" w:hAnsi="Times New Roman" w:cs="Times New Roman"/>
                <w:color w:val="000000"/>
                <w:sz w:val="24"/>
                <w:szCs w:val="24"/>
                <w:lang w:val="en-US" w:eastAsia="en-US" w:bidi="ar-SA"/>
              </w:rPr>
              <w:t>$29,974,510.91</w:t>
            </w:r>
            <w:r>
              <w:rPr>
                <w:rStyle w:val="FootnoteReference"/>
                <w:color w:val="000000"/>
                <w:sz w:val="24"/>
                <w:szCs w:val="24"/>
              </w:rPr>
              <w:footnoteReference w:id="26"/>
            </w:r>
          </w:p>
        </w:tc>
      </w:tr>
      <w:tr w14:paraId="788B5781" w14:textId="77777777" w:rsidTr="008D736D">
        <w:tblPrEx>
          <w:tblW w:w="0" w:type="auto"/>
          <w:jc w:val="center"/>
          <w:tblInd w:w="0" w:type="dxa"/>
          <w:tblCellMar>
            <w:top w:w="0" w:type="dxa"/>
            <w:left w:w="108" w:type="dxa"/>
            <w:bottom w:w="0" w:type="dxa"/>
            <w:right w:w="108" w:type="dxa"/>
          </w:tblCellMar>
          <w:tblLook w:val="04A0"/>
        </w:tblPrEx>
        <w:trPr>
          <w:jc w:val="center"/>
        </w:trPr>
        <w:tc>
          <w:tcPr>
            <w:tcW w:w="2340" w:type="dxa"/>
          </w:tcPr>
          <w:p w:rsidR="00A46B99" w:rsidRPr="001977EB" w:rsidP="008D736D" w14:paraId="1E98D432" w14:textId="77777777">
            <w:pPr>
              <w:spacing w:line="240" w:lineRule="auto"/>
              <w:jc w:val="center"/>
              <w:rPr>
                <w:rFonts w:ascii="Times New Roman" w:eastAsia="Times New Roman" w:hAnsi="Times New Roman" w:cs="Times New Roman"/>
                <w:color w:val="000000"/>
                <w:sz w:val="24"/>
                <w:szCs w:val="24"/>
                <w:lang w:val="en-US" w:eastAsia="en-US" w:bidi="ar-SA"/>
              </w:rPr>
            </w:pPr>
            <w:r w:rsidRPr="001977EB">
              <w:rPr>
                <w:rFonts w:ascii="Times New Roman" w:eastAsia="Times New Roman" w:hAnsi="Times New Roman" w:cs="Times New Roman"/>
                <w:color w:val="000000"/>
                <w:sz w:val="24"/>
                <w:szCs w:val="24"/>
                <w:lang w:val="en-US" w:eastAsia="en-US" w:bidi="ar-SA"/>
              </w:rPr>
              <w:t>DP&amp;L</w:t>
            </w:r>
          </w:p>
        </w:tc>
        <w:tc>
          <w:tcPr>
            <w:tcW w:w="3150" w:type="dxa"/>
          </w:tcPr>
          <w:p w:rsidR="00A46B99" w:rsidRPr="001977EB" w:rsidP="008D736D" w14:paraId="68113E2E" w14:textId="77777777">
            <w:pPr>
              <w:spacing w:line="240" w:lineRule="auto"/>
              <w:jc w:val="center"/>
              <w:rPr>
                <w:rFonts w:ascii="Times New Roman" w:eastAsia="Times New Roman" w:hAnsi="Times New Roman" w:cs="Times New Roman"/>
                <w:color w:val="000000"/>
                <w:sz w:val="24"/>
                <w:szCs w:val="24"/>
                <w:lang w:val="en-US" w:eastAsia="en-US" w:bidi="ar-SA"/>
              </w:rPr>
            </w:pPr>
            <w:r w:rsidRPr="001977EB">
              <w:rPr>
                <w:rFonts w:ascii="Times New Roman" w:eastAsia="Times New Roman" w:hAnsi="Times New Roman" w:cs="Times New Roman"/>
                <w:color w:val="000000"/>
                <w:sz w:val="24"/>
                <w:szCs w:val="24"/>
                <w:lang w:val="en-US" w:eastAsia="en-US" w:bidi="ar-SA"/>
              </w:rPr>
              <w:t>$7,652,653.04</w:t>
            </w:r>
            <w:r>
              <w:rPr>
                <w:rStyle w:val="FootnoteReference"/>
                <w:color w:val="000000"/>
                <w:sz w:val="24"/>
                <w:szCs w:val="24"/>
              </w:rPr>
              <w:footnoteReference w:id="27"/>
            </w:r>
          </w:p>
        </w:tc>
      </w:tr>
      <w:tr w14:paraId="5D18DD86" w14:textId="77777777" w:rsidTr="008D736D">
        <w:tblPrEx>
          <w:tblW w:w="0" w:type="auto"/>
          <w:jc w:val="center"/>
          <w:tblInd w:w="0" w:type="dxa"/>
          <w:tblCellMar>
            <w:top w:w="0" w:type="dxa"/>
            <w:left w:w="108" w:type="dxa"/>
            <w:bottom w:w="0" w:type="dxa"/>
            <w:right w:w="108" w:type="dxa"/>
          </w:tblCellMar>
          <w:tblLook w:val="04A0"/>
        </w:tblPrEx>
        <w:trPr>
          <w:jc w:val="center"/>
        </w:trPr>
        <w:tc>
          <w:tcPr>
            <w:tcW w:w="2340" w:type="dxa"/>
          </w:tcPr>
          <w:p w:rsidR="00A46B99" w:rsidRPr="001977EB" w:rsidP="008D736D" w14:paraId="14A8E62E" w14:textId="77777777">
            <w:pPr>
              <w:spacing w:line="240" w:lineRule="auto"/>
              <w:jc w:val="center"/>
              <w:rPr>
                <w:rFonts w:ascii="Times New Roman" w:eastAsia="Times New Roman" w:hAnsi="Times New Roman" w:cs="Times New Roman"/>
                <w:color w:val="000000"/>
                <w:sz w:val="24"/>
                <w:szCs w:val="24"/>
                <w:lang w:val="en-US" w:eastAsia="en-US" w:bidi="ar-SA"/>
              </w:rPr>
            </w:pPr>
            <w:r w:rsidRPr="001977EB">
              <w:rPr>
                <w:rFonts w:ascii="Times New Roman" w:eastAsia="Times New Roman" w:hAnsi="Times New Roman" w:cs="Times New Roman"/>
                <w:color w:val="000000"/>
                <w:sz w:val="24"/>
                <w:szCs w:val="24"/>
                <w:lang w:val="en-US" w:eastAsia="en-US" w:bidi="ar-SA"/>
              </w:rPr>
              <w:t>AEP</w:t>
            </w:r>
          </w:p>
        </w:tc>
        <w:tc>
          <w:tcPr>
            <w:tcW w:w="3150" w:type="dxa"/>
          </w:tcPr>
          <w:p w:rsidR="00A46B99" w:rsidRPr="001977EB" w:rsidP="008D736D" w14:paraId="2E931EFF" w14:textId="77777777">
            <w:pPr>
              <w:spacing w:line="240" w:lineRule="auto"/>
              <w:jc w:val="center"/>
              <w:rPr>
                <w:rFonts w:ascii="Times New Roman" w:eastAsia="Times New Roman" w:hAnsi="Times New Roman" w:cs="Times New Roman"/>
                <w:color w:val="000000"/>
                <w:sz w:val="24"/>
                <w:szCs w:val="24"/>
                <w:lang w:val="en-US" w:eastAsia="en-US" w:bidi="ar-SA"/>
              </w:rPr>
            </w:pPr>
            <w:r w:rsidRPr="001977EB">
              <w:rPr>
                <w:rFonts w:ascii="Times New Roman" w:eastAsia="Times New Roman" w:hAnsi="Times New Roman" w:cs="Times New Roman"/>
                <w:color w:val="000000"/>
                <w:sz w:val="24"/>
                <w:szCs w:val="24"/>
                <w:lang w:val="en-US" w:eastAsia="en-US" w:bidi="ar-SA"/>
              </w:rPr>
              <w:t>$67,897,705.58</w:t>
            </w:r>
            <w:r>
              <w:rPr>
                <w:rStyle w:val="FootnoteReference"/>
                <w:color w:val="000000"/>
                <w:sz w:val="24"/>
                <w:szCs w:val="24"/>
              </w:rPr>
              <w:footnoteReference w:id="28"/>
            </w:r>
          </w:p>
        </w:tc>
      </w:tr>
      <w:tr w14:paraId="3C830876" w14:textId="77777777" w:rsidTr="008D736D">
        <w:tblPrEx>
          <w:tblW w:w="0" w:type="auto"/>
          <w:jc w:val="center"/>
          <w:tblInd w:w="0" w:type="dxa"/>
          <w:tblCellMar>
            <w:top w:w="0" w:type="dxa"/>
            <w:left w:w="108" w:type="dxa"/>
            <w:bottom w:w="0" w:type="dxa"/>
            <w:right w:w="108" w:type="dxa"/>
          </w:tblCellMar>
          <w:tblLook w:val="04A0"/>
        </w:tblPrEx>
        <w:trPr>
          <w:jc w:val="center"/>
        </w:trPr>
        <w:tc>
          <w:tcPr>
            <w:tcW w:w="2340" w:type="dxa"/>
          </w:tcPr>
          <w:p w:rsidR="00473FF2" w:rsidRPr="001977EB" w:rsidP="008D736D" w14:paraId="1DF7430F" w14:textId="77777777">
            <w:pPr>
              <w:spacing w:line="240" w:lineRule="auto"/>
              <w:jc w:val="center"/>
              <w:rPr>
                <w:rFonts w:ascii="Times New Roman" w:eastAsia="Times New Roman" w:hAnsi="Times New Roman" w:cs="Times New Roman"/>
                <w:color w:val="000000"/>
                <w:sz w:val="24"/>
                <w:szCs w:val="24"/>
                <w:lang w:val="en-US" w:eastAsia="en-US" w:bidi="ar-SA"/>
              </w:rPr>
            </w:pPr>
            <w:r w:rsidRPr="001977EB">
              <w:rPr>
                <w:rFonts w:ascii="Times New Roman" w:eastAsia="Times New Roman" w:hAnsi="Times New Roman" w:cs="Times New Roman"/>
                <w:color w:val="000000"/>
                <w:sz w:val="24"/>
                <w:szCs w:val="24"/>
                <w:lang w:val="en-US" w:eastAsia="en-US" w:bidi="ar-SA"/>
              </w:rPr>
              <w:t>Total:</w:t>
            </w:r>
          </w:p>
        </w:tc>
        <w:tc>
          <w:tcPr>
            <w:tcW w:w="3150" w:type="dxa"/>
          </w:tcPr>
          <w:p w:rsidR="00473FF2" w:rsidRPr="001977EB" w:rsidP="008D736D" w14:paraId="31D46713" w14:textId="77777777">
            <w:pPr>
              <w:spacing w:line="240" w:lineRule="auto"/>
              <w:jc w:val="center"/>
              <w:rPr>
                <w:rFonts w:ascii="Times New Roman" w:eastAsia="Times New Roman" w:hAnsi="Times New Roman" w:cs="Times New Roman"/>
                <w:color w:val="000000"/>
                <w:sz w:val="24"/>
                <w:szCs w:val="24"/>
                <w:lang w:val="en-US" w:eastAsia="en-US" w:bidi="ar-SA"/>
              </w:rPr>
            </w:pPr>
            <w:r w:rsidRPr="001977EB">
              <w:rPr>
                <w:rFonts w:ascii="Times New Roman" w:eastAsia="Times New Roman" w:hAnsi="Times New Roman" w:cs="Times New Roman"/>
                <w:color w:val="000000"/>
                <w:sz w:val="24"/>
                <w:szCs w:val="24"/>
                <w:lang w:val="en-US" w:eastAsia="en-US" w:bidi="ar-SA"/>
              </w:rPr>
              <w:t>$105,524,869.53</w:t>
            </w:r>
          </w:p>
        </w:tc>
      </w:tr>
    </w:tbl>
    <w:p w:rsidR="00A46B99" w:rsidRPr="001977EB" w:rsidP="00A46B99" w14:paraId="09E8786D" w14:textId="77777777">
      <w:pPr>
        <w:rPr>
          <w:rFonts w:ascii="Times New Roman" w:hAnsi="Times New Roman" w:cs="Times New Roman"/>
          <w:color w:val="000000"/>
          <w:sz w:val="24"/>
          <w:szCs w:val="24"/>
        </w:rPr>
      </w:pPr>
    </w:p>
    <w:p w:rsidR="00E75625" w:rsidRPr="001977EB" w:rsidP="00D87E31" w14:paraId="3660B41B" w14:textId="77777777">
      <w:pPr>
        <w:spacing w:line="480" w:lineRule="auto"/>
        <w:ind w:firstLine="720"/>
        <w:rPr>
          <w:rFonts w:ascii="Times New Roman" w:eastAsia="Times New Roman" w:hAnsi="Times New Roman" w:cs="Times New Roman"/>
          <w:sz w:val="24"/>
          <w:szCs w:val="24"/>
        </w:rPr>
      </w:pPr>
      <w:r w:rsidRPr="001977EB">
        <w:rPr>
          <w:rFonts w:ascii="Times New Roman" w:hAnsi="Times New Roman" w:cs="Times New Roman"/>
          <w:color w:val="000000"/>
          <w:sz w:val="24"/>
          <w:szCs w:val="24"/>
        </w:rPr>
        <w:t>AEP, Duke and DP&amp;L overcharged consumers $105 million in 2020</w:t>
      </w:r>
      <w:r w:rsidRPr="001977EB" w:rsidR="00841D3F">
        <w:rPr>
          <w:rFonts w:ascii="Times New Roman" w:hAnsi="Times New Roman" w:cs="Times New Roman"/>
          <w:color w:val="000000"/>
          <w:sz w:val="24"/>
          <w:szCs w:val="24"/>
        </w:rPr>
        <w:t xml:space="preserve"> even though</w:t>
      </w:r>
      <w:r w:rsidRPr="001977EB">
        <w:rPr>
          <w:rFonts w:ascii="Times New Roman" w:hAnsi="Times New Roman" w:cs="Times New Roman"/>
          <w:color w:val="000000"/>
          <w:sz w:val="24"/>
          <w:szCs w:val="24"/>
        </w:rPr>
        <w:t xml:space="preserve"> </w:t>
      </w:r>
      <w:r w:rsidRPr="001977EB" w:rsidR="00A46B99">
        <w:rPr>
          <w:rFonts w:ascii="Times New Roman" w:hAnsi="Times New Roman" w:cs="Times New Roman"/>
          <w:color w:val="000000"/>
          <w:sz w:val="24"/>
          <w:szCs w:val="24"/>
        </w:rPr>
        <w:t>consumers were suffering the effects of the Covid pandemic</w:t>
      </w:r>
      <w:r w:rsidRPr="001977EB">
        <w:rPr>
          <w:rFonts w:ascii="Times New Roman" w:hAnsi="Times New Roman" w:cs="Times New Roman"/>
          <w:color w:val="000000"/>
          <w:sz w:val="24"/>
          <w:szCs w:val="24"/>
        </w:rPr>
        <w:t>.</w:t>
      </w:r>
      <w:r w:rsidRPr="001977EB" w:rsidR="00A46B99">
        <w:rPr>
          <w:rFonts w:ascii="Times New Roman" w:hAnsi="Times New Roman" w:cs="Times New Roman"/>
          <w:color w:val="000000"/>
          <w:sz w:val="24"/>
          <w:szCs w:val="24"/>
        </w:rPr>
        <w:t xml:space="preserve"> In other words, during the state of emergency declared by Governor DeWine,</w:t>
      </w:r>
      <w:r>
        <w:rPr>
          <w:rStyle w:val="FootnoteReference"/>
          <w:rFonts w:ascii="Times New Roman" w:hAnsi="Times New Roman" w:cs="Times New Roman"/>
          <w:color w:val="000000"/>
          <w:sz w:val="24"/>
          <w:szCs w:val="24"/>
        </w:rPr>
        <w:footnoteReference w:id="29"/>
      </w:r>
      <w:r w:rsidRPr="001977EB" w:rsidR="00A46B99">
        <w:rPr>
          <w:rFonts w:ascii="Times New Roman" w:hAnsi="Times New Roman" w:cs="Times New Roman"/>
          <w:color w:val="000000"/>
          <w:sz w:val="24"/>
          <w:szCs w:val="24"/>
        </w:rPr>
        <w:t xml:space="preserve"> the utilities </w:t>
      </w:r>
      <w:r w:rsidRPr="001977EB" w:rsidR="001734AB">
        <w:rPr>
          <w:rFonts w:ascii="Times New Roman" w:hAnsi="Times New Roman" w:cs="Times New Roman"/>
          <w:color w:val="000000"/>
          <w:sz w:val="24"/>
          <w:szCs w:val="24"/>
        </w:rPr>
        <w:t>created another</w:t>
      </w:r>
      <w:r w:rsidRPr="001977EB" w:rsidR="00A46B99">
        <w:rPr>
          <w:rFonts w:ascii="Times New Roman" w:hAnsi="Times New Roman" w:cs="Times New Roman"/>
          <w:color w:val="000000"/>
          <w:sz w:val="24"/>
          <w:szCs w:val="24"/>
        </w:rPr>
        <w:t xml:space="preserve"> emergency condition of their own making for consumers.</w:t>
      </w:r>
      <w:r w:rsidRPr="001977EB">
        <w:rPr>
          <w:rFonts w:ascii="Times New Roman" w:eastAsia="Times New Roman" w:hAnsi="Times New Roman" w:cs="Times New Roman"/>
          <w:sz w:val="24"/>
          <w:szCs w:val="24"/>
        </w:rPr>
        <w:br w:type="page"/>
      </w:r>
    </w:p>
    <w:p w:rsidR="008F2809" w:rsidRPr="001977EB" w:rsidP="006441ED" w14:paraId="36EA46BA" w14:textId="77777777">
      <w:pPr>
        <w:pStyle w:val="Heading1"/>
        <w:rPr>
          <w:rFonts w:cs="Times New Roman"/>
          <w:szCs w:val="24"/>
        </w:rPr>
      </w:pPr>
      <w:bookmarkStart w:id="10" w:name="_Toc150780641"/>
      <w:bookmarkStart w:id="11" w:name="_Toc158641643"/>
      <w:r>
        <w:rPr>
          <w:rFonts w:cs="Times New Roman"/>
          <w:szCs w:val="24"/>
        </w:rPr>
        <w:t>III.</w:t>
      </w:r>
      <w:r>
        <w:rPr>
          <w:rFonts w:cs="Times New Roman"/>
          <w:szCs w:val="24"/>
        </w:rPr>
        <w:tab/>
      </w:r>
      <w:r w:rsidRPr="001977EB" w:rsidR="00351D95">
        <w:rPr>
          <w:rFonts w:cs="Times New Roman"/>
          <w:szCs w:val="24"/>
        </w:rPr>
        <w:t>ARGUMENT</w:t>
      </w:r>
      <w:bookmarkEnd w:id="10"/>
      <w:bookmarkEnd w:id="11"/>
      <w:r w:rsidRPr="001977EB" w:rsidR="00351D95">
        <w:rPr>
          <w:rFonts w:cs="Times New Roman"/>
          <w:szCs w:val="24"/>
        </w:rPr>
        <w:t xml:space="preserve"> </w:t>
      </w:r>
      <w:bookmarkStart w:id="12" w:name="_Toc150780642"/>
    </w:p>
    <w:p w:rsidR="00A346D6" w:rsidRPr="001977EB" w:rsidP="00496B1F" w14:paraId="54A81C05" w14:textId="77777777">
      <w:pPr>
        <w:pStyle w:val="Heading2"/>
        <w:numPr>
          <w:ilvl w:val="0"/>
          <w:numId w:val="0"/>
        </w:numPr>
        <w:ind w:left="1440" w:hanging="720"/>
      </w:pPr>
      <w:bookmarkStart w:id="13" w:name="_Toc158641644"/>
      <w:r>
        <w:t>A.</w:t>
      </w:r>
      <w:r>
        <w:tab/>
      </w:r>
      <w:r w:rsidRPr="001977EB" w:rsidR="008919D4">
        <w:t xml:space="preserve">AEP, Duke and </w:t>
      </w:r>
      <w:r w:rsidRPr="001977EB" w:rsidR="00351D95">
        <w:t xml:space="preserve">DP&amp;L </w:t>
      </w:r>
      <w:r w:rsidRPr="001977EB" w:rsidR="00433B23">
        <w:t xml:space="preserve">have the </w:t>
      </w:r>
      <w:r w:rsidRPr="001977EB" w:rsidR="00351D95">
        <w:t>burden</w:t>
      </w:r>
      <w:r w:rsidRPr="001977EB" w:rsidR="008919D4">
        <w:t xml:space="preserve"> of proof to demonstrate</w:t>
      </w:r>
      <w:r w:rsidRPr="001977EB" w:rsidR="00351D95">
        <w:t xml:space="preserve"> </w:t>
      </w:r>
      <w:r w:rsidRPr="001977EB" w:rsidR="008919D4">
        <w:t>that</w:t>
      </w:r>
      <w:r w:rsidRPr="001977EB" w:rsidR="00351D95">
        <w:t xml:space="preserve"> the </w:t>
      </w:r>
      <w:r w:rsidRPr="001977EB" w:rsidR="008919D4">
        <w:t xml:space="preserve">coal </w:t>
      </w:r>
      <w:r w:rsidRPr="001977EB" w:rsidR="00351D95">
        <w:t>plants were operated prudently</w:t>
      </w:r>
      <w:r w:rsidRPr="001977EB" w:rsidR="00CF69C2">
        <w:t xml:space="preserve">, in the best interest of consumers and consistent with how a merchant coal plant </w:t>
      </w:r>
      <w:r w:rsidRPr="001977EB" w:rsidR="001734AB">
        <w:t>owner</w:t>
      </w:r>
      <w:r w:rsidRPr="001977EB" w:rsidR="00CF69C2">
        <w:t xml:space="preserve"> would have bid the plants into the PJM Day-Ahead Energy </w:t>
      </w:r>
      <w:r w:rsidRPr="001977EB" w:rsidR="001734AB">
        <w:t>m</w:t>
      </w:r>
      <w:r w:rsidRPr="001977EB" w:rsidR="00CF69C2">
        <w:t>arket</w:t>
      </w:r>
      <w:r w:rsidRPr="001977EB" w:rsidR="00351D95">
        <w:t>.</w:t>
      </w:r>
      <w:bookmarkEnd w:id="12"/>
      <w:bookmarkEnd w:id="13"/>
    </w:p>
    <w:p w:rsidR="005B1CBF" w:rsidRPr="001977EB" w:rsidP="00727168" w14:paraId="5047CC79"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Under H.B.</w:t>
      </w:r>
      <w:r w:rsidRPr="001977EB" w:rsidR="00AA5747">
        <w:rPr>
          <w:rFonts w:ascii="Times New Roman" w:eastAsia="Times New Roman" w:hAnsi="Times New Roman" w:cs="Times New Roman"/>
          <w:sz w:val="24"/>
          <w:szCs w:val="24"/>
        </w:rPr>
        <w:t xml:space="preserve"> 6, the </w:t>
      </w:r>
      <w:r w:rsidRPr="001977EB">
        <w:rPr>
          <w:rFonts w:ascii="Times New Roman" w:eastAsia="Times New Roman" w:hAnsi="Times New Roman" w:cs="Times New Roman"/>
          <w:sz w:val="24"/>
          <w:szCs w:val="24"/>
        </w:rPr>
        <w:t>PUCO must</w:t>
      </w:r>
      <w:r w:rsidRPr="001977EB" w:rsidR="00AA5747">
        <w:rPr>
          <w:rFonts w:ascii="Times New Roman" w:eastAsia="Times New Roman" w:hAnsi="Times New Roman" w:cs="Times New Roman"/>
          <w:sz w:val="24"/>
          <w:szCs w:val="24"/>
        </w:rPr>
        <w:t xml:space="preserve"> determine</w:t>
      </w:r>
      <w:r w:rsidRPr="001977EB">
        <w:rPr>
          <w:rFonts w:ascii="Times New Roman" w:eastAsia="Times New Roman" w:hAnsi="Times New Roman" w:cs="Times New Roman"/>
          <w:sz w:val="24"/>
          <w:szCs w:val="24"/>
        </w:rPr>
        <w:t xml:space="preserve"> </w:t>
      </w:r>
      <w:r w:rsidR="001977EB">
        <w:rPr>
          <w:rFonts w:ascii="Times New Roman" w:eastAsia="Times New Roman" w:hAnsi="Times New Roman" w:cs="Times New Roman"/>
          <w:sz w:val="24"/>
          <w:szCs w:val="24"/>
        </w:rPr>
        <w:t>“</w:t>
      </w:r>
      <w:r w:rsidRPr="001977EB">
        <w:rPr>
          <w:rFonts w:ascii="Times New Roman" w:hAnsi="Times New Roman" w:cs="Times New Roman"/>
          <w:color w:val="333333"/>
          <w:sz w:val="24"/>
          <w:szCs w:val="24"/>
          <w:shd w:val="clear" w:color="auto" w:fill="FFFFFF"/>
        </w:rPr>
        <w:t>the prudence and reasonableness of the actions of electric distribution utilities with ownership interests in the legacy generation resource, including their decisions related to offering the contractual commitment into the wholesale markets, and exclude from recovery those costs that the commission determines imprudent and unreasonable.</w:t>
      </w:r>
      <w:r w:rsidR="001977EB">
        <w:rPr>
          <w:rFonts w:ascii="Times New Roman" w:hAnsi="Times New Roman" w:cs="Times New Roman"/>
          <w:color w:val="333333"/>
          <w:sz w:val="24"/>
          <w:szCs w:val="24"/>
          <w:shd w:val="clear" w:color="auto" w:fill="FFFFFF"/>
        </w:rPr>
        <w:t>”</w:t>
      </w:r>
      <w:r>
        <w:rPr>
          <w:rStyle w:val="FootnoteReference"/>
          <w:rFonts w:ascii="Times New Roman" w:hAnsi="Times New Roman" w:cs="Times New Roman"/>
          <w:color w:val="333333"/>
          <w:sz w:val="24"/>
          <w:szCs w:val="24"/>
          <w:shd w:val="clear" w:color="auto" w:fill="FFFFFF"/>
        </w:rPr>
        <w:footnoteReference w:id="30"/>
      </w:r>
    </w:p>
    <w:p w:rsidR="00AA5747" w:rsidRPr="001977EB" w:rsidP="00AA5747" w14:paraId="6D7C23EF"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 xml:space="preserve">The Ohio </w:t>
      </w:r>
      <w:r w:rsidRPr="001977EB" w:rsidR="00662C83">
        <w:rPr>
          <w:rFonts w:ascii="Times New Roman" w:eastAsia="Times New Roman" w:hAnsi="Times New Roman" w:cs="Times New Roman"/>
          <w:sz w:val="24"/>
          <w:szCs w:val="24"/>
        </w:rPr>
        <w:t>statutes</w:t>
      </w:r>
      <w:r w:rsidR="001977EB">
        <w:rPr>
          <w:rFonts w:ascii="Times New Roman" w:eastAsia="Times New Roman" w:hAnsi="Times New Roman" w:cs="Times New Roman"/>
          <w:sz w:val="24"/>
          <w:szCs w:val="24"/>
        </w:rPr>
        <w:t xml:space="preserve"> </w:t>
      </w:r>
      <w:r w:rsidRPr="001977EB" w:rsidR="005B1CBF">
        <w:rPr>
          <w:rFonts w:ascii="Times New Roman" w:eastAsia="Times New Roman" w:hAnsi="Times New Roman" w:cs="Times New Roman"/>
          <w:sz w:val="24"/>
          <w:szCs w:val="24"/>
        </w:rPr>
        <w:t>do not define</w:t>
      </w:r>
      <w:r w:rsidRPr="001977EB" w:rsidR="00433B23">
        <w:rPr>
          <w:rFonts w:ascii="Times New Roman" w:eastAsia="Times New Roman" w:hAnsi="Times New Roman" w:cs="Times New Roman"/>
          <w:sz w:val="24"/>
          <w:szCs w:val="24"/>
        </w:rPr>
        <w:t xml:space="preserve">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pruden</w:t>
      </w:r>
      <w:r w:rsidRPr="001977EB" w:rsidR="00433B23">
        <w:rPr>
          <w:rFonts w:ascii="Times New Roman" w:eastAsia="Times New Roman" w:hAnsi="Times New Roman" w:cs="Times New Roman"/>
          <w:sz w:val="24"/>
          <w:szCs w:val="24"/>
        </w:rPr>
        <w:t>ce</w:t>
      </w:r>
      <w:r w:rsidR="001977EB">
        <w:rPr>
          <w:rFonts w:ascii="Times New Roman" w:eastAsia="Times New Roman" w:hAnsi="Times New Roman" w:cs="Times New Roman"/>
          <w:sz w:val="24"/>
          <w:szCs w:val="24"/>
        </w:rPr>
        <w:t>”</w:t>
      </w:r>
      <w:r w:rsidRPr="001977EB" w:rsidR="00433B23">
        <w:rPr>
          <w:rFonts w:ascii="Times New Roman" w:eastAsia="Times New Roman" w:hAnsi="Times New Roman" w:cs="Times New Roman"/>
          <w:sz w:val="24"/>
          <w:szCs w:val="24"/>
        </w:rPr>
        <w:t xml:space="preserve"> in the context of the coal plant bailout.</w:t>
      </w:r>
      <w:r>
        <w:rPr>
          <w:rStyle w:val="FootnoteReference"/>
          <w:rFonts w:ascii="Times New Roman" w:eastAsia="Times New Roman" w:hAnsi="Times New Roman" w:cs="Times New Roman"/>
          <w:sz w:val="24"/>
          <w:szCs w:val="24"/>
        </w:rPr>
        <w:footnoteReference w:id="31"/>
      </w:r>
      <w:r w:rsidRPr="001977EB">
        <w:rPr>
          <w:rFonts w:ascii="Times New Roman" w:eastAsia="Times New Roman" w:hAnsi="Times New Roman" w:cs="Times New Roman"/>
          <w:sz w:val="24"/>
          <w:szCs w:val="24"/>
        </w:rPr>
        <w:t xml:space="preserve"> </w:t>
      </w:r>
      <w:r w:rsidRPr="001977EB" w:rsidR="009E3721">
        <w:rPr>
          <w:rFonts w:ascii="Times New Roman" w:eastAsia="Times New Roman" w:hAnsi="Times New Roman" w:cs="Times New Roman"/>
          <w:sz w:val="24"/>
          <w:szCs w:val="24"/>
        </w:rPr>
        <w:t>One</w:t>
      </w:r>
      <w:r w:rsidRPr="001977EB" w:rsidR="00433B23">
        <w:rPr>
          <w:rFonts w:ascii="Times New Roman" w:eastAsia="Times New Roman" w:hAnsi="Times New Roman" w:cs="Times New Roman"/>
          <w:sz w:val="24"/>
          <w:szCs w:val="24"/>
        </w:rPr>
        <w:t xml:space="preserve"> generally accepted definition of </w:t>
      </w:r>
      <w:r w:rsidR="001977EB">
        <w:rPr>
          <w:rFonts w:ascii="Times New Roman" w:eastAsia="Times New Roman" w:hAnsi="Times New Roman" w:cs="Times New Roman"/>
          <w:sz w:val="24"/>
          <w:szCs w:val="24"/>
        </w:rPr>
        <w:t>“</w:t>
      </w:r>
      <w:r w:rsidRPr="001977EB" w:rsidR="00433B23">
        <w:rPr>
          <w:rFonts w:ascii="Times New Roman" w:eastAsia="Times New Roman" w:hAnsi="Times New Roman" w:cs="Times New Roman"/>
          <w:sz w:val="24"/>
          <w:szCs w:val="24"/>
        </w:rPr>
        <w:t>p</w:t>
      </w:r>
      <w:r w:rsidRPr="001977EB">
        <w:rPr>
          <w:rFonts w:ascii="Times New Roman" w:eastAsia="Times New Roman" w:hAnsi="Times New Roman" w:cs="Times New Roman"/>
          <w:sz w:val="24"/>
          <w:szCs w:val="24"/>
        </w:rPr>
        <w:t>rudence</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w:t>
      </w:r>
      <w:r w:rsidRPr="001977EB" w:rsidR="00433B23">
        <w:rPr>
          <w:rFonts w:ascii="Times New Roman" w:eastAsia="Times New Roman" w:hAnsi="Times New Roman" w:cs="Times New Roman"/>
          <w:sz w:val="24"/>
          <w:szCs w:val="24"/>
        </w:rPr>
        <w:t>is</w:t>
      </w:r>
      <w:r w:rsidRPr="001977EB">
        <w:rPr>
          <w:rFonts w:ascii="Times New Roman" w:eastAsia="Times New Roman" w:hAnsi="Times New Roman" w:cs="Times New Roman"/>
          <w:sz w:val="24"/>
          <w:szCs w:val="24"/>
        </w:rPr>
        <w:t>:</w:t>
      </w:r>
    </w:p>
    <w:p w:rsidR="00AA5747" w:rsidRPr="001977EB" w:rsidP="00AA5747" w14:paraId="4E7B69D4" w14:textId="77777777">
      <w:pPr>
        <w:spacing w:line="240" w:lineRule="auto"/>
        <w:ind w:left="1440" w:right="144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Carefulness, precaution, attentiveness, and good judgment as applied to action or conduct</w:t>
      </w:r>
      <w:r w:rsidRPr="001977EB" w:rsidR="00433B23">
        <w:rPr>
          <w:rFonts w:ascii="Times New Roman" w:eastAsia="Times New Roman" w:hAnsi="Times New Roman" w:cs="Times New Roman"/>
          <w:sz w:val="24"/>
          <w:szCs w:val="24"/>
        </w:rPr>
        <w:t>.</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That degree of care required by the exigencies or circumstances under which it is to be exercised.</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 xml:space="preserve">This term, in the language of law is commonly associated with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care</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and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diligence</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and contrasted with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negligence.</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32"/>
      </w:r>
    </w:p>
    <w:p w:rsidR="00AA5747" w:rsidRPr="001977EB" w:rsidP="008919D4" w14:paraId="6F97DA55" w14:textId="77777777">
      <w:pPr>
        <w:spacing w:line="240" w:lineRule="auto"/>
        <w:ind w:left="1440" w:right="1440"/>
        <w:jc w:val="right"/>
        <w:rPr>
          <w:rFonts w:ascii="Times New Roman" w:eastAsia="Times New Roman" w:hAnsi="Times New Roman" w:cs="Times New Roman"/>
          <w:sz w:val="24"/>
          <w:szCs w:val="24"/>
        </w:rPr>
      </w:pPr>
    </w:p>
    <w:p w:rsidR="009E3721" w:rsidRPr="001977EB" w:rsidP="00AA5747" w14:paraId="2F9FD36F"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The Ohio Supreme Court has defined a prudent decision as:</w:t>
      </w:r>
    </w:p>
    <w:p w:rsidR="009E3721" w:rsidRPr="001977EB" w:rsidP="009E3721" w14:paraId="217F1A2D" w14:textId="77777777">
      <w:pPr>
        <w:spacing w:line="240" w:lineRule="auto"/>
        <w:ind w:left="1440" w:right="144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One which reflects what a reasonable person would have done in light of conditions and circumstances which were known or reasonably should have been known at the time the decision was made. The standard contemplates a retrospective, factual inquiry, without the use of hindsight judgment, into the decision making process of the utility</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s management.</w:t>
      </w:r>
      <w:r>
        <w:rPr>
          <w:rStyle w:val="FootnoteReference"/>
          <w:rFonts w:ascii="Times New Roman" w:eastAsia="Times New Roman" w:hAnsi="Times New Roman" w:cs="Times New Roman"/>
          <w:sz w:val="24"/>
          <w:szCs w:val="24"/>
        </w:rPr>
        <w:footnoteReference w:id="33"/>
      </w:r>
    </w:p>
    <w:p w:rsidR="009E3721" w:rsidRPr="001977EB" w:rsidP="009E3721" w14:paraId="241BE373" w14:textId="77777777">
      <w:pPr>
        <w:spacing w:line="240" w:lineRule="auto"/>
        <w:ind w:left="1440" w:right="1440"/>
        <w:rPr>
          <w:rFonts w:ascii="Times New Roman" w:eastAsia="Times New Roman" w:hAnsi="Times New Roman" w:cs="Times New Roman"/>
          <w:sz w:val="24"/>
          <w:szCs w:val="24"/>
        </w:rPr>
      </w:pPr>
    </w:p>
    <w:p w:rsidR="00AA5747" w:rsidRPr="001977EB" w:rsidP="00AA5747" w14:paraId="5CF187F8"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 xml:space="preserve">Earlier PUCO rulings define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prudence</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in the context of coal plant subsidy costs.</w:t>
      </w:r>
      <w:r w:rsidRPr="001977EB" w:rsidR="00FC50DF">
        <w:rPr>
          <w:rFonts w:ascii="Times New Roman" w:eastAsia="Times New Roman" w:hAnsi="Times New Roman" w:cs="Times New Roman"/>
          <w:sz w:val="24"/>
          <w:szCs w:val="24"/>
        </w:rPr>
        <w:t xml:space="preserve"> </w:t>
      </w:r>
      <w:r w:rsidRPr="001977EB" w:rsidR="00433B23">
        <w:rPr>
          <w:rFonts w:ascii="Times New Roman" w:eastAsia="Times New Roman" w:hAnsi="Times New Roman" w:cs="Times New Roman"/>
          <w:sz w:val="24"/>
          <w:szCs w:val="24"/>
        </w:rPr>
        <w:t xml:space="preserve">Prior to </w:t>
      </w:r>
      <w:r w:rsidRPr="001977EB">
        <w:rPr>
          <w:rFonts w:ascii="Times New Roman" w:eastAsia="Times New Roman" w:hAnsi="Times New Roman" w:cs="Times New Roman"/>
          <w:sz w:val="24"/>
          <w:szCs w:val="24"/>
        </w:rPr>
        <w:t>the</w:t>
      </w:r>
      <w:r w:rsidRPr="001977EB" w:rsidR="00433B23">
        <w:rPr>
          <w:rFonts w:ascii="Times New Roman" w:eastAsia="Times New Roman" w:hAnsi="Times New Roman" w:cs="Times New Roman"/>
          <w:sz w:val="24"/>
          <w:szCs w:val="24"/>
        </w:rPr>
        <w:t xml:space="preserve"> enactment</w:t>
      </w:r>
      <w:r w:rsidRPr="001977EB">
        <w:rPr>
          <w:rFonts w:ascii="Times New Roman" w:eastAsia="Times New Roman" w:hAnsi="Times New Roman" w:cs="Times New Roman"/>
          <w:sz w:val="24"/>
          <w:szCs w:val="24"/>
        </w:rPr>
        <w:t xml:space="preserve"> of H.B. 6</w:t>
      </w:r>
      <w:r w:rsidRPr="001977EB" w:rsidR="00433B23">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 xml:space="preserve">AEP sought </w:t>
      </w:r>
      <w:r w:rsidRPr="001977EB" w:rsidR="00433B23">
        <w:rPr>
          <w:rFonts w:ascii="Times New Roman" w:eastAsia="Times New Roman" w:hAnsi="Times New Roman" w:cs="Times New Roman"/>
          <w:sz w:val="24"/>
          <w:szCs w:val="24"/>
        </w:rPr>
        <w:t>to collect coal plant subsidy costs</w:t>
      </w:r>
      <w:r w:rsidRPr="001977EB">
        <w:rPr>
          <w:rFonts w:ascii="Times New Roman" w:eastAsia="Times New Roman" w:hAnsi="Times New Roman" w:cs="Times New Roman"/>
          <w:sz w:val="24"/>
          <w:szCs w:val="24"/>
        </w:rPr>
        <w:t xml:space="preserve"> in </w:t>
      </w:r>
      <w:r w:rsidRPr="001977EB" w:rsidR="008919D4">
        <w:rPr>
          <w:rFonts w:ascii="Times New Roman" w:eastAsia="Times New Roman" w:hAnsi="Times New Roman" w:cs="Times New Roman"/>
          <w:sz w:val="24"/>
          <w:szCs w:val="24"/>
        </w:rPr>
        <w:t xml:space="preserve">Case No. </w:t>
      </w:r>
      <w:r w:rsidRPr="001977EB">
        <w:rPr>
          <w:rFonts w:ascii="Times New Roman" w:eastAsia="Times New Roman" w:hAnsi="Times New Roman" w:cs="Times New Roman"/>
          <w:sz w:val="24"/>
          <w:szCs w:val="24"/>
        </w:rPr>
        <w:t>14-1693</w:t>
      </w:r>
      <w:r w:rsidRPr="001977EB" w:rsidR="008919D4">
        <w:rPr>
          <w:rFonts w:ascii="Times New Roman" w:eastAsia="Times New Roman" w:hAnsi="Times New Roman" w:cs="Times New Roman"/>
          <w:sz w:val="24"/>
          <w:szCs w:val="24"/>
        </w:rPr>
        <w:t>-EL-RDR</w:t>
      </w:r>
      <w:r w:rsidRPr="001977EB" w:rsidR="00433B23">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4"/>
      </w:r>
      <w:r w:rsidRPr="001977EB" w:rsidR="00FC50DF">
        <w:rPr>
          <w:rFonts w:ascii="Times New Roman" w:eastAsia="Times New Roman" w:hAnsi="Times New Roman" w:cs="Times New Roman"/>
          <w:sz w:val="24"/>
          <w:szCs w:val="24"/>
        </w:rPr>
        <w:t xml:space="preserve"> </w:t>
      </w:r>
      <w:r w:rsidRPr="001977EB" w:rsidR="00433B23">
        <w:rPr>
          <w:rFonts w:ascii="Times New Roman" w:eastAsia="Times New Roman" w:hAnsi="Times New Roman" w:cs="Times New Roman"/>
          <w:sz w:val="24"/>
          <w:szCs w:val="24"/>
        </w:rPr>
        <w:t>T</w:t>
      </w:r>
      <w:r w:rsidRPr="001977EB">
        <w:rPr>
          <w:rFonts w:ascii="Times New Roman" w:eastAsia="Times New Roman" w:hAnsi="Times New Roman" w:cs="Times New Roman"/>
          <w:sz w:val="24"/>
          <w:szCs w:val="24"/>
        </w:rPr>
        <w:t xml:space="preserve">he PUCO stated that AEP Ohio </w:t>
      </w:r>
      <w:r w:rsidRPr="001977EB" w:rsidR="000C228F">
        <w:rPr>
          <w:rFonts w:ascii="Times New Roman" w:eastAsia="Times New Roman" w:hAnsi="Times New Roman" w:cs="Times New Roman"/>
          <w:sz w:val="24"/>
          <w:szCs w:val="24"/>
        </w:rPr>
        <w:t>must</w:t>
      </w:r>
      <w:r w:rsidRPr="001977EB">
        <w:rPr>
          <w:rFonts w:ascii="Times New Roman" w:eastAsia="Times New Roman" w:hAnsi="Times New Roman" w:cs="Times New Roman"/>
          <w:sz w:val="24"/>
          <w:szCs w:val="24"/>
        </w:rPr>
        <w:t xml:space="preserve"> </w:t>
      </w:r>
      <w:r w:rsidRPr="001977EB" w:rsidR="000C228F">
        <w:rPr>
          <w:rFonts w:ascii="Times New Roman" w:eastAsia="Times New Roman" w:hAnsi="Times New Roman" w:cs="Times New Roman"/>
          <w:sz w:val="24"/>
          <w:szCs w:val="24"/>
        </w:rPr>
        <w:t>meet</w:t>
      </w:r>
      <w:r w:rsidRPr="001977EB" w:rsidR="008919D4">
        <w:rPr>
          <w:rFonts w:ascii="Times New Roman" w:eastAsia="Times New Roman" w:hAnsi="Times New Roman" w:cs="Times New Roman"/>
          <w:sz w:val="24"/>
          <w:szCs w:val="24"/>
        </w:rPr>
        <w:t xml:space="preserve"> the following</w:t>
      </w:r>
      <w:r w:rsidRPr="001977EB">
        <w:rPr>
          <w:rFonts w:ascii="Times New Roman" w:eastAsia="Times New Roman" w:hAnsi="Times New Roman" w:cs="Times New Roman"/>
          <w:sz w:val="24"/>
          <w:szCs w:val="24"/>
        </w:rPr>
        <w:t xml:space="preserve"> prudency</w:t>
      </w:r>
      <w:r w:rsidRPr="001977EB" w:rsidR="008919D4">
        <w:rPr>
          <w:rFonts w:ascii="Times New Roman" w:eastAsia="Times New Roman" w:hAnsi="Times New Roman" w:cs="Times New Roman"/>
          <w:sz w:val="24"/>
          <w:szCs w:val="24"/>
        </w:rPr>
        <w:t xml:space="preserve"> test:</w:t>
      </w:r>
    </w:p>
    <w:p w:rsidR="00AA5747" w:rsidRPr="001977EB" w:rsidP="00AA5747" w14:paraId="38FA2317" w14:textId="77777777">
      <w:pPr>
        <w:spacing w:line="240" w:lineRule="auto"/>
        <w:ind w:left="1440" w:right="144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Retail cost recovery may be disallowed as a result of the annual prudency review if the output from the units was not bid in a manner that is consistent with participation in a broader competitive marketplace comprised of sellers attempting to maximize revenues.</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i/>
          <w:iCs/>
          <w:sz w:val="24"/>
          <w:szCs w:val="24"/>
        </w:rPr>
        <w:t>As noted above, AEP Ohio will bear the burden of proof in demonstrating that bidding behavior is prudent and in the best interest of retail ratepayers</w:t>
      </w:r>
      <w:r w:rsidRPr="001977EB">
        <w:rPr>
          <w:rFonts w:ascii="Times New Roman" w:eastAsia="Times New Roman" w:hAnsi="Times New Roman" w:cs="Times New Roman"/>
          <w:sz w:val="24"/>
          <w:szCs w:val="24"/>
        </w:rPr>
        <w:t xml:space="preserve">. </w:t>
      </w:r>
      <w:r>
        <w:rPr>
          <w:rStyle w:val="FootnoteReference"/>
          <w:rFonts w:ascii="Times New Roman" w:hAnsi="Times New Roman" w:cs="Times New Roman"/>
          <w:sz w:val="24"/>
          <w:szCs w:val="24"/>
        </w:rPr>
        <w:footnoteReference w:id="35"/>
      </w:r>
    </w:p>
    <w:p w:rsidR="00AA5747" w:rsidRPr="001977EB" w:rsidP="00AA5747" w14:paraId="6F20F5B4" w14:textId="77777777">
      <w:pPr>
        <w:spacing w:line="240" w:lineRule="auto"/>
        <w:ind w:firstLine="720"/>
        <w:rPr>
          <w:rFonts w:ascii="Times New Roman" w:eastAsia="Times New Roman" w:hAnsi="Times New Roman" w:cs="Times New Roman"/>
          <w:sz w:val="24"/>
          <w:szCs w:val="24"/>
        </w:rPr>
      </w:pPr>
    </w:p>
    <w:p w:rsidR="00AA5747" w:rsidRPr="001977EB" w:rsidP="00AA5747" w14:paraId="5E7EFE1D"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 xml:space="preserve">The PUCO stated that the prudency review should follow the same type of analysis used </w:t>
      </w:r>
      <w:r w:rsidRPr="001977EB" w:rsidR="00693C14">
        <w:rPr>
          <w:rFonts w:ascii="Times New Roman" w:eastAsia="Times New Roman" w:hAnsi="Times New Roman" w:cs="Times New Roman"/>
          <w:sz w:val="24"/>
          <w:szCs w:val="24"/>
        </w:rPr>
        <w:t>in a</w:t>
      </w:r>
      <w:r w:rsidRPr="001977EB">
        <w:rPr>
          <w:rFonts w:ascii="Times New Roman" w:eastAsia="Times New Roman" w:hAnsi="Times New Roman" w:cs="Times New Roman"/>
          <w:sz w:val="24"/>
          <w:szCs w:val="24"/>
        </w:rPr>
        <w:t xml:space="preserve"> Fuel Adjustment Clause analysis.</w:t>
      </w:r>
      <w:r>
        <w:rPr>
          <w:rStyle w:val="FootnoteReference"/>
          <w:rFonts w:ascii="Times New Roman" w:eastAsia="Times New Roman" w:hAnsi="Times New Roman" w:cs="Times New Roman"/>
          <w:sz w:val="24"/>
          <w:szCs w:val="24"/>
        </w:rPr>
        <w:footnoteReference w:id="36"/>
      </w:r>
      <w:r w:rsidRPr="001977EB">
        <w:rPr>
          <w:rFonts w:ascii="Times New Roman" w:eastAsia="Times New Roman" w:hAnsi="Times New Roman" w:cs="Times New Roman"/>
          <w:sz w:val="24"/>
          <w:szCs w:val="24"/>
        </w:rPr>
        <w:t xml:space="preserve"> </w:t>
      </w:r>
      <w:r w:rsidRPr="001977EB">
        <w:rPr>
          <w:rFonts w:ascii="Times New Roman" w:hAnsi="Times New Roman" w:cs="Times New Roman"/>
          <w:sz w:val="24"/>
          <w:szCs w:val="24"/>
        </w:rPr>
        <w:t xml:space="preserve">Under a traditional Fuel Adjustment Clause analysis, the PUCO would only allow </w:t>
      </w:r>
      <w:r w:rsidR="001977EB">
        <w:rPr>
          <w:rFonts w:ascii="Times New Roman" w:hAnsi="Times New Roman" w:cs="Times New Roman"/>
          <w:sz w:val="24"/>
          <w:szCs w:val="24"/>
        </w:rPr>
        <w:t>“</w:t>
      </w:r>
      <w:r w:rsidRPr="001977EB">
        <w:rPr>
          <w:rFonts w:ascii="Times New Roman" w:hAnsi="Times New Roman" w:cs="Times New Roman"/>
          <w:sz w:val="24"/>
          <w:szCs w:val="24"/>
        </w:rPr>
        <w:t>the purchasing utility to recover through the fuel adjustment clause the total energy charge for purchased power if that total charge is less than the fuel cost of self-generation.</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sidRPr="001977EB">
        <w:rPr>
          <w:rFonts w:ascii="Times New Roman" w:hAnsi="Times New Roman" w:cs="Times New Roman"/>
          <w:sz w:val="24"/>
          <w:szCs w:val="24"/>
        </w:rPr>
        <w:t xml:space="preserve"> </w:t>
      </w:r>
    </w:p>
    <w:p w:rsidR="00AA5747" w:rsidRPr="001977EB" w:rsidP="00AA5747" w14:paraId="48E784F6"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In the present case, t</w:t>
      </w:r>
      <w:r w:rsidRPr="001977EB" w:rsidR="00727168">
        <w:rPr>
          <w:rFonts w:ascii="Times New Roman" w:hAnsi="Times New Roman" w:cs="Times New Roman"/>
          <w:sz w:val="24"/>
          <w:szCs w:val="24"/>
        </w:rPr>
        <w:t xml:space="preserve">he PUCO issued a Request for Proposal to hire an Auditor for </w:t>
      </w:r>
      <w:r w:rsidRPr="001977EB">
        <w:rPr>
          <w:rFonts w:ascii="Times New Roman" w:hAnsi="Times New Roman" w:cs="Times New Roman"/>
          <w:sz w:val="24"/>
          <w:szCs w:val="24"/>
        </w:rPr>
        <w:t>the prudency review</w:t>
      </w:r>
      <w:r w:rsidRPr="001977EB" w:rsidR="00727168">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The PUCO</w:t>
      </w:r>
      <w:r w:rsidR="001977EB">
        <w:rPr>
          <w:rFonts w:ascii="Times New Roman" w:hAnsi="Times New Roman" w:cs="Times New Roman"/>
          <w:sz w:val="24"/>
          <w:szCs w:val="24"/>
        </w:rPr>
        <w:t>’</w:t>
      </w:r>
      <w:r w:rsidRPr="001977EB">
        <w:rPr>
          <w:rFonts w:ascii="Times New Roman" w:hAnsi="Times New Roman" w:cs="Times New Roman"/>
          <w:sz w:val="24"/>
          <w:szCs w:val="24"/>
        </w:rPr>
        <w:t>s Request for Proposal required the Auditor to review the costs and to apply the same type of prudency analysis as used by the PUCO in Case No. 14-1693-EL-RDR.</w:t>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The Request for Proposal states that </w:t>
      </w:r>
      <w:r w:rsidR="001977EB">
        <w:rPr>
          <w:rFonts w:ascii="Times New Roman" w:hAnsi="Times New Roman" w:cs="Times New Roman"/>
          <w:sz w:val="24"/>
          <w:szCs w:val="24"/>
        </w:rPr>
        <w:t>“</w:t>
      </w:r>
      <w:r w:rsidRPr="001977EB">
        <w:rPr>
          <w:rFonts w:ascii="Times New Roman" w:hAnsi="Times New Roman" w:cs="Times New Roman"/>
          <w:sz w:val="24"/>
          <w:szCs w:val="24"/>
        </w:rPr>
        <w:t>the audit shall investigate the prudency of all costs and sales flowing through the EDU riders and demonstrate that the Companies</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actions were in </w:t>
      </w:r>
      <w:r w:rsidRPr="001977EB">
        <w:rPr>
          <w:rFonts w:ascii="Times New Roman" w:hAnsi="Times New Roman" w:cs="Times New Roman"/>
          <w:i/>
          <w:iCs/>
          <w:sz w:val="24"/>
          <w:szCs w:val="24"/>
        </w:rPr>
        <w:t>the best interest of retail ratepayers</w:t>
      </w:r>
      <w:r w:rsidRPr="001977EB">
        <w:rPr>
          <w:rFonts w:ascii="Times New Roman" w:hAnsi="Times New Roman" w:cs="Times New Roman"/>
          <w:sz w:val="24"/>
          <w:szCs w:val="24"/>
        </w:rPr>
        <w:t>.</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sidRPr="001977EB">
        <w:rPr>
          <w:rFonts w:ascii="Times New Roman" w:hAnsi="Times New Roman" w:cs="Times New Roman"/>
          <w:sz w:val="24"/>
          <w:szCs w:val="24"/>
        </w:rPr>
        <w:t xml:space="preserve"> </w:t>
      </w:r>
    </w:p>
    <w:p w:rsidR="00187705" w:rsidRPr="001977EB" w:rsidP="00AA5747" w14:paraId="74E4B6D1"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As explained below, AEP, Duke and DP&amp;L failed to meet th</w:t>
      </w:r>
      <w:r w:rsidRPr="001977EB" w:rsidR="00F44D4C">
        <w:rPr>
          <w:rFonts w:ascii="Times New Roman" w:hAnsi="Times New Roman" w:cs="Times New Roman"/>
          <w:sz w:val="24"/>
          <w:szCs w:val="24"/>
        </w:rPr>
        <w:t xml:space="preserve">eir burden of proof to show that the coal plants were operated prudently, consistently with how a competitive merchant </w:t>
      </w:r>
      <w:r w:rsidRPr="001977EB" w:rsidR="001734AB">
        <w:rPr>
          <w:rFonts w:ascii="Times New Roman" w:hAnsi="Times New Roman" w:cs="Times New Roman"/>
          <w:sz w:val="24"/>
          <w:szCs w:val="24"/>
        </w:rPr>
        <w:t>coal plant owner</w:t>
      </w:r>
      <w:r w:rsidRPr="001977EB" w:rsidR="00F44D4C">
        <w:rPr>
          <w:rFonts w:ascii="Times New Roman" w:hAnsi="Times New Roman" w:cs="Times New Roman"/>
          <w:sz w:val="24"/>
          <w:szCs w:val="24"/>
        </w:rPr>
        <w:t xml:space="preserve"> would have run the plants and in the best interest of retail ratepayers.</w:t>
      </w:r>
      <w:r w:rsidRPr="001977EB" w:rsidR="00FC50DF">
        <w:rPr>
          <w:rFonts w:ascii="Times New Roman" w:hAnsi="Times New Roman" w:cs="Times New Roman"/>
          <w:sz w:val="24"/>
          <w:szCs w:val="24"/>
        </w:rPr>
        <w:t xml:space="preserve"> </w:t>
      </w:r>
      <w:r w:rsidRPr="001977EB" w:rsidR="00F44D4C">
        <w:rPr>
          <w:rFonts w:ascii="Times New Roman" w:hAnsi="Times New Roman" w:cs="Times New Roman"/>
          <w:sz w:val="24"/>
          <w:szCs w:val="24"/>
        </w:rPr>
        <w:t>The</w:t>
      </w:r>
      <w:r w:rsidRPr="001977EB">
        <w:rPr>
          <w:rFonts w:ascii="Times New Roman" w:hAnsi="Times New Roman" w:cs="Times New Roman"/>
          <w:sz w:val="24"/>
          <w:szCs w:val="24"/>
        </w:rPr>
        <w:t xml:space="preserve"> PUCO should </w:t>
      </w:r>
      <w:r w:rsidRPr="001977EB" w:rsidR="00F44D4C">
        <w:rPr>
          <w:rFonts w:ascii="Times New Roman" w:hAnsi="Times New Roman" w:cs="Times New Roman"/>
          <w:sz w:val="24"/>
          <w:szCs w:val="24"/>
        </w:rPr>
        <w:t xml:space="preserve">therefore </w:t>
      </w:r>
      <w:r w:rsidRPr="001977EB">
        <w:rPr>
          <w:rFonts w:ascii="Times New Roman" w:hAnsi="Times New Roman" w:cs="Times New Roman"/>
          <w:sz w:val="24"/>
          <w:szCs w:val="24"/>
        </w:rPr>
        <w:t>disallow the entire $105 million in overcharges.</w:t>
      </w:r>
    </w:p>
    <w:p w:rsidR="00E23F8A" w:rsidRPr="001977EB" w:rsidP="00362FCE" w14:paraId="05466DE2" w14:textId="77777777">
      <w:pPr>
        <w:pStyle w:val="Heading2"/>
        <w:numPr>
          <w:ilvl w:val="0"/>
          <w:numId w:val="0"/>
        </w:numPr>
        <w:ind w:left="1440" w:hanging="720"/>
      </w:pPr>
      <w:bookmarkStart w:id="14" w:name="_Toc158641645"/>
      <w:r w:rsidRPr="001977EB">
        <w:t>B.</w:t>
      </w:r>
      <w:r w:rsidRPr="001977EB">
        <w:tab/>
        <w:t>The Auditor failed to follow the PUCO</w:t>
      </w:r>
      <w:r w:rsidR="001977EB">
        <w:t>’</w:t>
      </w:r>
      <w:r w:rsidRPr="001977EB">
        <w:t xml:space="preserve">s Request for Proposal, which required the Auditor to determine whether the coal plants were operated </w:t>
      </w:r>
      <w:r w:rsidR="001977EB">
        <w:t>“</w:t>
      </w:r>
      <w:r w:rsidRPr="001977EB">
        <w:t>in the best interest of retail ratepayers.</w:t>
      </w:r>
      <w:r w:rsidR="001977EB">
        <w:t>”</w:t>
      </w:r>
      <w:r w:rsidRPr="001977EB" w:rsidR="00FC50DF">
        <w:t xml:space="preserve"> </w:t>
      </w:r>
      <w:r w:rsidRPr="001977EB">
        <w:t xml:space="preserve">AEP, Duke and DP&amp;L therefore failed to meet their burden to prove that the coal plants were operated </w:t>
      </w:r>
      <w:r w:rsidR="001977EB">
        <w:t>“</w:t>
      </w:r>
      <w:r w:rsidRPr="001977EB">
        <w:t>in the best interest of retail ratepayers.</w:t>
      </w:r>
      <w:r w:rsidR="001977EB">
        <w:t>”</w:t>
      </w:r>
      <w:r w:rsidRPr="001977EB" w:rsidR="00FC50DF">
        <w:t xml:space="preserve"> </w:t>
      </w:r>
      <w:r w:rsidRPr="001977EB">
        <w:t>The PUCO should therefore disallow the entire $105 million in overcharges.</w:t>
      </w:r>
      <w:bookmarkEnd w:id="14"/>
    </w:p>
    <w:p w:rsidR="00E23F8A" w:rsidRPr="001977EB" w:rsidP="00E23F8A" w14:paraId="79F2379D"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 xml:space="preserve">As explained in Section </w:t>
      </w:r>
      <w:r w:rsidRPr="001977EB" w:rsidR="00C72390">
        <w:rPr>
          <w:rFonts w:ascii="Times New Roman" w:hAnsi="Times New Roman" w:cs="Times New Roman"/>
          <w:sz w:val="24"/>
          <w:szCs w:val="24"/>
        </w:rPr>
        <w:t>II</w:t>
      </w:r>
      <w:r w:rsidR="00D45E94">
        <w:rPr>
          <w:rFonts w:ascii="Times New Roman" w:hAnsi="Times New Roman" w:cs="Times New Roman"/>
          <w:sz w:val="24"/>
          <w:szCs w:val="24"/>
        </w:rPr>
        <w:t>I</w:t>
      </w:r>
      <w:r w:rsidRPr="001977EB" w:rsidR="00C72390">
        <w:rPr>
          <w:rFonts w:ascii="Times New Roman" w:hAnsi="Times New Roman" w:cs="Times New Roman"/>
          <w:sz w:val="24"/>
          <w:szCs w:val="24"/>
        </w:rPr>
        <w:t>(</w:t>
      </w:r>
      <w:r w:rsidRPr="001977EB">
        <w:rPr>
          <w:rFonts w:ascii="Times New Roman" w:hAnsi="Times New Roman" w:cs="Times New Roman"/>
          <w:sz w:val="24"/>
          <w:szCs w:val="24"/>
        </w:rPr>
        <w:t>A</w:t>
      </w:r>
      <w:r w:rsidRPr="001977EB" w:rsidR="00C72390">
        <w:rPr>
          <w:rFonts w:ascii="Times New Roman" w:hAnsi="Times New Roman" w:cs="Times New Roman"/>
          <w:sz w:val="24"/>
          <w:szCs w:val="24"/>
        </w:rPr>
        <w:t>)</w:t>
      </w:r>
      <w:r w:rsidRPr="001977EB">
        <w:rPr>
          <w:rFonts w:ascii="Times New Roman" w:hAnsi="Times New Roman" w:cs="Times New Roman"/>
          <w:sz w:val="24"/>
          <w:szCs w:val="24"/>
        </w:rPr>
        <w:t xml:space="preserve"> above, the PUCO issued a Request for Proposal </w:t>
      </w:r>
      <w:r w:rsidRPr="001977EB" w:rsidR="00C72390">
        <w:rPr>
          <w:rFonts w:ascii="Times New Roman" w:hAnsi="Times New Roman" w:cs="Times New Roman"/>
          <w:sz w:val="24"/>
          <w:szCs w:val="24"/>
        </w:rPr>
        <w:t>which expressly required</w:t>
      </w:r>
      <w:r w:rsidRPr="001977EB">
        <w:rPr>
          <w:rFonts w:ascii="Times New Roman" w:hAnsi="Times New Roman" w:cs="Times New Roman"/>
          <w:sz w:val="24"/>
          <w:szCs w:val="24"/>
        </w:rPr>
        <w:t xml:space="preserve"> that </w:t>
      </w:r>
      <w:r w:rsidR="001977EB">
        <w:rPr>
          <w:rFonts w:ascii="Times New Roman" w:hAnsi="Times New Roman" w:cs="Times New Roman"/>
          <w:sz w:val="24"/>
          <w:szCs w:val="24"/>
        </w:rPr>
        <w:t>“</w:t>
      </w:r>
      <w:r w:rsidRPr="001977EB">
        <w:rPr>
          <w:rFonts w:ascii="Times New Roman" w:hAnsi="Times New Roman" w:cs="Times New Roman"/>
          <w:sz w:val="24"/>
          <w:szCs w:val="24"/>
        </w:rPr>
        <w:t>the audit shall investigate the prudency of all costs and sales flowing through the EDU riders and demonstrate that the Companies</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actions were in </w:t>
      </w:r>
      <w:r w:rsidRPr="001977EB">
        <w:rPr>
          <w:rFonts w:ascii="Times New Roman" w:hAnsi="Times New Roman" w:cs="Times New Roman"/>
          <w:i/>
          <w:iCs/>
          <w:sz w:val="24"/>
          <w:szCs w:val="24"/>
        </w:rPr>
        <w:t>the best interest of retail ratepayers</w:t>
      </w:r>
      <w:r w:rsidRPr="001977EB">
        <w:rPr>
          <w:rFonts w:ascii="Times New Roman" w:hAnsi="Times New Roman" w:cs="Times New Roman"/>
          <w:sz w:val="24"/>
          <w:szCs w:val="24"/>
        </w:rPr>
        <w:t>.</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The Auditor, however, failed to </w:t>
      </w:r>
      <w:r w:rsidRPr="001977EB" w:rsidR="00670A23">
        <w:rPr>
          <w:rFonts w:ascii="Times New Roman" w:hAnsi="Times New Roman" w:cs="Times New Roman"/>
          <w:sz w:val="24"/>
          <w:szCs w:val="24"/>
        </w:rPr>
        <w:t>make this finding.</w:t>
      </w:r>
      <w:r w:rsidRPr="001977EB" w:rsidR="00FC50DF">
        <w:rPr>
          <w:rFonts w:ascii="Times New Roman" w:hAnsi="Times New Roman" w:cs="Times New Roman"/>
          <w:sz w:val="24"/>
          <w:szCs w:val="24"/>
        </w:rPr>
        <w:t xml:space="preserve"> </w:t>
      </w:r>
    </w:p>
    <w:p w:rsidR="00670A23" w:rsidRPr="001977EB" w:rsidP="00670A23" w14:paraId="5C4C6AEF"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The Auditor admitted that she failed to make this PUCO-required finding in the following exchange:</w:t>
      </w:r>
    </w:p>
    <w:p w:rsidR="00670A23" w:rsidRPr="001977EB" w:rsidP="000B0E3C" w14:paraId="7AAF380D" w14:textId="77777777">
      <w:pPr>
        <w:spacing w:line="240" w:lineRule="auto"/>
        <w:ind w:left="2160" w:right="1440" w:hanging="720"/>
        <w:rPr>
          <w:rFonts w:ascii="Times New Roman" w:hAnsi="Times New Roman" w:cs="Times New Roman"/>
          <w:sz w:val="24"/>
          <w:szCs w:val="24"/>
        </w:rPr>
      </w:pPr>
      <w:r w:rsidRPr="001977EB">
        <w:rPr>
          <w:rFonts w:ascii="Times New Roman" w:hAnsi="Times New Roman" w:cs="Times New Roman"/>
          <w:sz w:val="24"/>
          <w:szCs w:val="24"/>
        </w:rPr>
        <w:t>Q.</w:t>
      </w:r>
      <w:r w:rsidRPr="001977EB" w:rsidR="000B0E3C">
        <w:rPr>
          <w:rFonts w:ascii="Times New Roman" w:hAnsi="Times New Roman" w:cs="Times New Roman"/>
          <w:sz w:val="24"/>
          <w:szCs w:val="24"/>
        </w:rPr>
        <w:tab/>
      </w:r>
      <w:r w:rsidRPr="001977EB">
        <w:rPr>
          <w:rFonts w:ascii="Times New Roman" w:hAnsi="Times New Roman" w:cs="Times New Roman"/>
          <w:sz w:val="24"/>
          <w:szCs w:val="24"/>
        </w:rPr>
        <w:t>I want to back up a moment and go back to the scope of the audit reports that you performed. And one of the questions I have is that as part of your prudency review, did you determine whether the utilities</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actions were in the best interests of retail ratepayers? </w:t>
      </w:r>
    </w:p>
    <w:p w:rsidR="00670A23" w:rsidRPr="001977EB" w:rsidP="000B0E3C" w14:paraId="2F0633C6" w14:textId="77777777">
      <w:pPr>
        <w:spacing w:line="240" w:lineRule="auto"/>
        <w:ind w:left="2160" w:right="1440" w:hanging="720"/>
        <w:rPr>
          <w:rFonts w:ascii="Times New Roman" w:hAnsi="Times New Roman" w:cs="Times New Roman"/>
          <w:sz w:val="24"/>
          <w:szCs w:val="24"/>
        </w:rPr>
      </w:pPr>
    </w:p>
    <w:p w:rsidR="00670A23" w:rsidRPr="001977EB" w:rsidP="000B0E3C" w14:paraId="1BFCFFE2" w14:textId="77777777">
      <w:pPr>
        <w:spacing w:line="240" w:lineRule="auto"/>
        <w:ind w:left="2160" w:right="1440" w:hanging="720"/>
        <w:rPr>
          <w:rFonts w:ascii="Times New Roman" w:hAnsi="Times New Roman" w:cs="Times New Roman"/>
          <w:sz w:val="24"/>
          <w:szCs w:val="24"/>
        </w:rPr>
      </w:pPr>
      <w:r w:rsidRPr="001977EB">
        <w:rPr>
          <w:rFonts w:ascii="Times New Roman" w:hAnsi="Times New Roman" w:cs="Times New Roman"/>
          <w:sz w:val="24"/>
          <w:szCs w:val="24"/>
        </w:rPr>
        <w:t>A.</w:t>
      </w:r>
      <w:r w:rsidRPr="001977EB" w:rsidR="000B0E3C">
        <w:rPr>
          <w:rFonts w:ascii="Times New Roman" w:hAnsi="Times New Roman" w:cs="Times New Roman"/>
          <w:sz w:val="24"/>
          <w:szCs w:val="24"/>
        </w:rPr>
        <w:tab/>
      </w:r>
      <w:r w:rsidRPr="001977EB">
        <w:rPr>
          <w:rFonts w:ascii="Times New Roman" w:hAnsi="Times New Roman" w:cs="Times New Roman"/>
          <w:sz w:val="24"/>
          <w:szCs w:val="24"/>
        </w:rPr>
        <w:t>No.</w:t>
      </w:r>
      <w:r>
        <w:rPr>
          <w:rStyle w:val="FootnoteReference"/>
          <w:rFonts w:ascii="Times New Roman" w:hAnsi="Times New Roman" w:cs="Times New Roman"/>
          <w:sz w:val="24"/>
          <w:szCs w:val="24"/>
        </w:rPr>
        <w:footnoteReference w:id="41"/>
      </w:r>
    </w:p>
    <w:p w:rsidR="00E23F8A" w:rsidRPr="001977EB" w:rsidP="00E23F8A" w14:paraId="53F1497B" w14:textId="77777777">
      <w:pPr>
        <w:spacing w:line="240" w:lineRule="auto"/>
        <w:rPr>
          <w:rFonts w:ascii="Times New Roman" w:hAnsi="Times New Roman" w:cs="Times New Roman"/>
          <w:sz w:val="24"/>
          <w:szCs w:val="24"/>
        </w:rPr>
      </w:pPr>
      <w:r w:rsidRPr="001977EB">
        <w:rPr>
          <w:rFonts w:ascii="Times New Roman" w:hAnsi="Times New Roman" w:cs="Times New Roman"/>
          <w:b/>
          <w:bCs/>
          <w:sz w:val="24"/>
          <w:szCs w:val="24"/>
        </w:rPr>
        <w:t xml:space="preserve"> </w:t>
      </w:r>
      <w:r w:rsidRPr="001977EB" w:rsidR="00CD5111">
        <w:rPr>
          <w:rFonts w:ascii="Times New Roman" w:hAnsi="Times New Roman" w:cs="Times New Roman"/>
          <w:b/>
          <w:bCs/>
          <w:sz w:val="24"/>
          <w:szCs w:val="24"/>
        </w:rPr>
        <w:tab/>
      </w:r>
      <w:r w:rsidRPr="001977EB" w:rsidR="00CD5111">
        <w:rPr>
          <w:rFonts w:ascii="Times New Roman" w:hAnsi="Times New Roman" w:cs="Times New Roman"/>
          <w:sz w:val="24"/>
          <w:szCs w:val="24"/>
        </w:rPr>
        <w:t>The Auditor reiterated this point later in her testimony:</w:t>
      </w:r>
    </w:p>
    <w:p w:rsidR="00CD5111" w:rsidRPr="001977EB" w:rsidP="00E23F8A" w14:paraId="6A9CDF5A" w14:textId="77777777">
      <w:pPr>
        <w:spacing w:line="240" w:lineRule="auto"/>
        <w:rPr>
          <w:rFonts w:ascii="Times New Roman" w:hAnsi="Times New Roman" w:cs="Times New Roman"/>
          <w:sz w:val="24"/>
          <w:szCs w:val="24"/>
        </w:rPr>
      </w:pPr>
    </w:p>
    <w:p w:rsidR="00CD5111" w:rsidRPr="001977EB" w:rsidP="00C37EE3" w14:paraId="1F318093" w14:textId="77777777">
      <w:pPr>
        <w:spacing w:line="240" w:lineRule="auto"/>
        <w:ind w:left="2160" w:right="1440" w:hanging="720"/>
        <w:rPr>
          <w:rFonts w:ascii="Times New Roman" w:hAnsi="Times New Roman" w:cs="Times New Roman"/>
          <w:sz w:val="24"/>
          <w:szCs w:val="24"/>
        </w:rPr>
      </w:pPr>
      <w:r w:rsidRPr="001977EB">
        <w:rPr>
          <w:rFonts w:ascii="Times New Roman" w:hAnsi="Times New Roman" w:cs="Times New Roman"/>
          <w:sz w:val="24"/>
          <w:szCs w:val="24"/>
        </w:rPr>
        <w:t>Q.</w:t>
      </w:r>
      <w:r w:rsidRPr="001977EB" w:rsidR="00C37EE3">
        <w:rPr>
          <w:rFonts w:ascii="Times New Roman" w:hAnsi="Times New Roman" w:cs="Times New Roman"/>
          <w:sz w:val="24"/>
          <w:szCs w:val="24"/>
        </w:rPr>
        <w:tab/>
      </w:r>
      <w:r w:rsidRPr="001977EB">
        <w:rPr>
          <w:rFonts w:ascii="Times New Roman" w:hAnsi="Times New Roman" w:cs="Times New Roman"/>
          <w:sz w:val="24"/>
          <w:szCs w:val="24"/>
        </w:rPr>
        <w:t>(By Mr. Finnigan) Do you have any opinion as to whether the OVEC rider in 2020 was in the best interests of retail ratepayers?</w:t>
      </w:r>
      <w:r w:rsidRPr="001977EB" w:rsidR="00FC50DF">
        <w:rPr>
          <w:rFonts w:ascii="Times New Roman" w:hAnsi="Times New Roman" w:cs="Times New Roman"/>
          <w:sz w:val="24"/>
          <w:szCs w:val="24"/>
        </w:rPr>
        <w:t xml:space="preserve"> </w:t>
      </w:r>
    </w:p>
    <w:p w:rsidR="00CD5111" w:rsidRPr="001977EB" w:rsidP="00C37EE3" w14:paraId="491E4B10" w14:textId="77777777">
      <w:pPr>
        <w:spacing w:line="240" w:lineRule="auto"/>
        <w:ind w:left="2160" w:right="1440" w:hanging="720"/>
        <w:rPr>
          <w:rFonts w:ascii="Times New Roman" w:hAnsi="Times New Roman" w:cs="Times New Roman"/>
          <w:sz w:val="24"/>
          <w:szCs w:val="24"/>
        </w:rPr>
      </w:pPr>
    </w:p>
    <w:p w:rsidR="00CD5111" w:rsidRPr="001977EB" w:rsidP="00C37EE3" w14:paraId="2A327F7A" w14:textId="77777777">
      <w:pPr>
        <w:spacing w:line="240" w:lineRule="auto"/>
        <w:ind w:left="2160" w:right="1440" w:hanging="720"/>
        <w:rPr>
          <w:rFonts w:ascii="Times New Roman" w:hAnsi="Times New Roman" w:cs="Times New Roman"/>
          <w:sz w:val="24"/>
          <w:szCs w:val="24"/>
        </w:rPr>
      </w:pPr>
      <w:r w:rsidRPr="001977EB">
        <w:rPr>
          <w:rFonts w:ascii="Times New Roman" w:hAnsi="Times New Roman" w:cs="Times New Roman"/>
          <w:sz w:val="24"/>
          <w:szCs w:val="24"/>
        </w:rPr>
        <w:t>A.</w:t>
      </w:r>
      <w:r w:rsidRPr="001977EB" w:rsidR="00C37EE3">
        <w:rPr>
          <w:rFonts w:ascii="Times New Roman" w:hAnsi="Times New Roman" w:cs="Times New Roman"/>
          <w:sz w:val="24"/>
          <w:szCs w:val="24"/>
        </w:rPr>
        <w:tab/>
      </w:r>
      <w:r w:rsidRPr="001977EB">
        <w:rPr>
          <w:rFonts w:ascii="Times New Roman" w:hAnsi="Times New Roman" w:cs="Times New Roman"/>
          <w:sz w:val="24"/>
          <w:szCs w:val="24"/>
        </w:rPr>
        <w:t>We didn</w:t>
      </w:r>
      <w:r w:rsidR="001977EB">
        <w:rPr>
          <w:rFonts w:ascii="Times New Roman" w:hAnsi="Times New Roman" w:cs="Times New Roman"/>
          <w:sz w:val="24"/>
          <w:szCs w:val="24"/>
        </w:rPr>
        <w:t>’</w:t>
      </w:r>
      <w:r w:rsidRPr="001977EB">
        <w:rPr>
          <w:rFonts w:ascii="Times New Roman" w:hAnsi="Times New Roman" w:cs="Times New Roman"/>
          <w:sz w:val="24"/>
          <w:szCs w:val="24"/>
        </w:rPr>
        <w:t>t look at the concept of best interest.</w:t>
      </w:r>
      <w:r>
        <w:rPr>
          <w:rStyle w:val="FootnoteReference"/>
          <w:rFonts w:ascii="Times New Roman" w:hAnsi="Times New Roman" w:cs="Times New Roman"/>
          <w:sz w:val="24"/>
          <w:szCs w:val="24"/>
        </w:rPr>
        <w:footnoteReference w:id="42"/>
      </w:r>
    </w:p>
    <w:p w:rsidR="00E23F8A" w:rsidRPr="001977EB" w:rsidP="00E23F8A" w14:paraId="6E513CEA" w14:textId="77777777">
      <w:pPr>
        <w:spacing w:line="240" w:lineRule="auto"/>
        <w:rPr>
          <w:rFonts w:ascii="Times New Roman" w:hAnsi="Times New Roman" w:cs="Times New Roman"/>
          <w:b/>
          <w:bCs/>
          <w:sz w:val="24"/>
          <w:szCs w:val="24"/>
        </w:rPr>
      </w:pPr>
    </w:p>
    <w:p w:rsidR="00E23F8A" w:rsidRPr="001977EB" w:rsidP="00C72390" w14:paraId="3D9AD5CB" w14:textId="77777777">
      <w:pPr>
        <w:spacing w:line="480" w:lineRule="auto"/>
        <w:ind w:firstLine="720"/>
        <w:rPr>
          <w:rFonts w:ascii="Times New Roman" w:hAnsi="Times New Roman" w:cs="Times New Roman"/>
          <w:b/>
          <w:bCs/>
          <w:sz w:val="24"/>
          <w:szCs w:val="24"/>
        </w:rPr>
      </w:pPr>
      <w:r w:rsidRPr="001977EB">
        <w:rPr>
          <w:rFonts w:ascii="Times New Roman" w:hAnsi="Times New Roman" w:cs="Times New Roman"/>
          <w:sz w:val="24"/>
          <w:szCs w:val="24"/>
        </w:rPr>
        <w:t xml:space="preserve">The Auditor failed to make this </w:t>
      </w:r>
      <w:r w:rsidR="001977EB">
        <w:rPr>
          <w:rFonts w:ascii="Times New Roman" w:hAnsi="Times New Roman" w:cs="Times New Roman"/>
          <w:sz w:val="24"/>
          <w:szCs w:val="24"/>
        </w:rPr>
        <w:t>“</w:t>
      </w:r>
      <w:r w:rsidRPr="001977EB">
        <w:rPr>
          <w:rFonts w:ascii="Times New Roman" w:hAnsi="Times New Roman" w:cs="Times New Roman"/>
          <w:sz w:val="24"/>
          <w:szCs w:val="24"/>
        </w:rPr>
        <w:t>best interest of the retail ratepayer</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finding even though the PUCO expressly required this as part of the prudency audit.</w:t>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Granted, it is </w:t>
      </w:r>
      <w:r w:rsidRPr="001977EB" w:rsidR="001734AB">
        <w:rPr>
          <w:rFonts w:ascii="Times New Roman" w:hAnsi="Times New Roman" w:cs="Times New Roman"/>
          <w:sz w:val="24"/>
          <w:szCs w:val="24"/>
        </w:rPr>
        <w:t xml:space="preserve">impossible to </w:t>
      </w:r>
      <w:r w:rsidRPr="001977EB" w:rsidR="00A561D4">
        <w:rPr>
          <w:rFonts w:ascii="Times New Roman" w:hAnsi="Times New Roman" w:cs="Times New Roman"/>
          <w:sz w:val="24"/>
          <w:szCs w:val="24"/>
        </w:rPr>
        <w:t>conceive</w:t>
      </w:r>
      <w:r w:rsidRPr="001977EB">
        <w:rPr>
          <w:rFonts w:ascii="Times New Roman" w:hAnsi="Times New Roman" w:cs="Times New Roman"/>
          <w:sz w:val="24"/>
          <w:szCs w:val="24"/>
        </w:rPr>
        <w:t xml:space="preserve"> that a $105 million overcharge would be in the retail ratepayers</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best interest.</w:t>
      </w:r>
      <w:r w:rsidRPr="001977EB" w:rsidR="00FC50DF">
        <w:rPr>
          <w:rFonts w:ascii="Times New Roman" w:hAnsi="Times New Roman" w:cs="Times New Roman"/>
          <w:sz w:val="24"/>
          <w:szCs w:val="24"/>
        </w:rPr>
        <w:t xml:space="preserve"> </w:t>
      </w:r>
      <w:r w:rsidRPr="001977EB" w:rsidR="004F0136">
        <w:rPr>
          <w:rFonts w:ascii="Times New Roman" w:hAnsi="Times New Roman" w:cs="Times New Roman"/>
          <w:sz w:val="24"/>
          <w:szCs w:val="24"/>
        </w:rPr>
        <w:t>The PUCO should therefore disallow the entire $105 million in overcharges because AEP, Duke and DP&amp;L failed to meet their burden of proof that the</w:t>
      </w:r>
      <w:r w:rsidRPr="001977EB" w:rsidR="001734AB">
        <w:rPr>
          <w:rFonts w:ascii="Times New Roman" w:hAnsi="Times New Roman" w:cs="Times New Roman"/>
          <w:sz w:val="24"/>
          <w:szCs w:val="24"/>
        </w:rPr>
        <w:t xml:space="preserve"> coal plant subsidy</w:t>
      </w:r>
      <w:r w:rsidRPr="001977EB" w:rsidR="004F0136">
        <w:rPr>
          <w:rFonts w:ascii="Times New Roman" w:hAnsi="Times New Roman" w:cs="Times New Roman"/>
          <w:sz w:val="24"/>
          <w:szCs w:val="24"/>
        </w:rPr>
        <w:t xml:space="preserve"> costs were in the best interest of retail ratepayers.</w:t>
      </w:r>
    </w:p>
    <w:p w:rsidR="008D3EE3" w:rsidRPr="001977EB" w:rsidP="007531C3" w14:paraId="78089F17" w14:textId="77777777">
      <w:pPr>
        <w:pStyle w:val="Heading2"/>
        <w:numPr>
          <w:ilvl w:val="0"/>
          <w:numId w:val="0"/>
        </w:numPr>
        <w:ind w:left="1440" w:hanging="720"/>
      </w:pPr>
      <w:bookmarkStart w:id="15" w:name="_Toc158641646"/>
      <w:r w:rsidRPr="001977EB">
        <w:t>C.</w:t>
      </w:r>
      <w:r w:rsidRPr="001977EB">
        <w:tab/>
        <w:t xml:space="preserve">The Auditor failed to follow R.C. 4928.148(A)(1), which </w:t>
      </w:r>
      <w:r w:rsidRPr="001977EB" w:rsidR="001734AB">
        <w:t>requires</w:t>
      </w:r>
      <w:r w:rsidRPr="001977EB">
        <w:t xml:space="preserve"> the Auditor </w:t>
      </w:r>
      <w:r w:rsidRPr="001977EB" w:rsidR="001734AB">
        <w:t>to</w:t>
      </w:r>
      <w:r w:rsidRPr="001977EB">
        <w:t xml:space="preserve"> </w:t>
      </w:r>
      <w:r w:rsidRPr="001977EB" w:rsidR="001734AB">
        <w:t>determine</w:t>
      </w:r>
      <w:r w:rsidRPr="001977EB">
        <w:t xml:space="preserve"> the prudence of </w:t>
      </w:r>
      <w:r w:rsidR="001977EB">
        <w:t>“</w:t>
      </w:r>
      <w:r w:rsidRPr="001977EB">
        <w:t>decisions related to offering the contractual commitment into the wholesale markets.</w:t>
      </w:r>
      <w:r w:rsidR="001977EB">
        <w:t>”</w:t>
      </w:r>
      <w:r>
        <w:rPr>
          <w:rStyle w:val="FootnoteReference"/>
        </w:rPr>
        <w:footnoteReference w:id="43"/>
      </w:r>
      <w:r w:rsidRPr="001977EB" w:rsidR="00FC50DF">
        <w:t xml:space="preserve"> </w:t>
      </w:r>
      <w:r w:rsidRPr="001977EB">
        <w:t>AEP, Duke and DP&amp;L therefore failed to meet their burden to prove that</w:t>
      </w:r>
      <w:r w:rsidRPr="001977EB" w:rsidR="00C72390">
        <w:t xml:space="preserve"> such decisions were prudent.</w:t>
      </w:r>
      <w:r w:rsidRPr="001977EB" w:rsidR="00FC50DF">
        <w:t xml:space="preserve"> </w:t>
      </w:r>
      <w:r w:rsidRPr="001977EB">
        <w:t>The PUCO should therefore disallow the entire $105 million in overcharges.</w:t>
      </w:r>
      <w:bookmarkEnd w:id="15"/>
    </w:p>
    <w:p w:rsidR="00E94775" w:rsidRPr="001977EB" w:rsidP="00E94775" w14:paraId="7DCC2718"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 xml:space="preserve">The Auditor failed to follow R.C. 4928.148(A)(1), which required the Auditor to determine the prudence of </w:t>
      </w:r>
      <w:r w:rsidR="001977EB">
        <w:rPr>
          <w:rFonts w:ascii="Times New Roman" w:hAnsi="Times New Roman" w:cs="Times New Roman"/>
          <w:sz w:val="24"/>
          <w:szCs w:val="24"/>
        </w:rPr>
        <w:t>“</w:t>
      </w:r>
      <w:r w:rsidRPr="001977EB">
        <w:rPr>
          <w:rFonts w:ascii="Times New Roman" w:hAnsi="Times New Roman" w:cs="Times New Roman"/>
          <w:sz w:val="24"/>
          <w:szCs w:val="24"/>
        </w:rPr>
        <w:t>decisions related to offering the contractual commitment into the wholesale markets.</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These decisions were made at times by an OVEC Operating Committee written procedure </w:t>
      </w:r>
      <w:r w:rsidRPr="001977EB" w:rsidR="001734AB">
        <w:rPr>
          <w:rFonts w:ascii="Times New Roman" w:hAnsi="Times New Roman" w:cs="Times New Roman"/>
          <w:sz w:val="24"/>
          <w:szCs w:val="24"/>
        </w:rPr>
        <w:t>and</w:t>
      </w:r>
      <w:r w:rsidRPr="001977EB">
        <w:rPr>
          <w:rFonts w:ascii="Times New Roman" w:hAnsi="Times New Roman" w:cs="Times New Roman"/>
          <w:sz w:val="24"/>
          <w:szCs w:val="24"/>
        </w:rPr>
        <w:t xml:space="preserve"> at other times by OVEC</w:t>
      </w:r>
      <w:r w:rsidRPr="001977EB" w:rsidR="00722A07">
        <w:rPr>
          <w:rFonts w:ascii="Times New Roman" w:hAnsi="Times New Roman" w:cs="Times New Roman"/>
          <w:sz w:val="24"/>
          <w:szCs w:val="24"/>
        </w:rPr>
        <w:t xml:space="preserve"> management</w:t>
      </w:r>
      <w:r w:rsidRPr="001977EB">
        <w:rPr>
          <w:rFonts w:ascii="Times New Roman" w:hAnsi="Times New Roman" w:cs="Times New Roman"/>
          <w:sz w:val="24"/>
          <w:szCs w:val="24"/>
        </w:rPr>
        <w:t>.</w:t>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The Auditor failed to </w:t>
      </w:r>
      <w:r w:rsidRPr="001977EB" w:rsidR="00722A07">
        <w:rPr>
          <w:rFonts w:ascii="Times New Roman" w:hAnsi="Times New Roman" w:cs="Times New Roman"/>
          <w:sz w:val="24"/>
          <w:szCs w:val="24"/>
        </w:rPr>
        <w:t>determine</w:t>
      </w:r>
      <w:r w:rsidRPr="001977EB">
        <w:rPr>
          <w:rFonts w:ascii="Times New Roman" w:hAnsi="Times New Roman" w:cs="Times New Roman"/>
          <w:sz w:val="24"/>
          <w:szCs w:val="24"/>
        </w:rPr>
        <w:t xml:space="preserve"> whether these daily decisions were made prudently.</w:t>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AEP, Duke and DP&amp;L therefore failed to meet their burden to </w:t>
      </w:r>
      <w:r w:rsidRPr="001977EB" w:rsidR="00F61BED">
        <w:rPr>
          <w:rFonts w:ascii="Times New Roman" w:hAnsi="Times New Roman" w:cs="Times New Roman"/>
          <w:sz w:val="24"/>
          <w:szCs w:val="24"/>
        </w:rPr>
        <w:t>proof,</w:t>
      </w:r>
      <w:r w:rsidRPr="001977EB">
        <w:rPr>
          <w:rFonts w:ascii="Times New Roman" w:hAnsi="Times New Roman" w:cs="Times New Roman"/>
          <w:sz w:val="24"/>
          <w:szCs w:val="24"/>
        </w:rPr>
        <w:t xml:space="preserve"> and the </w:t>
      </w:r>
      <w:r w:rsidRPr="001977EB" w:rsidR="00722A07">
        <w:rPr>
          <w:rFonts w:ascii="Times New Roman" w:hAnsi="Times New Roman" w:cs="Times New Roman"/>
          <w:sz w:val="24"/>
          <w:szCs w:val="24"/>
        </w:rPr>
        <w:t>over</w:t>
      </w:r>
      <w:r w:rsidRPr="001977EB">
        <w:rPr>
          <w:rFonts w:ascii="Times New Roman" w:hAnsi="Times New Roman" w:cs="Times New Roman"/>
          <w:sz w:val="24"/>
          <w:szCs w:val="24"/>
        </w:rPr>
        <w:t>charges should be disallowed.</w:t>
      </w:r>
    </w:p>
    <w:p w:rsidR="008D3EE3" w:rsidRPr="001977EB" w:rsidP="008D3EE3" w14:paraId="1C04B9BC" w14:textId="77777777">
      <w:pPr>
        <w:spacing w:line="480" w:lineRule="auto"/>
        <w:ind w:firstLine="720"/>
        <w:rPr>
          <w:rFonts w:ascii="Times New Roman" w:hAnsi="Times New Roman" w:cs="Times New Roman"/>
          <w:color w:val="333333"/>
          <w:sz w:val="24"/>
          <w:szCs w:val="24"/>
          <w:shd w:val="clear" w:color="auto" w:fill="FFFFFF"/>
        </w:rPr>
      </w:pPr>
      <w:r w:rsidRPr="001977EB">
        <w:rPr>
          <w:rFonts w:ascii="Times New Roman" w:hAnsi="Times New Roman" w:cs="Times New Roman"/>
          <w:color w:val="333333"/>
          <w:sz w:val="24"/>
          <w:szCs w:val="24"/>
          <w:shd w:val="clear" w:color="auto" w:fill="FFFFFF"/>
        </w:rPr>
        <w:t>As explained above, the energy from the coal plants is sold into the PJM Day-Ahead Energy market.</w:t>
      </w:r>
      <w:r w:rsidRPr="001977EB" w:rsidR="00FC50DF">
        <w:rPr>
          <w:rFonts w:ascii="Times New Roman" w:hAnsi="Times New Roman" w:cs="Times New Roman"/>
          <w:color w:val="333333"/>
          <w:sz w:val="24"/>
          <w:szCs w:val="24"/>
          <w:shd w:val="clear" w:color="auto" w:fill="FFFFFF"/>
        </w:rPr>
        <w:t xml:space="preserve"> </w:t>
      </w:r>
      <w:r w:rsidRPr="001977EB" w:rsidR="003F7CB2">
        <w:rPr>
          <w:rFonts w:ascii="Times New Roman" w:hAnsi="Times New Roman" w:cs="Times New Roman"/>
          <w:color w:val="333333"/>
          <w:sz w:val="24"/>
          <w:szCs w:val="24"/>
          <w:shd w:val="clear" w:color="auto" w:fill="FFFFFF"/>
        </w:rPr>
        <w:t xml:space="preserve">Every day, a plant must be </w:t>
      </w:r>
      <w:r w:rsidR="001977EB">
        <w:rPr>
          <w:rFonts w:ascii="Times New Roman" w:hAnsi="Times New Roman" w:cs="Times New Roman"/>
          <w:color w:val="333333"/>
          <w:sz w:val="24"/>
          <w:szCs w:val="24"/>
          <w:shd w:val="clear" w:color="auto" w:fill="FFFFFF"/>
        </w:rPr>
        <w:t>“</w:t>
      </w:r>
      <w:r w:rsidRPr="001977EB" w:rsidR="00E94775">
        <w:rPr>
          <w:rFonts w:ascii="Times New Roman" w:hAnsi="Times New Roman" w:cs="Times New Roman"/>
          <w:color w:val="333333"/>
          <w:sz w:val="24"/>
          <w:szCs w:val="24"/>
          <w:shd w:val="clear" w:color="auto" w:fill="FFFFFF"/>
        </w:rPr>
        <w:t>committed</w:t>
      </w:r>
      <w:r w:rsidR="001977EB">
        <w:rPr>
          <w:rFonts w:ascii="Times New Roman" w:hAnsi="Times New Roman" w:cs="Times New Roman"/>
          <w:color w:val="333333"/>
          <w:sz w:val="24"/>
          <w:szCs w:val="24"/>
          <w:shd w:val="clear" w:color="auto" w:fill="FFFFFF"/>
        </w:rPr>
        <w:t>”</w:t>
      </w:r>
      <w:r w:rsidRPr="001977EB" w:rsidR="003F7CB2">
        <w:rPr>
          <w:rFonts w:ascii="Times New Roman" w:hAnsi="Times New Roman" w:cs="Times New Roman"/>
          <w:color w:val="333333"/>
          <w:sz w:val="24"/>
          <w:szCs w:val="24"/>
          <w:shd w:val="clear" w:color="auto" w:fill="FFFFFF"/>
        </w:rPr>
        <w:t xml:space="preserve"> as </w:t>
      </w:r>
      <w:r w:rsidR="001977EB">
        <w:rPr>
          <w:rFonts w:ascii="Times New Roman" w:hAnsi="Times New Roman" w:cs="Times New Roman"/>
          <w:color w:val="333333"/>
          <w:sz w:val="24"/>
          <w:szCs w:val="24"/>
          <w:shd w:val="clear" w:color="auto" w:fill="FFFFFF"/>
        </w:rPr>
        <w:t>“</w:t>
      </w:r>
      <w:r w:rsidRPr="001977EB" w:rsidR="003F7CB2">
        <w:rPr>
          <w:rFonts w:ascii="Times New Roman" w:hAnsi="Times New Roman" w:cs="Times New Roman"/>
          <w:color w:val="333333"/>
          <w:sz w:val="24"/>
          <w:szCs w:val="24"/>
          <w:shd w:val="clear" w:color="auto" w:fill="FFFFFF"/>
        </w:rPr>
        <w:t>must</w:t>
      </w:r>
      <w:r w:rsidRPr="001977EB" w:rsidR="00722A07">
        <w:rPr>
          <w:rFonts w:ascii="Times New Roman" w:hAnsi="Times New Roman" w:cs="Times New Roman"/>
          <w:color w:val="333333"/>
          <w:sz w:val="24"/>
          <w:szCs w:val="24"/>
          <w:shd w:val="clear" w:color="auto" w:fill="FFFFFF"/>
        </w:rPr>
        <w:t>-</w:t>
      </w:r>
      <w:r w:rsidRPr="001977EB" w:rsidR="003F7CB2">
        <w:rPr>
          <w:rFonts w:ascii="Times New Roman" w:hAnsi="Times New Roman" w:cs="Times New Roman"/>
          <w:color w:val="333333"/>
          <w:sz w:val="24"/>
          <w:szCs w:val="24"/>
          <w:shd w:val="clear" w:color="auto" w:fill="FFFFFF"/>
        </w:rPr>
        <w:t>run</w:t>
      </w:r>
      <w:r w:rsidR="001977EB">
        <w:rPr>
          <w:rFonts w:ascii="Times New Roman" w:hAnsi="Times New Roman" w:cs="Times New Roman"/>
          <w:color w:val="333333"/>
          <w:sz w:val="24"/>
          <w:szCs w:val="24"/>
          <w:shd w:val="clear" w:color="auto" w:fill="FFFFFF"/>
        </w:rPr>
        <w:t>”</w:t>
      </w:r>
      <w:r w:rsidRPr="001977EB" w:rsidR="003F7CB2">
        <w:rPr>
          <w:rFonts w:ascii="Times New Roman" w:hAnsi="Times New Roman" w:cs="Times New Roman"/>
          <w:color w:val="333333"/>
          <w:sz w:val="24"/>
          <w:szCs w:val="24"/>
          <w:shd w:val="clear" w:color="auto" w:fill="FFFFFF"/>
        </w:rPr>
        <w:t xml:space="preserve"> or </w:t>
      </w:r>
      <w:r w:rsidR="001977EB">
        <w:rPr>
          <w:rFonts w:ascii="Times New Roman" w:hAnsi="Times New Roman" w:cs="Times New Roman"/>
          <w:color w:val="333333"/>
          <w:sz w:val="24"/>
          <w:szCs w:val="24"/>
          <w:shd w:val="clear" w:color="auto" w:fill="FFFFFF"/>
        </w:rPr>
        <w:t>“</w:t>
      </w:r>
      <w:r w:rsidRPr="001977EB" w:rsidR="003F7CB2">
        <w:rPr>
          <w:rFonts w:ascii="Times New Roman" w:hAnsi="Times New Roman" w:cs="Times New Roman"/>
          <w:color w:val="333333"/>
          <w:sz w:val="24"/>
          <w:szCs w:val="24"/>
          <w:shd w:val="clear" w:color="auto" w:fill="FFFFFF"/>
        </w:rPr>
        <w:t>economic.</w:t>
      </w:r>
      <w:r w:rsidR="001977EB">
        <w:rPr>
          <w:rFonts w:ascii="Times New Roman" w:hAnsi="Times New Roman" w:cs="Times New Roman"/>
          <w:color w:val="333333"/>
          <w:sz w:val="24"/>
          <w:szCs w:val="24"/>
          <w:shd w:val="clear" w:color="auto" w:fill="FFFFFF"/>
        </w:rPr>
        <w:t>”</w:t>
      </w:r>
      <w:r w:rsidRPr="001977EB" w:rsidR="00FC50DF">
        <w:rPr>
          <w:rFonts w:ascii="Times New Roman" w:hAnsi="Times New Roman" w:cs="Times New Roman"/>
          <w:color w:val="333333"/>
          <w:sz w:val="24"/>
          <w:szCs w:val="24"/>
          <w:shd w:val="clear" w:color="auto" w:fill="FFFFFF"/>
        </w:rPr>
        <w:t xml:space="preserve"> </w:t>
      </w:r>
      <w:r w:rsidR="001977EB">
        <w:rPr>
          <w:rFonts w:ascii="Times New Roman" w:hAnsi="Times New Roman" w:cs="Times New Roman"/>
          <w:color w:val="333333"/>
          <w:sz w:val="24"/>
          <w:szCs w:val="24"/>
          <w:shd w:val="clear" w:color="auto" w:fill="FFFFFF"/>
        </w:rPr>
        <w:t>“</w:t>
      </w:r>
      <w:r w:rsidRPr="001977EB" w:rsidR="003F7CB2">
        <w:rPr>
          <w:rFonts w:ascii="Times New Roman" w:hAnsi="Times New Roman" w:cs="Times New Roman"/>
          <w:color w:val="333333"/>
          <w:sz w:val="24"/>
          <w:szCs w:val="24"/>
          <w:shd w:val="clear" w:color="auto" w:fill="FFFFFF"/>
        </w:rPr>
        <w:t>Must</w:t>
      </w:r>
      <w:r w:rsidRPr="001977EB" w:rsidR="00722A07">
        <w:rPr>
          <w:rFonts w:ascii="Times New Roman" w:hAnsi="Times New Roman" w:cs="Times New Roman"/>
          <w:color w:val="333333"/>
          <w:sz w:val="24"/>
          <w:szCs w:val="24"/>
          <w:shd w:val="clear" w:color="auto" w:fill="FFFFFF"/>
        </w:rPr>
        <w:t>-</w:t>
      </w:r>
      <w:r w:rsidRPr="001977EB" w:rsidR="003F7CB2">
        <w:rPr>
          <w:rFonts w:ascii="Times New Roman" w:hAnsi="Times New Roman" w:cs="Times New Roman"/>
          <w:color w:val="333333"/>
          <w:sz w:val="24"/>
          <w:szCs w:val="24"/>
          <w:shd w:val="clear" w:color="auto" w:fill="FFFFFF"/>
        </w:rPr>
        <w:t>run</w:t>
      </w:r>
      <w:r w:rsidR="001977EB">
        <w:rPr>
          <w:rFonts w:ascii="Times New Roman" w:hAnsi="Times New Roman" w:cs="Times New Roman"/>
          <w:color w:val="333333"/>
          <w:sz w:val="24"/>
          <w:szCs w:val="24"/>
          <w:shd w:val="clear" w:color="auto" w:fill="FFFFFF"/>
        </w:rPr>
        <w:t>”</w:t>
      </w:r>
      <w:r w:rsidRPr="001977EB" w:rsidR="003F7CB2">
        <w:rPr>
          <w:rFonts w:ascii="Times New Roman" w:hAnsi="Times New Roman" w:cs="Times New Roman"/>
          <w:color w:val="333333"/>
          <w:sz w:val="24"/>
          <w:szCs w:val="24"/>
          <w:shd w:val="clear" w:color="auto" w:fill="FFFFFF"/>
        </w:rPr>
        <w:t xml:space="preserve"> </w:t>
      </w:r>
      <w:r w:rsidRPr="001977EB" w:rsidR="00722A07">
        <w:rPr>
          <w:rFonts w:ascii="Times New Roman" w:hAnsi="Times New Roman" w:cs="Times New Roman"/>
          <w:color w:val="333333"/>
          <w:sz w:val="24"/>
          <w:szCs w:val="24"/>
          <w:shd w:val="clear" w:color="auto" w:fill="FFFFFF"/>
        </w:rPr>
        <w:t xml:space="preserve">(also known as </w:t>
      </w:r>
      <w:r w:rsidR="001977EB">
        <w:rPr>
          <w:rFonts w:ascii="Times New Roman" w:hAnsi="Times New Roman" w:cs="Times New Roman"/>
          <w:color w:val="333333"/>
          <w:sz w:val="24"/>
          <w:szCs w:val="24"/>
          <w:shd w:val="clear" w:color="auto" w:fill="FFFFFF"/>
        </w:rPr>
        <w:t>“</w:t>
      </w:r>
      <w:r w:rsidRPr="001977EB" w:rsidR="00722A07">
        <w:rPr>
          <w:rFonts w:ascii="Times New Roman" w:hAnsi="Times New Roman" w:cs="Times New Roman"/>
          <w:color w:val="333333"/>
          <w:sz w:val="24"/>
          <w:szCs w:val="24"/>
          <w:shd w:val="clear" w:color="auto" w:fill="FFFFFF"/>
        </w:rPr>
        <w:t>self-scheduled</w:t>
      </w:r>
      <w:r w:rsidR="001977EB">
        <w:rPr>
          <w:rFonts w:ascii="Times New Roman" w:hAnsi="Times New Roman" w:cs="Times New Roman"/>
          <w:color w:val="333333"/>
          <w:sz w:val="24"/>
          <w:szCs w:val="24"/>
          <w:shd w:val="clear" w:color="auto" w:fill="FFFFFF"/>
        </w:rPr>
        <w:t>”</w:t>
      </w:r>
      <w:r w:rsidRPr="001977EB" w:rsidR="00722A07">
        <w:rPr>
          <w:rFonts w:ascii="Times New Roman" w:hAnsi="Times New Roman" w:cs="Times New Roman"/>
          <w:color w:val="333333"/>
          <w:sz w:val="24"/>
          <w:szCs w:val="24"/>
          <w:shd w:val="clear" w:color="auto" w:fill="FFFFFF"/>
        </w:rPr>
        <w:t xml:space="preserve">) </w:t>
      </w:r>
      <w:r w:rsidRPr="001977EB" w:rsidR="003F7CB2">
        <w:rPr>
          <w:rFonts w:ascii="Times New Roman" w:hAnsi="Times New Roman" w:cs="Times New Roman"/>
          <w:color w:val="333333"/>
          <w:sz w:val="24"/>
          <w:szCs w:val="24"/>
          <w:shd w:val="clear" w:color="auto" w:fill="FFFFFF"/>
        </w:rPr>
        <w:t>means that the plant will run for that day, regardless of whether the market prices are high enough to cover the plant</w:t>
      </w:r>
      <w:r w:rsidR="001977EB">
        <w:rPr>
          <w:rFonts w:ascii="Times New Roman" w:hAnsi="Times New Roman" w:cs="Times New Roman"/>
          <w:color w:val="333333"/>
          <w:sz w:val="24"/>
          <w:szCs w:val="24"/>
          <w:shd w:val="clear" w:color="auto" w:fill="FFFFFF"/>
        </w:rPr>
        <w:t>’</w:t>
      </w:r>
      <w:r w:rsidRPr="001977EB" w:rsidR="003F7CB2">
        <w:rPr>
          <w:rFonts w:ascii="Times New Roman" w:hAnsi="Times New Roman" w:cs="Times New Roman"/>
          <w:color w:val="333333"/>
          <w:sz w:val="24"/>
          <w:szCs w:val="24"/>
          <w:shd w:val="clear" w:color="auto" w:fill="FFFFFF"/>
        </w:rPr>
        <w:t>s costs.</w:t>
      </w:r>
      <w:r w:rsidRPr="001977EB" w:rsidR="00FC50DF">
        <w:rPr>
          <w:rFonts w:ascii="Times New Roman" w:hAnsi="Times New Roman" w:cs="Times New Roman"/>
          <w:color w:val="333333"/>
          <w:sz w:val="24"/>
          <w:szCs w:val="24"/>
          <w:shd w:val="clear" w:color="auto" w:fill="FFFFFF"/>
        </w:rPr>
        <w:t xml:space="preserve"> </w:t>
      </w:r>
      <w:r w:rsidR="001977EB">
        <w:rPr>
          <w:rFonts w:ascii="Times New Roman" w:hAnsi="Times New Roman" w:cs="Times New Roman"/>
          <w:color w:val="333333"/>
          <w:sz w:val="24"/>
          <w:szCs w:val="24"/>
          <w:shd w:val="clear" w:color="auto" w:fill="FFFFFF"/>
        </w:rPr>
        <w:t>“</w:t>
      </w:r>
      <w:r w:rsidRPr="001977EB" w:rsidR="003F7CB2">
        <w:rPr>
          <w:rFonts w:ascii="Times New Roman" w:hAnsi="Times New Roman" w:cs="Times New Roman"/>
          <w:color w:val="333333"/>
          <w:sz w:val="24"/>
          <w:szCs w:val="24"/>
          <w:shd w:val="clear" w:color="auto" w:fill="FFFFFF"/>
        </w:rPr>
        <w:t>Economic,</w:t>
      </w:r>
      <w:r w:rsidR="001977EB">
        <w:rPr>
          <w:rFonts w:ascii="Times New Roman" w:hAnsi="Times New Roman" w:cs="Times New Roman"/>
          <w:color w:val="333333"/>
          <w:sz w:val="24"/>
          <w:szCs w:val="24"/>
          <w:shd w:val="clear" w:color="auto" w:fill="FFFFFF"/>
        </w:rPr>
        <w:t>”</w:t>
      </w:r>
      <w:r w:rsidRPr="001977EB" w:rsidR="003F7CB2">
        <w:rPr>
          <w:rFonts w:ascii="Times New Roman" w:hAnsi="Times New Roman" w:cs="Times New Roman"/>
          <w:color w:val="333333"/>
          <w:sz w:val="24"/>
          <w:szCs w:val="24"/>
          <w:shd w:val="clear" w:color="auto" w:fill="FFFFFF"/>
        </w:rPr>
        <w:t xml:space="preserve"> as the term implies, means that the plant will run for that day only if the market prices are high enough to cover the plant</w:t>
      </w:r>
      <w:r w:rsidR="001977EB">
        <w:rPr>
          <w:rFonts w:ascii="Times New Roman" w:hAnsi="Times New Roman" w:cs="Times New Roman"/>
          <w:color w:val="333333"/>
          <w:sz w:val="24"/>
          <w:szCs w:val="24"/>
          <w:shd w:val="clear" w:color="auto" w:fill="FFFFFF"/>
        </w:rPr>
        <w:t>’</w:t>
      </w:r>
      <w:r w:rsidRPr="001977EB" w:rsidR="003F7CB2">
        <w:rPr>
          <w:rFonts w:ascii="Times New Roman" w:hAnsi="Times New Roman" w:cs="Times New Roman"/>
          <w:color w:val="333333"/>
          <w:sz w:val="24"/>
          <w:szCs w:val="24"/>
          <w:shd w:val="clear" w:color="auto" w:fill="FFFFFF"/>
        </w:rPr>
        <w:t>s costs.</w:t>
      </w:r>
      <w:r w:rsidRPr="001977EB" w:rsidR="00FC50DF">
        <w:rPr>
          <w:rFonts w:ascii="Times New Roman" w:hAnsi="Times New Roman" w:cs="Times New Roman"/>
          <w:color w:val="333333"/>
          <w:sz w:val="24"/>
          <w:szCs w:val="24"/>
          <w:shd w:val="clear" w:color="auto" w:fill="FFFFFF"/>
        </w:rPr>
        <w:t xml:space="preserve"> </w:t>
      </w:r>
    </w:p>
    <w:p w:rsidR="00E94775" w:rsidRPr="001977EB" w:rsidP="008D3EE3" w14:paraId="7C561811" w14:textId="77777777">
      <w:pPr>
        <w:spacing w:line="480" w:lineRule="auto"/>
        <w:ind w:firstLine="720"/>
        <w:rPr>
          <w:rFonts w:ascii="Times New Roman" w:hAnsi="Times New Roman" w:cs="Times New Roman"/>
          <w:color w:val="333333"/>
          <w:sz w:val="24"/>
          <w:szCs w:val="24"/>
          <w:shd w:val="clear" w:color="auto" w:fill="FFFFFF"/>
        </w:rPr>
      </w:pPr>
      <w:r w:rsidRPr="001977EB">
        <w:rPr>
          <w:rFonts w:ascii="Times New Roman" w:hAnsi="Times New Roman" w:cs="Times New Roman"/>
          <w:color w:val="333333"/>
          <w:sz w:val="24"/>
          <w:szCs w:val="24"/>
          <w:shd w:val="clear" w:color="auto" w:fill="FFFFFF"/>
        </w:rPr>
        <w:t>The Auditor explained th</w:t>
      </w:r>
      <w:r w:rsidRPr="001977EB" w:rsidR="00722A07">
        <w:rPr>
          <w:rFonts w:ascii="Times New Roman" w:hAnsi="Times New Roman" w:cs="Times New Roman"/>
          <w:color w:val="333333"/>
          <w:sz w:val="24"/>
          <w:szCs w:val="24"/>
          <w:shd w:val="clear" w:color="auto" w:fill="FFFFFF"/>
        </w:rPr>
        <w:t>is</w:t>
      </w:r>
      <w:r w:rsidRPr="001977EB">
        <w:rPr>
          <w:rFonts w:ascii="Times New Roman" w:hAnsi="Times New Roman" w:cs="Times New Roman"/>
          <w:color w:val="333333"/>
          <w:sz w:val="24"/>
          <w:szCs w:val="24"/>
          <w:shd w:val="clear" w:color="auto" w:fill="FFFFFF"/>
        </w:rPr>
        <w:t xml:space="preserve"> difference between </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must-run</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 xml:space="preserve"> and </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economic</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 xml:space="preserve"> commitment as follows:</w:t>
      </w:r>
    </w:p>
    <w:p w:rsidR="00E94775" w:rsidRPr="001977EB" w:rsidP="00E94775" w14:paraId="0DE63BEA" w14:textId="77777777">
      <w:pPr>
        <w:spacing w:line="240" w:lineRule="auto"/>
        <w:ind w:left="1440" w:right="1440"/>
        <w:rPr>
          <w:rFonts w:ascii="Times New Roman" w:hAnsi="Times New Roman" w:cs="Times New Roman"/>
          <w:color w:val="333333"/>
          <w:sz w:val="24"/>
          <w:szCs w:val="24"/>
          <w:shd w:val="clear" w:color="auto" w:fill="FFFFFF"/>
        </w:rPr>
      </w:pPr>
      <w:r w:rsidRPr="001977EB">
        <w:rPr>
          <w:rFonts w:ascii="Times New Roman" w:hAnsi="Times New Roman" w:cs="Times New Roman"/>
          <w:b/>
          <w:bCs/>
          <w:color w:val="333333"/>
          <w:sz w:val="24"/>
          <w:szCs w:val="24"/>
          <w:shd w:val="clear" w:color="auto" w:fill="FFFFFF"/>
        </w:rPr>
        <w:t>Disposition of energy and capacity</w:t>
      </w:r>
      <w:r w:rsidRPr="001977EB">
        <w:rPr>
          <w:rFonts w:ascii="Times New Roman" w:hAnsi="Times New Roman" w:cs="Times New Roman"/>
          <w:color w:val="333333"/>
          <w:sz w:val="24"/>
          <w:szCs w:val="24"/>
          <w:shd w:val="clear" w:color="auto" w:fill="FFFFFF"/>
        </w:rPr>
        <w:t>: OVEC energy and capacity are sold into the PJM markets. OVEC typically self-schedules its units in the PJM day-ahead market (in other words, OVEC informs PJM that a unit</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 xml:space="preserve">s availability status is </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must-run</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 The alternative to must-run availability status for a unit which is not on outage is to offer the unit so that it may be committed by PJM (in other words, OVEC would inform PJM that the unit</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 xml:space="preserve">s availability status is </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economic</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 Must-run units are committed by the market participant and then dispatched by PJM without regard to whether the hourly energy price is high enough to cover the unit</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s fuel and variable costs.</w:t>
      </w:r>
      <w:r>
        <w:rPr>
          <w:rStyle w:val="FootnoteReference"/>
          <w:rFonts w:ascii="Times New Roman" w:hAnsi="Times New Roman" w:cs="Times New Roman"/>
          <w:color w:val="333333"/>
          <w:sz w:val="24"/>
          <w:szCs w:val="24"/>
          <w:shd w:val="clear" w:color="auto" w:fill="FFFFFF"/>
        </w:rPr>
        <w:footnoteReference w:id="45"/>
      </w:r>
    </w:p>
    <w:p w:rsidR="00D90C19" w:rsidRPr="001977EB" w:rsidP="00E94775" w14:paraId="54953DAC" w14:textId="77777777">
      <w:pPr>
        <w:spacing w:line="240" w:lineRule="auto"/>
        <w:ind w:left="1440" w:right="1440"/>
        <w:rPr>
          <w:rFonts w:ascii="Times New Roman" w:hAnsi="Times New Roman" w:cs="Times New Roman"/>
          <w:color w:val="333333"/>
          <w:sz w:val="24"/>
          <w:szCs w:val="24"/>
          <w:shd w:val="clear" w:color="auto" w:fill="FFFFFF"/>
        </w:rPr>
      </w:pPr>
    </w:p>
    <w:p w:rsidR="00D90C19" w:rsidRPr="001977EB" w:rsidP="00D90C19" w14:paraId="7C6BDC21" w14:textId="77777777">
      <w:pPr>
        <w:spacing w:line="480" w:lineRule="auto"/>
        <w:rPr>
          <w:rFonts w:ascii="Times New Roman" w:hAnsi="Times New Roman" w:cs="Times New Roman"/>
          <w:color w:val="333333"/>
          <w:sz w:val="24"/>
          <w:szCs w:val="24"/>
          <w:shd w:val="clear" w:color="auto" w:fill="FFFFFF"/>
        </w:rPr>
      </w:pPr>
      <w:r w:rsidRPr="001977EB">
        <w:rPr>
          <w:rFonts w:ascii="Times New Roman" w:hAnsi="Times New Roman" w:cs="Times New Roman"/>
          <w:color w:val="333333"/>
          <w:sz w:val="24"/>
          <w:szCs w:val="24"/>
          <w:shd w:val="clear" w:color="auto" w:fill="FFFFFF"/>
        </w:rPr>
        <w:tab/>
        <w:t>The Auditor further explained that the OVEC Operating Committee (comprised of all OVEC co-owners) has a written procedure requir</w:t>
      </w:r>
      <w:r w:rsidRPr="001977EB" w:rsidR="00722A07">
        <w:rPr>
          <w:rFonts w:ascii="Times New Roman" w:hAnsi="Times New Roman" w:cs="Times New Roman"/>
          <w:color w:val="333333"/>
          <w:sz w:val="24"/>
          <w:szCs w:val="24"/>
          <w:shd w:val="clear" w:color="auto" w:fill="FFFFFF"/>
        </w:rPr>
        <w:t>ing</w:t>
      </w:r>
      <w:r w:rsidRPr="001977EB">
        <w:rPr>
          <w:rFonts w:ascii="Times New Roman" w:hAnsi="Times New Roman" w:cs="Times New Roman"/>
          <w:color w:val="333333"/>
          <w:sz w:val="24"/>
          <w:szCs w:val="24"/>
          <w:shd w:val="clear" w:color="auto" w:fill="FFFFFF"/>
        </w:rPr>
        <w:t xml:space="preserve"> that the </w:t>
      </w:r>
      <w:r w:rsidRPr="001977EB" w:rsidR="00722A07">
        <w:rPr>
          <w:rFonts w:ascii="Times New Roman" w:hAnsi="Times New Roman" w:cs="Times New Roman"/>
          <w:color w:val="333333"/>
          <w:sz w:val="24"/>
          <w:szCs w:val="24"/>
          <w:shd w:val="clear" w:color="auto" w:fill="FFFFFF"/>
        </w:rPr>
        <w:t xml:space="preserve">coal </w:t>
      </w:r>
      <w:r w:rsidRPr="001977EB">
        <w:rPr>
          <w:rFonts w:ascii="Times New Roman" w:hAnsi="Times New Roman" w:cs="Times New Roman"/>
          <w:color w:val="333333"/>
          <w:sz w:val="24"/>
          <w:szCs w:val="24"/>
          <w:shd w:val="clear" w:color="auto" w:fill="FFFFFF"/>
        </w:rPr>
        <w:t xml:space="preserve">plants be committed on a </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must-run</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 xml:space="preserve"> basis at all times, unless the co-owners unanimously agree otherwise.</w:t>
      </w:r>
      <w:r>
        <w:rPr>
          <w:rStyle w:val="FootnoteReference"/>
          <w:rFonts w:ascii="Times New Roman" w:hAnsi="Times New Roman" w:cs="Times New Roman"/>
          <w:color w:val="333333"/>
          <w:sz w:val="24"/>
          <w:szCs w:val="24"/>
          <w:shd w:val="clear" w:color="auto" w:fill="FFFFFF"/>
        </w:rPr>
        <w:footnoteReference w:id="46"/>
      </w:r>
      <w:r w:rsidRPr="001977EB" w:rsidR="00FC50DF">
        <w:rPr>
          <w:rFonts w:ascii="Times New Roman" w:hAnsi="Times New Roman" w:cs="Times New Roman"/>
          <w:color w:val="333333"/>
          <w:sz w:val="24"/>
          <w:szCs w:val="24"/>
          <w:shd w:val="clear" w:color="auto" w:fill="FFFFFF"/>
        </w:rPr>
        <w:t xml:space="preserve"> </w:t>
      </w:r>
      <w:r w:rsidRPr="001977EB">
        <w:rPr>
          <w:rFonts w:ascii="Times New Roman" w:hAnsi="Times New Roman" w:cs="Times New Roman"/>
          <w:color w:val="333333"/>
          <w:sz w:val="24"/>
          <w:szCs w:val="24"/>
          <w:shd w:val="clear" w:color="auto" w:fill="FFFFFF"/>
        </w:rPr>
        <w:t xml:space="preserve">During </w:t>
      </w:r>
      <w:r w:rsidRPr="001977EB" w:rsidR="00722A07">
        <w:rPr>
          <w:rFonts w:ascii="Times New Roman" w:hAnsi="Times New Roman" w:cs="Times New Roman"/>
          <w:color w:val="333333"/>
          <w:sz w:val="24"/>
          <w:szCs w:val="24"/>
          <w:shd w:val="clear" w:color="auto" w:fill="FFFFFF"/>
        </w:rPr>
        <w:t>a few months in 2020</w:t>
      </w:r>
      <w:r w:rsidRPr="001977EB">
        <w:rPr>
          <w:rFonts w:ascii="Times New Roman" w:hAnsi="Times New Roman" w:cs="Times New Roman"/>
          <w:color w:val="333333"/>
          <w:sz w:val="24"/>
          <w:szCs w:val="24"/>
          <w:shd w:val="clear" w:color="auto" w:fill="FFFFFF"/>
        </w:rPr>
        <w:t>, the OVEC Operating Committee delegated authority to OVEC management to make these daily commitment decisions.</w:t>
      </w:r>
      <w:r>
        <w:rPr>
          <w:rStyle w:val="FootnoteReference"/>
          <w:rFonts w:ascii="Times New Roman" w:hAnsi="Times New Roman" w:cs="Times New Roman"/>
          <w:color w:val="333333"/>
          <w:sz w:val="24"/>
          <w:szCs w:val="24"/>
          <w:shd w:val="clear" w:color="auto" w:fill="FFFFFF"/>
        </w:rPr>
        <w:footnoteReference w:id="47"/>
      </w:r>
    </w:p>
    <w:p w:rsidR="00D90C19" w:rsidRPr="001977EB" w:rsidP="00D90C19" w14:paraId="50E8C65D" w14:textId="77777777">
      <w:pPr>
        <w:spacing w:line="480" w:lineRule="auto"/>
        <w:rPr>
          <w:rFonts w:ascii="Times New Roman" w:hAnsi="Times New Roman" w:cs="Times New Roman"/>
          <w:color w:val="333333"/>
          <w:sz w:val="24"/>
          <w:szCs w:val="24"/>
          <w:shd w:val="clear" w:color="auto" w:fill="FFFFFF"/>
        </w:rPr>
      </w:pPr>
      <w:r w:rsidRPr="001977EB">
        <w:rPr>
          <w:rFonts w:ascii="Times New Roman" w:hAnsi="Times New Roman" w:cs="Times New Roman"/>
          <w:color w:val="333333"/>
          <w:sz w:val="24"/>
          <w:szCs w:val="24"/>
          <w:shd w:val="clear" w:color="auto" w:fill="FFFFFF"/>
        </w:rPr>
        <w:tab/>
        <w:t>The Audit Report</w:t>
      </w:r>
      <w:r w:rsidRPr="001977EB" w:rsidR="00722A07">
        <w:rPr>
          <w:rFonts w:ascii="Times New Roman" w:hAnsi="Times New Roman" w:cs="Times New Roman"/>
          <w:color w:val="333333"/>
          <w:sz w:val="24"/>
          <w:szCs w:val="24"/>
          <w:shd w:val="clear" w:color="auto" w:fill="FFFFFF"/>
        </w:rPr>
        <w:t>s</w:t>
      </w:r>
      <w:r w:rsidRPr="001977EB">
        <w:rPr>
          <w:rFonts w:ascii="Times New Roman" w:hAnsi="Times New Roman" w:cs="Times New Roman"/>
          <w:color w:val="333333"/>
          <w:sz w:val="24"/>
          <w:szCs w:val="24"/>
          <w:shd w:val="clear" w:color="auto" w:fill="FFFFFF"/>
        </w:rPr>
        <w:t xml:space="preserve"> w</w:t>
      </w:r>
      <w:r w:rsidRPr="001977EB" w:rsidR="00722A07">
        <w:rPr>
          <w:rFonts w:ascii="Times New Roman" w:hAnsi="Times New Roman" w:cs="Times New Roman"/>
          <w:color w:val="333333"/>
          <w:sz w:val="24"/>
          <w:szCs w:val="24"/>
          <w:shd w:val="clear" w:color="auto" w:fill="FFFFFF"/>
        </w:rPr>
        <w:t>ere</w:t>
      </w:r>
      <w:r w:rsidRPr="001977EB">
        <w:rPr>
          <w:rFonts w:ascii="Times New Roman" w:hAnsi="Times New Roman" w:cs="Times New Roman"/>
          <w:color w:val="333333"/>
          <w:sz w:val="24"/>
          <w:szCs w:val="24"/>
          <w:shd w:val="clear" w:color="auto" w:fill="FFFFFF"/>
        </w:rPr>
        <w:t xml:space="preserve"> deficient because the Auditor only examined whether the individual actions of AEP, Duke and DP&amp;L were reasonable.</w:t>
      </w:r>
      <w:r w:rsidRPr="001977EB" w:rsidR="00FC50DF">
        <w:rPr>
          <w:rFonts w:ascii="Times New Roman" w:hAnsi="Times New Roman" w:cs="Times New Roman"/>
          <w:color w:val="333333"/>
          <w:sz w:val="24"/>
          <w:szCs w:val="24"/>
          <w:shd w:val="clear" w:color="auto" w:fill="FFFFFF"/>
        </w:rPr>
        <w:t xml:space="preserve"> </w:t>
      </w:r>
      <w:r w:rsidRPr="001977EB">
        <w:rPr>
          <w:rFonts w:ascii="Times New Roman" w:hAnsi="Times New Roman" w:cs="Times New Roman"/>
          <w:color w:val="333333"/>
          <w:sz w:val="24"/>
          <w:szCs w:val="24"/>
          <w:shd w:val="clear" w:color="auto" w:fill="FFFFFF"/>
        </w:rPr>
        <w:t xml:space="preserve">The Auditor did not review whether the daily </w:t>
      </w:r>
      <w:r w:rsidRPr="001977EB" w:rsidR="00E27A52">
        <w:rPr>
          <w:rFonts w:ascii="Times New Roman" w:hAnsi="Times New Roman" w:cs="Times New Roman"/>
          <w:color w:val="333333"/>
          <w:sz w:val="24"/>
          <w:szCs w:val="24"/>
          <w:shd w:val="clear" w:color="auto" w:fill="FFFFFF"/>
        </w:rPr>
        <w:t xml:space="preserve">commitment </w:t>
      </w:r>
      <w:r w:rsidRPr="001977EB">
        <w:rPr>
          <w:rFonts w:ascii="Times New Roman" w:hAnsi="Times New Roman" w:cs="Times New Roman"/>
          <w:color w:val="333333"/>
          <w:sz w:val="24"/>
          <w:szCs w:val="24"/>
          <w:shd w:val="clear" w:color="auto" w:fill="FFFFFF"/>
        </w:rPr>
        <w:t xml:space="preserve">decisions </w:t>
      </w:r>
      <w:r w:rsidRPr="001977EB" w:rsidR="00722A07">
        <w:rPr>
          <w:rFonts w:ascii="Times New Roman" w:hAnsi="Times New Roman" w:cs="Times New Roman"/>
          <w:color w:val="333333"/>
          <w:sz w:val="24"/>
          <w:szCs w:val="24"/>
          <w:shd w:val="clear" w:color="auto" w:fill="FFFFFF"/>
        </w:rPr>
        <w:t xml:space="preserve">by the OVEC Operating Committee or OVEC management </w:t>
      </w:r>
      <w:r w:rsidRPr="001977EB">
        <w:rPr>
          <w:rFonts w:ascii="Times New Roman" w:hAnsi="Times New Roman" w:cs="Times New Roman"/>
          <w:color w:val="333333"/>
          <w:sz w:val="24"/>
          <w:szCs w:val="24"/>
          <w:shd w:val="clear" w:color="auto" w:fill="FFFFFF"/>
        </w:rPr>
        <w:t>were prudent.</w:t>
      </w:r>
      <w:r w:rsidRPr="001977EB" w:rsidR="00FC50DF">
        <w:rPr>
          <w:rFonts w:ascii="Times New Roman" w:hAnsi="Times New Roman" w:cs="Times New Roman"/>
          <w:color w:val="333333"/>
          <w:sz w:val="24"/>
          <w:szCs w:val="24"/>
          <w:shd w:val="clear" w:color="auto" w:fill="FFFFFF"/>
        </w:rPr>
        <w:t xml:space="preserve"> </w:t>
      </w:r>
      <w:r w:rsidRPr="001977EB">
        <w:rPr>
          <w:rFonts w:ascii="Times New Roman" w:hAnsi="Times New Roman" w:cs="Times New Roman"/>
          <w:color w:val="333333"/>
          <w:sz w:val="24"/>
          <w:szCs w:val="24"/>
          <w:shd w:val="clear" w:color="auto" w:fill="FFFFFF"/>
        </w:rPr>
        <w:t xml:space="preserve">The Auditor </w:t>
      </w:r>
      <w:r w:rsidRPr="001977EB" w:rsidR="00E27A52">
        <w:rPr>
          <w:rFonts w:ascii="Times New Roman" w:hAnsi="Times New Roman" w:cs="Times New Roman"/>
          <w:color w:val="333333"/>
          <w:sz w:val="24"/>
          <w:szCs w:val="24"/>
          <w:shd w:val="clear" w:color="auto" w:fill="FFFFFF"/>
        </w:rPr>
        <w:t xml:space="preserve">confirmed this in </w:t>
      </w:r>
      <w:r w:rsidRPr="001977EB" w:rsidR="00722A07">
        <w:rPr>
          <w:rFonts w:ascii="Times New Roman" w:hAnsi="Times New Roman" w:cs="Times New Roman"/>
          <w:color w:val="333333"/>
          <w:sz w:val="24"/>
          <w:szCs w:val="24"/>
          <w:shd w:val="clear" w:color="auto" w:fill="FFFFFF"/>
        </w:rPr>
        <w:t>her</w:t>
      </w:r>
      <w:r w:rsidRPr="001977EB" w:rsidR="00E27A52">
        <w:rPr>
          <w:rFonts w:ascii="Times New Roman" w:hAnsi="Times New Roman" w:cs="Times New Roman"/>
          <w:color w:val="333333"/>
          <w:sz w:val="24"/>
          <w:szCs w:val="24"/>
          <w:shd w:val="clear" w:color="auto" w:fill="FFFFFF"/>
        </w:rPr>
        <w:t xml:space="preserve"> following </w:t>
      </w:r>
      <w:r w:rsidRPr="001977EB" w:rsidR="00722A07">
        <w:rPr>
          <w:rFonts w:ascii="Times New Roman" w:hAnsi="Times New Roman" w:cs="Times New Roman"/>
          <w:color w:val="333333"/>
          <w:sz w:val="24"/>
          <w:szCs w:val="24"/>
          <w:shd w:val="clear" w:color="auto" w:fill="FFFFFF"/>
        </w:rPr>
        <w:t>testimony</w:t>
      </w:r>
      <w:r w:rsidRPr="001977EB" w:rsidR="00E27A52">
        <w:rPr>
          <w:rFonts w:ascii="Times New Roman" w:hAnsi="Times New Roman" w:cs="Times New Roman"/>
          <w:color w:val="333333"/>
          <w:sz w:val="24"/>
          <w:szCs w:val="24"/>
          <w:shd w:val="clear" w:color="auto" w:fill="FFFFFF"/>
        </w:rPr>
        <w:t>:</w:t>
      </w:r>
    </w:p>
    <w:p w:rsidR="00E27A52" w:rsidRPr="001977EB" w:rsidP="0011459A" w14:paraId="0D0EB8AD" w14:textId="77777777">
      <w:pPr>
        <w:spacing w:line="240" w:lineRule="auto"/>
        <w:ind w:left="2160" w:right="1440" w:hanging="720"/>
        <w:rPr>
          <w:rFonts w:ascii="Times New Roman" w:hAnsi="Times New Roman" w:cs="Times New Roman"/>
          <w:color w:val="333333"/>
          <w:sz w:val="24"/>
          <w:szCs w:val="24"/>
          <w:shd w:val="clear" w:color="auto" w:fill="FFFFFF"/>
        </w:rPr>
      </w:pPr>
      <w:r w:rsidRPr="001977EB">
        <w:rPr>
          <w:rFonts w:ascii="Times New Roman" w:hAnsi="Times New Roman" w:cs="Times New Roman"/>
          <w:color w:val="333333"/>
          <w:sz w:val="24"/>
          <w:szCs w:val="24"/>
          <w:shd w:val="clear" w:color="auto" w:fill="FFFFFF"/>
        </w:rPr>
        <w:t>Q.</w:t>
      </w:r>
      <w:r w:rsidRPr="001977EB" w:rsidR="0011459A">
        <w:rPr>
          <w:rFonts w:ascii="Times New Roman" w:hAnsi="Times New Roman" w:cs="Times New Roman"/>
          <w:color w:val="333333"/>
          <w:sz w:val="24"/>
          <w:szCs w:val="24"/>
          <w:shd w:val="clear" w:color="auto" w:fill="FFFFFF"/>
        </w:rPr>
        <w:tab/>
      </w:r>
      <w:r w:rsidRPr="001977EB">
        <w:rPr>
          <w:rFonts w:ascii="Times New Roman" w:hAnsi="Times New Roman" w:cs="Times New Roman"/>
          <w:color w:val="333333"/>
          <w:sz w:val="24"/>
          <w:szCs w:val="24"/>
          <w:shd w:val="clear" w:color="auto" w:fill="FFFFFF"/>
        </w:rPr>
        <w:t>But as you sit here today, you don</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t remember reviewing any information that OVEC might have used to make those commitment decisions?</w:t>
      </w:r>
      <w:r w:rsidRPr="001977EB" w:rsidR="00FC50DF">
        <w:rPr>
          <w:rFonts w:ascii="Times New Roman" w:hAnsi="Times New Roman" w:cs="Times New Roman"/>
          <w:color w:val="333333"/>
          <w:sz w:val="24"/>
          <w:szCs w:val="24"/>
          <w:shd w:val="clear" w:color="auto" w:fill="FFFFFF"/>
        </w:rPr>
        <w:t xml:space="preserve"> </w:t>
      </w:r>
    </w:p>
    <w:p w:rsidR="00E27A52" w:rsidRPr="001977EB" w:rsidP="0011459A" w14:paraId="08CF84FD" w14:textId="77777777">
      <w:pPr>
        <w:spacing w:line="240" w:lineRule="auto"/>
        <w:ind w:left="2160" w:right="1440" w:hanging="720"/>
        <w:rPr>
          <w:rFonts w:ascii="Times New Roman" w:hAnsi="Times New Roman" w:cs="Times New Roman"/>
          <w:color w:val="333333"/>
          <w:sz w:val="24"/>
          <w:szCs w:val="24"/>
          <w:shd w:val="clear" w:color="auto" w:fill="FFFFFF"/>
        </w:rPr>
      </w:pPr>
    </w:p>
    <w:p w:rsidR="00E27A52" w:rsidRPr="001977EB" w:rsidP="0011459A" w14:paraId="1C2DA3F8" w14:textId="77777777">
      <w:pPr>
        <w:spacing w:line="240" w:lineRule="auto"/>
        <w:ind w:left="2160" w:right="1440" w:hanging="720"/>
        <w:rPr>
          <w:rFonts w:ascii="Times New Roman" w:hAnsi="Times New Roman" w:cs="Times New Roman"/>
          <w:color w:val="333333"/>
          <w:sz w:val="24"/>
          <w:szCs w:val="24"/>
          <w:shd w:val="clear" w:color="auto" w:fill="FFFFFF"/>
        </w:rPr>
      </w:pPr>
      <w:r w:rsidRPr="001977EB">
        <w:rPr>
          <w:rFonts w:ascii="Times New Roman" w:hAnsi="Times New Roman" w:cs="Times New Roman"/>
          <w:color w:val="333333"/>
          <w:sz w:val="24"/>
          <w:szCs w:val="24"/>
          <w:shd w:val="clear" w:color="auto" w:fill="FFFFFF"/>
        </w:rPr>
        <w:t>A.</w:t>
      </w:r>
      <w:r w:rsidRPr="001977EB" w:rsidR="0011459A">
        <w:rPr>
          <w:rFonts w:ascii="Times New Roman" w:hAnsi="Times New Roman" w:cs="Times New Roman"/>
          <w:color w:val="333333"/>
          <w:sz w:val="24"/>
          <w:szCs w:val="24"/>
          <w:shd w:val="clear" w:color="auto" w:fill="FFFFFF"/>
        </w:rPr>
        <w:tab/>
      </w:r>
      <w:r w:rsidRPr="001977EB">
        <w:rPr>
          <w:rFonts w:ascii="Times New Roman" w:hAnsi="Times New Roman" w:cs="Times New Roman"/>
          <w:color w:val="333333"/>
          <w:sz w:val="24"/>
          <w:szCs w:val="24"/>
          <w:shd w:val="clear" w:color="auto" w:fill="FFFFFF"/>
        </w:rPr>
        <w:t>For example, we didn</w:t>
      </w:r>
      <w:r w:rsidR="001977EB">
        <w:rPr>
          <w:rFonts w:ascii="Times New Roman" w:hAnsi="Times New Roman" w:cs="Times New Roman"/>
          <w:color w:val="333333"/>
          <w:sz w:val="24"/>
          <w:szCs w:val="24"/>
          <w:shd w:val="clear" w:color="auto" w:fill="FFFFFF"/>
        </w:rPr>
        <w:t>’</w:t>
      </w:r>
      <w:r w:rsidRPr="001977EB">
        <w:rPr>
          <w:rFonts w:ascii="Times New Roman" w:hAnsi="Times New Roman" w:cs="Times New Roman"/>
          <w:color w:val="333333"/>
          <w:sz w:val="24"/>
          <w:szCs w:val="24"/>
          <w:shd w:val="clear" w:color="auto" w:fill="FFFFFF"/>
        </w:rPr>
        <w:t>t, for example, ask what was your projection of energy price over the next few weeks.</w:t>
      </w:r>
      <w:r w:rsidRPr="001977EB" w:rsidR="00FC50DF">
        <w:rPr>
          <w:rFonts w:ascii="Times New Roman" w:hAnsi="Times New Roman" w:cs="Times New Roman"/>
          <w:color w:val="333333"/>
          <w:sz w:val="24"/>
          <w:szCs w:val="24"/>
          <w:shd w:val="clear" w:color="auto" w:fill="FFFFFF"/>
        </w:rPr>
        <w:t xml:space="preserve"> </w:t>
      </w:r>
      <w:r w:rsidRPr="001977EB">
        <w:rPr>
          <w:rFonts w:ascii="Times New Roman" w:hAnsi="Times New Roman" w:cs="Times New Roman"/>
          <w:color w:val="333333"/>
          <w:sz w:val="24"/>
          <w:szCs w:val="24"/>
          <w:shd w:val="clear" w:color="auto" w:fill="FFFFFF"/>
        </w:rPr>
        <w:t>So, no, we did not ask.</w:t>
      </w:r>
      <w:r>
        <w:rPr>
          <w:rStyle w:val="FootnoteReference"/>
          <w:rFonts w:ascii="Times New Roman" w:hAnsi="Times New Roman" w:cs="Times New Roman"/>
          <w:color w:val="333333"/>
          <w:sz w:val="24"/>
          <w:szCs w:val="24"/>
          <w:shd w:val="clear" w:color="auto" w:fill="FFFFFF"/>
        </w:rPr>
        <w:footnoteReference w:id="48"/>
      </w:r>
    </w:p>
    <w:p w:rsidR="008D3EE3" w:rsidRPr="001977EB" w:rsidP="00E23F8A" w14:paraId="1DF83491" w14:textId="77777777">
      <w:pPr>
        <w:spacing w:line="240" w:lineRule="auto"/>
        <w:rPr>
          <w:rFonts w:ascii="Times New Roman" w:hAnsi="Times New Roman" w:cs="Times New Roman"/>
          <w:b/>
          <w:bCs/>
          <w:sz w:val="24"/>
          <w:szCs w:val="24"/>
        </w:rPr>
      </w:pPr>
    </w:p>
    <w:p w:rsidR="004C4CC2" w:rsidRPr="001977EB" w:rsidP="005363F4" w14:paraId="56055F7D"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 xml:space="preserve">The Auditor was required under R.C. 4928.148(A)(1) to determine the prudence of </w:t>
      </w:r>
      <w:r w:rsidR="001977EB">
        <w:rPr>
          <w:rFonts w:ascii="Times New Roman" w:hAnsi="Times New Roman" w:cs="Times New Roman"/>
          <w:sz w:val="24"/>
          <w:szCs w:val="24"/>
        </w:rPr>
        <w:t>“</w:t>
      </w:r>
      <w:r w:rsidRPr="001977EB">
        <w:rPr>
          <w:rFonts w:ascii="Times New Roman" w:hAnsi="Times New Roman" w:cs="Times New Roman"/>
          <w:sz w:val="24"/>
          <w:szCs w:val="24"/>
        </w:rPr>
        <w:t>decisions related to offering the contractual commitment into the wholesale markets.</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49"/>
      </w:r>
      <w:r w:rsidRPr="001977EB" w:rsidR="00FC50DF">
        <w:rPr>
          <w:rFonts w:ascii="Times New Roman" w:hAnsi="Times New Roman" w:cs="Times New Roman"/>
          <w:sz w:val="24"/>
          <w:szCs w:val="24"/>
        </w:rPr>
        <w:t xml:space="preserve"> </w:t>
      </w:r>
      <w:r w:rsidRPr="001977EB" w:rsidR="005363F4">
        <w:rPr>
          <w:rFonts w:ascii="Times New Roman" w:hAnsi="Times New Roman" w:cs="Times New Roman"/>
          <w:sz w:val="24"/>
          <w:szCs w:val="24"/>
        </w:rPr>
        <w:t xml:space="preserve">This is a statutory requirement which can neither be waived </w:t>
      </w:r>
      <w:r w:rsidRPr="001977EB" w:rsidR="00722A07">
        <w:rPr>
          <w:rFonts w:ascii="Times New Roman" w:hAnsi="Times New Roman" w:cs="Times New Roman"/>
          <w:sz w:val="24"/>
          <w:szCs w:val="24"/>
        </w:rPr>
        <w:t>n</w:t>
      </w:r>
      <w:r w:rsidRPr="001977EB" w:rsidR="005363F4">
        <w:rPr>
          <w:rFonts w:ascii="Times New Roman" w:hAnsi="Times New Roman" w:cs="Times New Roman"/>
          <w:sz w:val="24"/>
          <w:szCs w:val="24"/>
        </w:rPr>
        <w:t>or excused.</w:t>
      </w:r>
      <w:r w:rsidRPr="001977EB" w:rsidR="00FC50DF">
        <w:rPr>
          <w:rFonts w:ascii="Times New Roman" w:hAnsi="Times New Roman" w:cs="Times New Roman"/>
          <w:sz w:val="24"/>
          <w:szCs w:val="24"/>
        </w:rPr>
        <w:t xml:space="preserve"> </w:t>
      </w:r>
      <w:r w:rsidRPr="001977EB" w:rsidR="005363F4">
        <w:rPr>
          <w:rFonts w:ascii="Times New Roman" w:hAnsi="Times New Roman" w:cs="Times New Roman"/>
          <w:sz w:val="24"/>
          <w:szCs w:val="24"/>
        </w:rPr>
        <w:t>The Auditor failed to examine the prudency of the daily commitment decisions because she did not examine the economic analysis (or lack thereof) underpinning such decisions</w:t>
      </w:r>
      <w:r w:rsidRPr="001977EB" w:rsidR="00722A07">
        <w:rPr>
          <w:rFonts w:ascii="Times New Roman" w:hAnsi="Times New Roman" w:cs="Times New Roman"/>
          <w:sz w:val="24"/>
          <w:szCs w:val="24"/>
        </w:rPr>
        <w:t xml:space="preserve"> by the OVEC Operating Committee or OVEC management</w:t>
      </w:r>
      <w:r w:rsidRPr="001977EB" w:rsidR="005363F4">
        <w:rPr>
          <w:rFonts w:ascii="Times New Roman" w:hAnsi="Times New Roman" w:cs="Times New Roman"/>
          <w:sz w:val="24"/>
          <w:szCs w:val="24"/>
        </w:rPr>
        <w:t>.</w:t>
      </w:r>
      <w:r w:rsidRPr="001977EB" w:rsidR="00FC50DF">
        <w:rPr>
          <w:rFonts w:ascii="Times New Roman" w:hAnsi="Times New Roman" w:cs="Times New Roman"/>
          <w:sz w:val="24"/>
          <w:szCs w:val="24"/>
        </w:rPr>
        <w:t xml:space="preserve"> </w:t>
      </w:r>
      <w:r w:rsidRPr="001977EB" w:rsidR="005363F4">
        <w:rPr>
          <w:rFonts w:ascii="Times New Roman" w:hAnsi="Times New Roman" w:cs="Times New Roman"/>
          <w:sz w:val="24"/>
          <w:szCs w:val="24"/>
        </w:rPr>
        <w:t xml:space="preserve">AEP, Duke and DP&amp;L therefore failed to meet their burden </w:t>
      </w:r>
      <w:r w:rsidRPr="001977EB" w:rsidR="00722A07">
        <w:rPr>
          <w:rFonts w:ascii="Times New Roman" w:hAnsi="Times New Roman" w:cs="Times New Roman"/>
          <w:sz w:val="24"/>
          <w:szCs w:val="24"/>
        </w:rPr>
        <w:t>of</w:t>
      </w:r>
      <w:r w:rsidRPr="001977EB" w:rsidR="005363F4">
        <w:rPr>
          <w:rFonts w:ascii="Times New Roman" w:hAnsi="Times New Roman" w:cs="Times New Roman"/>
          <w:sz w:val="24"/>
          <w:szCs w:val="24"/>
        </w:rPr>
        <w:t xml:space="preserve"> proof and the full $105 million in overcharges should be disallowed.</w:t>
      </w:r>
    </w:p>
    <w:p w:rsidR="004C4CC2" w:rsidRPr="001977EB" w14:paraId="272D1CD2" w14:textId="77777777">
      <w:pPr>
        <w:rPr>
          <w:rFonts w:ascii="Times New Roman" w:hAnsi="Times New Roman" w:cs="Times New Roman"/>
          <w:sz w:val="24"/>
          <w:szCs w:val="24"/>
        </w:rPr>
      </w:pPr>
      <w:r w:rsidRPr="001977EB">
        <w:rPr>
          <w:rFonts w:ascii="Times New Roman" w:hAnsi="Times New Roman" w:cs="Times New Roman"/>
          <w:sz w:val="24"/>
          <w:szCs w:val="24"/>
        </w:rPr>
        <w:br w:type="page"/>
      </w:r>
    </w:p>
    <w:p w:rsidR="0055663C" w:rsidRPr="001977EB" w:rsidP="00344E91" w14:paraId="08B77909" w14:textId="77777777">
      <w:pPr>
        <w:pStyle w:val="Heading2"/>
        <w:numPr>
          <w:ilvl w:val="0"/>
          <w:numId w:val="0"/>
        </w:numPr>
        <w:ind w:left="1440" w:hanging="720"/>
      </w:pPr>
      <w:bookmarkStart w:id="16" w:name="_Toc158641647"/>
      <w:r w:rsidRPr="001977EB">
        <w:t>D.</w:t>
      </w:r>
      <w:r w:rsidRPr="001977EB">
        <w:tab/>
      </w:r>
      <w:r w:rsidRPr="001977EB" w:rsidR="00E402C0">
        <w:t xml:space="preserve">The </w:t>
      </w:r>
      <w:r w:rsidRPr="001977EB" w:rsidR="00F44D4C">
        <w:t xml:space="preserve">coal plants were committed into the Day-Ahead Energy market as </w:t>
      </w:r>
      <w:r w:rsidR="001977EB">
        <w:t>“</w:t>
      </w:r>
      <w:r w:rsidRPr="001977EB" w:rsidR="00F44D4C">
        <w:t>must-run</w:t>
      </w:r>
      <w:r w:rsidR="001977EB">
        <w:t>”</w:t>
      </w:r>
      <w:r w:rsidRPr="001977EB" w:rsidR="00F44D4C">
        <w:t xml:space="preserve"> during most of the year.</w:t>
      </w:r>
      <w:r w:rsidRPr="001977EB" w:rsidR="00FC50DF">
        <w:t xml:space="preserve"> </w:t>
      </w:r>
      <w:r w:rsidRPr="001977EB" w:rsidR="00A94CC8">
        <w:t>T</w:t>
      </w:r>
      <w:r w:rsidRPr="001977EB" w:rsidR="00F44D4C">
        <w:t>he coal plants</w:t>
      </w:r>
      <w:r w:rsidR="001977EB">
        <w:t>’</w:t>
      </w:r>
      <w:r w:rsidRPr="001977EB" w:rsidR="00F44D4C">
        <w:t xml:space="preserve"> variable fuel and O&amp;M costs</w:t>
      </w:r>
      <w:r w:rsidRPr="001977EB" w:rsidR="00A94CC8">
        <w:t>, however, exceeded the PJM revenues from the sale of electricity</w:t>
      </w:r>
      <w:r w:rsidRPr="001977EB" w:rsidR="00F44D4C">
        <w:t>.</w:t>
      </w:r>
      <w:r w:rsidRPr="001977EB" w:rsidR="00FC50DF">
        <w:t xml:space="preserve"> </w:t>
      </w:r>
      <w:r w:rsidRPr="001977EB" w:rsidR="00F44D4C">
        <w:t>This led to the $105 million in overcharges.</w:t>
      </w:r>
      <w:r w:rsidRPr="001977EB" w:rsidR="00FC50DF">
        <w:t xml:space="preserve"> </w:t>
      </w:r>
      <w:r w:rsidRPr="001977EB" w:rsidR="00F44D4C">
        <w:t>It was imprudent</w:t>
      </w:r>
      <w:r w:rsidRPr="001977EB">
        <w:t xml:space="preserve"> and not in consumers</w:t>
      </w:r>
      <w:r w:rsidR="001977EB">
        <w:t>’</w:t>
      </w:r>
      <w:r w:rsidRPr="001977EB">
        <w:t xml:space="preserve"> best interest</w:t>
      </w:r>
      <w:r w:rsidRPr="001977EB" w:rsidR="00F44D4C">
        <w:t xml:space="preserve"> to commit the plants as </w:t>
      </w:r>
      <w:r w:rsidR="001977EB">
        <w:t>“</w:t>
      </w:r>
      <w:r w:rsidRPr="001977EB" w:rsidR="00F44D4C">
        <w:t>must-run</w:t>
      </w:r>
      <w:r w:rsidR="001977EB">
        <w:t>”</w:t>
      </w:r>
      <w:r w:rsidRPr="001977EB" w:rsidR="00F44D4C">
        <w:t xml:space="preserve"> when these significant losses were foreseeable.</w:t>
      </w:r>
      <w:r w:rsidRPr="001977EB" w:rsidR="00FC50DF">
        <w:t xml:space="preserve"> </w:t>
      </w:r>
      <w:r w:rsidRPr="001977EB" w:rsidR="00F44D4C">
        <w:t>The PUCO should therefore disallow the overcharges.</w:t>
      </w:r>
      <w:bookmarkEnd w:id="16"/>
    </w:p>
    <w:p w:rsidR="0055663C" w:rsidRPr="001977EB" w:rsidP="00A94CC8" w14:paraId="01AB1275"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 xml:space="preserve">As discussed in </w:t>
      </w:r>
      <w:r w:rsidRPr="00102458" w:rsidR="00C82AB0">
        <w:rPr>
          <w:rFonts w:ascii="Times New Roman" w:eastAsia="Times New Roman" w:hAnsi="Times New Roman" w:cs="Times New Roman"/>
          <w:sz w:val="24"/>
          <w:szCs w:val="24"/>
        </w:rPr>
        <w:t>Section I</w:t>
      </w:r>
      <w:r w:rsidR="00DC1F15">
        <w:rPr>
          <w:rFonts w:ascii="Times New Roman" w:eastAsia="Times New Roman" w:hAnsi="Times New Roman" w:cs="Times New Roman"/>
          <w:sz w:val="24"/>
          <w:szCs w:val="24"/>
        </w:rPr>
        <w:t>II</w:t>
      </w:r>
      <w:r w:rsidRPr="00102458" w:rsidR="00C82AB0">
        <w:rPr>
          <w:rFonts w:ascii="Times New Roman" w:eastAsia="Times New Roman" w:hAnsi="Times New Roman" w:cs="Times New Roman"/>
          <w:sz w:val="24"/>
          <w:szCs w:val="24"/>
        </w:rPr>
        <w:t>(C)</w:t>
      </w:r>
      <w:r w:rsidRPr="001977EB" w:rsidR="00C82AB0">
        <w:rPr>
          <w:rFonts w:ascii="Times New Roman" w:eastAsia="Times New Roman" w:hAnsi="Times New Roman" w:cs="Times New Roman"/>
          <w:b/>
          <w:bCs/>
          <w:sz w:val="24"/>
          <w:szCs w:val="24"/>
        </w:rPr>
        <w:t xml:space="preserve"> </w:t>
      </w:r>
      <w:r w:rsidRPr="001977EB">
        <w:rPr>
          <w:rFonts w:ascii="Times New Roman" w:eastAsia="Times New Roman" w:hAnsi="Times New Roman" w:cs="Times New Roman"/>
          <w:sz w:val="24"/>
          <w:szCs w:val="24"/>
        </w:rPr>
        <w:t xml:space="preserve">above, the coal plants were committed into the Day-Ahead Energy market as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must-run</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during most of 2020.</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During these times</w:t>
      </w:r>
      <w:r w:rsidRPr="001977EB" w:rsidR="00351D95">
        <w:rPr>
          <w:rFonts w:ascii="Times New Roman" w:eastAsia="Times New Roman" w:hAnsi="Times New Roman" w:cs="Times New Roman"/>
          <w:sz w:val="24"/>
          <w:szCs w:val="24"/>
        </w:rPr>
        <w:t>, t</w:t>
      </w:r>
      <w:r w:rsidRPr="001977EB" w:rsidR="00AB6313">
        <w:rPr>
          <w:rFonts w:ascii="Times New Roman" w:eastAsia="Times New Roman" w:hAnsi="Times New Roman" w:cs="Times New Roman"/>
          <w:sz w:val="24"/>
          <w:szCs w:val="24"/>
        </w:rPr>
        <w:t xml:space="preserve">he </w:t>
      </w:r>
      <w:r w:rsidRPr="001977EB">
        <w:rPr>
          <w:rFonts w:ascii="Times New Roman" w:eastAsia="Times New Roman" w:hAnsi="Times New Roman" w:cs="Times New Roman"/>
          <w:sz w:val="24"/>
          <w:szCs w:val="24"/>
        </w:rPr>
        <w:t>c</w:t>
      </w:r>
      <w:r w:rsidRPr="001977EB" w:rsidR="00351D95">
        <w:rPr>
          <w:rFonts w:ascii="Times New Roman" w:eastAsia="Times New Roman" w:hAnsi="Times New Roman" w:cs="Times New Roman"/>
          <w:sz w:val="24"/>
          <w:szCs w:val="24"/>
        </w:rPr>
        <w:t xml:space="preserve">oal </w:t>
      </w:r>
      <w:r w:rsidRPr="001977EB">
        <w:rPr>
          <w:rFonts w:ascii="Times New Roman" w:eastAsia="Times New Roman" w:hAnsi="Times New Roman" w:cs="Times New Roman"/>
          <w:sz w:val="24"/>
          <w:szCs w:val="24"/>
        </w:rPr>
        <w:t>p</w:t>
      </w:r>
      <w:r w:rsidRPr="001977EB" w:rsidR="00AB6313">
        <w:rPr>
          <w:rFonts w:ascii="Times New Roman" w:eastAsia="Times New Roman" w:hAnsi="Times New Roman" w:cs="Times New Roman"/>
          <w:sz w:val="24"/>
          <w:szCs w:val="24"/>
        </w:rPr>
        <w:t>lants</w:t>
      </w:r>
      <w:r w:rsidR="001977EB">
        <w:rPr>
          <w:rFonts w:ascii="Times New Roman" w:eastAsia="Times New Roman" w:hAnsi="Times New Roman" w:cs="Times New Roman"/>
          <w:sz w:val="24"/>
          <w:szCs w:val="24"/>
        </w:rPr>
        <w:t>’</w:t>
      </w:r>
      <w:r w:rsidRPr="001977EB" w:rsidR="00AB6313">
        <w:rPr>
          <w:rFonts w:ascii="Times New Roman" w:eastAsia="Times New Roman" w:hAnsi="Times New Roman" w:cs="Times New Roman"/>
          <w:sz w:val="24"/>
          <w:szCs w:val="24"/>
        </w:rPr>
        <w:t xml:space="preserve"> variable </w:t>
      </w:r>
      <w:r w:rsidRPr="001977EB" w:rsidR="00351D95">
        <w:rPr>
          <w:rFonts w:ascii="Times New Roman" w:eastAsia="Times New Roman" w:hAnsi="Times New Roman" w:cs="Times New Roman"/>
          <w:sz w:val="24"/>
          <w:szCs w:val="24"/>
        </w:rPr>
        <w:t xml:space="preserve">operating </w:t>
      </w:r>
      <w:r w:rsidRPr="001977EB" w:rsidR="00AB6313">
        <w:rPr>
          <w:rFonts w:ascii="Times New Roman" w:eastAsia="Times New Roman" w:hAnsi="Times New Roman" w:cs="Times New Roman"/>
          <w:sz w:val="24"/>
          <w:szCs w:val="24"/>
        </w:rPr>
        <w:t xml:space="preserve">costs </w:t>
      </w:r>
      <w:r w:rsidRPr="001977EB" w:rsidR="00351D95">
        <w:rPr>
          <w:rFonts w:ascii="Times New Roman" w:eastAsia="Times New Roman" w:hAnsi="Times New Roman" w:cs="Times New Roman"/>
          <w:sz w:val="24"/>
          <w:szCs w:val="24"/>
        </w:rPr>
        <w:t xml:space="preserve">(fuel and variable O&amp;M) </w:t>
      </w:r>
      <w:r w:rsidRPr="001977EB" w:rsidR="008B035D">
        <w:rPr>
          <w:rFonts w:ascii="Times New Roman" w:eastAsia="Times New Roman" w:hAnsi="Times New Roman" w:cs="Times New Roman"/>
          <w:sz w:val="24"/>
          <w:szCs w:val="24"/>
        </w:rPr>
        <w:t xml:space="preserve">exceeded </w:t>
      </w:r>
      <w:r w:rsidRPr="001977EB" w:rsidR="00351D95">
        <w:rPr>
          <w:rFonts w:ascii="Times New Roman" w:eastAsia="Times New Roman" w:hAnsi="Times New Roman" w:cs="Times New Roman"/>
          <w:sz w:val="24"/>
          <w:szCs w:val="24"/>
        </w:rPr>
        <w:t>the market price of the electricity generated by the fuel</w:t>
      </w:r>
      <w:r w:rsidRPr="001977EB" w:rsidR="00AB631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0"/>
      </w:r>
      <w:r w:rsidRPr="001977EB" w:rsidR="006C40F0">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 xml:space="preserve">Nevertheless, the coal plants were committed as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must-run</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during these periods.</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This directly led to the overcharges and was imprudent and not in consumers</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best interest.</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The PUCO should therefore disallow the entire $105 million in above-market costs.</w:t>
      </w:r>
    </w:p>
    <w:p w:rsidR="008A254D" w:rsidRPr="001977EB" w:rsidP="008A254D" w14:paraId="1AEFD139"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OCC witness Dr. Elizabeth Stanto</w:t>
      </w:r>
      <w:r w:rsidRPr="001977EB" w:rsidR="006972C3">
        <w:rPr>
          <w:rFonts w:ascii="Times New Roman" w:hAnsi="Times New Roman" w:cs="Times New Roman"/>
          <w:sz w:val="24"/>
          <w:szCs w:val="24"/>
        </w:rPr>
        <w:t>n identified two problems arising from OVEC</w:t>
      </w:r>
      <w:r w:rsidR="001977EB">
        <w:rPr>
          <w:rFonts w:ascii="Times New Roman" w:hAnsi="Times New Roman" w:cs="Times New Roman"/>
          <w:sz w:val="24"/>
          <w:szCs w:val="24"/>
        </w:rPr>
        <w:t>’</w:t>
      </w:r>
      <w:r w:rsidRPr="001977EB" w:rsidR="006972C3">
        <w:rPr>
          <w:rFonts w:ascii="Times New Roman" w:hAnsi="Times New Roman" w:cs="Times New Roman"/>
          <w:sz w:val="24"/>
          <w:szCs w:val="24"/>
        </w:rPr>
        <w:t xml:space="preserve">s use of the </w:t>
      </w:r>
      <w:r w:rsidR="001977EB">
        <w:rPr>
          <w:rFonts w:ascii="Times New Roman" w:hAnsi="Times New Roman" w:cs="Times New Roman"/>
          <w:sz w:val="24"/>
          <w:szCs w:val="24"/>
        </w:rPr>
        <w:t>“</w:t>
      </w:r>
      <w:r w:rsidRPr="001977EB" w:rsidR="006972C3">
        <w:rPr>
          <w:rFonts w:ascii="Times New Roman" w:hAnsi="Times New Roman" w:cs="Times New Roman"/>
          <w:sz w:val="24"/>
          <w:szCs w:val="24"/>
        </w:rPr>
        <w:t>must-run</w:t>
      </w:r>
      <w:r w:rsidR="001977EB">
        <w:rPr>
          <w:rFonts w:ascii="Times New Roman" w:hAnsi="Times New Roman" w:cs="Times New Roman"/>
          <w:sz w:val="24"/>
          <w:szCs w:val="24"/>
        </w:rPr>
        <w:t>”</w:t>
      </w:r>
      <w:r w:rsidRPr="001977EB" w:rsidR="006972C3">
        <w:rPr>
          <w:rFonts w:ascii="Times New Roman" w:hAnsi="Times New Roman" w:cs="Times New Roman"/>
          <w:sz w:val="24"/>
          <w:szCs w:val="24"/>
        </w:rPr>
        <w:t xml:space="preserve"> commitment:</w:t>
      </w:r>
    </w:p>
    <w:p w:rsidR="006972C3" w:rsidRPr="001977EB" w:rsidP="0049043E" w14:paraId="7D3A2C75" w14:textId="77777777">
      <w:pPr>
        <w:pStyle w:val="ListParagraph"/>
        <w:numPr>
          <w:ilvl w:val="0"/>
          <w:numId w:val="38"/>
        </w:numPr>
        <w:spacing w:line="240" w:lineRule="auto"/>
        <w:ind w:left="2160" w:right="1440" w:hanging="760"/>
        <w:rPr>
          <w:rFonts w:ascii="Times New Roman" w:hAnsi="Times New Roman" w:cs="Times New Roman"/>
          <w:sz w:val="24"/>
          <w:szCs w:val="24"/>
        </w:rPr>
      </w:pPr>
      <w:r w:rsidRPr="001977EB">
        <w:rPr>
          <w:rFonts w:ascii="Times New Roman" w:hAnsi="Times New Roman" w:cs="Times New Roman"/>
          <w:sz w:val="24"/>
          <w:szCs w:val="24"/>
        </w:rPr>
        <w:t>if the units are operating when the energy price (or locational marginal price (LMP)) is lower than the units</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energy costs then consumers are paying a premium; and </w:t>
      </w:r>
    </w:p>
    <w:p w:rsidR="006972C3" w:rsidRPr="001977EB" w:rsidP="0049043E" w14:paraId="3BC8708D" w14:textId="77777777">
      <w:pPr>
        <w:pStyle w:val="ListParagraph"/>
        <w:spacing w:line="240" w:lineRule="auto"/>
        <w:ind w:left="2160" w:right="1440" w:hanging="760"/>
        <w:rPr>
          <w:rFonts w:ascii="Times New Roman" w:hAnsi="Times New Roman" w:cs="Times New Roman"/>
          <w:sz w:val="24"/>
          <w:szCs w:val="24"/>
        </w:rPr>
      </w:pPr>
    </w:p>
    <w:p w:rsidR="006972C3" w:rsidRPr="001977EB" w:rsidP="0049043E" w14:paraId="1392A85E" w14:textId="77777777">
      <w:pPr>
        <w:pStyle w:val="ListParagraph"/>
        <w:numPr>
          <w:ilvl w:val="0"/>
          <w:numId w:val="38"/>
        </w:numPr>
        <w:spacing w:line="240" w:lineRule="auto"/>
        <w:ind w:left="2160" w:right="1440" w:hanging="760"/>
        <w:rPr>
          <w:rFonts w:ascii="Times New Roman" w:hAnsi="Times New Roman" w:cs="Times New Roman"/>
          <w:sz w:val="24"/>
          <w:szCs w:val="24"/>
        </w:rPr>
      </w:pPr>
      <w:r w:rsidRPr="001977EB">
        <w:rPr>
          <w:rFonts w:ascii="Times New Roman" w:hAnsi="Times New Roman" w:cs="Times New Roman"/>
          <w:sz w:val="24"/>
          <w:szCs w:val="24"/>
        </w:rPr>
        <w:t xml:space="preserve">by opting out of economic commitment from PJM, the units forgo the collection of </w:t>
      </w:r>
      <w:r w:rsidR="001977EB">
        <w:rPr>
          <w:rFonts w:ascii="Times New Roman" w:hAnsi="Times New Roman" w:cs="Times New Roman"/>
          <w:sz w:val="24"/>
          <w:szCs w:val="24"/>
        </w:rPr>
        <w:t>“</w:t>
      </w:r>
      <w:r w:rsidRPr="001977EB">
        <w:rPr>
          <w:rFonts w:ascii="Times New Roman" w:hAnsi="Times New Roman" w:cs="Times New Roman"/>
          <w:sz w:val="24"/>
          <w:szCs w:val="24"/>
        </w:rPr>
        <w:t>make whole</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payments that would compensate them if they were market-committed by PJM and did not recover their energy costs for that day.</w:t>
      </w:r>
      <w:r>
        <w:rPr>
          <w:rStyle w:val="FootnoteReference"/>
          <w:rFonts w:ascii="Times New Roman" w:hAnsi="Times New Roman" w:cs="Times New Roman"/>
          <w:sz w:val="24"/>
          <w:szCs w:val="24"/>
        </w:rPr>
        <w:footnoteReference w:id="51"/>
      </w:r>
    </w:p>
    <w:p w:rsidR="006972C3" w:rsidRPr="001977EB" w:rsidP="006972C3" w14:paraId="7C51DB23" w14:textId="77777777">
      <w:pPr>
        <w:spacing w:line="240" w:lineRule="auto"/>
        <w:rPr>
          <w:rFonts w:ascii="Times New Roman" w:hAnsi="Times New Roman" w:cs="Times New Roman"/>
          <w:sz w:val="24"/>
          <w:szCs w:val="24"/>
        </w:rPr>
      </w:pPr>
    </w:p>
    <w:p w:rsidR="00FD5515" w:rsidRPr="001977EB" w:rsidP="00FD5515" w14:paraId="6B50C85F"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Dr. Stanton compared the PJM energy market prices versus the OVEC fuel and variable costs throughout 2020.</w:t>
      </w:r>
      <w:r>
        <w:rPr>
          <w:rStyle w:val="FootnoteReference"/>
          <w:rFonts w:ascii="Times New Roman" w:hAnsi="Times New Roman" w:cs="Times New Roman"/>
          <w:sz w:val="24"/>
          <w:szCs w:val="24"/>
        </w:rPr>
        <w:footnoteReference w:id="52"/>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Using Duke as an example, she found that OVEC</w:t>
      </w:r>
      <w:r w:rsidR="001977EB">
        <w:rPr>
          <w:rFonts w:ascii="Times New Roman" w:hAnsi="Times New Roman" w:cs="Times New Roman"/>
          <w:sz w:val="24"/>
          <w:szCs w:val="24"/>
        </w:rPr>
        <w:t>’</w:t>
      </w:r>
      <w:r w:rsidRPr="001977EB">
        <w:rPr>
          <w:rFonts w:ascii="Times New Roman" w:hAnsi="Times New Roman" w:cs="Times New Roman"/>
          <w:sz w:val="24"/>
          <w:szCs w:val="24"/>
        </w:rPr>
        <w:t>s costs were 20% higher than the PJM energy market price, on average, for the entire year.</w:t>
      </w:r>
      <w:r>
        <w:rPr>
          <w:rStyle w:val="FootnoteReference"/>
          <w:rFonts w:ascii="Times New Roman" w:hAnsi="Times New Roman" w:cs="Times New Roman"/>
          <w:sz w:val="24"/>
          <w:szCs w:val="24"/>
        </w:rPr>
        <w:footnoteReference w:id="53"/>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Dr. Stanton then analyzed how many days this </w:t>
      </w:r>
      <w:r w:rsidRPr="001977EB" w:rsidR="005A58ED">
        <w:rPr>
          <w:rFonts w:ascii="Times New Roman" w:hAnsi="Times New Roman" w:cs="Times New Roman"/>
          <w:sz w:val="24"/>
          <w:szCs w:val="24"/>
        </w:rPr>
        <w:t>occurred</w:t>
      </w:r>
      <w:r w:rsidRPr="001977EB">
        <w:rPr>
          <w:rFonts w:ascii="Times New Roman" w:hAnsi="Times New Roman" w:cs="Times New Roman"/>
          <w:sz w:val="24"/>
          <w:szCs w:val="24"/>
        </w:rPr>
        <w:t xml:space="preserve"> during 2020.</w:t>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She </w:t>
      </w:r>
      <w:r w:rsidRPr="001977EB" w:rsidR="005A58ED">
        <w:rPr>
          <w:rFonts w:ascii="Times New Roman" w:hAnsi="Times New Roman" w:cs="Times New Roman"/>
          <w:sz w:val="24"/>
          <w:szCs w:val="24"/>
        </w:rPr>
        <w:t>determined that</w:t>
      </w:r>
      <w:r w:rsidRPr="001977EB">
        <w:rPr>
          <w:rFonts w:ascii="Times New Roman" w:hAnsi="Times New Roman" w:cs="Times New Roman"/>
          <w:sz w:val="24"/>
          <w:szCs w:val="24"/>
        </w:rPr>
        <w:t xml:space="preserve"> </w:t>
      </w:r>
      <w:r w:rsidRPr="001977EB" w:rsidR="005A58ED">
        <w:rPr>
          <w:rFonts w:ascii="Times New Roman" w:hAnsi="Times New Roman" w:cs="Times New Roman"/>
          <w:sz w:val="24"/>
          <w:szCs w:val="24"/>
        </w:rPr>
        <w:t xml:space="preserve">up to 88% of the time during 2020, OVEC operated the coal plants when their costs exceeded </w:t>
      </w:r>
      <w:r w:rsidRPr="001977EB" w:rsidR="00223E37">
        <w:rPr>
          <w:rFonts w:ascii="Times New Roman" w:hAnsi="Times New Roman" w:cs="Times New Roman"/>
          <w:sz w:val="24"/>
          <w:szCs w:val="24"/>
        </w:rPr>
        <w:t xml:space="preserve">PJM </w:t>
      </w:r>
      <w:r w:rsidRPr="001977EB" w:rsidR="005A58ED">
        <w:rPr>
          <w:rFonts w:ascii="Times New Roman" w:hAnsi="Times New Roman" w:cs="Times New Roman"/>
          <w:sz w:val="24"/>
          <w:szCs w:val="24"/>
        </w:rPr>
        <w:t>energy market revenues.</w:t>
      </w:r>
      <w:r>
        <w:rPr>
          <w:rStyle w:val="FootnoteReference"/>
          <w:rFonts w:ascii="Times New Roman" w:hAnsi="Times New Roman" w:cs="Times New Roman"/>
          <w:sz w:val="24"/>
          <w:szCs w:val="24"/>
        </w:rPr>
        <w:footnoteReference w:id="54"/>
      </w:r>
      <w:r w:rsidRPr="001977EB" w:rsidR="00FC50DF">
        <w:rPr>
          <w:rFonts w:ascii="Times New Roman" w:hAnsi="Times New Roman" w:cs="Times New Roman"/>
          <w:sz w:val="24"/>
          <w:szCs w:val="24"/>
        </w:rPr>
        <w:t xml:space="preserve"> </w:t>
      </w:r>
      <w:r w:rsidRPr="001977EB" w:rsidR="00BB0787">
        <w:rPr>
          <w:rFonts w:ascii="Times New Roman" w:hAnsi="Times New Roman" w:cs="Times New Roman"/>
          <w:sz w:val="24"/>
          <w:szCs w:val="24"/>
        </w:rPr>
        <w:t xml:space="preserve">She recommended that </w:t>
      </w:r>
      <w:r w:rsidR="001977EB">
        <w:rPr>
          <w:rFonts w:ascii="Times New Roman" w:hAnsi="Times New Roman" w:cs="Times New Roman"/>
          <w:sz w:val="24"/>
          <w:szCs w:val="24"/>
        </w:rPr>
        <w:t>“</w:t>
      </w:r>
      <w:r w:rsidRPr="001977EB" w:rsidR="00BB0787">
        <w:rPr>
          <w:rFonts w:ascii="Times New Roman" w:hAnsi="Times New Roman" w:cs="Times New Roman"/>
          <w:sz w:val="24"/>
          <w:szCs w:val="24"/>
        </w:rPr>
        <w:t>the Companies</w:t>
      </w:r>
      <w:r w:rsidR="001977EB">
        <w:rPr>
          <w:rFonts w:ascii="Times New Roman" w:hAnsi="Times New Roman" w:cs="Times New Roman"/>
          <w:sz w:val="24"/>
          <w:szCs w:val="24"/>
        </w:rPr>
        <w:t>’</w:t>
      </w:r>
      <w:r w:rsidRPr="001977EB" w:rsidR="00BB0787">
        <w:rPr>
          <w:rFonts w:ascii="Times New Roman" w:hAnsi="Times New Roman" w:cs="Times New Roman"/>
          <w:sz w:val="24"/>
          <w:szCs w:val="24"/>
        </w:rPr>
        <w:t xml:space="preserve"> consumers should not pay for any excess costs associated with the self-scheduling of these units.</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55"/>
      </w:r>
    </w:p>
    <w:p w:rsidR="00FD5515" w:rsidRPr="001977EB" w:rsidP="00FD5515" w14:paraId="1523CBB1"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Dr. Stanton also noted that the Michigan Public Service Commission has already denied AEP</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s request to collect </w:t>
      </w:r>
      <w:r w:rsidRPr="001977EB" w:rsidR="00152F4C">
        <w:rPr>
          <w:rFonts w:ascii="Times New Roman" w:hAnsi="Times New Roman" w:cs="Times New Roman"/>
          <w:sz w:val="24"/>
          <w:szCs w:val="24"/>
        </w:rPr>
        <w:t xml:space="preserve">the same </w:t>
      </w:r>
      <w:r w:rsidRPr="001977EB">
        <w:rPr>
          <w:rFonts w:ascii="Times New Roman" w:hAnsi="Times New Roman" w:cs="Times New Roman"/>
          <w:sz w:val="24"/>
          <w:szCs w:val="24"/>
        </w:rPr>
        <w:t xml:space="preserve">2020 </w:t>
      </w:r>
      <w:r w:rsidRPr="001977EB" w:rsidR="00152F4C">
        <w:rPr>
          <w:rFonts w:ascii="Times New Roman" w:hAnsi="Times New Roman" w:cs="Times New Roman"/>
          <w:sz w:val="24"/>
          <w:szCs w:val="24"/>
        </w:rPr>
        <w:t>coal plant subsidy</w:t>
      </w:r>
      <w:r w:rsidRPr="001977EB">
        <w:rPr>
          <w:rFonts w:ascii="Times New Roman" w:hAnsi="Times New Roman" w:cs="Times New Roman"/>
          <w:sz w:val="24"/>
          <w:szCs w:val="24"/>
        </w:rPr>
        <w:t xml:space="preserve"> costs:</w:t>
      </w:r>
    </w:p>
    <w:p w:rsidR="00152F4C" w:rsidRPr="001977EB" w:rsidP="0049043E" w14:paraId="1949FD6D" w14:textId="77777777">
      <w:pPr>
        <w:spacing w:line="240" w:lineRule="auto"/>
        <w:ind w:left="2160" w:right="1440" w:hanging="720"/>
        <w:rPr>
          <w:rFonts w:ascii="Times New Roman" w:hAnsi="Times New Roman" w:cs="Times New Roman"/>
          <w:sz w:val="24"/>
          <w:szCs w:val="24"/>
        </w:rPr>
      </w:pPr>
      <w:r w:rsidRPr="001977EB">
        <w:rPr>
          <w:rFonts w:ascii="Times New Roman" w:hAnsi="Times New Roman" w:cs="Times New Roman"/>
          <w:sz w:val="24"/>
          <w:szCs w:val="24"/>
        </w:rPr>
        <w:t>Q25.</w:t>
      </w:r>
      <w:r w:rsidRPr="001977EB" w:rsidR="0049043E">
        <w:rPr>
          <w:rFonts w:ascii="Times New Roman" w:hAnsi="Times New Roman" w:cs="Times New Roman"/>
          <w:sz w:val="24"/>
          <w:szCs w:val="24"/>
        </w:rPr>
        <w:tab/>
      </w:r>
      <w:r w:rsidRPr="001977EB">
        <w:rPr>
          <w:rFonts w:ascii="Times New Roman" w:hAnsi="Times New Roman" w:cs="Times New Roman"/>
          <w:sz w:val="24"/>
          <w:szCs w:val="24"/>
        </w:rPr>
        <w:t>HAVE EXCESSIVE OVEC COSTS BEEN DENIED IN ANY OTHER JURISDICTIONS?</w:t>
      </w:r>
      <w:r w:rsidRPr="001977EB" w:rsidR="00FC50DF">
        <w:rPr>
          <w:rFonts w:ascii="Times New Roman" w:hAnsi="Times New Roman" w:cs="Times New Roman"/>
          <w:sz w:val="24"/>
          <w:szCs w:val="24"/>
        </w:rPr>
        <w:t xml:space="preserve"> </w:t>
      </w:r>
    </w:p>
    <w:p w:rsidR="00152F4C" w:rsidRPr="001977EB" w:rsidP="0049043E" w14:paraId="468BF3F2" w14:textId="77777777">
      <w:pPr>
        <w:spacing w:line="240" w:lineRule="auto"/>
        <w:ind w:left="2160" w:right="1440" w:hanging="720"/>
        <w:rPr>
          <w:rFonts w:ascii="Times New Roman" w:hAnsi="Times New Roman" w:cs="Times New Roman"/>
          <w:sz w:val="24"/>
          <w:szCs w:val="24"/>
        </w:rPr>
      </w:pPr>
    </w:p>
    <w:p w:rsidR="00152F4C" w:rsidRPr="001977EB" w:rsidP="0049043E" w14:paraId="021A7158" w14:textId="77777777">
      <w:pPr>
        <w:spacing w:line="240" w:lineRule="auto"/>
        <w:ind w:left="2160" w:right="1440" w:hanging="720"/>
        <w:rPr>
          <w:rFonts w:ascii="Times New Roman" w:hAnsi="Times New Roman" w:cs="Times New Roman"/>
          <w:sz w:val="24"/>
          <w:szCs w:val="24"/>
        </w:rPr>
      </w:pPr>
      <w:r w:rsidRPr="001977EB">
        <w:rPr>
          <w:rFonts w:ascii="Times New Roman" w:hAnsi="Times New Roman" w:cs="Times New Roman"/>
          <w:sz w:val="24"/>
          <w:szCs w:val="24"/>
        </w:rPr>
        <w:t>A25.</w:t>
      </w:r>
      <w:r w:rsidRPr="001977EB" w:rsidR="0049043E">
        <w:rPr>
          <w:rFonts w:ascii="Times New Roman" w:hAnsi="Times New Roman" w:cs="Times New Roman"/>
          <w:sz w:val="24"/>
          <w:szCs w:val="24"/>
        </w:rPr>
        <w:tab/>
      </w:r>
      <w:r w:rsidRPr="001977EB">
        <w:rPr>
          <w:rFonts w:ascii="Times New Roman" w:hAnsi="Times New Roman" w:cs="Times New Roman"/>
          <w:sz w:val="24"/>
          <w:szCs w:val="24"/>
        </w:rPr>
        <w:t>Yes. The Michigan Public Service Commission (MPSC) recently disallowed $1.347 million in 2020 power supply costs associated with the OVEC units that</w:t>
      </w:r>
      <w:r w:rsidRPr="001977EB" w:rsidR="0049043E">
        <w:rPr>
          <w:rFonts w:ascii="Times New Roman" w:hAnsi="Times New Roman" w:cs="Times New Roman"/>
          <w:sz w:val="24"/>
          <w:szCs w:val="24"/>
        </w:rPr>
        <w:t xml:space="preserve"> </w:t>
      </w:r>
      <w:r w:rsidRPr="001977EB">
        <w:rPr>
          <w:rFonts w:ascii="Times New Roman" w:hAnsi="Times New Roman" w:cs="Times New Roman"/>
          <w:sz w:val="24"/>
          <w:szCs w:val="24"/>
        </w:rPr>
        <w:t>Indiana Michigan Power (I&amp;M), a subsidiary of AEP, was requesting.</w:t>
      </w:r>
      <w:r>
        <w:rPr>
          <w:rStyle w:val="FootnoteReference"/>
          <w:rFonts w:ascii="Times New Roman" w:hAnsi="Times New Roman" w:cs="Times New Roman"/>
          <w:sz w:val="24"/>
          <w:szCs w:val="24"/>
        </w:rPr>
        <w:footnoteReference w:id="56"/>
      </w:r>
      <w:r w:rsidRPr="001977EB">
        <w:rPr>
          <w:rFonts w:ascii="Times New Roman" w:hAnsi="Times New Roman" w:cs="Times New Roman"/>
          <w:sz w:val="24"/>
          <w:szCs w:val="24"/>
        </w:rPr>
        <w:t xml:space="preserve"> This disallowance level was developed from the Attorney General comparing the costs of the OVEC contract ($65.46 per MWh) that were incurred with two other long-term power transactions in Michigan that were lower-cost.</w:t>
      </w:r>
      <w:r>
        <w:rPr>
          <w:rStyle w:val="FootnoteReference"/>
          <w:rFonts w:ascii="Times New Roman" w:hAnsi="Times New Roman" w:cs="Times New Roman"/>
          <w:sz w:val="24"/>
          <w:szCs w:val="24"/>
        </w:rPr>
        <w:footnoteReference w:id="57"/>
      </w:r>
      <w:r w:rsidRPr="001977EB">
        <w:rPr>
          <w:rFonts w:ascii="Times New Roman" w:hAnsi="Times New Roman" w:cs="Times New Roman"/>
          <w:sz w:val="24"/>
          <w:szCs w:val="24"/>
        </w:rPr>
        <w:t xml:space="preserve"> The MPSC ultimately agreed with this comparison, </w:t>
      </w:r>
      <w:r w:rsidRPr="001977EB" w:rsidR="00F653D4">
        <w:rPr>
          <w:rFonts w:ascii="Times New Roman" w:hAnsi="Times New Roman" w:cs="Times New Roman"/>
          <w:sz w:val="24"/>
          <w:szCs w:val="24"/>
        </w:rPr>
        <w:t xml:space="preserve">admonishing I&amp;M because it </w:t>
      </w:r>
      <w:r w:rsidR="001977EB">
        <w:rPr>
          <w:rFonts w:ascii="Times New Roman" w:hAnsi="Times New Roman" w:cs="Times New Roman"/>
          <w:sz w:val="24"/>
          <w:szCs w:val="24"/>
        </w:rPr>
        <w:t>“</w:t>
      </w:r>
      <w:r w:rsidRPr="001977EB" w:rsidR="00F653D4">
        <w:rPr>
          <w:rFonts w:ascii="Times New Roman" w:hAnsi="Times New Roman" w:cs="Times New Roman"/>
          <w:sz w:val="24"/>
          <w:szCs w:val="24"/>
        </w:rPr>
        <w:t>stubbornly refused to provide any other meaningful basis for comparison</w:t>
      </w:r>
      <w:r w:rsidR="001977EB">
        <w:rPr>
          <w:rFonts w:ascii="Times New Roman" w:hAnsi="Times New Roman" w:cs="Times New Roman"/>
          <w:sz w:val="24"/>
          <w:szCs w:val="24"/>
        </w:rPr>
        <w:t>”</w:t>
      </w:r>
      <w:r w:rsidRPr="001977EB" w:rsidR="00F653D4">
        <w:rPr>
          <w:rFonts w:ascii="Times New Roman" w:hAnsi="Times New Roman" w:cs="Times New Roman"/>
          <w:sz w:val="24"/>
          <w:szCs w:val="24"/>
        </w:rPr>
        <w:t xml:space="preserve"> to support the recovery of the OVEC units</w:t>
      </w:r>
      <w:r w:rsidR="001977EB">
        <w:rPr>
          <w:rFonts w:ascii="Times New Roman" w:hAnsi="Times New Roman" w:cs="Times New Roman"/>
          <w:sz w:val="24"/>
          <w:szCs w:val="24"/>
        </w:rPr>
        <w:t>’</w:t>
      </w:r>
      <w:r w:rsidRPr="001977EB" w:rsidR="00F653D4">
        <w:rPr>
          <w:rFonts w:ascii="Times New Roman" w:hAnsi="Times New Roman" w:cs="Times New Roman"/>
          <w:sz w:val="24"/>
          <w:szCs w:val="24"/>
        </w:rPr>
        <w:t xml:space="preserve"> costs.</w:t>
      </w:r>
      <w:r>
        <w:rPr>
          <w:rStyle w:val="FootnoteReference"/>
          <w:rFonts w:ascii="Times New Roman" w:hAnsi="Times New Roman" w:cs="Times New Roman"/>
          <w:sz w:val="24"/>
          <w:szCs w:val="24"/>
        </w:rPr>
        <w:footnoteReference w:id="58"/>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I&amp;M also </w:t>
      </w:r>
      <w:r w:rsidR="001977EB">
        <w:rPr>
          <w:rFonts w:ascii="Times New Roman" w:hAnsi="Times New Roman" w:cs="Times New Roman"/>
          <w:sz w:val="24"/>
          <w:szCs w:val="24"/>
        </w:rPr>
        <w:t>“</w:t>
      </w:r>
      <w:r w:rsidRPr="001977EB">
        <w:rPr>
          <w:rFonts w:ascii="Times New Roman" w:hAnsi="Times New Roman" w:cs="Times New Roman"/>
          <w:sz w:val="24"/>
          <w:szCs w:val="24"/>
        </w:rPr>
        <w:t>does not challenge</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the accuracy of the Attorney General</w:t>
      </w:r>
      <w:r w:rsidR="001977EB">
        <w:rPr>
          <w:rFonts w:ascii="Times New Roman" w:hAnsi="Times New Roman" w:cs="Times New Roman"/>
          <w:sz w:val="24"/>
          <w:szCs w:val="24"/>
        </w:rPr>
        <w:t>’</w:t>
      </w:r>
      <w:r w:rsidRPr="001977EB">
        <w:rPr>
          <w:rFonts w:ascii="Times New Roman" w:hAnsi="Times New Roman" w:cs="Times New Roman"/>
          <w:sz w:val="24"/>
          <w:szCs w:val="24"/>
        </w:rPr>
        <w:t>s cost comparison.</w:t>
      </w:r>
      <w:r>
        <w:rPr>
          <w:rStyle w:val="FootnoteReference"/>
          <w:rFonts w:ascii="Times New Roman" w:hAnsi="Times New Roman" w:cs="Times New Roman"/>
          <w:sz w:val="24"/>
          <w:szCs w:val="24"/>
        </w:rPr>
        <w:footnoteReference w:id="59"/>
      </w:r>
      <w:r w:rsidRPr="001977EB">
        <w:rPr>
          <w:rFonts w:ascii="Times New Roman" w:hAnsi="Times New Roman" w:cs="Times New Roman"/>
          <w:sz w:val="24"/>
          <w:szCs w:val="24"/>
        </w:rPr>
        <w:t xml:space="preserve"> The MPSC had previously stated its position that long-term contracts need to be re-evaluated after signing because the existence of the contract does not </w:t>
      </w:r>
      <w:r w:rsidR="001977EB">
        <w:rPr>
          <w:rFonts w:ascii="Times New Roman" w:hAnsi="Times New Roman" w:cs="Times New Roman"/>
          <w:sz w:val="24"/>
          <w:szCs w:val="24"/>
        </w:rPr>
        <w:t>“</w:t>
      </w:r>
      <w:r w:rsidRPr="001977EB">
        <w:rPr>
          <w:rFonts w:ascii="Times New Roman" w:hAnsi="Times New Roman" w:cs="Times New Roman"/>
          <w:sz w:val="24"/>
          <w:szCs w:val="24"/>
        </w:rPr>
        <w:t>absolve a utility from monitoring and responding to market conditions.</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60"/>
      </w:r>
    </w:p>
    <w:p w:rsidR="006972C3" w:rsidRPr="001977EB" w:rsidP="006972C3" w14:paraId="4B7AFC0F" w14:textId="77777777">
      <w:pPr>
        <w:spacing w:line="240" w:lineRule="auto"/>
        <w:rPr>
          <w:rFonts w:ascii="Times New Roman" w:hAnsi="Times New Roman" w:cs="Times New Roman"/>
          <w:sz w:val="24"/>
          <w:szCs w:val="24"/>
        </w:rPr>
      </w:pPr>
    </w:p>
    <w:p w:rsidR="00152F4C" w:rsidRPr="001977EB" w:rsidP="000B5F9C" w14:paraId="4824A30B"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OCC witness Joseph Perez</w:t>
      </w:r>
      <w:r w:rsidRPr="001977EB" w:rsidR="00005BA7">
        <w:rPr>
          <w:rFonts w:ascii="Times New Roman" w:hAnsi="Times New Roman" w:cs="Times New Roman"/>
          <w:sz w:val="24"/>
          <w:szCs w:val="24"/>
        </w:rPr>
        <w:t xml:space="preserve"> further</w:t>
      </w:r>
      <w:r w:rsidRPr="001977EB">
        <w:rPr>
          <w:rFonts w:ascii="Times New Roman" w:hAnsi="Times New Roman" w:cs="Times New Roman"/>
          <w:sz w:val="24"/>
          <w:szCs w:val="24"/>
        </w:rPr>
        <w:t xml:space="preserve"> testified </w:t>
      </w:r>
      <w:r w:rsidRPr="001977EB" w:rsidR="00A6410E">
        <w:rPr>
          <w:rFonts w:ascii="Times New Roman" w:hAnsi="Times New Roman" w:cs="Times New Roman"/>
          <w:sz w:val="24"/>
          <w:szCs w:val="24"/>
        </w:rPr>
        <w:t xml:space="preserve">that </w:t>
      </w:r>
      <w:r w:rsidRPr="001977EB" w:rsidR="00E33174">
        <w:rPr>
          <w:rFonts w:ascii="Times New Roman" w:hAnsi="Times New Roman" w:cs="Times New Roman"/>
          <w:sz w:val="24"/>
          <w:szCs w:val="24"/>
        </w:rPr>
        <w:t xml:space="preserve">running the plants with a must-run </w:t>
      </w:r>
      <w:r w:rsidRPr="001977EB" w:rsidR="00223E37">
        <w:rPr>
          <w:rFonts w:ascii="Times New Roman" w:hAnsi="Times New Roman" w:cs="Times New Roman"/>
          <w:sz w:val="24"/>
          <w:szCs w:val="24"/>
        </w:rPr>
        <w:t>designation</w:t>
      </w:r>
      <w:r w:rsidRPr="001977EB" w:rsidR="00E33174">
        <w:rPr>
          <w:rFonts w:ascii="Times New Roman" w:hAnsi="Times New Roman" w:cs="Times New Roman"/>
          <w:sz w:val="24"/>
          <w:szCs w:val="24"/>
        </w:rPr>
        <w:t xml:space="preserve"> was not </w:t>
      </w:r>
      <w:r w:rsidRPr="001977EB" w:rsidR="002A154D">
        <w:rPr>
          <w:rFonts w:ascii="Times New Roman" w:hAnsi="Times New Roman" w:cs="Times New Roman"/>
          <w:sz w:val="24"/>
          <w:szCs w:val="24"/>
        </w:rPr>
        <w:t>prudent</w:t>
      </w:r>
      <w:r w:rsidRPr="001977EB" w:rsidR="00E33174">
        <w:rPr>
          <w:rFonts w:ascii="Times New Roman" w:hAnsi="Times New Roman" w:cs="Times New Roman"/>
          <w:sz w:val="24"/>
          <w:szCs w:val="24"/>
        </w:rPr>
        <w:t xml:space="preserve"> and </w:t>
      </w:r>
      <w:r w:rsidR="001977EB">
        <w:rPr>
          <w:rFonts w:ascii="Times New Roman" w:hAnsi="Times New Roman" w:cs="Times New Roman"/>
          <w:sz w:val="24"/>
          <w:szCs w:val="24"/>
        </w:rPr>
        <w:t>“</w:t>
      </w:r>
      <w:r w:rsidRPr="001977EB" w:rsidR="00E33174">
        <w:rPr>
          <w:rFonts w:ascii="Times New Roman" w:hAnsi="Times New Roman" w:cs="Times New Roman"/>
          <w:sz w:val="24"/>
          <w:szCs w:val="24"/>
        </w:rPr>
        <w:t>not consistent with how merchant coal plant operators attempting to maximize revenues would bid their plants into the PJM Day-Ahead Energy Market.</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61"/>
      </w:r>
      <w:r w:rsidRPr="001977EB" w:rsidR="00E33174">
        <w:rPr>
          <w:rFonts w:ascii="Times New Roman" w:hAnsi="Times New Roman" w:cs="Times New Roman"/>
          <w:sz w:val="24"/>
          <w:szCs w:val="24"/>
        </w:rPr>
        <w:t xml:space="preserve"> </w:t>
      </w:r>
      <w:r w:rsidRPr="001977EB" w:rsidR="006D46C7">
        <w:rPr>
          <w:rFonts w:ascii="Times New Roman" w:hAnsi="Times New Roman" w:cs="Times New Roman"/>
          <w:sz w:val="24"/>
          <w:szCs w:val="24"/>
        </w:rPr>
        <w:t xml:space="preserve">Mr. Perez </w:t>
      </w:r>
      <w:r w:rsidRPr="001977EB" w:rsidR="00363BE8">
        <w:rPr>
          <w:rFonts w:ascii="Times New Roman" w:hAnsi="Times New Roman" w:cs="Times New Roman"/>
          <w:sz w:val="24"/>
          <w:szCs w:val="24"/>
        </w:rPr>
        <w:t xml:space="preserve">further testified that, when choosing between a </w:t>
      </w:r>
      <w:r w:rsidR="001977EB">
        <w:rPr>
          <w:rFonts w:ascii="Times New Roman" w:hAnsi="Times New Roman" w:cs="Times New Roman"/>
          <w:sz w:val="24"/>
          <w:szCs w:val="24"/>
        </w:rPr>
        <w:t>“</w:t>
      </w:r>
      <w:r w:rsidRPr="001977EB" w:rsidR="00363BE8">
        <w:rPr>
          <w:rFonts w:ascii="Times New Roman" w:hAnsi="Times New Roman" w:cs="Times New Roman"/>
          <w:sz w:val="24"/>
          <w:szCs w:val="24"/>
        </w:rPr>
        <w:t>must-run</w:t>
      </w:r>
      <w:r w:rsidR="001977EB">
        <w:rPr>
          <w:rFonts w:ascii="Times New Roman" w:hAnsi="Times New Roman" w:cs="Times New Roman"/>
          <w:sz w:val="24"/>
          <w:szCs w:val="24"/>
        </w:rPr>
        <w:t>”</w:t>
      </w:r>
      <w:r w:rsidRPr="001977EB" w:rsidR="00363BE8">
        <w:rPr>
          <w:rFonts w:ascii="Times New Roman" w:hAnsi="Times New Roman" w:cs="Times New Roman"/>
          <w:sz w:val="24"/>
          <w:szCs w:val="24"/>
        </w:rPr>
        <w:t xml:space="preserve"> and an </w:t>
      </w:r>
      <w:r w:rsidR="001977EB">
        <w:rPr>
          <w:rFonts w:ascii="Times New Roman" w:hAnsi="Times New Roman" w:cs="Times New Roman"/>
          <w:sz w:val="24"/>
          <w:szCs w:val="24"/>
        </w:rPr>
        <w:t>“</w:t>
      </w:r>
      <w:r w:rsidRPr="001977EB" w:rsidR="00363BE8">
        <w:rPr>
          <w:rFonts w:ascii="Times New Roman" w:hAnsi="Times New Roman" w:cs="Times New Roman"/>
          <w:sz w:val="24"/>
          <w:szCs w:val="24"/>
        </w:rPr>
        <w:t>economic</w:t>
      </w:r>
      <w:r w:rsidR="001977EB">
        <w:rPr>
          <w:rFonts w:ascii="Times New Roman" w:hAnsi="Times New Roman" w:cs="Times New Roman"/>
          <w:sz w:val="24"/>
          <w:szCs w:val="24"/>
        </w:rPr>
        <w:t>”</w:t>
      </w:r>
      <w:r w:rsidRPr="001977EB" w:rsidR="00363BE8">
        <w:rPr>
          <w:rFonts w:ascii="Times New Roman" w:hAnsi="Times New Roman" w:cs="Times New Roman"/>
          <w:sz w:val="24"/>
          <w:szCs w:val="24"/>
        </w:rPr>
        <w:t xml:space="preserve"> commitment status, the </w:t>
      </w:r>
      <w:r w:rsidRPr="001977EB" w:rsidR="00223E37">
        <w:rPr>
          <w:rFonts w:ascii="Times New Roman" w:hAnsi="Times New Roman" w:cs="Times New Roman"/>
          <w:sz w:val="24"/>
          <w:szCs w:val="24"/>
        </w:rPr>
        <w:t>owner</w:t>
      </w:r>
      <w:r w:rsidRPr="001977EB" w:rsidR="00363BE8">
        <w:rPr>
          <w:rFonts w:ascii="Times New Roman" w:hAnsi="Times New Roman" w:cs="Times New Roman"/>
          <w:sz w:val="24"/>
          <w:szCs w:val="24"/>
        </w:rPr>
        <w:t xml:space="preserve"> should </w:t>
      </w:r>
      <w:r w:rsidRPr="001977EB" w:rsidR="001F02DD">
        <w:rPr>
          <w:rFonts w:ascii="Times New Roman" w:hAnsi="Times New Roman" w:cs="Times New Roman"/>
          <w:sz w:val="24"/>
          <w:szCs w:val="24"/>
        </w:rPr>
        <w:t>do</w:t>
      </w:r>
      <w:r w:rsidRPr="001977EB" w:rsidR="00B25650">
        <w:rPr>
          <w:rFonts w:ascii="Times New Roman" w:hAnsi="Times New Roman" w:cs="Times New Roman"/>
          <w:sz w:val="24"/>
          <w:szCs w:val="24"/>
        </w:rPr>
        <w:t xml:space="preserve"> a </w:t>
      </w:r>
      <w:r w:rsidR="001977EB">
        <w:rPr>
          <w:rFonts w:ascii="Times New Roman" w:hAnsi="Times New Roman" w:cs="Times New Roman"/>
          <w:sz w:val="24"/>
          <w:szCs w:val="24"/>
        </w:rPr>
        <w:t>“</w:t>
      </w:r>
      <w:r w:rsidRPr="001977EB" w:rsidR="00B25650">
        <w:rPr>
          <w:rFonts w:ascii="Times New Roman" w:hAnsi="Times New Roman" w:cs="Times New Roman"/>
          <w:sz w:val="24"/>
          <w:szCs w:val="24"/>
        </w:rPr>
        <w:t>daily analysis of the costs and expected revenues from participating in the Day-Ahead Energy Market</w:t>
      </w:r>
      <w:r w:rsidR="001977EB">
        <w:rPr>
          <w:rFonts w:ascii="Times New Roman" w:hAnsi="Times New Roman" w:cs="Times New Roman"/>
          <w:sz w:val="24"/>
          <w:szCs w:val="24"/>
        </w:rPr>
        <w:t>”</w:t>
      </w:r>
      <w:r w:rsidRPr="001977EB" w:rsidR="00B25650">
        <w:rPr>
          <w:rFonts w:ascii="Times New Roman" w:hAnsi="Times New Roman" w:cs="Times New Roman"/>
          <w:sz w:val="24"/>
          <w:szCs w:val="24"/>
        </w:rPr>
        <w:t xml:space="preserve"> and that this analysis </w:t>
      </w:r>
      <w:r w:rsidR="001977EB">
        <w:rPr>
          <w:rFonts w:ascii="Times New Roman" w:hAnsi="Times New Roman" w:cs="Times New Roman"/>
          <w:sz w:val="24"/>
          <w:szCs w:val="24"/>
        </w:rPr>
        <w:t>“</w:t>
      </w:r>
      <w:r w:rsidRPr="001977EB" w:rsidR="00B25650">
        <w:rPr>
          <w:rFonts w:ascii="Times New Roman" w:hAnsi="Times New Roman" w:cs="Times New Roman"/>
          <w:sz w:val="24"/>
          <w:szCs w:val="24"/>
        </w:rPr>
        <w:t>should cover not only that day, but the next several days ahead for units that are not easily turned on and off.</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62"/>
      </w:r>
      <w:r w:rsidRPr="001977EB" w:rsidR="00FC50DF">
        <w:rPr>
          <w:rFonts w:ascii="Times New Roman" w:hAnsi="Times New Roman" w:cs="Times New Roman"/>
          <w:sz w:val="24"/>
          <w:szCs w:val="24"/>
        </w:rPr>
        <w:t xml:space="preserve"> </w:t>
      </w:r>
    </w:p>
    <w:p w:rsidR="00281588" w:rsidRPr="001977EB" w:rsidP="00281588" w14:paraId="408FB470" w14:textId="77777777">
      <w:pPr>
        <w:spacing w:line="480" w:lineRule="auto"/>
        <w:ind w:firstLine="720"/>
        <w:rPr>
          <w:rFonts w:ascii="Times New Roman" w:eastAsia="Times New Roman" w:hAnsi="Times New Roman" w:cs="Times New Roman"/>
          <w:sz w:val="24"/>
          <w:szCs w:val="24"/>
        </w:rPr>
      </w:pPr>
      <w:r w:rsidRPr="001977EB">
        <w:rPr>
          <w:rFonts w:ascii="Times New Roman" w:hAnsi="Times New Roman" w:cs="Times New Roman"/>
          <w:sz w:val="24"/>
          <w:szCs w:val="24"/>
        </w:rPr>
        <w:t>Mr. Perez testified that during the  audit period, OVEC</w:t>
      </w:r>
      <w:r w:rsidR="001977EB">
        <w:rPr>
          <w:rFonts w:ascii="Times New Roman" w:hAnsi="Times New Roman" w:cs="Times New Roman"/>
          <w:sz w:val="24"/>
          <w:szCs w:val="24"/>
        </w:rPr>
        <w:t>’</w:t>
      </w:r>
      <w:r w:rsidRPr="001977EB">
        <w:rPr>
          <w:rFonts w:ascii="Times New Roman" w:hAnsi="Times New Roman" w:cs="Times New Roman"/>
          <w:sz w:val="24"/>
          <w:szCs w:val="24"/>
        </w:rPr>
        <w:t>s costs exceeded the market price of the electricity OVEC generated</w:t>
      </w:r>
      <w:r w:rsidR="00B05558">
        <w:rPr>
          <w:rFonts w:ascii="Times New Roman" w:hAnsi="Times New Roman" w:cs="Times New Roman"/>
          <w:sz w:val="24"/>
          <w:szCs w:val="24"/>
        </w:rPr>
        <w:t xml:space="preserve"> nearly the entire year</w:t>
      </w:r>
      <w:r w:rsidRPr="001977EB">
        <w:rPr>
          <w:rFonts w:ascii="Times New Roman" w:hAnsi="Times New Roman" w:cs="Times New Roman"/>
          <w:sz w:val="24"/>
          <w:szCs w:val="24"/>
        </w:rPr>
        <w:t>, as shown on Figure 30 from the Duke Audit Report below:</w:t>
      </w:r>
      <w:r>
        <w:rPr>
          <w:rStyle w:val="FootnoteReference"/>
          <w:rFonts w:ascii="Times New Roman" w:hAnsi="Times New Roman" w:cs="Times New Roman"/>
          <w:sz w:val="24"/>
          <w:szCs w:val="24"/>
        </w:rPr>
        <w:footnoteReference w:id="63"/>
      </w:r>
    </w:p>
    <w:p w:rsidR="00281588" w:rsidRPr="001977EB" w:rsidP="00281588" w14:paraId="640A058D" w14:textId="77777777">
      <w:pPr>
        <w:pStyle w:val="Caption"/>
        <w:keepNext/>
        <w:ind w:left="0" w:right="0"/>
        <w:jc w:val="center"/>
        <w:rPr>
          <w:sz w:val="24"/>
          <w:szCs w:val="24"/>
        </w:rPr>
      </w:pPr>
      <w:bookmarkStart w:id="17" w:name="_Ref91167563"/>
      <w:r w:rsidRPr="001977EB">
        <w:rPr>
          <w:sz w:val="24"/>
          <w:szCs w:val="24"/>
        </w:rPr>
        <w:t>Figure</w:t>
      </w:r>
      <w:bookmarkEnd w:id="17"/>
      <w:r w:rsidRPr="001977EB" w:rsidR="00AB3C3A">
        <w:rPr>
          <w:sz w:val="24"/>
          <w:szCs w:val="24"/>
        </w:rPr>
        <w:t xml:space="preserve"> </w:t>
      </w:r>
      <w:r w:rsidRPr="001977EB" w:rsidR="00F37FC0">
        <w:rPr>
          <w:sz w:val="24"/>
          <w:szCs w:val="24"/>
        </w:rPr>
        <w:t>1</w:t>
      </w:r>
      <w:r w:rsidRPr="001977EB">
        <w:rPr>
          <w:sz w:val="24"/>
          <w:szCs w:val="24"/>
        </w:rPr>
        <w:t>: OVEC energy charges and monthly average PJM market prices</w:t>
      </w:r>
    </w:p>
    <w:p w:rsidR="00281588" w:rsidRPr="001977EB" w:rsidP="00E309D0" w14:paraId="6F83DC65" w14:textId="77777777">
      <w:pPr>
        <w:pStyle w:val="Caption"/>
        <w:keepNext/>
        <w:keepLines/>
        <w:spacing w:after="0"/>
        <w:ind w:left="0"/>
        <w:jc w:val="center"/>
        <w:rPr>
          <w:b w:val="0"/>
          <w:bCs w:val="0"/>
          <w:sz w:val="24"/>
          <w:szCs w:val="24"/>
        </w:rPr>
      </w:pPr>
      <w:r w:rsidRPr="001977EB">
        <w:rPr>
          <w:b w:val="0"/>
          <w:bCs w:val="0"/>
          <w:noProof/>
          <w:sz w:val="24"/>
          <w:szCs w:val="24"/>
        </w:rPr>
        <w:drawing>
          <wp:inline distT="0" distB="0" distL="0" distR="0">
            <wp:extent cx="5486400" cy="1954530"/>
            <wp:effectExtent l="0" t="0" r="0" b="7620"/>
            <wp:docPr id="2090687946" name="Picture 1" descr="A table with numb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87946" name="Picture 1" descr="A table with numbers and numbers&#10;&#10;Description automatically generated"/>
                    <pic:cNvPicPr/>
                  </pic:nvPicPr>
                  <pic:blipFill>
                    <a:blip xmlns:r="http://schemas.openxmlformats.org/officeDocument/2006/relationships" r:embed="rId17"/>
                    <a:stretch>
                      <a:fillRect/>
                    </a:stretch>
                  </pic:blipFill>
                  <pic:spPr>
                    <a:xfrm>
                      <a:off x="0" y="0"/>
                      <a:ext cx="5486400" cy="1954530"/>
                    </a:xfrm>
                    <a:prstGeom prst="rect">
                      <a:avLst/>
                    </a:prstGeom>
                  </pic:spPr>
                </pic:pic>
              </a:graphicData>
            </a:graphic>
          </wp:inline>
        </w:drawing>
      </w:r>
    </w:p>
    <w:p w:rsidR="00281588" w:rsidRPr="001977EB" w:rsidP="00281588" w14:paraId="30AAF74B" w14:textId="77777777">
      <w:pPr>
        <w:pStyle w:val="FigureTableSource"/>
        <w:spacing w:line="240" w:lineRule="auto"/>
        <w:rPr>
          <w:sz w:val="24"/>
          <w:szCs w:val="24"/>
        </w:rPr>
      </w:pPr>
    </w:p>
    <w:p w:rsidR="00281588" w:rsidRPr="001977EB" w:rsidP="00281588" w14:paraId="29DDC19A" w14:textId="77777777">
      <w:pPr>
        <w:pStyle w:val="FigureTableSource"/>
        <w:ind w:left="0" w:firstLine="720"/>
        <w:rPr>
          <w:sz w:val="24"/>
          <w:szCs w:val="24"/>
        </w:rPr>
      </w:pPr>
      <w:r w:rsidRPr="001977EB">
        <w:rPr>
          <w:i w:val="0"/>
          <w:iCs w:val="0"/>
          <w:sz w:val="24"/>
          <w:szCs w:val="24"/>
        </w:rPr>
        <w:t xml:space="preserve">Mr. Perez </w:t>
      </w:r>
      <w:r w:rsidRPr="001977EB" w:rsidR="00223E37">
        <w:rPr>
          <w:i w:val="0"/>
          <w:iCs w:val="0"/>
          <w:sz w:val="24"/>
          <w:szCs w:val="24"/>
        </w:rPr>
        <w:t>noted</w:t>
      </w:r>
      <w:r w:rsidRPr="001977EB">
        <w:rPr>
          <w:i w:val="0"/>
          <w:iCs w:val="0"/>
          <w:sz w:val="24"/>
          <w:szCs w:val="24"/>
        </w:rPr>
        <w:t xml:space="preserve"> that, per this chart, OVEC</w:t>
      </w:r>
      <w:r w:rsidR="001977EB">
        <w:rPr>
          <w:i w:val="0"/>
          <w:iCs w:val="0"/>
          <w:sz w:val="24"/>
          <w:szCs w:val="24"/>
        </w:rPr>
        <w:t>’</w:t>
      </w:r>
      <w:r w:rsidRPr="001977EB">
        <w:rPr>
          <w:i w:val="0"/>
          <w:iCs w:val="0"/>
          <w:sz w:val="24"/>
          <w:szCs w:val="24"/>
        </w:rPr>
        <w:t xml:space="preserve">s energy costs were higher than PJM </w:t>
      </w:r>
      <w:r w:rsidRPr="001977EB" w:rsidR="00E45753">
        <w:rPr>
          <w:i w:val="0"/>
          <w:iCs w:val="0"/>
          <w:sz w:val="24"/>
          <w:szCs w:val="24"/>
        </w:rPr>
        <w:t xml:space="preserve">energy market </w:t>
      </w:r>
      <w:r w:rsidRPr="001977EB">
        <w:rPr>
          <w:i w:val="0"/>
          <w:iCs w:val="0"/>
          <w:sz w:val="24"/>
          <w:szCs w:val="24"/>
        </w:rPr>
        <w:t>prices</w:t>
      </w:r>
      <w:r w:rsidRPr="001977EB" w:rsidR="00E45753">
        <w:rPr>
          <w:i w:val="0"/>
          <w:iCs w:val="0"/>
          <w:sz w:val="24"/>
          <w:szCs w:val="24"/>
        </w:rPr>
        <w:t>,</w:t>
      </w:r>
      <w:r w:rsidRPr="001977EB">
        <w:rPr>
          <w:i w:val="0"/>
          <w:iCs w:val="0"/>
          <w:sz w:val="24"/>
          <w:szCs w:val="24"/>
        </w:rPr>
        <w:t xml:space="preserve"> on average</w:t>
      </w:r>
      <w:r w:rsidRPr="001977EB" w:rsidR="00E45753">
        <w:rPr>
          <w:i w:val="0"/>
          <w:iCs w:val="0"/>
          <w:sz w:val="24"/>
          <w:szCs w:val="24"/>
        </w:rPr>
        <w:t>,</w:t>
      </w:r>
      <w:r w:rsidRPr="001977EB">
        <w:rPr>
          <w:i w:val="0"/>
          <w:iCs w:val="0"/>
          <w:sz w:val="24"/>
          <w:szCs w:val="24"/>
        </w:rPr>
        <w:t xml:space="preserve"> for ten out of twelve months</w:t>
      </w:r>
      <w:r w:rsidRPr="001977EB" w:rsidR="00E45753">
        <w:rPr>
          <w:i w:val="0"/>
          <w:iCs w:val="0"/>
          <w:sz w:val="24"/>
          <w:szCs w:val="24"/>
        </w:rPr>
        <w:t xml:space="preserve"> during 2020</w:t>
      </w:r>
      <w:r w:rsidRPr="001977EB">
        <w:rPr>
          <w:i w:val="0"/>
          <w:iCs w:val="0"/>
          <w:sz w:val="24"/>
          <w:szCs w:val="24"/>
        </w:rPr>
        <w:t>.</w:t>
      </w:r>
      <w:r>
        <w:rPr>
          <w:rStyle w:val="FootnoteReference"/>
          <w:i w:val="0"/>
          <w:iCs w:val="0"/>
          <w:sz w:val="24"/>
          <w:szCs w:val="24"/>
        </w:rPr>
        <w:footnoteReference w:id="64"/>
      </w:r>
      <w:r w:rsidRPr="001977EB">
        <w:rPr>
          <w:i w:val="0"/>
          <w:iCs w:val="0"/>
          <w:sz w:val="24"/>
          <w:szCs w:val="24"/>
        </w:rPr>
        <w:t xml:space="preserve"> </w:t>
      </w:r>
      <w:r w:rsidRPr="001977EB" w:rsidR="00E45753">
        <w:rPr>
          <w:i w:val="0"/>
          <w:iCs w:val="0"/>
          <w:sz w:val="24"/>
          <w:szCs w:val="24"/>
        </w:rPr>
        <w:t xml:space="preserve">He further </w:t>
      </w:r>
      <w:r w:rsidRPr="001977EB" w:rsidR="00223E37">
        <w:rPr>
          <w:i w:val="0"/>
          <w:iCs w:val="0"/>
          <w:sz w:val="24"/>
          <w:szCs w:val="24"/>
        </w:rPr>
        <w:t>explained</w:t>
      </w:r>
      <w:r w:rsidRPr="001977EB" w:rsidR="00E45753">
        <w:rPr>
          <w:i w:val="0"/>
          <w:iCs w:val="0"/>
          <w:sz w:val="24"/>
          <w:szCs w:val="24"/>
        </w:rPr>
        <w:t xml:space="preserve"> that t</w:t>
      </w:r>
      <w:r w:rsidRPr="001977EB">
        <w:rPr>
          <w:i w:val="0"/>
          <w:iCs w:val="0"/>
          <w:sz w:val="24"/>
          <w:szCs w:val="24"/>
        </w:rPr>
        <w:t xml:space="preserve">his table </w:t>
      </w:r>
      <w:r w:rsidRPr="001977EB" w:rsidR="00E45753">
        <w:rPr>
          <w:i w:val="0"/>
          <w:iCs w:val="0"/>
          <w:sz w:val="24"/>
          <w:szCs w:val="24"/>
        </w:rPr>
        <w:t>does</w:t>
      </w:r>
      <w:r w:rsidRPr="001977EB">
        <w:rPr>
          <w:i w:val="0"/>
          <w:iCs w:val="0"/>
          <w:sz w:val="24"/>
          <w:szCs w:val="24"/>
        </w:rPr>
        <w:t xml:space="preserve"> not include </w:t>
      </w:r>
      <w:r w:rsidRPr="001977EB" w:rsidR="00E45753">
        <w:rPr>
          <w:i w:val="0"/>
          <w:iCs w:val="0"/>
          <w:sz w:val="24"/>
          <w:szCs w:val="24"/>
        </w:rPr>
        <w:t>OVEC</w:t>
      </w:r>
      <w:r w:rsidR="001977EB">
        <w:rPr>
          <w:i w:val="0"/>
          <w:iCs w:val="0"/>
          <w:sz w:val="24"/>
          <w:szCs w:val="24"/>
        </w:rPr>
        <w:t>’</w:t>
      </w:r>
      <w:r w:rsidRPr="001977EB" w:rsidR="00E45753">
        <w:rPr>
          <w:i w:val="0"/>
          <w:iCs w:val="0"/>
          <w:sz w:val="24"/>
          <w:szCs w:val="24"/>
        </w:rPr>
        <w:t xml:space="preserve">s </w:t>
      </w:r>
      <w:r w:rsidRPr="001977EB">
        <w:rPr>
          <w:i w:val="0"/>
          <w:iCs w:val="0"/>
          <w:sz w:val="24"/>
          <w:szCs w:val="24"/>
        </w:rPr>
        <w:t>operation and maintenance</w:t>
      </w:r>
      <w:r w:rsidRPr="001977EB" w:rsidR="00E45753">
        <w:rPr>
          <w:i w:val="0"/>
          <w:iCs w:val="0"/>
          <w:sz w:val="24"/>
          <w:szCs w:val="24"/>
        </w:rPr>
        <w:t xml:space="preserve"> cost</w:t>
      </w:r>
      <w:r w:rsidRPr="001977EB" w:rsidR="00223E37">
        <w:rPr>
          <w:i w:val="0"/>
          <w:iCs w:val="0"/>
          <w:sz w:val="24"/>
          <w:szCs w:val="24"/>
        </w:rPr>
        <w:t>s</w:t>
      </w:r>
      <w:r w:rsidRPr="001977EB" w:rsidR="00E45753">
        <w:rPr>
          <w:i w:val="0"/>
          <w:iCs w:val="0"/>
          <w:sz w:val="24"/>
          <w:szCs w:val="24"/>
        </w:rPr>
        <w:t xml:space="preserve">; therefore, </w:t>
      </w:r>
      <w:r w:rsidRPr="001977EB" w:rsidR="00223E37">
        <w:rPr>
          <w:i w:val="0"/>
          <w:iCs w:val="0"/>
          <w:sz w:val="24"/>
          <w:szCs w:val="24"/>
        </w:rPr>
        <w:t xml:space="preserve">the chart shows that </w:t>
      </w:r>
      <w:r w:rsidRPr="001977EB" w:rsidR="00E45753">
        <w:rPr>
          <w:i w:val="0"/>
          <w:iCs w:val="0"/>
          <w:sz w:val="24"/>
          <w:szCs w:val="24"/>
        </w:rPr>
        <w:t>OVEC</w:t>
      </w:r>
      <w:r w:rsidR="001977EB">
        <w:rPr>
          <w:i w:val="0"/>
          <w:iCs w:val="0"/>
          <w:sz w:val="24"/>
          <w:szCs w:val="24"/>
        </w:rPr>
        <w:t>’</w:t>
      </w:r>
      <w:r w:rsidRPr="001977EB" w:rsidR="00E45753">
        <w:rPr>
          <w:i w:val="0"/>
          <w:iCs w:val="0"/>
          <w:sz w:val="24"/>
          <w:szCs w:val="24"/>
        </w:rPr>
        <w:t xml:space="preserve">s </w:t>
      </w:r>
      <w:r w:rsidRPr="001977EB" w:rsidR="00223E37">
        <w:rPr>
          <w:i w:val="0"/>
          <w:iCs w:val="0"/>
          <w:sz w:val="24"/>
          <w:szCs w:val="24"/>
        </w:rPr>
        <w:t xml:space="preserve">coal supply </w:t>
      </w:r>
      <w:r w:rsidRPr="001977EB" w:rsidR="00E45753">
        <w:rPr>
          <w:i w:val="0"/>
          <w:iCs w:val="0"/>
          <w:sz w:val="24"/>
          <w:szCs w:val="24"/>
        </w:rPr>
        <w:t>cost</w:t>
      </w:r>
      <w:r w:rsidRPr="001977EB" w:rsidR="00223E37">
        <w:rPr>
          <w:i w:val="0"/>
          <w:iCs w:val="0"/>
          <w:sz w:val="24"/>
          <w:szCs w:val="24"/>
        </w:rPr>
        <w:t>, by itself,</w:t>
      </w:r>
      <w:r w:rsidRPr="001977EB" w:rsidR="00E45753">
        <w:rPr>
          <w:i w:val="0"/>
          <w:iCs w:val="0"/>
          <w:sz w:val="24"/>
          <w:szCs w:val="24"/>
        </w:rPr>
        <w:t xml:space="preserve"> was higher than PJM electricity market prices most of the </w:t>
      </w:r>
      <w:r w:rsidRPr="001977EB" w:rsidR="00223E37">
        <w:rPr>
          <w:i w:val="0"/>
          <w:iCs w:val="0"/>
          <w:sz w:val="24"/>
          <w:szCs w:val="24"/>
        </w:rPr>
        <w:t>year in 2020</w:t>
      </w:r>
      <w:r w:rsidRPr="001977EB">
        <w:rPr>
          <w:i w:val="0"/>
          <w:iCs w:val="0"/>
          <w:sz w:val="24"/>
          <w:szCs w:val="24"/>
        </w:rPr>
        <w:t>.</w:t>
      </w:r>
      <w:r>
        <w:rPr>
          <w:rStyle w:val="FootnoteReference"/>
          <w:i w:val="0"/>
          <w:iCs w:val="0"/>
          <w:sz w:val="24"/>
          <w:szCs w:val="24"/>
        </w:rPr>
        <w:footnoteReference w:id="65"/>
      </w:r>
      <w:r w:rsidRPr="001977EB" w:rsidR="00FC50DF">
        <w:rPr>
          <w:i w:val="0"/>
          <w:iCs w:val="0"/>
          <w:sz w:val="24"/>
          <w:szCs w:val="24"/>
        </w:rPr>
        <w:t xml:space="preserve"> </w:t>
      </w:r>
      <w:r w:rsidRPr="001977EB" w:rsidR="00E45753">
        <w:rPr>
          <w:i w:val="0"/>
          <w:iCs w:val="0"/>
          <w:sz w:val="24"/>
          <w:szCs w:val="24"/>
        </w:rPr>
        <w:t>Mr. Perez testified that if OVEC</w:t>
      </w:r>
      <w:r w:rsidR="001977EB">
        <w:rPr>
          <w:i w:val="0"/>
          <w:iCs w:val="0"/>
          <w:sz w:val="24"/>
          <w:szCs w:val="24"/>
        </w:rPr>
        <w:t>’</w:t>
      </w:r>
      <w:r w:rsidRPr="001977EB" w:rsidR="00E45753">
        <w:rPr>
          <w:i w:val="0"/>
          <w:iCs w:val="0"/>
          <w:sz w:val="24"/>
          <w:szCs w:val="24"/>
        </w:rPr>
        <w:t>s</w:t>
      </w:r>
      <w:r w:rsidRPr="001977EB">
        <w:rPr>
          <w:i w:val="0"/>
          <w:iCs w:val="0"/>
          <w:sz w:val="24"/>
          <w:szCs w:val="24"/>
        </w:rPr>
        <w:t xml:space="preserve"> operation and maintenance costs</w:t>
      </w:r>
      <w:r w:rsidRPr="001977EB" w:rsidR="00E45753">
        <w:rPr>
          <w:i w:val="0"/>
          <w:iCs w:val="0"/>
          <w:sz w:val="24"/>
          <w:szCs w:val="24"/>
        </w:rPr>
        <w:t xml:space="preserve"> were included in this table</w:t>
      </w:r>
      <w:r w:rsidRPr="001977EB">
        <w:rPr>
          <w:i w:val="0"/>
          <w:iCs w:val="0"/>
          <w:sz w:val="24"/>
          <w:szCs w:val="24"/>
        </w:rPr>
        <w:t xml:space="preserve">, </w:t>
      </w:r>
      <w:r w:rsidRPr="001977EB" w:rsidR="00223E37">
        <w:rPr>
          <w:i w:val="0"/>
          <w:iCs w:val="0"/>
          <w:sz w:val="24"/>
          <w:szCs w:val="24"/>
        </w:rPr>
        <w:t>the</w:t>
      </w:r>
      <w:r w:rsidRPr="001977EB">
        <w:rPr>
          <w:i w:val="0"/>
          <w:iCs w:val="0"/>
          <w:sz w:val="24"/>
          <w:szCs w:val="24"/>
        </w:rPr>
        <w:t xml:space="preserve"> </w:t>
      </w:r>
      <w:r w:rsidR="001977EB">
        <w:rPr>
          <w:i w:val="0"/>
          <w:iCs w:val="0"/>
          <w:sz w:val="24"/>
          <w:szCs w:val="24"/>
        </w:rPr>
        <w:t>“</w:t>
      </w:r>
      <w:r w:rsidRPr="001977EB">
        <w:rPr>
          <w:i w:val="0"/>
          <w:iCs w:val="0"/>
          <w:sz w:val="24"/>
          <w:szCs w:val="24"/>
        </w:rPr>
        <w:t>results would likely show all twelve months created even larger charge to consumers for the coal plant subsidy, with no credits.</w:t>
      </w:r>
      <w:r>
        <w:rPr>
          <w:rStyle w:val="FootnoteReference"/>
          <w:i w:val="0"/>
          <w:iCs w:val="0"/>
          <w:sz w:val="24"/>
          <w:szCs w:val="24"/>
        </w:rPr>
        <w:footnoteReference w:id="66"/>
      </w:r>
      <w:r w:rsidRPr="001977EB">
        <w:rPr>
          <w:i w:val="0"/>
          <w:iCs w:val="0"/>
          <w:sz w:val="24"/>
          <w:szCs w:val="24"/>
        </w:rPr>
        <w:t xml:space="preserve"> </w:t>
      </w:r>
    </w:p>
    <w:p w:rsidR="00DC62F6" w:rsidRPr="001977EB" w:rsidP="000B5F9C" w14:paraId="3B59041E" w14:textId="77777777">
      <w:pPr>
        <w:spacing w:line="480" w:lineRule="auto"/>
        <w:ind w:firstLine="720"/>
        <w:rPr>
          <w:rFonts w:ascii="Times New Roman" w:eastAsia="Times New Roman" w:hAnsi="Times New Roman" w:cs="Times New Roman"/>
          <w:b/>
          <w:bCs/>
          <w:sz w:val="24"/>
          <w:szCs w:val="24"/>
          <w:lang w:val="en-US"/>
        </w:rPr>
      </w:pPr>
      <w:r w:rsidRPr="001977EB">
        <w:rPr>
          <w:rFonts w:ascii="Times New Roman" w:hAnsi="Times New Roman" w:cs="Times New Roman"/>
          <w:sz w:val="24"/>
          <w:szCs w:val="24"/>
        </w:rPr>
        <w:t xml:space="preserve">Mr. Perez </w:t>
      </w:r>
      <w:r w:rsidRPr="001977EB" w:rsidR="00E45753">
        <w:rPr>
          <w:rFonts w:ascii="Times New Roman" w:hAnsi="Times New Roman" w:cs="Times New Roman"/>
          <w:sz w:val="24"/>
          <w:szCs w:val="24"/>
        </w:rPr>
        <w:t>concluded</w:t>
      </w:r>
      <w:r w:rsidRPr="001977EB" w:rsidR="00281588">
        <w:rPr>
          <w:rFonts w:ascii="Times New Roman" w:hAnsi="Times New Roman" w:cs="Times New Roman"/>
          <w:sz w:val="24"/>
          <w:szCs w:val="24"/>
        </w:rPr>
        <w:t xml:space="preserve"> that OVEC should have used a</w:t>
      </w:r>
      <w:r w:rsidRPr="001977EB">
        <w:rPr>
          <w:rFonts w:ascii="Times New Roman" w:hAnsi="Times New Roman" w:cs="Times New Roman"/>
          <w:sz w:val="24"/>
          <w:szCs w:val="24"/>
        </w:rPr>
        <w:t xml:space="preserve"> daily economic analysis to inform </w:t>
      </w:r>
      <w:r w:rsidRPr="001977EB" w:rsidR="00281588">
        <w:rPr>
          <w:rFonts w:ascii="Times New Roman" w:hAnsi="Times New Roman" w:cs="Times New Roman"/>
          <w:sz w:val="24"/>
          <w:szCs w:val="24"/>
        </w:rPr>
        <w:t>its daily</w:t>
      </w:r>
      <w:r w:rsidRPr="001977EB">
        <w:rPr>
          <w:rFonts w:ascii="Times New Roman" w:hAnsi="Times New Roman" w:cs="Times New Roman"/>
          <w:sz w:val="24"/>
          <w:szCs w:val="24"/>
        </w:rPr>
        <w:t xml:space="preserve"> decision</w:t>
      </w:r>
      <w:r w:rsidRPr="001977EB" w:rsidR="00281588">
        <w:rPr>
          <w:rFonts w:ascii="Times New Roman" w:hAnsi="Times New Roman" w:cs="Times New Roman"/>
          <w:sz w:val="24"/>
          <w:szCs w:val="24"/>
        </w:rPr>
        <w:t>s</w:t>
      </w:r>
      <w:r w:rsidRPr="001977EB" w:rsidR="00FC50DF">
        <w:rPr>
          <w:rFonts w:ascii="Times New Roman" w:hAnsi="Times New Roman" w:cs="Times New Roman"/>
          <w:sz w:val="24"/>
          <w:szCs w:val="24"/>
        </w:rPr>
        <w:t xml:space="preserve"> </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to </w:t>
      </w:r>
      <w:r w:rsidRPr="001977EB" w:rsidR="00336D4A">
        <w:rPr>
          <w:rFonts w:ascii="Times New Roman" w:hAnsi="Times New Roman" w:cs="Times New Roman"/>
          <w:sz w:val="24"/>
          <w:szCs w:val="24"/>
        </w:rPr>
        <w:t>either designate the plant as economic or shut down the plant until prices recover.</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67"/>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He noted that </w:t>
      </w:r>
      <w:r w:rsidRPr="001977EB" w:rsidR="00336D4A">
        <w:rPr>
          <w:rFonts w:ascii="Times New Roman" w:hAnsi="Times New Roman" w:cs="Times New Roman"/>
          <w:sz w:val="24"/>
          <w:szCs w:val="24"/>
        </w:rPr>
        <w:t xml:space="preserve">Duke </w:t>
      </w:r>
      <w:r w:rsidRPr="001977EB">
        <w:rPr>
          <w:rFonts w:ascii="Times New Roman" w:hAnsi="Times New Roman" w:cs="Times New Roman"/>
          <w:sz w:val="24"/>
          <w:szCs w:val="24"/>
        </w:rPr>
        <w:t>follows this practice for its</w:t>
      </w:r>
      <w:r w:rsidRPr="001977EB" w:rsidR="00893B24">
        <w:rPr>
          <w:rFonts w:ascii="Times New Roman" w:hAnsi="Times New Roman" w:cs="Times New Roman"/>
          <w:sz w:val="24"/>
          <w:szCs w:val="24"/>
        </w:rPr>
        <w:t xml:space="preserve"> non-OVEC plants, but </w:t>
      </w:r>
      <w:r w:rsidRPr="001977EB">
        <w:rPr>
          <w:rFonts w:ascii="Times New Roman" w:hAnsi="Times New Roman" w:cs="Times New Roman"/>
          <w:sz w:val="24"/>
          <w:szCs w:val="24"/>
        </w:rPr>
        <w:t>this practice wasn</w:t>
      </w:r>
      <w:r w:rsidR="001977EB">
        <w:rPr>
          <w:rFonts w:ascii="Times New Roman" w:hAnsi="Times New Roman" w:cs="Times New Roman"/>
          <w:sz w:val="24"/>
          <w:szCs w:val="24"/>
        </w:rPr>
        <w:t>’</w:t>
      </w:r>
      <w:r w:rsidRPr="001977EB">
        <w:rPr>
          <w:rFonts w:ascii="Times New Roman" w:hAnsi="Times New Roman" w:cs="Times New Roman"/>
          <w:sz w:val="24"/>
          <w:szCs w:val="24"/>
        </w:rPr>
        <w:t>t applied to the OVEC plants.</w:t>
      </w:r>
      <w:r>
        <w:rPr>
          <w:rStyle w:val="FootnoteReference"/>
          <w:rFonts w:ascii="Times New Roman" w:hAnsi="Times New Roman" w:cs="Times New Roman"/>
          <w:sz w:val="24"/>
          <w:szCs w:val="24"/>
        </w:rPr>
        <w:footnoteReference w:id="68"/>
      </w:r>
      <w:r w:rsidRPr="001977EB" w:rsidR="00893B24">
        <w:rPr>
          <w:rFonts w:ascii="Times New Roman" w:hAnsi="Times New Roman" w:cs="Times New Roman"/>
          <w:sz w:val="24"/>
          <w:szCs w:val="24"/>
        </w:rPr>
        <w:t xml:space="preserve"> </w:t>
      </w:r>
      <w:r w:rsidRPr="001977EB">
        <w:rPr>
          <w:rFonts w:ascii="Times New Roman" w:hAnsi="Times New Roman" w:cs="Times New Roman"/>
          <w:sz w:val="24"/>
          <w:szCs w:val="24"/>
        </w:rPr>
        <w:t xml:space="preserve">Mr. Perez </w:t>
      </w:r>
      <w:r w:rsidRPr="001977EB" w:rsidR="00E45753">
        <w:rPr>
          <w:rFonts w:ascii="Times New Roman" w:hAnsi="Times New Roman" w:cs="Times New Roman"/>
          <w:sz w:val="24"/>
          <w:szCs w:val="24"/>
        </w:rPr>
        <w:t xml:space="preserve">further </w:t>
      </w:r>
      <w:r w:rsidRPr="001977EB">
        <w:rPr>
          <w:rFonts w:ascii="Times New Roman" w:hAnsi="Times New Roman" w:cs="Times New Roman"/>
          <w:sz w:val="24"/>
          <w:szCs w:val="24"/>
        </w:rPr>
        <w:t>concluded that</w:t>
      </w:r>
      <w:r w:rsidRPr="001977EB" w:rsidR="00223E37">
        <w:rPr>
          <w:rFonts w:ascii="Times New Roman" w:hAnsi="Times New Roman" w:cs="Times New Roman"/>
          <w:sz w:val="24"/>
          <w:szCs w:val="24"/>
        </w:rPr>
        <w:t xml:space="preserve"> </w:t>
      </w:r>
      <w:r w:rsidRPr="001977EB" w:rsidR="00FA10DC">
        <w:rPr>
          <w:rFonts w:ascii="Times New Roman" w:hAnsi="Times New Roman" w:cs="Times New Roman"/>
          <w:sz w:val="24"/>
          <w:szCs w:val="24"/>
        </w:rPr>
        <w:t>OVEC</w:t>
      </w:r>
      <w:r w:rsidRPr="001977EB" w:rsidR="00615449">
        <w:rPr>
          <w:rFonts w:ascii="Times New Roman" w:hAnsi="Times New Roman" w:cs="Times New Roman"/>
          <w:sz w:val="24"/>
          <w:szCs w:val="24"/>
        </w:rPr>
        <w:t xml:space="preserve"> </w:t>
      </w:r>
      <w:r w:rsidRPr="001977EB" w:rsidR="00F80236">
        <w:rPr>
          <w:rFonts w:ascii="Times New Roman" w:hAnsi="Times New Roman" w:cs="Times New Roman"/>
          <w:sz w:val="24"/>
          <w:szCs w:val="24"/>
        </w:rPr>
        <w:t>failed to ope</w:t>
      </w:r>
      <w:r w:rsidRPr="001977EB">
        <w:rPr>
          <w:rFonts w:ascii="Times New Roman" w:hAnsi="Times New Roman" w:cs="Times New Roman"/>
          <w:sz w:val="24"/>
          <w:szCs w:val="24"/>
        </w:rPr>
        <w:t>r</w:t>
      </w:r>
      <w:r w:rsidRPr="001977EB" w:rsidR="00F80236">
        <w:rPr>
          <w:rFonts w:ascii="Times New Roman" w:hAnsi="Times New Roman" w:cs="Times New Roman"/>
          <w:sz w:val="24"/>
          <w:szCs w:val="24"/>
        </w:rPr>
        <w:t xml:space="preserve">ate the plants consistently with how merchant </w:t>
      </w:r>
      <w:r w:rsidRPr="001977EB" w:rsidR="005C7C27">
        <w:rPr>
          <w:rFonts w:ascii="Times New Roman" w:hAnsi="Times New Roman" w:cs="Times New Roman"/>
          <w:sz w:val="24"/>
          <w:szCs w:val="24"/>
        </w:rPr>
        <w:t>coal plant o</w:t>
      </w:r>
      <w:r w:rsidRPr="001977EB" w:rsidR="00223E37">
        <w:rPr>
          <w:rFonts w:ascii="Times New Roman" w:hAnsi="Times New Roman" w:cs="Times New Roman"/>
          <w:sz w:val="24"/>
          <w:szCs w:val="24"/>
        </w:rPr>
        <w:t>wners</w:t>
      </w:r>
      <w:r w:rsidRPr="001977EB" w:rsidR="005C7C27">
        <w:rPr>
          <w:rFonts w:ascii="Times New Roman" w:hAnsi="Times New Roman" w:cs="Times New Roman"/>
          <w:sz w:val="24"/>
          <w:szCs w:val="24"/>
        </w:rPr>
        <w:t xml:space="preserve"> attempting to maximize revenues would bid their plants into the PJM Day-Ahead Energy </w:t>
      </w:r>
      <w:r w:rsidRPr="001977EB">
        <w:rPr>
          <w:rFonts w:ascii="Times New Roman" w:hAnsi="Times New Roman" w:cs="Times New Roman"/>
          <w:sz w:val="24"/>
          <w:szCs w:val="24"/>
        </w:rPr>
        <w:t>m</w:t>
      </w:r>
      <w:r w:rsidRPr="001977EB" w:rsidR="005C7C27">
        <w:rPr>
          <w:rFonts w:ascii="Times New Roman" w:hAnsi="Times New Roman" w:cs="Times New Roman"/>
          <w:sz w:val="24"/>
          <w:szCs w:val="24"/>
        </w:rPr>
        <w:t xml:space="preserve">arket </w:t>
      </w:r>
      <w:r w:rsidRPr="001977EB">
        <w:rPr>
          <w:rFonts w:ascii="Times New Roman" w:hAnsi="Times New Roman" w:cs="Times New Roman"/>
          <w:sz w:val="24"/>
          <w:szCs w:val="24"/>
        </w:rPr>
        <w:t xml:space="preserve">or </w:t>
      </w:r>
      <w:r w:rsidRPr="001977EB" w:rsidR="005C7C27">
        <w:rPr>
          <w:rFonts w:ascii="Times New Roman" w:hAnsi="Times New Roman" w:cs="Times New Roman"/>
          <w:sz w:val="24"/>
          <w:szCs w:val="24"/>
        </w:rPr>
        <w:t>in the best interest of retail ratepayers.</w:t>
      </w:r>
      <w:r>
        <w:rPr>
          <w:rStyle w:val="FootnoteReference"/>
          <w:rFonts w:ascii="Times New Roman" w:hAnsi="Times New Roman" w:cs="Times New Roman"/>
          <w:sz w:val="24"/>
          <w:szCs w:val="24"/>
        </w:rPr>
        <w:footnoteReference w:id="69"/>
      </w:r>
      <w:bookmarkStart w:id="18" w:name="_Ref84835999"/>
      <w:bookmarkStart w:id="19" w:name="_Toc86058198"/>
      <w:r w:rsidRPr="001977EB">
        <w:rPr>
          <w:rFonts w:ascii="Times New Roman" w:hAnsi="Times New Roman" w:cs="Times New Roman"/>
          <w:sz w:val="24"/>
          <w:szCs w:val="24"/>
        </w:rPr>
        <w:t xml:space="preserve"> </w:t>
      </w:r>
    </w:p>
    <w:bookmarkEnd w:id="18"/>
    <w:bookmarkEnd w:id="19"/>
    <w:p w:rsidR="007F0DC6" w:rsidRPr="001977EB" w:rsidP="00A759EA" w14:paraId="60FFBE33"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In the present case, R.C. 4928.148 allows utilities to seek collection of coal plant subsidy costs, but the statute requires that the costs must be prudently incurred.</w:t>
      </w:r>
      <w:r>
        <w:rPr>
          <w:rStyle w:val="FootnoteReference"/>
          <w:rFonts w:ascii="Times New Roman" w:eastAsia="Times New Roman" w:hAnsi="Times New Roman" w:cs="Times New Roman"/>
          <w:sz w:val="24"/>
          <w:szCs w:val="24"/>
        </w:rPr>
        <w:footnoteReference w:id="70"/>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Here they were not.</w:t>
      </w:r>
      <w:r w:rsidRPr="001977EB" w:rsidR="00FC50DF">
        <w:rPr>
          <w:rFonts w:ascii="Times New Roman" w:eastAsia="Times New Roman" w:hAnsi="Times New Roman" w:cs="Times New Roman"/>
          <w:sz w:val="24"/>
          <w:szCs w:val="24"/>
        </w:rPr>
        <w:t xml:space="preserve"> </w:t>
      </w:r>
      <w:r w:rsidRPr="001977EB" w:rsidR="00E45753">
        <w:rPr>
          <w:rFonts w:ascii="Times New Roman" w:eastAsia="Times New Roman" w:hAnsi="Times New Roman" w:cs="Times New Roman"/>
          <w:sz w:val="24"/>
          <w:szCs w:val="24"/>
        </w:rPr>
        <w:t>Dr. Stanton and Mr. Perez</w:t>
      </w:r>
      <w:r w:rsidR="001977EB">
        <w:rPr>
          <w:rFonts w:ascii="Times New Roman" w:eastAsia="Times New Roman" w:hAnsi="Times New Roman" w:cs="Times New Roman"/>
          <w:sz w:val="24"/>
          <w:szCs w:val="24"/>
        </w:rPr>
        <w:t>’</w:t>
      </w:r>
      <w:r w:rsidRPr="001977EB" w:rsidR="00E45753">
        <w:rPr>
          <w:rFonts w:ascii="Times New Roman" w:eastAsia="Times New Roman" w:hAnsi="Times New Roman" w:cs="Times New Roman"/>
          <w:sz w:val="24"/>
          <w:szCs w:val="24"/>
        </w:rPr>
        <w:t>s testimony clearly showed that r</w:t>
      </w:r>
      <w:r w:rsidRPr="001977EB" w:rsidR="00351D95">
        <w:rPr>
          <w:rFonts w:ascii="Times New Roman" w:eastAsia="Times New Roman" w:hAnsi="Times New Roman" w:cs="Times New Roman"/>
          <w:sz w:val="24"/>
          <w:szCs w:val="24"/>
        </w:rPr>
        <w:t xml:space="preserve">unning the </w:t>
      </w:r>
      <w:r w:rsidRPr="001977EB" w:rsidR="00E45753">
        <w:rPr>
          <w:rFonts w:ascii="Times New Roman" w:eastAsia="Times New Roman" w:hAnsi="Times New Roman" w:cs="Times New Roman"/>
          <w:sz w:val="24"/>
          <w:szCs w:val="24"/>
        </w:rPr>
        <w:t>c</w:t>
      </w:r>
      <w:r w:rsidRPr="001977EB" w:rsidR="00351D95">
        <w:rPr>
          <w:rFonts w:ascii="Times New Roman" w:eastAsia="Times New Roman" w:hAnsi="Times New Roman" w:cs="Times New Roman"/>
          <w:sz w:val="24"/>
          <w:szCs w:val="24"/>
        </w:rPr>
        <w:t xml:space="preserve">oal </w:t>
      </w:r>
      <w:r w:rsidRPr="001977EB" w:rsidR="00E45753">
        <w:rPr>
          <w:rFonts w:ascii="Times New Roman" w:eastAsia="Times New Roman" w:hAnsi="Times New Roman" w:cs="Times New Roman"/>
          <w:sz w:val="24"/>
          <w:szCs w:val="24"/>
        </w:rPr>
        <w:t>p</w:t>
      </w:r>
      <w:r w:rsidRPr="001977EB" w:rsidR="00351D95">
        <w:rPr>
          <w:rFonts w:ascii="Times New Roman" w:eastAsia="Times New Roman" w:hAnsi="Times New Roman" w:cs="Times New Roman"/>
          <w:sz w:val="24"/>
          <w:szCs w:val="24"/>
        </w:rPr>
        <w:t xml:space="preserve">lants when fuel and variable </w:t>
      </w:r>
      <w:r w:rsidRPr="001977EB" w:rsidR="00005BA7">
        <w:rPr>
          <w:rFonts w:ascii="Times New Roman" w:eastAsia="Times New Roman" w:hAnsi="Times New Roman" w:cs="Times New Roman"/>
          <w:sz w:val="24"/>
          <w:szCs w:val="24"/>
        </w:rPr>
        <w:t>operation and maintenance</w:t>
      </w:r>
      <w:r w:rsidRPr="001977EB" w:rsidR="00351D95">
        <w:rPr>
          <w:rFonts w:ascii="Times New Roman" w:eastAsia="Times New Roman" w:hAnsi="Times New Roman" w:cs="Times New Roman"/>
          <w:sz w:val="24"/>
          <w:szCs w:val="24"/>
        </w:rPr>
        <w:t xml:space="preserve"> costs exceeded </w:t>
      </w:r>
      <w:r w:rsidRPr="001977EB" w:rsidR="00E45753">
        <w:rPr>
          <w:rFonts w:ascii="Times New Roman" w:eastAsia="Times New Roman" w:hAnsi="Times New Roman" w:cs="Times New Roman"/>
          <w:sz w:val="24"/>
          <w:szCs w:val="24"/>
        </w:rPr>
        <w:t xml:space="preserve">electricity </w:t>
      </w:r>
      <w:r w:rsidRPr="001977EB" w:rsidR="00351D95">
        <w:rPr>
          <w:rFonts w:ascii="Times New Roman" w:eastAsia="Times New Roman" w:hAnsi="Times New Roman" w:cs="Times New Roman"/>
          <w:sz w:val="24"/>
          <w:szCs w:val="24"/>
        </w:rPr>
        <w:t>market price</w:t>
      </w:r>
      <w:r w:rsidRPr="001977EB" w:rsidR="00E45753">
        <w:rPr>
          <w:rFonts w:ascii="Times New Roman" w:eastAsia="Times New Roman" w:hAnsi="Times New Roman" w:cs="Times New Roman"/>
          <w:sz w:val="24"/>
          <w:szCs w:val="24"/>
        </w:rPr>
        <w:t>s</w:t>
      </w:r>
      <w:r w:rsidRPr="001977EB" w:rsidR="00351D95">
        <w:rPr>
          <w:rFonts w:ascii="Times New Roman" w:eastAsia="Times New Roman" w:hAnsi="Times New Roman" w:cs="Times New Roman"/>
          <w:sz w:val="24"/>
          <w:szCs w:val="24"/>
        </w:rPr>
        <w:t xml:space="preserve"> was not</w:t>
      </w:r>
      <w:r w:rsidRPr="001977EB" w:rsidR="000C6D85">
        <w:rPr>
          <w:rFonts w:ascii="Times New Roman" w:eastAsia="Times New Roman" w:hAnsi="Times New Roman" w:cs="Times New Roman"/>
          <w:sz w:val="24"/>
          <w:szCs w:val="24"/>
        </w:rPr>
        <w:t xml:space="preserve"> prudent or</w:t>
      </w:r>
      <w:r w:rsidRPr="001977EB" w:rsidR="00351D95">
        <w:rPr>
          <w:rFonts w:ascii="Times New Roman" w:eastAsia="Times New Roman" w:hAnsi="Times New Roman" w:cs="Times New Roman"/>
          <w:sz w:val="24"/>
          <w:szCs w:val="24"/>
        </w:rPr>
        <w:t xml:space="preserve"> in the best interest of</w:t>
      </w:r>
      <w:r w:rsidRPr="001977EB" w:rsidR="00730864">
        <w:rPr>
          <w:rFonts w:ascii="Times New Roman" w:eastAsia="Times New Roman" w:hAnsi="Times New Roman" w:cs="Times New Roman"/>
          <w:sz w:val="24"/>
          <w:szCs w:val="24"/>
        </w:rPr>
        <w:t xml:space="preserve"> </w:t>
      </w:r>
      <w:r w:rsidRPr="001977EB" w:rsidR="00351D95">
        <w:rPr>
          <w:rFonts w:ascii="Times New Roman" w:eastAsia="Times New Roman" w:hAnsi="Times New Roman" w:cs="Times New Roman"/>
          <w:sz w:val="24"/>
          <w:szCs w:val="24"/>
        </w:rPr>
        <w:t>consumers</w:t>
      </w:r>
      <w:r w:rsidRPr="001977EB" w:rsidR="004D1310">
        <w:rPr>
          <w:rFonts w:ascii="Times New Roman" w:eastAsia="Times New Roman" w:hAnsi="Times New Roman" w:cs="Times New Roman"/>
          <w:sz w:val="24"/>
          <w:szCs w:val="24"/>
        </w:rPr>
        <w:t>.</w:t>
      </w:r>
      <w:r w:rsidRPr="001977EB" w:rsidR="00193767">
        <w:rPr>
          <w:rFonts w:ascii="Times New Roman" w:eastAsia="Times New Roman" w:hAnsi="Times New Roman" w:cs="Times New Roman"/>
          <w:sz w:val="24"/>
          <w:szCs w:val="24"/>
        </w:rPr>
        <w:t xml:space="preserve"> </w:t>
      </w:r>
    </w:p>
    <w:p w:rsidR="004234FC" w:rsidRPr="001977EB" w:rsidP="007F0DC6" w14:paraId="4E30996C" w14:textId="77777777">
      <w:pPr>
        <w:autoSpaceDE w:val="0"/>
        <w:autoSpaceDN w:val="0"/>
        <w:adjustRightInd w:val="0"/>
        <w:spacing w:line="480" w:lineRule="auto"/>
        <w:ind w:firstLine="720"/>
        <w:rPr>
          <w:rFonts w:ascii="Times New Roman" w:hAnsi="Times New Roman" w:cs="Times New Roman"/>
          <w:sz w:val="24"/>
          <w:szCs w:val="24"/>
          <w:lang w:val="en-US"/>
        </w:rPr>
      </w:pPr>
      <w:r w:rsidRPr="001977EB">
        <w:rPr>
          <w:rFonts w:ascii="Times New Roman" w:hAnsi="Times New Roman" w:cs="Times New Roman"/>
          <w:sz w:val="24"/>
          <w:szCs w:val="24"/>
          <w:lang w:val="en-US"/>
        </w:rPr>
        <w:t>Other utility commissions have disallowed costs associated with the continued investment in uneconomic generation. It is well settled that a utility</w:t>
      </w:r>
      <w:r w:rsidR="001977EB">
        <w:rPr>
          <w:rFonts w:ascii="Times New Roman" w:hAnsi="Times New Roman" w:cs="Times New Roman"/>
          <w:sz w:val="24"/>
          <w:szCs w:val="24"/>
          <w:lang w:val="en-US"/>
        </w:rPr>
        <w:t>’</w:t>
      </w:r>
      <w:r w:rsidRPr="001977EB">
        <w:rPr>
          <w:rFonts w:ascii="Times New Roman" w:hAnsi="Times New Roman" w:cs="Times New Roman"/>
          <w:sz w:val="24"/>
          <w:szCs w:val="24"/>
          <w:lang w:val="en-US"/>
        </w:rPr>
        <w:t xml:space="preserve">s obligation to analyze the prudence of an investment is not a static or </w:t>
      </w:r>
      <w:r w:rsidR="001977EB">
        <w:rPr>
          <w:rFonts w:ascii="Times New Roman" w:hAnsi="Times New Roman" w:cs="Times New Roman"/>
          <w:sz w:val="24"/>
          <w:szCs w:val="24"/>
          <w:lang w:val="en-US"/>
        </w:rPr>
        <w:t>“</w:t>
      </w:r>
      <w:r w:rsidRPr="001977EB">
        <w:rPr>
          <w:rFonts w:ascii="Times New Roman" w:hAnsi="Times New Roman" w:cs="Times New Roman"/>
          <w:sz w:val="24"/>
          <w:szCs w:val="24"/>
          <w:lang w:val="en-US"/>
        </w:rPr>
        <w:t>one-and-done</w:t>
      </w:r>
      <w:r w:rsidR="001977EB">
        <w:rPr>
          <w:rFonts w:ascii="Times New Roman" w:hAnsi="Times New Roman" w:cs="Times New Roman"/>
          <w:sz w:val="24"/>
          <w:szCs w:val="24"/>
          <w:lang w:val="en-US"/>
        </w:rPr>
        <w:t>”</w:t>
      </w:r>
      <w:r w:rsidRPr="001977EB">
        <w:rPr>
          <w:rFonts w:ascii="Times New Roman" w:hAnsi="Times New Roman" w:cs="Times New Roman"/>
          <w:sz w:val="24"/>
          <w:szCs w:val="24"/>
          <w:lang w:val="en-US"/>
        </w:rPr>
        <w:t xml:space="preserve"> responsibility. Instead, the utility has an ongoing obligation to evaluate the </w:t>
      </w:r>
      <w:r w:rsidRPr="001977EB">
        <w:rPr>
          <w:rFonts w:ascii="Times New Roman" w:hAnsi="Times New Roman" w:cs="Times New Roman"/>
          <w:i/>
          <w:iCs/>
          <w:sz w:val="24"/>
          <w:szCs w:val="24"/>
          <w:lang w:val="en-US"/>
        </w:rPr>
        <w:t xml:space="preserve">continuation </w:t>
      </w:r>
      <w:r w:rsidRPr="001977EB">
        <w:rPr>
          <w:rFonts w:ascii="Times New Roman" w:hAnsi="Times New Roman" w:cs="Times New Roman"/>
          <w:sz w:val="24"/>
          <w:szCs w:val="24"/>
          <w:lang w:val="en-US"/>
        </w:rPr>
        <w:t xml:space="preserve">of an investment as well as its decision to enter into and </w:t>
      </w:r>
      <w:r w:rsidRPr="001977EB">
        <w:rPr>
          <w:rFonts w:ascii="Times New Roman" w:hAnsi="Times New Roman" w:cs="Times New Roman"/>
          <w:i/>
          <w:iCs/>
          <w:sz w:val="24"/>
          <w:szCs w:val="24"/>
          <w:lang w:val="en-US"/>
        </w:rPr>
        <w:t xml:space="preserve">remain </w:t>
      </w:r>
      <w:r w:rsidRPr="001977EB">
        <w:rPr>
          <w:rFonts w:ascii="Times New Roman" w:hAnsi="Times New Roman" w:cs="Times New Roman"/>
          <w:sz w:val="24"/>
          <w:szCs w:val="24"/>
          <w:lang w:val="en-US"/>
        </w:rPr>
        <w:t>in that particular investment.</w:t>
      </w:r>
      <w:r>
        <w:rPr>
          <w:rStyle w:val="FootnoteReference"/>
          <w:rFonts w:ascii="Times New Roman" w:hAnsi="Times New Roman" w:cs="Times New Roman"/>
          <w:sz w:val="24"/>
          <w:szCs w:val="24"/>
          <w:lang w:val="en-US"/>
        </w:rPr>
        <w:footnoteReference w:id="71"/>
      </w:r>
      <w:r w:rsidRPr="001977EB">
        <w:rPr>
          <w:rFonts w:ascii="Times New Roman" w:hAnsi="Times New Roman" w:cs="Times New Roman"/>
          <w:sz w:val="24"/>
          <w:szCs w:val="24"/>
          <w:lang w:val="en-US"/>
        </w:rPr>
        <w:t xml:space="preserve"> This requires the utility to respond prudently to changing circumstances or new economic or regulatory challenges that arise </w:t>
      </w:r>
      <w:r w:rsidRPr="001977EB" w:rsidR="00223E37">
        <w:rPr>
          <w:rFonts w:ascii="Times New Roman" w:hAnsi="Times New Roman" w:cs="Times New Roman"/>
          <w:sz w:val="24"/>
          <w:szCs w:val="24"/>
          <w:lang w:val="en-US"/>
        </w:rPr>
        <w:t>during the entire lifetime of a coal plant investment</w:t>
      </w:r>
      <w:r w:rsidRPr="001977EB">
        <w:rPr>
          <w:rFonts w:ascii="Times New Roman" w:hAnsi="Times New Roman" w:cs="Times New Roman"/>
          <w:sz w:val="24"/>
          <w:szCs w:val="24"/>
          <w:lang w:val="en-US"/>
        </w:rPr>
        <w:t xml:space="preserve">. </w:t>
      </w:r>
    </w:p>
    <w:p w:rsidR="007F0DC6" w:rsidRPr="001977EB" w:rsidP="007F0DC6" w14:paraId="397A977B" w14:textId="77777777">
      <w:pPr>
        <w:autoSpaceDE w:val="0"/>
        <w:autoSpaceDN w:val="0"/>
        <w:adjustRightInd w:val="0"/>
        <w:spacing w:line="480" w:lineRule="auto"/>
        <w:ind w:firstLine="720"/>
        <w:rPr>
          <w:rFonts w:ascii="Times New Roman" w:eastAsia="Times New Roman" w:hAnsi="Times New Roman" w:cs="Times New Roman"/>
          <w:sz w:val="24"/>
          <w:szCs w:val="24"/>
        </w:rPr>
      </w:pPr>
      <w:r w:rsidRPr="001977EB">
        <w:rPr>
          <w:rFonts w:ascii="Times New Roman" w:hAnsi="Times New Roman" w:cs="Times New Roman"/>
          <w:sz w:val="24"/>
          <w:szCs w:val="24"/>
          <w:lang w:val="en-US"/>
        </w:rPr>
        <w:t>Applying this rule, several public utility commissions have disallowed costs associated with a utility</w:t>
      </w:r>
      <w:r w:rsidR="001977EB">
        <w:rPr>
          <w:rFonts w:ascii="Times New Roman" w:hAnsi="Times New Roman" w:cs="Times New Roman"/>
          <w:sz w:val="24"/>
          <w:szCs w:val="24"/>
          <w:lang w:val="en-US"/>
        </w:rPr>
        <w:t>’</w:t>
      </w:r>
      <w:r w:rsidRPr="001977EB">
        <w:rPr>
          <w:rFonts w:ascii="Times New Roman" w:hAnsi="Times New Roman" w:cs="Times New Roman"/>
          <w:sz w:val="24"/>
          <w:szCs w:val="24"/>
          <w:lang w:val="en-US"/>
        </w:rPr>
        <w:t>s continued investment in uneconomic generation</w:t>
      </w:r>
      <w:r w:rsidRPr="001977EB" w:rsidR="00223E37">
        <w:rPr>
          <w:rFonts w:ascii="Times New Roman" w:hAnsi="Times New Roman" w:cs="Times New Roman"/>
          <w:sz w:val="24"/>
          <w:szCs w:val="24"/>
          <w:lang w:val="en-US"/>
        </w:rPr>
        <w:t xml:space="preserve"> plants</w:t>
      </w:r>
      <w:r w:rsidRPr="001977EB">
        <w:rPr>
          <w:rFonts w:ascii="Times New Roman" w:hAnsi="Times New Roman" w:cs="Times New Roman"/>
          <w:sz w:val="24"/>
          <w:szCs w:val="24"/>
          <w:lang w:val="en-US"/>
        </w:rPr>
        <w:t>.</w:t>
      </w:r>
      <w:r w:rsidRPr="001977EB" w:rsidR="00FC50DF">
        <w:rPr>
          <w:rFonts w:ascii="Times New Roman" w:hAnsi="Times New Roman" w:cs="Times New Roman"/>
          <w:sz w:val="24"/>
          <w:szCs w:val="24"/>
          <w:lang w:val="en-US"/>
        </w:rPr>
        <w:t xml:space="preserve"> </w:t>
      </w:r>
      <w:r w:rsidRPr="001977EB" w:rsidR="00901CEF">
        <w:rPr>
          <w:rFonts w:ascii="Times New Roman" w:hAnsi="Times New Roman" w:cs="Times New Roman"/>
          <w:sz w:val="24"/>
          <w:szCs w:val="24"/>
          <w:lang w:val="en-US"/>
        </w:rPr>
        <w:t>For example, in</w:t>
      </w:r>
      <w:r w:rsidRPr="001977EB">
        <w:rPr>
          <w:rFonts w:ascii="Times New Roman" w:hAnsi="Times New Roman" w:cs="Times New Roman"/>
          <w:i/>
          <w:iCs/>
          <w:sz w:val="24"/>
          <w:szCs w:val="24"/>
          <w:lang w:val="en-US"/>
        </w:rPr>
        <w:t xml:space="preserve"> Gulf States v. Pub. Serv. Comm</w:t>
      </w:r>
      <w:r w:rsidR="001977EB">
        <w:rPr>
          <w:rFonts w:ascii="Times New Roman" w:hAnsi="Times New Roman" w:cs="Times New Roman"/>
          <w:i/>
          <w:iCs/>
          <w:sz w:val="24"/>
          <w:szCs w:val="24"/>
          <w:lang w:val="en-US"/>
        </w:rPr>
        <w:t>’</w:t>
      </w:r>
      <w:r w:rsidRPr="001977EB">
        <w:rPr>
          <w:rFonts w:ascii="Times New Roman" w:hAnsi="Times New Roman" w:cs="Times New Roman"/>
          <w:i/>
          <w:iCs/>
          <w:sz w:val="24"/>
          <w:szCs w:val="24"/>
          <w:lang w:val="en-US"/>
        </w:rPr>
        <w:t>n,</w:t>
      </w:r>
      <w:r>
        <w:rPr>
          <w:rStyle w:val="FootnoteReference"/>
          <w:rFonts w:ascii="Times New Roman" w:hAnsi="Times New Roman" w:cs="Times New Roman"/>
          <w:i/>
          <w:iCs/>
          <w:sz w:val="24"/>
          <w:szCs w:val="24"/>
          <w:lang w:val="en-US"/>
        </w:rPr>
        <w:footnoteReference w:id="72"/>
      </w:r>
      <w:r w:rsidRPr="001977EB">
        <w:rPr>
          <w:rFonts w:ascii="Times New Roman" w:hAnsi="Times New Roman" w:cs="Times New Roman"/>
          <w:i/>
          <w:iCs/>
          <w:sz w:val="24"/>
          <w:szCs w:val="24"/>
          <w:lang w:val="en-US"/>
        </w:rPr>
        <w:t xml:space="preserve"> </w:t>
      </w:r>
      <w:r w:rsidRPr="001977EB" w:rsidR="00901CEF">
        <w:rPr>
          <w:rFonts w:ascii="Times New Roman" w:hAnsi="Times New Roman" w:cs="Times New Roman"/>
          <w:sz w:val="24"/>
          <w:szCs w:val="24"/>
          <w:lang w:val="en-US"/>
        </w:rPr>
        <w:t xml:space="preserve">the court </w:t>
      </w:r>
      <w:r w:rsidRPr="001977EB">
        <w:rPr>
          <w:rFonts w:ascii="Times New Roman" w:hAnsi="Times New Roman" w:cs="Times New Roman"/>
          <w:sz w:val="24"/>
          <w:szCs w:val="24"/>
          <w:lang w:val="en-US"/>
        </w:rPr>
        <w:t>affirm</w:t>
      </w:r>
      <w:r w:rsidRPr="001977EB" w:rsidR="00901CEF">
        <w:rPr>
          <w:rFonts w:ascii="Times New Roman" w:hAnsi="Times New Roman" w:cs="Times New Roman"/>
          <w:sz w:val="24"/>
          <w:szCs w:val="24"/>
          <w:lang w:val="en-US"/>
        </w:rPr>
        <w:t>ed</w:t>
      </w:r>
      <w:r w:rsidRPr="001977EB">
        <w:rPr>
          <w:rFonts w:ascii="Times New Roman" w:hAnsi="Times New Roman" w:cs="Times New Roman"/>
          <w:sz w:val="24"/>
          <w:szCs w:val="24"/>
          <w:lang w:val="en-US"/>
        </w:rPr>
        <w:t xml:space="preserve"> the Louisiana Public Service Commission</w:t>
      </w:r>
      <w:r w:rsidR="001977EB">
        <w:rPr>
          <w:rFonts w:ascii="Times New Roman" w:hAnsi="Times New Roman" w:cs="Times New Roman"/>
          <w:sz w:val="24"/>
          <w:szCs w:val="24"/>
          <w:lang w:val="en-US"/>
        </w:rPr>
        <w:t>’</w:t>
      </w:r>
      <w:r w:rsidRPr="001977EB">
        <w:rPr>
          <w:rFonts w:ascii="Times New Roman" w:hAnsi="Times New Roman" w:cs="Times New Roman"/>
          <w:sz w:val="24"/>
          <w:szCs w:val="24"/>
          <w:lang w:val="en-US"/>
        </w:rPr>
        <w:t xml:space="preserve">s disallowance of costs associated with the continued investment in risky nuclear generation where, as here, the utility failed to adequately evaluate viable and economically beneficial alternatives and was aware of, but failed to take into account, the </w:t>
      </w:r>
      <w:r w:rsidR="001977EB">
        <w:rPr>
          <w:rFonts w:ascii="Times New Roman" w:hAnsi="Times New Roman" w:cs="Times New Roman"/>
          <w:sz w:val="24"/>
          <w:szCs w:val="24"/>
          <w:lang w:val="en-US"/>
        </w:rPr>
        <w:t>“</w:t>
      </w:r>
      <w:r w:rsidRPr="001977EB">
        <w:rPr>
          <w:rFonts w:ascii="Times New Roman" w:hAnsi="Times New Roman" w:cs="Times New Roman"/>
          <w:sz w:val="24"/>
          <w:szCs w:val="24"/>
          <w:lang w:val="en-US"/>
        </w:rPr>
        <w:t>adverse cost trends</w:t>
      </w:r>
      <w:r w:rsidR="001977EB">
        <w:rPr>
          <w:rFonts w:ascii="Times New Roman" w:hAnsi="Times New Roman" w:cs="Times New Roman"/>
          <w:sz w:val="24"/>
          <w:szCs w:val="24"/>
          <w:lang w:val="en-US"/>
        </w:rPr>
        <w:t>”</w:t>
      </w:r>
      <w:r w:rsidRPr="001977EB">
        <w:rPr>
          <w:rFonts w:ascii="Times New Roman" w:hAnsi="Times New Roman" w:cs="Times New Roman"/>
          <w:sz w:val="24"/>
          <w:szCs w:val="24"/>
          <w:lang w:val="en-US"/>
        </w:rPr>
        <w:t xml:space="preserve"> and </w:t>
      </w:r>
      <w:r w:rsidR="001977EB">
        <w:rPr>
          <w:rFonts w:ascii="Times New Roman" w:hAnsi="Times New Roman" w:cs="Times New Roman"/>
          <w:sz w:val="24"/>
          <w:szCs w:val="24"/>
          <w:lang w:val="en-US"/>
        </w:rPr>
        <w:t>“</w:t>
      </w:r>
      <w:r w:rsidRPr="001977EB">
        <w:rPr>
          <w:rFonts w:ascii="Times New Roman" w:hAnsi="Times New Roman" w:cs="Times New Roman"/>
          <w:sz w:val="24"/>
          <w:szCs w:val="24"/>
          <w:lang w:val="en-US"/>
        </w:rPr>
        <w:t>dramatically increased</w:t>
      </w:r>
      <w:r w:rsidR="001977EB">
        <w:rPr>
          <w:rFonts w:ascii="Times New Roman" w:hAnsi="Times New Roman" w:cs="Times New Roman"/>
          <w:sz w:val="24"/>
          <w:szCs w:val="24"/>
          <w:lang w:val="en-US"/>
        </w:rPr>
        <w:t>”</w:t>
      </w:r>
      <w:r w:rsidRPr="001977EB">
        <w:rPr>
          <w:rFonts w:ascii="Times New Roman" w:hAnsi="Times New Roman" w:cs="Times New Roman"/>
          <w:sz w:val="24"/>
          <w:szCs w:val="24"/>
          <w:lang w:val="en-US"/>
        </w:rPr>
        <w:t xml:space="preserve"> financial risks involved with the c</w:t>
      </w:r>
      <w:r w:rsidRPr="001977EB" w:rsidR="004A0D52">
        <w:rPr>
          <w:rFonts w:ascii="Times New Roman" w:hAnsi="Times New Roman" w:cs="Times New Roman"/>
          <w:sz w:val="24"/>
          <w:szCs w:val="24"/>
          <w:lang w:val="en-US"/>
        </w:rPr>
        <w:t>ontinued</w:t>
      </w:r>
      <w:r w:rsidRPr="001977EB">
        <w:rPr>
          <w:rFonts w:ascii="Times New Roman" w:hAnsi="Times New Roman" w:cs="Times New Roman"/>
          <w:sz w:val="24"/>
          <w:szCs w:val="24"/>
          <w:lang w:val="en-US"/>
        </w:rPr>
        <w:t xml:space="preserve"> operation of the plant</w:t>
      </w:r>
      <w:r w:rsidRPr="001977EB" w:rsidR="00901CEF">
        <w:rPr>
          <w:rFonts w:ascii="Times New Roman" w:hAnsi="Times New Roman" w:cs="Times New Roman"/>
          <w:sz w:val="24"/>
          <w:szCs w:val="24"/>
          <w:lang w:val="en-US"/>
        </w:rPr>
        <w:t>.</w:t>
      </w:r>
    </w:p>
    <w:p w:rsidR="007F0DC6" w:rsidRPr="001977EB" w:rsidP="007F0DC6" w14:paraId="2F121BF5"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As noted above, Dr. Stanton discussed the Michigan Public Service Commission</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s decision rejecting AEP</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s attempt to collect 2020 OVEC costs.</w:t>
      </w:r>
      <w:r>
        <w:rPr>
          <w:rStyle w:val="FootnoteReference"/>
          <w:rFonts w:ascii="Times New Roman" w:eastAsia="Times New Roman" w:hAnsi="Times New Roman" w:cs="Times New Roman"/>
          <w:sz w:val="24"/>
          <w:szCs w:val="24"/>
        </w:rPr>
        <w:footnoteReference w:id="73"/>
      </w:r>
      <w:r w:rsidRPr="001977EB" w:rsidR="00FC50DF">
        <w:rPr>
          <w:rFonts w:ascii="Times New Roman" w:eastAsia="Times New Roman" w:hAnsi="Times New Roman" w:cs="Times New Roman"/>
          <w:sz w:val="24"/>
          <w:szCs w:val="24"/>
        </w:rPr>
        <w:t xml:space="preserve"> </w:t>
      </w:r>
      <w:r w:rsidRPr="001977EB" w:rsidR="009127EA">
        <w:rPr>
          <w:rFonts w:ascii="Times New Roman" w:eastAsia="Times New Roman" w:hAnsi="Times New Roman" w:cs="Times New Roman"/>
          <w:sz w:val="24"/>
          <w:szCs w:val="24"/>
        </w:rPr>
        <w:t>The Michigan Court of Appeals issued a ruling on January 18, 2024 affirming th</w:t>
      </w:r>
      <w:r w:rsidRPr="001977EB" w:rsidR="004A0D52">
        <w:rPr>
          <w:rFonts w:ascii="Times New Roman" w:eastAsia="Times New Roman" w:hAnsi="Times New Roman" w:cs="Times New Roman"/>
          <w:sz w:val="24"/>
          <w:szCs w:val="24"/>
        </w:rPr>
        <w:t>is</w:t>
      </w:r>
      <w:r w:rsidRPr="001977EB" w:rsidR="009127EA">
        <w:rPr>
          <w:rFonts w:ascii="Times New Roman" w:eastAsia="Times New Roman" w:hAnsi="Times New Roman" w:cs="Times New Roman"/>
          <w:sz w:val="24"/>
          <w:szCs w:val="24"/>
        </w:rPr>
        <w:t xml:space="preserve"> ruling.</w:t>
      </w:r>
      <w:r>
        <w:rPr>
          <w:rStyle w:val="FootnoteReference"/>
          <w:rFonts w:ascii="Times New Roman" w:eastAsia="Times New Roman" w:hAnsi="Times New Roman" w:cs="Times New Roman"/>
          <w:sz w:val="24"/>
          <w:szCs w:val="24"/>
        </w:rPr>
        <w:footnoteReference w:id="74"/>
      </w:r>
      <w:r w:rsidRPr="001977EB" w:rsidR="00FC50DF">
        <w:rPr>
          <w:rFonts w:ascii="Times New Roman" w:eastAsia="Times New Roman" w:hAnsi="Times New Roman" w:cs="Times New Roman"/>
          <w:sz w:val="24"/>
          <w:szCs w:val="24"/>
        </w:rPr>
        <w:t xml:space="preserve"> </w:t>
      </w:r>
      <w:r w:rsidRPr="001977EB" w:rsidR="003B3682">
        <w:rPr>
          <w:rFonts w:ascii="Times New Roman" w:eastAsia="Times New Roman" w:hAnsi="Times New Roman" w:cs="Times New Roman"/>
          <w:sz w:val="24"/>
          <w:szCs w:val="24"/>
        </w:rPr>
        <w:t>The Michigan Court of Appeals stated:</w:t>
      </w:r>
    </w:p>
    <w:p w:rsidR="003B3682" w:rsidRPr="001977EB" w:rsidP="006E63DF" w14:paraId="64C74A69" w14:textId="77777777">
      <w:pPr>
        <w:spacing w:line="240" w:lineRule="auto"/>
        <w:ind w:left="1440" w:right="144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 xml:space="preserve">The PSC in the present case did not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explicitly order</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[AEP] to enter into or abrogate a particular contract; rather, it passed the losses associated with the ICPA on to [AEP</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s] shareholders instead of on to ratepayers.</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See, e.g., Kentucky West Virginia Gas Co v Pennsylvania Pub Utility Comm, 837 F2d 600, 609 (CA 3, 1988)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Regarding the states</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traditional power to consider the prudence of a retailer</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s purchasing decision in setting retail rates, we find no reason why utilities must be permitted to recover costs that are imprudently incurred; those should be borne by the stockholders, not the rate payers.</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5"/>
      </w:r>
    </w:p>
    <w:p w:rsidR="004B595D" w:rsidRPr="001977EB" w:rsidP="004B595D" w14:paraId="4C7E9821" w14:textId="77777777">
      <w:pPr>
        <w:spacing w:line="240" w:lineRule="auto"/>
        <w:ind w:right="1350"/>
        <w:rPr>
          <w:rFonts w:ascii="Times New Roman" w:eastAsia="Times New Roman" w:hAnsi="Times New Roman" w:cs="Times New Roman"/>
          <w:sz w:val="24"/>
          <w:szCs w:val="24"/>
        </w:rPr>
      </w:pPr>
    </w:p>
    <w:p w:rsidR="004A0D52" w:rsidRPr="001977EB" w:rsidP="004B595D" w14:paraId="2F9EF8BD" w14:textId="77777777">
      <w:pPr>
        <w:spacing w:line="480" w:lineRule="auto"/>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ab/>
        <w:t>The PUCO should afford consumers the same level of consumer protection as the Michigan Public Service Commission.</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The days of Michigan beating Ohio should end.</w:t>
      </w:r>
    </w:p>
    <w:p w:rsidR="00E45753" w:rsidRPr="001977EB" w:rsidP="004A0D52" w14:paraId="00B940D5"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Another state commiss</w:t>
      </w:r>
      <w:r w:rsidRPr="001977EB" w:rsidR="00CA2EB3">
        <w:rPr>
          <w:rFonts w:ascii="Times New Roman" w:eastAsia="Times New Roman" w:hAnsi="Times New Roman" w:cs="Times New Roman"/>
          <w:sz w:val="24"/>
          <w:szCs w:val="24"/>
        </w:rPr>
        <w:t>i</w:t>
      </w:r>
      <w:r w:rsidRPr="001977EB">
        <w:rPr>
          <w:rFonts w:ascii="Times New Roman" w:eastAsia="Times New Roman" w:hAnsi="Times New Roman" w:cs="Times New Roman"/>
          <w:sz w:val="24"/>
          <w:szCs w:val="24"/>
        </w:rPr>
        <w:t xml:space="preserve">on remarked on the unfairness </w:t>
      </w:r>
      <w:r w:rsidRPr="001977EB" w:rsidR="004A0D52">
        <w:rPr>
          <w:rFonts w:ascii="Times New Roman" w:eastAsia="Times New Roman" w:hAnsi="Times New Roman" w:cs="Times New Roman"/>
          <w:sz w:val="24"/>
          <w:szCs w:val="24"/>
        </w:rPr>
        <w:t>of</w:t>
      </w:r>
      <w:r w:rsidRPr="001977EB">
        <w:rPr>
          <w:rFonts w:ascii="Times New Roman" w:eastAsia="Times New Roman" w:hAnsi="Times New Roman" w:cs="Times New Roman"/>
          <w:sz w:val="24"/>
          <w:szCs w:val="24"/>
        </w:rPr>
        <w:t xml:space="preserve"> </w:t>
      </w:r>
      <w:r w:rsidRPr="001977EB" w:rsidR="004A0D52">
        <w:rPr>
          <w:rFonts w:ascii="Times New Roman" w:eastAsia="Times New Roman" w:hAnsi="Times New Roman" w:cs="Times New Roman"/>
          <w:sz w:val="24"/>
          <w:szCs w:val="24"/>
        </w:rPr>
        <w:t>passing on overcharges to consumers</w:t>
      </w:r>
      <w:r w:rsidRPr="001977EB">
        <w:rPr>
          <w:rFonts w:ascii="Times New Roman" w:eastAsia="Times New Roman" w:hAnsi="Times New Roman" w:cs="Times New Roman"/>
          <w:sz w:val="24"/>
          <w:szCs w:val="24"/>
        </w:rPr>
        <w:t xml:space="preserve">: </w:t>
      </w:r>
      <w:r w:rsidR="001977EB">
        <w:rPr>
          <w:rFonts w:ascii="Times New Roman" w:eastAsia="Times New Roman" w:hAnsi="Times New Roman" w:cs="Times New Roman"/>
          <w:sz w:val="24"/>
          <w:szCs w:val="24"/>
        </w:rPr>
        <w:t>“</w:t>
      </w:r>
      <w:r w:rsidRPr="001977EB" w:rsidR="00351D95">
        <w:rPr>
          <w:rFonts w:ascii="Times New Roman" w:eastAsia="Times New Roman" w:hAnsi="Times New Roman" w:cs="Times New Roman"/>
          <w:sz w:val="24"/>
          <w:szCs w:val="24"/>
        </w:rPr>
        <w:t>If a competitive enterprise tried to impose on its customers costs from imprudent actions, the customers could take their business to a more efficient provider. A utility</w:t>
      </w:r>
      <w:r w:rsidR="001977EB">
        <w:rPr>
          <w:rFonts w:ascii="Times New Roman" w:eastAsia="Times New Roman" w:hAnsi="Times New Roman" w:cs="Times New Roman"/>
          <w:sz w:val="24"/>
          <w:szCs w:val="24"/>
        </w:rPr>
        <w:t>’</w:t>
      </w:r>
      <w:r w:rsidRPr="001977EB" w:rsidR="00351D95">
        <w:rPr>
          <w:rFonts w:ascii="Times New Roman" w:eastAsia="Times New Roman" w:hAnsi="Times New Roman" w:cs="Times New Roman"/>
          <w:sz w:val="24"/>
          <w:szCs w:val="24"/>
        </w:rPr>
        <w:t>s ratepayers have no such choice.</w:t>
      </w:r>
      <w:r w:rsidR="001977EB">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6"/>
      </w:r>
      <w:r w:rsidRPr="001977EB" w:rsidR="00150DB9">
        <w:rPr>
          <w:rFonts w:ascii="Times New Roman" w:eastAsia="Times New Roman" w:hAnsi="Times New Roman" w:cs="Times New Roman"/>
          <w:sz w:val="24"/>
          <w:szCs w:val="24"/>
        </w:rPr>
        <w:t xml:space="preserve"> </w:t>
      </w:r>
    </w:p>
    <w:p w:rsidR="004F43FC" w:rsidRPr="001977EB" w:rsidP="00A759EA" w14:paraId="5DF8DA82"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 xml:space="preserve">The United States Supreme Court long ago </w:t>
      </w:r>
      <w:r w:rsidRPr="001977EB" w:rsidR="00D42623">
        <w:rPr>
          <w:rFonts w:ascii="Times New Roman" w:eastAsia="Times New Roman" w:hAnsi="Times New Roman" w:cs="Times New Roman"/>
          <w:sz w:val="24"/>
          <w:szCs w:val="24"/>
        </w:rPr>
        <w:t xml:space="preserve">stated that consumer rights are violated </w:t>
      </w:r>
      <w:r w:rsidRPr="001977EB" w:rsidR="00BC546F">
        <w:rPr>
          <w:rFonts w:ascii="Times New Roman" w:eastAsia="Times New Roman" w:hAnsi="Times New Roman" w:cs="Times New Roman"/>
          <w:sz w:val="24"/>
          <w:szCs w:val="24"/>
        </w:rPr>
        <w:t>when</w:t>
      </w:r>
      <w:r w:rsidRPr="001977EB" w:rsidR="00D42623">
        <w:rPr>
          <w:rFonts w:ascii="Times New Roman" w:eastAsia="Times New Roman" w:hAnsi="Times New Roman" w:cs="Times New Roman"/>
          <w:sz w:val="24"/>
          <w:szCs w:val="24"/>
        </w:rPr>
        <w:t xml:space="preserve"> a utility operates its business for the purpose of covering operating expenses and paying shareholder dividends, without regard to the impact on consumers</w:t>
      </w:r>
      <w:r w:rsidRPr="001977EB">
        <w:rPr>
          <w:rFonts w:ascii="Times New Roman" w:eastAsia="Times New Roman" w:hAnsi="Times New Roman" w:cs="Times New Roman"/>
          <w:sz w:val="24"/>
          <w:szCs w:val="24"/>
        </w:rPr>
        <w:t>:</w:t>
      </w:r>
    </w:p>
    <w:p w:rsidR="00150DB9" w:rsidRPr="001977EB" w:rsidP="00D42623" w14:paraId="2EE390BC" w14:textId="77777777">
      <w:pPr>
        <w:spacing w:after="240" w:line="240" w:lineRule="auto"/>
        <w:ind w:left="1440" w:right="1440"/>
        <w:rPr>
          <w:rFonts w:ascii="Times New Roman" w:hAnsi="Times New Roman" w:cs="Times New Roman"/>
          <w:color w:val="000000"/>
          <w:sz w:val="24"/>
          <w:szCs w:val="24"/>
          <w:shd w:val="clear" w:color="auto" w:fill="FFFFFF"/>
        </w:rPr>
      </w:pPr>
      <w:r w:rsidRPr="001977EB">
        <w:rPr>
          <w:rFonts w:ascii="Times New Roman" w:hAnsi="Times New Roman" w:cs="Times New Roman"/>
          <w:color w:val="000000"/>
          <w:sz w:val="24"/>
          <w:szCs w:val="24"/>
          <w:shd w:val="clear" w:color="auto" w:fill="FFFFFF"/>
        </w:rPr>
        <w:t>[T]he rights of the public would be ignored if rates for the transportation of persons or property on a railroad are exacted without reference to the fair value of the property used for the public, or the fair value of the services rendered, but, in order simply that the corporation may meet operating expenses, pay the interest on its obligations, and declare a dividend to stockholders.</w:t>
      </w:r>
      <w:r>
        <w:rPr>
          <w:rStyle w:val="FootnoteReference"/>
          <w:rFonts w:ascii="Times New Roman" w:hAnsi="Times New Roman" w:cs="Times New Roman"/>
          <w:color w:val="000000"/>
          <w:sz w:val="24"/>
          <w:szCs w:val="24"/>
          <w:shd w:val="clear" w:color="auto" w:fill="FFFFFF"/>
        </w:rPr>
        <w:footnoteReference w:id="77"/>
      </w:r>
    </w:p>
    <w:p w:rsidR="00C10C76" w:rsidRPr="001977EB" w:rsidP="00D05F76" w14:paraId="6B3443A0" w14:textId="77777777">
      <w:pPr>
        <w:spacing w:before="240" w:line="480" w:lineRule="auto"/>
        <w:rPr>
          <w:rFonts w:ascii="Times New Roman" w:hAnsi="Times New Roman" w:cs="Times New Roman"/>
          <w:color w:val="000000"/>
          <w:sz w:val="24"/>
          <w:szCs w:val="24"/>
          <w:shd w:val="clear" w:color="auto" w:fill="FFFFFF"/>
        </w:rPr>
      </w:pPr>
      <w:r w:rsidRPr="001977EB">
        <w:rPr>
          <w:rFonts w:ascii="Times New Roman" w:hAnsi="Times New Roman" w:cs="Times New Roman"/>
          <w:color w:val="000000"/>
          <w:sz w:val="24"/>
          <w:szCs w:val="24"/>
          <w:shd w:val="clear" w:color="auto" w:fill="FFFFFF"/>
        </w:rPr>
        <w:tab/>
      </w:r>
      <w:r w:rsidRPr="001977EB" w:rsidR="00D42623">
        <w:rPr>
          <w:rFonts w:ascii="Times New Roman" w:hAnsi="Times New Roman" w:cs="Times New Roman"/>
          <w:color w:val="000000"/>
          <w:sz w:val="24"/>
          <w:szCs w:val="24"/>
          <w:shd w:val="clear" w:color="auto" w:fill="FFFFFF"/>
        </w:rPr>
        <w:t xml:space="preserve">AEP, Duke and DP&amp;L </w:t>
      </w:r>
      <w:r w:rsidRPr="001977EB" w:rsidR="00BC546F">
        <w:rPr>
          <w:rFonts w:ascii="Times New Roman" w:hAnsi="Times New Roman" w:cs="Times New Roman"/>
          <w:color w:val="000000"/>
          <w:sz w:val="24"/>
          <w:szCs w:val="24"/>
          <w:shd w:val="clear" w:color="auto" w:fill="FFFFFF"/>
        </w:rPr>
        <w:t xml:space="preserve">ignored the </w:t>
      </w:r>
      <w:r w:rsidRPr="001977EB" w:rsidR="004A0D52">
        <w:rPr>
          <w:rFonts w:ascii="Times New Roman" w:hAnsi="Times New Roman" w:cs="Times New Roman"/>
          <w:color w:val="000000"/>
          <w:sz w:val="24"/>
          <w:szCs w:val="24"/>
          <w:shd w:val="clear" w:color="auto" w:fill="FFFFFF"/>
        </w:rPr>
        <w:t xml:space="preserve">consumer </w:t>
      </w:r>
      <w:r w:rsidRPr="001977EB" w:rsidR="00BC546F">
        <w:rPr>
          <w:rFonts w:ascii="Times New Roman" w:hAnsi="Times New Roman" w:cs="Times New Roman"/>
          <w:color w:val="000000"/>
          <w:sz w:val="24"/>
          <w:szCs w:val="24"/>
          <w:shd w:val="clear" w:color="auto" w:fill="FFFFFF"/>
        </w:rPr>
        <w:t>impacts from running the coal plants</w:t>
      </w:r>
      <w:r w:rsidRPr="001977EB" w:rsidR="00467247">
        <w:rPr>
          <w:rFonts w:ascii="Times New Roman" w:hAnsi="Times New Roman" w:cs="Times New Roman"/>
          <w:color w:val="000000"/>
          <w:sz w:val="24"/>
          <w:szCs w:val="24"/>
          <w:shd w:val="clear" w:color="auto" w:fill="FFFFFF"/>
        </w:rPr>
        <w:t>.</w:t>
      </w:r>
      <w:r w:rsidRPr="001977EB" w:rsidR="00FC50DF">
        <w:rPr>
          <w:rFonts w:ascii="Times New Roman" w:hAnsi="Times New Roman" w:cs="Times New Roman"/>
          <w:color w:val="000000"/>
          <w:sz w:val="24"/>
          <w:szCs w:val="24"/>
          <w:shd w:val="clear" w:color="auto" w:fill="FFFFFF"/>
        </w:rPr>
        <w:t xml:space="preserve"> </w:t>
      </w:r>
      <w:r w:rsidRPr="001977EB" w:rsidR="00693C14">
        <w:rPr>
          <w:rFonts w:ascii="Times New Roman" w:hAnsi="Times New Roman" w:cs="Times New Roman"/>
          <w:color w:val="000000"/>
          <w:sz w:val="24"/>
          <w:szCs w:val="24"/>
          <w:shd w:val="clear" w:color="auto" w:fill="FFFFFF"/>
        </w:rPr>
        <w:t>The</w:t>
      </w:r>
      <w:r w:rsidRPr="001977EB" w:rsidR="00D42623">
        <w:rPr>
          <w:rFonts w:ascii="Times New Roman" w:hAnsi="Times New Roman" w:cs="Times New Roman"/>
          <w:color w:val="000000"/>
          <w:sz w:val="24"/>
          <w:szCs w:val="24"/>
          <w:shd w:val="clear" w:color="auto" w:fill="FFFFFF"/>
        </w:rPr>
        <w:t xml:space="preserve">y ran the coal plants without any regard </w:t>
      </w:r>
      <w:r w:rsidRPr="001977EB" w:rsidR="001F6D2A">
        <w:rPr>
          <w:rFonts w:ascii="Times New Roman" w:hAnsi="Times New Roman" w:cs="Times New Roman"/>
          <w:color w:val="000000"/>
          <w:sz w:val="24"/>
          <w:szCs w:val="24"/>
          <w:shd w:val="clear" w:color="auto" w:fill="FFFFFF"/>
        </w:rPr>
        <w:t>for</w:t>
      </w:r>
      <w:r w:rsidRPr="001977EB">
        <w:rPr>
          <w:rFonts w:ascii="Times New Roman" w:hAnsi="Times New Roman" w:cs="Times New Roman"/>
          <w:color w:val="000000"/>
          <w:sz w:val="24"/>
          <w:szCs w:val="24"/>
          <w:shd w:val="clear" w:color="auto" w:fill="FFFFFF"/>
        </w:rPr>
        <w:t xml:space="preserve"> the fair value of the electricity generated by the </w:t>
      </w:r>
      <w:r w:rsidRPr="001977EB" w:rsidR="00D42623">
        <w:rPr>
          <w:rFonts w:ascii="Times New Roman" w:hAnsi="Times New Roman" w:cs="Times New Roman"/>
          <w:color w:val="000000"/>
          <w:sz w:val="24"/>
          <w:szCs w:val="24"/>
          <w:shd w:val="clear" w:color="auto" w:fill="FFFFFF"/>
        </w:rPr>
        <w:t>c</w:t>
      </w:r>
      <w:r w:rsidRPr="001977EB">
        <w:rPr>
          <w:rFonts w:ascii="Times New Roman" w:hAnsi="Times New Roman" w:cs="Times New Roman"/>
          <w:color w:val="000000"/>
          <w:sz w:val="24"/>
          <w:szCs w:val="24"/>
          <w:shd w:val="clear" w:color="auto" w:fill="FFFFFF"/>
        </w:rPr>
        <w:t xml:space="preserve">oal </w:t>
      </w:r>
      <w:r w:rsidRPr="001977EB" w:rsidR="00D42623">
        <w:rPr>
          <w:rFonts w:ascii="Times New Roman" w:hAnsi="Times New Roman" w:cs="Times New Roman"/>
          <w:color w:val="000000"/>
          <w:sz w:val="24"/>
          <w:szCs w:val="24"/>
          <w:shd w:val="clear" w:color="auto" w:fill="FFFFFF"/>
        </w:rPr>
        <w:t>p</w:t>
      </w:r>
      <w:r w:rsidRPr="001977EB">
        <w:rPr>
          <w:rFonts w:ascii="Times New Roman" w:hAnsi="Times New Roman" w:cs="Times New Roman"/>
          <w:color w:val="000000"/>
          <w:sz w:val="24"/>
          <w:szCs w:val="24"/>
          <w:shd w:val="clear" w:color="auto" w:fill="FFFFFF"/>
        </w:rPr>
        <w:t>lants</w:t>
      </w:r>
      <w:r w:rsidRPr="001977EB" w:rsidR="00467247">
        <w:rPr>
          <w:rFonts w:ascii="Times New Roman" w:hAnsi="Times New Roman" w:cs="Times New Roman"/>
          <w:color w:val="000000"/>
          <w:sz w:val="24"/>
          <w:szCs w:val="24"/>
          <w:shd w:val="clear" w:color="auto" w:fill="FFFFFF"/>
        </w:rPr>
        <w:t>.</w:t>
      </w:r>
      <w:r w:rsidRPr="001977EB" w:rsidR="00FC50DF">
        <w:rPr>
          <w:rFonts w:ascii="Times New Roman" w:hAnsi="Times New Roman" w:cs="Times New Roman"/>
          <w:color w:val="000000"/>
          <w:sz w:val="24"/>
          <w:szCs w:val="24"/>
          <w:shd w:val="clear" w:color="auto" w:fill="FFFFFF"/>
        </w:rPr>
        <w:t xml:space="preserve"> </w:t>
      </w:r>
      <w:r w:rsidRPr="001977EB" w:rsidR="00D42623">
        <w:rPr>
          <w:rFonts w:ascii="Times New Roman" w:hAnsi="Times New Roman" w:cs="Times New Roman"/>
          <w:color w:val="000000"/>
          <w:sz w:val="24"/>
          <w:szCs w:val="24"/>
          <w:shd w:val="clear" w:color="auto" w:fill="FFFFFF"/>
        </w:rPr>
        <w:t>This resulted in a massive loss of $105 million during 2020.</w:t>
      </w:r>
      <w:r w:rsidRPr="001977EB" w:rsidR="00FC50DF">
        <w:rPr>
          <w:rFonts w:ascii="Times New Roman" w:hAnsi="Times New Roman" w:cs="Times New Roman"/>
          <w:color w:val="000000"/>
          <w:sz w:val="24"/>
          <w:szCs w:val="24"/>
          <w:shd w:val="clear" w:color="auto" w:fill="FFFFFF"/>
        </w:rPr>
        <w:t xml:space="preserve"> </w:t>
      </w:r>
      <w:r w:rsidRPr="001977EB" w:rsidR="00D42623">
        <w:rPr>
          <w:rFonts w:ascii="Times New Roman" w:hAnsi="Times New Roman" w:cs="Times New Roman"/>
          <w:color w:val="000000"/>
          <w:sz w:val="24"/>
          <w:szCs w:val="24"/>
          <w:shd w:val="clear" w:color="auto" w:fill="FFFFFF"/>
        </w:rPr>
        <w:t xml:space="preserve">AEP, Duke and DP&amp;L </w:t>
      </w:r>
      <w:r w:rsidRPr="001977EB" w:rsidR="00467247">
        <w:rPr>
          <w:rFonts w:ascii="Times New Roman" w:hAnsi="Times New Roman" w:cs="Times New Roman"/>
          <w:color w:val="000000"/>
          <w:sz w:val="24"/>
          <w:szCs w:val="24"/>
          <w:shd w:val="clear" w:color="auto" w:fill="FFFFFF"/>
        </w:rPr>
        <w:t xml:space="preserve">ran the plants </w:t>
      </w:r>
      <w:r w:rsidRPr="001977EB" w:rsidR="00D42623">
        <w:rPr>
          <w:rFonts w:ascii="Times New Roman" w:hAnsi="Times New Roman" w:cs="Times New Roman"/>
          <w:color w:val="000000"/>
          <w:sz w:val="24"/>
          <w:szCs w:val="24"/>
          <w:shd w:val="clear" w:color="auto" w:fill="FFFFFF"/>
        </w:rPr>
        <w:t xml:space="preserve">in a manner which allowed them </w:t>
      </w:r>
      <w:r w:rsidRPr="001977EB" w:rsidR="00467247">
        <w:rPr>
          <w:rFonts w:ascii="Times New Roman" w:hAnsi="Times New Roman" w:cs="Times New Roman"/>
          <w:color w:val="000000"/>
          <w:sz w:val="24"/>
          <w:szCs w:val="24"/>
          <w:shd w:val="clear" w:color="auto" w:fill="FFFFFF"/>
        </w:rPr>
        <w:t xml:space="preserve">to </w:t>
      </w:r>
      <w:r w:rsidR="001977EB">
        <w:rPr>
          <w:rFonts w:ascii="Times New Roman" w:hAnsi="Times New Roman" w:cs="Times New Roman"/>
          <w:color w:val="000000"/>
          <w:sz w:val="24"/>
          <w:szCs w:val="24"/>
          <w:shd w:val="clear" w:color="auto" w:fill="FFFFFF"/>
        </w:rPr>
        <w:t>“</w:t>
      </w:r>
      <w:r w:rsidRPr="001977EB" w:rsidR="00467247">
        <w:rPr>
          <w:rFonts w:ascii="Times New Roman" w:hAnsi="Times New Roman" w:cs="Times New Roman"/>
          <w:color w:val="000000"/>
          <w:sz w:val="24"/>
          <w:szCs w:val="24"/>
          <w:shd w:val="clear" w:color="auto" w:fill="FFFFFF"/>
        </w:rPr>
        <w:t>meet operating expenses</w:t>
      </w:r>
      <w:r w:rsidRPr="001977EB" w:rsidR="0031217A">
        <w:rPr>
          <w:rFonts w:ascii="Times New Roman" w:hAnsi="Times New Roman" w:cs="Times New Roman"/>
          <w:color w:val="000000"/>
          <w:sz w:val="24"/>
          <w:szCs w:val="24"/>
          <w:shd w:val="clear" w:color="auto" w:fill="FFFFFF"/>
        </w:rPr>
        <w:t>,</w:t>
      </w:r>
      <w:r w:rsidRPr="001977EB" w:rsidR="00193767">
        <w:rPr>
          <w:rFonts w:ascii="Times New Roman" w:hAnsi="Times New Roman" w:cs="Times New Roman"/>
          <w:color w:val="000000"/>
          <w:sz w:val="24"/>
          <w:szCs w:val="24"/>
          <w:shd w:val="clear" w:color="auto" w:fill="FFFFFF"/>
        </w:rPr>
        <w:t xml:space="preserve"> </w:t>
      </w:r>
      <w:r w:rsidRPr="001977EB" w:rsidR="00467247">
        <w:rPr>
          <w:rFonts w:ascii="Times New Roman" w:hAnsi="Times New Roman" w:cs="Times New Roman"/>
          <w:color w:val="000000"/>
          <w:sz w:val="24"/>
          <w:szCs w:val="24"/>
          <w:shd w:val="clear" w:color="auto" w:fill="FFFFFF"/>
        </w:rPr>
        <w:t xml:space="preserve">pay the interest on its obligations </w:t>
      </w:r>
      <w:r w:rsidRPr="001977EB">
        <w:rPr>
          <w:rFonts w:ascii="Times New Roman" w:hAnsi="Times New Roman" w:cs="Times New Roman"/>
          <w:color w:val="000000"/>
          <w:sz w:val="24"/>
          <w:szCs w:val="24"/>
          <w:shd w:val="clear" w:color="auto" w:fill="FFFFFF"/>
        </w:rPr>
        <w:t>and declare a dividend to stockholders</w:t>
      </w:r>
      <w:r w:rsidR="001977EB">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78"/>
      </w:r>
      <w:r w:rsidRPr="001977EB" w:rsidR="006C40F0">
        <w:rPr>
          <w:rFonts w:ascii="Times New Roman" w:hAnsi="Times New Roman" w:cs="Times New Roman"/>
          <w:color w:val="000000"/>
          <w:sz w:val="24"/>
          <w:szCs w:val="24"/>
          <w:shd w:val="clear" w:color="auto" w:fill="FFFFFF"/>
        </w:rPr>
        <w:t xml:space="preserve"> </w:t>
      </w:r>
      <w:r w:rsidRPr="001977EB" w:rsidR="00D42623">
        <w:rPr>
          <w:rFonts w:ascii="Times New Roman" w:hAnsi="Times New Roman" w:cs="Times New Roman"/>
          <w:color w:val="000000"/>
          <w:sz w:val="24"/>
          <w:szCs w:val="24"/>
          <w:shd w:val="clear" w:color="auto" w:fill="FFFFFF"/>
        </w:rPr>
        <w:t xml:space="preserve">but without any regard </w:t>
      </w:r>
      <w:r w:rsidRPr="001977EB" w:rsidR="00BC546F">
        <w:rPr>
          <w:rFonts w:ascii="Times New Roman" w:hAnsi="Times New Roman" w:cs="Times New Roman"/>
          <w:color w:val="000000"/>
          <w:sz w:val="24"/>
          <w:szCs w:val="24"/>
          <w:shd w:val="clear" w:color="auto" w:fill="FFFFFF"/>
        </w:rPr>
        <w:t xml:space="preserve">for </w:t>
      </w:r>
      <w:r w:rsidR="001977EB">
        <w:rPr>
          <w:rFonts w:ascii="Times New Roman" w:hAnsi="Times New Roman" w:cs="Times New Roman"/>
          <w:color w:val="000000"/>
          <w:sz w:val="24"/>
          <w:szCs w:val="24"/>
          <w:shd w:val="clear" w:color="auto" w:fill="FFFFFF"/>
        </w:rPr>
        <w:t>“</w:t>
      </w:r>
      <w:r w:rsidRPr="001977EB" w:rsidR="00BC546F">
        <w:rPr>
          <w:rFonts w:ascii="Times New Roman" w:hAnsi="Times New Roman" w:cs="Times New Roman"/>
          <w:color w:val="000000"/>
          <w:sz w:val="24"/>
          <w:szCs w:val="24"/>
          <w:shd w:val="clear" w:color="auto" w:fill="FFFFFF"/>
        </w:rPr>
        <w:t>the best interest of retail ratepayers.</w:t>
      </w:r>
      <w:r w:rsidR="001977EB">
        <w:rPr>
          <w:rFonts w:ascii="Times New Roman" w:hAnsi="Times New Roman" w:cs="Times New Roman"/>
          <w:color w:val="000000"/>
          <w:sz w:val="24"/>
          <w:szCs w:val="24"/>
          <w:shd w:val="clear" w:color="auto" w:fill="FFFFFF"/>
        </w:rPr>
        <w:t>”</w:t>
      </w:r>
      <w:r w:rsidRPr="001977EB" w:rsidR="00FC50DF">
        <w:rPr>
          <w:rFonts w:ascii="Times New Roman" w:hAnsi="Times New Roman" w:cs="Times New Roman"/>
          <w:color w:val="000000"/>
          <w:sz w:val="24"/>
          <w:szCs w:val="24"/>
          <w:shd w:val="clear" w:color="auto" w:fill="FFFFFF"/>
        </w:rPr>
        <w:t xml:space="preserve"> </w:t>
      </w:r>
      <w:r w:rsidRPr="001977EB" w:rsidR="00D42623">
        <w:rPr>
          <w:rFonts w:ascii="Times New Roman" w:hAnsi="Times New Roman" w:cs="Times New Roman"/>
          <w:color w:val="000000"/>
          <w:sz w:val="24"/>
          <w:szCs w:val="24"/>
          <w:shd w:val="clear" w:color="auto" w:fill="FFFFFF"/>
        </w:rPr>
        <w:t>The PUCO should therefore disallow the entire $105 million overcharge.</w:t>
      </w:r>
    </w:p>
    <w:p w:rsidR="008D37C8" w:rsidRPr="001977EB" w:rsidP="00082EC8" w14:paraId="4F134E54" w14:textId="77777777">
      <w:pPr>
        <w:pStyle w:val="Heading2"/>
        <w:numPr>
          <w:ilvl w:val="0"/>
          <w:numId w:val="0"/>
        </w:numPr>
        <w:ind w:left="1440" w:hanging="720"/>
      </w:pPr>
      <w:bookmarkStart w:id="20" w:name="_Toc158641648"/>
      <w:r w:rsidRPr="001977EB">
        <w:t>E.</w:t>
      </w:r>
      <w:r w:rsidRPr="001977EB">
        <w:tab/>
      </w:r>
      <w:r w:rsidRPr="001977EB" w:rsidR="00884BC0">
        <w:t xml:space="preserve">The coal plants were </w:t>
      </w:r>
      <w:r w:rsidRPr="001977EB" w:rsidR="00D209B3">
        <w:t xml:space="preserve">not </w:t>
      </w:r>
      <w:r w:rsidRPr="001977EB" w:rsidR="00884BC0">
        <w:t>committed into the Day-Ahead Energy market in a manner consistent with how a merchant plant owner seeking to maximize profits would have operated.</w:t>
      </w:r>
      <w:r w:rsidRPr="001977EB" w:rsidR="00FC50DF">
        <w:t xml:space="preserve"> </w:t>
      </w:r>
      <w:r w:rsidRPr="001977EB" w:rsidR="00884BC0">
        <w:t>AEP, Duke and DP&amp;L</w:t>
      </w:r>
      <w:r w:rsidR="001977EB">
        <w:t>’</w:t>
      </w:r>
      <w:r w:rsidRPr="001977EB" w:rsidR="00884BC0">
        <w:t xml:space="preserve">s failure to operate the plants in the same manner as a merchant </w:t>
      </w:r>
      <w:r w:rsidRPr="001977EB" w:rsidR="00B518BC">
        <w:t xml:space="preserve">coal plant </w:t>
      </w:r>
      <w:r w:rsidRPr="001977EB" w:rsidR="00884BC0">
        <w:t>owner seeking to maximize profits was imprudent and violated R.C. 4928.148.</w:t>
      </w:r>
      <w:r w:rsidRPr="001977EB" w:rsidR="00FC50DF">
        <w:t xml:space="preserve"> </w:t>
      </w:r>
      <w:r w:rsidRPr="001977EB" w:rsidR="00884BC0">
        <w:t>The PUCO should therefore disallow the full $105 million in overcharges.</w:t>
      </w:r>
      <w:bookmarkEnd w:id="20"/>
    </w:p>
    <w:p w:rsidR="008D37C8" w:rsidRPr="001977EB" w:rsidP="008D37C8" w14:paraId="32B0DA70"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 xml:space="preserve">Revised Code Section </w:t>
      </w:r>
      <w:r w:rsidRPr="001977EB" w:rsidR="00E70368">
        <w:rPr>
          <w:rFonts w:ascii="Times New Roman" w:eastAsia="Times New Roman" w:hAnsi="Times New Roman" w:cs="Times New Roman"/>
          <w:sz w:val="24"/>
          <w:szCs w:val="24"/>
        </w:rPr>
        <w:t>4928.148</w:t>
      </w:r>
      <w:r w:rsidRPr="001977EB" w:rsidR="005609A0">
        <w:rPr>
          <w:rFonts w:ascii="Times New Roman" w:eastAsia="Times New Roman" w:hAnsi="Times New Roman" w:cs="Times New Roman"/>
          <w:sz w:val="24"/>
          <w:szCs w:val="24"/>
        </w:rPr>
        <w:t xml:space="preserve"> requires th</w:t>
      </w:r>
      <w:r w:rsidRPr="001977EB" w:rsidR="00530D5E">
        <w:rPr>
          <w:rFonts w:ascii="Times New Roman" w:eastAsia="Times New Roman" w:hAnsi="Times New Roman" w:cs="Times New Roman"/>
          <w:sz w:val="24"/>
          <w:szCs w:val="24"/>
        </w:rPr>
        <w:t xml:space="preserve">e PUCO to review </w:t>
      </w:r>
      <w:r w:rsidR="001977EB">
        <w:rPr>
          <w:rFonts w:ascii="Times New Roman" w:eastAsia="Times New Roman" w:hAnsi="Times New Roman" w:cs="Times New Roman"/>
          <w:sz w:val="24"/>
          <w:szCs w:val="24"/>
        </w:rPr>
        <w:t>“</w:t>
      </w:r>
      <w:r w:rsidRPr="001977EB" w:rsidR="002F2B17">
        <w:rPr>
          <w:rFonts w:ascii="Times New Roman" w:eastAsia="Times New Roman" w:hAnsi="Times New Roman" w:cs="Times New Roman"/>
          <w:sz w:val="24"/>
          <w:szCs w:val="24"/>
        </w:rPr>
        <w:t xml:space="preserve">the </w:t>
      </w:r>
      <w:r w:rsidRPr="001977EB" w:rsidR="00F73C7A">
        <w:rPr>
          <w:rFonts w:ascii="Times New Roman" w:eastAsia="Times New Roman" w:hAnsi="Times New Roman" w:cs="Times New Roman"/>
          <w:sz w:val="24"/>
          <w:szCs w:val="24"/>
        </w:rPr>
        <w:t>prudence</w:t>
      </w:r>
      <w:r w:rsidRPr="001977EB" w:rsidR="002F2B17">
        <w:rPr>
          <w:rFonts w:ascii="Times New Roman" w:eastAsia="Times New Roman" w:hAnsi="Times New Roman" w:cs="Times New Roman"/>
          <w:sz w:val="24"/>
          <w:szCs w:val="24"/>
        </w:rPr>
        <w:t xml:space="preserve"> and reasonableness of actions of </w:t>
      </w:r>
      <w:r w:rsidRPr="001977EB" w:rsidR="00F73C7A">
        <w:rPr>
          <w:rFonts w:ascii="Times New Roman" w:eastAsia="Times New Roman" w:hAnsi="Times New Roman" w:cs="Times New Roman"/>
          <w:sz w:val="24"/>
          <w:szCs w:val="24"/>
        </w:rPr>
        <w:t>electric</w:t>
      </w:r>
      <w:r w:rsidRPr="001977EB" w:rsidR="002F2B17">
        <w:rPr>
          <w:rFonts w:ascii="Times New Roman" w:eastAsia="Times New Roman" w:hAnsi="Times New Roman" w:cs="Times New Roman"/>
          <w:sz w:val="24"/>
          <w:szCs w:val="24"/>
        </w:rPr>
        <w:t xml:space="preserve"> distribution utilities</w:t>
      </w:r>
      <w:r w:rsidRPr="001977EB" w:rsidR="00F73C7A">
        <w:rPr>
          <w:rFonts w:ascii="Times New Roman" w:eastAsia="Times New Roman" w:hAnsi="Times New Roman" w:cs="Times New Roman"/>
          <w:sz w:val="24"/>
          <w:szCs w:val="24"/>
        </w:rPr>
        <w:t xml:space="preserve"> …</w:t>
      </w:r>
      <w:r w:rsidRPr="001977EB" w:rsidR="002F2B17">
        <w:rPr>
          <w:rFonts w:ascii="Times New Roman" w:eastAsia="Times New Roman" w:hAnsi="Times New Roman" w:cs="Times New Roman"/>
          <w:sz w:val="24"/>
          <w:szCs w:val="24"/>
        </w:rPr>
        <w:t xml:space="preserve"> including their decisions related to offering the contractual commitment into the whol</w:t>
      </w:r>
      <w:r w:rsidRPr="001977EB" w:rsidR="00F73C7A">
        <w:rPr>
          <w:rFonts w:ascii="Times New Roman" w:eastAsia="Times New Roman" w:hAnsi="Times New Roman" w:cs="Times New Roman"/>
          <w:sz w:val="24"/>
          <w:szCs w:val="24"/>
        </w:rPr>
        <w:t>esale markets, and exclude from recovery those costs that the commission determines imprudent and unreasonable.</w:t>
      </w:r>
      <w:r w:rsidR="001977EB">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9"/>
      </w:r>
      <w:r w:rsidRPr="001977EB" w:rsidR="00F73C7A">
        <w:rPr>
          <w:rFonts w:ascii="Times New Roman" w:eastAsia="Times New Roman" w:hAnsi="Times New Roman" w:cs="Times New Roman"/>
          <w:sz w:val="24"/>
          <w:szCs w:val="24"/>
        </w:rPr>
        <w:t xml:space="preserve"> </w:t>
      </w:r>
      <w:r w:rsidRPr="001977EB" w:rsidR="002302D3">
        <w:rPr>
          <w:rFonts w:ascii="Times New Roman" w:eastAsia="Times New Roman" w:hAnsi="Times New Roman" w:cs="Times New Roman"/>
          <w:sz w:val="24"/>
          <w:szCs w:val="24"/>
        </w:rPr>
        <w:t xml:space="preserve">As discussed in </w:t>
      </w:r>
      <w:r w:rsidRPr="00B8239E" w:rsidR="002302D3">
        <w:rPr>
          <w:rFonts w:ascii="Times New Roman" w:eastAsia="Times New Roman" w:hAnsi="Times New Roman" w:cs="Times New Roman"/>
          <w:sz w:val="24"/>
          <w:szCs w:val="24"/>
        </w:rPr>
        <w:t xml:space="preserve">Section </w:t>
      </w:r>
      <w:r w:rsidR="00A9506D">
        <w:rPr>
          <w:rFonts w:ascii="Times New Roman" w:eastAsia="Times New Roman" w:hAnsi="Times New Roman" w:cs="Times New Roman"/>
          <w:sz w:val="24"/>
          <w:szCs w:val="24"/>
        </w:rPr>
        <w:t>II</w:t>
      </w:r>
      <w:r w:rsidRPr="00B8239E" w:rsidR="002302D3">
        <w:rPr>
          <w:rFonts w:ascii="Times New Roman" w:eastAsia="Times New Roman" w:hAnsi="Times New Roman" w:cs="Times New Roman"/>
          <w:sz w:val="24"/>
          <w:szCs w:val="24"/>
        </w:rPr>
        <w:t>I(</w:t>
      </w:r>
      <w:r w:rsidR="0076510A">
        <w:rPr>
          <w:rFonts w:ascii="Times New Roman" w:eastAsia="Times New Roman" w:hAnsi="Times New Roman" w:cs="Times New Roman"/>
          <w:sz w:val="24"/>
          <w:szCs w:val="24"/>
        </w:rPr>
        <w:t>A</w:t>
      </w:r>
      <w:r w:rsidRPr="00B8239E" w:rsidR="002302D3">
        <w:rPr>
          <w:rFonts w:ascii="Times New Roman" w:eastAsia="Times New Roman" w:hAnsi="Times New Roman" w:cs="Times New Roman"/>
          <w:sz w:val="24"/>
          <w:szCs w:val="24"/>
        </w:rPr>
        <w:t>)</w:t>
      </w:r>
      <w:r w:rsidRPr="001977EB" w:rsidR="002302D3">
        <w:rPr>
          <w:rFonts w:ascii="Times New Roman" w:eastAsia="Times New Roman" w:hAnsi="Times New Roman" w:cs="Times New Roman"/>
          <w:sz w:val="24"/>
          <w:szCs w:val="24"/>
        </w:rPr>
        <w:t xml:space="preserve"> above, t</w:t>
      </w:r>
      <w:r w:rsidRPr="001977EB" w:rsidR="00351D95">
        <w:rPr>
          <w:rFonts w:ascii="Times New Roman" w:eastAsia="Times New Roman" w:hAnsi="Times New Roman" w:cs="Times New Roman"/>
          <w:sz w:val="24"/>
          <w:szCs w:val="24"/>
        </w:rPr>
        <w:t xml:space="preserve">he </w:t>
      </w:r>
      <w:r w:rsidRPr="001977EB" w:rsidR="00EE5E86">
        <w:rPr>
          <w:rFonts w:ascii="Times New Roman" w:eastAsia="Times New Roman" w:hAnsi="Times New Roman" w:cs="Times New Roman"/>
          <w:sz w:val="24"/>
          <w:szCs w:val="24"/>
        </w:rPr>
        <w:t xml:space="preserve">PUCO has </w:t>
      </w:r>
      <w:r w:rsidRPr="001977EB" w:rsidR="002302D3">
        <w:rPr>
          <w:rFonts w:ascii="Times New Roman" w:eastAsia="Times New Roman" w:hAnsi="Times New Roman" w:cs="Times New Roman"/>
          <w:sz w:val="24"/>
          <w:szCs w:val="24"/>
        </w:rPr>
        <w:t xml:space="preserve">ruled </w:t>
      </w:r>
      <w:r w:rsidRPr="001977EB" w:rsidR="008F2809">
        <w:rPr>
          <w:rFonts w:ascii="Times New Roman" w:eastAsia="Times New Roman" w:hAnsi="Times New Roman" w:cs="Times New Roman"/>
          <w:sz w:val="24"/>
          <w:szCs w:val="24"/>
        </w:rPr>
        <w:t>that</w:t>
      </w:r>
      <w:r w:rsidRPr="001977EB" w:rsidR="00EE5E86">
        <w:rPr>
          <w:rFonts w:ascii="Times New Roman" w:eastAsia="Times New Roman" w:hAnsi="Times New Roman" w:cs="Times New Roman"/>
          <w:sz w:val="24"/>
          <w:szCs w:val="24"/>
        </w:rPr>
        <w:t xml:space="preserve">: </w:t>
      </w:r>
      <w:r w:rsidR="001977EB">
        <w:rPr>
          <w:rFonts w:ascii="Times New Roman" w:eastAsia="Times New Roman" w:hAnsi="Times New Roman" w:cs="Times New Roman"/>
          <w:sz w:val="24"/>
          <w:szCs w:val="24"/>
        </w:rPr>
        <w:t>“</w:t>
      </w:r>
      <w:r w:rsidRPr="001977EB" w:rsidR="00351D95">
        <w:rPr>
          <w:rFonts w:ascii="Times New Roman" w:eastAsia="Times New Roman" w:hAnsi="Times New Roman" w:cs="Times New Roman"/>
          <w:sz w:val="24"/>
          <w:szCs w:val="24"/>
        </w:rPr>
        <w:t xml:space="preserve">Retail cost recovery may be disallowed as a result of the annual prudency review if the output from the units </w:t>
      </w:r>
      <w:r w:rsidRPr="001977EB" w:rsidR="00351D95">
        <w:rPr>
          <w:rFonts w:ascii="Times New Roman" w:eastAsia="Times New Roman" w:hAnsi="Times New Roman" w:cs="Times New Roman"/>
          <w:i/>
          <w:iCs/>
          <w:sz w:val="24"/>
          <w:szCs w:val="24"/>
        </w:rPr>
        <w:t>was not bid in a manner consistent with participation in a broader competitive marketplace of sellers attempting to maximize revenues</w:t>
      </w:r>
      <w:r w:rsidRPr="001977EB" w:rsidR="00351D95">
        <w:rPr>
          <w:rFonts w:ascii="Times New Roman" w:eastAsia="Times New Roman" w:hAnsi="Times New Roman" w:cs="Times New Roman"/>
          <w:sz w:val="24"/>
          <w:szCs w:val="24"/>
        </w:rPr>
        <w:t>.</w:t>
      </w:r>
      <w:r w:rsidR="001977EB">
        <w:rPr>
          <w:rFonts w:ascii="Times New Roman" w:eastAsia="Times New Roman" w:hAnsi="Times New Roman" w:cs="Times New Roman"/>
          <w:sz w:val="24"/>
          <w:szCs w:val="24"/>
        </w:rPr>
        <w:t>”</w:t>
      </w:r>
      <w:r>
        <w:rPr>
          <w:rFonts w:ascii="Times New Roman" w:hAnsi="Times New Roman" w:cs="Times New Roman"/>
          <w:sz w:val="24"/>
          <w:szCs w:val="24"/>
          <w:vertAlign w:val="superscript"/>
        </w:rPr>
        <w:footnoteReference w:id="80"/>
      </w:r>
      <w:r w:rsidRPr="001977EB" w:rsidR="00351D95">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AEP, Duke and DP&amp;L failed to meet this standard, so the PUCO should disallow the full amount of the coal plant subsidy costs.</w:t>
      </w:r>
    </w:p>
    <w:p w:rsidR="008D37C8" w:rsidRPr="001977EB" w:rsidP="00522554" w14:paraId="45B8C012"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OCC witness Joseph Perez explained how merchant coal plant owners run their plants.</w:t>
      </w:r>
      <w:r>
        <w:rPr>
          <w:rStyle w:val="FootnoteReference"/>
          <w:rFonts w:ascii="Times New Roman" w:eastAsia="Times New Roman" w:hAnsi="Times New Roman" w:cs="Times New Roman"/>
          <w:sz w:val="24"/>
          <w:szCs w:val="24"/>
        </w:rPr>
        <w:footnoteReference w:id="81"/>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He presented an analysis from Potomac Economics, the Independent Market Monitor for MISO.</w:t>
      </w:r>
      <w:r>
        <w:rPr>
          <w:rStyle w:val="FootnoteReference"/>
          <w:rFonts w:ascii="Times New Roman" w:eastAsia="Times New Roman" w:hAnsi="Times New Roman" w:cs="Times New Roman"/>
          <w:sz w:val="24"/>
          <w:szCs w:val="24"/>
        </w:rPr>
        <w:footnoteReference w:id="82"/>
      </w:r>
      <w:r w:rsidRPr="001977EB" w:rsidR="00FC50DF">
        <w:rPr>
          <w:rFonts w:ascii="Times New Roman" w:eastAsia="Times New Roman" w:hAnsi="Times New Roman" w:cs="Times New Roman"/>
          <w:sz w:val="24"/>
          <w:szCs w:val="24"/>
        </w:rPr>
        <w:t xml:space="preserve"> </w:t>
      </w:r>
      <w:r w:rsidRPr="001977EB" w:rsidR="00522554">
        <w:rPr>
          <w:rFonts w:ascii="Times New Roman" w:eastAsia="Times New Roman" w:hAnsi="Times New Roman" w:cs="Times New Roman"/>
          <w:sz w:val="24"/>
          <w:szCs w:val="24"/>
        </w:rPr>
        <w:t>MISO operates wholesale energy markets which are substantially similar to the PJM wholesale energy markets.</w:t>
      </w:r>
      <w:r>
        <w:rPr>
          <w:rStyle w:val="FootnoteReference"/>
          <w:rFonts w:ascii="Times New Roman" w:eastAsia="Times New Roman" w:hAnsi="Times New Roman" w:cs="Times New Roman"/>
          <w:sz w:val="24"/>
          <w:szCs w:val="24"/>
        </w:rPr>
        <w:footnoteReference w:id="83"/>
      </w:r>
      <w:r w:rsidRPr="001977EB" w:rsidR="00522554">
        <w:rPr>
          <w:rFonts w:ascii="Times New Roman" w:eastAsia="Times New Roman" w:hAnsi="Times New Roman" w:cs="Times New Roman"/>
          <w:sz w:val="24"/>
          <w:szCs w:val="24"/>
        </w:rPr>
        <w:t xml:space="preserve"> The following table from a Potomac Economics report shows that merchant coal plant owners rarely run their plants when costs exceed energy market prices.</w:t>
      </w:r>
      <w:r>
        <w:rPr>
          <w:rStyle w:val="FootnoteReference"/>
          <w:rFonts w:ascii="Times New Roman" w:eastAsia="Times New Roman" w:hAnsi="Times New Roman" w:cs="Times New Roman"/>
          <w:sz w:val="24"/>
          <w:szCs w:val="24"/>
        </w:rPr>
        <w:footnoteReference w:id="84"/>
      </w:r>
      <w:r w:rsidRPr="001977EB" w:rsidR="00FC50DF">
        <w:rPr>
          <w:rFonts w:ascii="Times New Roman" w:eastAsia="Times New Roman" w:hAnsi="Times New Roman" w:cs="Times New Roman"/>
          <w:sz w:val="24"/>
          <w:szCs w:val="24"/>
        </w:rPr>
        <w:t xml:space="preserve"> </w:t>
      </w:r>
      <w:r w:rsidRPr="001977EB" w:rsidR="00522554">
        <w:rPr>
          <w:rFonts w:ascii="Times New Roman" w:eastAsia="Times New Roman" w:hAnsi="Times New Roman" w:cs="Times New Roman"/>
          <w:sz w:val="24"/>
          <w:szCs w:val="24"/>
        </w:rPr>
        <w:t xml:space="preserve">In fact, this only occurred </w:t>
      </w:r>
      <w:r w:rsidRPr="001977EB">
        <w:rPr>
          <w:rFonts w:ascii="Times New Roman" w:eastAsia="Times New Roman" w:hAnsi="Times New Roman" w:cs="Times New Roman"/>
          <w:sz w:val="24"/>
          <w:szCs w:val="24"/>
        </w:rPr>
        <w:t xml:space="preserve">3% </w:t>
      </w:r>
      <w:r w:rsidRPr="001977EB" w:rsidR="00522554">
        <w:rPr>
          <w:rFonts w:ascii="Times New Roman" w:eastAsia="Times New Roman" w:hAnsi="Times New Roman" w:cs="Times New Roman"/>
          <w:sz w:val="24"/>
          <w:szCs w:val="24"/>
        </w:rPr>
        <w:t xml:space="preserve">of the time </w:t>
      </w:r>
      <w:r w:rsidRPr="001977EB">
        <w:rPr>
          <w:rFonts w:ascii="Times New Roman" w:eastAsia="Times New Roman" w:hAnsi="Times New Roman" w:cs="Times New Roman"/>
          <w:sz w:val="24"/>
          <w:szCs w:val="24"/>
        </w:rPr>
        <w:t xml:space="preserve">during </w:t>
      </w:r>
      <w:r w:rsidRPr="001977EB" w:rsidR="00522554">
        <w:rPr>
          <w:rFonts w:ascii="Times New Roman" w:eastAsia="Times New Roman" w:hAnsi="Times New Roman" w:cs="Times New Roman"/>
          <w:sz w:val="24"/>
          <w:szCs w:val="24"/>
        </w:rPr>
        <w:t xml:space="preserve">the </w:t>
      </w:r>
      <w:r w:rsidRPr="001977EB" w:rsidR="00B518BC">
        <w:rPr>
          <w:rFonts w:ascii="Times New Roman" w:eastAsia="Times New Roman" w:hAnsi="Times New Roman" w:cs="Times New Roman"/>
          <w:sz w:val="24"/>
          <w:szCs w:val="24"/>
        </w:rPr>
        <w:t xml:space="preserve">entire </w:t>
      </w:r>
      <w:r w:rsidRPr="001977EB">
        <w:rPr>
          <w:rFonts w:ascii="Times New Roman" w:eastAsia="Times New Roman" w:hAnsi="Times New Roman" w:cs="Times New Roman"/>
          <w:sz w:val="24"/>
          <w:szCs w:val="24"/>
        </w:rPr>
        <w:t>2017-2020</w:t>
      </w:r>
      <w:r w:rsidRPr="001977EB" w:rsidR="00522554">
        <w:rPr>
          <w:rFonts w:ascii="Times New Roman" w:eastAsia="Times New Roman" w:hAnsi="Times New Roman" w:cs="Times New Roman"/>
          <w:sz w:val="24"/>
          <w:szCs w:val="24"/>
        </w:rPr>
        <w:t xml:space="preserve"> period, as shown below</w:t>
      </w:r>
      <w:r w:rsidRPr="001977EB">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85"/>
      </w:r>
    </w:p>
    <w:p w:rsidR="008D37C8" w:rsidRPr="001977EB" w:rsidP="008D37C8" w14:paraId="5BAD5405" w14:textId="77777777">
      <w:pPr>
        <w:spacing w:before="240" w:after="240" w:line="480" w:lineRule="auto"/>
        <w:rPr>
          <w:rFonts w:ascii="Times New Roman" w:eastAsia="Times New Roman" w:hAnsi="Times New Roman" w:cs="Times New Roman"/>
          <w:sz w:val="24"/>
          <w:szCs w:val="24"/>
        </w:rPr>
      </w:pPr>
      <w:r w:rsidRPr="00C74F6B">
        <w:rPr>
          <w:noProof/>
        </w:rPr>
        <w:drawing>
          <wp:inline distT="0" distB="0" distL="0" distR="0">
            <wp:extent cx="5486400" cy="2073910"/>
            <wp:effectExtent l="0" t="0" r="3175" b="1905"/>
            <wp:docPr id="43052033"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52033" name="Picture 1" descr="A screenshot of a graph&#10;&#10;Description automatically generated"/>
                    <pic:cNvPicPr/>
                  </pic:nvPicPr>
                  <pic:blipFill>
                    <a:blip xmlns:r="http://schemas.openxmlformats.org/officeDocument/2006/relationships" r:embed="rId18"/>
                    <a:stretch>
                      <a:fillRect/>
                    </a:stretch>
                  </pic:blipFill>
                  <pic:spPr>
                    <a:xfrm>
                      <a:off x="0" y="0"/>
                      <a:ext cx="5486400" cy="2073910"/>
                    </a:xfrm>
                    <a:prstGeom prst="rect">
                      <a:avLst/>
                    </a:prstGeom>
                  </pic:spPr>
                </pic:pic>
              </a:graphicData>
            </a:graphic>
          </wp:inline>
        </w:drawing>
      </w:r>
    </w:p>
    <w:p w:rsidR="008D37C8" w:rsidRPr="001977EB" w:rsidP="00265764" w14:paraId="237D29B9"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In contrast, the AEP, Duke and DP&amp;L coal plants operated up to 88% of the days during 2020 when plant costs exceeded energy market revenues.</w:t>
      </w:r>
      <w:r>
        <w:rPr>
          <w:rStyle w:val="FootnoteReference"/>
          <w:rFonts w:ascii="Times New Roman" w:eastAsia="Times New Roman" w:hAnsi="Times New Roman" w:cs="Times New Roman"/>
          <w:sz w:val="24"/>
          <w:szCs w:val="24"/>
        </w:rPr>
        <w:footnoteReference w:id="86"/>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 xml:space="preserve">The </w:t>
      </w:r>
      <w:r w:rsidRPr="001977EB" w:rsidR="00D712AE">
        <w:rPr>
          <w:rFonts w:ascii="Times New Roman" w:eastAsia="Times New Roman" w:hAnsi="Times New Roman" w:cs="Times New Roman"/>
          <w:sz w:val="24"/>
          <w:szCs w:val="24"/>
        </w:rPr>
        <w:t xml:space="preserve">Potomac Economics report </w:t>
      </w:r>
      <w:r w:rsidRPr="001977EB">
        <w:rPr>
          <w:rFonts w:ascii="Times New Roman" w:eastAsia="Times New Roman" w:hAnsi="Times New Roman" w:cs="Times New Roman"/>
          <w:sz w:val="24"/>
          <w:szCs w:val="24"/>
        </w:rPr>
        <w:t xml:space="preserve">clearly </w:t>
      </w:r>
      <w:r w:rsidRPr="001977EB" w:rsidR="00D712AE">
        <w:rPr>
          <w:rFonts w:ascii="Times New Roman" w:eastAsia="Times New Roman" w:hAnsi="Times New Roman" w:cs="Times New Roman"/>
          <w:sz w:val="24"/>
          <w:szCs w:val="24"/>
        </w:rPr>
        <w:t xml:space="preserve">shows that the </w:t>
      </w:r>
      <w:r w:rsidRPr="001977EB" w:rsidR="00B518BC">
        <w:rPr>
          <w:rFonts w:ascii="Times New Roman" w:eastAsia="Times New Roman" w:hAnsi="Times New Roman" w:cs="Times New Roman"/>
          <w:sz w:val="24"/>
          <w:szCs w:val="24"/>
        </w:rPr>
        <w:t xml:space="preserve">AEP, Duke and DP&amp;L </w:t>
      </w:r>
      <w:r w:rsidRPr="001977EB" w:rsidR="00D712AE">
        <w:rPr>
          <w:rFonts w:ascii="Times New Roman" w:eastAsia="Times New Roman" w:hAnsi="Times New Roman" w:cs="Times New Roman"/>
          <w:sz w:val="24"/>
          <w:szCs w:val="24"/>
        </w:rPr>
        <w:t xml:space="preserve">coal plants were not operated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consistent with participation in a broader competitive marketplace of sellers attempting to maximize revenues.</w:t>
      </w:r>
      <w:r w:rsidR="001977EB">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7"/>
      </w:r>
      <w:r w:rsidRPr="001977EB">
        <w:rPr>
          <w:rFonts w:ascii="Times New Roman" w:eastAsia="Times New Roman" w:hAnsi="Times New Roman" w:cs="Times New Roman"/>
          <w:sz w:val="24"/>
          <w:szCs w:val="24"/>
        </w:rPr>
        <w:t xml:space="preserve"> </w:t>
      </w:r>
    </w:p>
    <w:p w:rsidR="001B7486" w:rsidRPr="001977EB" w:rsidP="00CA2EB3" w14:paraId="13B652E2" w14:textId="77777777">
      <w:pPr>
        <w:spacing w:line="480" w:lineRule="auto"/>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ab/>
        <w:t>Comparing the Potomac Economics report to AEP, Duke and DP&amp;L</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s actual practice shows the stark contrast between the incentives in competitive markets versus regulated markets.</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 xml:space="preserve">As one state public utility commission stated: </w:t>
      </w:r>
      <w:r w:rsidR="001977EB">
        <w:rPr>
          <w:rFonts w:ascii="Times New Roman" w:eastAsia="Times New Roman" w:hAnsi="Times New Roman" w:cs="Times New Roman"/>
          <w:sz w:val="24"/>
          <w:szCs w:val="24"/>
        </w:rPr>
        <w:t>“</w:t>
      </w:r>
      <w:r w:rsidRPr="001977EB" w:rsidR="00351D95">
        <w:rPr>
          <w:rFonts w:ascii="Times New Roman" w:eastAsia="Times New Roman" w:hAnsi="Times New Roman" w:cs="Times New Roman"/>
          <w:sz w:val="24"/>
          <w:szCs w:val="24"/>
        </w:rPr>
        <w:t xml:space="preserve">While market forces impose prudency on sellers attempting to maximize revenues in a competitive market, </w:t>
      </w:r>
      <w:r w:rsidRPr="001977EB" w:rsidR="004D1310">
        <w:rPr>
          <w:rFonts w:ascii="Times New Roman" w:eastAsia="Times New Roman" w:hAnsi="Times New Roman" w:cs="Times New Roman"/>
          <w:sz w:val="24"/>
          <w:szCs w:val="24"/>
        </w:rPr>
        <w:t>[m]</w:t>
      </w:r>
      <w:r w:rsidRPr="001977EB" w:rsidR="00351D95">
        <w:rPr>
          <w:rFonts w:ascii="Times New Roman" w:eastAsia="Times New Roman" w:hAnsi="Times New Roman" w:cs="Times New Roman"/>
          <w:sz w:val="24"/>
          <w:szCs w:val="24"/>
        </w:rPr>
        <w:t>anagement of unregulated business subject to the free interplay of competitive forces have no alternative to efficiency. If they are to remain competitive, they must constantly be on the lookout for cost economies and cost savings. Public utility management, on the other hand, does not have quite the same incentive.</w:t>
      </w:r>
      <w:r w:rsidR="001977EB">
        <w:rPr>
          <w:rFonts w:ascii="Times New Roman" w:eastAsia="Times New Roman" w:hAnsi="Times New Roman" w:cs="Times New Roman"/>
          <w:sz w:val="24"/>
          <w:szCs w:val="24"/>
        </w:rPr>
        <w:t>”</w:t>
      </w:r>
      <w:r>
        <w:rPr>
          <w:rFonts w:ascii="Times New Roman" w:hAnsi="Times New Roman" w:cs="Times New Roman"/>
          <w:sz w:val="24"/>
          <w:szCs w:val="24"/>
          <w:vertAlign w:val="superscript"/>
        </w:rPr>
        <w:footnoteReference w:id="88"/>
      </w:r>
      <w:r w:rsidRPr="001977EB" w:rsidR="00351D95">
        <w:rPr>
          <w:rFonts w:ascii="Times New Roman" w:eastAsia="Times New Roman" w:hAnsi="Times New Roman" w:cs="Times New Roman"/>
          <w:sz w:val="24"/>
          <w:szCs w:val="24"/>
        </w:rPr>
        <w:t xml:space="preserve"> </w:t>
      </w:r>
    </w:p>
    <w:p w:rsidR="00B518BC" w:rsidRPr="001977EB" w:rsidP="00265764" w14:paraId="5496762D"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AEP, Duke and DP&amp;L</w:t>
      </w:r>
      <w:r w:rsidRPr="001977EB" w:rsidR="00351D95">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 xml:space="preserve">had </w:t>
      </w:r>
      <w:r w:rsidRPr="001977EB" w:rsidR="00E20527">
        <w:rPr>
          <w:rFonts w:ascii="Times New Roman" w:eastAsia="Times New Roman" w:hAnsi="Times New Roman" w:cs="Times New Roman"/>
          <w:sz w:val="24"/>
          <w:szCs w:val="24"/>
        </w:rPr>
        <w:t>no dis</w:t>
      </w:r>
      <w:r w:rsidRPr="001977EB" w:rsidR="00351D95">
        <w:rPr>
          <w:rFonts w:ascii="Times New Roman" w:eastAsia="Times New Roman" w:hAnsi="Times New Roman" w:cs="Times New Roman"/>
          <w:sz w:val="24"/>
          <w:szCs w:val="24"/>
        </w:rPr>
        <w:t>incentive to incur above-market costs</w:t>
      </w:r>
      <w:r w:rsidRPr="001977EB" w:rsidR="00E20527">
        <w:rPr>
          <w:rFonts w:ascii="Times New Roman" w:eastAsia="Times New Roman" w:hAnsi="Times New Roman" w:cs="Times New Roman"/>
          <w:sz w:val="24"/>
          <w:szCs w:val="24"/>
        </w:rPr>
        <w:t>.</w:t>
      </w:r>
      <w:r w:rsidRPr="001977EB" w:rsidR="00193767">
        <w:rPr>
          <w:rFonts w:ascii="Times New Roman" w:eastAsia="Times New Roman" w:hAnsi="Times New Roman" w:cs="Times New Roman"/>
          <w:sz w:val="24"/>
          <w:szCs w:val="24"/>
        </w:rPr>
        <w:t xml:space="preserve"> </w:t>
      </w:r>
      <w:r w:rsidRPr="001977EB" w:rsidR="00351D95">
        <w:rPr>
          <w:rFonts w:ascii="Times New Roman" w:eastAsia="Times New Roman" w:hAnsi="Times New Roman" w:cs="Times New Roman"/>
          <w:sz w:val="24"/>
          <w:szCs w:val="24"/>
        </w:rPr>
        <w:t xml:space="preserve">In a competitive market, </w:t>
      </w:r>
      <w:r w:rsidRPr="001977EB">
        <w:rPr>
          <w:rFonts w:ascii="Times New Roman" w:eastAsia="Times New Roman" w:hAnsi="Times New Roman" w:cs="Times New Roman"/>
          <w:sz w:val="24"/>
          <w:szCs w:val="24"/>
        </w:rPr>
        <w:t xml:space="preserve">the owner of an unprofitable coal plant </w:t>
      </w:r>
      <w:r w:rsidRPr="001977EB" w:rsidR="00351D95">
        <w:rPr>
          <w:rFonts w:ascii="Times New Roman" w:eastAsia="Times New Roman" w:hAnsi="Times New Roman" w:cs="Times New Roman"/>
          <w:sz w:val="24"/>
          <w:szCs w:val="24"/>
        </w:rPr>
        <w:t>would be unable to impose those above-market costs on c</w:t>
      </w:r>
      <w:r w:rsidRPr="001977EB">
        <w:rPr>
          <w:rFonts w:ascii="Times New Roman" w:eastAsia="Times New Roman" w:hAnsi="Times New Roman" w:cs="Times New Roman"/>
          <w:sz w:val="24"/>
          <w:szCs w:val="24"/>
        </w:rPr>
        <w:t>onsumers</w:t>
      </w:r>
      <w:r w:rsidRPr="001977EB" w:rsidR="00351D95">
        <w:rPr>
          <w:rFonts w:ascii="Times New Roman" w:eastAsia="Times New Roman" w:hAnsi="Times New Roman" w:cs="Times New Roman"/>
          <w:sz w:val="24"/>
          <w:szCs w:val="24"/>
        </w:rPr>
        <w:t xml:space="preserve">, who </w:t>
      </w:r>
      <w:r w:rsidR="001977EB">
        <w:rPr>
          <w:rFonts w:ascii="Times New Roman" w:eastAsia="Times New Roman" w:hAnsi="Times New Roman" w:cs="Times New Roman"/>
          <w:sz w:val="24"/>
          <w:szCs w:val="24"/>
        </w:rPr>
        <w:t>“</w:t>
      </w:r>
      <w:r w:rsidRPr="001977EB" w:rsidR="00351D95">
        <w:rPr>
          <w:rFonts w:ascii="Times New Roman" w:eastAsia="Times New Roman" w:hAnsi="Times New Roman" w:cs="Times New Roman"/>
          <w:sz w:val="24"/>
          <w:szCs w:val="24"/>
        </w:rPr>
        <w:t>could take their business to a more efficient provider.</w:t>
      </w:r>
      <w:r w:rsidR="001977EB">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9"/>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This is why the merchant coal plant owners in MISO only ran their plants 3% of the time when costs exceeded market prices.</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 xml:space="preserve">But AEP, Duke and DP&amp;L </w:t>
      </w:r>
      <w:r w:rsidRPr="001977EB" w:rsidR="00A67D89">
        <w:rPr>
          <w:rFonts w:ascii="Times New Roman" w:eastAsia="Times New Roman" w:hAnsi="Times New Roman" w:cs="Times New Roman"/>
          <w:sz w:val="24"/>
          <w:szCs w:val="24"/>
        </w:rPr>
        <w:t xml:space="preserve">ran the OVEC </w:t>
      </w:r>
      <w:r w:rsidRPr="001977EB">
        <w:rPr>
          <w:rFonts w:ascii="Times New Roman" w:eastAsia="Times New Roman" w:hAnsi="Times New Roman" w:cs="Times New Roman"/>
          <w:sz w:val="24"/>
          <w:szCs w:val="24"/>
        </w:rPr>
        <w:t>plants 88% of the time when costs exceeded market prices.</w:t>
      </w:r>
      <w:r>
        <w:rPr>
          <w:rStyle w:val="FootnoteReference"/>
          <w:rFonts w:ascii="Times New Roman" w:eastAsia="Times New Roman" w:hAnsi="Times New Roman" w:cs="Times New Roman"/>
          <w:sz w:val="24"/>
          <w:szCs w:val="24"/>
        </w:rPr>
        <w:footnoteReference w:id="90"/>
      </w:r>
    </w:p>
    <w:p w:rsidR="00D209B3" w:rsidRPr="001977EB" w:rsidP="00265764" w14:paraId="2B408087"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 xml:space="preserve">The PUCO should hold </w:t>
      </w:r>
      <w:r w:rsidRPr="001977EB" w:rsidR="00B518BC">
        <w:rPr>
          <w:rFonts w:ascii="Times New Roman" w:eastAsia="Times New Roman" w:hAnsi="Times New Roman" w:cs="Times New Roman"/>
          <w:sz w:val="24"/>
          <w:szCs w:val="24"/>
        </w:rPr>
        <w:t>AEP, Duke and DP&amp;L</w:t>
      </w:r>
      <w:r w:rsidRPr="001977EB">
        <w:rPr>
          <w:rFonts w:ascii="Times New Roman" w:eastAsia="Times New Roman" w:hAnsi="Times New Roman" w:cs="Times New Roman"/>
          <w:sz w:val="24"/>
          <w:szCs w:val="24"/>
        </w:rPr>
        <w:t xml:space="preserve"> to the same standard as a merchant coal plant owner.</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 xml:space="preserve">In fact, the PUCO expressly ruled </w:t>
      </w:r>
      <w:r w:rsidR="001970A8">
        <w:rPr>
          <w:rFonts w:ascii="Times New Roman" w:eastAsia="Times New Roman" w:hAnsi="Times New Roman" w:cs="Times New Roman"/>
          <w:sz w:val="24"/>
          <w:szCs w:val="24"/>
        </w:rPr>
        <w:t xml:space="preserve">it </w:t>
      </w:r>
      <w:r w:rsidRPr="001977EB">
        <w:rPr>
          <w:rFonts w:ascii="Times New Roman" w:eastAsia="Times New Roman" w:hAnsi="Times New Roman" w:cs="Times New Roman"/>
          <w:sz w:val="24"/>
          <w:szCs w:val="24"/>
        </w:rPr>
        <w:t>would do so.</w:t>
      </w:r>
      <w:r>
        <w:rPr>
          <w:rStyle w:val="FootnoteReference"/>
          <w:rFonts w:ascii="Times New Roman" w:eastAsia="Times New Roman" w:hAnsi="Times New Roman" w:cs="Times New Roman"/>
          <w:sz w:val="24"/>
          <w:szCs w:val="24"/>
        </w:rPr>
        <w:footnoteReference w:id="91"/>
      </w:r>
      <w:r w:rsidR="001977EB">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AEP Duke and DP&amp;L were well aware of the PUCO ruling.</w:t>
      </w:r>
      <w:r w:rsidR="001977EB">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 xml:space="preserve">Yet they ignored the </w:t>
      </w:r>
      <w:r w:rsidRPr="001977EB" w:rsidR="002936B2">
        <w:rPr>
          <w:rFonts w:ascii="Times New Roman" w:eastAsia="Times New Roman" w:hAnsi="Times New Roman" w:cs="Times New Roman"/>
          <w:sz w:val="24"/>
          <w:szCs w:val="24"/>
        </w:rPr>
        <w:t xml:space="preserve">standard. </w:t>
      </w:r>
    </w:p>
    <w:p w:rsidR="00265764" w:rsidRPr="001977EB" w:rsidP="00265764" w14:paraId="648F8F43"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AEP, Duke and DP&amp;L</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s continuous use of a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must-run</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commitment strategy during 2020 was imprudent, was not in the best interest of consumers and was inconsistent with how </w:t>
      </w:r>
      <w:r w:rsidRPr="001977EB" w:rsidR="00B518BC">
        <w:rPr>
          <w:rFonts w:ascii="Times New Roman" w:eastAsia="Times New Roman" w:hAnsi="Times New Roman" w:cs="Times New Roman"/>
          <w:sz w:val="24"/>
          <w:szCs w:val="24"/>
        </w:rPr>
        <w:t>merchant coal plant owners</w:t>
      </w:r>
      <w:r w:rsidRPr="001977EB">
        <w:rPr>
          <w:rFonts w:ascii="Times New Roman" w:eastAsia="Times New Roman" w:hAnsi="Times New Roman" w:cs="Times New Roman"/>
          <w:sz w:val="24"/>
          <w:szCs w:val="24"/>
        </w:rPr>
        <w:t xml:space="preserve"> seeking to maximize revenues operate</w:t>
      </w:r>
      <w:r w:rsidRPr="001977EB" w:rsidR="00B518BC">
        <w:rPr>
          <w:rFonts w:ascii="Times New Roman" w:eastAsia="Times New Roman" w:hAnsi="Times New Roman" w:cs="Times New Roman"/>
          <w:sz w:val="24"/>
          <w:szCs w:val="24"/>
        </w:rPr>
        <w:t>d</w:t>
      </w:r>
      <w:r w:rsidRPr="001977EB">
        <w:rPr>
          <w:rFonts w:ascii="Times New Roman" w:eastAsia="Times New Roman" w:hAnsi="Times New Roman" w:cs="Times New Roman"/>
          <w:sz w:val="24"/>
          <w:szCs w:val="24"/>
        </w:rPr>
        <w:t xml:space="preserve"> their plants. The PUCO should therefore disallow the</w:t>
      </w:r>
      <w:r w:rsidRPr="001977EB" w:rsidR="004015A8">
        <w:rPr>
          <w:rFonts w:ascii="Times New Roman" w:eastAsia="Times New Roman" w:hAnsi="Times New Roman" w:cs="Times New Roman"/>
          <w:sz w:val="24"/>
          <w:szCs w:val="24"/>
        </w:rPr>
        <w:t xml:space="preserve"> entire</w:t>
      </w:r>
      <w:r w:rsidRPr="001977EB">
        <w:rPr>
          <w:rFonts w:ascii="Times New Roman" w:eastAsia="Times New Roman" w:hAnsi="Times New Roman" w:cs="Times New Roman"/>
          <w:sz w:val="24"/>
          <w:szCs w:val="24"/>
        </w:rPr>
        <w:t xml:space="preserve"> $105 million in above-market electricity costs.</w:t>
      </w:r>
    </w:p>
    <w:p w:rsidR="00394E5F" w:rsidRPr="001977EB" w:rsidP="005F742F" w14:paraId="7277DD78" w14:textId="77777777">
      <w:pPr>
        <w:pStyle w:val="Heading2"/>
        <w:numPr>
          <w:ilvl w:val="0"/>
          <w:numId w:val="0"/>
        </w:numPr>
        <w:ind w:left="1440" w:hanging="720"/>
      </w:pPr>
      <w:bookmarkStart w:id="21" w:name="_Toc158641649"/>
      <w:r w:rsidRPr="001977EB">
        <w:t>F.</w:t>
      </w:r>
      <w:r w:rsidRPr="001977EB">
        <w:tab/>
        <w:t>The PUCO should disallow AEP, Duke and DP&amp;L</w:t>
      </w:r>
      <w:r w:rsidR="001977EB">
        <w:t>’</w:t>
      </w:r>
      <w:r w:rsidRPr="001977EB">
        <w:t xml:space="preserve">s collection of </w:t>
      </w:r>
      <w:r w:rsidRPr="001977EB" w:rsidR="004864B1">
        <w:t xml:space="preserve">$2.51 million as </w:t>
      </w:r>
      <w:r w:rsidRPr="001977EB">
        <w:t>a return on equity (</w:t>
      </w:r>
      <w:r w:rsidRPr="001977EB">
        <w:rPr>
          <w:i/>
          <w:iCs/>
        </w:rPr>
        <w:t xml:space="preserve">i.e., </w:t>
      </w:r>
      <w:r w:rsidRPr="001977EB">
        <w:t xml:space="preserve">profit) on the coal plant subsidy </w:t>
      </w:r>
      <w:r w:rsidRPr="001977EB" w:rsidR="005E28AE">
        <w:t>charges</w:t>
      </w:r>
      <w:r w:rsidRPr="001977EB" w:rsidR="004864B1">
        <w:t>, which directly</w:t>
      </w:r>
      <w:r w:rsidRPr="001977EB">
        <w:t xml:space="preserve"> violates R.C. 4928.148</w:t>
      </w:r>
      <w:r w:rsidRPr="001977EB" w:rsidR="005E28AE">
        <w:t>.</w:t>
      </w:r>
      <w:bookmarkEnd w:id="21"/>
    </w:p>
    <w:p w:rsidR="005E28AE" w:rsidRPr="001977EB" w:rsidP="00633AF6" w14:paraId="7B784684"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 xml:space="preserve">During the audit period, AEP, Duke and DP&amp;L collected $2.51 million as a return on equity </w:t>
      </w:r>
      <w:r w:rsidRPr="001977EB" w:rsidR="00774C90">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or profit</w:t>
      </w:r>
      <w:r w:rsidRPr="001977EB" w:rsidR="00774C90">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on the coal plant subsidy charges.</w:t>
      </w:r>
      <w:r>
        <w:rPr>
          <w:rStyle w:val="FootnoteReference"/>
          <w:rFonts w:ascii="Times New Roman" w:eastAsia="Times New Roman" w:hAnsi="Times New Roman" w:cs="Times New Roman"/>
          <w:sz w:val="24"/>
          <w:szCs w:val="24"/>
        </w:rPr>
        <w:footnoteReference w:id="92"/>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 xml:space="preserve">This </w:t>
      </w:r>
      <w:r w:rsidRPr="001977EB" w:rsidR="004864B1">
        <w:rPr>
          <w:rFonts w:ascii="Times New Roman" w:eastAsia="Times New Roman" w:hAnsi="Times New Roman" w:cs="Times New Roman"/>
          <w:sz w:val="24"/>
          <w:szCs w:val="24"/>
        </w:rPr>
        <w:t xml:space="preserve">directly </w:t>
      </w:r>
      <w:r w:rsidRPr="001977EB">
        <w:rPr>
          <w:rFonts w:ascii="Times New Roman" w:eastAsia="Times New Roman" w:hAnsi="Times New Roman" w:cs="Times New Roman"/>
          <w:sz w:val="24"/>
          <w:szCs w:val="24"/>
        </w:rPr>
        <w:t>violates R.C. 4928.148.</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The PUCO should therefore disallow this cost.</w:t>
      </w:r>
    </w:p>
    <w:p w:rsidR="00633AF6" w:rsidRPr="001977EB" w:rsidP="00633AF6" w14:paraId="503634F5"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The return on equity</w:t>
      </w:r>
      <w:r w:rsidRPr="001977EB" w:rsidR="00774C90">
        <w:rPr>
          <w:rFonts w:ascii="Times New Roman" w:eastAsia="Times New Roman" w:hAnsi="Times New Roman" w:cs="Times New Roman"/>
          <w:sz w:val="24"/>
          <w:szCs w:val="24"/>
        </w:rPr>
        <w:t xml:space="preserve"> for the coal plants</w:t>
      </w:r>
      <w:r w:rsidRPr="001977EB">
        <w:rPr>
          <w:rFonts w:ascii="Times New Roman" w:eastAsia="Times New Roman" w:hAnsi="Times New Roman" w:cs="Times New Roman"/>
          <w:sz w:val="24"/>
          <w:szCs w:val="24"/>
        </w:rPr>
        <w:t xml:space="preserve"> is referred to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Component D.</w:t>
      </w:r>
      <w:r w:rsidR="001977EB">
        <w:rPr>
          <w:rFonts w:ascii="Times New Roman" w:eastAsia="Times New Roman" w:hAnsi="Times New Roman" w:cs="Times New Roman"/>
          <w:sz w:val="24"/>
          <w:szCs w:val="24"/>
        </w:rPr>
        <w:t>”</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 xml:space="preserve">The Auditor explained how Component D is calculated as follows: </w:t>
      </w:r>
    </w:p>
    <w:p w:rsidR="00633AF6" w:rsidRPr="001977EB" w:rsidP="00235ADD" w14:paraId="4A9A7059" w14:textId="77777777">
      <w:pPr>
        <w:spacing w:line="240" w:lineRule="auto"/>
        <w:ind w:left="1440" w:right="1440"/>
        <w:rPr>
          <w:rFonts w:ascii="Times New Roman" w:hAnsi="Times New Roman" w:cs="Times New Roman"/>
          <w:sz w:val="24"/>
          <w:szCs w:val="24"/>
          <w:lang w:val="en-US"/>
        </w:rPr>
      </w:pPr>
      <w:r w:rsidRPr="001977EB">
        <w:rPr>
          <w:rFonts w:ascii="Times New Roman" w:hAnsi="Times New Roman" w:cs="Times New Roman"/>
          <w:sz w:val="24"/>
          <w:szCs w:val="24"/>
        </w:rPr>
        <w:t>an amount equal to the product of $2.089 multiplied by the total number of shares of capital stock of the par value of $100 per share,</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w:t>
      </w:r>
      <w:r w:rsidRPr="001977EB" w:rsidR="005E28AE">
        <w:rPr>
          <w:rFonts w:ascii="Times New Roman" w:hAnsi="Times New Roman" w:cs="Times New Roman"/>
          <w:sz w:val="24"/>
          <w:szCs w:val="24"/>
        </w:rPr>
        <w:t xml:space="preserve">[which] </w:t>
      </w:r>
      <w:r w:rsidRPr="001977EB">
        <w:rPr>
          <w:rFonts w:ascii="Times New Roman" w:hAnsi="Times New Roman" w:cs="Times New Roman"/>
          <w:sz w:val="24"/>
          <w:szCs w:val="24"/>
        </w:rPr>
        <w:t>amounts to $2.51 million per year, which is ultimately paid by ratepayers including DEO</w:t>
      </w:r>
      <w:r w:rsidR="001977EB">
        <w:rPr>
          <w:rFonts w:ascii="Times New Roman" w:hAnsi="Times New Roman" w:cs="Times New Roman"/>
          <w:sz w:val="24"/>
          <w:szCs w:val="24"/>
        </w:rPr>
        <w:t>’</w:t>
      </w:r>
      <w:r w:rsidRPr="001977EB">
        <w:rPr>
          <w:rFonts w:ascii="Times New Roman" w:hAnsi="Times New Roman" w:cs="Times New Roman"/>
          <w:sz w:val="24"/>
          <w:szCs w:val="24"/>
        </w:rPr>
        <w:t>s customers. ORC 4928.01(A)(42) requires that</w:t>
      </w:r>
      <w:r w:rsidR="001977EB">
        <w:rPr>
          <w:rFonts w:ascii="Times New Roman" w:hAnsi="Times New Roman" w:cs="Times New Roman"/>
          <w:sz w:val="24"/>
          <w:szCs w:val="24"/>
        </w:rPr>
        <w:t xml:space="preserve"> “</w:t>
      </w:r>
      <w:r w:rsidRPr="001977EB">
        <w:rPr>
          <w:rFonts w:ascii="Times New Roman" w:hAnsi="Times New Roman" w:cs="Times New Roman"/>
          <w:i/>
          <w:iCs/>
          <w:sz w:val="24"/>
          <w:szCs w:val="24"/>
        </w:rPr>
        <w:t>Prudently incurred cost</w:t>
      </w:r>
      <w:r w:rsidRPr="001977EB" w:rsidR="00925CFA">
        <w:rPr>
          <w:rFonts w:ascii="Times New Roman" w:hAnsi="Times New Roman" w:cs="Times New Roman"/>
          <w:i/>
          <w:iCs/>
          <w:sz w:val="24"/>
          <w:szCs w:val="24"/>
        </w:rPr>
        <w:t xml:space="preserve">s . . . </w:t>
      </w:r>
      <w:r w:rsidRPr="001977EB">
        <w:rPr>
          <w:rFonts w:ascii="Times New Roman" w:hAnsi="Times New Roman" w:cs="Times New Roman"/>
          <w:i/>
          <w:iCs/>
          <w:sz w:val="24"/>
          <w:szCs w:val="24"/>
        </w:rPr>
        <w:t>must exclude any return on investment in common equity</w:t>
      </w:r>
      <w:r w:rsidRPr="001977EB" w:rsidR="00925CFA">
        <w:rPr>
          <w:rFonts w:ascii="Times New Roman" w:hAnsi="Times New Roman" w:cs="Times New Roman"/>
          <w:i/>
          <w:iCs/>
          <w:sz w:val="24"/>
          <w:szCs w:val="24"/>
        </w:rPr>
        <w:t xml:space="preserve"> . . .</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Component D seems to be a such a return. Though it is not a large share of the overall OVEC bill to ratepayers, the $2.51 million per year amounted to nearly all OVEC</w:t>
      </w:r>
      <w:r w:rsidR="001977EB">
        <w:rPr>
          <w:rFonts w:ascii="Times New Roman" w:hAnsi="Times New Roman" w:cs="Times New Roman"/>
          <w:sz w:val="24"/>
          <w:szCs w:val="24"/>
        </w:rPr>
        <w:t>’</w:t>
      </w:r>
      <w:r w:rsidRPr="001977EB">
        <w:rPr>
          <w:rFonts w:ascii="Times New Roman" w:hAnsi="Times New Roman" w:cs="Times New Roman"/>
          <w:sz w:val="24"/>
          <w:szCs w:val="24"/>
        </w:rPr>
        <w:t>s $2.81 million of net income in 2020.</w:t>
      </w:r>
      <w:r>
        <w:rPr>
          <w:rStyle w:val="FootnoteReference"/>
          <w:rFonts w:ascii="Times New Roman" w:hAnsi="Times New Roman" w:cs="Times New Roman"/>
          <w:sz w:val="24"/>
          <w:szCs w:val="24"/>
        </w:rPr>
        <w:footnoteReference w:id="93"/>
      </w:r>
    </w:p>
    <w:p w:rsidR="00633AF6" w:rsidRPr="001977EB" w:rsidP="00235ADD" w14:paraId="21D4DBE7" w14:textId="77777777">
      <w:pPr>
        <w:spacing w:line="240" w:lineRule="auto"/>
        <w:ind w:right="720"/>
        <w:rPr>
          <w:rFonts w:ascii="Times New Roman" w:hAnsi="Times New Roman" w:cs="Times New Roman"/>
          <w:sz w:val="24"/>
          <w:szCs w:val="24"/>
        </w:rPr>
      </w:pPr>
    </w:p>
    <w:p w:rsidR="00235ADD" w:rsidRPr="001977EB" w:rsidP="00235ADD" w14:paraId="7E04F106" w14:textId="77777777">
      <w:pPr>
        <w:spacing w:line="480" w:lineRule="auto"/>
        <w:rPr>
          <w:rFonts w:ascii="Times New Roman" w:hAnsi="Times New Roman" w:cs="Times New Roman"/>
          <w:sz w:val="24"/>
          <w:szCs w:val="24"/>
        </w:rPr>
      </w:pPr>
      <w:r w:rsidRPr="001977EB">
        <w:rPr>
          <w:rFonts w:ascii="Times New Roman" w:hAnsi="Times New Roman" w:cs="Times New Roman"/>
          <w:sz w:val="24"/>
          <w:szCs w:val="24"/>
        </w:rPr>
        <w:tab/>
        <w:t xml:space="preserve">Under R.C. 4928.148(A), a utility can only collect </w:t>
      </w:r>
      <w:r w:rsidR="001977EB">
        <w:rPr>
          <w:rFonts w:ascii="Times New Roman" w:hAnsi="Times New Roman" w:cs="Times New Roman"/>
          <w:sz w:val="24"/>
          <w:szCs w:val="24"/>
        </w:rPr>
        <w:t>“</w:t>
      </w:r>
      <w:r w:rsidRPr="001977EB">
        <w:rPr>
          <w:rFonts w:ascii="Times New Roman" w:hAnsi="Times New Roman" w:cs="Times New Roman"/>
          <w:sz w:val="24"/>
          <w:szCs w:val="24"/>
        </w:rPr>
        <w:t>prudently incurred costs related to a legacy generation resource.</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94"/>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The term </w:t>
      </w:r>
      <w:r w:rsidR="001977EB">
        <w:rPr>
          <w:rFonts w:ascii="Times New Roman" w:hAnsi="Times New Roman" w:cs="Times New Roman"/>
          <w:sz w:val="24"/>
          <w:szCs w:val="24"/>
        </w:rPr>
        <w:t>“</w:t>
      </w:r>
      <w:r w:rsidRPr="001977EB">
        <w:rPr>
          <w:rFonts w:ascii="Times New Roman" w:hAnsi="Times New Roman" w:cs="Times New Roman"/>
          <w:sz w:val="24"/>
          <w:szCs w:val="24"/>
        </w:rPr>
        <w:t>prudently incurred costs related to a legacy generation resource</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is defined by R.C. 4928.01(A)(42), which states that </w:t>
      </w:r>
      <w:r w:rsidR="001977EB">
        <w:rPr>
          <w:rFonts w:ascii="Times New Roman" w:hAnsi="Times New Roman" w:cs="Times New Roman"/>
          <w:sz w:val="24"/>
          <w:szCs w:val="24"/>
        </w:rPr>
        <w:t>“</w:t>
      </w:r>
      <w:r w:rsidRPr="001977EB">
        <w:rPr>
          <w:rFonts w:ascii="Times New Roman" w:hAnsi="Times New Roman" w:cs="Times New Roman"/>
          <w:sz w:val="24"/>
          <w:szCs w:val="24"/>
        </w:rPr>
        <w:t>[s]uch costs shall exclude any return on investment in common equity</w:t>
      </w:r>
      <w:r w:rsidRPr="001977EB" w:rsidR="00FD5903">
        <w:rPr>
          <w:rFonts w:ascii="Times New Roman" w:hAnsi="Times New Roman" w:cs="Times New Roman"/>
          <w:sz w:val="24"/>
          <w:szCs w:val="24"/>
        </w:rPr>
        <w:t xml:space="preserve"> . . .</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95"/>
      </w:r>
    </w:p>
    <w:p w:rsidR="00191D7F" w:rsidRPr="001977EB" w:rsidP="00235ADD" w14:paraId="1E9F77A8" w14:textId="77777777">
      <w:pPr>
        <w:spacing w:line="480" w:lineRule="auto"/>
        <w:rPr>
          <w:rFonts w:ascii="Times New Roman" w:hAnsi="Times New Roman" w:cs="Times New Roman"/>
          <w:sz w:val="24"/>
          <w:szCs w:val="24"/>
        </w:rPr>
      </w:pPr>
      <w:r w:rsidRPr="001977EB">
        <w:rPr>
          <w:rFonts w:ascii="Times New Roman" w:hAnsi="Times New Roman" w:cs="Times New Roman"/>
          <w:sz w:val="24"/>
          <w:szCs w:val="24"/>
        </w:rPr>
        <w:tab/>
        <w:t>It</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s bad enough that AEP, Duke and DP&amp;L </w:t>
      </w:r>
      <w:r w:rsidRPr="001977EB" w:rsidR="00A31464">
        <w:rPr>
          <w:rFonts w:ascii="Times New Roman" w:hAnsi="Times New Roman" w:cs="Times New Roman"/>
          <w:sz w:val="24"/>
          <w:szCs w:val="24"/>
        </w:rPr>
        <w:t>overcharged</w:t>
      </w:r>
      <w:r w:rsidRPr="001977EB">
        <w:rPr>
          <w:rFonts w:ascii="Times New Roman" w:hAnsi="Times New Roman" w:cs="Times New Roman"/>
          <w:sz w:val="24"/>
          <w:szCs w:val="24"/>
        </w:rPr>
        <w:t xml:space="preserve"> consumers</w:t>
      </w:r>
      <w:r w:rsidRPr="001977EB" w:rsidR="004864B1">
        <w:rPr>
          <w:rFonts w:ascii="Times New Roman" w:hAnsi="Times New Roman" w:cs="Times New Roman"/>
          <w:sz w:val="24"/>
          <w:szCs w:val="24"/>
        </w:rPr>
        <w:t xml:space="preserve"> for</w:t>
      </w:r>
      <w:r w:rsidRPr="001977EB">
        <w:rPr>
          <w:rFonts w:ascii="Times New Roman" w:hAnsi="Times New Roman" w:cs="Times New Roman"/>
          <w:sz w:val="24"/>
          <w:szCs w:val="24"/>
        </w:rPr>
        <w:t xml:space="preserve"> $105 million in imprudent, above-market price electricity costs during the height of the Covid pandemic.</w:t>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But to </w:t>
      </w:r>
      <w:r w:rsidRPr="001977EB" w:rsidR="00774C90">
        <w:rPr>
          <w:rFonts w:ascii="Times New Roman" w:hAnsi="Times New Roman" w:cs="Times New Roman"/>
          <w:sz w:val="24"/>
          <w:szCs w:val="24"/>
        </w:rPr>
        <w:t>add on</w:t>
      </w:r>
      <w:r w:rsidRPr="001977EB">
        <w:rPr>
          <w:rFonts w:ascii="Times New Roman" w:hAnsi="Times New Roman" w:cs="Times New Roman"/>
          <w:sz w:val="24"/>
          <w:szCs w:val="24"/>
        </w:rPr>
        <w:t xml:space="preserve"> a profit margin, in </w:t>
      </w:r>
      <w:r w:rsidRPr="001977EB" w:rsidR="00774C90">
        <w:rPr>
          <w:rFonts w:ascii="Times New Roman" w:hAnsi="Times New Roman" w:cs="Times New Roman"/>
          <w:sz w:val="24"/>
          <w:szCs w:val="24"/>
        </w:rPr>
        <w:t xml:space="preserve">direct </w:t>
      </w:r>
      <w:r w:rsidRPr="001977EB">
        <w:rPr>
          <w:rFonts w:ascii="Times New Roman" w:hAnsi="Times New Roman" w:cs="Times New Roman"/>
          <w:sz w:val="24"/>
          <w:szCs w:val="24"/>
        </w:rPr>
        <w:t xml:space="preserve">violation of Ohio law, is </w:t>
      </w:r>
      <w:r w:rsidRPr="001977EB" w:rsidR="00D4245B">
        <w:rPr>
          <w:rFonts w:ascii="Times New Roman" w:hAnsi="Times New Roman" w:cs="Times New Roman"/>
          <w:sz w:val="24"/>
          <w:szCs w:val="24"/>
        </w:rPr>
        <w:t>unconscionable</w:t>
      </w:r>
      <w:r w:rsidRPr="001977EB">
        <w:rPr>
          <w:rFonts w:ascii="Times New Roman" w:hAnsi="Times New Roman" w:cs="Times New Roman"/>
          <w:sz w:val="24"/>
          <w:szCs w:val="24"/>
        </w:rPr>
        <w:t>.</w:t>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The PUCO should disallow this cost.</w:t>
      </w:r>
    </w:p>
    <w:p w:rsidR="006C3372" w:rsidRPr="001977EB" w:rsidP="00A05DEF" w14:paraId="66BE20E6" w14:textId="77777777">
      <w:pPr>
        <w:pStyle w:val="Heading2"/>
        <w:numPr>
          <w:ilvl w:val="0"/>
          <w:numId w:val="0"/>
        </w:numPr>
        <w:ind w:left="1440" w:hanging="720"/>
      </w:pPr>
      <w:bookmarkStart w:id="22" w:name="_Toc158641650"/>
      <w:r w:rsidRPr="001977EB">
        <w:t>G.</w:t>
      </w:r>
      <w:r w:rsidRPr="001977EB">
        <w:tab/>
      </w:r>
      <w:r w:rsidRPr="001977EB" w:rsidR="004864B1">
        <w:t>The PUCO should disallow AEP, Duke and DP&amp;L</w:t>
      </w:r>
      <w:r w:rsidR="001977EB">
        <w:t>’</w:t>
      </w:r>
      <w:r w:rsidRPr="001977EB" w:rsidR="004864B1">
        <w:t xml:space="preserve">s </w:t>
      </w:r>
      <w:r w:rsidRPr="001977EB" w:rsidR="00D62B59">
        <w:t>share of the</w:t>
      </w:r>
      <w:r w:rsidRPr="001977EB" w:rsidR="004864B1">
        <w:t xml:space="preserve"> $30 million </w:t>
      </w:r>
      <w:r w:rsidR="001977EB">
        <w:t>“</w:t>
      </w:r>
      <w:r w:rsidRPr="001977EB" w:rsidR="004864B1">
        <w:t>advance debt repayment</w:t>
      </w:r>
      <w:r w:rsidR="001977EB">
        <w:t>”</w:t>
      </w:r>
      <w:r w:rsidRPr="001977EB" w:rsidR="004864B1">
        <w:t xml:space="preserve"> </w:t>
      </w:r>
      <w:r w:rsidRPr="001977EB" w:rsidR="00D62B59">
        <w:t xml:space="preserve">collected </w:t>
      </w:r>
      <w:r w:rsidRPr="001977EB" w:rsidR="00774C90">
        <w:t>during</w:t>
      </w:r>
      <w:r w:rsidRPr="001977EB" w:rsidR="00D62B59">
        <w:t xml:space="preserve"> 2020</w:t>
      </w:r>
      <w:r w:rsidRPr="001977EB">
        <w:t>.</w:t>
      </w:r>
      <w:r w:rsidRPr="001977EB" w:rsidR="00FC50DF">
        <w:t xml:space="preserve"> </w:t>
      </w:r>
      <w:r w:rsidRPr="001977EB">
        <w:t>This</w:t>
      </w:r>
      <w:r w:rsidRPr="001977EB" w:rsidR="004864B1">
        <w:t xml:space="preserve"> directly violates R.C. 4928.148</w:t>
      </w:r>
      <w:r w:rsidRPr="001977EB" w:rsidR="00774C90">
        <w:t xml:space="preserve"> and R.C. 4928.01(A)(42) as well as</w:t>
      </w:r>
      <w:r w:rsidRPr="001977EB" w:rsidR="00EE779E">
        <w:t xml:space="preserve"> the regulatory principle of intergenerational equity</w:t>
      </w:r>
      <w:r w:rsidRPr="001977EB" w:rsidR="004864B1">
        <w:t>.</w:t>
      </w:r>
      <w:r w:rsidRPr="001977EB" w:rsidR="00FC50DF">
        <w:t xml:space="preserve"> </w:t>
      </w:r>
      <w:r w:rsidRPr="001977EB" w:rsidR="004864B1">
        <w:t xml:space="preserve">The PUCO </w:t>
      </w:r>
      <w:r w:rsidRPr="001977EB">
        <w:t xml:space="preserve">also </w:t>
      </w:r>
      <w:r w:rsidRPr="001977EB" w:rsidR="004864B1">
        <w:t xml:space="preserve">should </w:t>
      </w:r>
      <w:r w:rsidRPr="001977EB">
        <w:t xml:space="preserve">also </w:t>
      </w:r>
      <w:r w:rsidRPr="001977EB" w:rsidR="004864B1">
        <w:t>require the utilities to credit consumers with AEP, Duke and DP&amp;L</w:t>
      </w:r>
      <w:r w:rsidR="001977EB">
        <w:t>’</w:t>
      </w:r>
      <w:r w:rsidRPr="001977EB" w:rsidR="004864B1">
        <w:t>s share of the $12</w:t>
      </w:r>
      <w:r w:rsidRPr="001977EB" w:rsidR="00EC33CB">
        <w:t>0</w:t>
      </w:r>
      <w:r w:rsidRPr="001977EB" w:rsidR="004864B1">
        <w:t xml:space="preserve"> million in </w:t>
      </w:r>
      <w:r w:rsidR="001977EB">
        <w:t>“</w:t>
      </w:r>
      <w:r w:rsidRPr="001977EB" w:rsidR="004864B1">
        <w:t>advance debt repayment</w:t>
      </w:r>
      <w:r w:rsidR="001977EB">
        <w:t>”</w:t>
      </w:r>
      <w:r w:rsidRPr="001977EB">
        <w:t xml:space="preserve"> collected to date.</w:t>
      </w:r>
      <w:bookmarkEnd w:id="22"/>
    </w:p>
    <w:p w:rsidR="006C3372" w:rsidRPr="001977EB" w:rsidP="006C3372" w14:paraId="27011297"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 xml:space="preserve">During the audit period, AEP, Duke and DP&amp;L collected </w:t>
      </w:r>
      <w:r w:rsidRPr="001977EB" w:rsidR="00D62B59">
        <w:rPr>
          <w:rFonts w:ascii="Times New Roman" w:eastAsia="Times New Roman" w:hAnsi="Times New Roman" w:cs="Times New Roman"/>
          <w:sz w:val="24"/>
          <w:szCs w:val="24"/>
        </w:rPr>
        <w:t xml:space="preserve">their share (based on their ownership shares in OVEC) of </w:t>
      </w:r>
      <w:r w:rsidRPr="001977EB" w:rsidR="002936B2">
        <w:rPr>
          <w:rFonts w:ascii="Times New Roman" w:eastAsia="Times New Roman" w:hAnsi="Times New Roman" w:cs="Times New Roman"/>
          <w:sz w:val="24"/>
          <w:szCs w:val="24"/>
        </w:rPr>
        <w:t xml:space="preserve">a </w:t>
      </w:r>
      <w:r w:rsidRPr="001977EB">
        <w:rPr>
          <w:rFonts w:ascii="Times New Roman" w:eastAsia="Times New Roman" w:hAnsi="Times New Roman" w:cs="Times New Roman"/>
          <w:sz w:val="24"/>
          <w:szCs w:val="24"/>
        </w:rPr>
        <w:t xml:space="preserve">$30 million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advance debt repayment</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for the coal plants.</w:t>
      </w:r>
      <w:r>
        <w:rPr>
          <w:rStyle w:val="FootnoteReference"/>
          <w:rFonts w:ascii="Times New Roman" w:eastAsia="Times New Roman" w:hAnsi="Times New Roman" w:cs="Times New Roman"/>
          <w:sz w:val="24"/>
          <w:szCs w:val="24"/>
        </w:rPr>
        <w:footnoteReference w:id="96"/>
      </w:r>
      <w:r w:rsidRPr="001977EB" w:rsidR="00FC50DF">
        <w:rPr>
          <w:rFonts w:ascii="Times New Roman" w:eastAsia="Times New Roman" w:hAnsi="Times New Roman" w:cs="Times New Roman"/>
          <w:sz w:val="24"/>
          <w:szCs w:val="24"/>
        </w:rPr>
        <w:t xml:space="preserve"> </w:t>
      </w:r>
      <w:r w:rsidRPr="001977EB" w:rsidR="00D62B59">
        <w:rPr>
          <w:rFonts w:ascii="Times New Roman" w:eastAsia="Times New Roman" w:hAnsi="Times New Roman" w:cs="Times New Roman"/>
          <w:sz w:val="24"/>
          <w:szCs w:val="24"/>
        </w:rPr>
        <w:t xml:space="preserve">OVEC billed </w:t>
      </w:r>
      <w:r w:rsidRPr="001977EB">
        <w:rPr>
          <w:rFonts w:ascii="Times New Roman" w:eastAsia="Times New Roman" w:hAnsi="Times New Roman" w:cs="Times New Roman"/>
          <w:sz w:val="24"/>
          <w:szCs w:val="24"/>
        </w:rPr>
        <w:t>a total of $12</w:t>
      </w:r>
      <w:r w:rsidRPr="001977EB" w:rsidR="00216C91">
        <w:rPr>
          <w:rFonts w:ascii="Times New Roman" w:eastAsia="Times New Roman" w:hAnsi="Times New Roman" w:cs="Times New Roman"/>
          <w:sz w:val="24"/>
          <w:szCs w:val="24"/>
        </w:rPr>
        <w:t>0</w:t>
      </w:r>
      <w:r w:rsidRPr="001977EB">
        <w:rPr>
          <w:rFonts w:ascii="Times New Roman" w:eastAsia="Times New Roman" w:hAnsi="Times New Roman" w:cs="Times New Roman"/>
          <w:sz w:val="24"/>
          <w:szCs w:val="24"/>
        </w:rPr>
        <w:t xml:space="preserve"> million in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advance debt repayment</w:t>
      </w:r>
      <w:r w:rsidR="001977EB">
        <w:rPr>
          <w:rFonts w:ascii="Times New Roman" w:eastAsia="Times New Roman" w:hAnsi="Times New Roman" w:cs="Times New Roman"/>
          <w:sz w:val="24"/>
          <w:szCs w:val="24"/>
        </w:rPr>
        <w:t>”</w:t>
      </w:r>
      <w:r w:rsidRPr="001977EB" w:rsidR="00D62B59">
        <w:rPr>
          <w:rFonts w:ascii="Times New Roman" w:eastAsia="Times New Roman" w:hAnsi="Times New Roman" w:cs="Times New Roman"/>
          <w:sz w:val="24"/>
          <w:szCs w:val="24"/>
        </w:rPr>
        <w:t xml:space="preserve"> to date</w:t>
      </w:r>
      <w:r w:rsidRPr="001977EB">
        <w:rPr>
          <w:rFonts w:ascii="Times New Roman" w:eastAsia="Times New Roman" w:hAnsi="Times New Roman" w:cs="Times New Roman"/>
          <w:sz w:val="24"/>
          <w:szCs w:val="24"/>
        </w:rPr>
        <w:t>.</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This directly violates R.C. 4928.148</w:t>
      </w:r>
      <w:r w:rsidRPr="001977EB" w:rsidR="00216C91">
        <w:rPr>
          <w:rFonts w:ascii="Times New Roman" w:eastAsia="Times New Roman" w:hAnsi="Times New Roman" w:cs="Times New Roman"/>
          <w:sz w:val="24"/>
          <w:szCs w:val="24"/>
        </w:rPr>
        <w:t xml:space="preserve"> and R.C. 4928.01(A)(42) and</w:t>
      </w:r>
      <w:r w:rsidRPr="001977EB" w:rsidR="00896853">
        <w:rPr>
          <w:rFonts w:ascii="Times New Roman" w:eastAsia="Times New Roman" w:hAnsi="Times New Roman" w:cs="Times New Roman"/>
          <w:sz w:val="24"/>
          <w:szCs w:val="24"/>
        </w:rPr>
        <w:t xml:space="preserve"> creates intergenerational inequity, where current consumers are burdened by paying for the debt repayment that benefits future consumers. </w:t>
      </w:r>
      <w:r w:rsidRPr="001977EB" w:rsidR="003603C6">
        <w:rPr>
          <w:rFonts w:ascii="Times New Roman" w:eastAsia="Times New Roman" w:hAnsi="Times New Roman" w:cs="Times New Roman"/>
          <w:sz w:val="24"/>
          <w:szCs w:val="24"/>
        </w:rPr>
        <w:t>This creates an imbalance in the distribution of costs and benefits of util</w:t>
      </w:r>
      <w:r w:rsidRPr="001977EB" w:rsidR="00737C65">
        <w:rPr>
          <w:rFonts w:ascii="Times New Roman" w:eastAsia="Times New Roman" w:hAnsi="Times New Roman" w:cs="Times New Roman"/>
          <w:sz w:val="24"/>
          <w:szCs w:val="24"/>
        </w:rPr>
        <w:t>it</w:t>
      </w:r>
      <w:r w:rsidRPr="001977EB" w:rsidR="003603C6">
        <w:rPr>
          <w:rFonts w:ascii="Times New Roman" w:eastAsia="Times New Roman" w:hAnsi="Times New Roman" w:cs="Times New Roman"/>
          <w:sz w:val="24"/>
          <w:szCs w:val="24"/>
        </w:rPr>
        <w:t>y services across different generations of consumers</w:t>
      </w:r>
      <w:r w:rsidRPr="001977EB" w:rsidR="00501D59">
        <w:rPr>
          <w:rFonts w:ascii="Times New Roman" w:eastAsia="Times New Roman" w:hAnsi="Times New Roman" w:cs="Times New Roman"/>
          <w:sz w:val="24"/>
          <w:szCs w:val="24"/>
        </w:rPr>
        <w:t>.</w:t>
      </w:r>
      <w:r w:rsidR="001977EB">
        <w:rPr>
          <w:rFonts w:ascii="Times New Roman" w:eastAsia="Times New Roman" w:hAnsi="Times New Roman" w:cs="Times New Roman"/>
          <w:sz w:val="24"/>
          <w:szCs w:val="24"/>
        </w:rPr>
        <w:t xml:space="preserve"> </w:t>
      </w:r>
      <w:r w:rsidRPr="001977EB" w:rsidR="00501D59">
        <w:rPr>
          <w:rFonts w:ascii="Times New Roman" w:eastAsia="Times New Roman" w:hAnsi="Times New Roman" w:cs="Times New Roman"/>
          <w:sz w:val="24"/>
          <w:szCs w:val="24"/>
        </w:rPr>
        <w:t xml:space="preserve">This violates the regulatory principle of intergenerational equity, which holds that one generation of consumers should not subsidize a </w:t>
      </w:r>
      <w:r w:rsidRPr="001977EB" w:rsidR="00DC1C8C">
        <w:rPr>
          <w:rFonts w:ascii="Times New Roman" w:eastAsia="Times New Roman" w:hAnsi="Times New Roman" w:cs="Times New Roman"/>
          <w:sz w:val="24"/>
          <w:szCs w:val="24"/>
        </w:rPr>
        <w:t>different generation of consumers</w:t>
      </w:r>
      <w:r w:rsidRPr="001977EB" w:rsidR="00501D59">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97"/>
      </w:r>
      <w:r w:rsidRPr="001977EB" w:rsidR="00216C91">
        <w:rPr>
          <w:rFonts w:ascii="Times New Roman" w:eastAsia="Times New Roman" w:hAnsi="Times New Roman" w:cs="Times New Roman"/>
          <w:sz w:val="24"/>
          <w:szCs w:val="24"/>
        </w:rPr>
        <w:t xml:space="preserve"> the</w:t>
      </w:r>
      <w:r w:rsidRPr="001977EB">
        <w:rPr>
          <w:rFonts w:ascii="Times New Roman" w:eastAsia="Times New Roman" w:hAnsi="Times New Roman" w:cs="Times New Roman"/>
          <w:sz w:val="24"/>
          <w:szCs w:val="24"/>
        </w:rPr>
        <w:t>.</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 xml:space="preserve">The PUCO should therefore disallow the </w:t>
      </w:r>
      <w:r w:rsidRPr="001977EB" w:rsidR="00D62B59">
        <w:rPr>
          <w:rFonts w:ascii="Times New Roman" w:eastAsia="Times New Roman" w:hAnsi="Times New Roman" w:cs="Times New Roman"/>
          <w:sz w:val="24"/>
          <w:szCs w:val="24"/>
        </w:rPr>
        <w:t>utilities</w:t>
      </w:r>
      <w:r w:rsidR="001977EB">
        <w:rPr>
          <w:rFonts w:ascii="Times New Roman" w:eastAsia="Times New Roman" w:hAnsi="Times New Roman" w:cs="Times New Roman"/>
          <w:sz w:val="24"/>
          <w:szCs w:val="24"/>
        </w:rPr>
        <w:t>’</w:t>
      </w:r>
      <w:r w:rsidRPr="001977EB" w:rsidR="00D62B59">
        <w:rPr>
          <w:rFonts w:ascii="Times New Roman" w:eastAsia="Times New Roman" w:hAnsi="Times New Roman" w:cs="Times New Roman"/>
          <w:sz w:val="24"/>
          <w:szCs w:val="24"/>
        </w:rPr>
        <w:t xml:space="preserve"> share of the </w:t>
      </w:r>
      <w:r w:rsidRPr="001977EB">
        <w:rPr>
          <w:rFonts w:ascii="Times New Roman" w:eastAsia="Times New Roman" w:hAnsi="Times New Roman" w:cs="Times New Roman"/>
          <w:sz w:val="24"/>
          <w:szCs w:val="24"/>
        </w:rPr>
        <w:t>$30 million collected during 2020.</w:t>
      </w:r>
      <w:r w:rsidRPr="001977EB" w:rsidR="00FC50DF">
        <w:rPr>
          <w:rFonts w:ascii="Times New Roman" w:eastAsia="Times New Roman" w:hAnsi="Times New Roman" w:cs="Times New Roman"/>
          <w:sz w:val="24"/>
          <w:szCs w:val="24"/>
        </w:rPr>
        <w:t xml:space="preserve"> </w:t>
      </w:r>
      <w:r w:rsidRPr="001977EB">
        <w:rPr>
          <w:rFonts w:ascii="Times New Roman" w:eastAsia="Times New Roman" w:hAnsi="Times New Roman" w:cs="Times New Roman"/>
          <w:sz w:val="24"/>
          <w:szCs w:val="24"/>
        </w:rPr>
        <w:t>The PUCO should also require the utilities to credit consumers for the utilities</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share of the $12</w:t>
      </w:r>
      <w:r w:rsidRPr="001977EB" w:rsidR="00EC33CB">
        <w:rPr>
          <w:rFonts w:ascii="Times New Roman" w:eastAsia="Times New Roman" w:hAnsi="Times New Roman" w:cs="Times New Roman"/>
          <w:sz w:val="24"/>
          <w:szCs w:val="24"/>
        </w:rPr>
        <w:t>0</w:t>
      </w:r>
      <w:r w:rsidRPr="001977EB">
        <w:rPr>
          <w:rFonts w:ascii="Times New Roman" w:eastAsia="Times New Roman" w:hAnsi="Times New Roman" w:cs="Times New Roman"/>
          <w:sz w:val="24"/>
          <w:szCs w:val="24"/>
        </w:rPr>
        <w:t xml:space="preserve"> million in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advance debt repayment</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collected to date.</w:t>
      </w:r>
    </w:p>
    <w:p w:rsidR="006C3372" w:rsidRPr="001977EB" w:rsidP="006C3372" w14:paraId="6F32E812"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 xml:space="preserve">As noted above in </w:t>
      </w:r>
      <w:r w:rsidRPr="00E139D8">
        <w:rPr>
          <w:rFonts w:ascii="Times New Roman" w:hAnsi="Times New Roman" w:cs="Times New Roman"/>
          <w:sz w:val="24"/>
          <w:szCs w:val="24"/>
        </w:rPr>
        <w:t>Section II</w:t>
      </w:r>
      <w:r w:rsidR="00D44FFB">
        <w:rPr>
          <w:rFonts w:ascii="Times New Roman" w:hAnsi="Times New Roman" w:cs="Times New Roman"/>
          <w:sz w:val="24"/>
          <w:szCs w:val="24"/>
        </w:rPr>
        <w:t>I</w:t>
      </w:r>
      <w:r w:rsidRPr="00E139D8">
        <w:rPr>
          <w:rFonts w:ascii="Times New Roman" w:hAnsi="Times New Roman" w:cs="Times New Roman"/>
          <w:sz w:val="24"/>
          <w:szCs w:val="24"/>
        </w:rPr>
        <w:t>(G),</w:t>
      </w:r>
      <w:r w:rsidRPr="001977EB">
        <w:rPr>
          <w:rFonts w:ascii="Times New Roman" w:hAnsi="Times New Roman" w:cs="Times New Roman"/>
          <w:b/>
          <w:bCs/>
          <w:sz w:val="24"/>
          <w:szCs w:val="24"/>
        </w:rPr>
        <w:t xml:space="preserve"> </w:t>
      </w:r>
      <w:r w:rsidRPr="001977EB">
        <w:rPr>
          <w:rFonts w:ascii="Times New Roman" w:hAnsi="Times New Roman" w:cs="Times New Roman"/>
          <w:sz w:val="24"/>
          <w:szCs w:val="24"/>
        </w:rPr>
        <w:t xml:space="preserve">R.C. 4928.148(A) provides that a utility can only collect </w:t>
      </w:r>
      <w:r w:rsidR="001977EB">
        <w:rPr>
          <w:rFonts w:ascii="Times New Roman" w:hAnsi="Times New Roman" w:cs="Times New Roman"/>
          <w:sz w:val="24"/>
          <w:szCs w:val="24"/>
        </w:rPr>
        <w:t>“</w:t>
      </w:r>
      <w:r w:rsidRPr="001977EB">
        <w:rPr>
          <w:rFonts w:ascii="Times New Roman" w:hAnsi="Times New Roman" w:cs="Times New Roman"/>
          <w:sz w:val="24"/>
          <w:szCs w:val="24"/>
        </w:rPr>
        <w:t>prudently incurred costs related to a legacy generation resource.</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98"/>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The term </w:t>
      </w:r>
      <w:r w:rsidR="001977EB">
        <w:rPr>
          <w:rFonts w:ascii="Times New Roman" w:hAnsi="Times New Roman" w:cs="Times New Roman"/>
          <w:sz w:val="24"/>
          <w:szCs w:val="24"/>
        </w:rPr>
        <w:t>“</w:t>
      </w:r>
      <w:r w:rsidRPr="001977EB">
        <w:rPr>
          <w:rFonts w:ascii="Times New Roman" w:hAnsi="Times New Roman" w:cs="Times New Roman"/>
          <w:sz w:val="24"/>
          <w:szCs w:val="24"/>
        </w:rPr>
        <w:t>prudently incurred costs related to a legacy generation resource</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is defined by R.C. 4928.01(A)(42), which states that </w:t>
      </w:r>
      <w:r w:rsidRPr="001977EB" w:rsidR="003D3C78">
        <w:rPr>
          <w:rFonts w:ascii="Times New Roman" w:hAnsi="Times New Roman" w:cs="Times New Roman"/>
          <w:sz w:val="24"/>
          <w:szCs w:val="24"/>
        </w:rPr>
        <w:t>such</w:t>
      </w:r>
      <w:r w:rsidRPr="001977EB">
        <w:rPr>
          <w:rFonts w:ascii="Times New Roman" w:hAnsi="Times New Roman" w:cs="Times New Roman"/>
          <w:sz w:val="24"/>
          <w:szCs w:val="24"/>
        </w:rPr>
        <w:t xml:space="preserve"> costs shall </w:t>
      </w:r>
      <w:r w:rsidRPr="001977EB" w:rsidR="003D3C78">
        <w:rPr>
          <w:rFonts w:ascii="Times New Roman" w:hAnsi="Times New Roman" w:cs="Times New Roman"/>
          <w:sz w:val="24"/>
          <w:szCs w:val="24"/>
        </w:rPr>
        <w:t xml:space="preserve">include </w:t>
      </w:r>
      <w:r w:rsidR="001977EB">
        <w:rPr>
          <w:rFonts w:ascii="Times New Roman" w:hAnsi="Times New Roman" w:cs="Times New Roman"/>
          <w:sz w:val="24"/>
          <w:szCs w:val="24"/>
        </w:rPr>
        <w:t>“</w:t>
      </w:r>
      <w:r w:rsidRPr="001977EB" w:rsidR="003D3C78">
        <w:rPr>
          <w:rFonts w:ascii="Times New Roman" w:hAnsi="Times New Roman" w:cs="Times New Roman"/>
          <w:sz w:val="24"/>
          <w:szCs w:val="24"/>
        </w:rPr>
        <w:t>costs, including deferred costs, allocated pursuant to a power agreement approved by the federal energy regulatory commission that relates to a legacy generation resource….</w:t>
      </w:r>
      <w:r w:rsidR="001977EB">
        <w:rPr>
          <w:rFonts w:ascii="Times New Roman" w:hAnsi="Times New Roman" w:cs="Times New Roman"/>
          <w:sz w:val="24"/>
          <w:szCs w:val="24"/>
        </w:rPr>
        <w:t>”</w:t>
      </w:r>
      <w:r w:rsidRPr="001977EB" w:rsidR="00FC50DF">
        <w:rPr>
          <w:rFonts w:ascii="Times New Roman" w:hAnsi="Times New Roman" w:cs="Times New Roman"/>
          <w:sz w:val="24"/>
          <w:szCs w:val="24"/>
        </w:rPr>
        <w:t xml:space="preserve"> </w:t>
      </w:r>
      <w:r w:rsidRPr="001977EB" w:rsidR="003D3C78">
        <w:rPr>
          <w:rFonts w:ascii="Times New Roman" w:hAnsi="Times New Roman" w:cs="Times New Roman"/>
          <w:sz w:val="24"/>
          <w:szCs w:val="24"/>
        </w:rPr>
        <w:t>The statute further provides that in the event of a premature retirement of a legacy generation resource, [such costs] shall exclude any recovery of remaining debt.</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99"/>
      </w:r>
      <w:r w:rsidRPr="001977EB" w:rsidR="00FC50DF">
        <w:rPr>
          <w:rFonts w:ascii="Times New Roman" w:hAnsi="Times New Roman" w:cs="Times New Roman"/>
          <w:sz w:val="24"/>
          <w:szCs w:val="24"/>
        </w:rPr>
        <w:t xml:space="preserve"> </w:t>
      </w:r>
      <w:r w:rsidRPr="001977EB" w:rsidR="001C0151">
        <w:rPr>
          <w:rFonts w:ascii="Times New Roman" w:hAnsi="Times New Roman" w:cs="Times New Roman"/>
          <w:sz w:val="24"/>
          <w:szCs w:val="24"/>
        </w:rPr>
        <w:t xml:space="preserve">The </w:t>
      </w:r>
      <w:r w:rsidR="001977EB">
        <w:rPr>
          <w:rFonts w:ascii="Times New Roman" w:hAnsi="Times New Roman" w:cs="Times New Roman"/>
          <w:sz w:val="24"/>
          <w:szCs w:val="24"/>
        </w:rPr>
        <w:t>“</w:t>
      </w:r>
      <w:r w:rsidRPr="001977EB" w:rsidR="001C0151">
        <w:rPr>
          <w:rFonts w:ascii="Times New Roman" w:hAnsi="Times New Roman" w:cs="Times New Roman"/>
          <w:sz w:val="24"/>
          <w:szCs w:val="24"/>
        </w:rPr>
        <w:t>advance debt repayment</w:t>
      </w:r>
      <w:r w:rsidR="001977EB">
        <w:rPr>
          <w:rFonts w:ascii="Times New Roman" w:hAnsi="Times New Roman" w:cs="Times New Roman"/>
          <w:sz w:val="24"/>
          <w:szCs w:val="24"/>
        </w:rPr>
        <w:t>”</w:t>
      </w:r>
      <w:r w:rsidRPr="001977EB" w:rsidR="001C0151">
        <w:rPr>
          <w:rFonts w:ascii="Times New Roman" w:hAnsi="Times New Roman" w:cs="Times New Roman"/>
          <w:sz w:val="24"/>
          <w:szCs w:val="24"/>
        </w:rPr>
        <w:t xml:space="preserve"> should be disallowed for t</w:t>
      </w:r>
      <w:r w:rsidRPr="001977EB" w:rsidR="00DB39B7">
        <w:rPr>
          <w:rFonts w:ascii="Times New Roman" w:hAnsi="Times New Roman" w:cs="Times New Roman"/>
          <w:sz w:val="24"/>
          <w:szCs w:val="24"/>
        </w:rPr>
        <w:t>hree</w:t>
      </w:r>
      <w:r w:rsidRPr="001977EB" w:rsidR="001C0151">
        <w:rPr>
          <w:rFonts w:ascii="Times New Roman" w:hAnsi="Times New Roman" w:cs="Times New Roman"/>
          <w:sz w:val="24"/>
          <w:szCs w:val="24"/>
        </w:rPr>
        <w:t xml:space="preserve"> independent reasons: (1) it is not a </w:t>
      </w:r>
      <w:r w:rsidR="001977EB">
        <w:rPr>
          <w:rFonts w:ascii="Times New Roman" w:hAnsi="Times New Roman" w:cs="Times New Roman"/>
          <w:sz w:val="24"/>
          <w:szCs w:val="24"/>
        </w:rPr>
        <w:t>“</w:t>
      </w:r>
      <w:r w:rsidRPr="001977EB" w:rsidR="001C0151">
        <w:rPr>
          <w:rFonts w:ascii="Times New Roman" w:hAnsi="Times New Roman" w:cs="Times New Roman"/>
          <w:sz w:val="24"/>
          <w:szCs w:val="24"/>
        </w:rPr>
        <w:t>cost</w:t>
      </w:r>
      <w:r w:rsidR="001977EB">
        <w:rPr>
          <w:rFonts w:ascii="Times New Roman" w:hAnsi="Times New Roman" w:cs="Times New Roman"/>
          <w:sz w:val="24"/>
          <w:szCs w:val="24"/>
        </w:rPr>
        <w:t>”</w:t>
      </w:r>
      <w:r w:rsidRPr="001977EB" w:rsidR="001C0151">
        <w:rPr>
          <w:rFonts w:ascii="Times New Roman" w:hAnsi="Times New Roman" w:cs="Times New Roman"/>
          <w:sz w:val="24"/>
          <w:szCs w:val="24"/>
        </w:rPr>
        <w:t xml:space="preserve"> as defined above; (2) it could be used improperly to repay debt in the event of an early retirement</w:t>
      </w:r>
      <w:r w:rsidRPr="001977EB" w:rsidR="00DB39B7">
        <w:rPr>
          <w:rFonts w:ascii="Times New Roman" w:hAnsi="Times New Roman" w:cs="Times New Roman"/>
          <w:sz w:val="24"/>
          <w:szCs w:val="24"/>
        </w:rPr>
        <w:t xml:space="preserve">; and (3) it violates the </w:t>
      </w:r>
      <w:r w:rsidRPr="001977EB" w:rsidR="00216C91">
        <w:rPr>
          <w:rFonts w:ascii="Times New Roman" w:hAnsi="Times New Roman" w:cs="Times New Roman"/>
          <w:sz w:val="24"/>
          <w:szCs w:val="24"/>
        </w:rPr>
        <w:t xml:space="preserve">regulatory </w:t>
      </w:r>
      <w:r w:rsidRPr="001977EB" w:rsidR="00DB39B7">
        <w:rPr>
          <w:rFonts w:ascii="Times New Roman" w:hAnsi="Times New Roman" w:cs="Times New Roman"/>
          <w:sz w:val="24"/>
          <w:szCs w:val="24"/>
        </w:rPr>
        <w:t>principle of intergenerational equity.</w:t>
      </w:r>
    </w:p>
    <w:p w:rsidR="001C0151" w:rsidRPr="001977EB" w:rsidP="006C3372" w14:paraId="0EFDE3BE"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 xml:space="preserve">Regarding the first reason for disallowance, additional guidance on </w:t>
      </w:r>
      <w:r w:rsidR="001977EB">
        <w:rPr>
          <w:rFonts w:ascii="Times New Roman" w:hAnsi="Times New Roman" w:cs="Times New Roman"/>
          <w:sz w:val="24"/>
          <w:szCs w:val="24"/>
        </w:rPr>
        <w:t>“</w:t>
      </w:r>
      <w:r w:rsidRPr="001977EB">
        <w:rPr>
          <w:rFonts w:ascii="Times New Roman" w:hAnsi="Times New Roman" w:cs="Times New Roman"/>
          <w:sz w:val="24"/>
          <w:szCs w:val="24"/>
        </w:rPr>
        <w:t>costs</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can be found in R.C. 4909.15.</w:t>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This statute requires the PUCO to set a utility</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s rates </w:t>
      </w:r>
      <w:r w:rsidRPr="001977EB" w:rsidR="00216C91">
        <w:rPr>
          <w:rFonts w:ascii="Times New Roman" w:hAnsi="Times New Roman" w:cs="Times New Roman"/>
          <w:sz w:val="24"/>
          <w:szCs w:val="24"/>
        </w:rPr>
        <w:t xml:space="preserve">based </w:t>
      </w:r>
      <w:r w:rsidRPr="001977EB">
        <w:rPr>
          <w:rFonts w:ascii="Times New Roman" w:hAnsi="Times New Roman" w:cs="Times New Roman"/>
          <w:sz w:val="24"/>
          <w:szCs w:val="24"/>
        </w:rPr>
        <w:t xml:space="preserve">on several factors including </w:t>
      </w:r>
      <w:r w:rsidR="001977EB">
        <w:rPr>
          <w:rFonts w:ascii="Times New Roman" w:hAnsi="Times New Roman" w:cs="Times New Roman"/>
          <w:sz w:val="24"/>
          <w:szCs w:val="24"/>
        </w:rPr>
        <w:t>“</w:t>
      </w:r>
      <w:r w:rsidRPr="001977EB">
        <w:rPr>
          <w:rFonts w:ascii="Times New Roman" w:hAnsi="Times New Roman" w:cs="Times New Roman"/>
          <w:sz w:val="24"/>
          <w:szCs w:val="24"/>
        </w:rPr>
        <w:t>[t]he cost to the utility of rendering the public utility service for the test period.</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100"/>
      </w:r>
      <w:r w:rsidRPr="001977EB">
        <w:rPr>
          <w:rFonts w:ascii="Times New Roman" w:hAnsi="Times New Roman" w:cs="Times New Roman"/>
          <w:sz w:val="24"/>
          <w:szCs w:val="24"/>
        </w:rPr>
        <w:t xml:space="preserve"> The statute further states that </w:t>
      </w:r>
      <w:r w:rsidR="001977EB">
        <w:rPr>
          <w:rFonts w:ascii="Times New Roman" w:hAnsi="Times New Roman" w:cs="Times New Roman"/>
          <w:sz w:val="24"/>
          <w:szCs w:val="24"/>
        </w:rPr>
        <w:t>“</w:t>
      </w:r>
      <w:r w:rsidRPr="001977EB">
        <w:rPr>
          <w:rFonts w:ascii="Times New Roman" w:hAnsi="Times New Roman" w:cs="Times New Roman"/>
          <w:sz w:val="24"/>
          <w:szCs w:val="24"/>
        </w:rPr>
        <w:t>the revenues and expenses of the utility shall be determined during a test period</w:t>
      </w:r>
      <w:r w:rsidRPr="001977EB" w:rsidR="00AB30BC">
        <w:rPr>
          <w:rFonts w:ascii="Times New Roman" w:hAnsi="Times New Roman" w:cs="Times New Roman"/>
          <w:sz w:val="24"/>
          <w:szCs w:val="24"/>
        </w:rPr>
        <w:t>,</w:t>
      </w:r>
      <w:r w:rsidR="001977EB">
        <w:rPr>
          <w:rFonts w:ascii="Times New Roman" w:hAnsi="Times New Roman" w:cs="Times New Roman"/>
          <w:sz w:val="24"/>
          <w:szCs w:val="24"/>
        </w:rPr>
        <w:t>”</w:t>
      </w:r>
      <w:r w:rsidRPr="001977EB" w:rsidR="00AB30BC">
        <w:rPr>
          <w:rFonts w:ascii="Times New Roman" w:hAnsi="Times New Roman" w:cs="Times New Roman"/>
          <w:sz w:val="24"/>
          <w:szCs w:val="24"/>
        </w:rPr>
        <w:t xml:space="preserve"> which is defined as a twelve-month period.</w:t>
      </w:r>
      <w:r>
        <w:rPr>
          <w:rStyle w:val="FootnoteReference"/>
          <w:rFonts w:ascii="Times New Roman" w:hAnsi="Times New Roman" w:cs="Times New Roman"/>
          <w:sz w:val="24"/>
          <w:szCs w:val="24"/>
        </w:rPr>
        <w:footnoteReference w:id="101"/>
      </w:r>
      <w:r w:rsidRPr="001977EB" w:rsidR="00FC50DF">
        <w:rPr>
          <w:rFonts w:ascii="Times New Roman" w:hAnsi="Times New Roman" w:cs="Times New Roman"/>
          <w:sz w:val="24"/>
          <w:szCs w:val="24"/>
        </w:rPr>
        <w:t xml:space="preserve"> </w:t>
      </w:r>
      <w:r w:rsidRPr="001977EB" w:rsidR="00AB30BC">
        <w:rPr>
          <w:rFonts w:ascii="Times New Roman" w:hAnsi="Times New Roman" w:cs="Times New Roman"/>
          <w:sz w:val="24"/>
          <w:szCs w:val="24"/>
        </w:rPr>
        <w:t xml:space="preserve">Using this guidance, the </w:t>
      </w:r>
      <w:r w:rsidR="001977EB">
        <w:rPr>
          <w:rFonts w:ascii="Times New Roman" w:hAnsi="Times New Roman" w:cs="Times New Roman"/>
          <w:sz w:val="24"/>
          <w:szCs w:val="24"/>
        </w:rPr>
        <w:t>“</w:t>
      </w:r>
      <w:r w:rsidRPr="001977EB" w:rsidR="00AB30BC">
        <w:rPr>
          <w:rFonts w:ascii="Times New Roman" w:hAnsi="Times New Roman" w:cs="Times New Roman"/>
          <w:sz w:val="24"/>
          <w:szCs w:val="24"/>
        </w:rPr>
        <w:t>costs</w:t>
      </w:r>
      <w:r w:rsidR="001977EB">
        <w:rPr>
          <w:rFonts w:ascii="Times New Roman" w:hAnsi="Times New Roman" w:cs="Times New Roman"/>
          <w:sz w:val="24"/>
          <w:szCs w:val="24"/>
        </w:rPr>
        <w:t>”</w:t>
      </w:r>
      <w:r w:rsidRPr="001977EB" w:rsidR="00AB30BC">
        <w:rPr>
          <w:rFonts w:ascii="Times New Roman" w:hAnsi="Times New Roman" w:cs="Times New Roman"/>
          <w:sz w:val="24"/>
          <w:szCs w:val="24"/>
        </w:rPr>
        <w:t xml:space="preserve"> which can be collected under R.C. 4928.148 and R.C. 4928.01(A)(42) should be viewed as </w:t>
      </w:r>
      <w:r w:rsidRPr="001977EB" w:rsidR="00B91104">
        <w:rPr>
          <w:rFonts w:ascii="Times New Roman" w:hAnsi="Times New Roman" w:cs="Times New Roman"/>
          <w:sz w:val="24"/>
          <w:szCs w:val="24"/>
        </w:rPr>
        <w:t xml:space="preserve">those incurred </w:t>
      </w:r>
      <w:r w:rsidRPr="001977EB" w:rsidR="00AB30BC">
        <w:rPr>
          <w:rFonts w:ascii="Times New Roman" w:hAnsi="Times New Roman" w:cs="Times New Roman"/>
          <w:sz w:val="24"/>
          <w:szCs w:val="24"/>
        </w:rPr>
        <w:t>during the twelve months of 2020.</w:t>
      </w:r>
      <w:r w:rsidRPr="001977EB" w:rsidR="00FC50DF">
        <w:rPr>
          <w:rFonts w:ascii="Times New Roman" w:hAnsi="Times New Roman" w:cs="Times New Roman"/>
          <w:sz w:val="24"/>
          <w:szCs w:val="24"/>
        </w:rPr>
        <w:t xml:space="preserve"> </w:t>
      </w:r>
      <w:r w:rsidRPr="001977EB" w:rsidR="00AB30BC">
        <w:rPr>
          <w:rFonts w:ascii="Times New Roman" w:hAnsi="Times New Roman" w:cs="Times New Roman"/>
          <w:sz w:val="24"/>
          <w:szCs w:val="24"/>
        </w:rPr>
        <w:t xml:space="preserve">The </w:t>
      </w:r>
      <w:r w:rsidR="001977EB">
        <w:rPr>
          <w:rFonts w:ascii="Times New Roman" w:hAnsi="Times New Roman" w:cs="Times New Roman"/>
          <w:sz w:val="24"/>
          <w:szCs w:val="24"/>
        </w:rPr>
        <w:t>“</w:t>
      </w:r>
      <w:r w:rsidRPr="001977EB" w:rsidR="00AB30BC">
        <w:rPr>
          <w:rFonts w:ascii="Times New Roman" w:hAnsi="Times New Roman" w:cs="Times New Roman"/>
          <w:sz w:val="24"/>
          <w:szCs w:val="24"/>
        </w:rPr>
        <w:t>advance debt repayment</w:t>
      </w:r>
      <w:r w:rsidR="001977EB">
        <w:rPr>
          <w:rFonts w:ascii="Times New Roman" w:hAnsi="Times New Roman" w:cs="Times New Roman"/>
          <w:sz w:val="24"/>
          <w:szCs w:val="24"/>
        </w:rPr>
        <w:t>”</w:t>
      </w:r>
      <w:r w:rsidRPr="001977EB" w:rsidR="00AB30BC">
        <w:rPr>
          <w:rFonts w:ascii="Times New Roman" w:hAnsi="Times New Roman" w:cs="Times New Roman"/>
          <w:sz w:val="24"/>
          <w:szCs w:val="24"/>
        </w:rPr>
        <w:t xml:space="preserve"> does not meet this test and so should be </w:t>
      </w:r>
      <w:r w:rsidRPr="001977EB" w:rsidR="00B25BE7">
        <w:rPr>
          <w:rFonts w:ascii="Times New Roman" w:hAnsi="Times New Roman" w:cs="Times New Roman"/>
          <w:sz w:val="24"/>
          <w:szCs w:val="24"/>
        </w:rPr>
        <w:t>disallowed.</w:t>
      </w:r>
    </w:p>
    <w:p w:rsidR="00367016" w:rsidRPr="001977EB" w:rsidP="006C3372" w14:paraId="3D16A466"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 xml:space="preserve">The </w:t>
      </w:r>
      <w:r w:rsidR="001977EB">
        <w:rPr>
          <w:rFonts w:ascii="Times New Roman" w:hAnsi="Times New Roman" w:cs="Times New Roman"/>
          <w:sz w:val="24"/>
          <w:szCs w:val="24"/>
        </w:rPr>
        <w:t>“</w:t>
      </w:r>
      <w:r w:rsidRPr="001977EB">
        <w:rPr>
          <w:rFonts w:ascii="Times New Roman" w:hAnsi="Times New Roman" w:cs="Times New Roman"/>
          <w:sz w:val="24"/>
          <w:szCs w:val="24"/>
        </w:rPr>
        <w:t>advance debt repayment</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is explained in OVEC</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s </w:t>
      </w:r>
      <w:r w:rsidRPr="001977EB" w:rsidR="00EC33CB">
        <w:rPr>
          <w:rFonts w:ascii="Times New Roman" w:hAnsi="Times New Roman" w:cs="Times New Roman"/>
          <w:sz w:val="24"/>
          <w:szCs w:val="24"/>
        </w:rPr>
        <w:t xml:space="preserve">2020 </w:t>
      </w:r>
      <w:r w:rsidRPr="001977EB">
        <w:rPr>
          <w:rFonts w:ascii="Times New Roman" w:hAnsi="Times New Roman" w:cs="Times New Roman"/>
          <w:sz w:val="24"/>
          <w:szCs w:val="24"/>
        </w:rPr>
        <w:t>Annual Report as follows:</w:t>
      </w:r>
    </w:p>
    <w:p w:rsidR="00367016" w:rsidRPr="001977EB" w:rsidP="00367016" w14:paraId="28ADB59F" w14:textId="77777777">
      <w:pPr>
        <w:spacing w:line="240" w:lineRule="auto"/>
        <w:ind w:left="1440" w:right="1440"/>
        <w:rPr>
          <w:rFonts w:ascii="Times New Roman" w:hAnsi="Times New Roman" w:cs="Times New Roman"/>
          <w:sz w:val="24"/>
          <w:szCs w:val="24"/>
        </w:rPr>
      </w:pPr>
      <w:r w:rsidRPr="001977EB">
        <w:rPr>
          <w:rFonts w:ascii="Times New Roman" w:hAnsi="Times New Roman" w:cs="Times New Roman"/>
          <w:sz w:val="24"/>
          <w:szCs w:val="24"/>
        </w:rPr>
        <w:t xml:space="preserve">In January 2017, the Companies started advance billing the Sponsoring Companies for debt service as allowed under the ICPA. As of December 31, 2020 and 2019, $120 million and $90 million, respectively, had been advance billed to the Sponsoring Companies. </w:t>
      </w:r>
      <w:r w:rsidRPr="001977EB">
        <w:rPr>
          <w:rFonts w:ascii="Times New Roman" w:hAnsi="Times New Roman" w:cs="Times New Roman"/>
          <w:i/>
          <w:iCs/>
          <w:sz w:val="24"/>
          <w:szCs w:val="24"/>
        </w:rPr>
        <w:t>As the Companies have not yet incurred the related costs</w:t>
      </w:r>
      <w:r w:rsidRPr="001977EB">
        <w:rPr>
          <w:rFonts w:ascii="Times New Roman" w:hAnsi="Times New Roman" w:cs="Times New Roman"/>
          <w:sz w:val="24"/>
          <w:szCs w:val="24"/>
        </w:rPr>
        <w:t>, a regulatory liability was recorded which will be credited to customer bills on a long-term basis.</w:t>
      </w:r>
      <w:r>
        <w:rPr>
          <w:rStyle w:val="FootnoteReference"/>
          <w:rFonts w:ascii="Times New Roman" w:hAnsi="Times New Roman" w:cs="Times New Roman"/>
          <w:sz w:val="24"/>
          <w:szCs w:val="24"/>
        </w:rPr>
        <w:footnoteReference w:id="102"/>
      </w:r>
    </w:p>
    <w:p w:rsidR="00EC33CB" w:rsidRPr="001977EB" w:rsidP="00EC33CB" w14:paraId="2B1D6310" w14:textId="77777777">
      <w:pPr>
        <w:spacing w:line="240" w:lineRule="auto"/>
        <w:ind w:right="1440"/>
        <w:rPr>
          <w:rFonts w:ascii="Times New Roman" w:hAnsi="Times New Roman" w:cs="Times New Roman"/>
          <w:sz w:val="24"/>
          <w:szCs w:val="24"/>
        </w:rPr>
      </w:pPr>
    </w:p>
    <w:p w:rsidR="00216C91" w:rsidRPr="001977EB" w:rsidP="00EC33CB" w14:paraId="216E2F89" w14:textId="77777777">
      <w:pPr>
        <w:spacing w:line="480" w:lineRule="auto"/>
        <w:rPr>
          <w:rFonts w:ascii="Times New Roman" w:hAnsi="Times New Roman" w:cs="Times New Roman"/>
          <w:sz w:val="24"/>
          <w:szCs w:val="24"/>
        </w:rPr>
      </w:pPr>
      <w:r w:rsidRPr="001977EB">
        <w:rPr>
          <w:rFonts w:ascii="Times New Roman" w:hAnsi="Times New Roman" w:cs="Times New Roman"/>
          <w:sz w:val="24"/>
          <w:szCs w:val="24"/>
        </w:rPr>
        <w:tab/>
        <w:t xml:space="preserve">The Annual Report also establishes that $30 million in </w:t>
      </w:r>
      <w:r w:rsidR="001977EB">
        <w:rPr>
          <w:rFonts w:ascii="Times New Roman" w:hAnsi="Times New Roman" w:cs="Times New Roman"/>
          <w:sz w:val="24"/>
          <w:szCs w:val="24"/>
        </w:rPr>
        <w:t>“</w:t>
      </w:r>
      <w:r w:rsidRPr="001977EB">
        <w:rPr>
          <w:rFonts w:ascii="Times New Roman" w:hAnsi="Times New Roman" w:cs="Times New Roman"/>
          <w:sz w:val="24"/>
          <w:szCs w:val="24"/>
        </w:rPr>
        <w:t>advance debt repayment</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was collected during 2020 (</w:t>
      </w:r>
      <w:r w:rsidRPr="001977EB">
        <w:rPr>
          <w:rFonts w:ascii="Times New Roman" w:hAnsi="Times New Roman" w:cs="Times New Roman"/>
          <w:i/>
          <w:iCs/>
          <w:sz w:val="24"/>
          <w:szCs w:val="24"/>
        </w:rPr>
        <w:t xml:space="preserve">i.e., </w:t>
      </w:r>
      <w:r w:rsidRPr="001977EB">
        <w:rPr>
          <w:rFonts w:ascii="Times New Roman" w:hAnsi="Times New Roman" w:cs="Times New Roman"/>
          <w:sz w:val="24"/>
          <w:szCs w:val="24"/>
        </w:rPr>
        <w:t>the difference in the $120 million advance billed as of December 31, 2020 and the $90 million advance billed as of December 31, 2019).</w:t>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As stated in the Annual Report, OVEC has </w:t>
      </w:r>
      <w:r w:rsidR="001977EB">
        <w:rPr>
          <w:rFonts w:ascii="Times New Roman" w:hAnsi="Times New Roman" w:cs="Times New Roman"/>
          <w:sz w:val="24"/>
          <w:szCs w:val="24"/>
        </w:rPr>
        <w:t>“</w:t>
      </w:r>
      <w:r w:rsidRPr="001977EB">
        <w:rPr>
          <w:rFonts w:ascii="Times New Roman" w:hAnsi="Times New Roman" w:cs="Times New Roman"/>
          <w:sz w:val="24"/>
          <w:szCs w:val="24"/>
        </w:rPr>
        <w:t>not yet incurred the related costs</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for which the </w:t>
      </w:r>
      <w:r w:rsidR="001977EB">
        <w:rPr>
          <w:rFonts w:ascii="Times New Roman" w:hAnsi="Times New Roman" w:cs="Times New Roman"/>
          <w:sz w:val="24"/>
          <w:szCs w:val="24"/>
        </w:rPr>
        <w:t>“</w:t>
      </w:r>
      <w:r w:rsidRPr="001977EB">
        <w:rPr>
          <w:rFonts w:ascii="Times New Roman" w:hAnsi="Times New Roman" w:cs="Times New Roman"/>
          <w:sz w:val="24"/>
          <w:szCs w:val="24"/>
        </w:rPr>
        <w:t>advanced debt repayment</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was collected.</w:t>
      </w:r>
      <w:r w:rsidRPr="001977EB" w:rsidR="00FC50DF">
        <w:rPr>
          <w:rFonts w:ascii="Times New Roman" w:hAnsi="Times New Roman" w:cs="Times New Roman"/>
          <w:sz w:val="24"/>
          <w:szCs w:val="24"/>
        </w:rPr>
        <w:t xml:space="preserve"> </w:t>
      </w:r>
    </w:p>
    <w:p w:rsidR="00EC33CB" w:rsidRPr="001977EB" w:rsidP="00216C91" w14:paraId="1B2262A1"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 xml:space="preserve">AEP, Duke and DP&amp;L should not have collected their share of the $30 million during 2020 because it was collected to pay </w:t>
      </w:r>
      <w:r w:rsidRPr="001977EB">
        <w:rPr>
          <w:rFonts w:ascii="Times New Roman" w:hAnsi="Times New Roman" w:cs="Times New Roman"/>
          <w:i/>
          <w:iCs/>
          <w:sz w:val="24"/>
          <w:szCs w:val="24"/>
        </w:rPr>
        <w:t>future</w:t>
      </w:r>
      <w:r w:rsidRPr="001977EB">
        <w:rPr>
          <w:rFonts w:ascii="Times New Roman" w:hAnsi="Times New Roman" w:cs="Times New Roman"/>
          <w:sz w:val="24"/>
          <w:szCs w:val="24"/>
        </w:rPr>
        <w:t xml:space="preserve"> costs.</w:t>
      </w:r>
      <w:r w:rsidRPr="001977EB" w:rsidR="00FC50DF">
        <w:rPr>
          <w:rFonts w:ascii="Times New Roman" w:hAnsi="Times New Roman" w:cs="Times New Roman"/>
          <w:sz w:val="24"/>
          <w:szCs w:val="24"/>
        </w:rPr>
        <w:t xml:space="preserve"> </w:t>
      </w:r>
      <w:r w:rsidRPr="001977EB" w:rsidR="00216C91">
        <w:rPr>
          <w:rFonts w:ascii="Times New Roman" w:hAnsi="Times New Roman" w:cs="Times New Roman"/>
          <w:sz w:val="24"/>
          <w:szCs w:val="24"/>
        </w:rPr>
        <w:t>AEP, Duke and DP&amp;L are not allowed to collect future debt costs when they file a rate case.</w:t>
      </w:r>
      <w:r w:rsidRPr="001977EB" w:rsidR="00FC50DF">
        <w:rPr>
          <w:rFonts w:ascii="Times New Roman" w:hAnsi="Times New Roman" w:cs="Times New Roman"/>
          <w:sz w:val="24"/>
          <w:szCs w:val="24"/>
        </w:rPr>
        <w:t xml:space="preserve"> </w:t>
      </w:r>
      <w:r w:rsidRPr="001977EB" w:rsidR="00216C91">
        <w:rPr>
          <w:rFonts w:ascii="Times New Roman" w:hAnsi="Times New Roman" w:cs="Times New Roman"/>
          <w:sz w:val="24"/>
          <w:szCs w:val="24"/>
        </w:rPr>
        <w:t>Nor should they be allowed to collect future debt costs on behalf of their affiliate (OVEC).</w:t>
      </w:r>
      <w:r w:rsidRPr="001977EB" w:rsidR="00FC50DF">
        <w:rPr>
          <w:rFonts w:ascii="Times New Roman" w:hAnsi="Times New Roman" w:cs="Times New Roman"/>
          <w:sz w:val="24"/>
          <w:szCs w:val="24"/>
        </w:rPr>
        <w:t xml:space="preserve"> </w:t>
      </w:r>
      <w:r w:rsidRPr="001977EB" w:rsidR="00937803">
        <w:rPr>
          <w:rFonts w:ascii="Times New Roman" w:hAnsi="Times New Roman" w:cs="Times New Roman"/>
          <w:sz w:val="24"/>
          <w:szCs w:val="24"/>
        </w:rPr>
        <w:t>Th</w:t>
      </w:r>
      <w:r w:rsidRPr="001977EB" w:rsidR="00216C91">
        <w:rPr>
          <w:rFonts w:ascii="Times New Roman" w:hAnsi="Times New Roman" w:cs="Times New Roman"/>
          <w:sz w:val="24"/>
          <w:szCs w:val="24"/>
        </w:rPr>
        <w:t>is is the</w:t>
      </w:r>
      <w:r w:rsidRPr="001977EB" w:rsidR="00937803">
        <w:rPr>
          <w:rFonts w:ascii="Times New Roman" w:hAnsi="Times New Roman" w:cs="Times New Roman"/>
          <w:sz w:val="24"/>
          <w:szCs w:val="24"/>
        </w:rPr>
        <w:t xml:space="preserve"> first reason th</w:t>
      </w:r>
      <w:r w:rsidRPr="001977EB" w:rsidR="00216C91">
        <w:rPr>
          <w:rFonts w:ascii="Times New Roman" w:hAnsi="Times New Roman" w:cs="Times New Roman"/>
          <w:sz w:val="24"/>
          <w:szCs w:val="24"/>
        </w:rPr>
        <w:t>ese costs</w:t>
      </w:r>
      <w:r w:rsidRPr="001977EB" w:rsidR="00937803">
        <w:rPr>
          <w:rFonts w:ascii="Times New Roman" w:hAnsi="Times New Roman" w:cs="Times New Roman"/>
          <w:sz w:val="24"/>
          <w:szCs w:val="24"/>
        </w:rPr>
        <w:t xml:space="preserve"> should be disallowed.</w:t>
      </w:r>
      <w:r w:rsidRPr="001977EB" w:rsidR="00FC50DF">
        <w:rPr>
          <w:rFonts w:ascii="Times New Roman" w:hAnsi="Times New Roman" w:cs="Times New Roman"/>
          <w:sz w:val="24"/>
          <w:szCs w:val="24"/>
        </w:rPr>
        <w:t xml:space="preserve"> </w:t>
      </w:r>
      <w:r w:rsidRPr="001977EB" w:rsidR="00937803">
        <w:rPr>
          <w:rFonts w:ascii="Times New Roman" w:hAnsi="Times New Roman" w:cs="Times New Roman"/>
          <w:sz w:val="24"/>
          <w:szCs w:val="24"/>
        </w:rPr>
        <w:t>Future costs fall outside the allowable costs which can be collected under R.C. 4928.148 and R.C. 4928.01(A)(42).</w:t>
      </w:r>
    </w:p>
    <w:p w:rsidR="00937803" w:rsidRPr="001977EB" w:rsidP="00EC33CB" w14:paraId="112E7563" w14:textId="77777777">
      <w:pPr>
        <w:spacing w:line="480" w:lineRule="auto"/>
        <w:rPr>
          <w:rFonts w:ascii="Times New Roman" w:hAnsi="Times New Roman" w:cs="Times New Roman"/>
          <w:sz w:val="24"/>
          <w:szCs w:val="24"/>
        </w:rPr>
      </w:pPr>
      <w:r w:rsidRPr="001977EB">
        <w:rPr>
          <w:rFonts w:ascii="Times New Roman" w:hAnsi="Times New Roman" w:cs="Times New Roman"/>
          <w:sz w:val="24"/>
          <w:szCs w:val="24"/>
        </w:rPr>
        <w:tab/>
        <w:t xml:space="preserve">The amount should be disallowed for a second, and independent, reason – the amount collected could be used improperly to pay down debt in the event of </w:t>
      </w:r>
      <w:r w:rsidRPr="001977EB" w:rsidR="00216C91">
        <w:rPr>
          <w:rFonts w:ascii="Times New Roman" w:hAnsi="Times New Roman" w:cs="Times New Roman"/>
          <w:sz w:val="24"/>
          <w:szCs w:val="24"/>
        </w:rPr>
        <w:t>the coal plants</w:t>
      </w:r>
      <w:r w:rsidR="001977EB">
        <w:rPr>
          <w:rFonts w:ascii="Times New Roman" w:hAnsi="Times New Roman" w:cs="Times New Roman"/>
          <w:sz w:val="24"/>
          <w:szCs w:val="24"/>
        </w:rPr>
        <w:t>’</w:t>
      </w:r>
      <w:r w:rsidRPr="001977EB" w:rsidR="00DB39B7">
        <w:rPr>
          <w:rFonts w:ascii="Times New Roman" w:hAnsi="Times New Roman" w:cs="Times New Roman"/>
          <w:sz w:val="24"/>
          <w:szCs w:val="24"/>
        </w:rPr>
        <w:t xml:space="preserve"> </w:t>
      </w:r>
      <w:r w:rsidRPr="001977EB">
        <w:rPr>
          <w:rFonts w:ascii="Times New Roman" w:hAnsi="Times New Roman" w:cs="Times New Roman"/>
          <w:sz w:val="24"/>
          <w:szCs w:val="24"/>
        </w:rPr>
        <w:t>early retirement.</w:t>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This is expressly prohibited by R.C. 4928.01(A)(42) (</w:t>
      </w:r>
      <w:r w:rsidR="001977EB">
        <w:rPr>
          <w:rFonts w:ascii="Times New Roman" w:hAnsi="Times New Roman" w:cs="Times New Roman"/>
          <w:sz w:val="24"/>
          <w:szCs w:val="24"/>
        </w:rPr>
        <w:t>“</w:t>
      </w:r>
      <w:r w:rsidRPr="001977EB">
        <w:rPr>
          <w:rFonts w:ascii="Times New Roman" w:hAnsi="Times New Roman" w:cs="Times New Roman"/>
          <w:sz w:val="24"/>
          <w:szCs w:val="24"/>
        </w:rPr>
        <w:t>in the event of a premature retirement of a legacy generation resource, [such costs] shall exclude any recovery of remaining debt.</w:t>
      </w:r>
      <w:r w:rsidR="001977EB">
        <w:rPr>
          <w:rFonts w:ascii="Times New Roman" w:hAnsi="Times New Roman" w:cs="Times New Roman"/>
          <w:sz w:val="24"/>
          <w:szCs w:val="24"/>
        </w:rPr>
        <w:t>”</w:t>
      </w:r>
      <w:r>
        <w:rPr>
          <w:rStyle w:val="FootnoteReference"/>
          <w:rFonts w:ascii="Times New Roman" w:hAnsi="Times New Roman" w:cs="Times New Roman"/>
          <w:sz w:val="24"/>
          <w:szCs w:val="24"/>
        </w:rPr>
        <w:footnoteReference w:id="103"/>
      </w:r>
      <w:r w:rsidRPr="001977EB" w:rsidR="00FC50DF">
        <w:rPr>
          <w:rFonts w:ascii="Times New Roman" w:hAnsi="Times New Roman" w:cs="Times New Roman"/>
          <w:sz w:val="24"/>
          <w:szCs w:val="24"/>
        </w:rPr>
        <w:t xml:space="preserve"> </w:t>
      </w:r>
    </w:p>
    <w:p w:rsidR="00937803" w:rsidRPr="001977EB" w:rsidP="00EC33CB" w14:paraId="3E5A0199" w14:textId="77777777">
      <w:pPr>
        <w:spacing w:line="480" w:lineRule="auto"/>
        <w:rPr>
          <w:rFonts w:ascii="Times New Roman" w:hAnsi="Times New Roman" w:cs="Times New Roman"/>
          <w:sz w:val="24"/>
          <w:szCs w:val="24"/>
        </w:rPr>
      </w:pPr>
      <w:r w:rsidRPr="001977EB">
        <w:rPr>
          <w:rFonts w:ascii="Times New Roman" w:hAnsi="Times New Roman" w:cs="Times New Roman"/>
          <w:sz w:val="24"/>
          <w:szCs w:val="24"/>
        </w:rPr>
        <w:tab/>
      </w:r>
      <w:r w:rsidRPr="001977EB" w:rsidR="005264F9">
        <w:rPr>
          <w:rFonts w:ascii="Times New Roman" w:hAnsi="Times New Roman" w:cs="Times New Roman"/>
          <w:sz w:val="24"/>
          <w:szCs w:val="24"/>
        </w:rPr>
        <w:t>The coal plants were built in 1955.</w:t>
      </w:r>
      <w:r>
        <w:rPr>
          <w:rStyle w:val="FootnoteReference"/>
          <w:rFonts w:ascii="Times New Roman" w:hAnsi="Times New Roman" w:cs="Times New Roman"/>
          <w:sz w:val="24"/>
          <w:szCs w:val="24"/>
        </w:rPr>
        <w:footnoteReference w:id="104"/>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 xml:space="preserve">The coal plants are governed by an Inter-Company Power Agreement, which provides for the plants to run through </w:t>
      </w:r>
      <w:r w:rsidRPr="001977EB" w:rsidR="00933F8D">
        <w:rPr>
          <w:rFonts w:ascii="Times New Roman" w:hAnsi="Times New Roman" w:cs="Times New Roman"/>
          <w:sz w:val="24"/>
          <w:szCs w:val="24"/>
        </w:rPr>
        <w:t xml:space="preserve">June 30, </w:t>
      </w:r>
      <w:r w:rsidRPr="001977EB">
        <w:rPr>
          <w:rFonts w:ascii="Times New Roman" w:hAnsi="Times New Roman" w:cs="Times New Roman"/>
          <w:sz w:val="24"/>
          <w:szCs w:val="24"/>
        </w:rPr>
        <w:t>2040.</w:t>
      </w:r>
      <w:r>
        <w:rPr>
          <w:rStyle w:val="FootnoteReference"/>
          <w:rFonts w:ascii="Times New Roman" w:hAnsi="Times New Roman" w:cs="Times New Roman"/>
          <w:sz w:val="24"/>
          <w:szCs w:val="24"/>
        </w:rPr>
        <w:footnoteReference w:id="105"/>
      </w:r>
      <w:r w:rsidRPr="001977EB" w:rsidR="00FC50DF">
        <w:rPr>
          <w:rFonts w:ascii="Times New Roman" w:hAnsi="Times New Roman" w:cs="Times New Roman"/>
          <w:sz w:val="24"/>
          <w:szCs w:val="24"/>
        </w:rPr>
        <w:t xml:space="preserve"> </w:t>
      </w:r>
      <w:r w:rsidRPr="001977EB" w:rsidR="00933F8D">
        <w:rPr>
          <w:rFonts w:ascii="Times New Roman" w:hAnsi="Times New Roman" w:cs="Times New Roman"/>
          <w:sz w:val="24"/>
          <w:szCs w:val="24"/>
        </w:rPr>
        <w:t>The coal plant subsidy statute is only in effect through 2030.</w:t>
      </w:r>
      <w:r>
        <w:rPr>
          <w:rStyle w:val="FootnoteReference"/>
          <w:rFonts w:ascii="Times New Roman" w:hAnsi="Times New Roman" w:cs="Times New Roman"/>
          <w:sz w:val="24"/>
          <w:szCs w:val="24"/>
        </w:rPr>
        <w:footnoteReference w:id="106"/>
      </w:r>
      <w:r w:rsidRPr="001977EB" w:rsidR="00FC50DF">
        <w:rPr>
          <w:rFonts w:ascii="Times New Roman" w:hAnsi="Times New Roman" w:cs="Times New Roman"/>
          <w:sz w:val="24"/>
          <w:szCs w:val="24"/>
        </w:rPr>
        <w:t xml:space="preserve"> </w:t>
      </w:r>
      <w:r w:rsidRPr="001977EB" w:rsidR="00DB39B7">
        <w:rPr>
          <w:rFonts w:ascii="Times New Roman" w:hAnsi="Times New Roman" w:cs="Times New Roman"/>
          <w:sz w:val="24"/>
          <w:szCs w:val="24"/>
        </w:rPr>
        <w:t xml:space="preserve">Once the </w:t>
      </w:r>
      <w:r w:rsidR="001977EB">
        <w:rPr>
          <w:rFonts w:ascii="Times New Roman" w:hAnsi="Times New Roman" w:cs="Times New Roman"/>
          <w:sz w:val="24"/>
          <w:szCs w:val="24"/>
        </w:rPr>
        <w:t>“</w:t>
      </w:r>
      <w:r w:rsidRPr="001977EB" w:rsidR="00DB39B7">
        <w:rPr>
          <w:rFonts w:ascii="Times New Roman" w:hAnsi="Times New Roman" w:cs="Times New Roman"/>
          <w:sz w:val="24"/>
          <w:szCs w:val="24"/>
        </w:rPr>
        <w:t>advance debt repayment</w:t>
      </w:r>
      <w:r w:rsidR="001977EB">
        <w:rPr>
          <w:rFonts w:ascii="Times New Roman" w:hAnsi="Times New Roman" w:cs="Times New Roman"/>
          <w:sz w:val="24"/>
          <w:szCs w:val="24"/>
        </w:rPr>
        <w:t>”</w:t>
      </w:r>
      <w:r w:rsidRPr="001977EB" w:rsidR="00DB39B7">
        <w:rPr>
          <w:rFonts w:ascii="Times New Roman" w:hAnsi="Times New Roman" w:cs="Times New Roman"/>
          <w:sz w:val="24"/>
          <w:szCs w:val="24"/>
        </w:rPr>
        <w:t xml:space="preserve"> funds are collected, consumers and the PUCO lose all control over how the funds are used.</w:t>
      </w:r>
      <w:r w:rsidRPr="001977EB" w:rsidR="00FC50DF">
        <w:rPr>
          <w:rFonts w:ascii="Times New Roman" w:hAnsi="Times New Roman" w:cs="Times New Roman"/>
          <w:sz w:val="24"/>
          <w:szCs w:val="24"/>
        </w:rPr>
        <w:t xml:space="preserve"> </w:t>
      </w:r>
      <w:r w:rsidRPr="001977EB" w:rsidR="00DB39B7">
        <w:rPr>
          <w:rFonts w:ascii="Times New Roman" w:hAnsi="Times New Roman" w:cs="Times New Roman"/>
          <w:sz w:val="24"/>
          <w:szCs w:val="24"/>
        </w:rPr>
        <w:t>By 2040, the coal plants would be 85 years old.</w:t>
      </w:r>
      <w:r w:rsidRPr="001977EB" w:rsidR="00FC50DF">
        <w:rPr>
          <w:rFonts w:ascii="Times New Roman" w:hAnsi="Times New Roman" w:cs="Times New Roman"/>
          <w:sz w:val="24"/>
          <w:szCs w:val="24"/>
        </w:rPr>
        <w:t xml:space="preserve"> </w:t>
      </w:r>
      <w:r w:rsidRPr="001977EB" w:rsidR="005264F9">
        <w:rPr>
          <w:rFonts w:ascii="Times New Roman" w:hAnsi="Times New Roman" w:cs="Times New Roman"/>
          <w:sz w:val="24"/>
          <w:szCs w:val="24"/>
        </w:rPr>
        <w:t xml:space="preserve">It is </w:t>
      </w:r>
      <w:r w:rsidRPr="001977EB" w:rsidR="00216C91">
        <w:rPr>
          <w:rFonts w:ascii="Times New Roman" w:hAnsi="Times New Roman" w:cs="Times New Roman"/>
          <w:sz w:val="24"/>
          <w:szCs w:val="24"/>
        </w:rPr>
        <w:t xml:space="preserve">entirely plausible </w:t>
      </w:r>
      <w:r w:rsidRPr="001977EB" w:rsidR="005264F9">
        <w:rPr>
          <w:rFonts w:ascii="Times New Roman" w:hAnsi="Times New Roman" w:cs="Times New Roman"/>
          <w:sz w:val="24"/>
          <w:szCs w:val="24"/>
        </w:rPr>
        <w:t xml:space="preserve">that the plants </w:t>
      </w:r>
      <w:r w:rsidRPr="001977EB" w:rsidR="00A775C8">
        <w:rPr>
          <w:rFonts w:ascii="Times New Roman" w:hAnsi="Times New Roman" w:cs="Times New Roman"/>
          <w:sz w:val="24"/>
          <w:szCs w:val="24"/>
        </w:rPr>
        <w:t>c</w:t>
      </w:r>
      <w:r w:rsidRPr="001977EB" w:rsidR="005264F9">
        <w:rPr>
          <w:rFonts w:ascii="Times New Roman" w:hAnsi="Times New Roman" w:cs="Times New Roman"/>
          <w:sz w:val="24"/>
          <w:szCs w:val="24"/>
        </w:rPr>
        <w:t>ould be retired prior to that date, especially given the massive losses they are incurring</w:t>
      </w:r>
      <w:r w:rsidRPr="001977EB" w:rsidR="00A775C8">
        <w:rPr>
          <w:rFonts w:ascii="Times New Roman" w:hAnsi="Times New Roman" w:cs="Times New Roman"/>
          <w:sz w:val="24"/>
          <w:szCs w:val="24"/>
        </w:rPr>
        <w:t xml:space="preserve"> today</w:t>
      </w:r>
      <w:r w:rsidRPr="001977EB" w:rsidR="005264F9">
        <w:rPr>
          <w:rFonts w:ascii="Times New Roman" w:hAnsi="Times New Roman" w:cs="Times New Roman"/>
          <w:sz w:val="24"/>
          <w:szCs w:val="24"/>
        </w:rPr>
        <w:t>.</w:t>
      </w:r>
      <w:r w:rsidRPr="001977EB" w:rsidR="00FC50DF">
        <w:rPr>
          <w:rFonts w:ascii="Times New Roman" w:hAnsi="Times New Roman" w:cs="Times New Roman"/>
          <w:sz w:val="24"/>
          <w:szCs w:val="24"/>
        </w:rPr>
        <w:t xml:space="preserve"> </w:t>
      </w:r>
      <w:r w:rsidRPr="001977EB" w:rsidR="005264F9">
        <w:rPr>
          <w:rFonts w:ascii="Times New Roman" w:hAnsi="Times New Roman" w:cs="Times New Roman"/>
          <w:sz w:val="24"/>
          <w:szCs w:val="24"/>
        </w:rPr>
        <w:t xml:space="preserve">The </w:t>
      </w:r>
      <w:r w:rsidR="001977EB">
        <w:rPr>
          <w:rFonts w:ascii="Times New Roman" w:hAnsi="Times New Roman" w:cs="Times New Roman"/>
          <w:sz w:val="24"/>
          <w:szCs w:val="24"/>
        </w:rPr>
        <w:t>“</w:t>
      </w:r>
      <w:r w:rsidRPr="001977EB" w:rsidR="005264F9">
        <w:rPr>
          <w:rFonts w:ascii="Times New Roman" w:hAnsi="Times New Roman" w:cs="Times New Roman"/>
          <w:sz w:val="24"/>
          <w:szCs w:val="24"/>
        </w:rPr>
        <w:t>advance debt repayment</w:t>
      </w:r>
      <w:r w:rsidR="001977EB">
        <w:rPr>
          <w:rFonts w:ascii="Times New Roman" w:hAnsi="Times New Roman" w:cs="Times New Roman"/>
          <w:sz w:val="24"/>
          <w:szCs w:val="24"/>
        </w:rPr>
        <w:t>”</w:t>
      </w:r>
      <w:r w:rsidRPr="001977EB" w:rsidR="005264F9">
        <w:rPr>
          <w:rFonts w:ascii="Times New Roman" w:hAnsi="Times New Roman" w:cs="Times New Roman"/>
          <w:sz w:val="24"/>
          <w:szCs w:val="24"/>
        </w:rPr>
        <w:t xml:space="preserve"> would allow OVEC to use the funds to pay down debt</w:t>
      </w:r>
      <w:r w:rsidRPr="001977EB" w:rsidR="00A775C8">
        <w:rPr>
          <w:rFonts w:ascii="Times New Roman" w:hAnsi="Times New Roman" w:cs="Times New Roman"/>
          <w:sz w:val="24"/>
          <w:szCs w:val="24"/>
        </w:rPr>
        <w:t xml:space="preserve"> after declaring an early retirement</w:t>
      </w:r>
      <w:r w:rsidRPr="001977EB" w:rsidR="005264F9">
        <w:rPr>
          <w:rFonts w:ascii="Times New Roman" w:hAnsi="Times New Roman" w:cs="Times New Roman"/>
          <w:sz w:val="24"/>
          <w:szCs w:val="24"/>
        </w:rPr>
        <w:t>, in violation of R.C. 4928.148 and R.C. 4928.01(A)(42).</w:t>
      </w:r>
      <w:r w:rsidRPr="001977EB" w:rsidR="00FC50DF">
        <w:rPr>
          <w:rFonts w:ascii="Times New Roman" w:hAnsi="Times New Roman" w:cs="Times New Roman"/>
          <w:sz w:val="24"/>
          <w:szCs w:val="24"/>
        </w:rPr>
        <w:t xml:space="preserve"> </w:t>
      </w:r>
      <w:r w:rsidRPr="001977EB" w:rsidR="005264F9">
        <w:rPr>
          <w:rFonts w:ascii="Times New Roman" w:hAnsi="Times New Roman" w:cs="Times New Roman"/>
          <w:sz w:val="24"/>
          <w:szCs w:val="24"/>
        </w:rPr>
        <w:t>The PUCO should therefore disallow AEP, Duke and DP&amp;L</w:t>
      </w:r>
      <w:r w:rsidR="001977EB">
        <w:rPr>
          <w:rFonts w:ascii="Times New Roman" w:hAnsi="Times New Roman" w:cs="Times New Roman"/>
          <w:sz w:val="24"/>
          <w:szCs w:val="24"/>
        </w:rPr>
        <w:t>’</w:t>
      </w:r>
      <w:r w:rsidRPr="001977EB" w:rsidR="005264F9">
        <w:rPr>
          <w:rFonts w:ascii="Times New Roman" w:hAnsi="Times New Roman" w:cs="Times New Roman"/>
          <w:sz w:val="24"/>
          <w:szCs w:val="24"/>
        </w:rPr>
        <w:t xml:space="preserve">s share of the $30 million </w:t>
      </w:r>
      <w:r w:rsidR="001977EB">
        <w:rPr>
          <w:rFonts w:ascii="Times New Roman" w:hAnsi="Times New Roman" w:cs="Times New Roman"/>
          <w:sz w:val="24"/>
          <w:szCs w:val="24"/>
        </w:rPr>
        <w:t>“</w:t>
      </w:r>
      <w:r w:rsidRPr="001977EB" w:rsidR="005264F9">
        <w:rPr>
          <w:rFonts w:ascii="Times New Roman" w:hAnsi="Times New Roman" w:cs="Times New Roman"/>
          <w:sz w:val="24"/>
          <w:szCs w:val="24"/>
        </w:rPr>
        <w:t>advance debt repayment</w:t>
      </w:r>
      <w:r w:rsidR="001977EB">
        <w:rPr>
          <w:rFonts w:ascii="Times New Roman" w:hAnsi="Times New Roman" w:cs="Times New Roman"/>
          <w:sz w:val="24"/>
          <w:szCs w:val="24"/>
        </w:rPr>
        <w:t>”</w:t>
      </w:r>
      <w:r w:rsidRPr="001977EB" w:rsidR="005264F9">
        <w:rPr>
          <w:rFonts w:ascii="Times New Roman" w:hAnsi="Times New Roman" w:cs="Times New Roman"/>
          <w:sz w:val="24"/>
          <w:szCs w:val="24"/>
        </w:rPr>
        <w:t xml:space="preserve"> collected during 2020.</w:t>
      </w:r>
    </w:p>
    <w:p w:rsidR="005264F9" w:rsidRPr="001977EB" w:rsidP="00EC33CB" w14:paraId="1DFC31FC" w14:textId="77777777">
      <w:pPr>
        <w:spacing w:line="480" w:lineRule="auto"/>
        <w:rPr>
          <w:rFonts w:ascii="Times New Roman" w:hAnsi="Times New Roman" w:cs="Times New Roman"/>
          <w:sz w:val="24"/>
          <w:szCs w:val="24"/>
        </w:rPr>
      </w:pPr>
      <w:r w:rsidRPr="001977EB">
        <w:rPr>
          <w:rFonts w:ascii="Times New Roman" w:hAnsi="Times New Roman" w:cs="Times New Roman"/>
          <w:sz w:val="24"/>
          <w:szCs w:val="24"/>
        </w:rPr>
        <w:tab/>
        <w:t>The third and final reason for disallowing this amount is because it violates the principle of intergenerational equity.</w:t>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This principle has been explained as follows:</w:t>
      </w:r>
    </w:p>
    <w:p w:rsidR="005264F9" w:rsidRPr="001977EB" w:rsidP="00A775C8" w14:paraId="6F165D7F" w14:textId="77777777">
      <w:pPr>
        <w:spacing w:line="240" w:lineRule="auto"/>
        <w:ind w:left="1440" w:right="1440"/>
        <w:rPr>
          <w:rFonts w:ascii="Times New Roman" w:hAnsi="Times New Roman" w:cs="Times New Roman"/>
          <w:sz w:val="24"/>
          <w:szCs w:val="24"/>
        </w:rPr>
      </w:pPr>
      <w:r w:rsidRPr="001977EB">
        <w:rPr>
          <w:rFonts w:ascii="Times New Roman" w:hAnsi="Times New Roman" w:cs="Times New Roman"/>
          <w:sz w:val="24"/>
          <w:szCs w:val="24"/>
        </w:rPr>
        <w:t>Intergenerational Equity. The Commission must balance customers</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interests over time, known</w:t>
      </w:r>
      <w:r w:rsidR="00DC6896">
        <w:rPr>
          <w:rFonts w:ascii="Times New Roman" w:hAnsi="Times New Roman" w:cs="Times New Roman"/>
          <w:sz w:val="24"/>
          <w:szCs w:val="24"/>
        </w:rPr>
        <w:t xml:space="preserve"> as intergenerational </w:t>
      </w:r>
      <w:r w:rsidRPr="001977EB">
        <w:rPr>
          <w:rFonts w:ascii="Times New Roman" w:hAnsi="Times New Roman" w:cs="Times New Roman"/>
          <w:sz w:val="24"/>
          <w:szCs w:val="24"/>
        </w:rPr>
        <w:t>equity. When determining the period over which utilities will recover the costs of assets incurred to produce future benefits, as well as the period over which customers will receive the benefit of utility cost savings, the Commission attempts to equitably allocate those costs and benefits to customers over time so no one generation of customers receives an inequitable share.</w:t>
      </w:r>
      <w:r>
        <w:rPr>
          <w:rStyle w:val="FootnoteReference"/>
          <w:rFonts w:ascii="Times New Roman" w:hAnsi="Times New Roman" w:cs="Times New Roman"/>
          <w:sz w:val="24"/>
          <w:szCs w:val="24"/>
        </w:rPr>
        <w:footnoteReference w:id="107"/>
      </w:r>
    </w:p>
    <w:p w:rsidR="00A775C8" w:rsidRPr="001977EB" w:rsidP="00A775C8" w14:paraId="480DBFE1" w14:textId="77777777">
      <w:pPr>
        <w:spacing w:line="240" w:lineRule="auto"/>
        <w:ind w:left="1440" w:right="1440"/>
        <w:rPr>
          <w:rFonts w:ascii="Times New Roman" w:hAnsi="Times New Roman" w:cs="Times New Roman"/>
          <w:sz w:val="24"/>
          <w:szCs w:val="24"/>
        </w:rPr>
      </w:pPr>
    </w:p>
    <w:p w:rsidR="00A5008C" w:rsidRPr="001977EB" w:rsidP="00EC33CB" w14:paraId="5287068F" w14:textId="77777777">
      <w:pPr>
        <w:spacing w:line="480" w:lineRule="auto"/>
        <w:rPr>
          <w:rFonts w:ascii="Times New Roman" w:hAnsi="Times New Roman" w:cs="Times New Roman"/>
          <w:sz w:val="24"/>
          <w:szCs w:val="24"/>
        </w:rPr>
      </w:pPr>
      <w:r w:rsidRPr="001977EB">
        <w:rPr>
          <w:rFonts w:ascii="Times New Roman" w:hAnsi="Times New Roman" w:cs="Times New Roman"/>
          <w:sz w:val="24"/>
          <w:szCs w:val="24"/>
        </w:rPr>
        <w:tab/>
        <w:t xml:space="preserve">The </w:t>
      </w:r>
      <w:r w:rsidR="001977EB">
        <w:rPr>
          <w:rFonts w:ascii="Times New Roman" w:hAnsi="Times New Roman" w:cs="Times New Roman"/>
          <w:sz w:val="24"/>
          <w:szCs w:val="24"/>
        </w:rPr>
        <w:t>“</w:t>
      </w:r>
      <w:r w:rsidRPr="001977EB">
        <w:rPr>
          <w:rFonts w:ascii="Times New Roman" w:hAnsi="Times New Roman" w:cs="Times New Roman"/>
          <w:sz w:val="24"/>
          <w:szCs w:val="24"/>
        </w:rPr>
        <w:t>advance debt repayment</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violates the principle of intergenerational equity because current utility consumers are forced to pay for costs not yet incurred and for which they </w:t>
      </w:r>
      <w:r w:rsidRPr="001977EB" w:rsidR="00A775C8">
        <w:rPr>
          <w:rFonts w:ascii="Times New Roman" w:hAnsi="Times New Roman" w:cs="Times New Roman"/>
          <w:sz w:val="24"/>
          <w:szCs w:val="24"/>
        </w:rPr>
        <w:t xml:space="preserve">could </w:t>
      </w:r>
      <w:r w:rsidRPr="001977EB">
        <w:rPr>
          <w:rFonts w:ascii="Times New Roman" w:hAnsi="Times New Roman" w:cs="Times New Roman"/>
          <w:sz w:val="24"/>
          <w:szCs w:val="24"/>
        </w:rPr>
        <w:t>receive no benefit.</w:t>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This is the third and final reason why AEP, Duke and DP&amp;L</w:t>
      </w:r>
      <w:r w:rsidR="001977EB">
        <w:rPr>
          <w:rFonts w:ascii="Times New Roman" w:hAnsi="Times New Roman" w:cs="Times New Roman"/>
          <w:sz w:val="24"/>
          <w:szCs w:val="24"/>
        </w:rPr>
        <w:t>’</w:t>
      </w:r>
      <w:r w:rsidRPr="001977EB">
        <w:rPr>
          <w:rFonts w:ascii="Times New Roman" w:hAnsi="Times New Roman" w:cs="Times New Roman"/>
          <w:sz w:val="24"/>
          <w:szCs w:val="24"/>
        </w:rPr>
        <w:t>s share of the $30 million collected during 2020 should be disallowed.</w:t>
      </w:r>
    </w:p>
    <w:p w:rsidR="00A5008C" w:rsidRPr="001977EB" w:rsidP="00EC33CB" w14:paraId="21138467" w14:textId="77777777">
      <w:pPr>
        <w:spacing w:line="480" w:lineRule="auto"/>
        <w:rPr>
          <w:rFonts w:ascii="Times New Roman" w:hAnsi="Times New Roman" w:cs="Times New Roman"/>
          <w:sz w:val="24"/>
          <w:szCs w:val="24"/>
        </w:rPr>
      </w:pPr>
      <w:r w:rsidRPr="001977EB">
        <w:rPr>
          <w:rFonts w:ascii="Times New Roman" w:hAnsi="Times New Roman" w:cs="Times New Roman"/>
          <w:sz w:val="24"/>
          <w:szCs w:val="24"/>
        </w:rPr>
        <w:tab/>
        <w:t>In addition to this disallowance, the PUCO should order the utilities to credit consumers for AEP, Duke and DP&amp;L</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s share of the full $120 million of </w:t>
      </w:r>
      <w:r w:rsidR="001977EB">
        <w:rPr>
          <w:rFonts w:ascii="Times New Roman" w:hAnsi="Times New Roman" w:cs="Times New Roman"/>
          <w:sz w:val="24"/>
          <w:szCs w:val="24"/>
        </w:rPr>
        <w:t>“</w:t>
      </w:r>
      <w:r w:rsidRPr="001977EB">
        <w:rPr>
          <w:rFonts w:ascii="Times New Roman" w:hAnsi="Times New Roman" w:cs="Times New Roman"/>
          <w:sz w:val="24"/>
          <w:szCs w:val="24"/>
        </w:rPr>
        <w:t>advance debt repayment</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collected to date.</w:t>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It is unjust and unreasonable that AEP, Duke and DP&amp;L have collected these amounts</w:t>
      </w:r>
      <w:r w:rsidRPr="001977EB" w:rsidR="0050375A">
        <w:rPr>
          <w:rFonts w:ascii="Times New Roman" w:hAnsi="Times New Roman" w:cs="Times New Roman"/>
          <w:sz w:val="24"/>
          <w:szCs w:val="24"/>
        </w:rPr>
        <w:t xml:space="preserve"> from consumers</w:t>
      </w:r>
      <w:r w:rsidRPr="001977EB">
        <w:rPr>
          <w:rFonts w:ascii="Times New Roman" w:hAnsi="Times New Roman" w:cs="Times New Roman"/>
          <w:sz w:val="24"/>
          <w:szCs w:val="24"/>
        </w:rPr>
        <w:t>.</w:t>
      </w:r>
    </w:p>
    <w:p w:rsidR="00EE779E" w:rsidRPr="001977EB" w:rsidP="00046B7E" w14:paraId="04CB1ED7" w14:textId="77777777">
      <w:pPr>
        <w:pStyle w:val="Heading2"/>
        <w:numPr>
          <w:ilvl w:val="0"/>
          <w:numId w:val="0"/>
        </w:numPr>
        <w:ind w:left="1440" w:hanging="720"/>
      </w:pPr>
      <w:bookmarkStart w:id="24" w:name="_Toc158641651"/>
      <w:r w:rsidRPr="001977EB">
        <w:t>H.</w:t>
      </w:r>
      <w:r w:rsidRPr="001977EB">
        <w:tab/>
      </w:r>
      <w:r w:rsidRPr="001977EB" w:rsidR="00D62B59">
        <w:t xml:space="preserve">The PUCO should </w:t>
      </w:r>
      <w:r w:rsidRPr="001977EB">
        <w:t>require</w:t>
      </w:r>
      <w:r w:rsidRPr="001977EB" w:rsidR="00D62B59">
        <w:t xml:space="preserve"> AEP, Duke and DP&amp;L</w:t>
      </w:r>
      <w:r w:rsidRPr="001977EB">
        <w:t xml:space="preserve"> to credit consumers for their</w:t>
      </w:r>
      <w:r w:rsidRPr="001977EB" w:rsidR="00D62B59">
        <w:t xml:space="preserve"> share of the </w:t>
      </w:r>
      <w:r w:rsidR="001977EB">
        <w:t>“</w:t>
      </w:r>
      <w:r w:rsidRPr="001977EB" w:rsidR="00D62B59">
        <w:t>advance postretirement benefit payments</w:t>
      </w:r>
      <w:r w:rsidR="001977EB">
        <w:t>”</w:t>
      </w:r>
      <w:r w:rsidRPr="001977EB" w:rsidR="00D62B59">
        <w:t xml:space="preserve"> collected </w:t>
      </w:r>
      <w:r w:rsidRPr="001977EB" w:rsidR="0012432C">
        <w:t xml:space="preserve">during 2020 and the $64 million collected </w:t>
      </w:r>
      <w:r w:rsidRPr="001977EB" w:rsidR="00D62B59">
        <w:t>to date</w:t>
      </w:r>
      <w:r w:rsidRPr="001977EB">
        <w:t>.</w:t>
      </w:r>
      <w:r w:rsidRPr="001977EB" w:rsidR="00FC50DF">
        <w:t xml:space="preserve"> </w:t>
      </w:r>
      <w:r w:rsidRPr="001977EB">
        <w:t xml:space="preserve">This </w:t>
      </w:r>
      <w:r w:rsidRPr="001977EB" w:rsidR="00A775C8">
        <w:t>amount was collected</w:t>
      </w:r>
      <w:r w:rsidRPr="001977EB" w:rsidR="00F43F32">
        <w:t xml:space="preserve"> in</w:t>
      </w:r>
      <w:r w:rsidRPr="001977EB" w:rsidR="00A775C8">
        <w:t xml:space="preserve"> </w:t>
      </w:r>
      <w:r w:rsidRPr="001977EB">
        <w:t>direct violat</w:t>
      </w:r>
      <w:r w:rsidRPr="001977EB" w:rsidR="00A775C8">
        <w:t>ion of</w:t>
      </w:r>
      <w:r w:rsidRPr="001977EB">
        <w:t xml:space="preserve"> </w:t>
      </w:r>
      <w:r w:rsidRPr="001977EB" w:rsidR="00556B02">
        <w:t xml:space="preserve">R.C. 4928.148 and R.C. 4928.01(A)(42) and </w:t>
      </w:r>
      <w:r w:rsidRPr="001977EB">
        <w:t>the regulatory principle of intergenerational equity.</w:t>
      </w:r>
      <w:bookmarkEnd w:id="24"/>
      <w:r w:rsidRPr="001977EB" w:rsidR="00FC50DF">
        <w:t xml:space="preserve"> </w:t>
      </w:r>
    </w:p>
    <w:p w:rsidR="00EE779E" w:rsidRPr="001977EB" w:rsidP="00EE779E" w14:paraId="7F6AD327"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 xml:space="preserve">Like the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advance debt repayment</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 xml:space="preserve"> discussed in </w:t>
      </w:r>
      <w:r w:rsidRPr="008210BA">
        <w:rPr>
          <w:rFonts w:ascii="Times New Roman" w:eastAsia="Times New Roman" w:hAnsi="Times New Roman" w:cs="Times New Roman"/>
          <w:sz w:val="24"/>
          <w:szCs w:val="24"/>
        </w:rPr>
        <w:t>Section II</w:t>
      </w:r>
      <w:r w:rsidR="0084150A">
        <w:rPr>
          <w:rFonts w:ascii="Times New Roman" w:eastAsia="Times New Roman" w:hAnsi="Times New Roman" w:cs="Times New Roman"/>
          <w:sz w:val="24"/>
          <w:szCs w:val="24"/>
        </w:rPr>
        <w:t>I</w:t>
      </w:r>
      <w:r w:rsidRPr="008210BA">
        <w:rPr>
          <w:rFonts w:ascii="Times New Roman" w:eastAsia="Times New Roman" w:hAnsi="Times New Roman" w:cs="Times New Roman"/>
          <w:sz w:val="24"/>
          <w:szCs w:val="24"/>
        </w:rPr>
        <w:t>(G)</w:t>
      </w:r>
      <w:r w:rsidRPr="001977EB">
        <w:rPr>
          <w:rFonts w:ascii="Times New Roman" w:eastAsia="Times New Roman" w:hAnsi="Times New Roman" w:cs="Times New Roman"/>
          <w:sz w:val="24"/>
          <w:szCs w:val="24"/>
        </w:rPr>
        <w:t xml:space="preserve"> above, AEP, Duke and DP&amp;L also advance-billed for postretirement benefits even though these costs were not yet incurred and were recorded in violation of Generally Accepted Accounting Principles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GAAP</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08"/>
      </w:r>
      <w:r w:rsidRPr="001977EB" w:rsidR="00FC50DF">
        <w:rPr>
          <w:rFonts w:ascii="Times New Roman" w:eastAsia="Times New Roman" w:hAnsi="Times New Roman" w:cs="Times New Roman"/>
          <w:sz w:val="24"/>
          <w:szCs w:val="24"/>
        </w:rPr>
        <w:t xml:space="preserve"> </w:t>
      </w:r>
      <w:r w:rsidRPr="001977EB" w:rsidR="00556B02">
        <w:rPr>
          <w:rFonts w:ascii="Times New Roman" w:eastAsia="Times New Roman" w:hAnsi="Times New Roman" w:cs="Times New Roman"/>
          <w:sz w:val="24"/>
          <w:szCs w:val="24"/>
        </w:rPr>
        <w:t>T</w:t>
      </w:r>
      <w:r w:rsidRPr="001977EB">
        <w:rPr>
          <w:rFonts w:ascii="Times New Roman" w:eastAsia="Times New Roman" w:hAnsi="Times New Roman" w:cs="Times New Roman"/>
          <w:sz w:val="24"/>
          <w:szCs w:val="24"/>
        </w:rPr>
        <w:t xml:space="preserve">hese amounts should be credited to consumers because they were collected in violation of </w:t>
      </w:r>
      <w:r w:rsidRPr="001977EB" w:rsidR="00556B02">
        <w:rPr>
          <w:rFonts w:ascii="Times New Roman" w:hAnsi="Times New Roman" w:cs="Times New Roman"/>
          <w:sz w:val="24"/>
          <w:szCs w:val="24"/>
        </w:rPr>
        <w:t xml:space="preserve">R.C. 4928.148 and R.C. 4928.01(A)(42) and </w:t>
      </w:r>
      <w:r w:rsidRPr="001977EB">
        <w:rPr>
          <w:rFonts w:ascii="Times New Roman" w:eastAsia="Times New Roman" w:hAnsi="Times New Roman" w:cs="Times New Roman"/>
          <w:sz w:val="24"/>
          <w:szCs w:val="24"/>
        </w:rPr>
        <w:t>the regulatory principle of intergenerational equity.</w:t>
      </w:r>
    </w:p>
    <w:p w:rsidR="00EE779E" w:rsidRPr="001977EB" w:rsidP="00EE779E" w14:paraId="40337016" w14:textId="77777777">
      <w:pPr>
        <w:spacing w:line="480" w:lineRule="auto"/>
        <w:ind w:firstLine="720"/>
        <w:rPr>
          <w:rFonts w:ascii="Times New Roman" w:eastAsia="Times New Roman" w:hAnsi="Times New Roman" w:cs="Times New Roman"/>
          <w:sz w:val="24"/>
          <w:szCs w:val="24"/>
        </w:rPr>
      </w:pPr>
      <w:r w:rsidRPr="001977EB">
        <w:rPr>
          <w:rFonts w:ascii="Times New Roman" w:eastAsia="Times New Roman" w:hAnsi="Times New Roman" w:cs="Times New Roman"/>
          <w:sz w:val="24"/>
          <w:szCs w:val="24"/>
        </w:rPr>
        <w:t>OVEC</w:t>
      </w:r>
      <w:r w:rsidR="001977EB">
        <w:rPr>
          <w:rFonts w:ascii="Times New Roman" w:eastAsia="Times New Roman" w:hAnsi="Times New Roman" w:cs="Times New Roman"/>
          <w:sz w:val="24"/>
          <w:szCs w:val="24"/>
        </w:rPr>
        <w:t>’</w:t>
      </w:r>
      <w:r w:rsidRPr="001977EB" w:rsidR="00E86B5C">
        <w:rPr>
          <w:rFonts w:ascii="Times New Roman" w:eastAsia="Times New Roman" w:hAnsi="Times New Roman" w:cs="Times New Roman"/>
          <w:sz w:val="24"/>
          <w:szCs w:val="24"/>
        </w:rPr>
        <w:t>s 2020 balance sheet</w:t>
      </w:r>
      <w:r w:rsidRPr="001977EB">
        <w:rPr>
          <w:rFonts w:ascii="Times New Roman" w:eastAsia="Times New Roman" w:hAnsi="Times New Roman" w:cs="Times New Roman"/>
          <w:sz w:val="24"/>
          <w:szCs w:val="24"/>
        </w:rPr>
        <w:t xml:space="preserve"> </w:t>
      </w:r>
      <w:r w:rsidRPr="001977EB" w:rsidR="00A556F3">
        <w:rPr>
          <w:rFonts w:ascii="Times New Roman" w:eastAsia="Times New Roman" w:hAnsi="Times New Roman" w:cs="Times New Roman"/>
          <w:sz w:val="24"/>
          <w:szCs w:val="24"/>
        </w:rPr>
        <w:t>list</w:t>
      </w:r>
      <w:r w:rsidRPr="001977EB" w:rsidR="00E86B5C">
        <w:rPr>
          <w:rFonts w:ascii="Times New Roman" w:eastAsia="Times New Roman" w:hAnsi="Times New Roman" w:cs="Times New Roman"/>
          <w:sz w:val="24"/>
          <w:szCs w:val="24"/>
        </w:rPr>
        <w:t>s</w:t>
      </w:r>
      <w:r w:rsidRPr="001977EB">
        <w:rPr>
          <w:rFonts w:ascii="Times New Roman" w:eastAsia="Times New Roman" w:hAnsi="Times New Roman" w:cs="Times New Roman"/>
          <w:sz w:val="24"/>
          <w:szCs w:val="24"/>
        </w:rPr>
        <w:t xml:space="preserve"> a </w:t>
      </w:r>
      <w:r w:rsidR="001977EB">
        <w:rPr>
          <w:rFonts w:ascii="Times New Roman" w:eastAsia="Times New Roman" w:hAnsi="Times New Roman" w:cs="Times New Roman"/>
          <w:sz w:val="24"/>
          <w:szCs w:val="24"/>
        </w:rPr>
        <w:t>“</w:t>
      </w:r>
      <w:r w:rsidRPr="001977EB">
        <w:rPr>
          <w:rFonts w:ascii="Times New Roman" w:eastAsia="Times New Roman" w:hAnsi="Times New Roman" w:cs="Times New Roman"/>
          <w:sz w:val="24"/>
          <w:szCs w:val="24"/>
        </w:rPr>
        <w:t>regulatory liability</w:t>
      </w:r>
      <w:r w:rsidR="001977EB">
        <w:rPr>
          <w:rFonts w:ascii="Times New Roman" w:eastAsia="Times New Roman" w:hAnsi="Times New Roman" w:cs="Times New Roman"/>
          <w:sz w:val="24"/>
          <w:szCs w:val="24"/>
        </w:rPr>
        <w:t>”</w:t>
      </w:r>
      <w:r w:rsidRPr="001977EB" w:rsidR="00A556F3">
        <w:rPr>
          <w:rFonts w:ascii="Times New Roman" w:eastAsia="Times New Roman" w:hAnsi="Times New Roman" w:cs="Times New Roman"/>
          <w:sz w:val="24"/>
          <w:szCs w:val="24"/>
        </w:rPr>
        <w:t xml:space="preserve"> of</w:t>
      </w:r>
      <w:r w:rsidRPr="001977EB">
        <w:rPr>
          <w:rFonts w:ascii="Times New Roman" w:eastAsia="Times New Roman" w:hAnsi="Times New Roman" w:cs="Times New Roman"/>
          <w:sz w:val="24"/>
          <w:szCs w:val="24"/>
        </w:rPr>
        <w:t xml:space="preserve"> </w:t>
      </w:r>
      <w:r w:rsidRPr="001977EB" w:rsidR="00A556F3">
        <w:rPr>
          <w:rFonts w:ascii="Times New Roman" w:eastAsia="Times New Roman" w:hAnsi="Times New Roman" w:cs="Times New Roman"/>
          <w:sz w:val="24"/>
          <w:szCs w:val="24"/>
        </w:rPr>
        <w:t>$64,415,536 for postretirement benefits in 2020.</w:t>
      </w:r>
      <w:r>
        <w:rPr>
          <w:rStyle w:val="FootnoteReference"/>
          <w:rFonts w:ascii="Times New Roman" w:eastAsia="Times New Roman" w:hAnsi="Times New Roman" w:cs="Times New Roman"/>
          <w:sz w:val="24"/>
          <w:szCs w:val="24"/>
        </w:rPr>
        <w:footnoteReference w:id="109"/>
      </w:r>
      <w:r w:rsidRPr="001977EB" w:rsidR="00FC50DF">
        <w:rPr>
          <w:rFonts w:ascii="Times New Roman" w:eastAsia="Times New Roman" w:hAnsi="Times New Roman" w:cs="Times New Roman"/>
          <w:sz w:val="24"/>
          <w:szCs w:val="24"/>
        </w:rPr>
        <w:t xml:space="preserve"> </w:t>
      </w:r>
      <w:r w:rsidRPr="001977EB" w:rsidR="00E86B5C">
        <w:rPr>
          <w:rFonts w:ascii="Times New Roman" w:eastAsia="Times New Roman" w:hAnsi="Times New Roman" w:cs="Times New Roman"/>
          <w:sz w:val="24"/>
          <w:szCs w:val="24"/>
        </w:rPr>
        <w:t xml:space="preserve">However, this </w:t>
      </w:r>
      <w:r w:rsidRPr="001977EB" w:rsidR="00A775C8">
        <w:rPr>
          <w:rFonts w:ascii="Times New Roman" w:eastAsia="Times New Roman" w:hAnsi="Times New Roman" w:cs="Times New Roman"/>
          <w:sz w:val="24"/>
          <w:szCs w:val="24"/>
        </w:rPr>
        <w:t xml:space="preserve">was not a true regulatory liability because this </w:t>
      </w:r>
      <w:r w:rsidRPr="001977EB" w:rsidR="00E86B5C">
        <w:rPr>
          <w:rFonts w:ascii="Times New Roman" w:eastAsia="Times New Roman" w:hAnsi="Times New Roman" w:cs="Times New Roman"/>
          <w:sz w:val="24"/>
          <w:szCs w:val="24"/>
        </w:rPr>
        <w:t xml:space="preserve">amount was not yet owed for postretirement benefits – it was advance-billed like the </w:t>
      </w:r>
      <w:r w:rsidR="001977EB">
        <w:rPr>
          <w:rFonts w:ascii="Times New Roman" w:eastAsia="Times New Roman" w:hAnsi="Times New Roman" w:cs="Times New Roman"/>
          <w:sz w:val="24"/>
          <w:szCs w:val="24"/>
        </w:rPr>
        <w:t>“</w:t>
      </w:r>
      <w:r w:rsidRPr="001977EB" w:rsidR="00E86B5C">
        <w:rPr>
          <w:rFonts w:ascii="Times New Roman" w:eastAsia="Times New Roman" w:hAnsi="Times New Roman" w:cs="Times New Roman"/>
          <w:sz w:val="24"/>
          <w:szCs w:val="24"/>
        </w:rPr>
        <w:t>advance debt repayment.</w:t>
      </w:r>
      <w:r w:rsidR="001977EB">
        <w:rPr>
          <w:rFonts w:ascii="Times New Roman" w:eastAsia="Times New Roman" w:hAnsi="Times New Roman" w:cs="Times New Roman"/>
          <w:sz w:val="24"/>
          <w:szCs w:val="24"/>
        </w:rPr>
        <w:t>”</w:t>
      </w:r>
      <w:r w:rsidRPr="001977EB" w:rsidR="00FC50DF">
        <w:rPr>
          <w:rFonts w:ascii="Times New Roman" w:eastAsia="Times New Roman" w:hAnsi="Times New Roman" w:cs="Times New Roman"/>
          <w:sz w:val="24"/>
          <w:szCs w:val="24"/>
        </w:rPr>
        <w:t xml:space="preserve"> </w:t>
      </w:r>
      <w:r w:rsidRPr="001977EB" w:rsidR="00A775C8">
        <w:rPr>
          <w:rFonts w:ascii="Times New Roman" w:eastAsia="Times New Roman" w:hAnsi="Times New Roman" w:cs="Times New Roman"/>
          <w:sz w:val="24"/>
          <w:szCs w:val="24"/>
        </w:rPr>
        <w:t xml:space="preserve">This </w:t>
      </w:r>
      <w:r w:rsidRPr="001977EB" w:rsidR="00E86B5C">
        <w:rPr>
          <w:rFonts w:ascii="Times New Roman" w:eastAsia="Times New Roman" w:hAnsi="Times New Roman" w:cs="Times New Roman"/>
          <w:sz w:val="24"/>
          <w:szCs w:val="24"/>
        </w:rPr>
        <w:t>is explained in the OVEC Annual Report 2020 as follows:</w:t>
      </w:r>
    </w:p>
    <w:p w:rsidR="00E86B5C" w:rsidRPr="001977EB" w:rsidP="00E86B5C" w14:paraId="105FCBA5" w14:textId="77777777">
      <w:pPr>
        <w:spacing w:line="240" w:lineRule="auto"/>
        <w:ind w:left="1440" w:right="1440"/>
        <w:rPr>
          <w:rFonts w:ascii="Times New Roman" w:hAnsi="Times New Roman" w:cs="Times New Roman"/>
          <w:sz w:val="24"/>
          <w:szCs w:val="24"/>
        </w:rPr>
      </w:pPr>
      <w:r w:rsidRPr="001977EB">
        <w:rPr>
          <w:rFonts w:ascii="Times New Roman" w:hAnsi="Times New Roman" w:cs="Times New Roman"/>
          <w:sz w:val="24"/>
          <w:szCs w:val="24"/>
        </w:rPr>
        <w:t xml:space="preserve">The regulatory liability for postretirement benefits recorded at December 31, 2020 and 2019, represents </w:t>
      </w:r>
      <w:r w:rsidRPr="001977EB">
        <w:rPr>
          <w:rFonts w:ascii="Times New Roman" w:hAnsi="Times New Roman" w:cs="Times New Roman"/>
          <w:i/>
          <w:iCs/>
          <w:sz w:val="24"/>
          <w:szCs w:val="24"/>
        </w:rPr>
        <w:t>amounts collected in historical billings in excess of the accounting principles generally accepted in the United States of America (GAAP)</w:t>
      </w:r>
      <w:r w:rsidRPr="001977EB">
        <w:rPr>
          <w:rFonts w:ascii="Times New Roman" w:hAnsi="Times New Roman" w:cs="Times New Roman"/>
          <w:sz w:val="24"/>
          <w:szCs w:val="24"/>
        </w:rPr>
        <w:t xml:space="preserve"> net periodic benefit costs, including a termination payment from the DOE in 2003 for unbilled postretirement benefit costs, and incremental unfunded plan obligations recognized in the balance sheets but not yet recognizable in GAAP net periodic benefit costs.</w:t>
      </w:r>
      <w:r>
        <w:rPr>
          <w:rStyle w:val="FootnoteReference"/>
          <w:rFonts w:ascii="Times New Roman" w:hAnsi="Times New Roman" w:cs="Times New Roman"/>
          <w:sz w:val="24"/>
          <w:szCs w:val="24"/>
        </w:rPr>
        <w:footnoteReference w:id="110"/>
      </w:r>
    </w:p>
    <w:p w:rsidR="00E86B5C" w:rsidRPr="001977EB" w:rsidP="00E86B5C" w14:paraId="46142FA4" w14:textId="77777777">
      <w:pPr>
        <w:spacing w:line="240" w:lineRule="auto"/>
        <w:ind w:right="1440"/>
        <w:rPr>
          <w:rFonts w:ascii="Times New Roman" w:hAnsi="Times New Roman" w:cs="Times New Roman"/>
          <w:sz w:val="24"/>
          <w:szCs w:val="24"/>
        </w:rPr>
      </w:pPr>
    </w:p>
    <w:p w:rsidR="00E86B5C" w:rsidRPr="001977EB" w:rsidP="00774AA0" w14:paraId="0F7470FC" w14:textId="77777777">
      <w:pPr>
        <w:spacing w:line="480" w:lineRule="auto"/>
        <w:ind w:firstLine="720"/>
        <w:rPr>
          <w:rFonts w:ascii="Times New Roman" w:eastAsia="Times New Roman" w:hAnsi="Times New Roman" w:cs="Times New Roman"/>
          <w:i/>
          <w:iCs/>
          <w:sz w:val="24"/>
          <w:szCs w:val="24"/>
        </w:rPr>
      </w:pPr>
      <w:r w:rsidRPr="001977EB">
        <w:rPr>
          <w:rFonts w:ascii="Times New Roman" w:hAnsi="Times New Roman" w:cs="Times New Roman"/>
          <w:sz w:val="24"/>
          <w:szCs w:val="24"/>
        </w:rPr>
        <w:t>This violates the PUCO</w:t>
      </w:r>
      <w:r w:rsidR="001977EB">
        <w:rPr>
          <w:rFonts w:ascii="Times New Roman" w:hAnsi="Times New Roman" w:cs="Times New Roman"/>
          <w:sz w:val="24"/>
          <w:szCs w:val="24"/>
        </w:rPr>
        <w:t>’</w:t>
      </w:r>
      <w:r w:rsidRPr="001977EB">
        <w:rPr>
          <w:rFonts w:ascii="Times New Roman" w:hAnsi="Times New Roman" w:cs="Times New Roman"/>
          <w:sz w:val="24"/>
          <w:szCs w:val="24"/>
        </w:rPr>
        <w:t>s p</w:t>
      </w:r>
      <w:r w:rsidRPr="001977EB" w:rsidR="00774AA0">
        <w:rPr>
          <w:rFonts w:ascii="Times New Roman" w:hAnsi="Times New Roman" w:cs="Times New Roman"/>
          <w:sz w:val="24"/>
          <w:szCs w:val="24"/>
        </w:rPr>
        <w:t>olicy</w:t>
      </w:r>
      <w:r w:rsidRPr="001977EB">
        <w:rPr>
          <w:rFonts w:ascii="Times New Roman" w:hAnsi="Times New Roman" w:cs="Times New Roman"/>
          <w:sz w:val="24"/>
          <w:szCs w:val="24"/>
        </w:rPr>
        <w:t xml:space="preserve"> for postretirement benefit </w:t>
      </w:r>
      <w:r w:rsidRPr="001977EB" w:rsidR="00A775C8">
        <w:rPr>
          <w:rFonts w:ascii="Times New Roman" w:hAnsi="Times New Roman" w:cs="Times New Roman"/>
          <w:sz w:val="24"/>
          <w:szCs w:val="24"/>
        </w:rPr>
        <w:t xml:space="preserve">ratemaking and </w:t>
      </w:r>
      <w:r w:rsidRPr="001977EB">
        <w:rPr>
          <w:rFonts w:ascii="Times New Roman" w:hAnsi="Times New Roman" w:cs="Times New Roman"/>
          <w:sz w:val="24"/>
          <w:szCs w:val="24"/>
        </w:rPr>
        <w:t>accounting.</w:t>
      </w:r>
      <w:r w:rsidRPr="001977EB" w:rsidR="00FC50DF">
        <w:rPr>
          <w:rFonts w:ascii="Times New Roman" w:hAnsi="Times New Roman" w:cs="Times New Roman"/>
          <w:sz w:val="24"/>
          <w:szCs w:val="24"/>
        </w:rPr>
        <w:t xml:space="preserve"> </w:t>
      </w:r>
      <w:r w:rsidRPr="001977EB">
        <w:rPr>
          <w:rFonts w:ascii="Times New Roman" w:hAnsi="Times New Roman" w:cs="Times New Roman"/>
          <w:sz w:val="24"/>
          <w:szCs w:val="24"/>
        </w:rPr>
        <w:t>The PUCO</w:t>
      </w:r>
      <w:r w:rsidR="001977EB">
        <w:rPr>
          <w:rFonts w:ascii="Times New Roman" w:hAnsi="Times New Roman" w:cs="Times New Roman"/>
          <w:sz w:val="24"/>
          <w:szCs w:val="24"/>
        </w:rPr>
        <w:t>’</w:t>
      </w:r>
      <w:r w:rsidRPr="001977EB" w:rsidR="00774AA0">
        <w:rPr>
          <w:rFonts w:ascii="Times New Roman" w:hAnsi="Times New Roman" w:cs="Times New Roman"/>
          <w:sz w:val="24"/>
          <w:szCs w:val="24"/>
        </w:rPr>
        <w:t>s policy is to use accrual accounting for both ratemaking and regulatory liability purposes for postretirement benefits.</w:t>
      </w:r>
      <w:r>
        <w:rPr>
          <w:rStyle w:val="FootnoteReference"/>
          <w:rFonts w:ascii="Times New Roman" w:hAnsi="Times New Roman" w:cs="Times New Roman"/>
          <w:sz w:val="24"/>
          <w:szCs w:val="24"/>
        </w:rPr>
        <w:footnoteReference w:id="111"/>
      </w:r>
      <w:r w:rsidRPr="001977EB" w:rsidR="00FC50DF">
        <w:rPr>
          <w:rFonts w:ascii="Times New Roman" w:hAnsi="Times New Roman" w:cs="Times New Roman"/>
          <w:sz w:val="24"/>
          <w:szCs w:val="24"/>
        </w:rPr>
        <w:t xml:space="preserve"> </w:t>
      </w:r>
      <w:r w:rsidRPr="001977EB" w:rsidR="00774AA0">
        <w:rPr>
          <w:rFonts w:ascii="Times New Roman" w:hAnsi="Times New Roman" w:cs="Times New Roman"/>
          <w:sz w:val="24"/>
          <w:szCs w:val="24"/>
        </w:rPr>
        <w:t>The PUCO</w:t>
      </w:r>
      <w:r w:rsidR="001977EB">
        <w:rPr>
          <w:rFonts w:ascii="Times New Roman" w:hAnsi="Times New Roman" w:cs="Times New Roman"/>
          <w:sz w:val="24"/>
          <w:szCs w:val="24"/>
        </w:rPr>
        <w:t>’</w:t>
      </w:r>
      <w:r w:rsidRPr="001977EB" w:rsidR="00774AA0">
        <w:rPr>
          <w:rFonts w:ascii="Times New Roman" w:hAnsi="Times New Roman" w:cs="Times New Roman"/>
          <w:sz w:val="24"/>
          <w:szCs w:val="24"/>
        </w:rPr>
        <w:t>s policy is in accordance with GAAP and is set forth in FASB 106.</w:t>
      </w:r>
      <w:r>
        <w:rPr>
          <w:rStyle w:val="FootnoteReference"/>
          <w:rFonts w:ascii="Times New Roman" w:hAnsi="Times New Roman" w:cs="Times New Roman"/>
          <w:sz w:val="24"/>
          <w:szCs w:val="24"/>
        </w:rPr>
        <w:footnoteReference w:id="112"/>
      </w:r>
      <w:r w:rsidRPr="001977EB" w:rsidR="00FC50DF">
        <w:rPr>
          <w:rFonts w:ascii="Times New Roman" w:hAnsi="Times New Roman" w:cs="Times New Roman"/>
          <w:sz w:val="24"/>
          <w:szCs w:val="24"/>
        </w:rPr>
        <w:t xml:space="preserve"> </w:t>
      </w:r>
      <w:r w:rsidRPr="001977EB" w:rsidR="00774AA0">
        <w:rPr>
          <w:rFonts w:ascii="Times New Roman" w:hAnsi="Times New Roman" w:cs="Times New Roman"/>
          <w:sz w:val="24"/>
          <w:szCs w:val="24"/>
        </w:rPr>
        <w:t>OVEC</w:t>
      </w:r>
      <w:r w:rsidR="001977EB">
        <w:rPr>
          <w:rFonts w:ascii="Times New Roman" w:hAnsi="Times New Roman" w:cs="Times New Roman"/>
          <w:sz w:val="24"/>
          <w:szCs w:val="24"/>
        </w:rPr>
        <w:t>’</w:t>
      </w:r>
      <w:r w:rsidRPr="001977EB" w:rsidR="00774AA0">
        <w:rPr>
          <w:rFonts w:ascii="Times New Roman" w:hAnsi="Times New Roman" w:cs="Times New Roman"/>
          <w:sz w:val="24"/>
          <w:szCs w:val="24"/>
        </w:rPr>
        <w:t xml:space="preserve">s Annual Report acknowledges that the </w:t>
      </w:r>
      <w:r w:rsidRPr="001977EB" w:rsidR="00774AA0">
        <w:rPr>
          <w:rFonts w:ascii="Times New Roman" w:eastAsia="Times New Roman" w:hAnsi="Times New Roman" w:cs="Times New Roman"/>
          <w:sz w:val="24"/>
          <w:szCs w:val="24"/>
        </w:rPr>
        <w:t xml:space="preserve">$64,415,536 is </w:t>
      </w:r>
      <w:r w:rsidRPr="001977EB" w:rsidR="00774AA0">
        <w:rPr>
          <w:rFonts w:ascii="Times New Roman" w:eastAsia="Times New Roman" w:hAnsi="Times New Roman" w:cs="Times New Roman"/>
          <w:i/>
          <w:iCs/>
          <w:sz w:val="24"/>
          <w:szCs w:val="24"/>
        </w:rPr>
        <w:t>in excess of what it is required to collect under GAAP</w:t>
      </w:r>
      <w:r w:rsidR="001977EB">
        <w:rPr>
          <w:rFonts w:ascii="Times New Roman" w:eastAsia="Times New Roman" w:hAnsi="Times New Roman" w:cs="Times New Roman"/>
          <w:i/>
          <w:iCs/>
          <w:sz w:val="24"/>
          <w:szCs w:val="24"/>
        </w:rPr>
        <w:t>’</w:t>
      </w:r>
      <w:r w:rsidRPr="001977EB" w:rsidR="00774AA0">
        <w:rPr>
          <w:rFonts w:ascii="Times New Roman" w:eastAsia="Times New Roman" w:hAnsi="Times New Roman" w:cs="Times New Roman"/>
          <w:i/>
          <w:iCs/>
          <w:sz w:val="24"/>
          <w:szCs w:val="24"/>
        </w:rPr>
        <w:t>s accrual accounting principles.</w:t>
      </w:r>
      <w:r>
        <w:rPr>
          <w:rStyle w:val="FootnoteReference"/>
          <w:rFonts w:ascii="Times New Roman" w:eastAsia="Times New Roman" w:hAnsi="Times New Roman" w:cs="Times New Roman"/>
          <w:i/>
          <w:iCs/>
          <w:sz w:val="24"/>
          <w:szCs w:val="24"/>
        </w:rPr>
        <w:footnoteReference w:id="113"/>
      </w:r>
    </w:p>
    <w:p w:rsidR="00FC0FC5" w:rsidRPr="001977EB" w:rsidP="009305F4" w14:paraId="011F3530" w14:textId="77777777">
      <w:pPr>
        <w:spacing w:line="480" w:lineRule="auto"/>
        <w:ind w:firstLine="720"/>
        <w:rPr>
          <w:rFonts w:ascii="Times New Roman" w:hAnsi="Times New Roman" w:cs="Times New Roman"/>
          <w:sz w:val="24"/>
          <w:szCs w:val="24"/>
        </w:rPr>
      </w:pPr>
      <w:r w:rsidRPr="001977EB">
        <w:rPr>
          <w:rFonts w:ascii="Times New Roman" w:eastAsia="Times New Roman" w:hAnsi="Times New Roman" w:cs="Times New Roman"/>
          <w:sz w:val="24"/>
          <w:szCs w:val="24"/>
        </w:rPr>
        <w:t>Despite this surplus in the postretirement benefits account, AEP, Duke and DP&amp;L nevertheless charged consumers for this expense during 2020.</w:t>
      </w:r>
      <w:r>
        <w:rPr>
          <w:rStyle w:val="FootnoteReference"/>
          <w:rFonts w:ascii="Times New Roman" w:eastAsia="Times New Roman" w:hAnsi="Times New Roman" w:cs="Times New Roman"/>
          <w:sz w:val="24"/>
          <w:szCs w:val="24"/>
        </w:rPr>
        <w:footnoteReference w:id="114"/>
      </w:r>
      <w:r w:rsidR="001977EB">
        <w:rPr>
          <w:rFonts w:ascii="Times New Roman" w:eastAsia="Times New Roman" w:hAnsi="Times New Roman" w:cs="Times New Roman"/>
          <w:sz w:val="24"/>
          <w:szCs w:val="24"/>
        </w:rPr>
        <w:t xml:space="preserve"> </w:t>
      </w:r>
      <w:r w:rsidRPr="001977EB" w:rsidR="0050375A">
        <w:rPr>
          <w:rFonts w:ascii="Times New Roman" w:hAnsi="Times New Roman" w:cs="Times New Roman"/>
          <w:sz w:val="24"/>
          <w:szCs w:val="24"/>
        </w:rPr>
        <w:t xml:space="preserve">Like the </w:t>
      </w:r>
      <w:r w:rsidR="001977EB">
        <w:rPr>
          <w:rFonts w:ascii="Times New Roman" w:hAnsi="Times New Roman" w:cs="Times New Roman"/>
          <w:sz w:val="24"/>
          <w:szCs w:val="24"/>
        </w:rPr>
        <w:t>“</w:t>
      </w:r>
      <w:r w:rsidRPr="001977EB" w:rsidR="0050375A">
        <w:rPr>
          <w:rFonts w:ascii="Times New Roman" w:hAnsi="Times New Roman" w:cs="Times New Roman"/>
          <w:sz w:val="24"/>
          <w:szCs w:val="24"/>
        </w:rPr>
        <w:t>advance debt repayment</w:t>
      </w:r>
      <w:r w:rsidR="001977EB">
        <w:rPr>
          <w:rFonts w:ascii="Times New Roman" w:hAnsi="Times New Roman" w:cs="Times New Roman"/>
          <w:sz w:val="24"/>
          <w:szCs w:val="24"/>
        </w:rPr>
        <w:t>”</w:t>
      </w:r>
      <w:r w:rsidRPr="001977EB" w:rsidR="0050375A">
        <w:rPr>
          <w:rFonts w:ascii="Times New Roman" w:hAnsi="Times New Roman" w:cs="Times New Roman"/>
          <w:sz w:val="24"/>
          <w:szCs w:val="24"/>
        </w:rPr>
        <w:t xml:space="preserve"> discussed in </w:t>
      </w:r>
      <w:r w:rsidRPr="004A595E" w:rsidR="0050375A">
        <w:rPr>
          <w:rFonts w:ascii="Times New Roman" w:hAnsi="Times New Roman" w:cs="Times New Roman"/>
          <w:sz w:val="24"/>
          <w:szCs w:val="24"/>
        </w:rPr>
        <w:t>Section II</w:t>
      </w:r>
      <w:r w:rsidR="0084150A">
        <w:rPr>
          <w:rFonts w:ascii="Times New Roman" w:hAnsi="Times New Roman" w:cs="Times New Roman"/>
          <w:sz w:val="24"/>
          <w:szCs w:val="24"/>
        </w:rPr>
        <w:t>I</w:t>
      </w:r>
      <w:r w:rsidRPr="004A595E" w:rsidR="0050375A">
        <w:rPr>
          <w:rFonts w:ascii="Times New Roman" w:hAnsi="Times New Roman" w:cs="Times New Roman"/>
          <w:sz w:val="24"/>
          <w:szCs w:val="24"/>
        </w:rPr>
        <w:t>(G)</w:t>
      </w:r>
      <w:r w:rsidRPr="001977EB" w:rsidR="0050375A">
        <w:rPr>
          <w:rFonts w:ascii="Times New Roman" w:hAnsi="Times New Roman" w:cs="Times New Roman"/>
          <w:sz w:val="24"/>
          <w:szCs w:val="24"/>
        </w:rPr>
        <w:t xml:space="preserve"> above, the PUCO should order the utilities to credit consumers for AEP, Duke and DP&amp;L</w:t>
      </w:r>
      <w:r w:rsidR="001977EB">
        <w:rPr>
          <w:rFonts w:ascii="Times New Roman" w:hAnsi="Times New Roman" w:cs="Times New Roman"/>
          <w:sz w:val="24"/>
          <w:szCs w:val="24"/>
        </w:rPr>
        <w:t>’</w:t>
      </w:r>
      <w:r w:rsidRPr="001977EB" w:rsidR="0050375A">
        <w:rPr>
          <w:rFonts w:ascii="Times New Roman" w:hAnsi="Times New Roman" w:cs="Times New Roman"/>
          <w:sz w:val="24"/>
          <w:szCs w:val="24"/>
        </w:rPr>
        <w:t xml:space="preserve">s share of the </w:t>
      </w:r>
      <w:r w:rsidRPr="001977EB">
        <w:rPr>
          <w:rFonts w:ascii="Times New Roman" w:hAnsi="Times New Roman" w:cs="Times New Roman"/>
          <w:sz w:val="24"/>
          <w:szCs w:val="24"/>
        </w:rPr>
        <w:t xml:space="preserve">postretirement benefit expense collected during 2020 as well as their share of the </w:t>
      </w:r>
      <w:r w:rsidRPr="001977EB" w:rsidR="0050375A">
        <w:rPr>
          <w:rFonts w:ascii="Times New Roman" w:hAnsi="Times New Roman" w:cs="Times New Roman"/>
          <w:sz w:val="24"/>
          <w:szCs w:val="24"/>
        </w:rPr>
        <w:t>full</w:t>
      </w:r>
      <w:r w:rsidRPr="001977EB" w:rsidR="00FC50DF">
        <w:rPr>
          <w:rFonts w:ascii="Times New Roman" w:hAnsi="Times New Roman" w:cs="Times New Roman"/>
          <w:sz w:val="24"/>
          <w:szCs w:val="24"/>
        </w:rPr>
        <w:t xml:space="preserve"> </w:t>
      </w:r>
      <w:r w:rsidRPr="001977EB" w:rsidR="0050375A">
        <w:rPr>
          <w:rFonts w:ascii="Times New Roman" w:eastAsia="Times New Roman" w:hAnsi="Times New Roman" w:cs="Times New Roman"/>
          <w:sz w:val="24"/>
          <w:szCs w:val="24"/>
        </w:rPr>
        <w:t>$64,415,536 in advance postretirement benefit charges collected to date.</w:t>
      </w:r>
      <w:r w:rsidRPr="001977EB" w:rsidR="00FC50DF">
        <w:rPr>
          <w:rFonts w:ascii="Times New Roman" w:eastAsia="Times New Roman" w:hAnsi="Times New Roman" w:cs="Times New Roman"/>
          <w:sz w:val="24"/>
          <w:szCs w:val="24"/>
        </w:rPr>
        <w:t xml:space="preserve"> </w:t>
      </w:r>
      <w:r w:rsidRPr="001977EB" w:rsidR="0050375A">
        <w:rPr>
          <w:rFonts w:ascii="Times New Roman" w:hAnsi="Times New Roman" w:cs="Times New Roman"/>
          <w:sz w:val="24"/>
          <w:szCs w:val="24"/>
        </w:rPr>
        <w:t>It is unjust and unreasonable that AEP, Duke and DP&amp;L have collected these amounts from consumers.</w:t>
      </w:r>
      <w:r w:rsidRPr="001977EB" w:rsidR="00FC50DF">
        <w:rPr>
          <w:rFonts w:ascii="Times New Roman" w:hAnsi="Times New Roman" w:cs="Times New Roman"/>
          <w:sz w:val="24"/>
          <w:szCs w:val="24"/>
        </w:rPr>
        <w:t xml:space="preserve"> </w:t>
      </w:r>
      <w:r w:rsidRPr="001977EB" w:rsidR="00A775C8">
        <w:rPr>
          <w:rFonts w:ascii="Times New Roman" w:hAnsi="Times New Roman" w:cs="Times New Roman"/>
          <w:sz w:val="24"/>
          <w:szCs w:val="24"/>
        </w:rPr>
        <w:t>The PUCO</w:t>
      </w:r>
      <w:r w:rsidR="001977EB">
        <w:rPr>
          <w:rFonts w:ascii="Times New Roman" w:hAnsi="Times New Roman" w:cs="Times New Roman"/>
          <w:sz w:val="24"/>
          <w:szCs w:val="24"/>
        </w:rPr>
        <w:t>’</w:t>
      </w:r>
      <w:r w:rsidRPr="001977EB" w:rsidR="00A775C8">
        <w:rPr>
          <w:rFonts w:ascii="Times New Roman" w:hAnsi="Times New Roman" w:cs="Times New Roman"/>
          <w:sz w:val="24"/>
          <w:szCs w:val="24"/>
        </w:rPr>
        <w:t>s policy on postretirement benefits prohibits the utilities from collecting future postretirement benefit costs, so AEP, Duke and DP&amp;L should not be allowed to collect such future costs directly for the benefit of their affiliate.</w:t>
      </w:r>
    </w:p>
    <w:p w:rsidR="002A3F8C" w:rsidRPr="001977EB" w:rsidP="004408F2" w14:paraId="25482A69" w14:textId="77777777">
      <w:pPr>
        <w:pStyle w:val="Heading2"/>
        <w:numPr>
          <w:ilvl w:val="0"/>
          <w:numId w:val="0"/>
        </w:numPr>
        <w:ind w:left="1440" w:hanging="720"/>
      </w:pPr>
      <w:bookmarkStart w:id="25" w:name="_Toc158641652"/>
      <w:r w:rsidRPr="001977EB">
        <w:t>I.</w:t>
      </w:r>
      <w:r w:rsidRPr="001977EB">
        <w:tab/>
      </w:r>
      <w:r w:rsidRPr="001977EB" w:rsidR="00394E5F">
        <w:t xml:space="preserve">The </w:t>
      </w:r>
      <w:r w:rsidRPr="001977EB" w:rsidR="00C6711B">
        <w:t xml:space="preserve">Attorney Examiners erred by excluding </w:t>
      </w:r>
      <w:r w:rsidRPr="001977EB" w:rsidR="004D2FAE">
        <w:t xml:space="preserve">evidence relating to </w:t>
      </w:r>
      <w:r w:rsidRPr="001977EB">
        <w:t>an earlier audit of the coal plant</w:t>
      </w:r>
      <w:r w:rsidRPr="001977EB" w:rsidR="00CD0527">
        <w:t>s</w:t>
      </w:r>
      <w:r w:rsidRPr="001977EB">
        <w:t xml:space="preserve"> where the </w:t>
      </w:r>
      <w:r w:rsidRPr="001977EB" w:rsidR="004D2FAE">
        <w:t xml:space="preserve">PUCO Staff asked the London Economics </w:t>
      </w:r>
      <w:r w:rsidRPr="001977EB">
        <w:t xml:space="preserve">Auditor </w:t>
      </w:r>
      <w:r w:rsidRPr="001977EB" w:rsidR="004D2FAE">
        <w:t xml:space="preserve">to retract her opinion </w:t>
      </w:r>
      <w:r w:rsidRPr="001977EB">
        <w:t xml:space="preserve">that running the plants was </w:t>
      </w:r>
      <w:r w:rsidRPr="001977EB">
        <w:rPr>
          <w:i/>
          <w:iCs/>
        </w:rPr>
        <w:t xml:space="preserve">not </w:t>
      </w:r>
      <w:r w:rsidR="001977EB">
        <w:t>“</w:t>
      </w:r>
      <w:r w:rsidRPr="001977EB">
        <w:t>in the best interest of retail ratepayers.</w:t>
      </w:r>
      <w:r w:rsidR="001977EB">
        <w:t>”</w:t>
      </w:r>
      <w:r w:rsidRPr="001977EB">
        <w:t xml:space="preserve"> The</w:t>
      </w:r>
      <w:r w:rsidRPr="001977EB" w:rsidR="004D2FAE">
        <w:t xml:space="preserve"> present case </w:t>
      </w:r>
      <w:r w:rsidRPr="001977EB">
        <w:t>involve</w:t>
      </w:r>
      <w:r w:rsidRPr="001977EB" w:rsidR="004D2FAE">
        <w:t>s</w:t>
      </w:r>
      <w:r w:rsidRPr="001977EB">
        <w:t xml:space="preserve"> the same Auditor, the same PUCO Staff</w:t>
      </w:r>
      <w:r w:rsidRPr="001977EB" w:rsidR="004D2FAE">
        <w:t xml:space="preserve">, the same </w:t>
      </w:r>
      <w:r w:rsidRPr="001977EB">
        <w:t>coal plant</w:t>
      </w:r>
      <w:r w:rsidRPr="001977EB" w:rsidR="004D2FAE">
        <w:t xml:space="preserve">s and the same </w:t>
      </w:r>
      <w:r w:rsidRPr="001977EB" w:rsidR="00C27673">
        <w:t xml:space="preserve">type of above-market energy </w:t>
      </w:r>
      <w:r w:rsidRPr="001977EB">
        <w:t>costs</w:t>
      </w:r>
      <w:r w:rsidRPr="001977EB" w:rsidR="004D2FAE">
        <w:t>.</w:t>
      </w:r>
      <w:r w:rsidRPr="001977EB" w:rsidR="00FC50DF">
        <w:t xml:space="preserve"> </w:t>
      </w:r>
      <w:r w:rsidRPr="001977EB" w:rsidR="004D2FAE">
        <w:t>The excluded evidence was</w:t>
      </w:r>
      <w:r w:rsidRPr="001977EB">
        <w:t xml:space="preserve"> highly relevant to prove London </w:t>
      </w:r>
      <w:r w:rsidRPr="001977EB" w:rsidR="00DC1C8C">
        <w:t>Economic</w:t>
      </w:r>
      <w:r w:rsidR="00DC1C8C">
        <w:t>s</w:t>
      </w:r>
      <w:r w:rsidRPr="001977EB" w:rsidR="00DC1C8C">
        <w:t>’</w:t>
      </w:r>
      <w:r w:rsidRPr="001977EB">
        <w:t xml:space="preserve"> (and PUCO</w:t>
      </w:r>
      <w:r w:rsidR="001977EB">
        <w:t>’</w:t>
      </w:r>
      <w:r w:rsidRPr="001977EB">
        <w:t>s) bias, prejudice and lack of independence from utility influence.</w:t>
      </w:r>
      <w:r w:rsidRPr="001977EB" w:rsidR="00FC50DF">
        <w:t xml:space="preserve"> </w:t>
      </w:r>
      <w:r w:rsidRPr="001977EB">
        <w:t xml:space="preserve">The Attorney Examiners also erred by </w:t>
      </w:r>
      <w:r w:rsidRPr="001977EB" w:rsidR="009C36D9">
        <w:t>prohibiting</w:t>
      </w:r>
      <w:r w:rsidRPr="001977EB">
        <w:t xml:space="preserve"> cross-examination on th</w:t>
      </w:r>
      <w:r w:rsidRPr="001977EB" w:rsidR="009C36D9">
        <w:t>ese</w:t>
      </w:r>
      <w:r w:rsidRPr="001977EB">
        <w:t xml:space="preserve"> </w:t>
      </w:r>
      <w:r w:rsidRPr="001977EB" w:rsidR="009C36D9">
        <w:t>issues</w:t>
      </w:r>
      <w:r w:rsidRPr="001977EB">
        <w:t>.</w:t>
      </w:r>
      <w:bookmarkEnd w:id="25"/>
    </w:p>
    <w:p w:rsidR="007829C0" w:rsidRPr="001977EB" w:rsidP="007829C0" w14:paraId="5C8FCBEB" w14:textId="77777777">
      <w:pPr>
        <w:spacing w:line="480" w:lineRule="auto"/>
        <w:ind w:firstLine="720"/>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The Attorney Examiner</w:t>
      </w:r>
      <w:r w:rsidRPr="001977EB" w:rsidR="004D2FAE">
        <w:rPr>
          <w:rFonts w:ascii="Times New Roman" w:hAnsi="Times New Roman" w:eastAsiaTheme="minorEastAsia" w:cs="Times New Roman"/>
          <w:sz w:val="24"/>
          <w:szCs w:val="24"/>
        </w:rPr>
        <w:t>s</w:t>
      </w:r>
      <w:r w:rsidRPr="001977EB">
        <w:rPr>
          <w:rFonts w:ascii="Times New Roman" w:hAnsi="Times New Roman" w:eastAsiaTheme="minorEastAsia" w:cs="Times New Roman"/>
          <w:sz w:val="24"/>
          <w:szCs w:val="24"/>
        </w:rPr>
        <w:t xml:space="preserve"> </w:t>
      </w:r>
      <w:r w:rsidRPr="001977EB" w:rsidR="004D2FAE">
        <w:rPr>
          <w:rFonts w:ascii="Times New Roman" w:hAnsi="Times New Roman" w:eastAsiaTheme="minorEastAsia" w:cs="Times New Roman"/>
          <w:sz w:val="24"/>
          <w:szCs w:val="24"/>
        </w:rPr>
        <w:t xml:space="preserve">erred by </w:t>
      </w:r>
      <w:r w:rsidRPr="001977EB">
        <w:rPr>
          <w:rFonts w:ascii="Times New Roman" w:hAnsi="Times New Roman" w:eastAsiaTheme="minorEastAsia" w:cs="Times New Roman"/>
          <w:sz w:val="24"/>
          <w:szCs w:val="24"/>
        </w:rPr>
        <w:t>exclud</w:t>
      </w:r>
      <w:r w:rsidRPr="001977EB" w:rsidR="004D2FAE">
        <w:rPr>
          <w:rFonts w:ascii="Times New Roman" w:hAnsi="Times New Roman" w:eastAsiaTheme="minorEastAsia" w:cs="Times New Roman"/>
          <w:sz w:val="24"/>
          <w:szCs w:val="24"/>
        </w:rPr>
        <w:t>ing</w:t>
      </w:r>
      <w:r w:rsidRPr="001977EB">
        <w:rPr>
          <w:rFonts w:ascii="Times New Roman" w:hAnsi="Times New Roman" w:eastAsiaTheme="minorEastAsia" w:cs="Times New Roman"/>
          <w:sz w:val="24"/>
          <w:szCs w:val="24"/>
        </w:rPr>
        <w:t xml:space="preserve"> highly relevant evidence of the Auditor</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 xml:space="preserve">s </w:t>
      </w:r>
      <w:r w:rsidRPr="001977EB" w:rsidR="004D2FAE">
        <w:rPr>
          <w:rFonts w:ascii="Times New Roman" w:hAnsi="Times New Roman" w:eastAsiaTheme="minorEastAsia" w:cs="Times New Roman"/>
          <w:sz w:val="24"/>
          <w:szCs w:val="24"/>
        </w:rPr>
        <w:t>(and the PUCO</w:t>
      </w:r>
      <w:r w:rsidR="001977EB">
        <w:rPr>
          <w:rFonts w:ascii="Times New Roman" w:hAnsi="Times New Roman" w:eastAsiaTheme="minorEastAsia" w:cs="Times New Roman"/>
          <w:sz w:val="24"/>
          <w:szCs w:val="24"/>
        </w:rPr>
        <w:t>’</w:t>
      </w:r>
      <w:r w:rsidRPr="001977EB" w:rsidR="004D2FAE">
        <w:rPr>
          <w:rFonts w:ascii="Times New Roman" w:hAnsi="Times New Roman" w:eastAsiaTheme="minorEastAsia" w:cs="Times New Roman"/>
          <w:sz w:val="24"/>
          <w:szCs w:val="24"/>
        </w:rPr>
        <w:t xml:space="preserve">s) </w:t>
      </w:r>
      <w:r w:rsidRPr="001977EB">
        <w:rPr>
          <w:rFonts w:ascii="Times New Roman" w:hAnsi="Times New Roman" w:eastAsiaTheme="minorEastAsia" w:cs="Times New Roman"/>
          <w:sz w:val="24"/>
          <w:szCs w:val="24"/>
        </w:rPr>
        <w:t>bias</w:t>
      </w:r>
      <w:r w:rsidRPr="001977EB" w:rsidR="004D2FAE">
        <w:rPr>
          <w:rFonts w:ascii="Times New Roman" w:hAnsi="Times New Roman" w:eastAsiaTheme="minorEastAsia" w:cs="Times New Roman"/>
          <w:sz w:val="24"/>
          <w:szCs w:val="24"/>
        </w:rPr>
        <w:t>, prejudice and</w:t>
      </w:r>
      <w:r w:rsidRPr="001977EB">
        <w:rPr>
          <w:rFonts w:ascii="Times New Roman" w:hAnsi="Times New Roman" w:eastAsiaTheme="minorEastAsia" w:cs="Times New Roman"/>
          <w:sz w:val="24"/>
          <w:szCs w:val="24"/>
        </w:rPr>
        <w:t xml:space="preserve"> lack of independence.</w:t>
      </w:r>
      <w:r>
        <w:rPr>
          <w:rStyle w:val="FootnoteReference"/>
          <w:rFonts w:ascii="Times New Roman" w:hAnsi="Times New Roman" w:eastAsiaTheme="minorEastAsia" w:cs="Times New Roman"/>
          <w:sz w:val="24"/>
          <w:szCs w:val="24"/>
        </w:rPr>
        <w:footnoteReference w:id="115"/>
      </w:r>
      <w:r w:rsidRPr="001977EB">
        <w:rPr>
          <w:rFonts w:ascii="Times New Roman" w:hAnsi="Times New Roman" w:eastAsiaTheme="minorEastAsia" w:cs="Times New Roman"/>
          <w:sz w:val="24"/>
          <w:szCs w:val="24"/>
        </w:rPr>
        <w:t xml:space="preserve"> Th</w:t>
      </w:r>
      <w:r w:rsidRPr="001977EB" w:rsidR="004D2FAE">
        <w:rPr>
          <w:rFonts w:ascii="Times New Roman" w:hAnsi="Times New Roman" w:eastAsiaTheme="minorEastAsia" w:cs="Times New Roman"/>
          <w:sz w:val="24"/>
          <w:szCs w:val="24"/>
        </w:rPr>
        <w:t>e</w:t>
      </w:r>
      <w:r w:rsidRPr="001977EB">
        <w:rPr>
          <w:rFonts w:ascii="Times New Roman" w:hAnsi="Times New Roman" w:eastAsiaTheme="minorEastAsia" w:cs="Times New Roman"/>
          <w:sz w:val="24"/>
          <w:szCs w:val="24"/>
        </w:rPr>
        <w:t>se rulings violated OCC</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 xml:space="preserve">s substantial </w:t>
      </w:r>
      <w:r w:rsidRPr="001977EB" w:rsidR="003603C6">
        <w:rPr>
          <w:rFonts w:ascii="Times New Roman" w:hAnsi="Times New Roman" w:eastAsiaTheme="minorEastAsia" w:cs="Times New Roman"/>
          <w:sz w:val="24"/>
          <w:szCs w:val="24"/>
        </w:rPr>
        <w:t xml:space="preserve">due process </w:t>
      </w:r>
      <w:r w:rsidRPr="001977EB">
        <w:rPr>
          <w:rFonts w:ascii="Times New Roman" w:hAnsi="Times New Roman" w:eastAsiaTheme="minorEastAsia" w:cs="Times New Roman"/>
          <w:sz w:val="24"/>
          <w:szCs w:val="24"/>
        </w:rPr>
        <w:t>rights.</w:t>
      </w:r>
      <w:r w:rsidRPr="001977EB" w:rsidR="00FC50DF">
        <w:rPr>
          <w:rFonts w:ascii="Times New Roman" w:hAnsi="Times New Roman" w:eastAsiaTheme="minorEastAsia" w:cs="Times New Roman"/>
          <w:sz w:val="24"/>
          <w:szCs w:val="24"/>
        </w:rPr>
        <w:t xml:space="preserve"> </w:t>
      </w:r>
      <w:r w:rsidRPr="001977EB" w:rsidR="004D2FAE">
        <w:rPr>
          <w:rFonts w:ascii="Times New Roman" w:hAnsi="Times New Roman" w:eastAsiaTheme="minorEastAsia" w:cs="Times New Roman"/>
          <w:sz w:val="24"/>
          <w:szCs w:val="24"/>
        </w:rPr>
        <w:t>The PUCO should overrule these evidentiary rulings</w:t>
      </w:r>
      <w:r w:rsidRPr="001977EB" w:rsidR="009C36D9">
        <w:rPr>
          <w:rFonts w:ascii="Times New Roman" w:hAnsi="Times New Roman" w:eastAsiaTheme="minorEastAsia" w:cs="Times New Roman"/>
          <w:sz w:val="24"/>
          <w:szCs w:val="24"/>
        </w:rPr>
        <w:t>,</w:t>
      </w:r>
      <w:r w:rsidRPr="001977EB" w:rsidR="004D2FAE">
        <w:rPr>
          <w:rFonts w:ascii="Times New Roman" w:hAnsi="Times New Roman" w:eastAsiaTheme="minorEastAsia" w:cs="Times New Roman"/>
          <w:sz w:val="24"/>
          <w:szCs w:val="24"/>
        </w:rPr>
        <w:t xml:space="preserve"> re-open the evidentiary hearing </w:t>
      </w:r>
      <w:r w:rsidRPr="001977EB" w:rsidR="009C36D9">
        <w:rPr>
          <w:rFonts w:ascii="Times New Roman" w:hAnsi="Times New Roman" w:eastAsiaTheme="minorEastAsia" w:cs="Times New Roman"/>
          <w:sz w:val="24"/>
          <w:szCs w:val="24"/>
        </w:rPr>
        <w:t>and allow</w:t>
      </w:r>
      <w:r w:rsidRPr="001977EB" w:rsidR="004D2FAE">
        <w:rPr>
          <w:rFonts w:ascii="Times New Roman" w:hAnsi="Times New Roman" w:eastAsiaTheme="minorEastAsia" w:cs="Times New Roman"/>
          <w:sz w:val="24"/>
          <w:szCs w:val="24"/>
        </w:rPr>
        <w:t xml:space="preserve"> OCC to introduce th</w:t>
      </w:r>
      <w:r w:rsidRPr="001977EB" w:rsidR="009C36D9">
        <w:rPr>
          <w:rFonts w:ascii="Times New Roman" w:hAnsi="Times New Roman" w:eastAsiaTheme="minorEastAsia" w:cs="Times New Roman"/>
          <w:sz w:val="24"/>
          <w:szCs w:val="24"/>
        </w:rPr>
        <w:t>e</w:t>
      </w:r>
      <w:r w:rsidRPr="001977EB" w:rsidR="004D2FAE">
        <w:rPr>
          <w:rFonts w:ascii="Times New Roman" w:hAnsi="Times New Roman" w:eastAsiaTheme="minorEastAsia" w:cs="Times New Roman"/>
          <w:sz w:val="24"/>
          <w:szCs w:val="24"/>
        </w:rPr>
        <w:t xml:space="preserve"> evidence</w:t>
      </w:r>
      <w:r w:rsidRPr="001977EB" w:rsidR="009C36D9">
        <w:rPr>
          <w:rFonts w:ascii="Times New Roman" w:hAnsi="Times New Roman" w:eastAsiaTheme="minorEastAsia" w:cs="Times New Roman"/>
          <w:sz w:val="24"/>
          <w:szCs w:val="24"/>
        </w:rPr>
        <w:t xml:space="preserve"> and conduct cross-examination on these issues</w:t>
      </w:r>
      <w:r w:rsidRPr="001977EB" w:rsidR="004D2FAE">
        <w:rPr>
          <w:rFonts w:ascii="Times New Roman" w:hAnsi="Times New Roman" w:eastAsiaTheme="minorEastAsia" w:cs="Times New Roman"/>
          <w:sz w:val="24"/>
          <w:szCs w:val="24"/>
        </w:rPr>
        <w:t>.</w:t>
      </w:r>
    </w:p>
    <w:p w:rsidR="00BE7737" w:rsidRPr="001977EB" w:rsidP="007829C0" w14:paraId="138EF08B" w14:textId="77777777">
      <w:pPr>
        <w:spacing w:line="480" w:lineRule="auto"/>
        <w:ind w:firstLine="720"/>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As background, London Economics prepared the three Audit Reports in the present case.</w:t>
      </w:r>
      <w:r>
        <w:rPr>
          <w:rStyle w:val="FootnoteReference"/>
          <w:rFonts w:ascii="Times New Roman" w:hAnsi="Times New Roman" w:eastAsiaTheme="minorEastAsia" w:cs="Times New Roman"/>
          <w:sz w:val="24"/>
          <w:szCs w:val="24"/>
        </w:rPr>
        <w:footnoteReference w:id="116"/>
      </w:r>
      <w:r w:rsidRPr="001977EB" w:rsidR="00FC50DF">
        <w:rPr>
          <w:rFonts w:ascii="Times New Roman" w:hAnsi="Times New Roman" w:eastAsiaTheme="minorEastAsia" w:cs="Times New Roman"/>
          <w:sz w:val="24"/>
          <w:szCs w:val="24"/>
        </w:rPr>
        <w:t xml:space="preserve"> </w:t>
      </w:r>
      <w:r w:rsidRPr="001977EB">
        <w:rPr>
          <w:rFonts w:ascii="Times New Roman" w:hAnsi="Times New Roman" w:eastAsiaTheme="minorEastAsia" w:cs="Times New Roman"/>
          <w:sz w:val="24"/>
          <w:szCs w:val="24"/>
        </w:rPr>
        <w:t>The present audits involve coal plant subsidy costs for 2020.</w:t>
      </w:r>
      <w:r>
        <w:rPr>
          <w:rStyle w:val="FootnoteReference"/>
          <w:rFonts w:ascii="Times New Roman" w:hAnsi="Times New Roman" w:eastAsiaTheme="minorEastAsia" w:cs="Times New Roman"/>
          <w:sz w:val="24"/>
          <w:szCs w:val="24"/>
        </w:rPr>
        <w:footnoteReference w:id="117"/>
      </w:r>
      <w:r w:rsidRPr="001977EB" w:rsidR="00FC50DF">
        <w:rPr>
          <w:rFonts w:ascii="Times New Roman" w:hAnsi="Times New Roman" w:eastAsiaTheme="minorEastAsia" w:cs="Times New Roman"/>
          <w:sz w:val="24"/>
          <w:szCs w:val="24"/>
        </w:rPr>
        <w:t xml:space="preserve"> </w:t>
      </w:r>
      <w:r w:rsidRPr="001977EB">
        <w:rPr>
          <w:rFonts w:ascii="Times New Roman" w:hAnsi="Times New Roman" w:eastAsiaTheme="minorEastAsia" w:cs="Times New Roman"/>
          <w:sz w:val="24"/>
          <w:szCs w:val="24"/>
        </w:rPr>
        <w:t>London Economics also prepared: (1) an Audit Report for AEP</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s coal plant subsidy costs in 2019;</w:t>
      </w:r>
      <w:r>
        <w:rPr>
          <w:rStyle w:val="FootnoteReference"/>
          <w:rFonts w:ascii="Times New Roman" w:hAnsi="Times New Roman" w:eastAsiaTheme="minorEastAsia" w:cs="Times New Roman"/>
          <w:sz w:val="24"/>
          <w:szCs w:val="24"/>
        </w:rPr>
        <w:footnoteReference w:id="118"/>
      </w:r>
      <w:r w:rsidRPr="001977EB">
        <w:rPr>
          <w:rFonts w:ascii="Times New Roman" w:hAnsi="Times New Roman" w:eastAsiaTheme="minorEastAsia" w:cs="Times New Roman"/>
          <w:sz w:val="24"/>
          <w:szCs w:val="24"/>
        </w:rPr>
        <w:t xml:space="preserve"> and (2) an Audit Report for Duke</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s coal plant subsidy costs for 2019.</w:t>
      </w:r>
      <w:r>
        <w:rPr>
          <w:rStyle w:val="FootnoteReference"/>
          <w:rFonts w:ascii="Times New Roman" w:hAnsi="Times New Roman" w:eastAsiaTheme="minorEastAsia" w:cs="Times New Roman"/>
          <w:sz w:val="24"/>
          <w:szCs w:val="24"/>
        </w:rPr>
        <w:footnoteReference w:id="119"/>
      </w:r>
      <w:r w:rsidRPr="001977EB" w:rsidR="00FC50DF">
        <w:rPr>
          <w:rFonts w:ascii="Times New Roman" w:hAnsi="Times New Roman" w:eastAsiaTheme="minorEastAsia" w:cs="Times New Roman"/>
          <w:sz w:val="24"/>
          <w:szCs w:val="24"/>
        </w:rPr>
        <w:t xml:space="preserve"> </w:t>
      </w:r>
      <w:r w:rsidRPr="001977EB" w:rsidR="00B94AC7">
        <w:rPr>
          <w:rFonts w:ascii="Times New Roman" w:hAnsi="Times New Roman" w:eastAsiaTheme="minorEastAsia" w:cs="Times New Roman"/>
          <w:sz w:val="24"/>
          <w:szCs w:val="24"/>
        </w:rPr>
        <w:t xml:space="preserve">All five </w:t>
      </w:r>
      <w:r w:rsidRPr="001977EB" w:rsidR="00CD0527">
        <w:rPr>
          <w:rFonts w:ascii="Times New Roman" w:hAnsi="Times New Roman" w:eastAsiaTheme="minorEastAsia" w:cs="Times New Roman"/>
          <w:sz w:val="24"/>
          <w:szCs w:val="24"/>
        </w:rPr>
        <w:t>A</w:t>
      </w:r>
      <w:r w:rsidRPr="001977EB" w:rsidR="00B94AC7">
        <w:rPr>
          <w:rFonts w:ascii="Times New Roman" w:hAnsi="Times New Roman" w:eastAsiaTheme="minorEastAsia" w:cs="Times New Roman"/>
          <w:sz w:val="24"/>
          <w:szCs w:val="24"/>
        </w:rPr>
        <w:t xml:space="preserve">udit </w:t>
      </w:r>
      <w:r w:rsidRPr="001977EB" w:rsidR="00CD0527">
        <w:rPr>
          <w:rFonts w:ascii="Times New Roman" w:hAnsi="Times New Roman" w:eastAsiaTheme="minorEastAsia" w:cs="Times New Roman"/>
          <w:sz w:val="24"/>
          <w:szCs w:val="24"/>
        </w:rPr>
        <w:t>R</w:t>
      </w:r>
      <w:r w:rsidRPr="001977EB" w:rsidR="00B94AC7">
        <w:rPr>
          <w:rFonts w:ascii="Times New Roman" w:hAnsi="Times New Roman" w:eastAsiaTheme="minorEastAsia" w:cs="Times New Roman"/>
          <w:sz w:val="24"/>
          <w:szCs w:val="24"/>
        </w:rPr>
        <w:t xml:space="preserve">eports involved the same </w:t>
      </w:r>
      <w:r w:rsidRPr="001977EB" w:rsidR="000850E3">
        <w:rPr>
          <w:rFonts w:ascii="Times New Roman" w:hAnsi="Times New Roman" w:eastAsiaTheme="minorEastAsia" w:cs="Times New Roman"/>
          <w:sz w:val="24"/>
          <w:szCs w:val="24"/>
        </w:rPr>
        <w:t xml:space="preserve">London Economics </w:t>
      </w:r>
      <w:r w:rsidRPr="001977EB" w:rsidR="00B94AC7">
        <w:rPr>
          <w:rFonts w:ascii="Times New Roman" w:hAnsi="Times New Roman" w:eastAsiaTheme="minorEastAsia" w:cs="Times New Roman"/>
          <w:sz w:val="24"/>
          <w:szCs w:val="24"/>
        </w:rPr>
        <w:t>Auditor, the same PUCO Staff, the same coal plants and the same types of costs.</w:t>
      </w:r>
      <w:r w:rsidRPr="001977EB" w:rsidR="00FC50DF">
        <w:rPr>
          <w:rFonts w:ascii="Times New Roman" w:hAnsi="Times New Roman" w:eastAsiaTheme="minorEastAsia" w:cs="Times New Roman"/>
          <w:sz w:val="24"/>
          <w:szCs w:val="24"/>
        </w:rPr>
        <w:t xml:space="preserve"> </w:t>
      </w:r>
      <w:r w:rsidRPr="001977EB" w:rsidR="00B94AC7">
        <w:rPr>
          <w:rFonts w:ascii="Times New Roman" w:hAnsi="Times New Roman" w:eastAsiaTheme="minorEastAsia" w:cs="Times New Roman"/>
          <w:sz w:val="24"/>
          <w:szCs w:val="24"/>
        </w:rPr>
        <w:t xml:space="preserve">All five </w:t>
      </w:r>
      <w:r w:rsidRPr="001977EB" w:rsidR="00CD0527">
        <w:rPr>
          <w:rFonts w:ascii="Times New Roman" w:hAnsi="Times New Roman" w:eastAsiaTheme="minorEastAsia" w:cs="Times New Roman"/>
          <w:sz w:val="24"/>
          <w:szCs w:val="24"/>
        </w:rPr>
        <w:t>A</w:t>
      </w:r>
      <w:r w:rsidRPr="001977EB" w:rsidR="00B94AC7">
        <w:rPr>
          <w:rFonts w:ascii="Times New Roman" w:hAnsi="Times New Roman" w:eastAsiaTheme="minorEastAsia" w:cs="Times New Roman"/>
          <w:sz w:val="24"/>
          <w:szCs w:val="24"/>
        </w:rPr>
        <w:t xml:space="preserve">udit </w:t>
      </w:r>
      <w:r w:rsidRPr="001977EB" w:rsidR="00CD0527">
        <w:rPr>
          <w:rFonts w:ascii="Times New Roman" w:hAnsi="Times New Roman" w:eastAsiaTheme="minorEastAsia" w:cs="Times New Roman"/>
          <w:sz w:val="24"/>
          <w:szCs w:val="24"/>
        </w:rPr>
        <w:t>R</w:t>
      </w:r>
      <w:r w:rsidRPr="001977EB" w:rsidR="00B94AC7">
        <w:rPr>
          <w:rFonts w:ascii="Times New Roman" w:hAnsi="Times New Roman" w:eastAsiaTheme="minorEastAsia" w:cs="Times New Roman"/>
          <w:sz w:val="24"/>
          <w:szCs w:val="24"/>
        </w:rPr>
        <w:t>eports are organized and presented the same way and much of the language is identical</w:t>
      </w:r>
      <w:r w:rsidRPr="001977EB" w:rsidR="00CD0527">
        <w:rPr>
          <w:rFonts w:ascii="Times New Roman" w:hAnsi="Times New Roman" w:eastAsiaTheme="minorEastAsia" w:cs="Times New Roman"/>
          <w:sz w:val="24"/>
          <w:szCs w:val="24"/>
        </w:rPr>
        <w:t xml:space="preserve"> in all five reports</w:t>
      </w:r>
      <w:r w:rsidRPr="001977EB" w:rsidR="00B94AC7">
        <w:rPr>
          <w:rFonts w:ascii="Times New Roman" w:hAnsi="Times New Roman" w:eastAsiaTheme="minorEastAsia" w:cs="Times New Roman"/>
          <w:sz w:val="24"/>
          <w:szCs w:val="24"/>
        </w:rPr>
        <w:t>.</w:t>
      </w:r>
    </w:p>
    <w:p w:rsidR="00B94AC7" w:rsidRPr="001977EB" w:rsidP="007829C0" w14:paraId="6DAED185" w14:textId="77777777">
      <w:pPr>
        <w:spacing w:line="480" w:lineRule="auto"/>
        <w:ind w:firstLine="720"/>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The 2019 AEP Audit Report was prepared first.</w:t>
      </w:r>
      <w:r w:rsidRPr="001977EB" w:rsidR="00FC50DF">
        <w:rPr>
          <w:rFonts w:ascii="Times New Roman" w:hAnsi="Times New Roman" w:eastAsiaTheme="minorEastAsia" w:cs="Times New Roman"/>
          <w:sz w:val="24"/>
          <w:szCs w:val="24"/>
        </w:rPr>
        <w:t xml:space="preserve"> </w:t>
      </w:r>
      <w:r w:rsidRPr="001977EB">
        <w:rPr>
          <w:rFonts w:ascii="Times New Roman" w:hAnsi="Times New Roman" w:eastAsiaTheme="minorEastAsia" w:cs="Times New Roman"/>
          <w:sz w:val="24"/>
          <w:szCs w:val="24"/>
        </w:rPr>
        <w:t xml:space="preserve">During that Audit, the PUCO Staff asked the </w:t>
      </w:r>
      <w:r w:rsidRPr="001977EB" w:rsidR="000850E3">
        <w:rPr>
          <w:rFonts w:ascii="Times New Roman" w:hAnsi="Times New Roman" w:eastAsiaTheme="minorEastAsia" w:cs="Times New Roman"/>
          <w:sz w:val="24"/>
          <w:szCs w:val="24"/>
        </w:rPr>
        <w:t xml:space="preserve">London Economics </w:t>
      </w:r>
      <w:r w:rsidRPr="001977EB">
        <w:rPr>
          <w:rFonts w:ascii="Times New Roman" w:hAnsi="Times New Roman" w:eastAsiaTheme="minorEastAsia" w:cs="Times New Roman"/>
          <w:sz w:val="24"/>
          <w:szCs w:val="24"/>
        </w:rPr>
        <w:t xml:space="preserve">Auditor </w:t>
      </w:r>
      <w:r w:rsidRPr="001977EB" w:rsidR="000850E3">
        <w:rPr>
          <w:rFonts w:ascii="Times New Roman" w:hAnsi="Times New Roman" w:eastAsiaTheme="minorEastAsia" w:cs="Times New Roman"/>
          <w:sz w:val="24"/>
          <w:szCs w:val="24"/>
        </w:rPr>
        <w:t xml:space="preserve">to </w:t>
      </w:r>
      <w:r w:rsidRPr="001977EB">
        <w:rPr>
          <w:rFonts w:ascii="Times New Roman" w:hAnsi="Times New Roman" w:eastAsiaTheme="minorEastAsia" w:cs="Times New Roman"/>
          <w:sz w:val="24"/>
          <w:szCs w:val="24"/>
        </w:rPr>
        <w:t xml:space="preserve">withdraw her </w:t>
      </w:r>
      <w:r w:rsidRPr="001977EB" w:rsidR="009C36D9">
        <w:rPr>
          <w:rFonts w:ascii="Times New Roman" w:hAnsi="Times New Roman" w:eastAsiaTheme="minorEastAsia" w:cs="Times New Roman"/>
          <w:sz w:val="24"/>
          <w:szCs w:val="24"/>
        </w:rPr>
        <w:t xml:space="preserve">initial </w:t>
      </w:r>
      <w:r w:rsidRPr="001977EB">
        <w:rPr>
          <w:rFonts w:ascii="Times New Roman" w:hAnsi="Times New Roman" w:eastAsiaTheme="minorEastAsia" w:cs="Times New Roman"/>
          <w:sz w:val="24"/>
          <w:szCs w:val="24"/>
        </w:rPr>
        <w:t xml:space="preserve">conclusion that </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keeping the plants running does not seem to be in the best interests of the ratepayers.</w:t>
      </w:r>
      <w:r w:rsidR="001977EB">
        <w:rPr>
          <w:rFonts w:ascii="Times New Roman" w:hAnsi="Times New Roman" w:eastAsiaTheme="minorEastAsia" w:cs="Times New Roman"/>
          <w:sz w:val="24"/>
          <w:szCs w:val="24"/>
        </w:rPr>
        <w:t>”</w:t>
      </w:r>
      <w:r>
        <w:rPr>
          <w:rStyle w:val="FootnoteReference"/>
          <w:rFonts w:ascii="Times New Roman" w:hAnsi="Times New Roman" w:eastAsiaTheme="minorEastAsia" w:cs="Times New Roman"/>
          <w:sz w:val="24"/>
          <w:szCs w:val="24"/>
        </w:rPr>
        <w:footnoteReference w:id="120"/>
      </w:r>
      <w:r w:rsidRPr="001977EB" w:rsidR="000850E3">
        <w:rPr>
          <w:rFonts w:ascii="Times New Roman" w:hAnsi="Times New Roman" w:eastAsiaTheme="minorEastAsia" w:cs="Times New Roman"/>
          <w:sz w:val="24"/>
          <w:szCs w:val="24"/>
        </w:rPr>
        <w:t xml:space="preserve"> The PUCO Staff asked London Economics to use </w:t>
      </w:r>
      <w:r w:rsidR="001977EB">
        <w:rPr>
          <w:rFonts w:ascii="Times New Roman" w:hAnsi="Times New Roman" w:eastAsiaTheme="minorEastAsia" w:cs="Times New Roman"/>
          <w:sz w:val="24"/>
          <w:szCs w:val="24"/>
        </w:rPr>
        <w:t>“</w:t>
      </w:r>
      <w:r w:rsidRPr="001977EB" w:rsidR="000850E3">
        <w:rPr>
          <w:rFonts w:ascii="Times New Roman" w:hAnsi="Times New Roman" w:eastAsiaTheme="minorEastAsia" w:cs="Times New Roman"/>
          <w:sz w:val="24"/>
          <w:szCs w:val="24"/>
        </w:rPr>
        <w:t>a milder tone and intensity</w:t>
      </w:r>
      <w:r w:rsidR="001977EB">
        <w:rPr>
          <w:rFonts w:ascii="Times New Roman" w:hAnsi="Times New Roman" w:eastAsiaTheme="minorEastAsia" w:cs="Times New Roman"/>
          <w:sz w:val="24"/>
          <w:szCs w:val="24"/>
        </w:rPr>
        <w:t>”</w:t>
      </w:r>
      <w:r w:rsidRPr="001977EB" w:rsidR="000850E3">
        <w:rPr>
          <w:rFonts w:ascii="Times New Roman" w:hAnsi="Times New Roman" w:eastAsiaTheme="minorEastAsia" w:cs="Times New Roman"/>
          <w:sz w:val="24"/>
          <w:szCs w:val="24"/>
        </w:rPr>
        <w:t xml:space="preserve"> in place of this language.</w:t>
      </w:r>
      <w:r>
        <w:rPr>
          <w:rStyle w:val="FootnoteReference"/>
          <w:rFonts w:ascii="Times New Roman" w:hAnsi="Times New Roman" w:eastAsiaTheme="minorEastAsia" w:cs="Times New Roman"/>
          <w:sz w:val="24"/>
          <w:szCs w:val="24"/>
        </w:rPr>
        <w:footnoteReference w:id="121"/>
      </w:r>
      <w:r w:rsidRPr="001977EB" w:rsidR="00FC50DF">
        <w:rPr>
          <w:rFonts w:ascii="Times New Roman" w:hAnsi="Times New Roman" w:eastAsiaTheme="minorEastAsia" w:cs="Times New Roman"/>
          <w:sz w:val="24"/>
          <w:szCs w:val="24"/>
        </w:rPr>
        <w:t xml:space="preserve"> </w:t>
      </w:r>
      <w:r w:rsidRPr="001977EB" w:rsidR="000850E3">
        <w:rPr>
          <w:rFonts w:ascii="Times New Roman" w:hAnsi="Times New Roman" w:eastAsiaTheme="minorEastAsia" w:cs="Times New Roman"/>
          <w:sz w:val="24"/>
          <w:szCs w:val="24"/>
        </w:rPr>
        <w:t xml:space="preserve">The London Economics </w:t>
      </w:r>
      <w:r w:rsidRPr="001977EB" w:rsidR="00CD0527">
        <w:rPr>
          <w:rFonts w:ascii="Times New Roman" w:hAnsi="Times New Roman" w:eastAsiaTheme="minorEastAsia" w:cs="Times New Roman"/>
          <w:sz w:val="24"/>
          <w:szCs w:val="24"/>
        </w:rPr>
        <w:t xml:space="preserve">Auditor </w:t>
      </w:r>
      <w:r w:rsidRPr="001977EB" w:rsidR="000850E3">
        <w:rPr>
          <w:rFonts w:ascii="Times New Roman" w:hAnsi="Times New Roman" w:eastAsiaTheme="minorEastAsia" w:cs="Times New Roman"/>
          <w:sz w:val="24"/>
          <w:szCs w:val="24"/>
        </w:rPr>
        <w:t xml:space="preserve">removed this statement from her </w:t>
      </w:r>
      <w:r w:rsidRPr="001977EB" w:rsidR="009C36D9">
        <w:rPr>
          <w:rFonts w:ascii="Times New Roman" w:hAnsi="Times New Roman" w:eastAsiaTheme="minorEastAsia" w:cs="Times New Roman"/>
          <w:sz w:val="24"/>
          <w:szCs w:val="24"/>
        </w:rPr>
        <w:t xml:space="preserve">draft </w:t>
      </w:r>
      <w:r w:rsidRPr="001977EB" w:rsidR="000850E3">
        <w:rPr>
          <w:rFonts w:ascii="Times New Roman" w:hAnsi="Times New Roman" w:eastAsiaTheme="minorEastAsia" w:cs="Times New Roman"/>
          <w:sz w:val="24"/>
          <w:szCs w:val="24"/>
        </w:rPr>
        <w:t>Audit Report in response to the PUCO Staff</w:t>
      </w:r>
      <w:r w:rsidR="001977EB">
        <w:rPr>
          <w:rFonts w:ascii="Times New Roman" w:hAnsi="Times New Roman" w:eastAsiaTheme="minorEastAsia" w:cs="Times New Roman"/>
          <w:sz w:val="24"/>
          <w:szCs w:val="24"/>
        </w:rPr>
        <w:t>’</w:t>
      </w:r>
      <w:r w:rsidRPr="001977EB" w:rsidR="000850E3">
        <w:rPr>
          <w:rFonts w:ascii="Times New Roman" w:hAnsi="Times New Roman" w:eastAsiaTheme="minorEastAsia" w:cs="Times New Roman"/>
          <w:sz w:val="24"/>
          <w:szCs w:val="24"/>
        </w:rPr>
        <w:t>s request.</w:t>
      </w:r>
      <w:r>
        <w:rPr>
          <w:rStyle w:val="FootnoteReference"/>
          <w:rFonts w:ascii="Times New Roman" w:hAnsi="Times New Roman" w:eastAsiaTheme="minorEastAsia" w:cs="Times New Roman"/>
          <w:sz w:val="24"/>
          <w:szCs w:val="24"/>
        </w:rPr>
        <w:footnoteReference w:id="122"/>
      </w:r>
      <w:r w:rsidRPr="001977EB" w:rsidR="00FC50DF">
        <w:rPr>
          <w:rFonts w:ascii="Times New Roman" w:hAnsi="Times New Roman" w:eastAsiaTheme="minorEastAsia" w:cs="Times New Roman"/>
          <w:sz w:val="24"/>
          <w:szCs w:val="24"/>
        </w:rPr>
        <w:t xml:space="preserve"> </w:t>
      </w:r>
      <w:r w:rsidRPr="001977EB" w:rsidR="002275BF">
        <w:rPr>
          <w:rFonts w:ascii="Times New Roman" w:hAnsi="Times New Roman" w:eastAsiaTheme="minorEastAsia" w:cs="Times New Roman"/>
          <w:sz w:val="24"/>
          <w:szCs w:val="24"/>
        </w:rPr>
        <w:t xml:space="preserve">These communications between the PUCO Staff and the London Economics Auditor are </w:t>
      </w:r>
      <w:r w:rsidRPr="001977EB" w:rsidR="00CD0527">
        <w:rPr>
          <w:rFonts w:ascii="Times New Roman" w:hAnsi="Times New Roman" w:eastAsiaTheme="minorEastAsia" w:cs="Times New Roman"/>
          <w:sz w:val="24"/>
          <w:szCs w:val="24"/>
        </w:rPr>
        <w:t>reflected</w:t>
      </w:r>
      <w:r w:rsidRPr="001977EB" w:rsidR="002275BF">
        <w:rPr>
          <w:rFonts w:ascii="Times New Roman" w:hAnsi="Times New Roman" w:eastAsiaTheme="minorEastAsia" w:cs="Times New Roman"/>
          <w:sz w:val="24"/>
          <w:szCs w:val="24"/>
        </w:rPr>
        <w:t xml:space="preserve"> in a series of emails.</w:t>
      </w:r>
      <w:r>
        <w:rPr>
          <w:rStyle w:val="FootnoteReference"/>
          <w:rFonts w:ascii="Times New Roman" w:hAnsi="Times New Roman" w:eastAsiaTheme="minorEastAsia" w:cs="Times New Roman"/>
          <w:sz w:val="24"/>
          <w:szCs w:val="24"/>
        </w:rPr>
        <w:footnoteReference w:id="123"/>
      </w:r>
      <w:r w:rsidRPr="001977EB" w:rsidR="00FC50DF">
        <w:rPr>
          <w:rFonts w:ascii="Times New Roman" w:hAnsi="Times New Roman" w:eastAsiaTheme="minorEastAsia" w:cs="Times New Roman"/>
          <w:sz w:val="24"/>
          <w:szCs w:val="24"/>
        </w:rPr>
        <w:t xml:space="preserve"> </w:t>
      </w:r>
      <w:r w:rsidRPr="001977EB" w:rsidR="002275BF">
        <w:rPr>
          <w:rFonts w:ascii="Times New Roman" w:hAnsi="Times New Roman" w:eastAsiaTheme="minorEastAsia" w:cs="Times New Roman"/>
          <w:sz w:val="24"/>
          <w:szCs w:val="24"/>
        </w:rPr>
        <w:t>The emails are located at Attachment J</w:t>
      </w:r>
      <w:r w:rsidR="00583937">
        <w:rPr>
          <w:rFonts w:ascii="Times New Roman" w:hAnsi="Times New Roman" w:eastAsiaTheme="minorEastAsia" w:cs="Times New Roman"/>
          <w:sz w:val="24"/>
          <w:szCs w:val="24"/>
        </w:rPr>
        <w:t>SP</w:t>
      </w:r>
      <w:r w:rsidRPr="001977EB" w:rsidR="002275BF">
        <w:rPr>
          <w:rFonts w:ascii="Times New Roman" w:hAnsi="Times New Roman" w:eastAsiaTheme="minorEastAsia" w:cs="Times New Roman"/>
          <w:sz w:val="24"/>
          <w:szCs w:val="24"/>
        </w:rPr>
        <w:t>-3 to Mr. Perez</w:t>
      </w:r>
      <w:r w:rsidR="001977EB">
        <w:rPr>
          <w:rFonts w:ascii="Times New Roman" w:hAnsi="Times New Roman" w:eastAsiaTheme="minorEastAsia" w:cs="Times New Roman"/>
          <w:sz w:val="24"/>
          <w:szCs w:val="24"/>
        </w:rPr>
        <w:t>’</w:t>
      </w:r>
      <w:r w:rsidRPr="001977EB" w:rsidR="002275BF">
        <w:rPr>
          <w:rFonts w:ascii="Times New Roman" w:hAnsi="Times New Roman" w:eastAsiaTheme="minorEastAsia" w:cs="Times New Roman"/>
          <w:sz w:val="24"/>
          <w:szCs w:val="24"/>
        </w:rPr>
        <w:t>s testimony</w:t>
      </w:r>
      <w:r w:rsidRPr="001977EB" w:rsidR="009C36D9">
        <w:rPr>
          <w:rFonts w:ascii="Times New Roman" w:hAnsi="Times New Roman" w:eastAsiaTheme="minorEastAsia" w:cs="Times New Roman"/>
          <w:sz w:val="24"/>
          <w:szCs w:val="24"/>
        </w:rPr>
        <w:t xml:space="preserve"> and at </w:t>
      </w:r>
      <w:r w:rsidRPr="001977EB" w:rsidR="002275BF">
        <w:rPr>
          <w:rFonts w:ascii="Times New Roman" w:hAnsi="Times New Roman" w:eastAsiaTheme="minorEastAsia" w:cs="Times New Roman"/>
          <w:sz w:val="24"/>
          <w:szCs w:val="24"/>
        </w:rPr>
        <w:t>OCC Ex. 10.</w:t>
      </w:r>
      <w:r>
        <w:rPr>
          <w:rStyle w:val="FootnoteReference"/>
          <w:rFonts w:ascii="Times New Roman" w:hAnsi="Times New Roman" w:eastAsiaTheme="minorEastAsia" w:cs="Times New Roman"/>
          <w:sz w:val="24"/>
          <w:szCs w:val="24"/>
        </w:rPr>
        <w:footnoteReference w:id="124"/>
      </w:r>
      <w:r w:rsidRPr="001977EB" w:rsidR="00FC50DF">
        <w:rPr>
          <w:rFonts w:ascii="Times New Roman" w:hAnsi="Times New Roman" w:eastAsiaTheme="minorEastAsia" w:cs="Times New Roman"/>
          <w:sz w:val="24"/>
          <w:szCs w:val="24"/>
        </w:rPr>
        <w:t xml:space="preserve"> </w:t>
      </w:r>
    </w:p>
    <w:p w:rsidR="006E520B" w:rsidRPr="001977EB" w:rsidP="007829C0" w14:paraId="66A8D107" w14:textId="77777777">
      <w:pPr>
        <w:spacing w:line="480" w:lineRule="auto"/>
        <w:ind w:firstLine="720"/>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At issue are</w:t>
      </w:r>
      <w:r w:rsidRPr="001977EB" w:rsidR="007829C0">
        <w:rPr>
          <w:rFonts w:ascii="Times New Roman" w:hAnsi="Times New Roman" w:eastAsiaTheme="minorEastAsia" w:cs="Times New Roman"/>
          <w:sz w:val="24"/>
          <w:szCs w:val="24"/>
        </w:rPr>
        <w:t xml:space="preserve"> </w:t>
      </w:r>
      <w:r w:rsidRPr="001977EB">
        <w:rPr>
          <w:rFonts w:ascii="Times New Roman" w:hAnsi="Times New Roman" w:eastAsiaTheme="minorEastAsia" w:cs="Times New Roman"/>
          <w:sz w:val="24"/>
          <w:szCs w:val="24"/>
        </w:rPr>
        <w:t xml:space="preserve">three areas of </w:t>
      </w:r>
      <w:r w:rsidRPr="001977EB" w:rsidR="007829C0">
        <w:rPr>
          <w:rFonts w:ascii="Times New Roman" w:hAnsi="Times New Roman" w:eastAsiaTheme="minorEastAsia" w:cs="Times New Roman"/>
          <w:sz w:val="24"/>
          <w:szCs w:val="24"/>
        </w:rPr>
        <w:t xml:space="preserve">rulings </w:t>
      </w:r>
      <w:r w:rsidRPr="001977EB">
        <w:rPr>
          <w:rFonts w:ascii="Times New Roman" w:hAnsi="Times New Roman" w:eastAsiaTheme="minorEastAsia" w:cs="Times New Roman"/>
          <w:sz w:val="24"/>
          <w:szCs w:val="24"/>
        </w:rPr>
        <w:t xml:space="preserve">on the admissibility of </w:t>
      </w:r>
      <w:r w:rsidRPr="001977EB" w:rsidR="009C36D9">
        <w:rPr>
          <w:rFonts w:ascii="Times New Roman" w:hAnsi="Times New Roman" w:eastAsiaTheme="minorEastAsia" w:cs="Times New Roman"/>
          <w:sz w:val="24"/>
          <w:szCs w:val="24"/>
        </w:rPr>
        <w:t>the emails and</w:t>
      </w:r>
      <w:r w:rsidRPr="001977EB">
        <w:rPr>
          <w:rFonts w:ascii="Times New Roman" w:hAnsi="Times New Roman" w:eastAsiaTheme="minorEastAsia" w:cs="Times New Roman"/>
          <w:sz w:val="24"/>
          <w:szCs w:val="24"/>
        </w:rPr>
        <w:t xml:space="preserve"> related</w:t>
      </w:r>
      <w:r w:rsidRPr="001977EB" w:rsidR="009C36D9">
        <w:rPr>
          <w:rFonts w:ascii="Times New Roman" w:hAnsi="Times New Roman" w:eastAsiaTheme="minorEastAsia" w:cs="Times New Roman"/>
          <w:sz w:val="24"/>
          <w:szCs w:val="24"/>
        </w:rPr>
        <w:t xml:space="preserve"> cross-examination</w:t>
      </w:r>
      <w:r w:rsidRPr="001977EB">
        <w:rPr>
          <w:rFonts w:ascii="Times New Roman" w:hAnsi="Times New Roman" w:eastAsiaTheme="minorEastAsia" w:cs="Times New Roman"/>
          <w:sz w:val="24"/>
          <w:szCs w:val="24"/>
        </w:rPr>
        <w:t>.</w:t>
      </w:r>
      <w:r w:rsidRPr="001977EB" w:rsidR="00FC50DF">
        <w:rPr>
          <w:rFonts w:ascii="Times New Roman" w:hAnsi="Times New Roman" w:eastAsiaTheme="minorEastAsia" w:cs="Times New Roman"/>
          <w:sz w:val="24"/>
          <w:szCs w:val="24"/>
        </w:rPr>
        <w:t xml:space="preserve"> </w:t>
      </w:r>
      <w:r w:rsidRPr="001977EB" w:rsidR="007829C0">
        <w:rPr>
          <w:rFonts w:ascii="Times New Roman" w:hAnsi="Times New Roman" w:eastAsiaTheme="minorEastAsia" w:cs="Times New Roman"/>
          <w:sz w:val="24"/>
          <w:szCs w:val="24"/>
        </w:rPr>
        <w:t>First, the Attorney Examiners improper</w:t>
      </w:r>
      <w:r w:rsidRPr="001977EB">
        <w:rPr>
          <w:rFonts w:ascii="Times New Roman" w:hAnsi="Times New Roman" w:eastAsiaTheme="minorEastAsia" w:cs="Times New Roman"/>
          <w:sz w:val="24"/>
          <w:szCs w:val="24"/>
        </w:rPr>
        <w:t>ly</w:t>
      </w:r>
      <w:r w:rsidRPr="001977EB" w:rsidR="007829C0">
        <w:rPr>
          <w:rFonts w:ascii="Times New Roman" w:hAnsi="Times New Roman" w:eastAsiaTheme="minorEastAsia" w:cs="Times New Roman"/>
          <w:sz w:val="24"/>
          <w:szCs w:val="24"/>
        </w:rPr>
        <w:t xml:space="preserve"> exclu</w:t>
      </w:r>
      <w:r w:rsidRPr="001977EB">
        <w:rPr>
          <w:rFonts w:ascii="Times New Roman" w:hAnsi="Times New Roman" w:eastAsiaTheme="minorEastAsia" w:cs="Times New Roman"/>
          <w:sz w:val="24"/>
          <w:szCs w:val="24"/>
        </w:rPr>
        <w:t>ded</w:t>
      </w:r>
      <w:r w:rsidRPr="001977EB" w:rsidR="007829C0">
        <w:rPr>
          <w:rFonts w:ascii="Times New Roman" w:hAnsi="Times New Roman" w:eastAsiaTheme="minorEastAsia" w:cs="Times New Roman"/>
          <w:sz w:val="24"/>
          <w:szCs w:val="24"/>
        </w:rPr>
        <w:t xml:space="preserve"> </w:t>
      </w:r>
      <w:r w:rsidRPr="001977EB">
        <w:rPr>
          <w:rFonts w:ascii="Times New Roman" w:hAnsi="Times New Roman" w:eastAsiaTheme="minorEastAsia" w:cs="Times New Roman"/>
          <w:sz w:val="24"/>
          <w:szCs w:val="24"/>
        </w:rPr>
        <w:t xml:space="preserve">OCC Ex. 10 (copies of the </w:t>
      </w:r>
      <w:r w:rsidRPr="001977EB" w:rsidR="00CD0527">
        <w:rPr>
          <w:rFonts w:ascii="Times New Roman" w:hAnsi="Times New Roman" w:eastAsiaTheme="minorEastAsia" w:cs="Times New Roman"/>
          <w:sz w:val="24"/>
          <w:szCs w:val="24"/>
        </w:rPr>
        <w:t xml:space="preserve">above-referenced </w:t>
      </w:r>
      <w:r w:rsidRPr="001977EB">
        <w:rPr>
          <w:rFonts w:ascii="Times New Roman" w:hAnsi="Times New Roman" w:eastAsiaTheme="minorEastAsia" w:cs="Times New Roman"/>
          <w:sz w:val="24"/>
          <w:szCs w:val="24"/>
        </w:rPr>
        <w:t>emails between PUCO Staff and the Auditor from the 2019 AEP Audit Report).</w:t>
      </w:r>
      <w:r>
        <w:rPr>
          <w:rStyle w:val="FootnoteReference"/>
          <w:rFonts w:ascii="Times New Roman" w:hAnsi="Times New Roman" w:eastAsiaTheme="minorEastAsia" w:cs="Times New Roman"/>
          <w:sz w:val="24"/>
          <w:szCs w:val="24"/>
        </w:rPr>
        <w:footnoteReference w:id="125"/>
      </w:r>
    </w:p>
    <w:p w:rsidR="009C36D9" w:rsidRPr="001977EB" w:rsidP="007829C0" w14:paraId="7567E12A" w14:textId="77777777">
      <w:pPr>
        <w:spacing w:line="480" w:lineRule="auto"/>
        <w:ind w:firstLine="720"/>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 xml:space="preserve">Second, the Attorney Examiners </w:t>
      </w:r>
      <w:r w:rsidRPr="001977EB" w:rsidR="00A32491">
        <w:rPr>
          <w:rFonts w:ascii="Times New Roman" w:hAnsi="Times New Roman" w:eastAsiaTheme="minorEastAsia" w:cs="Times New Roman"/>
          <w:sz w:val="24"/>
          <w:szCs w:val="24"/>
        </w:rPr>
        <w:t xml:space="preserve">improperly excluded </w:t>
      </w:r>
      <w:r w:rsidRPr="001977EB" w:rsidR="007829C0">
        <w:rPr>
          <w:rFonts w:ascii="Times New Roman" w:hAnsi="Times New Roman" w:eastAsiaTheme="minorEastAsia" w:cs="Times New Roman"/>
          <w:sz w:val="24"/>
          <w:szCs w:val="24"/>
        </w:rPr>
        <w:t xml:space="preserve">OCC witness </w:t>
      </w:r>
      <w:r w:rsidRPr="001977EB" w:rsidR="004D2FAE">
        <w:rPr>
          <w:rFonts w:ascii="Times New Roman" w:hAnsi="Times New Roman" w:eastAsiaTheme="minorEastAsia" w:cs="Times New Roman"/>
          <w:sz w:val="24"/>
          <w:szCs w:val="24"/>
        </w:rPr>
        <w:t>Joseph Perez</w:t>
      </w:r>
      <w:r w:rsidR="001977EB">
        <w:rPr>
          <w:rFonts w:ascii="Times New Roman" w:hAnsi="Times New Roman" w:eastAsiaTheme="minorEastAsia" w:cs="Times New Roman"/>
          <w:sz w:val="24"/>
          <w:szCs w:val="24"/>
        </w:rPr>
        <w:t>’</w:t>
      </w:r>
      <w:r w:rsidRPr="001977EB" w:rsidR="007829C0">
        <w:rPr>
          <w:rFonts w:ascii="Times New Roman" w:hAnsi="Times New Roman" w:eastAsiaTheme="minorEastAsia" w:cs="Times New Roman"/>
          <w:sz w:val="24"/>
          <w:szCs w:val="24"/>
        </w:rPr>
        <w:t>s testimony</w:t>
      </w:r>
      <w:r w:rsidRPr="001977EB">
        <w:rPr>
          <w:rFonts w:ascii="Times New Roman" w:hAnsi="Times New Roman" w:eastAsiaTheme="minorEastAsia" w:cs="Times New Roman"/>
          <w:sz w:val="24"/>
          <w:szCs w:val="24"/>
        </w:rPr>
        <w:t xml:space="preserve"> identifying the</w:t>
      </w:r>
      <w:r w:rsidRPr="001977EB" w:rsidR="00D023C9">
        <w:rPr>
          <w:rFonts w:ascii="Times New Roman" w:hAnsi="Times New Roman" w:eastAsiaTheme="minorEastAsia" w:cs="Times New Roman"/>
          <w:sz w:val="24"/>
          <w:szCs w:val="24"/>
        </w:rPr>
        <w:t xml:space="preserve"> emails</w:t>
      </w:r>
      <w:r>
        <w:rPr>
          <w:rStyle w:val="FootnoteReference"/>
          <w:rFonts w:ascii="Times New Roman" w:hAnsi="Times New Roman" w:eastAsiaTheme="minorEastAsia" w:cs="Times New Roman"/>
          <w:sz w:val="24"/>
          <w:szCs w:val="24"/>
        </w:rPr>
        <w:footnoteReference w:id="126"/>
      </w:r>
      <w:r w:rsidRPr="001977EB">
        <w:rPr>
          <w:rFonts w:ascii="Times New Roman" w:hAnsi="Times New Roman" w:eastAsiaTheme="minorEastAsia" w:cs="Times New Roman"/>
          <w:sz w:val="24"/>
          <w:szCs w:val="24"/>
        </w:rPr>
        <w:t xml:space="preserve"> and his testimony </w:t>
      </w:r>
      <w:r w:rsidRPr="001977EB" w:rsidR="00D4077A">
        <w:rPr>
          <w:rFonts w:ascii="Times New Roman" w:hAnsi="Times New Roman" w:eastAsiaTheme="minorEastAsia" w:cs="Times New Roman"/>
          <w:sz w:val="24"/>
          <w:szCs w:val="24"/>
        </w:rPr>
        <w:t>explaining how the emails reflected the Auditor</w:t>
      </w:r>
      <w:r w:rsidR="001977EB">
        <w:rPr>
          <w:rFonts w:ascii="Times New Roman" w:hAnsi="Times New Roman" w:eastAsiaTheme="minorEastAsia" w:cs="Times New Roman"/>
          <w:sz w:val="24"/>
          <w:szCs w:val="24"/>
        </w:rPr>
        <w:t>’</w:t>
      </w:r>
      <w:r w:rsidRPr="001977EB" w:rsidR="00D4077A">
        <w:rPr>
          <w:rFonts w:ascii="Times New Roman" w:hAnsi="Times New Roman" w:eastAsiaTheme="minorEastAsia" w:cs="Times New Roman"/>
          <w:sz w:val="24"/>
          <w:szCs w:val="24"/>
        </w:rPr>
        <w:t>s bias and lack of independence.</w:t>
      </w:r>
      <w:r>
        <w:rPr>
          <w:rStyle w:val="FootnoteReference"/>
          <w:rFonts w:ascii="Times New Roman" w:hAnsi="Times New Roman" w:eastAsiaTheme="minorEastAsia" w:cs="Times New Roman"/>
          <w:sz w:val="24"/>
          <w:szCs w:val="24"/>
        </w:rPr>
        <w:footnoteReference w:id="127"/>
      </w:r>
      <w:r w:rsidRPr="001977EB" w:rsidR="00FC50DF">
        <w:rPr>
          <w:rFonts w:ascii="Times New Roman" w:hAnsi="Times New Roman" w:eastAsiaTheme="minorEastAsia" w:cs="Times New Roman"/>
          <w:sz w:val="24"/>
          <w:szCs w:val="24"/>
        </w:rPr>
        <w:t xml:space="preserve"> </w:t>
      </w:r>
      <w:r w:rsidRPr="001977EB" w:rsidR="00D4077A">
        <w:rPr>
          <w:rFonts w:ascii="Times New Roman" w:hAnsi="Times New Roman" w:eastAsiaTheme="minorEastAsia" w:cs="Times New Roman"/>
          <w:sz w:val="24"/>
          <w:szCs w:val="24"/>
        </w:rPr>
        <w:t xml:space="preserve">The Attorney Examiners also </w:t>
      </w:r>
      <w:r w:rsidRPr="001977EB" w:rsidR="00CD0527">
        <w:rPr>
          <w:rFonts w:ascii="Times New Roman" w:hAnsi="Times New Roman" w:eastAsiaTheme="minorEastAsia" w:cs="Times New Roman"/>
          <w:sz w:val="24"/>
          <w:szCs w:val="24"/>
        </w:rPr>
        <w:t xml:space="preserve">improperly </w:t>
      </w:r>
      <w:r w:rsidRPr="001977EB" w:rsidR="00D4077A">
        <w:rPr>
          <w:rFonts w:ascii="Times New Roman" w:hAnsi="Times New Roman" w:eastAsiaTheme="minorEastAsia" w:cs="Times New Roman"/>
          <w:sz w:val="24"/>
          <w:szCs w:val="24"/>
        </w:rPr>
        <w:t>excluded Mr. Perez</w:t>
      </w:r>
      <w:r w:rsidR="001977EB">
        <w:rPr>
          <w:rFonts w:ascii="Times New Roman" w:hAnsi="Times New Roman" w:eastAsiaTheme="minorEastAsia" w:cs="Times New Roman"/>
          <w:sz w:val="24"/>
          <w:szCs w:val="24"/>
        </w:rPr>
        <w:t>’</w:t>
      </w:r>
      <w:r w:rsidRPr="001977EB" w:rsidR="00D4077A">
        <w:rPr>
          <w:rFonts w:ascii="Times New Roman" w:hAnsi="Times New Roman" w:eastAsiaTheme="minorEastAsia" w:cs="Times New Roman"/>
          <w:sz w:val="24"/>
          <w:szCs w:val="24"/>
        </w:rPr>
        <w:t>s recommendation that the PUCO should give little or no weight to the Audit Reports in this case due to the Auditor</w:t>
      </w:r>
      <w:r w:rsidR="001977EB">
        <w:rPr>
          <w:rFonts w:ascii="Times New Roman" w:hAnsi="Times New Roman" w:eastAsiaTheme="minorEastAsia" w:cs="Times New Roman"/>
          <w:sz w:val="24"/>
          <w:szCs w:val="24"/>
        </w:rPr>
        <w:t>’</w:t>
      </w:r>
      <w:r w:rsidRPr="001977EB" w:rsidR="00D4077A">
        <w:rPr>
          <w:rFonts w:ascii="Times New Roman" w:hAnsi="Times New Roman" w:eastAsiaTheme="minorEastAsia" w:cs="Times New Roman"/>
          <w:sz w:val="24"/>
          <w:szCs w:val="24"/>
        </w:rPr>
        <w:t>s bias and lack of independence as reflected in the emails.</w:t>
      </w:r>
      <w:r>
        <w:rPr>
          <w:rStyle w:val="FootnoteReference"/>
          <w:rFonts w:ascii="Times New Roman" w:hAnsi="Times New Roman" w:eastAsiaTheme="minorEastAsia" w:cs="Times New Roman"/>
          <w:sz w:val="24"/>
          <w:szCs w:val="24"/>
        </w:rPr>
        <w:footnoteReference w:id="128"/>
      </w:r>
    </w:p>
    <w:p w:rsidR="00CD0527" w:rsidRPr="001977EB" w:rsidP="007829C0" w14:paraId="2D36107B" w14:textId="77777777">
      <w:pPr>
        <w:spacing w:line="480" w:lineRule="auto"/>
        <w:ind w:firstLine="720"/>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Finally, the Attorney Examiners improperly prohibited OCC</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 xml:space="preserve">s attorney from asking several questions related to the emails during cross-examination of the Auditor – </w:t>
      </w:r>
    </w:p>
    <w:p w:rsidR="00A32491" w:rsidRPr="001977EB" w:rsidP="00CD0527" w14:paraId="0E22FADB" w14:textId="77777777">
      <w:pPr>
        <w:spacing w:line="480" w:lineRule="auto"/>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 xml:space="preserve">questions </w:t>
      </w:r>
      <w:r w:rsidRPr="001977EB" w:rsidR="00CD0527">
        <w:rPr>
          <w:rFonts w:ascii="Times New Roman" w:hAnsi="Times New Roman" w:eastAsiaTheme="minorEastAsia" w:cs="Times New Roman"/>
          <w:sz w:val="24"/>
          <w:szCs w:val="24"/>
        </w:rPr>
        <w:t xml:space="preserve">which </w:t>
      </w:r>
      <w:r w:rsidRPr="001977EB">
        <w:rPr>
          <w:rFonts w:ascii="Times New Roman" w:hAnsi="Times New Roman" w:eastAsiaTheme="minorEastAsia" w:cs="Times New Roman"/>
          <w:sz w:val="24"/>
          <w:szCs w:val="24"/>
        </w:rPr>
        <w:t>were intended to establish the Auditor</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s bias, prejudice and lack of independence.</w:t>
      </w:r>
      <w:r>
        <w:rPr>
          <w:rStyle w:val="FootnoteReference"/>
          <w:rFonts w:ascii="Times New Roman" w:hAnsi="Times New Roman" w:eastAsiaTheme="minorEastAsia" w:cs="Times New Roman"/>
          <w:sz w:val="24"/>
          <w:szCs w:val="24"/>
        </w:rPr>
        <w:footnoteReference w:id="129"/>
      </w:r>
    </w:p>
    <w:p w:rsidR="007829C0" w:rsidRPr="001977EB" w:rsidP="007829C0" w14:paraId="6EFE5190" w14:textId="77777777">
      <w:pPr>
        <w:spacing w:line="480" w:lineRule="auto"/>
        <w:ind w:firstLine="720"/>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 xml:space="preserve">These evidentiary rulings </w:t>
      </w:r>
      <w:r w:rsidRPr="001977EB" w:rsidR="00F2136D">
        <w:rPr>
          <w:rFonts w:ascii="Times New Roman" w:hAnsi="Times New Roman" w:eastAsiaTheme="minorEastAsia" w:cs="Times New Roman"/>
          <w:sz w:val="24"/>
          <w:szCs w:val="24"/>
        </w:rPr>
        <w:t xml:space="preserve">were erroneous and </w:t>
      </w:r>
      <w:r w:rsidRPr="001977EB">
        <w:rPr>
          <w:rFonts w:ascii="Times New Roman" w:hAnsi="Times New Roman" w:eastAsiaTheme="minorEastAsia" w:cs="Times New Roman"/>
          <w:sz w:val="24"/>
          <w:szCs w:val="24"/>
        </w:rPr>
        <w:t>violated OCC</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 xml:space="preserve">s substantial </w:t>
      </w:r>
      <w:r w:rsidRPr="001977EB" w:rsidR="003603C6">
        <w:rPr>
          <w:rFonts w:ascii="Times New Roman" w:hAnsi="Times New Roman" w:eastAsiaTheme="minorEastAsia" w:cs="Times New Roman"/>
          <w:sz w:val="24"/>
          <w:szCs w:val="24"/>
        </w:rPr>
        <w:t xml:space="preserve">due process </w:t>
      </w:r>
      <w:r w:rsidRPr="001977EB">
        <w:rPr>
          <w:rFonts w:ascii="Times New Roman" w:hAnsi="Times New Roman" w:eastAsiaTheme="minorEastAsia" w:cs="Times New Roman"/>
          <w:sz w:val="24"/>
          <w:szCs w:val="24"/>
        </w:rPr>
        <w:t>rights.</w:t>
      </w:r>
      <w:r>
        <w:rPr>
          <w:rStyle w:val="FootnoteReference"/>
          <w:rFonts w:ascii="Times New Roman" w:hAnsi="Times New Roman" w:eastAsiaTheme="minorEastAsia" w:cs="Times New Roman"/>
          <w:sz w:val="24"/>
          <w:szCs w:val="24"/>
        </w:rPr>
        <w:footnoteReference w:id="130"/>
      </w:r>
      <w:r w:rsidRPr="001977EB">
        <w:rPr>
          <w:rFonts w:ascii="Times New Roman" w:hAnsi="Times New Roman" w:eastAsiaTheme="minorEastAsia" w:cs="Times New Roman"/>
          <w:sz w:val="24"/>
          <w:szCs w:val="24"/>
        </w:rPr>
        <w:t xml:space="preserve"> The</w:t>
      </w:r>
      <w:r w:rsidRPr="001977EB" w:rsidR="00CD0527">
        <w:rPr>
          <w:rFonts w:ascii="Times New Roman" w:hAnsi="Times New Roman" w:eastAsiaTheme="minorEastAsia" w:cs="Times New Roman"/>
          <w:sz w:val="24"/>
          <w:szCs w:val="24"/>
        </w:rPr>
        <w:t>se improper</w:t>
      </w:r>
      <w:r w:rsidRPr="001977EB">
        <w:rPr>
          <w:rFonts w:ascii="Times New Roman" w:hAnsi="Times New Roman" w:eastAsiaTheme="minorEastAsia" w:cs="Times New Roman"/>
          <w:sz w:val="24"/>
          <w:szCs w:val="24"/>
        </w:rPr>
        <w:t xml:space="preserve"> ruling</w:t>
      </w:r>
      <w:r w:rsidRPr="001977EB" w:rsidR="00C27673">
        <w:rPr>
          <w:rFonts w:ascii="Times New Roman" w:hAnsi="Times New Roman" w:eastAsiaTheme="minorEastAsia" w:cs="Times New Roman"/>
          <w:sz w:val="24"/>
          <w:szCs w:val="24"/>
        </w:rPr>
        <w:t>s</w:t>
      </w:r>
      <w:r w:rsidRPr="001977EB">
        <w:rPr>
          <w:rFonts w:ascii="Times New Roman" w:hAnsi="Times New Roman" w:eastAsiaTheme="minorEastAsia" w:cs="Times New Roman"/>
          <w:sz w:val="24"/>
          <w:szCs w:val="24"/>
        </w:rPr>
        <w:t xml:space="preserve"> had a significant impact on </w:t>
      </w:r>
      <w:r w:rsidRPr="001977EB" w:rsidR="00CD0527">
        <w:rPr>
          <w:rFonts w:ascii="Times New Roman" w:hAnsi="Times New Roman" w:eastAsiaTheme="minorEastAsia" w:cs="Times New Roman"/>
          <w:sz w:val="24"/>
          <w:szCs w:val="24"/>
        </w:rPr>
        <w:t>the evidentiary record for</w:t>
      </w:r>
      <w:r w:rsidRPr="001977EB">
        <w:rPr>
          <w:rFonts w:ascii="Times New Roman" w:hAnsi="Times New Roman" w:eastAsiaTheme="minorEastAsia" w:cs="Times New Roman"/>
          <w:sz w:val="24"/>
          <w:szCs w:val="24"/>
        </w:rPr>
        <w:t xml:space="preserve"> the case</w:t>
      </w:r>
      <w:r w:rsidRPr="001977EB" w:rsidR="00CD0527">
        <w:rPr>
          <w:rFonts w:ascii="Times New Roman" w:hAnsi="Times New Roman" w:eastAsiaTheme="minorEastAsia" w:cs="Times New Roman"/>
          <w:sz w:val="24"/>
          <w:szCs w:val="24"/>
        </w:rPr>
        <w:t xml:space="preserve"> and could lead</w:t>
      </w:r>
      <w:r w:rsidRPr="001977EB">
        <w:rPr>
          <w:rFonts w:ascii="Times New Roman" w:hAnsi="Times New Roman" w:eastAsiaTheme="minorEastAsia" w:cs="Times New Roman"/>
          <w:sz w:val="24"/>
          <w:szCs w:val="24"/>
        </w:rPr>
        <w:t xml:space="preserve"> to an unjust and unreasonable result. </w:t>
      </w:r>
      <w:r w:rsidRPr="001977EB" w:rsidR="00F2136D">
        <w:rPr>
          <w:rFonts w:ascii="Times New Roman" w:hAnsi="Times New Roman" w:eastAsiaTheme="minorEastAsia" w:cs="Times New Roman"/>
          <w:sz w:val="24"/>
          <w:szCs w:val="24"/>
        </w:rPr>
        <w:t>The Attorney Examiners</w:t>
      </w:r>
      <w:r w:rsidR="001977EB">
        <w:rPr>
          <w:rFonts w:ascii="Times New Roman" w:hAnsi="Times New Roman" w:eastAsiaTheme="minorEastAsia" w:cs="Times New Roman"/>
          <w:sz w:val="24"/>
          <w:szCs w:val="24"/>
        </w:rPr>
        <w:t>’</w:t>
      </w:r>
      <w:r w:rsidRPr="001977EB" w:rsidR="00F2136D">
        <w:rPr>
          <w:rFonts w:ascii="Times New Roman" w:hAnsi="Times New Roman" w:eastAsiaTheme="minorEastAsia" w:cs="Times New Roman"/>
          <w:sz w:val="24"/>
          <w:szCs w:val="24"/>
        </w:rPr>
        <w:t xml:space="preserve"> rulings were improper for several reasons.</w:t>
      </w:r>
      <w:r w:rsidRPr="001977EB" w:rsidR="00FC50DF">
        <w:rPr>
          <w:rFonts w:ascii="Times New Roman" w:hAnsi="Times New Roman" w:eastAsiaTheme="minorEastAsia" w:cs="Times New Roman"/>
          <w:sz w:val="24"/>
          <w:szCs w:val="24"/>
        </w:rPr>
        <w:t xml:space="preserve"> </w:t>
      </w:r>
      <w:r w:rsidRPr="001977EB" w:rsidR="00F2136D">
        <w:rPr>
          <w:rFonts w:ascii="Times New Roman" w:hAnsi="Times New Roman" w:eastAsiaTheme="minorEastAsia" w:cs="Times New Roman"/>
          <w:sz w:val="24"/>
          <w:szCs w:val="24"/>
        </w:rPr>
        <w:t xml:space="preserve">First, the Attorney Examiners incorrectly concluded that the evidence was not relevant and </w:t>
      </w:r>
      <w:r w:rsidRPr="001977EB" w:rsidR="00FE2AF4">
        <w:rPr>
          <w:rFonts w:ascii="Times New Roman" w:hAnsi="Times New Roman" w:eastAsiaTheme="minorEastAsia" w:cs="Times New Roman"/>
          <w:sz w:val="24"/>
          <w:szCs w:val="24"/>
        </w:rPr>
        <w:t xml:space="preserve">that </w:t>
      </w:r>
      <w:r w:rsidRPr="001977EB" w:rsidR="00F2136D">
        <w:rPr>
          <w:rFonts w:ascii="Times New Roman" w:hAnsi="Times New Roman" w:eastAsiaTheme="minorEastAsia" w:cs="Times New Roman"/>
          <w:sz w:val="24"/>
          <w:szCs w:val="24"/>
        </w:rPr>
        <w:t>any probative value was outweighed by the prejudicial impact of the evidence.</w:t>
      </w:r>
      <w:r>
        <w:rPr>
          <w:rStyle w:val="FootnoteReference"/>
          <w:rFonts w:ascii="Times New Roman" w:hAnsi="Times New Roman" w:eastAsiaTheme="minorEastAsia" w:cs="Times New Roman"/>
          <w:sz w:val="24"/>
          <w:szCs w:val="24"/>
        </w:rPr>
        <w:footnoteReference w:id="131"/>
      </w:r>
      <w:r w:rsidRPr="001977EB" w:rsidR="00FC50DF">
        <w:rPr>
          <w:rFonts w:ascii="Times New Roman" w:hAnsi="Times New Roman" w:eastAsiaTheme="minorEastAsia" w:cs="Times New Roman"/>
          <w:sz w:val="24"/>
          <w:szCs w:val="24"/>
        </w:rPr>
        <w:t xml:space="preserve"> </w:t>
      </w:r>
      <w:r w:rsidRPr="001977EB" w:rsidR="00CD0527">
        <w:rPr>
          <w:rFonts w:ascii="Times New Roman" w:hAnsi="Times New Roman" w:eastAsiaTheme="minorEastAsia" w:cs="Times New Roman"/>
          <w:sz w:val="24"/>
          <w:szCs w:val="24"/>
        </w:rPr>
        <w:t>To the contrary, t</w:t>
      </w:r>
      <w:r w:rsidRPr="001977EB">
        <w:rPr>
          <w:rFonts w:ascii="Times New Roman" w:hAnsi="Times New Roman" w:eastAsiaTheme="minorEastAsia" w:cs="Times New Roman"/>
          <w:sz w:val="24"/>
          <w:szCs w:val="24"/>
        </w:rPr>
        <w:t>he evidence</w:t>
      </w:r>
      <w:r w:rsidRPr="001977EB" w:rsidR="00CD0527">
        <w:rPr>
          <w:rFonts w:ascii="Times New Roman" w:hAnsi="Times New Roman" w:eastAsiaTheme="minorEastAsia" w:cs="Times New Roman"/>
          <w:sz w:val="24"/>
          <w:szCs w:val="24"/>
        </w:rPr>
        <w:t xml:space="preserve"> </w:t>
      </w:r>
      <w:r w:rsidRPr="001977EB">
        <w:rPr>
          <w:rFonts w:ascii="Times New Roman" w:hAnsi="Times New Roman" w:eastAsiaTheme="minorEastAsia" w:cs="Times New Roman"/>
          <w:sz w:val="24"/>
          <w:szCs w:val="24"/>
        </w:rPr>
        <w:t>was relevant</w:t>
      </w:r>
      <w:r w:rsidRPr="001977EB" w:rsidR="00FE2AF4">
        <w:rPr>
          <w:rFonts w:ascii="Times New Roman" w:hAnsi="Times New Roman" w:eastAsiaTheme="minorEastAsia" w:cs="Times New Roman"/>
          <w:sz w:val="24"/>
          <w:szCs w:val="24"/>
        </w:rPr>
        <w:t>, the relevance was not outweighed by any prejudicial impact</w:t>
      </w:r>
      <w:r w:rsidRPr="001977EB">
        <w:rPr>
          <w:rFonts w:ascii="Times New Roman" w:hAnsi="Times New Roman" w:eastAsiaTheme="minorEastAsia" w:cs="Times New Roman"/>
          <w:sz w:val="24"/>
          <w:szCs w:val="24"/>
        </w:rPr>
        <w:t xml:space="preserve"> and </w:t>
      </w:r>
      <w:r w:rsidRPr="001977EB" w:rsidR="00FE2AF4">
        <w:rPr>
          <w:rFonts w:ascii="Times New Roman" w:hAnsi="Times New Roman" w:eastAsiaTheme="minorEastAsia" w:cs="Times New Roman"/>
          <w:sz w:val="24"/>
          <w:szCs w:val="24"/>
        </w:rPr>
        <w:t>the evidence</w:t>
      </w:r>
      <w:r w:rsidRPr="001977EB">
        <w:rPr>
          <w:rFonts w:ascii="Times New Roman" w:hAnsi="Times New Roman" w:eastAsiaTheme="minorEastAsia" w:cs="Times New Roman"/>
          <w:sz w:val="24"/>
          <w:szCs w:val="24"/>
        </w:rPr>
        <w:t xml:space="preserve"> was </w:t>
      </w:r>
      <w:r w:rsidRPr="001977EB" w:rsidR="00FE2AF4">
        <w:rPr>
          <w:rFonts w:ascii="Times New Roman" w:hAnsi="Times New Roman" w:eastAsiaTheme="minorEastAsia" w:cs="Times New Roman"/>
          <w:sz w:val="24"/>
          <w:szCs w:val="24"/>
        </w:rPr>
        <w:t xml:space="preserve">also </w:t>
      </w:r>
      <w:r w:rsidRPr="001977EB">
        <w:rPr>
          <w:rFonts w:ascii="Times New Roman" w:hAnsi="Times New Roman" w:eastAsiaTheme="minorEastAsia" w:cs="Times New Roman"/>
          <w:sz w:val="24"/>
          <w:szCs w:val="24"/>
        </w:rPr>
        <w:t xml:space="preserve">admissible for impeachment purposes. </w:t>
      </w:r>
    </w:p>
    <w:p w:rsidR="007829C0" w:rsidRPr="001977EB" w:rsidP="007829C0" w14:paraId="2D8BEF62" w14:textId="77777777">
      <w:pPr>
        <w:spacing w:line="480" w:lineRule="auto"/>
        <w:ind w:firstLine="720"/>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 xml:space="preserve">Relevant evidence is defined as </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evidence having any tendency to make the existence of any fact that is of consequence to the determination of the action more probable or less probable than it would be without the evidence.</w:t>
      </w:r>
      <w:r w:rsidR="001977EB">
        <w:rPr>
          <w:rFonts w:ascii="Times New Roman" w:hAnsi="Times New Roman" w:eastAsiaTheme="minorEastAsia" w:cs="Times New Roman"/>
          <w:sz w:val="24"/>
          <w:szCs w:val="24"/>
        </w:rPr>
        <w:t>”</w:t>
      </w:r>
      <w:r>
        <w:rPr>
          <w:rStyle w:val="FootnoteReference"/>
          <w:rFonts w:ascii="Times New Roman" w:hAnsi="Times New Roman" w:eastAsiaTheme="minorEastAsia" w:cs="Times New Roman"/>
          <w:sz w:val="24"/>
          <w:szCs w:val="24"/>
        </w:rPr>
        <w:footnoteReference w:id="132"/>
      </w:r>
      <w:r w:rsidRPr="001977EB">
        <w:rPr>
          <w:rFonts w:ascii="Times New Roman" w:hAnsi="Times New Roman" w:eastAsiaTheme="minorEastAsia" w:cs="Times New Roman"/>
          <w:sz w:val="24"/>
          <w:szCs w:val="24"/>
        </w:rPr>
        <w:t xml:space="preserve"> In complex business matters</w:t>
      </w:r>
      <w:r w:rsidRPr="001977EB" w:rsidR="00FE2AF4">
        <w:rPr>
          <w:rFonts w:ascii="Times New Roman" w:hAnsi="Times New Roman" w:eastAsiaTheme="minorEastAsia" w:cs="Times New Roman"/>
          <w:sz w:val="24"/>
          <w:szCs w:val="24"/>
        </w:rPr>
        <w:t xml:space="preserve"> such as this case</w:t>
      </w:r>
      <w:r w:rsidRPr="001977EB">
        <w:rPr>
          <w:rFonts w:ascii="Times New Roman" w:hAnsi="Times New Roman" w:eastAsiaTheme="minorEastAsia" w:cs="Times New Roman"/>
          <w:sz w:val="24"/>
          <w:szCs w:val="24"/>
        </w:rPr>
        <w:t xml:space="preserve">, courts </w:t>
      </w:r>
      <w:r w:rsidRPr="001977EB" w:rsidR="00FE2AF4">
        <w:rPr>
          <w:rFonts w:ascii="Times New Roman" w:hAnsi="Times New Roman" w:eastAsiaTheme="minorEastAsia" w:cs="Times New Roman"/>
          <w:sz w:val="24"/>
          <w:szCs w:val="24"/>
        </w:rPr>
        <w:t xml:space="preserve">generally </w:t>
      </w:r>
      <w:r w:rsidRPr="001977EB">
        <w:rPr>
          <w:rFonts w:ascii="Times New Roman" w:hAnsi="Times New Roman" w:eastAsiaTheme="minorEastAsia" w:cs="Times New Roman"/>
          <w:sz w:val="24"/>
          <w:szCs w:val="24"/>
        </w:rPr>
        <w:t xml:space="preserve">grant </w:t>
      </w:r>
      <w:r w:rsidRPr="001977EB" w:rsidR="00FE2AF4">
        <w:rPr>
          <w:rFonts w:ascii="Times New Roman" w:hAnsi="Times New Roman" w:eastAsiaTheme="minorEastAsia" w:cs="Times New Roman"/>
          <w:sz w:val="24"/>
          <w:szCs w:val="24"/>
        </w:rPr>
        <w:t xml:space="preserve">parties </w:t>
      </w:r>
      <w:r w:rsidRPr="001977EB">
        <w:rPr>
          <w:rFonts w:ascii="Times New Roman" w:hAnsi="Times New Roman" w:eastAsiaTheme="minorEastAsia" w:cs="Times New Roman"/>
          <w:sz w:val="24"/>
          <w:szCs w:val="24"/>
        </w:rPr>
        <w:t xml:space="preserve">wide latitude in admitting evidence which might </w:t>
      </w:r>
      <w:r w:rsidRPr="001977EB" w:rsidR="00FE2AF4">
        <w:rPr>
          <w:rFonts w:ascii="Times New Roman" w:hAnsi="Times New Roman" w:eastAsiaTheme="minorEastAsia" w:cs="Times New Roman"/>
          <w:sz w:val="24"/>
          <w:szCs w:val="24"/>
        </w:rPr>
        <w:t>explain</w:t>
      </w:r>
      <w:r w:rsidRPr="001977EB">
        <w:rPr>
          <w:rFonts w:ascii="Times New Roman" w:hAnsi="Times New Roman" w:eastAsiaTheme="minorEastAsia" w:cs="Times New Roman"/>
          <w:sz w:val="24"/>
          <w:szCs w:val="24"/>
        </w:rPr>
        <w:t xml:space="preserve"> a party</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s intent</w:t>
      </w:r>
      <w:r w:rsidRPr="001977EB" w:rsidR="00FE2AF4">
        <w:rPr>
          <w:rFonts w:ascii="Times New Roman" w:hAnsi="Times New Roman" w:eastAsiaTheme="minorEastAsia" w:cs="Times New Roman"/>
          <w:sz w:val="24"/>
          <w:szCs w:val="24"/>
        </w:rPr>
        <w:t xml:space="preserve"> or actions</w:t>
      </w:r>
      <w:r w:rsidRPr="001977EB">
        <w:rPr>
          <w:rFonts w:ascii="Times New Roman" w:hAnsi="Times New Roman" w:eastAsiaTheme="minorEastAsia" w:cs="Times New Roman"/>
          <w:sz w:val="24"/>
          <w:szCs w:val="24"/>
        </w:rPr>
        <w:t>.</w:t>
      </w:r>
      <w:r>
        <w:rPr>
          <w:rStyle w:val="FootnoteReference"/>
          <w:rFonts w:ascii="Times New Roman" w:hAnsi="Times New Roman" w:eastAsiaTheme="minorEastAsia" w:cs="Times New Roman"/>
          <w:sz w:val="24"/>
          <w:szCs w:val="24"/>
        </w:rPr>
        <w:footnoteReference w:id="133"/>
      </w:r>
      <w:r w:rsidRPr="001977EB">
        <w:rPr>
          <w:rFonts w:ascii="Times New Roman" w:hAnsi="Times New Roman" w:eastAsiaTheme="minorEastAsia" w:cs="Times New Roman"/>
          <w:sz w:val="24"/>
          <w:szCs w:val="24"/>
        </w:rPr>
        <w:t xml:space="preserve"> Draft documents </w:t>
      </w:r>
      <w:r w:rsidRPr="001977EB" w:rsidR="00CD0527">
        <w:rPr>
          <w:rFonts w:ascii="Times New Roman" w:hAnsi="Times New Roman" w:eastAsiaTheme="minorEastAsia" w:cs="Times New Roman"/>
          <w:sz w:val="24"/>
          <w:szCs w:val="24"/>
        </w:rPr>
        <w:t xml:space="preserve">(like these emails) </w:t>
      </w:r>
      <w:r w:rsidRPr="001977EB">
        <w:rPr>
          <w:rFonts w:ascii="Times New Roman" w:hAnsi="Times New Roman" w:eastAsiaTheme="minorEastAsia" w:cs="Times New Roman"/>
          <w:sz w:val="24"/>
          <w:szCs w:val="24"/>
        </w:rPr>
        <w:t>can be</w:t>
      </w:r>
      <w:r w:rsidRPr="001977EB" w:rsidR="00CD0527">
        <w:rPr>
          <w:rFonts w:ascii="Times New Roman" w:hAnsi="Times New Roman" w:eastAsiaTheme="minorEastAsia" w:cs="Times New Roman"/>
          <w:sz w:val="24"/>
          <w:szCs w:val="24"/>
        </w:rPr>
        <w:t xml:space="preserve"> highly</w:t>
      </w:r>
      <w:r w:rsidRPr="001977EB">
        <w:rPr>
          <w:rFonts w:ascii="Times New Roman" w:hAnsi="Times New Roman" w:eastAsiaTheme="minorEastAsia" w:cs="Times New Roman"/>
          <w:sz w:val="24"/>
          <w:szCs w:val="24"/>
        </w:rPr>
        <w:t xml:space="preserve"> relevant to show a party</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s intent.</w:t>
      </w:r>
      <w:r>
        <w:rPr>
          <w:rStyle w:val="FootnoteReference"/>
          <w:rFonts w:ascii="Times New Roman" w:hAnsi="Times New Roman" w:eastAsiaTheme="minorEastAsia" w:cs="Times New Roman"/>
          <w:sz w:val="24"/>
          <w:szCs w:val="24"/>
        </w:rPr>
        <w:footnoteReference w:id="134"/>
      </w:r>
      <w:r w:rsidRPr="001977EB">
        <w:rPr>
          <w:rFonts w:ascii="Times New Roman" w:hAnsi="Times New Roman" w:eastAsiaTheme="minorEastAsia" w:cs="Times New Roman"/>
          <w:sz w:val="24"/>
          <w:szCs w:val="24"/>
        </w:rPr>
        <w:t xml:space="preserve"> </w:t>
      </w:r>
    </w:p>
    <w:p w:rsidR="007829C0" w:rsidRPr="001977EB" w:rsidP="007829C0" w14:paraId="6C6B55FF" w14:textId="77777777">
      <w:pPr>
        <w:spacing w:line="480" w:lineRule="auto"/>
        <w:ind w:firstLine="720"/>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 xml:space="preserve">The excluded evidence was probative of the </w:t>
      </w:r>
      <w:r w:rsidRPr="001977EB" w:rsidR="00FE2AF4">
        <w:rPr>
          <w:rFonts w:ascii="Times New Roman" w:hAnsi="Times New Roman" w:eastAsiaTheme="minorEastAsia" w:cs="Times New Roman"/>
          <w:sz w:val="24"/>
          <w:szCs w:val="24"/>
        </w:rPr>
        <w:t>A</w:t>
      </w:r>
      <w:r w:rsidRPr="001977EB">
        <w:rPr>
          <w:rFonts w:ascii="Times New Roman" w:hAnsi="Times New Roman" w:eastAsiaTheme="minorEastAsia" w:cs="Times New Roman"/>
          <w:sz w:val="24"/>
          <w:szCs w:val="24"/>
        </w:rPr>
        <w:t>uditor</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 xml:space="preserve">s true opinion as to whether running the plants was in the best interests of consumers. The </w:t>
      </w:r>
      <w:r w:rsidRPr="001977EB" w:rsidR="00FE2AF4">
        <w:rPr>
          <w:rFonts w:ascii="Times New Roman" w:hAnsi="Times New Roman" w:eastAsiaTheme="minorEastAsia" w:cs="Times New Roman"/>
          <w:sz w:val="24"/>
          <w:szCs w:val="24"/>
        </w:rPr>
        <w:t xml:space="preserve">excluded </w:t>
      </w:r>
      <w:r w:rsidRPr="001977EB">
        <w:rPr>
          <w:rFonts w:ascii="Times New Roman" w:hAnsi="Times New Roman" w:eastAsiaTheme="minorEastAsia" w:cs="Times New Roman"/>
          <w:sz w:val="24"/>
          <w:szCs w:val="24"/>
        </w:rPr>
        <w:t>evidence showed that PUCO Staff expressed concern that th</w:t>
      </w:r>
      <w:r w:rsidRPr="001977EB" w:rsidR="00FE2AF4">
        <w:rPr>
          <w:rFonts w:ascii="Times New Roman" w:hAnsi="Times New Roman" w:eastAsiaTheme="minorEastAsia" w:cs="Times New Roman"/>
          <w:sz w:val="24"/>
          <w:szCs w:val="24"/>
        </w:rPr>
        <w:t>e Auditor</w:t>
      </w:r>
      <w:r w:rsidR="001977EB">
        <w:rPr>
          <w:rFonts w:ascii="Times New Roman" w:hAnsi="Times New Roman" w:eastAsiaTheme="minorEastAsia" w:cs="Times New Roman"/>
          <w:sz w:val="24"/>
          <w:szCs w:val="24"/>
        </w:rPr>
        <w:t>’</w:t>
      </w:r>
      <w:r w:rsidRPr="001977EB" w:rsidR="00FE2AF4">
        <w:rPr>
          <w:rFonts w:ascii="Times New Roman" w:hAnsi="Times New Roman" w:eastAsiaTheme="minorEastAsia" w:cs="Times New Roman"/>
          <w:sz w:val="24"/>
          <w:szCs w:val="24"/>
        </w:rPr>
        <w:t>s</w:t>
      </w:r>
      <w:r w:rsidRPr="001977EB">
        <w:rPr>
          <w:rFonts w:ascii="Times New Roman" w:hAnsi="Times New Roman" w:eastAsiaTheme="minorEastAsia" w:cs="Times New Roman"/>
          <w:sz w:val="24"/>
          <w:szCs w:val="24"/>
        </w:rPr>
        <w:t xml:space="preserve"> finding was too critical of </w:t>
      </w:r>
      <w:r w:rsidRPr="001977EB" w:rsidR="00FE2AF4">
        <w:rPr>
          <w:rFonts w:ascii="Times New Roman" w:hAnsi="Times New Roman" w:eastAsiaTheme="minorEastAsia" w:cs="Times New Roman"/>
          <w:sz w:val="24"/>
          <w:szCs w:val="24"/>
        </w:rPr>
        <w:t>AEP</w:t>
      </w:r>
      <w:r w:rsidRPr="001977EB">
        <w:rPr>
          <w:rFonts w:ascii="Times New Roman" w:hAnsi="Times New Roman" w:eastAsiaTheme="minorEastAsia" w:cs="Times New Roman"/>
          <w:sz w:val="24"/>
          <w:szCs w:val="24"/>
        </w:rPr>
        <w:t xml:space="preserve">. The </w:t>
      </w:r>
      <w:r w:rsidRPr="001977EB" w:rsidR="00FE2AF4">
        <w:rPr>
          <w:rFonts w:ascii="Times New Roman" w:hAnsi="Times New Roman" w:eastAsiaTheme="minorEastAsia" w:cs="Times New Roman"/>
          <w:sz w:val="24"/>
          <w:szCs w:val="24"/>
        </w:rPr>
        <w:t xml:space="preserve">excluded </w:t>
      </w:r>
      <w:r w:rsidRPr="001977EB">
        <w:rPr>
          <w:rFonts w:ascii="Times New Roman" w:hAnsi="Times New Roman" w:eastAsiaTheme="minorEastAsia" w:cs="Times New Roman"/>
          <w:sz w:val="24"/>
          <w:szCs w:val="24"/>
        </w:rPr>
        <w:t xml:space="preserve">evidence further showed that the </w:t>
      </w:r>
      <w:r w:rsidRPr="001977EB" w:rsidR="00FE2AF4">
        <w:rPr>
          <w:rFonts w:ascii="Times New Roman" w:hAnsi="Times New Roman" w:eastAsiaTheme="minorEastAsia" w:cs="Times New Roman"/>
          <w:sz w:val="24"/>
          <w:szCs w:val="24"/>
        </w:rPr>
        <w:t>A</w:t>
      </w:r>
      <w:r w:rsidRPr="001977EB">
        <w:rPr>
          <w:rFonts w:ascii="Times New Roman" w:hAnsi="Times New Roman" w:eastAsiaTheme="minorEastAsia" w:cs="Times New Roman"/>
          <w:sz w:val="24"/>
          <w:szCs w:val="24"/>
        </w:rPr>
        <w:t xml:space="preserve">uditor </w:t>
      </w:r>
      <w:r w:rsidRPr="001977EB" w:rsidR="00CD0527">
        <w:rPr>
          <w:rFonts w:ascii="Times New Roman" w:hAnsi="Times New Roman" w:eastAsiaTheme="minorEastAsia" w:cs="Times New Roman"/>
          <w:sz w:val="24"/>
          <w:szCs w:val="24"/>
        </w:rPr>
        <w:t xml:space="preserve">changed her opinion on whether running the plants was in </w:t>
      </w:r>
      <w:r w:rsidRPr="001977EB" w:rsidR="00563D4E">
        <w:rPr>
          <w:rFonts w:ascii="Times New Roman" w:hAnsi="Times New Roman" w:eastAsiaTheme="minorEastAsia" w:cs="Times New Roman"/>
          <w:sz w:val="24"/>
          <w:szCs w:val="24"/>
        </w:rPr>
        <w:t>consumers</w:t>
      </w:r>
      <w:r w:rsidR="001977EB">
        <w:rPr>
          <w:rFonts w:ascii="Times New Roman" w:hAnsi="Times New Roman" w:eastAsiaTheme="minorEastAsia" w:cs="Times New Roman"/>
          <w:sz w:val="24"/>
          <w:szCs w:val="24"/>
        </w:rPr>
        <w:t>’</w:t>
      </w:r>
      <w:r w:rsidRPr="001977EB" w:rsidR="00563D4E">
        <w:rPr>
          <w:rFonts w:ascii="Times New Roman" w:hAnsi="Times New Roman" w:eastAsiaTheme="minorEastAsia" w:cs="Times New Roman"/>
          <w:sz w:val="24"/>
          <w:szCs w:val="24"/>
        </w:rPr>
        <w:t xml:space="preserve"> best interest </w:t>
      </w:r>
      <w:r w:rsidRPr="001977EB">
        <w:rPr>
          <w:rFonts w:ascii="Times New Roman" w:hAnsi="Times New Roman" w:eastAsiaTheme="minorEastAsia" w:cs="Times New Roman"/>
          <w:sz w:val="24"/>
          <w:szCs w:val="24"/>
        </w:rPr>
        <w:t>after PUCO Staff expressed concern</w:t>
      </w:r>
      <w:r w:rsidRPr="001977EB" w:rsidR="00563D4E">
        <w:rPr>
          <w:rFonts w:ascii="Times New Roman" w:hAnsi="Times New Roman" w:eastAsiaTheme="minorEastAsia" w:cs="Times New Roman"/>
          <w:sz w:val="24"/>
          <w:szCs w:val="24"/>
        </w:rPr>
        <w:t xml:space="preserve"> about the </w:t>
      </w:r>
      <w:r w:rsidR="001977EB">
        <w:rPr>
          <w:rFonts w:ascii="Times New Roman" w:hAnsi="Times New Roman" w:eastAsiaTheme="minorEastAsia" w:cs="Times New Roman"/>
          <w:sz w:val="24"/>
          <w:szCs w:val="24"/>
        </w:rPr>
        <w:t>“</w:t>
      </w:r>
      <w:r w:rsidRPr="001977EB" w:rsidR="00563D4E">
        <w:rPr>
          <w:rFonts w:ascii="Times New Roman" w:hAnsi="Times New Roman" w:eastAsiaTheme="minorEastAsia" w:cs="Times New Roman"/>
          <w:sz w:val="24"/>
          <w:szCs w:val="24"/>
        </w:rPr>
        <w:t>tone and intensity</w:t>
      </w:r>
      <w:r w:rsidRPr="001977EB">
        <w:rPr>
          <w:rFonts w:ascii="Times New Roman" w:hAnsi="Times New Roman" w:eastAsiaTheme="minorEastAsia" w:cs="Times New Roman"/>
          <w:sz w:val="24"/>
          <w:szCs w:val="24"/>
        </w:rPr>
        <w:t>.</w:t>
      </w:r>
      <w:r w:rsidR="001977EB">
        <w:rPr>
          <w:rFonts w:ascii="Times New Roman" w:hAnsi="Times New Roman" w:eastAsiaTheme="minorEastAsia" w:cs="Times New Roman"/>
          <w:sz w:val="24"/>
          <w:szCs w:val="24"/>
        </w:rPr>
        <w:t>”</w:t>
      </w:r>
    </w:p>
    <w:p w:rsidR="007829C0" w:rsidRPr="001977EB" w:rsidP="007829C0" w14:paraId="6CCEF7D8" w14:textId="77777777">
      <w:pPr>
        <w:spacing w:line="480" w:lineRule="auto"/>
        <w:ind w:firstLine="720"/>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 xml:space="preserve">The excluded evidence was therefore highly relevant to prove three key points: (1) the </w:t>
      </w:r>
      <w:r w:rsidRPr="001977EB" w:rsidR="00FE2AF4">
        <w:rPr>
          <w:rFonts w:ascii="Times New Roman" w:hAnsi="Times New Roman" w:eastAsiaTheme="minorEastAsia" w:cs="Times New Roman"/>
          <w:sz w:val="24"/>
          <w:szCs w:val="24"/>
        </w:rPr>
        <w:t>A</w:t>
      </w:r>
      <w:r w:rsidRPr="001977EB">
        <w:rPr>
          <w:rFonts w:ascii="Times New Roman" w:hAnsi="Times New Roman" w:eastAsiaTheme="minorEastAsia" w:cs="Times New Roman"/>
          <w:sz w:val="24"/>
          <w:szCs w:val="24"/>
        </w:rPr>
        <w:t>uditor</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 xml:space="preserve">s real opinion was that operating the plants was not in the best interests of </w:t>
      </w:r>
      <w:r w:rsidRPr="001977EB" w:rsidR="00563D4E">
        <w:rPr>
          <w:rFonts w:ascii="Times New Roman" w:hAnsi="Times New Roman" w:eastAsiaTheme="minorEastAsia" w:cs="Times New Roman"/>
          <w:sz w:val="24"/>
          <w:szCs w:val="24"/>
        </w:rPr>
        <w:t>consumers</w:t>
      </w:r>
      <w:r w:rsidRPr="001977EB">
        <w:rPr>
          <w:rFonts w:ascii="Times New Roman" w:hAnsi="Times New Roman" w:eastAsiaTheme="minorEastAsia" w:cs="Times New Roman"/>
          <w:sz w:val="24"/>
          <w:szCs w:val="24"/>
        </w:rPr>
        <w:t xml:space="preserve">; (2) the </w:t>
      </w:r>
      <w:r w:rsidRPr="001977EB" w:rsidR="00FE2AF4">
        <w:rPr>
          <w:rFonts w:ascii="Times New Roman" w:hAnsi="Times New Roman" w:eastAsiaTheme="minorEastAsia" w:cs="Times New Roman"/>
          <w:sz w:val="24"/>
          <w:szCs w:val="24"/>
        </w:rPr>
        <w:t>A</w:t>
      </w:r>
      <w:r w:rsidRPr="001977EB">
        <w:rPr>
          <w:rFonts w:ascii="Times New Roman" w:hAnsi="Times New Roman" w:eastAsiaTheme="minorEastAsia" w:cs="Times New Roman"/>
          <w:sz w:val="24"/>
          <w:szCs w:val="24"/>
        </w:rPr>
        <w:t>uditor w</w:t>
      </w:r>
      <w:r w:rsidRPr="001977EB" w:rsidR="00FE2AF4">
        <w:rPr>
          <w:rFonts w:ascii="Times New Roman" w:hAnsi="Times New Roman" w:eastAsiaTheme="minorEastAsia" w:cs="Times New Roman"/>
          <w:sz w:val="24"/>
          <w:szCs w:val="24"/>
        </w:rPr>
        <w:t>as</w:t>
      </w:r>
      <w:r w:rsidRPr="001977EB">
        <w:rPr>
          <w:rFonts w:ascii="Times New Roman" w:hAnsi="Times New Roman" w:eastAsiaTheme="minorEastAsia" w:cs="Times New Roman"/>
          <w:sz w:val="24"/>
          <w:szCs w:val="24"/>
        </w:rPr>
        <w:t xml:space="preserve"> biased and prejudiced in </w:t>
      </w:r>
      <w:r w:rsidRPr="001977EB" w:rsidR="00FE2AF4">
        <w:rPr>
          <w:rFonts w:ascii="Times New Roman" w:hAnsi="Times New Roman" w:eastAsiaTheme="minorEastAsia" w:cs="Times New Roman"/>
          <w:sz w:val="24"/>
          <w:szCs w:val="24"/>
        </w:rPr>
        <w:t>AEP, Duke and DP&amp;L</w:t>
      </w:r>
      <w:r w:rsidR="001977EB">
        <w:rPr>
          <w:rFonts w:ascii="Times New Roman" w:hAnsi="Times New Roman" w:eastAsiaTheme="minorEastAsia" w:cs="Times New Roman"/>
          <w:sz w:val="24"/>
          <w:szCs w:val="24"/>
        </w:rPr>
        <w:t>’</w:t>
      </w:r>
      <w:r w:rsidRPr="001977EB" w:rsidR="00FE2AF4">
        <w:rPr>
          <w:rFonts w:ascii="Times New Roman" w:hAnsi="Times New Roman" w:eastAsiaTheme="minorEastAsia" w:cs="Times New Roman"/>
          <w:sz w:val="24"/>
          <w:szCs w:val="24"/>
        </w:rPr>
        <w:t>s</w:t>
      </w:r>
      <w:r w:rsidRPr="001977EB">
        <w:rPr>
          <w:rFonts w:ascii="Times New Roman" w:hAnsi="Times New Roman" w:eastAsiaTheme="minorEastAsia" w:cs="Times New Roman"/>
          <w:sz w:val="24"/>
          <w:szCs w:val="24"/>
        </w:rPr>
        <w:t xml:space="preserve"> favor and against consumers</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 xml:space="preserve"> interests; and (3) the </w:t>
      </w:r>
      <w:r w:rsidRPr="001977EB" w:rsidR="00FE2AF4">
        <w:rPr>
          <w:rFonts w:ascii="Times New Roman" w:hAnsi="Times New Roman" w:eastAsiaTheme="minorEastAsia" w:cs="Times New Roman"/>
          <w:sz w:val="24"/>
          <w:szCs w:val="24"/>
        </w:rPr>
        <w:t>A</w:t>
      </w:r>
      <w:r w:rsidRPr="001977EB">
        <w:rPr>
          <w:rFonts w:ascii="Times New Roman" w:hAnsi="Times New Roman" w:eastAsiaTheme="minorEastAsia" w:cs="Times New Roman"/>
          <w:sz w:val="24"/>
          <w:szCs w:val="24"/>
        </w:rPr>
        <w:t>udit</w:t>
      </w:r>
      <w:r w:rsidRPr="001977EB" w:rsidR="00FE2AF4">
        <w:rPr>
          <w:rFonts w:ascii="Times New Roman" w:hAnsi="Times New Roman" w:eastAsiaTheme="minorEastAsia" w:cs="Times New Roman"/>
          <w:sz w:val="24"/>
          <w:szCs w:val="24"/>
        </w:rPr>
        <w:t xml:space="preserve"> Reports were</w:t>
      </w:r>
      <w:r w:rsidRPr="001977EB">
        <w:rPr>
          <w:rFonts w:ascii="Times New Roman" w:hAnsi="Times New Roman" w:eastAsiaTheme="minorEastAsia" w:cs="Times New Roman"/>
          <w:sz w:val="24"/>
          <w:szCs w:val="24"/>
        </w:rPr>
        <w:t xml:space="preserve"> not independent audit</w:t>
      </w:r>
      <w:r w:rsidRPr="001977EB" w:rsidR="00FE2AF4">
        <w:rPr>
          <w:rFonts w:ascii="Times New Roman" w:hAnsi="Times New Roman" w:eastAsiaTheme="minorEastAsia" w:cs="Times New Roman"/>
          <w:sz w:val="24"/>
          <w:szCs w:val="24"/>
        </w:rPr>
        <w:t>s</w:t>
      </w:r>
      <w:r w:rsidRPr="001977EB">
        <w:rPr>
          <w:rFonts w:ascii="Times New Roman" w:hAnsi="Times New Roman" w:eastAsiaTheme="minorEastAsia" w:cs="Times New Roman"/>
          <w:sz w:val="24"/>
          <w:szCs w:val="24"/>
        </w:rPr>
        <w:t xml:space="preserve">, as required by PUCO </w:t>
      </w:r>
      <w:r w:rsidRPr="001977EB" w:rsidR="00FE2AF4">
        <w:rPr>
          <w:rFonts w:ascii="Times New Roman" w:hAnsi="Times New Roman" w:eastAsiaTheme="minorEastAsia" w:cs="Times New Roman"/>
          <w:sz w:val="24"/>
          <w:szCs w:val="24"/>
        </w:rPr>
        <w:t>the Request for Proposals.</w:t>
      </w:r>
      <w:r>
        <w:rPr>
          <w:rStyle w:val="FootnoteReference"/>
          <w:rFonts w:ascii="Times New Roman" w:hAnsi="Times New Roman" w:eastAsiaTheme="minorEastAsia" w:cs="Times New Roman"/>
          <w:sz w:val="24"/>
          <w:szCs w:val="24"/>
        </w:rPr>
        <w:footnoteReference w:id="135"/>
      </w:r>
      <w:r w:rsidRPr="001977EB" w:rsidR="00FC50DF">
        <w:rPr>
          <w:rFonts w:ascii="Times New Roman" w:hAnsi="Times New Roman" w:eastAsiaTheme="minorEastAsia" w:cs="Times New Roman"/>
          <w:sz w:val="24"/>
          <w:szCs w:val="24"/>
        </w:rPr>
        <w:t xml:space="preserve"> </w:t>
      </w:r>
    </w:p>
    <w:p w:rsidR="007829C0" w:rsidRPr="001977EB" w:rsidP="007829C0" w14:paraId="5B06FC00" w14:textId="77777777">
      <w:pPr>
        <w:spacing w:line="480" w:lineRule="auto"/>
        <w:ind w:firstLine="720"/>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Relevant evidence is generally admissible.</w:t>
      </w:r>
      <w:r>
        <w:rPr>
          <w:rStyle w:val="FootnoteReference"/>
          <w:rFonts w:ascii="Times New Roman" w:hAnsi="Times New Roman" w:eastAsiaTheme="minorEastAsia" w:cs="Times New Roman"/>
          <w:sz w:val="24"/>
          <w:szCs w:val="24"/>
        </w:rPr>
        <w:footnoteReference w:id="136"/>
      </w:r>
      <w:r w:rsidRPr="001977EB">
        <w:rPr>
          <w:rFonts w:ascii="Times New Roman" w:hAnsi="Times New Roman" w:eastAsiaTheme="minorEastAsia" w:cs="Times New Roman"/>
          <w:sz w:val="24"/>
          <w:szCs w:val="24"/>
        </w:rPr>
        <w:t xml:space="preserve"> Relevant evidence can be excluded if it </w:t>
      </w:r>
      <w:r w:rsidRPr="001977EB" w:rsidR="00563D4E">
        <w:rPr>
          <w:rFonts w:ascii="Times New Roman" w:hAnsi="Times New Roman" w:eastAsiaTheme="minorEastAsia" w:cs="Times New Roman"/>
          <w:sz w:val="24"/>
          <w:szCs w:val="24"/>
        </w:rPr>
        <w:t xml:space="preserve">might </w:t>
      </w:r>
      <w:r w:rsidRPr="001977EB">
        <w:rPr>
          <w:rFonts w:ascii="Times New Roman" w:hAnsi="Times New Roman" w:eastAsiaTheme="minorEastAsia" w:cs="Times New Roman"/>
          <w:sz w:val="24"/>
          <w:szCs w:val="24"/>
        </w:rPr>
        <w:t>cause confusion of the issues, but only if the probative value is substantially outweighed by the danger of confusion.</w:t>
      </w:r>
      <w:r>
        <w:rPr>
          <w:rStyle w:val="FootnoteReference"/>
          <w:rFonts w:ascii="Times New Roman" w:hAnsi="Times New Roman" w:eastAsiaTheme="minorEastAsia" w:cs="Times New Roman"/>
          <w:sz w:val="24"/>
          <w:szCs w:val="24"/>
        </w:rPr>
        <w:footnoteReference w:id="137"/>
      </w:r>
      <w:r w:rsidRPr="001977EB">
        <w:rPr>
          <w:rFonts w:ascii="Times New Roman" w:hAnsi="Times New Roman" w:eastAsiaTheme="minorEastAsia" w:cs="Times New Roman"/>
          <w:sz w:val="24"/>
          <w:szCs w:val="24"/>
        </w:rPr>
        <w:t xml:space="preserve"> This case w</w:t>
      </w:r>
      <w:r w:rsidRPr="001977EB" w:rsidR="00FE2AF4">
        <w:rPr>
          <w:rFonts w:ascii="Times New Roman" w:hAnsi="Times New Roman" w:eastAsiaTheme="minorEastAsia" w:cs="Times New Roman"/>
          <w:sz w:val="24"/>
          <w:szCs w:val="24"/>
        </w:rPr>
        <w:t>ill ultimately be</w:t>
      </w:r>
      <w:r w:rsidRPr="001977EB">
        <w:rPr>
          <w:rFonts w:ascii="Times New Roman" w:hAnsi="Times New Roman" w:eastAsiaTheme="minorEastAsia" w:cs="Times New Roman"/>
          <w:sz w:val="24"/>
          <w:szCs w:val="24"/>
        </w:rPr>
        <w:t xml:space="preserve"> decided by PUCO Commissioners who are experts in utility regulation and who have decided many cases relating to OVEC over the years. </w:t>
      </w:r>
      <w:r w:rsidRPr="001977EB" w:rsidR="00FE2AF4">
        <w:rPr>
          <w:rFonts w:ascii="Times New Roman" w:hAnsi="Times New Roman" w:eastAsiaTheme="minorEastAsia" w:cs="Times New Roman"/>
          <w:sz w:val="24"/>
          <w:szCs w:val="24"/>
        </w:rPr>
        <w:t>Under these circumstances, there is little or no risk</w:t>
      </w:r>
      <w:r w:rsidRPr="001977EB">
        <w:rPr>
          <w:rFonts w:ascii="Times New Roman" w:hAnsi="Times New Roman" w:eastAsiaTheme="minorEastAsia" w:cs="Times New Roman"/>
          <w:sz w:val="24"/>
          <w:szCs w:val="24"/>
        </w:rPr>
        <w:t xml:space="preserve"> that any danger of confusion would substantially outweigh the probative value of the excluded evidence.</w:t>
      </w:r>
    </w:p>
    <w:p w:rsidR="002F423A" w:rsidRPr="001977EB" w:rsidP="007829C0" w14:paraId="35FE6072" w14:textId="77777777">
      <w:pPr>
        <w:spacing w:line="480" w:lineRule="auto"/>
        <w:ind w:firstLine="720"/>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The PUCO ordered an independent audit in this case.</w:t>
      </w:r>
      <w:r>
        <w:rPr>
          <w:rStyle w:val="FootnoteReference"/>
          <w:rFonts w:ascii="Times New Roman" w:hAnsi="Times New Roman" w:eastAsiaTheme="minorEastAsia" w:cs="Times New Roman"/>
          <w:sz w:val="24"/>
          <w:szCs w:val="24"/>
        </w:rPr>
        <w:footnoteReference w:id="138"/>
      </w:r>
      <w:r w:rsidRPr="001977EB">
        <w:rPr>
          <w:rFonts w:ascii="Times New Roman" w:hAnsi="Times New Roman" w:eastAsiaTheme="minorEastAsia" w:cs="Times New Roman"/>
          <w:sz w:val="24"/>
          <w:szCs w:val="24"/>
        </w:rPr>
        <w:t xml:space="preserve"> The </w:t>
      </w:r>
      <w:r w:rsidRPr="001977EB" w:rsidR="00563D4E">
        <w:rPr>
          <w:rFonts w:ascii="Times New Roman" w:hAnsi="Times New Roman" w:eastAsiaTheme="minorEastAsia" w:cs="Times New Roman"/>
          <w:sz w:val="24"/>
          <w:szCs w:val="24"/>
        </w:rPr>
        <w:t xml:space="preserve">excluded </w:t>
      </w:r>
      <w:r w:rsidRPr="001977EB">
        <w:rPr>
          <w:rFonts w:ascii="Times New Roman" w:hAnsi="Times New Roman" w:eastAsiaTheme="minorEastAsia" w:cs="Times New Roman"/>
          <w:sz w:val="24"/>
          <w:szCs w:val="24"/>
        </w:rPr>
        <w:t>evidence was also admissible for impeachment purposes</w:t>
      </w:r>
      <w:r w:rsidRPr="001977EB" w:rsidR="00563D4E">
        <w:rPr>
          <w:rFonts w:ascii="Times New Roman" w:hAnsi="Times New Roman" w:eastAsiaTheme="minorEastAsia" w:cs="Times New Roman"/>
          <w:sz w:val="24"/>
          <w:szCs w:val="24"/>
        </w:rPr>
        <w:t>.</w:t>
      </w:r>
      <w:r w:rsidRPr="001977EB" w:rsidR="00FC50DF">
        <w:rPr>
          <w:rFonts w:ascii="Times New Roman" w:hAnsi="Times New Roman" w:eastAsiaTheme="minorEastAsia" w:cs="Times New Roman"/>
          <w:sz w:val="24"/>
          <w:szCs w:val="24"/>
        </w:rPr>
        <w:t xml:space="preserve"> </w:t>
      </w:r>
      <w:r w:rsidRPr="001977EB">
        <w:rPr>
          <w:rFonts w:ascii="Times New Roman" w:hAnsi="Times New Roman" w:eastAsiaTheme="minorEastAsia" w:cs="Times New Roman"/>
          <w:sz w:val="24"/>
          <w:szCs w:val="24"/>
        </w:rPr>
        <w:t>OCC</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s attorney should have been allowed to cross-examine the Auditor on these issues in order to impeach the Auditor</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 xml:space="preserve">s credibility by showing that she </w:t>
      </w:r>
      <w:r w:rsidRPr="001977EB" w:rsidR="00563D4E">
        <w:rPr>
          <w:rFonts w:ascii="Times New Roman" w:hAnsi="Times New Roman" w:eastAsiaTheme="minorEastAsia" w:cs="Times New Roman"/>
          <w:sz w:val="24"/>
          <w:szCs w:val="24"/>
        </w:rPr>
        <w:t xml:space="preserve">was biased and prejudiced and </w:t>
      </w:r>
      <w:r w:rsidRPr="001977EB">
        <w:rPr>
          <w:rFonts w:ascii="Times New Roman" w:hAnsi="Times New Roman" w:eastAsiaTheme="minorEastAsia" w:cs="Times New Roman"/>
          <w:sz w:val="24"/>
          <w:szCs w:val="24"/>
        </w:rPr>
        <w:t>did not act independently.</w:t>
      </w:r>
      <w:r w:rsidRPr="001977EB" w:rsidR="00FC50DF">
        <w:rPr>
          <w:rFonts w:ascii="Times New Roman" w:hAnsi="Times New Roman" w:eastAsiaTheme="minorEastAsia" w:cs="Times New Roman"/>
          <w:sz w:val="24"/>
          <w:szCs w:val="24"/>
        </w:rPr>
        <w:t xml:space="preserve"> </w:t>
      </w:r>
      <w:r w:rsidRPr="001977EB">
        <w:rPr>
          <w:rFonts w:ascii="Times New Roman" w:hAnsi="Times New Roman" w:eastAsiaTheme="minorEastAsia" w:cs="Times New Roman"/>
          <w:sz w:val="24"/>
          <w:szCs w:val="24"/>
        </w:rPr>
        <w:t>OCC</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 xml:space="preserve">s attorney should have also been allowed to cross-examine the Auditor on these emails to </w:t>
      </w:r>
      <w:r w:rsidRPr="001977EB" w:rsidR="00563D4E">
        <w:rPr>
          <w:rFonts w:ascii="Times New Roman" w:hAnsi="Times New Roman" w:eastAsiaTheme="minorEastAsia" w:cs="Times New Roman"/>
          <w:sz w:val="24"/>
          <w:szCs w:val="24"/>
        </w:rPr>
        <w:t>impeach the Auditor</w:t>
      </w:r>
      <w:r w:rsidR="001977EB">
        <w:rPr>
          <w:rFonts w:ascii="Times New Roman" w:hAnsi="Times New Roman" w:eastAsiaTheme="minorEastAsia" w:cs="Times New Roman"/>
          <w:sz w:val="24"/>
          <w:szCs w:val="24"/>
        </w:rPr>
        <w:t>’</w:t>
      </w:r>
      <w:r w:rsidRPr="001977EB" w:rsidR="00563D4E">
        <w:rPr>
          <w:rFonts w:ascii="Times New Roman" w:hAnsi="Times New Roman" w:eastAsiaTheme="minorEastAsia" w:cs="Times New Roman"/>
          <w:sz w:val="24"/>
          <w:szCs w:val="24"/>
        </w:rPr>
        <w:t>s credibility on these issues</w:t>
      </w:r>
      <w:r w:rsidRPr="001977EB">
        <w:rPr>
          <w:rFonts w:ascii="Times New Roman" w:hAnsi="Times New Roman" w:eastAsiaTheme="minorEastAsia" w:cs="Times New Roman"/>
          <w:sz w:val="24"/>
          <w:szCs w:val="24"/>
        </w:rPr>
        <w:t>.</w:t>
      </w:r>
      <w:r>
        <w:rPr>
          <w:rStyle w:val="FootnoteReference"/>
          <w:rFonts w:ascii="Times New Roman" w:hAnsi="Times New Roman" w:eastAsiaTheme="minorEastAsia" w:cs="Times New Roman"/>
          <w:sz w:val="24"/>
          <w:szCs w:val="24"/>
        </w:rPr>
        <w:footnoteReference w:id="139"/>
      </w:r>
      <w:r w:rsidRPr="001977EB">
        <w:rPr>
          <w:rFonts w:ascii="Times New Roman" w:hAnsi="Times New Roman" w:eastAsiaTheme="minorEastAsia" w:cs="Times New Roman"/>
          <w:sz w:val="24"/>
          <w:szCs w:val="24"/>
        </w:rPr>
        <w:t xml:space="preserve"> </w:t>
      </w:r>
    </w:p>
    <w:p w:rsidR="007829C0" w:rsidRPr="001977EB" w:rsidP="007829C0" w14:paraId="7AC6C416" w14:textId="77777777">
      <w:pPr>
        <w:spacing w:line="480" w:lineRule="auto"/>
        <w:ind w:firstLine="720"/>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 xml:space="preserve">Ohio R.Evid. 611(B) states that </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cross-examination shall be permitted on all relevant matters and matters affecting credibility.</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 xml:space="preserve"> Ohio R.Evid. 616(A) provides that a witness can be impeached with evidence of bias, prejudice, or motive to misrepresent. The excluded evidence therefore should have been admitted for impeachment purposes.</w:t>
      </w:r>
      <w:r>
        <w:rPr>
          <w:rStyle w:val="FootnoteReference"/>
          <w:rFonts w:ascii="Times New Roman" w:hAnsi="Times New Roman" w:eastAsiaTheme="minorEastAsia" w:cs="Times New Roman"/>
          <w:sz w:val="24"/>
          <w:szCs w:val="24"/>
        </w:rPr>
        <w:footnoteReference w:id="140"/>
      </w:r>
    </w:p>
    <w:p w:rsidR="002F423A" w:rsidRPr="001977EB" w:rsidP="002F423A" w14:paraId="365D758E" w14:textId="77777777">
      <w:pPr>
        <w:spacing w:line="480" w:lineRule="auto"/>
        <w:ind w:firstLine="720"/>
        <w:rPr>
          <w:rFonts w:ascii="Times New Roman" w:hAnsi="Times New Roman" w:eastAsiaTheme="minorEastAsia" w:cs="Times New Roman"/>
          <w:sz w:val="24"/>
          <w:szCs w:val="24"/>
        </w:rPr>
      </w:pPr>
      <w:r w:rsidRPr="001977EB">
        <w:rPr>
          <w:rFonts w:ascii="Times New Roman" w:hAnsi="Times New Roman" w:eastAsiaTheme="minorEastAsia" w:cs="Times New Roman"/>
          <w:sz w:val="24"/>
          <w:szCs w:val="24"/>
        </w:rPr>
        <w:t xml:space="preserve">The excluded evidence was admissible because it was highly </w:t>
      </w:r>
      <w:r w:rsidRPr="001977EB" w:rsidR="00886400">
        <w:rPr>
          <w:rFonts w:ascii="Times New Roman" w:hAnsi="Times New Roman" w:eastAsiaTheme="minorEastAsia" w:cs="Times New Roman"/>
          <w:sz w:val="24"/>
          <w:szCs w:val="24"/>
        </w:rPr>
        <w:t>relevant,</w:t>
      </w:r>
      <w:r w:rsidRPr="001977EB">
        <w:rPr>
          <w:rFonts w:ascii="Times New Roman" w:hAnsi="Times New Roman" w:eastAsiaTheme="minorEastAsia" w:cs="Times New Roman"/>
          <w:sz w:val="24"/>
          <w:szCs w:val="24"/>
        </w:rPr>
        <w:t xml:space="preserve"> and the relevant value was not outweighed by any realistic risk of prejudicial impact.</w:t>
      </w:r>
      <w:r w:rsidRPr="001977EB" w:rsidR="00FC50DF">
        <w:rPr>
          <w:rFonts w:ascii="Times New Roman" w:hAnsi="Times New Roman" w:eastAsiaTheme="minorEastAsia" w:cs="Times New Roman"/>
          <w:sz w:val="24"/>
          <w:szCs w:val="24"/>
        </w:rPr>
        <w:t xml:space="preserve"> </w:t>
      </w:r>
      <w:r w:rsidRPr="001977EB">
        <w:rPr>
          <w:rFonts w:ascii="Times New Roman" w:hAnsi="Times New Roman" w:eastAsiaTheme="minorEastAsia" w:cs="Times New Roman"/>
          <w:sz w:val="24"/>
          <w:szCs w:val="24"/>
        </w:rPr>
        <w:t xml:space="preserve">The probative value of the evidence greatly outweighed any risk of confusion, given the fact that the PUCO Commissioners are experienced and sophisticated in deciding these </w:t>
      </w:r>
      <w:r w:rsidRPr="001977EB" w:rsidR="00563D4E">
        <w:rPr>
          <w:rFonts w:ascii="Times New Roman" w:hAnsi="Times New Roman" w:eastAsiaTheme="minorEastAsia" w:cs="Times New Roman"/>
          <w:sz w:val="24"/>
          <w:szCs w:val="24"/>
        </w:rPr>
        <w:t xml:space="preserve">types of </w:t>
      </w:r>
      <w:r w:rsidRPr="001977EB" w:rsidR="00C31ED1">
        <w:rPr>
          <w:rFonts w:ascii="Times New Roman" w:hAnsi="Times New Roman" w:eastAsiaTheme="minorEastAsia" w:cs="Times New Roman"/>
          <w:sz w:val="24"/>
          <w:szCs w:val="24"/>
        </w:rPr>
        <w:t>cases</w:t>
      </w:r>
      <w:r w:rsidRPr="001977EB">
        <w:rPr>
          <w:rFonts w:ascii="Times New Roman" w:hAnsi="Times New Roman" w:eastAsiaTheme="minorEastAsia" w:cs="Times New Roman"/>
          <w:sz w:val="24"/>
          <w:szCs w:val="24"/>
        </w:rPr>
        <w:t>. The excluded evidence was also admissible for impeachment purposes. Under the circumstances, the Attorney Examiners violated OCC</w:t>
      </w:r>
      <w:r w:rsidR="001977EB">
        <w:rPr>
          <w:rFonts w:ascii="Times New Roman" w:hAnsi="Times New Roman" w:eastAsiaTheme="minorEastAsia" w:cs="Times New Roman"/>
          <w:sz w:val="24"/>
          <w:szCs w:val="24"/>
        </w:rPr>
        <w:t>’</w:t>
      </w:r>
      <w:r w:rsidRPr="001977EB">
        <w:rPr>
          <w:rFonts w:ascii="Times New Roman" w:hAnsi="Times New Roman" w:eastAsiaTheme="minorEastAsia" w:cs="Times New Roman"/>
          <w:sz w:val="24"/>
          <w:szCs w:val="24"/>
        </w:rPr>
        <w:t>s substantial rights by excluding this evidence. The PUCO should overrule these evidentiary rulings, re-open the evidentiary hearing and allow OCC to introduce the evidence and conduct cross-examination on these issues.</w:t>
      </w:r>
    </w:p>
    <w:p w:rsidR="002A3F8C" w:rsidRPr="001977EB" w:rsidP="004E3258" w14:paraId="3A73A247" w14:textId="77777777">
      <w:pPr>
        <w:spacing w:line="240" w:lineRule="auto"/>
        <w:rPr>
          <w:rFonts w:ascii="Times New Roman" w:eastAsia="Times New Roman" w:hAnsi="Times New Roman" w:cs="Times New Roman"/>
          <w:sz w:val="24"/>
          <w:szCs w:val="24"/>
        </w:rPr>
      </w:pPr>
    </w:p>
    <w:p w:rsidR="00997DCA" w:rsidRPr="001977EB" w:rsidP="001510B5" w14:paraId="01254188" w14:textId="77777777">
      <w:pPr>
        <w:pStyle w:val="Heading1"/>
        <w:rPr>
          <w:rFonts w:cs="Times New Roman"/>
          <w:szCs w:val="24"/>
        </w:rPr>
      </w:pPr>
      <w:bookmarkStart w:id="27" w:name="_Toc150780647"/>
      <w:bookmarkStart w:id="28" w:name="_Toc158641653"/>
      <w:r>
        <w:rPr>
          <w:rFonts w:cs="Times New Roman"/>
          <w:szCs w:val="24"/>
        </w:rPr>
        <w:t>IV.</w:t>
      </w:r>
      <w:r>
        <w:rPr>
          <w:rFonts w:cs="Times New Roman"/>
          <w:szCs w:val="24"/>
        </w:rPr>
        <w:tab/>
      </w:r>
      <w:r w:rsidRPr="001977EB" w:rsidR="00351D95">
        <w:rPr>
          <w:rFonts w:cs="Times New Roman"/>
          <w:szCs w:val="24"/>
        </w:rPr>
        <w:t>CONCLUSION</w:t>
      </w:r>
      <w:bookmarkEnd w:id="27"/>
      <w:bookmarkEnd w:id="28"/>
    </w:p>
    <w:p w:rsidR="00BF196E" w:rsidP="001750C7" w14:paraId="0D4FB9AE"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AEP, Duke and DP&amp;L</w:t>
      </w:r>
      <w:r w:rsidRPr="001977EB" w:rsidR="00693C14">
        <w:rPr>
          <w:rFonts w:ascii="Times New Roman" w:hAnsi="Times New Roman" w:cs="Times New Roman"/>
          <w:sz w:val="24"/>
          <w:szCs w:val="24"/>
        </w:rPr>
        <w:t xml:space="preserve"> failed</w:t>
      </w:r>
      <w:r w:rsidRPr="001977EB" w:rsidR="00351D95">
        <w:rPr>
          <w:rFonts w:ascii="Times New Roman" w:hAnsi="Times New Roman" w:cs="Times New Roman"/>
          <w:sz w:val="24"/>
          <w:szCs w:val="24"/>
        </w:rPr>
        <w:t xml:space="preserve"> to operate the </w:t>
      </w:r>
      <w:r w:rsidRPr="001977EB" w:rsidR="002F423A">
        <w:rPr>
          <w:rFonts w:ascii="Times New Roman" w:hAnsi="Times New Roman" w:cs="Times New Roman"/>
          <w:sz w:val="24"/>
          <w:szCs w:val="24"/>
        </w:rPr>
        <w:t>c</w:t>
      </w:r>
      <w:r w:rsidRPr="001977EB" w:rsidR="00351D95">
        <w:rPr>
          <w:rFonts w:ascii="Times New Roman" w:hAnsi="Times New Roman" w:cs="Times New Roman"/>
          <w:sz w:val="24"/>
          <w:szCs w:val="24"/>
        </w:rPr>
        <w:t xml:space="preserve">oal </w:t>
      </w:r>
      <w:r w:rsidRPr="001977EB" w:rsidR="002F423A">
        <w:rPr>
          <w:rFonts w:ascii="Times New Roman" w:hAnsi="Times New Roman" w:cs="Times New Roman"/>
          <w:sz w:val="24"/>
          <w:szCs w:val="24"/>
        </w:rPr>
        <w:t>p</w:t>
      </w:r>
      <w:r w:rsidRPr="001977EB" w:rsidR="00351D95">
        <w:rPr>
          <w:rFonts w:ascii="Times New Roman" w:hAnsi="Times New Roman" w:cs="Times New Roman"/>
          <w:sz w:val="24"/>
          <w:szCs w:val="24"/>
        </w:rPr>
        <w:t xml:space="preserve">lants prudently, in the best interest of consumers and consistent with practices followed by merchant </w:t>
      </w:r>
      <w:r w:rsidRPr="001977EB" w:rsidR="002F423A">
        <w:rPr>
          <w:rFonts w:ascii="Times New Roman" w:hAnsi="Times New Roman" w:cs="Times New Roman"/>
          <w:sz w:val="24"/>
          <w:szCs w:val="24"/>
        </w:rPr>
        <w:t xml:space="preserve">coal </w:t>
      </w:r>
      <w:r w:rsidRPr="001977EB" w:rsidR="00351D95">
        <w:rPr>
          <w:rFonts w:ascii="Times New Roman" w:hAnsi="Times New Roman" w:cs="Times New Roman"/>
          <w:sz w:val="24"/>
          <w:szCs w:val="24"/>
        </w:rPr>
        <w:t>plant o</w:t>
      </w:r>
      <w:r w:rsidRPr="001977EB" w:rsidR="002F423A">
        <w:rPr>
          <w:rFonts w:ascii="Times New Roman" w:hAnsi="Times New Roman" w:cs="Times New Roman"/>
          <w:sz w:val="24"/>
          <w:szCs w:val="24"/>
        </w:rPr>
        <w:t>wners</w:t>
      </w:r>
      <w:r w:rsidRPr="001977EB" w:rsidR="00351D95">
        <w:rPr>
          <w:rFonts w:ascii="Times New Roman" w:hAnsi="Times New Roman" w:cs="Times New Roman"/>
          <w:sz w:val="24"/>
          <w:szCs w:val="24"/>
        </w:rPr>
        <w:t xml:space="preserve"> seeking to maximize revenues.</w:t>
      </w:r>
      <w:r w:rsidRPr="001977EB" w:rsidR="006C40F0">
        <w:rPr>
          <w:rFonts w:ascii="Times New Roman" w:hAnsi="Times New Roman" w:cs="Times New Roman"/>
          <w:sz w:val="24"/>
          <w:szCs w:val="24"/>
        </w:rPr>
        <w:t xml:space="preserve"> </w:t>
      </w:r>
      <w:r w:rsidRPr="001977EB" w:rsidR="00351D95">
        <w:rPr>
          <w:rFonts w:ascii="Times New Roman" w:hAnsi="Times New Roman" w:cs="Times New Roman"/>
          <w:sz w:val="24"/>
          <w:szCs w:val="24"/>
        </w:rPr>
        <w:t xml:space="preserve">The PUCO should therefore disallow the </w:t>
      </w:r>
      <w:r w:rsidRPr="001977EB">
        <w:rPr>
          <w:rFonts w:ascii="Times New Roman" w:hAnsi="Times New Roman" w:cs="Times New Roman"/>
          <w:sz w:val="24"/>
          <w:szCs w:val="24"/>
        </w:rPr>
        <w:t xml:space="preserve">full </w:t>
      </w:r>
      <w:r w:rsidRPr="001977EB" w:rsidR="00351D95">
        <w:rPr>
          <w:rFonts w:ascii="Times New Roman" w:hAnsi="Times New Roman" w:cs="Times New Roman"/>
          <w:sz w:val="24"/>
          <w:szCs w:val="24"/>
        </w:rPr>
        <w:t>$1</w:t>
      </w:r>
      <w:r w:rsidRPr="001977EB">
        <w:rPr>
          <w:rFonts w:ascii="Times New Roman" w:hAnsi="Times New Roman" w:cs="Times New Roman"/>
          <w:sz w:val="24"/>
          <w:szCs w:val="24"/>
        </w:rPr>
        <w:t>05</w:t>
      </w:r>
      <w:r w:rsidRPr="001977EB" w:rsidR="00351D95">
        <w:rPr>
          <w:rFonts w:ascii="Times New Roman" w:hAnsi="Times New Roman" w:cs="Times New Roman"/>
          <w:sz w:val="24"/>
          <w:szCs w:val="24"/>
        </w:rPr>
        <w:t xml:space="preserve"> million in above-market </w:t>
      </w:r>
      <w:r w:rsidRPr="001977EB">
        <w:rPr>
          <w:rFonts w:ascii="Times New Roman" w:hAnsi="Times New Roman" w:cs="Times New Roman"/>
          <w:sz w:val="24"/>
          <w:szCs w:val="24"/>
        </w:rPr>
        <w:t>price c</w:t>
      </w:r>
      <w:r w:rsidRPr="001977EB" w:rsidR="00351D95">
        <w:rPr>
          <w:rFonts w:ascii="Times New Roman" w:hAnsi="Times New Roman" w:cs="Times New Roman"/>
          <w:sz w:val="24"/>
          <w:szCs w:val="24"/>
        </w:rPr>
        <w:t xml:space="preserve">oal </w:t>
      </w:r>
      <w:r w:rsidRPr="001977EB">
        <w:rPr>
          <w:rFonts w:ascii="Times New Roman" w:hAnsi="Times New Roman" w:cs="Times New Roman"/>
          <w:sz w:val="24"/>
          <w:szCs w:val="24"/>
        </w:rPr>
        <w:t>p</w:t>
      </w:r>
      <w:r w:rsidRPr="001977EB" w:rsidR="00351D95">
        <w:rPr>
          <w:rFonts w:ascii="Times New Roman" w:hAnsi="Times New Roman" w:cs="Times New Roman"/>
          <w:sz w:val="24"/>
          <w:szCs w:val="24"/>
        </w:rPr>
        <w:t xml:space="preserve">lant </w:t>
      </w:r>
      <w:r w:rsidRPr="001977EB">
        <w:rPr>
          <w:rFonts w:ascii="Times New Roman" w:hAnsi="Times New Roman" w:cs="Times New Roman"/>
          <w:sz w:val="24"/>
          <w:szCs w:val="24"/>
        </w:rPr>
        <w:t>s</w:t>
      </w:r>
      <w:r w:rsidRPr="001977EB" w:rsidR="00351D95">
        <w:rPr>
          <w:rFonts w:ascii="Times New Roman" w:hAnsi="Times New Roman" w:cs="Times New Roman"/>
          <w:sz w:val="24"/>
          <w:szCs w:val="24"/>
        </w:rPr>
        <w:t>ubsidy charges</w:t>
      </w:r>
      <w:r w:rsidRPr="001977EB" w:rsidR="00766E4C">
        <w:rPr>
          <w:rFonts w:ascii="Times New Roman" w:hAnsi="Times New Roman" w:cs="Times New Roman"/>
          <w:sz w:val="24"/>
          <w:szCs w:val="24"/>
        </w:rPr>
        <w:t>.</w:t>
      </w:r>
    </w:p>
    <w:p w:rsidR="00BF196E" w14:paraId="4692EF53" w14:textId="77777777">
      <w:pPr>
        <w:rPr>
          <w:rFonts w:ascii="Times New Roman" w:hAnsi="Times New Roman" w:cs="Times New Roman"/>
          <w:sz w:val="24"/>
          <w:szCs w:val="24"/>
        </w:rPr>
      </w:pPr>
      <w:r>
        <w:rPr>
          <w:rFonts w:ascii="Times New Roman" w:hAnsi="Times New Roman" w:cs="Times New Roman"/>
          <w:sz w:val="24"/>
          <w:szCs w:val="24"/>
        </w:rPr>
        <w:br w:type="page"/>
      </w:r>
    </w:p>
    <w:p w:rsidR="000D4BA8" w:rsidRPr="001977EB" w:rsidP="000D4BA8" w14:paraId="0DF42174" w14:textId="77777777">
      <w:pPr>
        <w:spacing w:line="240" w:lineRule="auto"/>
        <w:ind w:firstLine="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Respectfully submitted,</w:t>
      </w:r>
    </w:p>
    <w:p w:rsidR="000D4BA8" w:rsidRPr="001977EB" w:rsidP="000D4BA8" w14:paraId="69B41649" w14:textId="77777777">
      <w:pPr>
        <w:spacing w:line="240" w:lineRule="auto"/>
        <w:ind w:firstLine="3960"/>
        <w:rPr>
          <w:rFonts w:ascii="Times New Roman" w:eastAsia="Times New Roman" w:hAnsi="Times New Roman" w:cs="Times New Roman"/>
          <w:sz w:val="24"/>
          <w:szCs w:val="24"/>
          <w:lang w:val="en-US"/>
        </w:rPr>
      </w:pPr>
    </w:p>
    <w:p w:rsidR="000D4BA8" w:rsidRPr="001977EB" w:rsidP="000D4BA8" w14:paraId="3CC7E2BC"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Maureen R. Willis (0020847)</w:t>
      </w:r>
    </w:p>
    <w:p w:rsidR="000D4BA8" w:rsidRPr="001977EB" w:rsidP="000D4BA8" w14:paraId="5B521592"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Ohio Consumers</w:t>
      </w:r>
      <w:r w:rsidR="001977EB">
        <w:rPr>
          <w:rFonts w:ascii="Times New Roman" w:eastAsia="Times New Roman" w:hAnsi="Times New Roman" w:cs="Times New Roman"/>
          <w:sz w:val="24"/>
          <w:szCs w:val="24"/>
          <w:lang w:val="en-US"/>
        </w:rPr>
        <w:t>’</w:t>
      </w:r>
      <w:r w:rsidRPr="001977EB">
        <w:rPr>
          <w:rFonts w:ascii="Times New Roman" w:eastAsia="Times New Roman" w:hAnsi="Times New Roman" w:cs="Times New Roman"/>
          <w:sz w:val="24"/>
          <w:szCs w:val="24"/>
          <w:lang w:val="en-US"/>
        </w:rPr>
        <w:t xml:space="preserve"> Counsel</w:t>
      </w:r>
    </w:p>
    <w:p w:rsidR="000D4BA8" w:rsidRPr="001977EB" w:rsidP="000D4BA8" w14:paraId="7712629E" w14:textId="77777777">
      <w:pPr>
        <w:tabs>
          <w:tab w:val="left" w:pos="4320"/>
        </w:tabs>
        <w:spacing w:line="240" w:lineRule="auto"/>
        <w:ind w:left="3960"/>
        <w:rPr>
          <w:rFonts w:ascii="Times New Roman" w:eastAsia="Times New Roman" w:hAnsi="Times New Roman" w:cs="Times New Roman"/>
          <w:sz w:val="24"/>
          <w:szCs w:val="24"/>
          <w:lang w:val="en-US"/>
        </w:rPr>
      </w:pPr>
    </w:p>
    <w:p w:rsidR="000D4BA8" w:rsidRPr="001977EB" w:rsidP="000D4BA8" w14:paraId="175E4CC6" w14:textId="77777777">
      <w:pPr>
        <w:spacing w:line="240" w:lineRule="auto"/>
        <w:ind w:left="3960"/>
        <w:rPr>
          <w:rFonts w:ascii="Times New Roman" w:eastAsia="Times New Roman" w:hAnsi="Times New Roman" w:cs="Times New Roman"/>
          <w:i/>
          <w:sz w:val="24"/>
          <w:szCs w:val="24"/>
          <w:u w:val="single"/>
          <w:lang w:val="en-US"/>
        </w:rPr>
      </w:pPr>
      <w:r w:rsidRPr="001977EB">
        <w:rPr>
          <w:rFonts w:ascii="Times New Roman" w:eastAsia="Times New Roman" w:hAnsi="Times New Roman" w:cs="Times New Roman"/>
          <w:i/>
          <w:sz w:val="24"/>
          <w:szCs w:val="24"/>
          <w:u w:val="single"/>
          <w:lang w:val="en-US"/>
        </w:rPr>
        <w:t>/s/ John Finnigan</w:t>
      </w:r>
    </w:p>
    <w:p w:rsidR="000D4BA8" w:rsidRPr="001977EB" w:rsidP="000D4BA8" w14:paraId="17B407B2"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John Finnigan (0018689)</w:t>
      </w:r>
    </w:p>
    <w:p w:rsidR="000D4BA8" w:rsidRPr="001977EB" w:rsidP="000D4BA8" w14:paraId="7098013E"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Counsel of Record</w:t>
      </w:r>
    </w:p>
    <w:p w:rsidR="000D4BA8" w:rsidRPr="001977EB" w:rsidP="000D4BA8" w14:paraId="12748F9A"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William J. Michael (0070921)</w:t>
      </w:r>
    </w:p>
    <w:p w:rsidR="000D4BA8" w:rsidRPr="001977EB" w:rsidP="000D4BA8" w14:paraId="1CB5C5F6"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Assistant Consumers</w:t>
      </w:r>
      <w:r w:rsidR="001977EB">
        <w:rPr>
          <w:rFonts w:ascii="Times New Roman" w:eastAsia="Times New Roman" w:hAnsi="Times New Roman" w:cs="Times New Roman"/>
          <w:sz w:val="24"/>
          <w:szCs w:val="24"/>
          <w:lang w:val="en-US"/>
        </w:rPr>
        <w:t>’</w:t>
      </w:r>
      <w:r w:rsidRPr="001977EB">
        <w:rPr>
          <w:rFonts w:ascii="Times New Roman" w:eastAsia="Times New Roman" w:hAnsi="Times New Roman" w:cs="Times New Roman"/>
          <w:sz w:val="24"/>
          <w:szCs w:val="24"/>
          <w:lang w:val="en-US"/>
        </w:rPr>
        <w:t xml:space="preserve"> Counsel</w:t>
      </w:r>
    </w:p>
    <w:p w:rsidR="000D4BA8" w:rsidRPr="001977EB" w:rsidP="000D4BA8" w14:paraId="04783EFE"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 xml:space="preserve">Alex Hickey </w:t>
      </w:r>
    </w:p>
    <w:p w:rsidR="000D4BA8" w:rsidRPr="001977EB" w:rsidP="000D4BA8" w14:paraId="14155AD6"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 xml:space="preserve">Thomas Zuehlke </w:t>
      </w:r>
    </w:p>
    <w:p w:rsidR="000D4BA8" w:rsidRPr="001977EB" w:rsidP="000D4BA8" w14:paraId="124A7EF0" w14:textId="77777777">
      <w:pPr>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Certified Legal Interns</w:t>
      </w:r>
    </w:p>
    <w:p w:rsidR="000D4BA8" w:rsidRPr="001977EB" w:rsidP="000D4BA8" w14:paraId="4EF483B2" w14:textId="77777777">
      <w:pPr>
        <w:spacing w:line="240" w:lineRule="auto"/>
        <w:ind w:left="3960"/>
        <w:rPr>
          <w:rFonts w:ascii="Times New Roman" w:eastAsia="Times New Roman" w:hAnsi="Times New Roman" w:cs="Times New Roman"/>
          <w:sz w:val="24"/>
          <w:szCs w:val="24"/>
          <w:lang w:val="en-US"/>
        </w:rPr>
      </w:pPr>
    </w:p>
    <w:p w:rsidR="000D4BA8" w:rsidRPr="001977EB" w:rsidP="000D4BA8" w14:paraId="156D1A95" w14:textId="77777777">
      <w:pPr>
        <w:spacing w:line="240" w:lineRule="auto"/>
        <w:ind w:left="3960"/>
        <w:rPr>
          <w:rFonts w:ascii="Times New Roman" w:eastAsia="Times New Roman" w:hAnsi="Times New Roman" w:cs="Times New Roman"/>
          <w:b/>
          <w:bCs/>
          <w:sz w:val="24"/>
          <w:szCs w:val="24"/>
          <w:lang w:val="en-US"/>
        </w:rPr>
      </w:pPr>
      <w:r w:rsidRPr="001977EB">
        <w:rPr>
          <w:rFonts w:ascii="Times New Roman" w:eastAsia="Times New Roman" w:hAnsi="Times New Roman" w:cs="Times New Roman"/>
          <w:b/>
          <w:sz w:val="24"/>
          <w:szCs w:val="24"/>
          <w:lang w:val="en-US"/>
        </w:rPr>
        <w:t>Office of the Ohio Consumers</w:t>
      </w:r>
      <w:r w:rsidR="001977EB">
        <w:rPr>
          <w:rFonts w:ascii="Times New Roman" w:eastAsia="Times New Roman" w:hAnsi="Times New Roman" w:cs="Times New Roman"/>
          <w:b/>
          <w:sz w:val="24"/>
          <w:szCs w:val="24"/>
          <w:lang w:val="en-US"/>
        </w:rPr>
        <w:t>’</w:t>
      </w:r>
      <w:r w:rsidRPr="001977EB">
        <w:rPr>
          <w:rFonts w:ascii="Times New Roman" w:eastAsia="Times New Roman" w:hAnsi="Times New Roman" w:cs="Times New Roman"/>
          <w:b/>
          <w:sz w:val="24"/>
          <w:szCs w:val="24"/>
          <w:lang w:val="en-US"/>
        </w:rPr>
        <w:t xml:space="preserve"> Counsel</w:t>
      </w:r>
    </w:p>
    <w:p w:rsidR="000D4BA8" w:rsidRPr="001977EB" w:rsidP="000D4BA8" w14:paraId="15A19495" w14:textId="77777777">
      <w:pPr>
        <w:spacing w:line="240" w:lineRule="auto"/>
        <w:ind w:left="3960"/>
        <w:rPr>
          <w:rFonts w:ascii="Times New Roman" w:eastAsia="Times New Roman" w:hAnsi="Times New Roman" w:cs="Times New Roman"/>
          <w:bCs/>
          <w:sz w:val="24"/>
          <w:szCs w:val="24"/>
          <w:lang w:val="en-US"/>
        </w:rPr>
      </w:pPr>
      <w:r w:rsidRPr="001977EB">
        <w:rPr>
          <w:rFonts w:ascii="Times New Roman" w:eastAsia="Times New Roman" w:hAnsi="Times New Roman" w:cs="Times New Roman"/>
          <w:sz w:val="24"/>
          <w:szCs w:val="24"/>
          <w:lang w:val="en-US"/>
        </w:rPr>
        <w:t>65 East State Street, Suite 700</w:t>
      </w:r>
    </w:p>
    <w:p w:rsidR="000D4BA8" w:rsidRPr="001977EB" w:rsidP="000D4BA8" w14:paraId="72CDD26C" w14:textId="77777777">
      <w:pPr>
        <w:spacing w:line="240" w:lineRule="auto"/>
        <w:ind w:left="3960"/>
        <w:rPr>
          <w:rFonts w:ascii="Times New Roman" w:eastAsia="Times New Roman" w:hAnsi="Times New Roman" w:cs="Times New Roman"/>
          <w:bCs/>
          <w:sz w:val="24"/>
          <w:szCs w:val="24"/>
          <w:lang w:val="en-US"/>
        </w:rPr>
      </w:pPr>
      <w:r w:rsidRPr="001977EB">
        <w:rPr>
          <w:rFonts w:ascii="Times New Roman" w:eastAsia="Times New Roman" w:hAnsi="Times New Roman" w:cs="Times New Roman"/>
          <w:sz w:val="24"/>
          <w:szCs w:val="24"/>
          <w:lang w:val="en-US"/>
        </w:rPr>
        <w:t>Columbus, Ohio 43215</w:t>
      </w:r>
    </w:p>
    <w:p w:rsidR="000D4BA8" w:rsidRPr="001977EB" w:rsidP="000D4BA8" w14:paraId="5D0E5F36" w14:textId="77777777">
      <w:pPr>
        <w:autoSpaceDE w:val="0"/>
        <w:autoSpaceDN w:val="0"/>
        <w:adjustRightInd w:val="0"/>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Telephone [Finnigan]</w:t>
      </w:r>
      <w:r w:rsidR="0026631E">
        <w:rPr>
          <w:rFonts w:ascii="Times New Roman" w:eastAsia="Times New Roman" w:hAnsi="Times New Roman" w:cs="Times New Roman"/>
          <w:sz w:val="24"/>
          <w:szCs w:val="24"/>
          <w:lang w:val="en-US"/>
        </w:rPr>
        <w:t>:</w:t>
      </w:r>
      <w:r w:rsidRPr="001977EB">
        <w:rPr>
          <w:rFonts w:ascii="Times New Roman" w:eastAsia="Times New Roman" w:hAnsi="Times New Roman" w:cs="Times New Roman"/>
          <w:sz w:val="24"/>
          <w:szCs w:val="24"/>
          <w:lang w:val="en-US"/>
        </w:rPr>
        <w:t xml:space="preserve"> (614) 466-9585</w:t>
      </w:r>
    </w:p>
    <w:p w:rsidR="000D4BA8" w:rsidRPr="001977EB" w:rsidP="000D4BA8" w14:paraId="0B677CB4" w14:textId="77777777">
      <w:pPr>
        <w:autoSpaceDE w:val="0"/>
        <w:autoSpaceDN w:val="0"/>
        <w:adjustRightInd w:val="0"/>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Telephone [Michael]: (614) 466-1291</w:t>
      </w:r>
    </w:p>
    <w:p w:rsidR="000D4BA8" w:rsidRPr="001977EB" w:rsidP="000D4BA8" w14:paraId="1C27AFF4" w14:textId="77777777">
      <w:pPr>
        <w:autoSpaceDE w:val="0"/>
        <w:autoSpaceDN w:val="0"/>
        <w:adjustRightInd w:val="0"/>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 xml:space="preserve">Telephone [Hickey]: (614) 466-9549 </w:t>
      </w:r>
    </w:p>
    <w:p w:rsidR="000D4BA8" w:rsidRPr="001977EB" w:rsidP="000D4BA8" w14:paraId="3995DDB6" w14:textId="77777777">
      <w:pPr>
        <w:autoSpaceDE w:val="0"/>
        <w:autoSpaceDN w:val="0"/>
        <w:adjustRightInd w:val="0"/>
        <w:spacing w:line="240" w:lineRule="auto"/>
        <w:ind w:left="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Telephone [Zuehlke]: (614) 466-9569</w:t>
      </w:r>
    </w:p>
    <w:p w:rsidR="000D4BA8" w:rsidRPr="001977EB" w:rsidP="000D4BA8" w14:paraId="45676031" w14:textId="77777777">
      <w:pPr>
        <w:spacing w:line="240" w:lineRule="auto"/>
        <w:ind w:left="3960"/>
        <w:rPr>
          <w:rFonts w:ascii="Times New Roman" w:eastAsia="Times New Roman" w:hAnsi="Times New Roman" w:cs="Times New Roman"/>
          <w:sz w:val="24"/>
          <w:szCs w:val="24"/>
          <w:lang w:val="en-US"/>
        </w:rPr>
      </w:pPr>
      <w:hyperlink r:id="rId6" w:history="1">
        <w:r w:rsidRPr="001977EB" w:rsidR="004007B9">
          <w:rPr>
            <w:rFonts w:ascii="Times New Roman" w:eastAsia="Times New Roman" w:hAnsi="Times New Roman" w:cs="Times New Roman"/>
            <w:color w:val="0000FF"/>
            <w:sz w:val="24"/>
            <w:szCs w:val="24"/>
            <w:u w:val="single"/>
            <w:lang w:val="en-US"/>
          </w:rPr>
          <w:t>john.finnigan@occ.ohio.gov</w:t>
        </w:r>
      </w:hyperlink>
    </w:p>
    <w:p w:rsidR="000D4BA8" w:rsidRPr="001977EB" w:rsidP="000D4BA8" w14:paraId="29E1FFCF" w14:textId="77777777">
      <w:pPr>
        <w:spacing w:line="240" w:lineRule="auto"/>
        <w:ind w:left="3960"/>
        <w:rPr>
          <w:rFonts w:ascii="Times New Roman" w:eastAsia="Times New Roman" w:hAnsi="Times New Roman" w:cs="Times New Roman"/>
          <w:color w:val="0000FF"/>
          <w:sz w:val="24"/>
          <w:szCs w:val="24"/>
          <w:u w:val="single"/>
          <w:lang w:val="en-US"/>
        </w:rPr>
      </w:pPr>
      <w:hyperlink r:id="rId7" w:history="1">
        <w:r w:rsidRPr="001977EB" w:rsidR="004007B9">
          <w:rPr>
            <w:rFonts w:ascii="Times New Roman" w:eastAsia="Times New Roman" w:hAnsi="Times New Roman" w:cs="Times New Roman"/>
            <w:color w:val="0000FF"/>
            <w:sz w:val="24"/>
            <w:szCs w:val="24"/>
            <w:u w:val="single"/>
            <w:lang w:val="en-US"/>
          </w:rPr>
          <w:t>william.michael@occ.ohio.gov</w:t>
        </w:r>
      </w:hyperlink>
    </w:p>
    <w:p w:rsidR="000D4BA8" w:rsidRPr="001977EB" w:rsidP="000D4BA8" w14:paraId="5E1F7107" w14:textId="77777777">
      <w:pPr>
        <w:spacing w:line="240" w:lineRule="auto"/>
        <w:ind w:left="3960"/>
        <w:rPr>
          <w:rFonts w:ascii="Times New Roman" w:eastAsia="Times New Roman" w:hAnsi="Times New Roman" w:cs="Times New Roman"/>
          <w:sz w:val="24"/>
          <w:szCs w:val="24"/>
          <w:lang w:val="en-US"/>
        </w:rPr>
      </w:pPr>
      <w:hyperlink r:id="rId8" w:history="1">
        <w:r w:rsidRPr="001977EB" w:rsidR="004007B9">
          <w:rPr>
            <w:rFonts w:ascii="Times New Roman" w:eastAsia="Times New Roman" w:hAnsi="Times New Roman" w:cs="Times New Roman"/>
            <w:color w:val="0000FF"/>
            <w:sz w:val="24"/>
            <w:szCs w:val="24"/>
            <w:u w:val="single"/>
            <w:lang w:val="en-US"/>
          </w:rPr>
          <w:t>alex.hickey@occ.ohio.gov</w:t>
        </w:r>
      </w:hyperlink>
    </w:p>
    <w:p w:rsidR="000D4BA8" w:rsidRPr="001977EB" w:rsidP="000D4BA8" w14:paraId="774008A9" w14:textId="77777777">
      <w:pPr>
        <w:spacing w:line="240" w:lineRule="auto"/>
        <w:ind w:left="3960"/>
        <w:rPr>
          <w:rFonts w:ascii="Times New Roman" w:eastAsia="Times New Roman" w:hAnsi="Times New Roman" w:cs="Times New Roman"/>
          <w:sz w:val="24"/>
          <w:szCs w:val="24"/>
          <w:lang w:val="en-US"/>
        </w:rPr>
      </w:pPr>
      <w:hyperlink r:id="rId9" w:history="1">
        <w:r w:rsidRPr="001977EB" w:rsidR="004007B9">
          <w:rPr>
            <w:rFonts w:ascii="Times New Roman" w:eastAsia="Times New Roman" w:hAnsi="Times New Roman" w:cs="Times New Roman"/>
            <w:color w:val="0000FF"/>
            <w:sz w:val="24"/>
            <w:szCs w:val="24"/>
            <w:u w:val="single"/>
            <w:lang w:val="en-US"/>
          </w:rPr>
          <w:t>thomas.zuehlke@occ.ohio.gov</w:t>
        </w:r>
      </w:hyperlink>
    </w:p>
    <w:p w:rsidR="000D4BA8" w:rsidRPr="001977EB" w:rsidP="000D4BA8" w14:paraId="6E99238B" w14:textId="77777777">
      <w:pPr>
        <w:spacing w:line="240" w:lineRule="auto"/>
        <w:ind w:firstLine="3960"/>
        <w:rPr>
          <w:rFonts w:ascii="Times New Roman" w:eastAsia="Times New Roman" w:hAnsi="Times New Roman" w:cs="Times New Roman"/>
          <w:sz w:val="24"/>
          <w:szCs w:val="24"/>
          <w:lang w:val="en-US"/>
        </w:rPr>
      </w:pPr>
      <w:r w:rsidRPr="001977EB">
        <w:rPr>
          <w:rFonts w:ascii="Times New Roman" w:eastAsia="Times New Roman" w:hAnsi="Times New Roman" w:cs="Times New Roman"/>
          <w:sz w:val="24"/>
          <w:szCs w:val="24"/>
          <w:lang w:val="en-US"/>
        </w:rPr>
        <w:t>(willing to accept service by e-mail)</w:t>
      </w:r>
    </w:p>
    <w:p w:rsidR="00D22C0F" w:rsidRPr="001977EB" w:rsidP="00D22C0F" w14:paraId="03F577EC" w14:textId="77777777">
      <w:pPr>
        <w:ind w:firstLine="3960"/>
        <w:rPr>
          <w:rFonts w:ascii="Times New Roman" w:hAnsi="Times New Roman" w:cs="Times New Roman"/>
          <w:sz w:val="24"/>
          <w:szCs w:val="24"/>
        </w:rPr>
      </w:pPr>
    </w:p>
    <w:p w:rsidR="00D102C3" w:rsidRPr="001977EB" w14:paraId="7B0645EA" w14:textId="77777777">
      <w:pPr>
        <w:rPr>
          <w:rFonts w:ascii="Times New Roman" w:hAnsi="Times New Roman" w:cs="Times New Roman"/>
          <w:b/>
          <w:sz w:val="24"/>
          <w:szCs w:val="24"/>
          <w:u w:val="single"/>
        </w:rPr>
      </w:pPr>
      <w:r w:rsidRPr="001977EB">
        <w:rPr>
          <w:rFonts w:ascii="Times New Roman" w:hAnsi="Times New Roman" w:cs="Times New Roman"/>
          <w:b/>
          <w:sz w:val="24"/>
          <w:szCs w:val="24"/>
          <w:u w:val="single"/>
        </w:rPr>
        <w:br w:type="page"/>
      </w:r>
    </w:p>
    <w:p w:rsidR="001750C7" w:rsidRPr="001977EB" w:rsidP="001750C7" w14:paraId="3AB51027" w14:textId="77777777">
      <w:pPr>
        <w:spacing w:line="480" w:lineRule="auto"/>
        <w:jc w:val="center"/>
        <w:rPr>
          <w:rFonts w:ascii="Times New Roman" w:hAnsi="Times New Roman" w:cs="Times New Roman"/>
          <w:b/>
          <w:bCs/>
          <w:sz w:val="24"/>
          <w:szCs w:val="24"/>
          <w:u w:val="single"/>
        </w:rPr>
      </w:pPr>
      <w:r w:rsidRPr="001977EB">
        <w:rPr>
          <w:rFonts w:ascii="Times New Roman" w:hAnsi="Times New Roman" w:cs="Times New Roman"/>
          <w:b/>
          <w:bCs/>
          <w:sz w:val="24"/>
          <w:szCs w:val="24"/>
          <w:u w:val="single"/>
        </w:rPr>
        <w:t>CERTIFICATE OF SERVICE</w:t>
      </w:r>
    </w:p>
    <w:p w:rsidR="001750C7" w:rsidRPr="001977EB" w:rsidP="0079506E" w14:paraId="4F39829B" w14:textId="77777777">
      <w:pPr>
        <w:spacing w:line="480" w:lineRule="auto"/>
        <w:ind w:firstLine="720"/>
        <w:rPr>
          <w:rFonts w:ascii="Times New Roman" w:hAnsi="Times New Roman" w:cs="Times New Roman"/>
          <w:sz w:val="24"/>
          <w:szCs w:val="24"/>
        </w:rPr>
      </w:pPr>
      <w:r w:rsidRPr="001977EB">
        <w:rPr>
          <w:rFonts w:ascii="Times New Roman" w:hAnsi="Times New Roman" w:cs="Times New Roman"/>
          <w:sz w:val="24"/>
          <w:szCs w:val="24"/>
        </w:rPr>
        <w:t xml:space="preserve">I hereby certify that a copy of the foregoing </w:t>
      </w:r>
      <w:r w:rsidRPr="001977EB" w:rsidR="007A6FB4">
        <w:rPr>
          <w:rFonts w:ascii="Times New Roman" w:hAnsi="Times New Roman" w:cs="Times New Roman"/>
          <w:sz w:val="24"/>
          <w:szCs w:val="24"/>
        </w:rPr>
        <w:t>Initial Brief</w:t>
      </w:r>
      <w:r w:rsidRPr="001977EB">
        <w:rPr>
          <w:rFonts w:ascii="Times New Roman" w:hAnsi="Times New Roman" w:cs="Times New Roman"/>
          <w:sz w:val="24"/>
          <w:szCs w:val="24"/>
        </w:rPr>
        <w:t xml:space="preserve"> </w:t>
      </w:r>
      <w:r w:rsidRPr="001977EB" w:rsidR="00281725">
        <w:rPr>
          <w:rFonts w:ascii="Times New Roman" w:hAnsi="Times New Roman" w:cs="Times New Roman"/>
          <w:sz w:val="24"/>
          <w:szCs w:val="24"/>
        </w:rPr>
        <w:t xml:space="preserve">for Consumer Protection </w:t>
      </w:r>
      <w:r w:rsidRPr="001977EB">
        <w:rPr>
          <w:rFonts w:ascii="Times New Roman" w:hAnsi="Times New Roman" w:cs="Times New Roman"/>
          <w:sz w:val="24"/>
          <w:szCs w:val="24"/>
        </w:rPr>
        <w:t xml:space="preserve">has been served electronically upon those persons listed below this </w:t>
      </w:r>
      <w:r w:rsidR="006E5EFB">
        <w:rPr>
          <w:rFonts w:ascii="Times New Roman" w:hAnsi="Times New Roman" w:cs="Times New Roman"/>
          <w:sz w:val="24"/>
          <w:szCs w:val="24"/>
        </w:rPr>
        <w:t>12</w:t>
      </w:r>
      <w:r w:rsidRPr="001977EB">
        <w:rPr>
          <w:rFonts w:ascii="Times New Roman" w:hAnsi="Times New Roman" w:cs="Times New Roman"/>
          <w:sz w:val="24"/>
          <w:szCs w:val="24"/>
          <w:vertAlign w:val="superscript"/>
        </w:rPr>
        <w:t>th</w:t>
      </w:r>
      <w:r w:rsidRPr="001977EB">
        <w:rPr>
          <w:rFonts w:ascii="Times New Roman" w:hAnsi="Times New Roman" w:cs="Times New Roman"/>
          <w:sz w:val="24"/>
          <w:szCs w:val="24"/>
        </w:rPr>
        <w:t xml:space="preserve"> day of </w:t>
      </w:r>
      <w:r w:rsidR="006E5EFB">
        <w:rPr>
          <w:rFonts w:ascii="Times New Roman" w:hAnsi="Times New Roman" w:cs="Times New Roman"/>
          <w:sz w:val="24"/>
          <w:szCs w:val="24"/>
        </w:rPr>
        <w:t>February</w:t>
      </w:r>
      <w:r w:rsidRPr="001977EB">
        <w:rPr>
          <w:rFonts w:ascii="Times New Roman" w:hAnsi="Times New Roman" w:cs="Times New Roman"/>
          <w:sz w:val="24"/>
          <w:szCs w:val="24"/>
        </w:rPr>
        <w:t xml:space="preserve"> 2024.</w:t>
      </w:r>
    </w:p>
    <w:p w:rsidR="001750C7" w:rsidRPr="001977EB" w:rsidP="004D31BA" w14:paraId="6C54575D" w14:textId="77777777">
      <w:pPr>
        <w:spacing w:line="240" w:lineRule="auto"/>
        <w:ind w:firstLine="4320"/>
        <w:rPr>
          <w:rFonts w:ascii="Times New Roman" w:hAnsi="Times New Roman" w:cs="Times New Roman"/>
          <w:b/>
          <w:bCs/>
          <w:i/>
          <w:iCs/>
          <w:sz w:val="24"/>
          <w:szCs w:val="24"/>
          <w:u w:val="single"/>
        </w:rPr>
      </w:pPr>
      <w:r w:rsidRPr="001977EB">
        <w:rPr>
          <w:rFonts w:ascii="Times New Roman" w:hAnsi="Times New Roman" w:cs="Times New Roman"/>
          <w:i/>
          <w:iCs/>
          <w:sz w:val="24"/>
          <w:szCs w:val="24"/>
          <w:u w:val="single"/>
        </w:rPr>
        <w:t>/s/ John Finnigan</w:t>
      </w:r>
    </w:p>
    <w:p w:rsidR="001750C7" w:rsidRPr="001977EB" w:rsidP="004D31BA" w14:paraId="7AA86991" w14:textId="77777777">
      <w:pPr>
        <w:spacing w:line="240" w:lineRule="auto"/>
        <w:rPr>
          <w:rFonts w:ascii="Times New Roman" w:hAnsi="Times New Roman" w:cs="Times New Roman"/>
          <w:b/>
          <w:bCs/>
          <w:sz w:val="24"/>
          <w:szCs w:val="24"/>
        </w:rPr>
      </w:pPr>
      <w:r w:rsidRPr="001977EB">
        <w:rPr>
          <w:rFonts w:ascii="Times New Roman" w:hAnsi="Times New Roman" w:cs="Times New Roman"/>
          <w:sz w:val="24"/>
          <w:szCs w:val="24"/>
        </w:rPr>
        <w:tab/>
      </w:r>
      <w:r w:rsidRPr="001977EB">
        <w:rPr>
          <w:rFonts w:ascii="Times New Roman" w:hAnsi="Times New Roman" w:cs="Times New Roman"/>
          <w:sz w:val="24"/>
          <w:szCs w:val="24"/>
        </w:rPr>
        <w:tab/>
      </w:r>
      <w:r w:rsidRPr="001977EB">
        <w:rPr>
          <w:rFonts w:ascii="Times New Roman" w:hAnsi="Times New Roman" w:cs="Times New Roman"/>
          <w:sz w:val="24"/>
          <w:szCs w:val="24"/>
        </w:rPr>
        <w:tab/>
      </w:r>
      <w:r w:rsidRPr="001977EB">
        <w:rPr>
          <w:rFonts w:ascii="Times New Roman" w:hAnsi="Times New Roman" w:cs="Times New Roman"/>
          <w:sz w:val="24"/>
          <w:szCs w:val="24"/>
        </w:rPr>
        <w:tab/>
      </w:r>
      <w:r w:rsidRPr="001977EB">
        <w:rPr>
          <w:rFonts w:ascii="Times New Roman" w:hAnsi="Times New Roman" w:cs="Times New Roman"/>
          <w:sz w:val="24"/>
          <w:szCs w:val="24"/>
        </w:rPr>
        <w:tab/>
      </w:r>
      <w:r w:rsidRPr="001977EB">
        <w:rPr>
          <w:rFonts w:ascii="Times New Roman" w:hAnsi="Times New Roman" w:cs="Times New Roman"/>
          <w:sz w:val="24"/>
          <w:szCs w:val="24"/>
        </w:rPr>
        <w:tab/>
        <w:t>John Finnigan</w:t>
      </w:r>
    </w:p>
    <w:p w:rsidR="001750C7" w:rsidRPr="001977EB" w:rsidP="004D31BA" w14:paraId="29E6D757" w14:textId="77777777">
      <w:pPr>
        <w:spacing w:line="240" w:lineRule="auto"/>
        <w:rPr>
          <w:rFonts w:ascii="Times New Roman" w:hAnsi="Times New Roman" w:cs="Times New Roman"/>
          <w:b/>
          <w:bCs/>
          <w:sz w:val="24"/>
          <w:szCs w:val="24"/>
        </w:rPr>
      </w:pPr>
      <w:r w:rsidRPr="001977EB">
        <w:rPr>
          <w:rFonts w:ascii="Times New Roman" w:hAnsi="Times New Roman" w:cs="Times New Roman"/>
          <w:sz w:val="24"/>
          <w:szCs w:val="24"/>
        </w:rPr>
        <w:tab/>
      </w:r>
      <w:r w:rsidRPr="001977EB">
        <w:rPr>
          <w:rFonts w:ascii="Times New Roman" w:hAnsi="Times New Roman" w:cs="Times New Roman"/>
          <w:sz w:val="24"/>
          <w:szCs w:val="24"/>
        </w:rPr>
        <w:tab/>
      </w:r>
      <w:r w:rsidRPr="001977EB">
        <w:rPr>
          <w:rFonts w:ascii="Times New Roman" w:hAnsi="Times New Roman" w:cs="Times New Roman"/>
          <w:sz w:val="24"/>
          <w:szCs w:val="24"/>
        </w:rPr>
        <w:tab/>
      </w:r>
      <w:r w:rsidRPr="001977EB">
        <w:rPr>
          <w:rFonts w:ascii="Times New Roman" w:hAnsi="Times New Roman" w:cs="Times New Roman"/>
          <w:sz w:val="24"/>
          <w:szCs w:val="24"/>
        </w:rPr>
        <w:tab/>
      </w:r>
      <w:r w:rsidRPr="001977EB">
        <w:rPr>
          <w:rFonts w:ascii="Times New Roman" w:hAnsi="Times New Roman" w:cs="Times New Roman"/>
          <w:sz w:val="24"/>
          <w:szCs w:val="24"/>
        </w:rPr>
        <w:tab/>
      </w:r>
      <w:r w:rsidRPr="001977EB">
        <w:rPr>
          <w:rFonts w:ascii="Times New Roman" w:hAnsi="Times New Roman" w:cs="Times New Roman"/>
          <w:sz w:val="24"/>
          <w:szCs w:val="24"/>
        </w:rPr>
        <w:tab/>
        <w:t>Assistant Consumers</w:t>
      </w:r>
      <w:r w:rsidR="001977EB">
        <w:rPr>
          <w:rFonts w:ascii="Times New Roman" w:hAnsi="Times New Roman" w:cs="Times New Roman"/>
          <w:sz w:val="24"/>
          <w:szCs w:val="24"/>
        </w:rPr>
        <w:t>’</w:t>
      </w:r>
      <w:r w:rsidRPr="001977EB">
        <w:rPr>
          <w:rFonts w:ascii="Times New Roman" w:hAnsi="Times New Roman" w:cs="Times New Roman"/>
          <w:sz w:val="24"/>
          <w:szCs w:val="24"/>
        </w:rPr>
        <w:t xml:space="preserve"> Counsel</w:t>
      </w:r>
    </w:p>
    <w:p w:rsidR="001750C7" w:rsidRPr="001977EB" w:rsidP="004D31BA" w14:paraId="17DFDB3B" w14:textId="77777777">
      <w:pPr>
        <w:tabs>
          <w:tab w:val="left" w:pos="4320"/>
        </w:tabs>
        <w:spacing w:line="240" w:lineRule="auto"/>
        <w:rPr>
          <w:rFonts w:ascii="Times New Roman" w:hAnsi="Times New Roman" w:cs="Times New Roman"/>
          <w:sz w:val="24"/>
          <w:szCs w:val="24"/>
        </w:rPr>
      </w:pPr>
    </w:p>
    <w:p w:rsidR="001750C7" w:rsidRPr="001977EB" w:rsidP="004D31BA" w14:paraId="01EA29E0" w14:textId="77777777">
      <w:pPr>
        <w:spacing w:line="240" w:lineRule="auto"/>
        <w:rPr>
          <w:rFonts w:ascii="Times New Roman" w:hAnsi="Times New Roman" w:cs="Times New Roman"/>
          <w:sz w:val="24"/>
          <w:szCs w:val="24"/>
        </w:rPr>
      </w:pPr>
      <w:r w:rsidRPr="001977EB">
        <w:rPr>
          <w:rFonts w:ascii="Times New Roman" w:hAnsi="Times New Roman" w:cs="Times New Roman"/>
          <w:sz w:val="24"/>
          <w:szCs w:val="24"/>
        </w:rPr>
        <w:t>The PUCO</w:t>
      </w:r>
      <w:r w:rsidR="001977EB">
        <w:rPr>
          <w:rFonts w:ascii="Times New Roman" w:hAnsi="Times New Roman" w:cs="Times New Roman"/>
          <w:sz w:val="24"/>
          <w:szCs w:val="24"/>
        </w:rPr>
        <w:t>’</w:t>
      </w:r>
      <w:r w:rsidRPr="001977EB">
        <w:rPr>
          <w:rFonts w:ascii="Times New Roman" w:hAnsi="Times New Roman" w:cs="Times New Roman"/>
          <w:sz w:val="24"/>
          <w:szCs w:val="24"/>
        </w:rPr>
        <w:t>s e-filing system will electronically serve notice of the filing of this document on the following parties:</w:t>
      </w:r>
    </w:p>
    <w:p w:rsidR="001750C7" w:rsidRPr="001977EB" w:rsidP="001750C7" w14:paraId="0F5515C6" w14:textId="77777777">
      <w:pPr>
        <w:rPr>
          <w:rFonts w:ascii="Times New Roman" w:hAnsi="Times New Roman" w:cs="Times New Roman"/>
          <w:b/>
          <w:sz w:val="24"/>
          <w:szCs w:val="24"/>
          <w:u w:val="single"/>
        </w:rPr>
      </w:pPr>
    </w:p>
    <w:p w:rsidR="001750C7" w:rsidRPr="001977EB" w:rsidP="001750C7" w14:paraId="4E310487" w14:textId="77777777">
      <w:pPr>
        <w:jc w:val="center"/>
        <w:rPr>
          <w:rFonts w:ascii="Times New Roman" w:hAnsi="Times New Roman" w:cs="Times New Roman"/>
          <w:b/>
          <w:sz w:val="24"/>
          <w:szCs w:val="24"/>
          <w:u w:val="single"/>
        </w:rPr>
      </w:pPr>
      <w:r w:rsidRPr="001977EB">
        <w:rPr>
          <w:rFonts w:ascii="Times New Roman" w:hAnsi="Times New Roman" w:cs="Times New Roman"/>
          <w:b/>
          <w:sz w:val="24"/>
          <w:szCs w:val="24"/>
          <w:u w:val="single"/>
        </w:rPr>
        <w:t>SERVICE LIST</w:t>
      </w:r>
    </w:p>
    <w:p w:rsidR="001750C7" w:rsidRPr="001977EB" w:rsidP="001750C7" w14:paraId="49879758" w14:textId="77777777">
      <w:pPr>
        <w:jc w:val="center"/>
        <w:rPr>
          <w:rFonts w:ascii="Times New Roman" w:hAnsi="Times New Roman" w:cs="Times New Roman"/>
          <w:b/>
          <w:sz w:val="24"/>
          <w:szCs w:val="24"/>
          <w:u w:val="single"/>
        </w:rPr>
      </w:pPr>
    </w:p>
    <w:tbl>
      <w:tblPr>
        <w:tblW w:w="0" w:type="auto"/>
        <w:tblInd w:w="0" w:type="dxa"/>
        <w:tblCellMar>
          <w:top w:w="0" w:type="dxa"/>
          <w:left w:w="108" w:type="dxa"/>
          <w:bottom w:w="0" w:type="dxa"/>
          <w:right w:w="108" w:type="dxa"/>
        </w:tblCellMar>
        <w:tblLook w:val="01E0"/>
      </w:tblPr>
      <w:tblGrid>
        <w:gridCol w:w="4328"/>
        <w:gridCol w:w="4312"/>
      </w:tblGrid>
      <w:tr w14:paraId="31CB79DC" w14:textId="77777777" w:rsidTr="00904CBA">
        <w:tblPrEx>
          <w:tblW w:w="0" w:type="auto"/>
          <w:tblInd w:w="0" w:type="dxa"/>
          <w:tblCellMar>
            <w:top w:w="0" w:type="dxa"/>
            <w:left w:w="108" w:type="dxa"/>
            <w:bottom w:w="0" w:type="dxa"/>
            <w:right w:w="108" w:type="dxa"/>
          </w:tblCellMar>
          <w:tblLook w:val="01E0"/>
        </w:tblPrEx>
        <w:tc>
          <w:tcPr>
            <w:tcW w:w="4428" w:type="dxa"/>
            <w:shd w:val="clear" w:color="auto" w:fill="auto"/>
          </w:tcPr>
          <w:p w:rsidR="006E1B67" w:rsidRPr="001977EB" w:rsidP="006E1B67" w14:paraId="71C5DED0" w14:textId="77777777">
            <w:pPr>
              <w:autoSpaceDE w:val="0"/>
              <w:autoSpaceDN w:val="0"/>
              <w:adjustRightInd w:val="0"/>
              <w:spacing w:line="240" w:lineRule="auto"/>
              <w:rPr>
                <w:rFonts w:ascii="Times New Roman" w:eastAsia="Times New Roman" w:hAnsi="Times New Roman" w:cs="Times New Roman"/>
                <w:color w:val="0000FF"/>
                <w:sz w:val="24"/>
                <w:szCs w:val="24"/>
                <w:u w:val="single"/>
                <w:lang w:val="en-US" w:eastAsia="en-US" w:bidi="ar-SA"/>
              </w:rPr>
            </w:pPr>
            <w:hyperlink r:id="rId19" w:history="1">
              <w:r w:rsidRPr="001977EB" w:rsidR="004007B9">
                <w:rPr>
                  <w:rFonts w:ascii="Times New Roman" w:eastAsia="Times New Roman" w:hAnsi="Times New Roman" w:cs="Times New Roman"/>
                  <w:color w:val="0000FF"/>
                  <w:sz w:val="24"/>
                  <w:szCs w:val="24"/>
                  <w:u w:val="single"/>
                  <w:lang w:val="en-US" w:eastAsia="en-US" w:bidi="ar-SA"/>
                </w:rPr>
                <w:t>thomas.lindgren@ohioAGO.gov</w:t>
              </w:r>
            </w:hyperlink>
          </w:p>
          <w:p w:rsidR="006E1B67" w:rsidRPr="001977EB" w:rsidP="006E1B67" w14:paraId="4F01B537" w14:textId="77777777">
            <w:pPr>
              <w:autoSpaceDE w:val="0"/>
              <w:autoSpaceDN w:val="0"/>
              <w:adjustRightInd w:val="0"/>
              <w:spacing w:line="240" w:lineRule="auto"/>
              <w:rPr>
                <w:rFonts w:ascii="Times New Roman" w:eastAsia="Times New Roman" w:hAnsi="Times New Roman" w:cs="Times New Roman"/>
                <w:bCs/>
                <w:color w:val="0000FF"/>
                <w:sz w:val="24"/>
                <w:szCs w:val="24"/>
                <w:u w:val="single"/>
                <w:lang w:val="en-US" w:eastAsia="en-US" w:bidi="ar-SA"/>
              </w:rPr>
            </w:pPr>
            <w:r w:rsidRPr="001977EB">
              <w:rPr>
                <w:rFonts w:ascii="Times New Roman" w:eastAsia="Times New Roman" w:hAnsi="Times New Roman" w:cs="Times New Roman"/>
                <w:color w:val="0000FF"/>
                <w:sz w:val="24"/>
                <w:szCs w:val="24"/>
                <w:u w:val="single"/>
                <w:lang w:val="en-US" w:eastAsia="en-US" w:bidi="ar-SA"/>
              </w:rPr>
              <w:t>ambrosia.wilson@ohioago.gov</w:t>
            </w:r>
          </w:p>
          <w:p w:rsidR="006E1B67" w:rsidRPr="001977EB" w:rsidP="006E1B67" w14:paraId="0F91EF4D" w14:textId="77777777">
            <w:pPr>
              <w:autoSpaceDE w:val="0"/>
              <w:autoSpaceDN w:val="0"/>
              <w:adjustRightInd w:val="0"/>
              <w:spacing w:line="240" w:lineRule="auto"/>
              <w:rPr>
                <w:rFonts w:ascii="Times New Roman" w:eastAsia="Times New Roman" w:hAnsi="Times New Roman" w:cs="Times New Roman"/>
                <w:sz w:val="24"/>
                <w:szCs w:val="24"/>
                <w:lang w:val="en-US" w:eastAsia="en-US" w:bidi="ar-SA"/>
              </w:rPr>
            </w:pPr>
            <w:hyperlink r:id="rId20" w:history="1">
              <w:r w:rsidRPr="001977EB" w:rsidR="004007B9">
                <w:rPr>
                  <w:rFonts w:ascii="Times New Roman" w:eastAsia="Times New Roman" w:hAnsi="Times New Roman" w:cs="Times New Roman"/>
                  <w:color w:val="0000FF"/>
                  <w:sz w:val="24"/>
                  <w:szCs w:val="24"/>
                  <w:u w:val="single"/>
                  <w:lang w:val="en-US" w:eastAsia="en-US" w:bidi="ar-SA"/>
                </w:rPr>
                <w:t>Rocco.dascenzo@duke-energy.com</w:t>
              </w:r>
            </w:hyperlink>
          </w:p>
          <w:p w:rsidR="006E1B67" w:rsidRPr="001977EB" w:rsidP="006E1B67" w14:paraId="6C961B29" w14:textId="77777777">
            <w:pPr>
              <w:autoSpaceDE w:val="0"/>
              <w:autoSpaceDN w:val="0"/>
              <w:adjustRightInd w:val="0"/>
              <w:spacing w:line="240" w:lineRule="auto"/>
              <w:rPr>
                <w:rFonts w:ascii="Times New Roman" w:eastAsia="Times New Roman" w:hAnsi="Times New Roman" w:cs="Times New Roman"/>
                <w:sz w:val="24"/>
                <w:szCs w:val="24"/>
                <w:lang w:val="en-US" w:eastAsia="en-US" w:bidi="ar-SA"/>
              </w:rPr>
            </w:pPr>
            <w:hyperlink r:id="rId21" w:history="1">
              <w:r w:rsidRPr="001977EB" w:rsidR="004007B9">
                <w:rPr>
                  <w:rFonts w:ascii="Times New Roman" w:eastAsia="Times New Roman" w:hAnsi="Times New Roman" w:cs="Times New Roman"/>
                  <w:color w:val="0000FF"/>
                  <w:sz w:val="24"/>
                  <w:szCs w:val="24"/>
                  <w:u w:val="single"/>
                  <w:lang w:val="en-US" w:eastAsia="en-US" w:bidi="ar-SA"/>
                </w:rPr>
                <w:t>Jeanne.kingery@duke-energy.com</w:t>
              </w:r>
            </w:hyperlink>
          </w:p>
          <w:p w:rsidR="006E1B67" w:rsidRPr="001977EB" w:rsidP="006E1B67" w14:paraId="559CEAF4" w14:textId="77777777">
            <w:pPr>
              <w:autoSpaceDE w:val="0"/>
              <w:autoSpaceDN w:val="0"/>
              <w:adjustRightInd w:val="0"/>
              <w:spacing w:line="240" w:lineRule="auto"/>
              <w:rPr>
                <w:rFonts w:ascii="Times New Roman" w:eastAsia="Times New Roman" w:hAnsi="Times New Roman" w:cs="Times New Roman"/>
                <w:sz w:val="24"/>
                <w:szCs w:val="24"/>
                <w:lang w:val="en-US" w:eastAsia="en-US" w:bidi="ar-SA"/>
              </w:rPr>
            </w:pPr>
            <w:hyperlink r:id="rId22" w:history="1">
              <w:r w:rsidRPr="001977EB" w:rsidR="004007B9">
                <w:rPr>
                  <w:rFonts w:ascii="Times New Roman" w:eastAsia="Times New Roman" w:hAnsi="Times New Roman" w:cs="Times New Roman"/>
                  <w:color w:val="0000FF"/>
                  <w:sz w:val="24"/>
                  <w:szCs w:val="24"/>
                  <w:u w:val="single"/>
                  <w:lang w:val="en-US" w:eastAsia="en-US" w:bidi="ar-SA"/>
                </w:rPr>
                <w:t>Larisa.vaysman@duke-energy.com</w:t>
              </w:r>
            </w:hyperlink>
          </w:p>
          <w:p w:rsidR="006E1B67" w:rsidRPr="001977EB" w:rsidP="006E1B67" w14:paraId="7FEE849A" w14:textId="77777777">
            <w:pPr>
              <w:autoSpaceDE w:val="0"/>
              <w:autoSpaceDN w:val="0"/>
              <w:adjustRightInd w:val="0"/>
              <w:spacing w:line="240" w:lineRule="auto"/>
              <w:rPr>
                <w:rFonts w:ascii="Times New Roman" w:eastAsia="Times New Roman" w:hAnsi="Times New Roman" w:cs="Times New Roman"/>
                <w:color w:val="0000FF"/>
                <w:sz w:val="24"/>
                <w:szCs w:val="24"/>
                <w:u w:val="single"/>
                <w:lang w:val="en-US" w:eastAsia="en-US" w:bidi="ar-SA"/>
              </w:rPr>
            </w:pPr>
            <w:hyperlink r:id="rId23" w:history="1">
              <w:r w:rsidRPr="001977EB" w:rsidR="004007B9">
                <w:rPr>
                  <w:rFonts w:ascii="Times New Roman" w:eastAsia="Times New Roman" w:hAnsi="Times New Roman" w:cs="Times New Roman"/>
                  <w:color w:val="0000FF"/>
                  <w:sz w:val="24"/>
                  <w:szCs w:val="24"/>
                  <w:u w:val="single"/>
                  <w:lang w:val="en-US" w:eastAsia="en-US" w:bidi="ar-SA"/>
                </w:rPr>
                <w:t>elyse.akhbari@duke-energy.com</w:t>
              </w:r>
            </w:hyperlink>
          </w:p>
          <w:p w:rsidR="006E1B67" w:rsidRPr="001977EB" w:rsidP="006E1B67" w14:paraId="7C6212B6" w14:textId="77777777">
            <w:pPr>
              <w:autoSpaceDE w:val="0"/>
              <w:autoSpaceDN w:val="0"/>
              <w:adjustRightInd w:val="0"/>
              <w:spacing w:line="240" w:lineRule="auto"/>
              <w:rPr>
                <w:rFonts w:ascii="Times New Roman" w:eastAsia="Times New Roman" w:hAnsi="Times New Roman" w:cs="Times New Roman"/>
                <w:color w:val="0000FF"/>
                <w:sz w:val="24"/>
                <w:szCs w:val="24"/>
                <w:u w:val="single"/>
                <w:lang w:val="en-US" w:eastAsia="en-US" w:bidi="ar-SA"/>
              </w:rPr>
            </w:pPr>
            <w:r w:rsidRPr="001977EB">
              <w:rPr>
                <w:rFonts w:ascii="Times New Roman" w:eastAsia="Times New Roman" w:hAnsi="Times New Roman" w:cs="Times New Roman"/>
                <w:color w:val="0000FF"/>
                <w:sz w:val="24"/>
                <w:szCs w:val="24"/>
                <w:u w:val="single"/>
                <w:lang w:val="en-US" w:eastAsia="en-US" w:bidi="ar-SA"/>
              </w:rPr>
              <w:t>knordstrom@theOEC.org</w:t>
            </w:r>
          </w:p>
          <w:p w:rsidR="006E1B67" w:rsidRPr="001977EB" w:rsidP="006E1B67" w14:paraId="5974B93E" w14:textId="77777777">
            <w:pPr>
              <w:spacing w:line="240" w:lineRule="auto"/>
              <w:jc w:val="both"/>
              <w:rPr>
                <w:rFonts w:ascii="Times New Roman" w:eastAsia="Times New Roman" w:hAnsi="Times New Roman" w:cs="Times New Roman"/>
                <w:color w:val="0000FF"/>
                <w:sz w:val="24"/>
                <w:szCs w:val="24"/>
                <w:u w:val="single"/>
                <w:lang w:val="en-US" w:eastAsia="en-US" w:bidi="ar-SA"/>
              </w:rPr>
            </w:pPr>
            <w:hyperlink r:id="rId24" w:history="1">
              <w:r w:rsidRPr="001977EB" w:rsidR="004007B9">
                <w:rPr>
                  <w:rFonts w:ascii="Times New Roman" w:eastAsia="Times New Roman" w:hAnsi="Times New Roman" w:cs="Times New Roman"/>
                  <w:color w:val="0000FF"/>
                  <w:sz w:val="24"/>
                  <w:szCs w:val="24"/>
                  <w:u w:val="single"/>
                  <w:lang w:val="en-US" w:eastAsia="en-US" w:bidi="ar-SA"/>
                </w:rPr>
                <w:t>ctavenor@theoec.org</w:t>
              </w:r>
            </w:hyperlink>
          </w:p>
          <w:p w:rsidR="006E1B67" w:rsidRPr="001977EB" w:rsidP="006E1B67" w14:paraId="6DF3535E" w14:textId="77777777">
            <w:pPr>
              <w:spacing w:line="240" w:lineRule="auto"/>
              <w:jc w:val="both"/>
              <w:rPr>
                <w:rFonts w:ascii="Times New Roman" w:eastAsia="Times New Roman" w:hAnsi="Times New Roman" w:cs="Times New Roman"/>
                <w:color w:val="0000FF"/>
                <w:sz w:val="24"/>
                <w:szCs w:val="24"/>
                <w:u w:val="single"/>
                <w:lang w:val="en-US" w:eastAsia="en-US" w:bidi="ar-SA"/>
              </w:rPr>
            </w:pPr>
            <w:hyperlink r:id="rId25" w:history="1">
              <w:r w:rsidRPr="001977EB" w:rsidR="004007B9">
                <w:rPr>
                  <w:rFonts w:ascii="Times New Roman" w:eastAsia="Times New Roman" w:hAnsi="Times New Roman" w:cs="Times New Roman"/>
                  <w:color w:val="0000FF"/>
                  <w:sz w:val="24"/>
                  <w:szCs w:val="24"/>
                  <w:u w:val="single"/>
                  <w:lang w:val="en-US" w:eastAsia="en-US" w:bidi="ar-SA"/>
                </w:rPr>
                <w:t>dproano@bakerlaw.com</w:t>
              </w:r>
            </w:hyperlink>
          </w:p>
          <w:p w:rsidR="006E1B67" w:rsidRPr="001977EB" w:rsidP="006E1B67" w14:paraId="2AD220CE" w14:textId="77777777">
            <w:pPr>
              <w:spacing w:line="240" w:lineRule="auto"/>
              <w:jc w:val="both"/>
              <w:rPr>
                <w:rFonts w:ascii="Times New Roman" w:eastAsia="Times New Roman" w:hAnsi="Times New Roman" w:cs="Times New Roman"/>
                <w:color w:val="0000FF"/>
                <w:sz w:val="24"/>
                <w:szCs w:val="24"/>
                <w:u w:val="single"/>
                <w:lang w:val="en-US" w:eastAsia="en-US" w:bidi="ar-SA"/>
              </w:rPr>
            </w:pPr>
            <w:r w:rsidRPr="001977EB">
              <w:rPr>
                <w:rFonts w:ascii="Times New Roman" w:eastAsia="Times New Roman" w:hAnsi="Times New Roman" w:cs="Times New Roman"/>
                <w:color w:val="0000FF"/>
                <w:sz w:val="24"/>
                <w:szCs w:val="24"/>
                <w:u w:val="single"/>
                <w:lang w:val="en-US" w:eastAsia="en-US" w:bidi="ar-SA"/>
              </w:rPr>
              <w:t>ahaque@bakerlaw.com</w:t>
            </w:r>
          </w:p>
          <w:p w:rsidR="006E1B67" w:rsidRPr="001977EB" w:rsidP="006E1B67" w14:paraId="5A4148CA" w14:textId="77777777">
            <w:pPr>
              <w:spacing w:line="240" w:lineRule="auto"/>
              <w:jc w:val="both"/>
              <w:rPr>
                <w:rFonts w:ascii="Times New Roman" w:eastAsia="Times New Roman" w:hAnsi="Times New Roman" w:cs="Times New Roman"/>
                <w:color w:val="0000FF"/>
                <w:sz w:val="24"/>
                <w:szCs w:val="24"/>
                <w:u w:val="single"/>
                <w:lang w:val="en-US" w:eastAsia="en-US" w:bidi="ar-SA"/>
              </w:rPr>
            </w:pPr>
            <w:r w:rsidRPr="001977EB">
              <w:rPr>
                <w:rFonts w:ascii="Times New Roman" w:eastAsia="Times New Roman" w:hAnsi="Times New Roman" w:cs="Times New Roman"/>
                <w:color w:val="0000FF"/>
                <w:sz w:val="24"/>
                <w:szCs w:val="24"/>
                <w:u w:val="single"/>
                <w:lang w:val="en-US" w:eastAsia="en-US" w:bidi="ar-SA"/>
              </w:rPr>
              <w:t>eprouty@bakerlaw.com</w:t>
            </w:r>
          </w:p>
          <w:p w:rsidR="006E1B67" w:rsidRPr="001977EB" w:rsidP="006E1B67" w14:paraId="159251F1" w14:textId="77777777">
            <w:pPr>
              <w:autoSpaceDE w:val="0"/>
              <w:autoSpaceDN w:val="0"/>
              <w:adjustRightInd w:val="0"/>
              <w:spacing w:line="240" w:lineRule="auto"/>
              <w:rPr>
                <w:rFonts w:ascii="Times New Roman" w:eastAsia="Times New Roman" w:hAnsi="Times New Roman" w:cs="Times New Roman"/>
                <w:color w:val="0000FF"/>
                <w:sz w:val="24"/>
                <w:szCs w:val="24"/>
                <w:u w:val="single"/>
                <w:lang w:val="en-US" w:eastAsia="en-US" w:bidi="ar-SA"/>
              </w:rPr>
            </w:pPr>
            <w:hyperlink r:id="rId26" w:history="1">
              <w:r w:rsidRPr="001977EB" w:rsidR="004007B9">
                <w:rPr>
                  <w:rFonts w:ascii="Times New Roman" w:eastAsia="Times New Roman" w:hAnsi="Times New Roman" w:cs="Times New Roman"/>
                  <w:color w:val="0000FF"/>
                  <w:sz w:val="24"/>
                  <w:szCs w:val="24"/>
                  <w:u w:val="single"/>
                  <w:lang w:val="en-US" w:eastAsia="en-US" w:bidi="ar-SA"/>
                </w:rPr>
                <w:t>pwillison@bakerlaw.com</w:t>
              </w:r>
            </w:hyperlink>
          </w:p>
          <w:p w:rsidR="006E1B67" w:rsidRPr="001977EB" w:rsidP="006E1B67" w14:paraId="295E34E3" w14:textId="77777777">
            <w:pPr>
              <w:autoSpaceDE w:val="0"/>
              <w:autoSpaceDN w:val="0"/>
              <w:adjustRightInd w:val="0"/>
              <w:spacing w:line="240" w:lineRule="auto"/>
              <w:rPr>
                <w:rFonts w:ascii="Times New Roman" w:eastAsia="Times New Roman" w:hAnsi="Times New Roman" w:cs="Times New Roman"/>
                <w:color w:val="0000FF"/>
                <w:sz w:val="24"/>
                <w:szCs w:val="24"/>
                <w:u w:val="single"/>
                <w:lang w:val="en-US" w:eastAsia="en-US" w:bidi="ar-SA"/>
              </w:rPr>
            </w:pPr>
          </w:p>
          <w:p w:rsidR="006E1B67" w:rsidRPr="001977EB" w:rsidP="006E1B67" w14:paraId="1E1FB3FF" w14:textId="77777777">
            <w:pPr>
              <w:autoSpaceDE w:val="0"/>
              <w:autoSpaceDN w:val="0"/>
              <w:adjustRightInd w:val="0"/>
              <w:spacing w:line="240" w:lineRule="auto"/>
              <w:rPr>
                <w:rFonts w:ascii="Times New Roman" w:eastAsia="Times New Roman" w:hAnsi="Times New Roman" w:cs="Times New Roman"/>
                <w:sz w:val="24"/>
                <w:szCs w:val="24"/>
                <w:lang w:val="en-US" w:eastAsia="en-US" w:bidi="ar-SA"/>
              </w:rPr>
            </w:pPr>
            <w:r w:rsidRPr="001977EB">
              <w:rPr>
                <w:rFonts w:ascii="Times New Roman" w:eastAsia="Times New Roman" w:hAnsi="Times New Roman" w:cs="Times New Roman"/>
                <w:sz w:val="24"/>
                <w:szCs w:val="24"/>
                <w:lang w:val="en-US" w:eastAsia="en-US" w:bidi="ar-SA"/>
              </w:rPr>
              <w:t>Attorney Examiners:</w:t>
            </w:r>
          </w:p>
          <w:p w:rsidR="006E1B67" w:rsidRPr="001977EB" w:rsidP="006E1B67" w14:paraId="4148F4B6" w14:textId="77777777">
            <w:pPr>
              <w:autoSpaceDE w:val="0"/>
              <w:autoSpaceDN w:val="0"/>
              <w:adjustRightInd w:val="0"/>
              <w:spacing w:line="240" w:lineRule="auto"/>
              <w:rPr>
                <w:rFonts w:ascii="Times New Roman" w:eastAsia="Times New Roman" w:hAnsi="Times New Roman" w:cs="Times New Roman"/>
                <w:sz w:val="24"/>
                <w:szCs w:val="24"/>
                <w:lang w:val="en-US" w:eastAsia="en-US" w:bidi="ar-SA"/>
              </w:rPr>
            </w:pPr>
            <w:hyperlink r:id="rId27" w:history="1">
              <w:r w:rsidRPr="001977EB" w:rsidR="004007B9">
                <w:rPr>
                  <w:rFonts w:ascii="Times New Roman" w:eastAsia="Times New Roman" w:hAnsi="Times New Roman" w:cs="Times New Roman"/>
                  <w:color w:val="0000FF"/>
                  <w:sz w:val="24"/>
                  <w:szCs w:val="24"/>
                  <w:u w:val="single"/>
                  <w:lang w:val="en-US" w:eastAsia="en-US" w:bidi="ar-SA"/>
                </w:rPr>
                <w:t>megan.addison@puco.ohio.gov</w:t>
              </w:r>
            </w:hyperlink>
          </w:p>
          <w:p w:rsidR="006E1B67" w:rsidRPr="001977EB" w:rsidP="006E1B67" w14:paraId="26E0B100" w14:textId="77777777">
            <w:pPr>
              <w:autoSpaceDE w:val="0"/>
              <w:autoSpaceDN w:val="0"/>
              <w:adjustRightInd w:val="0"/>
              <w:spacing w:line="240" w:lineRule="auto"/>
              <w:rPr>
                <w:rFonts w:ascii="Times New Roman" w:eastAsia="Times New Roman" w:hAnsi="Times New Roman" w:cs="Times New Roman"/>
                <w:sz w:val="24"/>
                <w:szCs w:val="24"/>
                <w:lang w:val="en-US" w:eastAsia="en-US" w:bidi="ar-SA"/>
              </w:rPr>
            </w:pPr>
            <w:hyperlink r:id="rId28" w:history="1">
              <w:r w:rsidRPr="001977EB" w:rsidR="004007B9">
                <w:rPr>
                  <w:rFonts w:ascii="Times New Roman" w:eastAsia="Times New Roman" w:hAnsi="Times New Roman" w:cs="Times New Roman"/>
                  <w:color w:val="0000FF"/>
                  <w:sz w:val="24"/>
                  <w:szCs w:val="24"/>
                  <w:u w:val="single"/>
                  <w:lang w:val="en-US" w:eastAsia="en-US" w:bidi="ar-SA"/>
                </w:rPr>
                <w:t>jesse.davis@puco.ohio.gov</w:t>
              </w:r>
            </w:hyperlink>
          </w:p>
          <w:p w:rsidR="006E1B67" w:rsidRPr="001977EB" w:rsidP="006E1B67" w14:paraId="14F32066" w14:textId="77777777">
            <w:pPr>
              <w:autoSpaceDE w:val="0"/>
              <w:autoSpaceDN w:val="0"/>
              <w:adjustRightInd w:val="0"/>
              <w:spacing w:line="240" w:lineRule="auto"/>
              <w:rPr>
                <w:rFonts w:ascii="Times New Roman" w:eastAsia="Times New Roman" w:hAnsi="Times New Roman" w:cs="Times New Roman"/>
                <w:bCs/>
                <w:sz w:val="24"/>
                <w:szCs w:val="24"/>
                <w:lang w:val="en-US" w:eastAsia="en-US" w:bidi="ar-SA"/>
              </w:rPr>
            </w:pPr>
          </w:p>
        </w:tc>
        <w:tc>
          <w:tcPr>
            <w:tcW w:w="4428" w:type="dxa"/>
            <w:shd w:val="clear" w:color="auto" w:fill="auto"/>
          </w:tcPr>
          <w:p w:rsidR="006E1B67" w:rsidRPr="001977EB" w:rsidP="006E1B67" w14:paraId="4E2EA2E6" w14:textId="77777777">
            <w:pPr>
              <w:spacing w:line="240" w:lineRule="auto"/>
              <w:jc w:val="both"/>
              <w:rPr>
                <w:rFonts w:ascii="Times New Roman" w:eastAsia="Times New Roman" w:hAnsi="Times New Roman" w:cs="Times New Roman"/>
                <w:bCs/>
                <w:sz w:val="24"/>
                <w:szCs w:val="24"/>
                <w:lang w:val="en-US" w:eastAsia="en-US" w:bidi="ar-SA"/>
              </w:rPr>
            </w:pPr>
            <w:hyperlink r:id="rId29" w:history="1">
              <w:r w:rsidRPr="001977EB" w:rsidR="004007B9">
                <w:rPr>
                  <w:rFonts w:ascii="Times New Roman" w:eastAsia="Times New Roman" w:hAnsi="Times New Roman" w:cs="Times New Roman"/>
                  <w:color w:val="0000FF"/>
                  <w:sz w:val="24"/>
                  <w:szCs w:val="24"/>
                  <w:u w:val="single"/>
                  <w:lang w:val="en-US" w:eastAsia="en-US" w:bidi="ar-SA"/>
                </w:rPr>
                <w:t>rdove@keglerbrown.com</w:t>
              </w:r>
            </w:hyperlink>
          </w:p>
          <w:p w:rsidR="006E1B67" w:rsidRPr="001977EB" w:rsidP="006E1B67" w14:paraId="6E2C3415" w14:textId="77777777">
            <w:pPr>
              <w:spacing w:line="240" w:lineRule="auto"/>
              <w:jc w:val="both"/>
              <w:rPr>
                <w:rFonts w:ascii="Times New Roman" w:eastAsia="Times New Roman" w:hAnsi="Times New Roman" w:cs="Times New Roman"/>
                <w:color w:val="0000FF"/>
                <w:sz w:val="24"/>
                <w:szCs w:val="24"/>
                <w:u w:val="single"/>
                <w:lang w:val="en-US" w:eastAsia="en-US" w:bidi="ar-SA"/>
              </w:rPr>
            </w:pPr>
            <w:hyperlink r:id="rId30" w:history="1">
              <w:r w:rsidRPr="001977EB" w:rsidR="004007B9">
                <w:rPr>
                  <w:rFonts w:ascii="Times New Roman" w:eastAsia="Times New Roman" w:hAnsi="Times New Roman" w:cs="Times New Roman"/>
                  <w:color w:val="0000FF"/>
                  <w:sz w:val="24"/>
                  <w:szCs w:val="24"/>
                  <w:u w:val="single"/>
                  <w:lang w:val="en-US" w:eastAsia="en-US" w:bidi="ar-SA"/>
                </w:rPr>
                <w:t>stnourse@aep.com</w:t>
              </w:r>
            </w:hyperlink>
          </w:p>
          <w:p w:rsidR="006E1B67" w:rsidRPr="001977EB" w:rsidP="006E1B67" w14:paraId="30D7045D" w14:textId="77777777">
            <w:pPr>
              <w:spacing w:line="240" w:lineRule="auto"/>
              <w:jc w:val="both"/>
              <w:rPr>
                <w:rFonts w:ascii="Times New Roman" w:eastAsia="Times New Roman" w:hAnsi="Times New Roman" w:cs="Times New Roman"/>
                <w:bCs/>
                <w:sz w:val="24"/>
                <w:szCs w:val="24"/>
                <w:lang w:val="en-US" w:eastAsia="en-US" w:bidi="ar-SA"/>
              </w:rPr>
            </w:pPr>
            <w:hyperlink r:id="rId31" w:history="1">
              <w:r w:rsidRPr="001977EB" w:rsidR="004007B9">
                <w:rPr>
                  <w:rFonts w:ascii="Times New Roman" w:eastAsia="Times New Roman" w:hAnsi="Times New Roman" w:cs="Times New Roman"/>
                  <w:bCs/>
                  <w:color w:val="0000FF"/>
                  <w:sz w:val="24"/>
                  <w:szCs w:val="24"/>
                  <w:u w:val="single"/>
                  <w:lang w:val="en-US" w:eastAsia="en-US" w:bidi="ar-SA"/>
                </w:rPr>
                <w:t>matthew@msmckenzieltd.com</w:t>
              </w:r>
            </w:hyperlink>
          </w:p>
          <w:p w:rsidR="006E1B67" w:rsidRPr="001977EB" w:rsidP="006E1B67" w14:paraId="43CF2BA4" w14:textId="77777777">
            <w:pPr>
              <w:spacing w:line="240" w:lineRule="auto"/>
              <w:jc w:val="both"/>
              <w:rPr>
                <w:rFonts w:ascii="Times New Roman" w:eastAsia="Times New Roman" w:hAnsi="Times New Roman" w:cs="Times New Roman"/>
                <w:bCs/>
                <w:sz w:val="24"/>
                <w:szCs w:val="24"/>
                <w:lang w:val="en-US" w:eastAsia="en-US" w:bidi="ar-SA"/>
              </w:rPr>
            </w:pPr>
            <w:hyperlink r:id="rId32" w:history="1">
              <w:r w:rsidRPr="001977EB" w:rsidR="004007B9">
                <w:rPr>
                  <w:rFonts w:ascii="Times New Roman" w:eastAsia="Times New Roman" w:hAnsi="Times New Roman" w:cs="Times New Roman"/>
                  <w:color w:val="0000FF"/>
                  <w:sz w:val="24"/>
                  <w:szCs w:val="24"/>
                  <w:u w:val="single"/>
                  <w:lang w:val="en-US" w:eastAsia="en-US" w:bidi="ar-SA"/>
                </w:rPr>
                <w:t>trent@hubaydougherty.com</w:t>
              </w:r>
            </w:hyperlink>
          </w:p>
          <w:p w:rsidR="006E1B67" w:rsidRPr="001977EB" w:rsidP="006E1B67" w14:paraId="7DCA13D5" w14:textId="77777777">
            <w:pPr>
              <w:spacing w:line="240" w:lineRule="auto"/>
              <w:jc w:val="both"/>
              <w:rPr>
                <w:rFonts w:ascii="Times New Roman" w:eastAsia="Times New Roman" w:hAnsi="Times New Roman" w:cs="Times New Roman"/>
                <w:bCs/>
                <w:sz w:val="24"/>
                <w:szCs w:val="24"/>
                <w:lang w:val="en-US" w:eastAsia="en-US" w:bidi="ar-SA"/>
              </w:rPr>
            </w:pPr>
            <w:hyperlink r:id="rId33" w:history="1">
              <w:r w:rsidRPr="001977EB" w:rsidR="004007B9">
                <w:rPr>
                  <w:rFonts w:ascii="Times New Roman" w:eastAsia="Times New Roman" w:hAnsi="Times New Roman" w:cs="Times New Roman"/>
                  <w:color w:val="0000FF"/>
                  <w:sz w:val="24"/>
                  <w:szCs w:val="24"/>
                  <w:u w:val="single"/>
                  <w:lang w:val="en-US" w:eastAsia="en-US" w:bidi="ar-SA"/>
                </w:rPr>
                <w:t>talexander@beneschlaw.com</w:t>
              </w:r>
            </w:hyperlink>
          </w:p>
          <w:p w:rsidR="006E1B67" w:rsidRPr="001977EB" w:rsidP="006E1B67" w14:paraId="4C67C9BD" w14:textId="77777777">
            <w:pPr>
              <w:spacing w:line="240" w:lineRule="auto"/>
              <w:jc w:val="both"/>
              <w:rPr>
                <w:rFonts w:ascii="Times New Roman" w:eastAsia="Times New Roman" w:hAnsi="Times New Roman" w:cs="Times New Roman"/>
                <w:color w:val="0000FF"/>
                <w:sz w:val="24"/>
                <w:szCs w:val="24"/>
                <w:u w:val="single"/>
                <w:lang w:val="en-US" w:eastAsia="en-US" w:bidi="ar-SA"/>
              </w:rPr>
            </w:pPr>
            <w:hyperlink r:id="rId34" w:history="1">
              <w:r w:rsidRPr="001977EB" w:rsidR="004007B9">
                <w:rPr>
                  <w:rFonts w:ascii="Times New Roman" w:eastAsia="Times New Roman" w:hAnsi="Times New Roman" w:cs="Times New Roman"/>
                  <w:color w:val="0000FF"/>
                  <w:sz w:val="24"/>
                  <w:szCs w:val="24"/>
                  <w:u w:val="single"/>
                  <w:lang w:val="en-US" w:eastAsia="en-US" w:bidi="ar-SA"/>
                </w:rPr>
                <w:t>Bojko@carpenterlipps.com</w:t>
              </w:r>
            </w:hyperlink>
          </w:p>
          <w:p w:rsidR="006E1B67" w:rsidRPr="001977EB" w:rsidP="006E1B67" w14:paraId="44B33F23" w14:textId="77777777">
            <w:pPr>
              <w:spacing w:line="240" w:lineRule="auto"/>
              <w:jc w:val="both"/>
              <w:rPr>
                <w:rFonts w:ascii="Times New Roman" w:eastAsia="Times New Roman" w:hAnsi="Times New Roman" w:cs="Times New Roman"/>
                <w:color w:val="0000FF"/>
                <w:sz w:val="24"/>
                <w:szCs w:val="24"/>
                <w:u w:val="single"/>
                <w:lang w:val="en-US" w:eastAsia="en-US" w:bidi="ar-SA"/>
              </w:rPr>
            </w:pPr>
            <w:r w:rsidRPr="001977EB">
              <w:rPr>
                <w:rFonts w:ascii="Times New Roman" w:eastAsia="Times New Roman" w:hAnsi="Times New Roman" w:cs="Times New Roman"/>
                <w:color w:val="0000FF"/>
                <w:sz w:val="24"/>
                <w:szCs w:val="24"/>
                <w:u w:val="single"/>
                <w:lang w:val="en-US" w:eastAsia="en-US" w:bidi="ar-SA"/>
              </w:rPr>
              <w:t>easley@carpenterlipps.com</w:t>
            </w:r>
          </w:p>
          <w:p w:rsidR="006E1B67" w:rsidRPr="001977EB" w:rsidP="006E1B67" w14:paraId="2B89F5A3" w14:textId="77777777">
            <w:pPr>
              <w:spacing w:line="240" w:lineRule="auto"/>
              <w:jc w:val="both"/>
              <w:rPr>
                <w:rFonts w:ascii="Times New Roman" w:eastAsia="Times New Roman" w:hAnsi="Times New Roman" w:cs="Times New Roman"/>
                <w:color w:val="0000FF"/>
                <w:sz w:val="24"/>
                <w:szCs w:val="24"/>
                <w:u w:val="single"/>
                <w:lang w:val="en-US" w:eastAsia="en-US" w:bidi="ar-SA"/>
              </w:rPr>
            </w:pPr>
            <w:hyperlink r:id="rId35" w:history="1">
              <w:r w:rsidRPr="001977EB" w:rsidR="004007B9">
                <w:rPr>
                  <w:rFonts w:ascii="Times New Roman" w:eastAsia="Times New Roman" w:hAnsi="Times New Roman" w:cs="Times New Roman"/>
                  <w:color w:val="0000FF"/>
                  <w:sz w:val="24"/>
                  <w:szCs w:val="24"/>
                  <w:u w:val="single"/>
                  <w:lang w:val="en-US" w:eastAsia="en-US" w:bidi="ar-SA"/>
                </w:rPr>
                <w:t>Paul@carpenterlipps.com</w:t>
              </w:r>
            </w:hyperlink>
          </w:p>
          <w:p w:rsidR="006E1B67" w:rsidRPr="001977EB" w:rsidP="006E1B67" w14:paraId="66A13279" w14:textId="77777777">
            <w:pPr>
              <w:spacing w:line="240" w:lineRule="auto"/>
              <w:jc w:val="both"/>
              <w:rPr>
                <w:rFonts w:ascii="Times New Roman" w:eastAsia="Times New Roman" w:hAnsi="Times New Roman" w:cs="Times New Roman"/>
                <w:color w:val="0000FF"/>
                <w:sz w:val="24"/>
                <w:szCs w:val="24"/>
                <w:u w:val="single"/>
                <w:lang w:val="en-US" w:eastAsia="en-US" w:bidi="ar-SA"/>
              </w:rPr>
            </w:pPr>
            <w:hyperlink r:id="rId36" w:history="1">
              <w:r w:rsidRPr="001977EB" w:rsidR="004007B9">
                <w:rPr>
                  <w:rFonts w:ascii="Times New Roman" w:eastAsia="Times New Roman" w:hAnsi="Times New Roman" w:cs="Times New Roman"/>
                  <w:color w:val="0000FF"/>
                  <w:sz w:val="24"/>
                  <w:szCs w:val="24"/>
                  <w:u w:val="single"/>
                  <w:lang w:val="en-US" w:eastAsia="en-US" w:bidi="ar-SA"/>
                </w:rPr>
                <w:t>christopher.hollon@aes.com</w:t>
              </w:r>
            </w:hyperlink>
          </w:p>
          <w:p w:rsidR="006E1B67" w:rsidRPr="001977EB" w:rsidP="006E1B67" w14:paraId="511A3801" w14:textId="77777777">
            <w:pPr>
              <w:spacing w:line="240" w:lineRule="auto"/>
              <w:jc w:val="both"/>
              <w:rPr>
                <w:rFonts w:ascii="Times New Roman" w:eastAsia="Times New Roman" w:hAnsi="Times New Roman" w:cs="Times New Roman"/>
                <w:sz w:val="24"/>
                <w:szCs w:val="24"/>
                <w:lang w:val="en-US" w:eastAsia="en-US" w:bidi="ar-SA"/>
              </w:rPr>
            </w:pPr>
            <w:hyperlink r:id="rId37" w:history="1">
              <w:r w:rsidRPr="001977EB" w:rsidR="004007B9">
                <w:rPr>
                  <w:rFonts w:ascii="Times New Roman" w:eastAsia="Times New Roman" w:hAnsi="Times New Roman" w:cs="Times New Roman"/>
                  <w:color w:val="0000FF"/>
                  <w:sz w:val="24"/>
                  <w:szCs w:val="24"/>
                  <w:u w:val="single"/>
                  <w:lang w:val="en-US" w:eastAsia="en-US" w:bidi="ar-SA"/>
                </w:rPr>
                <w:t>jsharkey@ficlaw.com</w:t>
              </w:r>
            </w:hyperlink>
          </w:p>
          <w:p w:rsidR="006E1B67" w:rsidRPr="001977EB" w:rsidP="006E1B67" w14:paraId="75E3555A" w14:textId="77777777">
            <w:pPr>
              <w:spacing w:line="240" w:lineRule="auto"/>
              <w:jc w:val="both"/>
              <w:rPr>
                <w:rFonts w:ascii="Times New Roman" w:eastAsia="Times New Roman" w:hAnsi="Times New Roman" w:cs="Times New Roman"/>
                <w:sz w:val="24"/>
                <w:szCs w:val="24"/>
                <w:lang w:val="en-US" w:eastAsia="en-US" w:bidi="ar-SA"/>
              </w:rPr>
            </w:pPr>
            <w:hyperlink r:id="rId38" w:history="1">
              <w:r w:rsidRPr="001977EB" w:rsidR="004007B9">
                <w:rPr>
                  <w:rFonts w:ascii="Times New Roman" w:eastAsia="Times New Roman" w:hAnsi="Times New Roman" w:cs="Times New Roman"/>
                  <w:color w:val="0000FF"/>
                  <w:sz w:val="24"/>
                  <w:szCs w:val="24"/>
                  <w:u w:val="single"/>
                  <w:lang w:val="en-US" w:eastAsia="en-US" w:bidi="ar-SA"/>
                </w:rPr>
                <w:t>mwatt@ficlaw.com</w:t>
              </w:r>
            </w:hyperlink>
          </w:p>
          <w:p w:rsidR="006E1B67" w:rsidRPr="001977EB" w:rsidP="006E1B67" w14:paraId="2D4E597A" w14:textId="77777777">
            <w:pPr>
              <w:spacing w:line="240" w:lineRule="auto"/>
              <w:jc w:val="both"/>
              <w:rPr>
                <w:rFonts w:ascii="Times New Roman" w:eastAsia="Times New Roman" w:hAnsi="Times New Roman" w:cs="Times New Roman"/>
                <w:sz w:val="24"/>
                <w:szCs w:val="24"/>
                <w:lang w:val="en-US" w:eastAsia="en-US" w:bidi="ar-SA"/>
              </w:rPr>
            </w:pPr>
          </w:p>
        </w:tc>
      </w:tr>
    </w:tbl>
    <w:p w:rsidR="00D102C3" w:rsidRPr="001977EB" w:rsidP="00D102C3" w14:paraId="660EACE9" w14:textId="77777777">
      <w:pPr>
        <w:jc w:val="center"/>
        <w:rPr>
          <w:rFonts w:ascii="Times New Roman" w:hAnsi="Times New Roman" w:cs="Times New Roman"/>
          <w:sz w:val="24"/>
          <w:szCs w:val="24"/>
        </w:rPr>
      </w:pPr>
    </w:p>
    <w:p w:rsidR="00997DCA" w:rsidRPr="001977EB" w14:paraId="5C0C4521" w14:textId="77777777">
      <w:pPr>
        <w:spacing w:before="240" w:after="240"/>
        <w:rPr>
          <w:rFonts w:ascii="Times New Roman" w:hAnsi="Times New Roman" w:cs="Times New Roman"/>
          <w:b/>
          <w:sz w:val="24"/>
          <w:szCs w:val="24"/>
          <w:u w:val="single"/>
        </w:rPr>
      </w:pPr>
    </w:p>
    <w:p w:rsidR="00997DCA" w:rsidRPr="001977EB" w14:paraId="5DC4DEB3" w14:textId="77777777">
      <w:pPr>
        <w:rPr>
          <w:rFonts w:ascii="Times New Roman" w:hAnsi="Times New Roman" w:cs="Times New Roman"/>
          <w:sz w:val="24"/>
          <w:szCs w:val="24"/>
        </w:rPr>
      </w:pPr>
    </w:p>
    <w:sectPr w:rsidSect="0038144D">
      <w:footerReference w:type="default" r:id="rId39"/>
      <w:pgSz w:w="12240" w:h="15840"/>
      <w:pgMar w:top="1440" w:right="1800" w:bottom="1440" w:left="180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AA9" w14:paraId="627DD0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556" w14:paraId="42B0B5FC" w14:textId="77777777">
    <w:pPr>
      <w:pStyle w:val="Footer"/>
      <w:jc w:val="center"/>
    </w:pPr>
  </w:p>
  <w:p w:rsidR="00852B02" w:rsidRPr="00D102C3" w14:paraId="104251BA" w14:textId="77777777">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AA9" w14:paraId="3FEA5E7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67603830"/>
      <w:docPartObj>
        <w:docPartGallery w:val="Page Numbers (Bottom of Page)"/>
        <w:docPartUnique/>
      </w:docPartObj>
    </w:sdtPr>
    <w:sdtEndPr>
      <w:rPr>
        <w:rFonts w:ascii="Times New Roman" w:hAnsi="Times New Roman" w:cs="Times New Roman"/>
        <w:noProof/>
        <w:sz w:val="24"/>
        <w:szCs w:val="24"/>
      </w:rPr>
    </w:sdtEndPr>
    <w:sdtContent>
      <w:p w:rsidR="00312E61" w:rsidRPr="00312E61" w14:paraId="5BBAD5CF" w14:textId="77777777">
        <w:pPr>
          <w:pStyle w:val="Footer"/>
          <w:jc w:val="center"/>
          <w:rPr>
            <w:rFonts w:ascii="Times New Roman" w:hAnsi="Times New Roman" w:cs="Times New Roman"/>
            <w:sz w:val="24"/>
            <w:szCs w:val="24"/>
          </w:rPr>
        </w:pPr>
        <w:r w:rsidRPr="00312E61">
          <w:rPr>
            <w:rFonts w:ascii="Times New Roman" w:hAnsi="Times New Roman" w:cs="Times New Roman"/>
            <w:sz w:val="24"/>
            <w:szCs w:val="24"/>
          </w:rPr>
          <w:fldChar w:fldCharType="begin"/>
        </w:r>
        <w:r w:rsidRPr="00312E61">
          <w:rPr>
            <w:rFonts w:ascii="Times New Roman" w:hAnsi="Times New Roman" w:cs="Times New Roman"/>
            <w:sz w:val="24"/>
            <w:szCs w:val="24"/>
          </w:rPr>
          <w:instrText xml:space="preserve"> PAGE   \* MERGEFORMAT </w:instrText>
        </w:r>
        <w:r w:rsidRPr="00312E61">
          <w:rPr>
            <w:rFonts w:ascii="Times New Roman" w:hAnsi="Times New Roman" w:cs="Times New Roman"/>
            <w:sz w:val="24"/>
            <w:szCs w:val="24"/>
          </w:rPr>
          <w:fldChar w:fldCharType="separate"/>
        </w:r>
        <w:r w:rsidRPr="00312E61">
          <w:rPr>
            <w:rFonts w:ascii="Times New Roman" w:hAnsi="Times New Roman" w:cs="Times New Roman"/>
            <w:noProof/>
            <w:sz w:val="24"/>
            <w:szCs w:val="24"/>
          </w:rPr>
          <w:t>2</w:t>
        </w:r>
        <w:r w:rsidRPr="00312E61">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1513674751"/>
      <w:docPartObj>
        <w:docPartGallery w:val="Page Numbers (Bottom of Page)"/>
        <w:docPartUnique/>
      </w:docPartObj>
    </w:sdtPr>
    <w:sdtEndPr>
      <w:rPr>
        <w:noProof/>
      </w:rPr>
    </w:sdtEndPr>
    <w:sdtContent>
      <w:p w:rsidR="003F3556" w:rsidRPr="003F3556" w:rsidP="00530833" w14:paraId="61AADC05" w14:textId="77777777">
        <w:pPr>
          <w:pStyle w:val="Footer"/>
          <w:jc w:val="center"/>
          <w:rPr>
            <w:rFonts w:ascii="Times New Roman" w:hAnsi="Times New Roman" w:cs="Times New Roman"/>
            <w:sz w:val="24"/>
            <w:szCs w:val="24"/>
          </w:rPr>
        </w:pPr>
        <w:r w:rsidRPr="003F3556">
          <w:rPr>
            <w:rFonts w:ascii="Times New Roman" w:hAnsi="Times New Roman" w:cs="Times New Roman"/>
            <w:sz w:val="24"/>
            <w:szCs w:val="24"/>
          </w:rPr>
          <w:fldChar w:fldCharType="begin"/>
        </w:r>
        <w:r w:rsidRPr="003F3556">
          <w:rPr>
            <w:rFonts w:ascii="Times New Roman" w:hAnsi="Times New Roman" w:cs="Times New Roman"/>
            <w:sz w:val="24"/>
            <w:szCs w:val="24"/>
          </w:rPr>
          <w:instrText xml:space="preserve"> PAGE   \* MERGEFORMAT </w:instrText>
        </w:r>
        <w:r w:rsidRPr="003F3556">
          <w:rPr>
            <w:rFonts w:ascii="Times New Roman" w:hAnsi="Times New Roman" w:cs="Times New Roman"/>
            <w:sz w:val="24"/>
            <w:szCs w:val="24"/>
          </w:rPr>
          <w:fldChar w:fldCharType="separate"/>
        </w:r>
        <w:r w:rsidRPr="003F3556">
          <w:rPr>
            <w:rFonts w:ascii="Times New Roman" w:hAnsi="Times New Roman" w:cs="Times New Roman"/>
            <w:noProof/>
            <w:sz w:val="24"/>
            <w:szCs w:val="24"/>
          </w:rPr>
          <w:t>2</w:t>
        </w:r>
        <w:r w:rsidRPr="003F355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144D" w14:paraId="010FEA15" w14:textId="77777777">
      <w:pPr>
        <w:spacing w:line="240" w:lineRule="auto"/>
      </w:pPr>
      <w:r>
        <w:separator/>
      </w:r>
    </w:p>
  </w:footnote>
  <w:footnote w:type="continuationSeparator" w:id="1">
    <w:p w:rsidR="0038144D" w14:paraId="735542FB" w14:textId="77777777">
      <w:pPr>
        <w:spacing w:line="240" w:lineRule="auto"/>
      </w:pPr>
      <w:r>
        <w:continuationSeparator/>
      </w:r>
    </w:p>
  </w:footnote>
  <w:footnote w:id="2">
    <w:p w:rsidR="00BD2125" w:rsidRPr="00CE3C47" w:rsidP="00B47D51" w14:paraId="5D6038E3"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R.C. 4928.148. The statute allows the utilities to </w:t>
      </w:r>
      <w:r w:rsidRPr="00CE3C47" w:rsidR="00A2295F">
        <w:rPr>
          <w:rFonts w:ascii="Times New Roman" w:hAnsi="Times New Roman" w:cs="Times New Roman"/>
        </w:rPr>
        <w:t>request</w:t>
      </w:r>
      <w:r w:rsidRPr="00CE3C47">
        <w:rPr>
          <w:rFonts w:ascii="Times New Roman" w:hAnsi="Times New Roman" w:cs="Times New Roman"/>
        </w:rPr>
        <w:t xml:space="preserve"> cost</w:t>
      </w:r>
      <w:r w:rsidRPr="00CE3C47" w:rsidR="00A2295F">
        <w:rPr>
          <w:rFonts w:ascii="Times New Roman" w:hAnsi="Times New Roman" w:cs="Times New Roman"/>
        </w:rPr>
        <w:t xml:space="preserve"> collection</w:t>
      </w:r>
      <w:r w:rsidRPr="00CE3C47">
        <w:rPr>
          <w:rFonts w:ascii="Times New Roman" w:hAnsi="Times New Roman" w:cs="Times New Roman"/>
        </w:rPr>
        <w:t xml:space="preserve"> for two coal plants which the utilities indirectly own and which are operated by the Ohio Valley Electric Corporation (</w:t>
      </w:r>
      <w:r w:rsidRPr="00CE3C47" w:rsidR="001977EB">
        <w:rPr>
          <w:rFonts w:ascii="Times New Roman" w:hAnsi="Times New Roman" w:cs="Times New Roman"/>
        </w:rPr>
        <w:t>“</w:t>
      </w:r>
      <w:r w:rsidRPr="00CE3C47">
        <w:rPr>
          <w:rFonts w:ascii="Times New Roman" w:hAnsi="Times New Roman" w:cs="Times New Roman"/>
        </w:rPr>
        <w:t>coal plant subsidy costs</w:t>
      </w:r>
      <w:r w:rsidRPr="00CE3C47" w:rsidR="001977EB">
        <w:rPr>
          <w:rFonts w:ascii="Times New Roman" w:hAnsi="Times New Roman" w:cs="Times New Roman"/>
        </w:rPr>
        <w:t>”</w:t>
      </w:r>
      <w:r w:rsidRPr="00CE3C47">
        <w:rPr>
          <w:rFonts w:ascii="Times New Roman" w:hAnsi="Times New Roman" w:cs="Times New Roman"/>
        </w:rPr>
        <w:t>).</w:t>
      </w:r>
    </w:p>
  </w:footnote>
  <w:footnote w:id="3">
    <w:p w:rsidR="007A7822" w:rsidRPr="00CE3C47" w:rsidP="00B47D51" w14:paraId="4F7343CA"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 xml:space="preserve">Emp. Retirement Sys. of City of St. Louis v. Jones, </w:t>
      </w:r>
      <w:r w:rsidRPr="00CE3C47">
        <w:rPr>
          <w:rFonts w:ascii="Times New Roman" w:hAnsi="Times New Roman" w:cs="Times New Roman"/>
        </w:rPr>
        <w:t>Case No. 2:20-cv-4813, Order of Final Settlement Approval at 17 (Aug. 23, 2022) (emphasis added).</w:t>
      </w:r>
    </w:p>
  </w:footnote>
  <w:footnote w:id="4">
    <w:p w:rsidR="00682D6A" w:rsidRPr="00CE3C47" w:rsidP="00B47D51" w14:paraId="13FC88BB"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187793">
        <w:rPr>
          <w:rFonts w:ascii="Times New Roman" w:hAnsi="Times New Roman" w:cs="Times New Roman"/>
          <w:i/>
          <w:iCs/>
        </w:rPr>
        <w:t xml:space="preserve">United States v. FirstEnergy Corp., </w:t>
      </w:r>
      <w:r w:rsidRPr="00CE3C47" w:rsidR="00187793">
        <w:rPr>
          <w:rFonts w:ascii="Times New Roman" w:hAnsi="Times New Roman" w:cs="Times New Roman"/>
        </w:rPr>
        <w:t>Case No. 1:21-cr-86, Deferred Prosecution Agreement (July 22, 2021).</w:t>
      </w:r>
    </w:p>
  </w:footnote>
  <w:footnote w:id="5">
    <w:p w:rsidR="009C3C10" w:rsidRPr="00CE3C47" w:rsidP="00B47D51" w14:paraId="5A163A6F"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Hearing Transcript Vol</w:t>
      </w:r>
      <w:r w:rsidRPr="00CE3C47" w:rsidR="00D4077A">
        <w:rPr>
          <w:rFonts w:ascii="Times New Roman" w:hAnsi="Times New Roman" w:cs="Times New Roman"/>
          <w:lang w:val="en-US"/>
        </w:rPr>
        <w:t>.</w:t>
      </w:r>
      <w:r w:rsidRPr="00CE3C47">
        <w:rPr>
          <w:rFonts w:ascii="Times New Roman" w:hAnsi="Times New Roman" w:cs="Times New Roman"/>
          <w:lang w:val="en-US"/>
        </w:rPr>
        <w:t xml:space="preserve"> I, pp. 124-125 (Nov. 14, 2023).</w:t>
      </w:r>
    </w:p>
  </w:footnote>
  <w:footnote w:id="6">
    <w:p w:rsidR="00A529A6" w:rsidRPr="00CE3C47" w:rsidP="00B47D51" w14:paraId="21CC9FA0"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9C3C10">
        <w:rPr>
          <w:rFonts w:ascii="Times New Roman" w:hAnsi="Times New Roman" w:cs="Times New Roman"/>
          <w:i/>
          <w:iCs/>
          <w:lang w:val="en-US"/>
        </w:rPr>
        <w:t>Id.</w:t>
      </w:r>
    </w:p>
  </w:footnote>
  <w:footnote w:id="7">
    <w:p w:rsidR="00A529A6" w:rsidRPr="00CE3C47" w:rsidP="00B47D51" w14:paraId="421474CC"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Entry, Request for Proposals at 6 (May 5, 2021).</w:t>
      </w:r>
    </w:p>
  </w:footnote>
  <w:footnote w:id="8">
    <w:p w:rsidR="00E774F5" w:rsidRPr="00CE3C47" w:rsidP="00B47D51" w14:paraId="25D18E60"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6F0780">
        <w:rPr>
          <w:rFonts w:ascii="Times New Roman" w:hAnsi="Times New Roman" w:cs="Times New Roman"/>
        </w:rPr>
        <w:t xml:space="preserve">OCC Ex. </w:t>
      </w:r>
      <w:r w:rsidRPr="00CE3C47" w:rsidR="00DF43EB">
        <w:rPr>
          <w:rFonts w:ascii="Times New Roman" w:hAnsi="Times New Roman" w:cs="Times New Roman"/>
        </w:rPr>
        <w:t>7</w:t>
      </w:r>
      <w:r w:rsidRPr="00CE3C47" w:rsidR="006F0780">
        <w:rPr>
          <w:rFonts w:ascii="Times New Roman" w:hAnsi="Times New Roman" w:cs="Times New Roman"/>
        </w:rPr>
        <w:t>,</w:t>
      </w:r>
      <w:r w:rsidRPr="00CE3C47" w:rsidR="00DF43EB">
        <w:rPr>
          <w:rFonts w:ascii="Times New Roman" w:hAnsi="Times New Roman" w:cs="Times New Roman"/>
        </w:rPr>
        <w:t xml:space="preserve"> </w:t>
      </w:r>
      <w:r w:rsidRPr="00CE3C47">
        <w:rPr>
          <w:rFonts w:ascii="Times New Roman" w:hAnsi="Times New Roman" w:cs="Times New Roman"/>
          <w:lang w:val="en-US"/>
        </w:rPr>
        <w:t>OVEC Annual Report</w:t>
      </w:r>
      <w:r w:rsidRPr="00CE3C47" w:rsidR="00FF6097">
        <w:rPr>
          <w:rFonts w:ascii="Times New Roman" w:hAnsi="Times New Roman" w:cs="Times New Roman"/>
          <w:lang w:val="en-US"/>
        </w:rPr>
        <w:t>-</w:t>
      </w:r>
      <w:r w:rsidRPr="00CE3C47">
        <w:rPr>
          <w:rFonts w:ascii="Times New Roman" w:hAnsi="Times New Roman" w:cs="Times New Roman"/>
          <w:lang w:val="en-US"/>
        </w:rPr>
        <w:t>202</w:t>
      </w:r>
      <w:r w:rsidRPr="00CE3C47" w:rsidR="00FF6097">
        <w:rPr>
          <w:rFonts w:ascii="Times New Roman" w:hAnsi="Times New Roman" w:cs="Times New Roman"/>
          <w:lang w:val="en-US"/>
        </w:rPr>
        <w:t>0</w:t>
      </w:r>
      <w:r w:rsidRPr="00CE3C47">
        <w:rPr>
          <w:rFonts w:ascii="Times New Roman" w:hAnsi="Times New Roman" w:cs="Times New Roman"/>
          <w:lang w:val="en-US"/>
        </w:rPr>
        <w:t xml:space="preserve"> at 1.</w:t>
      </w:r>
    </w:p>
  </w:footnote>
  <w:footnote w:id="9">
    <w:p w:rsidR="00997DCA" w:rsidRPr="00CE3C47" w:rsidP="00B47D51" w14:paraId="734FD1AA" w14:textId="77777777">
      <w:pPr>
        <w:spacing w:after="120" w:line="240" w:lineRule="auto"/>
        <w:rPr>
          <w:rFonts w:ascii="Times New Roman" w:eastAsia="Times New Roman" w:hAnsi="Times New Roman" w:cs="Times New Roman"/>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sidR="00632168">
        <w:rPr>
          <w:rFonts w:ascii="Times New Roman" w:hAnsi="Times New Roman" w:cs="Times New Roman"/>
          <w:color w:val="232323"/>
          <w:sz w:val="20"/>
          <w:szCs w:val="20"/>
        </w:rPr>
        <w:t>Citizens Utility Board of Ohio and Union of Concerned Scientists</w:t>
      </w:r>
      <w:r w:rsidRPr="00CE3C47" w:rsidR="00FF6097">
        <w:rPr>
          <w:rFonts w:ascii="Times New Roman" w:hAnsi="Times New Roman" w:cs="Times New Roman"/>
          <w:color w:val="232323"/>
          <w:sz w:val="20"/>
          <w:szCs w:val="20"/>
        </w:rPr>
        <w:t xml:space="preserve"> </w:t>
      </w:r>
      <w:r w:rsidRPr="00CE3C47" w:rsidR="00632168">
        <w:rPr>
          <w:rFonts w:ascii="Times New Roman" w:hAnsi="Times New Roman" w:cs="Times New Roman"/>
          <w:color w:val="232323"/>
          <w:sz w:val="20"/>
          <w:szCs w:val="20"/>
        </w:rPr>
        <w:t xml:space="preserve">Ex. 1, Direct Testimony of Devi </w:t>
      </w:r>
      <w:r w:rsidRPr="00CE3C47">
        <w:rPr>
          <w:rFonts w:ascii="Times New Roman" w:eastAsia="Times New Roman" w:hAnsi="Times New Roman" w:cs="Times New Roman"/>
          <w:sz w:val="20"/>
          <w:szCs w:val="20"/>
        </w:rPr>
        <w:t xml:space="preserve">Glick </w:t>
      </w:r>
      <w:r w:rsidRPr="00CE3C47" w:rsidR="00A71A44">
        <w:rPr>
          <w:rFonts w:ascii="Times New Roman" w:eastAsia="Times New Roman" w:hAnsi="Times New Roman" w:cs="Times New Roman"/>
          <w:sz w:val="20"/>
          <w:szCs w:val="20"/>
        </w:rPr>
        <w:t>(</w:t>
      </w:r>
      <w:r w:rsidRPr="00CE3C47" w:rsidR="001977EB">
        <w:rPr>
          <w:rFonts w:ascii="Times New Roman" w:eastAsia="Times New Roman" w:hAnsi="Times New Roman" w:cs="Times New Roman"/>
          <w:sz w:val="20"/>
          <w:szCs w:val="20"/>
        </w:rPr>
        <w:t>“</w:t>
      </w:r>
      <w:r w:rsidRPr="00CE3C47" w:rsidR="00A71A44">
        <w:rPr>
          <w:rFonts w:ascii="Times New Roman" w:eastAsia="Times New Roman" w:hAnsi="Times New Roman" w:cs="Times New Roman"/>
          <w:sz w:val="20"/>
          <w:szCs w:val="20"/>
        </w:rPr>
        <w:t>Glick Testimony</w:t>
      </w:r>
      <w:r w:rsidRPr="00CE3C47" w:rsidR="001977EB">
        <w:rPr>
          <w:rFonts w:ascii="Times New Roman" w:eastAsia="Times New Roman" w:hAnsi="Times New Roman" w:cs="Times New Roman"/>
          <w:sz w:val="20"/>
          <w:szCs w:val="20"/>
        </w:rPr>
        <w:t>”</w:t>
      </w:r>
      <w:r w:rsidRPr="00CE3C47" w:rsidR="00A71A44">
        <w:rPr>
          <w:rFonts w:ascii="Times New Roman" w:eastAsia="Times New Roman" w:hAnsi="Times New Roman" w:cs="Times New Roman"/>
          <w:sz w:val="20"/>
          <w:szCs w:val="20"/>
        </w:rPr>
        <w:t xml:space="preserve">) </w:t>
      </w:r>
      <w:r w:rsidRPr="00CE3C47">
        <w:rPr>
          <w:rFonts w:ascii="Times New Roman" w:eastAsia="Times New Roman" w:hAnsi="Times New Roman" w:cs="Times New Roman"/>
          <w:sz w:val="20"/>
          <w:szCs w:val="20"/>
        </w:rPr>
        <w:t xml:space="preserve">at </w:t>
      </w:r>
      <w:r w:rsidRPr="00CE3C47" w:rsidR="00BA2F10">
        <w:rPr>
          <w:rFonts w:ascii="Times New Roman" w:eastAsia="Times New Roman" w:hAnsi="Times New Roman" w:cs="Times New Roman"/>
          <w:sz w:val="20"/>
          <w:szCs w:val="20"/>
        </w:rPr>
        <w:t>12</w:t>
      </w:r>
      <w:r w:rsidRPr="00CE3C47" w:rsidR="00632168">
        <w:rPr>
          <w:rFonts w:ascii="Times New Roman" w:eastAsia="Times New Roman" w:hAnsi="Times New Roman" w:cs="Times New Roman"/>
          <w:sz w:val="20"/>
          <w:szCs w:val="20"/>
        </w:rPr>
        <w:t xml:space="preserve"> (Oct. 10, 2023)</w:t>
      </w:r>
      <w:r w:rsidRPr="00CE3C47">
        <w:rPr>
          <w:rFonts w:ascii="Times New Roman" w:eastAsia="Times New Roman" w:hAnsi="Times New Roman" w:cs="Times New Roman"/>
          <w:sz w:val="20"/>
          <w:szCs w:val="20"/>
        </w:rPr>
        <w:t>.</w:t>
      </w:r>
    </w:p>
  </w:footnote>
  <w:footnote w:id="10">
    <w:p w:rsidR="00466236" w:rsidRPr="00CE3C47" w:rsidP="00B47D51" w14:paraId="582B49F6"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FF6097">
        <w:rPr>
          <w:rFonts w:ascii="Times New Roman" w:hAnsi="Times New Roman" w:cs="Times New Roman"/>
          <w:i/>
          <w:iCs/>
          <w:lang w:val="en-US"/>
        </w:rPr>
        <w:t>Id.</w:t>
      </w:r>
    </w:p>
  </w:footnote>
  <w:footnote w:id="11">
    <w:p w:rsidR="00997DCA" w:rsidRPr="00CE3C47" w:rsidP="00B47D51" w14:paraId="0FC14F17" w14:textId="77777777">
      <w:pPr>
        <w:spacing w:after="120" w:line="240" w:lineRule="auto"/>
        <w:rPr>
          <w:rFonts w:ascii="Times New Roman" w:eastAsia="Times New Roman" w:hAnsi="Times New Roman" w:cs="Times New Roman"/>
          <w:i/>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i/>
          <w:sz w:val="20"/>
          <w:szCs w:val="20"/>
        </w:rPr>
        <w:t xml:space="preserve"> </w:t>
      </w:r>
      <w:r w:rsidRPr="00CE3C47" w:rsidR="00FF6097">
        <w:rPr>
          <w:rFonts w:ascii="Times New Roman" w:eastAsia="Times New Roman" w:hAnsi="Times New Roman" w:cs="Times New Roman"/>
          <w:i/>
          <w:sz w:val="20"/>
          <w:szCs w:val="20"/>
        </w:rPr>
        <w:t>Id.</w:t>
      </w:r>
    </w:p>
  </w:footnote>
  <w:footnote w:id="12">
    <w:p w:rsidR="00997DCA" w:rsidRPr="00CE3C47" w:rsidP="00B47D51" w14:paraId="0603EE57" w14:textId="77777777">
      <w:pPr>
        <w:spacing w:after="120" w:line="240" w:lineRule="auto"/>
        <w:rPr>
          <w:rFonts w:ascii="Times New Roman" w:eastAsia="Times New Roman" w:hAnsi="Times New Roman" w:cs="Times New Roman"/>
          <w:i/>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sidR="00FF6097">
        <w:rPr>
          <w:rFonts w:ascii="Times New Roman" w:eastAsia="Times New Roman" w:hAnsi="Times New Roman" w:cs="Times New Roman"/>
          <w:i/>
          <w:sz w:val="20"/>
          <w:szCs w:val="20"/>
        </w:rPr>
        <w:t>Id.</w:t>
      </w:r>
    </w:p>
  </w:footnote>
  <w:footnote w:id="13">
    <w:p w:rsidR="00997DCA" w:rsidRPr="00CE3C47" w:rsidP="00B47D51" w14:paraId="5FDB2FEF" w14:textId="77777777">
      <w:pPr>
        <w:spacing w:after="120" w:line="240" w:lineRule="auto"/>
        <w:rPr>
          <w:rFonts w:ascii="Times New Roman" w:eastAsia="Times New Roman" w:hAnsi="Times New Roman" w:cs="Times New Roman"/>
          <w:i/>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sidR="00FF6097">
        <w:rPr>
          <w:rFonts w:ascii="Times New Roman" w:eastAsia="Times New Roman" w:hAnsi="Times New Roman" w:cs="Times New Roman"/>
          <w:i/>
          <w:sz w:val="20"/>
          <w:szCs w:val="20"/>
        </w:rPr>
        <w:t>Id.</w:t>
      </w:r>
      <w:r w:rsidRPr="00CE3C47" w:rsidR="00344876">
        <w:rPr>
          <w:rFonts w:ascii="Times New Roman" w:eastAsia="Times New Roman" w:hAnsi="Times New Roman" w:cs="Times New Roman"/>
          <w:iCs/>
          <w:sz w:val="20"/>
          <w:szCs w:val="20"/>
        </w:rPr>
        <w:t xml:space="preserve"> at 13</w:t>
      </w:r>
      <w:r w:rsidRPr="00CE3C47" w:rsidR="00B43783">
        <w:rPr>
          <w:rFonts w:ascii="Times New Roman" w:eastAsia="Times New Roman" w:hAnsi="Times New Roman" w:cs="Times New Roman"/>
          <w:iCs/>
          <w:sz w:val="20"/>
          <w:szCs w:val="20"/>
        </w:rPr>
        <w:t>.</w:t>
      </w:r>
    </w:p>
  </w:footnote>
  <w:footnote w:id="14">
    <w:p w:rsidR="00997DCA" w:rsidRPr="00CE3C47" w:rsidP="00B47D51" w14:paraId="76CAC3BB" w14:textId="77777777">
      <w:pPr>
        <w:spacing w:after="120" w:line="240" w:lineRule="auto"/>
        <w:rPr>
          <w:rFonts w:ascii="Times New Roman" w:eastAsia="Times New Roman" w:hAnsi="Times New Roman" w:cs="Times New Roman"/>
          <w:i/>
          <w:iCs/>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sidR="00FF6097">
        <w:rPr>
          <w:rFonts w:ascii="Times New Roman" w:eastAsia="Times New Roman" w:hAnsi="Times New Roman" w:cs="Times New Roman"/>
          <w:i/>
          <w:iCs/>
          <w:sz w:val="20"/>
          <w:szCs w:val="20"/>
        </w:rPr>
        <w:t>Id.</w:t>
      </w:r>
    </w:p>
  </w:footnote>
  <w:footnote w:id="15">
    <w:p w:rsidR="00344876" w:rsidRPr="00CE3C47" w:rsidP="00B47D51" w14:paraId="5BC3C9F4" w14:textId="77777777">
      <w:pPr>
        <w:spacing w:after="120" w:line="240" w:lineRule="auto"/>
        <w:rPr>
          <w:rFonts w:ascii="Times New Roman" w:eastAsia="Times New Roman" w:hAnsi="Times New Roman" w:cs="Times New Roman"/>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sidR="00FF6097">
        <w:rPr>
          <w:rFonts w:ascii="Times New Roman" w:eastAsia="Times New Roman" w:hAnsi="Times New Roman" w:cs="Times New Roman"/>
          <w:i/>
          <w:sz w:val="20"/>
          <w:szCs w:val="20"/>
        </w:rPr>
        <w:t>Id.</w:t>
      </w:r>
      <w:r w:rsidRPr="00CE3C47">
        <w:rPr>
          <w:rFonts w:ascii="Times New Roman" w:eastAsia="Times New Roman" w:hAnsi="Times New Roman" w:cs="Times New Roman"/>
          <w:iCs/>
          <w:sz w:val="20"/>
          <w:szCs w:val="20"/>
        </w:rPr>
        <w:t xml:space="preserve"> at 12</w:t>
      </w:r>
      <w:r w:rsidRPr="00CE3C47">
        <w:rPr>
          <w:rFonts w:ascii="Times New Roman" w:eastAsia="Times New Roman" w:hAnsi="Times New Roman" w:cs="Times New Roman"/>
          <w:sz w:val="20"/>
          <w:szCs w:val="20"/>
        </w:rPr>
        <w:t xml:space="preserve">. </w:t>
      </w:r>
    </w:p>
  </w:footnote>
  <w:footnote w:id="16">
    <w:p w:rsidR="00997DCA" w:rsidRPr="00CE3C47" w:rsidP="00B47D51" w14:paraId="01277A93" w14:textId="77777777">
      <w:pPr>
        <w:spacing w:after="120" w:line="240" w:lineRule="auto"/>
        <w:rPr>
          <w:rFonts w:ascii="Times New Roman" w:eastAsia="Times New Roman" w:hAnsi="Times New Roman" w:cs="Times New Roman"/>
          <w:i/>
          <w:iCs/>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sidR="00FF6097">
        <w:rPr>
          <w:rFonts w:ascii="Times New Roman" w:eastAsia="Times New Roman" w:hAnsi="Times New Roman" w:cs="Times New Roman"/>
          <w:i/>
          <w:iCs/>
          <w:sz w:val="20"/>
          <w:szCs w:val="20"/>
        </w:rPr>
        <w:t>Id.</w:t>
      </w:r>
    </w:p>
  </w:footnote>
  <w:footnote w:id="17">
    <w:p w:rsidR="00344876" w:rsidRPr="00CE3C47" w:rsidP="00B47D51" w14:paraId="62960037" w14:textId="77777777">
      <w:pPr>
        <w:spacing w:after="120" w:line="240" w:lineRule="auto"/>
        <w:rPr>
          <w:rFonts w:ascii="Times New Roman" w:eastAsia="Times New Roman" w:hAnsi="Times New Roman" w:cs="Times New Roman"/>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sidR="00FF6097">
        <w:rPr>
          <w:rFonts w:ascii="Times New Roman" w:eastAsia="Times New Roman" w:hAnsi="Times New Roman" w:cs="Times New Roman"/>
          <w:i/>
          <w:iCs/>
          <w:sz w:val="20"/>
          <w:szCs w:val="20"/>
        </w:rPr>
        <w:t>Id.</w:t>
      </w:r>
      <w:r w:rsidRPr="00CE3C47">
        <w:rPr>
          <w:rFonts w:ascii="Times New Roman" w:eastAsia="Times New Roman" w:hAnsi="Times New Roman" w:cs="Times New Roman"/>
          <w:sz w:val="20"/>
          <w:szCs w:val="20"/>
        </w:rPr>
        <w:t xml:space="preserve"> at 13. </w:t>
      </w:r>
    </w:p>
  </w:footnote>
  <w:footnote w:id="18">
    <w:p w:rsidR="00997DCA" w:rsidRPr="00CE3C47" w:rsidP="00B47D51" w14:paraId="2F931B45" w14:textId="77777777">
      <w:pPr>
        <w:spacing w:after="120" w:line="240" w:lineRule="auto"/>
        <w:rPr>
          <w:rFonts w:ascii="Times New Roman" w:eastAsia="Times New Roman" w:hAnsi="Times New Roman" w:cs="Times New Roman"/>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Pr>
          <w:rFonts w:ascii="Times New Roman" w:eastAsia="Times New Roman" w:hAnsi="Times New Roman" w:cs="Times New Roman"/>
          <w:i/>
          <w:sz w:val="20"/>
          <w:szCs w:val="20"/>
        </w:rPr>
        <w:t>Id</w:t>
      </w:r>
      <w:r w:rsidRPr="00CE3C47">
        <w:rPr>
          <w:rFonts w:ascii="Times New Roman" w:eastAsia="Times New Roman" w:hAnsi="Times New Roman" w:cs="Times New Roman"/>
          <w:sz w:val="20"/>
          <w:szCs w:val="20"/>
        </w:rPr>
        <w:t>. at 8.</w:t>
      </w:r>
    </w:p>
  </w:footnote>
  <w:footnote w:id="19">
    <w:p w:rsidR="00997DCA" w:rsidRPr="00CE3C47" w:rsidP="00B47D51" w14:paraId="3989EA7A" w14:textId="77777777">
      <w:pPr>
        <w:spacing w:after="120" w:line="240" w:lineRule="auto"/>
        <w:rPr>
          <w:rFonts w:ascii="Times New Roman" w:eastAsia="Times New Roman" w:hAnsi="Times New Roman" w:cs="Times New Roman"/>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Pr>
          <w:rFonts w:ascii="Times New Roman" w:eastAsia="Times New Roman" w:hAnsi="Times New Roman" w:cs="Times New Roman"/>
          <w:i/>
          <w:sz w:val="20"/>
          <w:szCs w:val="20"/>
        </w:rPr>
        <w:t>Id</w:t>
      </w:r>
      <w:r w:rsidRPr="00CE3C47">
        <w:rPr>
          <w:rFonts w:ascii="Times New Roman" w:eastAsia="Times New Roman" w:hAnsi="Times New Roman" w:cs="Times New Roman"/>
          <w:sz w:val="20"/>
          <w:szCs w:val="20"/>
        </w:rPr>
        <w:t>. at 10.</w:t>
      </w:r>
    </w:p>
  </w:footnote>
  <w:footnote w:id="20">
    <w:p w:rsidR="00C930BC" w:rsidRPr="00CE3C47" w:rsidP="00B47D51" w14:paraId="7AF51DF0"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Staff Ex. 6, Duke Audit Report at 40-41 (Dec. 17, 2021).</w:t>
      </w:r>
      <w:r w:rsidRPr="00CE3C47" w:rsidR="00FC50DF">
        <w:rPr>
          <w:rFonts w:ascii="Times New Roman" w:hAnsi="Times New Roman" w:cs="Times New Roman"/>
          <w:lang w:val="en-US"/>
        </w:rPr>
        <w:t xml:space="preserve"> </w:t>
      </w:r>
      <w:r w:rsidRPr="00CE3C47" w:rsidR="00D65758">
        <w:rPr>
          <w:rFonts w:ascii="Times New Roman" w:hAnsi="Times New Roman" w:cs="Times New Roman"/>
          <w:i/>
          <w:iCs/>
          <w:lang w:val="en-US"/>
        </w:rPr>
        <w:t xml:space="preserve">See also, </w:t>
      </w:r>
      <w:r w:rsidRPr="00CE3C47" w:rsidR="00D65758">
        <w:rPr>
          <w:rFonts w:ascii="Times New Roman" w:hAnsi="Times New Roman" w:cs="Times New Roman"/>
          <w:lang w:val="en-US"/>
        </w:rPr>
        <w:t>DP&amp;L Ex. 1, Direct Testimony of David J. Crusey, Ex</w:t>
      </w:r>
      <w:r w:rsidRPr="00CE3C47" w:rsidR="0065641D">
        <w:rPr>
          <w:rFonts w:ascii="Times New Roman" w:hAnsi="Times New Roman" w:cs="Times New Roman"/>
          <w:lang w:val="en-US"/>
        </w:rPr>
        <w:t>.</w:t>
      </w:r>
      <w:r w:rsidRPr="00CE3C47" w:rsidR="00D65758">
        <w:rPr>
          <w:rFonts w:ascii="Times New Roman" w:hAnsi="Times New Roman" w:cs="Times New Roman"/>
          <w:lang w:val="en-US"/>
        </w:rPr>
        <w:t xml:space="preserve"> 1</w:t>
      </w:r>
      <w:r w:rsidRPr="00CE3C47" w:rsidR="0069094C">
        <w:rPr>
          <w:rFonts w:ascii="Times New Roman" w:hAnsi="Times New Roman" w:cs="Times New Roman"/>
          <w:lang w:val="en-US"/>
        </w:rPr>
        <w:t>,</w:t>
      </w:r>
      <w:r w:rsidRPr="00CE3C47" w:rsidR="00D65758">
        <w:rPr>
          <w:rFonts w:ascii="Times New Roman" w:hAnsi="Times New Roman" w:cs="Times New Roman"/>
          <w:lang w:val="en-US"/>
        </w:rPr>
        <w:t xml:space="preserve"> Amended and Restated Inter-Company Power Agreement dated as of Sept</w:t>
      </w:r>
      <w:r w:rsidRPr="00CE3C47" w:rsidR="00C5656A">
        <w:rPr>
          <w:rFonts w:ascii="Times New Roman" w:hAnsi="Times New Roman" w:cs="Times New Roman"/>
          <w:lang w:val="en-US"/>
        </w:rPr>
        <w:t>.</w:t>
      </w:r>
      <w:r w:rsidRPr="00CE3C47" w:rsidR="00D65758">
        <w:rPr>
          <w:rFonts w:ascii="Times New Roman" w:hAnsi="Times New Roman" w:cs="Times New Roman"/>
          <w:lang w:val="en-US"/>
        </w:rPr>
        <w:t xml:space="preserve"> 10, 2010 (Oct. 3, 2023).</w:t>
      </w:r>
    </w:p>
  </w:footnote>
  <w:footnote w:id="21">
    <w:p w:rsidR="005E1A4D" w:rsidRPr="00CE3C47" w:rsidP="00B47D51" w14:paraId="288A754D"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Staff Ex. 6, Duke Audit Report at 42 (Dec. 17, 2021).</w:t>
      </w:r>
    </w:p>
  </w:footnote>
  <w:footnote w:id="22">
    <w:p w:rsidR="009904F7" w:rsidRPr="00CE3C47" w:rsidP="00B47D51" w14:paraId="62C2E137"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R.C. 4928.148</w:t>
      </w:r>
      <w:r w:rsidRPr="00CE3C47" w:rsidR="005B1CA7">
        <w:rPr>
          <w:rFonts w:ascii="Times New Roman" w:hAnsi="Times New Roman" w:cs="Times New Roman"/>
          <w:lang w:val="en-US"/>
        </w:rPr>
        <w:t>.</w:t>
      </w:r>
    </w:p>
  </w:footnote>
  <w:footnote w:id="23">
    <w:p w:rsidR="00E9200D" w:rsidRPr="00CE3C47" w:rsidP="00B47D51" w14:paraId="6946D771"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5B1CA7">
        <w:rPr>
          <w:rFonts w:ascii="Times New Roman" w:hAnsi="Times New Roman" w:cs="Times New Roman"/>
          <w:i/>
          <w:iCs/>
          <w:lang w:val="en-US"/>
        </w:rPr>
        <w:t>Id.</w:t>
      </w:r>
    </w:p>
  </w:footnote>
  <w:footnote w:id="24">
    <w:p w:rsidR="00E9200D" w:rsidRPr="00CE3C47" w:rsidP="00B47D51" w14:paraId="5DC3E96F"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R.C. 4928.01(</w:t>
      </w:r>
      <w:r w:rsidRPr="00CE3C47" w:rsidR="005B1CA7">
        <w:rPr>
          <w:rFonts w:ascii="Times New Roman" w:hAnsi="Times New Roman" w:cs="Times New Roman"/>
          <w:lang w:val="en-US"/>
        </w:rPr>
        <w:t>A</w:t>
      </w:r>
      <w:r w:rsidRPr="00CE3C47">
        <w:rPr>
          <w:rFonts w:ascii="Times New Roman" w:hAnsi="Times New Roman" w:cs="Times New Roman"/>
          <w:lang w:val="en-US"/>
        </w:rPr>
        <w:t>)(42)</w:t>
      </w:r>
      <w:r w:rsidRPr="00CE3C47" w:rsidR="003F3CB7">
        <w:rPr>
          <w:rFonts w:ascii="Times New Roman" w:hAnsi="Times New Roman" w:cs="Times New Roman"/>
          <w:lang w:val="en-US"/>
        </w:rPr>
        <w:t>.</w:t>
      </w:r>
    </w:p>
  </w:footnote>
  <w:footnote w:id="25">
    <w:p w:rsidR="00642F89" w:rsidRPr="00CE3C47" w:rsidP="00B47D51" w14:paraId="3FDF29EE"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R.C. 4928.148</w:t>
      </w:r>
      <w:r w:rsidRPr="00CE3C47" w:rsidR="003F3CB7">
        <w:rPr>
          <w:rFonts w:ascii="Times New Roman" w:hAnsi="Times New Roman" w:cs="Times New Roman"/>
          <w:lang w:val="en-US"/>
        </w:rPr>
        <w:t>.</w:t>
      </w:r>
    </w:p>
  </w:footnote>
  <w:footnote w:id="26">
    <w:p w:rsidR="00A46B99" w:rsidRPr="00CE3C47" w:rsidP="00B47D51" w14:paraId="6F586ACC"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5B1CA7">
        <w:rPr>
          <w:rFonts w:ascii="Times New Roman" w:hAnsi="Times New Roman" w:cs="Times New Roman"/>
        </w:rPr>
        <w:t xml:space="preserve">Staff Ex. 6, </w:t>
      </w:r>
      <w:r w:rsidRPr="00CE3C47">
        <w:rPr>
          <w:rFonts w:ascii="Times New Roman" w:hAnsi="Times New Roman" w:cs="Times New Roman"/>
        </w:rPr>
        <w:t>Duke Audit Report</w:t>
      </w:r>
      <w:r w:rsidRPr="00CE3C47" w:rsidR="005B1CA7">
        <w:rPr>
          <w:rFonts w:ascii="Times New Roman" w:hAnsi="Times New Roman" w:cs="Times New Roman"/>
        </w:rPr>
        <w:t xml:space="preserve"> (Dec. 17, 2021).</w:t>
      </w:r>
      <w:r w:rsidRPr="00CE3C47" w:rsidR="00FC50DF">
        <w:rPr>
          <w:rFonts w:ascii="Times New Roman" w:hAnsi="Times New Roman" w:cs="Times New Roman"/>
        </w:rPr>
        <w:t xml:space="preserve"> </w:t>
      </w:r>
      <w:r w:rsidRPr="00CE3C47" w:rsidR="005B1CA7">
        <w:rPr>
          <w:rFonts w:ascii="Times New Roman" w:hAnsi="Times New Roman" w:cs="Times New Roman"/>
          <w:i/>
          <w:iCs/>
        </w:rPr>
        <w:t xml:space="preserve">See also, </w:t>
      </w:r>
      <w:r w:rsidRPr="00CE3C47" w:rsidR="005B1CA7">
        <w:rPr>
          <w:rFonts w:ascii="Times New Roman" w:hAnsi="Times New Roman" w:cs="Times New Roman"/>
        </w:rPr>
        <w:t>Duke Motion for Protective Order</w:t>
      </w:r>
      <w:r w:rsidRPr="00CE3C47" w:rsidR="007045CE">
        <w:rPr>
          <w:rFonts w:ascii="Times New Roman" w:hAnsi="Times New Roman" w:cs="Times New Roman"/>
        </w:rPr>
        <w:t xml:space="preserve">, </w:t>
      </w:r>
      <w:r w:rsidRPr="00CE3C47">
        <w:rPr>
          <w:rFonts w:ascii="Times New Roman" w:hAnsi="Times New Roman" w:cs="Times New Roman"/>
        </w:rPr>
        <w:t>Attachment 1 at p. 26, Figure 9, column K</w:t>
      </w:r>
      <w:r w:rsidRPr="00CE3C47" w:rsidR="007045CE">
        <w:rPr>
          <w:rFonts w:ascii="Times New Roman" w:hAnsi="Times New Roman" w:cs="Times New Roman"/>
        </w:rPr>
        <w:t xml:space="preserve"> (Jan. 4, 2024)</w:t>
      </w:r>
      <w:r w:rsidRPr="00CE3C47">
        <w:rPr>
          <w:rFonts w:ascii="Times New Roman" w:hAnsi="Times New Roman" w:cs="Times New Roman"/>
        </w:rPr>
        <w:t xml:space="preserve">. </w:t>
      </w:r>
      <w:r w:rsidRPr="00CE3C47">
        <w:rPr>
          <w:rFonts w:ascii="Times New Roman" w:hAnsi="Times New Roman" w:cs="Times New Roman"/>
          <w:i/>
          <w:iCs/>
        </w:rPr>
        <w:t xml:space="preserve">See also </w:t>
      </w:r>
      <w:r w:rsidRPr="00CE3C47">
        <w:rPr>
          <w:rFonts w:ascii="Times New Roman" w:hAnsi="Times New Roman" w:cs="Times New Roman"/>
        </w:rPr>
        <w:t>Hearing Transcript, Vol. I</w:t>
      </w:r>
      <w:r w:rsidRPr="00CE3C47" w:rsidR="00C17A90">
        <w:rPr>
          <w:rFonts w:ascii="Times New Roman" w:hAnsi="Times New Roman" w:cs="Times New Roman"/>
        </w:rPr>
        <w:t xml:space="preserve">, pp. 77-78 </w:t>
      </w:r>
      <w:r w:rsidRPr="00CE3C47">
        <w:rPr>
          <w:rFonts w:ascii="Times New Roman" w:hAnsi="Times New Roman" w:cs="Times New Roman"/>
        </w:rPr>
        <w:t>(Nov. 14, 2023).</w:t>
      </w:r>
    </w:p>
  </w:footnote>
  <w:footnote w:id="27">
    <w:p w:rsidR="00A46B99" w:rsidRPr="00CE3C47" w:rsidP="00B47D51" w14:paraId="2E05FE0F"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5B1CA7">
        <w:rPr>
          <w:rFonts w:ascii="Times New Roman" w:hAnsi="Times New Roman" w:cs="Times New Roman"/>
        </w:rPr>
        <w:t xml:space="preserve">Staff Ex. 2, </w:t>
      </w:r>
      <w:r w:rsidRPr="00CE3C47">
        <w:rPr>
          <w:rFonts w:ascii="Times New Roman" w:hAnsi="Times New Roman" w:cs="Times New Roman"/>
        </w:rPr>
        <w:t>AES Ohio Audit Report</w:t>
      </w:r>
      <w:r w:rsidRPr="00CE3C47" w:rsidR="005B1CA7">
        <w:rPr>
          <w:rFonts w:ascii="Times New Roman" w:hAnsi="Times New Roman" w:cs="Times New Roman"/>
        </w:rPr>
        <w:t xml:space="preserve"> (Dec. 17, 2021).</w:t>
      </w:r>
      <w:r w:rsidRPr="00CE3C47" w:rsidR="00FC50DF">
        <w:rPr>
          <w:rFonts w:ascii="Times New Roman" w:hAnsi="Times New Roman" w:cs="Times New Roman"/>
        </w:rPr>
        <w:t xml:space="preserve"> </w:t>
      </w:r>
      <w:r w:rsidRPr="00CE3C47" w:rsidR="005B1CA7">
        <w:rPr>
          <w:rFonts w:ascii="Times New Roman" w:hAnsi="Times New Roman" w:cs="Times New Roman"/>
          <w:i/>
          <w:iCs/>
        </w:rPr>
        <w:t xml:space="preserve">See also </w:t>
      </w:r>
      <w:r w:rsidRPr="00CE3C47" w:rsidR="005B1CA7">
        <w:rPr>
          <w:rFonts w:ascii="Times New Roman" w:hAnsi="Times New Roman" w:cs="Times New Roman"/>
        </w:rPr>
        <w:t>DP&amp;L Motion for Protective Order</w:t>
      </w:r>
      <w:r w:rsidRPr="00CE3C47" w:rsidR="004A1727">
        <w:rPr>
          <w:rFonts w:ascii="Times New Roman" w:hAnsi="Times New Roman" w:cs="Times New Roman"/>
        </w:rPr>
        <w:t xml:space="preserve">, </w:t>
      </w:r>
      <w:r w:rsidRPr="00CE3C47">
        <w:rPr>
          <w:rFonts w:ascii="Times New Roman" w:hAnsi="Times New Roman" w:cs="Times New Roman"/>
        </w:rPr>
        <w:t xml:space="preserve">Ex. 1 at p. 25, Figure 9, column labeled </w:t>
      </w:r>
      <w:r w:rsidRPr="00CE3C47" w:rsidR="001977EB">
        <w:rPr>
          <w:rFonts w:ascii="Times New Roman" w:hAnsi="Times New Roman" w:cs="Times New Roman"/>
        </w:rPr>
        <w:t>“</w:t>
      </w:r>
      <w:r w:rsidRPr="00CE3C47">
        <w:rPr>
          <w:rFonts w:ascii="Times New Roman" w:hAnsi="Times New Roman" w:cs="Times New Roman"/>
        </w:rPr>
        <w:t>Rider Revenue LGR</w:t>
      </w:r>
      <w:r w:rsidRPr="00CE3C47" w:rsidR="001977EB">
        <w:rPr>
          <w:rFonts w:ascii="Times New Roman" w:hAnsi="Times New Roman" w:cs="Times New Roman"/>
        </w:rPr>
        <w:t>”</w:t>
      </w:r>
      <w:r w:rsidRPr="00CE3C47" w:rsidR="004A1727">
        <w:rPr>
          <w:rFonts w:ascii="Times New Roman" w:hAnsi="Times New Roman" w:cs="Times New Roman"/>
        </w:rPr>
        <w:t xml:space="preserve"> (Jan. 4, 2024).</w:t>
      </w:r>
      <w:r w:rsidRPr="00CE3C47">
        <w:rPr>
          <w:rFonts w:ascii="Times New Roman" w:hAnsi="Times New Roman" w:cs="Times New Roman"/>
        </w:rPr>
        <w:t xml:space="preserve"> </w:t>
      </w:r>
      <w:r w:rsidRPr="00CE3C47">
        <w:rPr>
          <w:rFonts w:ascii="Times New Roman" w:hAnsi="Times New Roman" w:cs="Times New Roman"/>
          <w:i/>
          <w:iCs/>
        </w:rPr>
        <w:t>See also</w:t>
      </w:r>
      <w:r w:rsidRPr="00CE3C47" w:rsidR="005B1CA7">
        <w:rPr>
          <w:rFonts w:ascii="Times New Roman" w:hAnsi="Times New Roman" w:cs="Times New Roman"/>
          <w:i/>
          <w:iCs/>
        </w:rPr>
        <w:t>,</w:t>
      </w:r>
      <w:r w:rsidRPr="00CE3C47">
        <w:rPr>
          <w:rFonts w:ascii="Times New Roman" w:hAnsi="Times New Roman" w:cs="Times New Roman"/>
          <w:i/>
          <w:iCs/>
        </w:rPr>
        <w:t xml:space="preserve"> </w:t>
      </w:r>
      <w:r w:rsidRPr="00CE3C47">
        <w:rPr>
          <w:rFonts w:ascii="Times New Roman" w:hAnsi="Times New Roman" w:cs="Times New Roman"/>
        </w:rPr>
        <w:t>Hearing Transcript, Vol. I</w:t>
      </w:r>
      <w:r w:rsidRPr="00CE3C47" w:rsidR="00C17A90">
        <w:rPr>
          <w:rFonts w:ascii="Times New Roman" w:hAnsi="Times New Roman" w:cs="Times New Roman"/>
        </w:rPr>
        <w:t>,</w:t>
      </w:r>
      <w:r w:rsidRPr="00CE3C47" w:rsidR="00FC50DF">
        <w:rPr>
          <w:rFonts w:ascii="Times New Roman" w:hAnsi="Times New Roman" w:cs="Times New Roman"/>
        </w:rPr>
        <w:t xml:space="preserve"> </w:t>
      </w:r>
      <w:r w:rsidRPr="00CE3C47" w:rsidR="00C17A90">
        <w:rPr>
          <w:rFonts w:ascii="Times New Roman" w:hAnsi="Times New Roman" w:cs="Times New Roman"/>
        </w:rPr>
        <w:t>pp. 76-77</w:t>
      </w:r>
      <w:r w:rsidRPr="00CE3C47">
        <w:rPr>
          <w:rFonts w:ascii="Times New Roman" w:hAnsi="Times New Roman" w:cs="Times New Roman"/>
        </w:rPr>
        <w:t xml:space="preserve"> (Nov. 14, 2023)</w:t>
      </w:r>
      <w:r w:rsidRPr="00CE3C47" w:rsidR="00C17A90">
        <w:rPr>
          <w:rFonts w:ascii="Times New Roman" w:hAnsi="Times New Roman" w:cs="Times New Roman"/>
        </w:rPr>
        <w:t>.</w:t>
      </w:r>
    </w:p>
  </w:footnote>
  <w:footnote w:id="28">
    <w:p w:rsidR="00A46B99" w:rsidRPr="00CE3C47" w:rsidP="00B47D51" w14:paraId="36F0594B"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5B1CA7">
        <w:rPr>
          <w:rFonts w:ascii="Times New Roman" w:hAnsi="Times New Roman" w:cs="Times New Roman"/>
        </w:rPr>
        <w:t xml:space="preserve">Staff Ex. 4, </w:t>
      </w:r>
      <w:r w:rsidRPr="00CE3C47">
        <w:rPr>
          <w:rFonts w:ascii="Times New Roman" w:hAnsi="Times New Roman" w:cs="Times New Roman"/>
        </w:rPr>
        <w:t>AEP Audit Report</w:t>
      </w:r>
      <w:r w:rsidRPr="00CE3C47" w:rsidR="005B1CA7">
        <w:rPr>
          <w:rFonts w:ascii="Times New Roman" w:hAnsi="Times New Roman" w:cs="Times New Roman"/>
        </w:rPr>
        <w:t xml:space="preserve"> (Dec. 17, 2021).</w:t>
      </w:r>
      <w:r w:rsidRPr="00CE3C47" w:rsidR="00FC50DF">
        <w:rPr>
          <w:rFonts w:ascii="Times New Roman" w:hAnsi="Times New Roman" w:cs="Times New Roman"/>
        </w:rPr>
        <w:t xml:space="preserve"> </w:t>
      </w:r>
      <w:r w:rsidRPr="00CE3C47" w:rsidR="005B1CA7">
        <w:rPr>
          <w:rFonts w:ascii="Times New Roman" w:hAnsi="Times New Roman" w:cs="Times New Roman"/>
          <w:i/>
          <w:iCs/>
        </w:rPr>
        <w:t xml:space="preserve">See also </w:t>
      </w:r>
      <w:r w:rsidRPr="00CE3C47" w:rsidR="005B1CA7">
        <w:rPr>
          <w:rFonts w:ascii="Times New Roman" w:hAnsi="Times New Roman" w:cs="Times New Roman"/>
        </w:rPr>
        <w:t>AEP Motion for Protective Order</w:t>
      </w:r>
      <w:r w:rsidRPr="00CE3C47" w:rsidR="001935D2">
        <w:rPr>
          <w:rFonts w:ascii="Times New Roman" w:hAnsi="Times New Roman" w:cs="Times New Roman"/>
        </w:rPr>
        <w:t xml:space="preserve">, </w:t>
      </w:r>
      <w:r w:rsidRPr="00CE3C47">
        <w:rPr>
          <w:rFonts w:ascii="Times New Roman" w:hAnsi="Times New Roman" w:cs="Times New Roman"/>
        </w:rPr>
        <w:t>Attachment A at p</w:t>
      </w:r>
      <w:r w:rsidRPr="00CE3C47" w:rsidR="001935D2">
        <w:rPr>
          <w:rFonts w:ascii="Times New Roman" w:hAnsi="Times New Roman" w:cs="Times New Roman"/>
        </w:rPr>
        <w:t>p</w:t>
      </w:r>
      <w:r w:rsidRPr="00CE3C47">
        <w:rPr>
          <w:rFonts w:ascii="Times New Roman" w:hAnsi="Times New Roman" w:cs="Times New Roman"/>
        </w:rPr>
        <w:t>. 28-29, Figure 9, column H</w:t>
      </w:r>
      <w:r w:rsidRPr="00CE3C47" w:rsidR="001935D2">
        <w:rPr>
          <w:rFonts w:ascii="Times New Roman" w:hAnsi="Times New Roman" w:cs="Times New Roman"/>
        </w:rPr>
        <w:t xml:space="preserve"> (Jan. 4, 2024)</w:t>
      </w:r>
      <w:r w:rsidRPr="00CE3C47">
        <w:rPr>
          <w:rFonts w:ascii="Times New Roman" w:hAnsi="Times New Roman" w:cs="Times New Roman"/>
        </w:rPr>
        <w:t xml:space="preserve">. </w:t>
      </w:r>
      <w:r w:rsidRPr="00CE3C47">
        <w:rPr>
          <w:rFonts w:ascii="Times New Roman" w:hAnsi="Times New Roman" w:cs="Times New Roman"/>
          <w:i/>
          <w:iCs/>
        </w:rPr>
        <w:t xml:space="preserve">See also </w:t>
      </w:r>
      <w:r w:rsidRPr="00CE3C47">
        <w:rPr>
          <w:rFonts w:ascii="Times New Roman" w:hAnsi="Times New Roman" w:cs="Times New Roman"/>
        </w:rPr>
        <w:t>Hearing Transcript, Vol. I</w:t>
      </w:r>
      <w:r w:rsidRPr="00CE3C47" w:rsidR="00C17A90">
        <w:rPr>
          <w:rFonts w:ascii="Times New Roman" w:hAnsi="Times New Roman" w:cs="Times New Roman"/>
        </w:rPr>
        <w:t xml:space="preserve">, p. 65 </w:t>
      </w:r>
      <w:r w:rsidRPr="00CE3C47">
        <w:rPr>
          <w:rFonts w:ascii="Times New Roman" w:hAnsi="Times New Roman" w:cs="Times New Roman"/>
        </w:rPr>
        <w:t>(Nov. 14, 2023)</w:t>
      </w:r>
      <w:r w:rsidRPr="00CE3C47" w:rsidR="00C17A90">
        <w:rPr>
          <w:rFonts w:ascii="Times New Roman" w:hAnsi="Times New Roman" w:cs="Times New Roman"/>
        </w:rPr>
        <w:t>.</w:t>
      </w:r>
    </w:p>
  </w:footnote>
  <w:footnote w:id="29">
    <w:p w:rsidR="00A46B99" w:rsidRPr="00CE3C47" w:rsidP="00B47D51" w14:paraId="3D9E75E7"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In the Matter of the Proper Procedures and Process for the Commission</w:t>
      </w:r>
      <w:r w:rsidRPr="00CE3C47" w:rsidR="001977EB">
        <w:rPr>
          <w:rFonts w:ascii="Times New Roman" w:hAnsi="Times New Roman" w:cs="Times New Roman"/>
          <w:i/>
          <w:iCs/>
        </w:rPr>
        <w:t>’</w:t>
      </w:r>
      <w:r w:rsidRPr="00CE3C47">
        <w:rPr>
          <w:rFonts w:ascii="Times New Roman" w:hAnsi="Times New Roman" w:cs="Times New Roman"/>
          <w:i/>
          <w:iCs/>
        </w:rPr>
        <w:t xml:space="preserve">s Operations and Proceedings During the Declared State of Emergency and Related Matters, </w:t>
      </w:r>
      <w:r w:rsidRPr="00CE3C47">
        <w:rPr>
          <w:rFonts w:ascii="Times New Roman" w:hAnsi="Times New Roman" w:cs="Times New Roman"/>
        </w:rPr>
        <w:t>Case No. 20-591-AU-UNC, Entry at ¶ 5 (Mar</w:t>
      </w:r>
      <w:r w:rsidRPr="00CE3C47" w:rsidR="006A46E3">
        <w:rPr>
          <w:rFonts w:ascii="Times New Roman" w:hAnsi="Times New Roman" w:cs="Times New Roman"/>
        </w:rPr>
        <w:t>ch</w:t>
      </w:r>
      <w:r w:rsidRPr="00CE3C47">
        <w:rPr>
          <w:rFonts w:ascii="Times New Roman" w:hAnsi="Times New Roman" w:cs="Times New Roman"/>
        </w:rPr>
        <w:t xml:space="preserve"> 12, 2020).</w:t>
      </w:r>
    </w:p>
  </w:footnote>
  <w:footnote w:id="30">
    <w:p w:rsidR="005B1CBF" w:rsidRPr="00CE3C47" w:rsidP="00B47D51" w14:paraId="031DE8BA"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R.C. 4928.148(A)(1).</w:t>
      </w:r>
    </w:p>
  </w:footnote>
  <w:footnote w:id="31">
    <w:p w:rsidR="00E10171" w:rsidRPr="00CE3C47" w:rsidP="00B47D51" w14:paraId="2D75D7D3"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734C67">
        <w:rPr>
          <w:rFonts w:ascii="Times New Roman" w:eastAsia="Times New Roman" w:hAnsi="Times New Roman" w:cs="Times New Roman"/>
        </w:rPr>
        <w:t>R.C. 4928.01(</w:t>
      </w:r>
      <w:r w:rsidRPr="00CE3C47" w:rsidR="00394792">
        <w:rPr>
          <w:rFonts w:ascii="Times New Roman" w:eastAsia="Times New Roman" w:hAnsi="Times New Roman" w:cs="Times New Roman"/>
        </w:rPr>
        <w:t>A</w:t>
      </w:r>
      <w:r w:rsidRPr="00CE3C47" w:rsidR="00734C67">
        <w:rPr>
          <w:rFonts w:ascii="Times New Roman" w:eastAsia="Times New Roman" w:hAnsi="Times New Roman" w:cs="Times New Roman"/>
        </w:rPr>
        <w:t>)(42).</w:t>
      </w:r>
    </w:p>
  </w:footnote>
  <w:footnote w:id="32">
    <w:p w:rsidR="00734C67" w:rsidRPr="00CE3C47" w:rsidP="00B47D51" w14:paraId="1CE59299"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eastAsia="Times New Roman" w:hAnsi="Times New Roman" w:cs="Times New Roman"/>
        </w:rPr>
        <w:t>Black</w:t>
      </w:r>
      <w:r w:rsidRPr="00CE3C47" w:rsidR="001977EB">
        <w:rPr>
          <w:rFonts w:ascii="Times New Roman" w:eastAsia="Times New Roman" w:hAnsi="Times New Roman" w:cs="Times New Roman"/>
        </w:rPr>
        <w:t>’</w:t>
      </w:r>
      <w:r w:rsidRPr="00CE3C47">
        <w:rPr>
          <w:rFonts w:ascii="Times New Roman" w:eastAsia="Times New Roman" w:hAnsi="Times New Roman" w:cs="Times New Roman"/>
        </w:rPr>
        <w:t>s Law Dictionary Online.</w:t>
      </w:r>
    </w:p>
  </w:footnote>
  <w:footnote w:id="33">
    <w:p w:rsidR="009E3721" w:rsidRPr="00CE3C47" w:rsidP="00B47D51" w14:paraId="2E35B300"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Cincinnati v. Pub. Util. Comm</w:t>
      </w:r>
      <w:r w:rsidRPr="00CE3C47">
        <w:rPr>
          <w:rFonts w:ascii="Times New Roman" w:hAnsi="Times New Roman" w:cs="Times New Roman"/>
        </w:rPr>
        <w:t>., 67 Ohio St.3d 523, 530, 620 N.E.2d 826, 830 (1993).</w:t>
      </w:r>
    </w:p>
  </w:footnote>
  <w:footnote w:id="34">
    <w:p w:rsidR="00433B23" w:rsidRPr="00CE3C47" w:rsidP="00B47D51" w14:paraId="5D20E269"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In the Matter of the Application Seeking Approval of Ohio Power Company</w:t>
      </w:r>
      <w:r w:rsidRPr="00CE3C47" w:rsidR="001977EB">
        <w:rPr>
          <w:rFonts w:ascii="Times New Roman" w:hAnsi="Times New Roman" w:cs="Times New Roman"/>
          <w:i/>
          <w:iCs/>
        </w:rPr>
        <w:t>’</w:t>
      </w:r>
      <w:r w:rsidRPr="00CE3C47">
        <w:rPr>
          <w:rFonts w:ascii="Times New Roman" w:hAnsi="Times New Roman" w:cs="Times New Roman"/>
          <w:i/>
          <w:iCs/>
        </w:rPr>
        <w:t>s Proposal to Enter into an Affiliate Power Purchase Agreement for Inclusion in the Power Purchase Agreement Rider</w:t>
      </w:r>
      <w:r w:rsidRPr="00CE3C47">
        <w:rPr>
          <w:rFonts w:ascii="Times New Roman" w:hAnsi="Times New Roman" w:cs="Times New Roman"/>
        </w:rPr>
        <w:t>, Case No. 14-1693-EL-RDR, Opinion and Order (Mar</w:t>
      </w:r>
      <w:r w:rsidRPr="00CE3C47" w:rsidR="001F7EF9">
        <w:rPr>
          <w:rFonts w:ascii="Times New Roman" w:hAnsi="Times New Roman" w:cs="Times New Roman"/>
        </w:rPr>
        <w:t>ch</w:t>
      </w:r>
      <w:r w:rsidRPr="00CE3C47">
        <w:rPr>
          <w:rFonts w:ascii="Times New Roman" w:hAnsi="Times New Roman" w:cs="Times New Roman"/>
        </w:rPr>
        <w:t xml:space="preserve"> 31, 2016).</w:t>
      </w:r>
      <w:r w:rsidRPr="00CE3C47" w:rsidR="00FC50DF">
        <w:rPr>
          <w:rFonts w:ascii="Times New Roman" w:hAnsi="Times New Roman" w:cs="Times New Roman"/>
        </w:rPr>
        <w:t xml:space="preserve"> </w:t>
      </w:r>
    </w:p>
  </w:footnote>
  <w:footnote w:id="35">
    <w:p w:rsidR="00734C67" w:rsidRPr="00CE3C47" w:rsidP="00B47D51" w14:paraId="519AC710"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sidR="00394792">
        <w:rPr>
          <w:rFonts w:ascii="Times New Roman" w:hAnsi="Times New Roman" w:cs="Times New Roman"/>
        </w:rPr>
        <w:t xml:space="preserve"> </w:t>
      </w:r>
      <w:r w:rsidRPr="00CE3C47" w:rsidR="00394792">
        <w:rPr>
          <w:rFonts w:ascii="Times New Roman" w:hAnsi="Times New Roman" w:cs="Times New Roman"/>
          <w:i/>
          <w:iCs/>
        </w:rPr>
        <w:t>Id.</w:t>
      </w:r>
      <w:r w:rsidRPr="00CE3C47">
        <w:rPr>
          <w:rFonts w:ascii="Times New Roman" w:hAnsi="Times New Roman" w:cs="Times New Roman"/>
        </w:rPr>
        <w:t>, Opinion and Order at 89 (Mar</w:t>
      </w:r>
      <w:r w:rsidRPr="00CE3C47" w:rsidR="001F7EF9">
        <w:rPr>
          <w:rFonts w:ascii="Times New Roman" w:hAnsi="Times New Roman" w:cs="Times New Roman"/>
        </w:rPr>
        <w:t>ch</w:t>
      </w:r>
      <w:r w:rsidRPr="00CE3C47">
        <w:rPr>
          <w:rFonts w:ascii="Times New Roman" w:hAnsi="Times New Roman" w:cs="Times New Roman"/>
        </w:rPr>
        <w:t xml:space="preserve"> 31, 2016).</w:t>
      </w:r>
    </w:p>
  </w:footnote>
  <w:footnote w:id="36">
    <w:p w:rsidR="00734C67" w:rsidRPr="00CE3C47" w:rsidP="00B47D51" w14:paraId="39D38063"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sidR="00394792">
        <w:rPr>
          <w:rFonts w:ascii="Times New Roman" w:hAnsi="Times New Roman" w:cs="Times New Roman"/>
        </w:rPr>
        <w:t xml:space="preserve"> </w:t>
      </w:r>
      <w:r w:rsidRPr="00CE3C47" w:rsidR="00394792">
        <w:rPr>
          <w:rFonts w:ascii="Times New Roman" w:hAnsi="Times New Roman" w:cs="Times New Roman"/>
          <w:i/>
          <w:iCs/>
        </w:rPr>
        <w:t>Id.</w:t>
      </w:r>
      <w:r w:rsidRPr="00CE3C47">
        <w:rPr>
          <w:rFonts w:ascii="Times New Roman" w:hAnsi="Times New Roman" w:cs="Times New Roman"/>
        </w:rPr>
        <w:t>, Opinion and Order at 86-89 (Mar</w:t>
      </w:r>
      <w:r w:rsidRPr="00CE3C47" w:rsidR="001F7EF9">
        <w:rPr>
          <w:rFonts w:ascii="Times New Roman" w:hAnsi="Times New Roman" w:cs="Times New Roman"/>
        </w:rPr>
        <w:t>ch</w:t>
      </w:r>
      <w:r w:rsidRPr="00CE3C47">
        <w:rPr>
          <w:rFonts w:ascii="Times New Roman" w:hAnsi="Times New Roman" w:cs="Times New Roman"/>
        </w:rPr>
        <w:t xml:space="preserve"> 31, 2016)</w:t>
      </w:r>
      <w:r w:rsidRPr="00CE3C47" w:rsidR="005B1CBF">
        <w:rPr>
          <w:rFonts w:ascii="Times New Roman" w:hAnsi="Times New Roman" w:cs="Times New Roman"/>
        </w:rPr>
        <w:t xml:space="preserve"> (emphasis added)</w:t>
      </w:r>
      <w:r w:rsidRPr="00CE3C47">
        <w:rPr>
          <w:rFonts w:ascii="Times New Roman" w:hAnsi="Times New Roman" w:cs="Times New Roman"/>
        </w:rPr>
        <w:t>.</w:t>
      </w:r>
      <w:r w:rsidRPr="00CE3C47" w:rsidR="00FC50DF">
        <w:rPr>
          <w:rFonts w:ascii="Times New Roman" w:hAnsi="Times New Roman" w:cs="Times New Roman"/>
        </w:rPr>
        <w:t xml:space="preserve"> </w:t>
      </w:r>
    </w:p>
  </w:footnote>
  <w:footnote w:id="37">
    <w:p w:rsidR="00734C67" w:rsidRPr="00CE3C47" w:rsidP="00B47D51" w14:paraId="01F12C10"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K. Duffy, </w:t>
      </w:r>
      <w:r w:rsidRPr="00CE3C47">
        <w:rPr>
          <w:rFonts w:ascii="Times New Roman" w:hAnsi="Times New Roman" w:cs="Times New Roman"/>
          <w:i/>
          <w:iCs/>
        </w:rPr>
        <w:t>Electric Fuel Adjustment Clause Review in Ohio</w:t>
      </w:r>
      <w:r w:rsidRPr="00CE3C47">
        <w:rPr>
          <w:rFonts w:ascii="Times New Roman" w:hAnsi="Times New Roman" w:cs="Times New Roman"/>
        </w:rPr>
        <w:t>, Akron Law Review, Vol. 12, Is</w:t>
      </w:r>
      <w:r w:rsidRPr="00CE3C47" w:rsidR="00394792">
        <w:rPr>
          <w:rFonts w:ascii="Times New Roman" w:hAnsi="Times New Roman" w:cs="Times New Roman"/>
        </w:rPr>
        <w:t>s</w:t>
      </w:r>
      <w:r w:rsidRPr="00CE3C47">
        <w:rPr>
          <w:rFonts w:ascii="Times New Roman" w:hAnsi="Times New Roman" w:cs="Times New Roman"/>
        </w:rPr>
        <w:t>. 3 at 478-479 (Jul</w:t>
      </w:r>
      <w:r w:rsidRPr="00CE3C47" w:rsidR="00312AED">
        <w:rPr>
          <w:rFonts w:ascii="Times New Roman" w:hAnsi="Times New Roman" w:cs="Times New Roman"/>
        </w:rPr>
        <w:t>y</w:t>
      </w:r>
      <w:r w:rsidRPr="00CE3C47">
        <w:rPr>
          <w:rFonts w:ascii="Times New Roman" w:hAnsi="Times New Roman" w:cs="Times New Roman"/>
        </w:rPr>
        <w:t xml:space="preserve"> 2015).</w:t>
      </w:r>
    </w:p>
  </w:footnote>
  <w:footnote w:id="38">
    <w:p w:rsidR="00727168" w:rsidRPr="00CE3C47" w:rsidP="00B47D51" w14:paraId="1C3409FA"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Entry, Request for Proposal (May 5, 2021).</w:t>
      </w:r>
    </w:p>
  </w:footnote>
  <w:footnote w:id="39">
    <w:p w:rsidR="00734C67" w:rsidRPr="00CE3C47" w:rsidP="00B47D51" w14:paraId="136F7D17"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5B1CBF">
        <w:rPr>
          <w:rFonts w:ascii="Times New Roman" w:hAnsi="Times New Roman" w:cs="Times New Roman"/>
          <w:i/>
          <w:iCs/>
        </w:rPr>
        <w:t>Id.</w:t>
      </w:r>
      <w:r w:rsidRPr="00CE3C47">
        <w:rPr>
          <w:rFonts w:ascii="Times New Roman" w:hAnsi="Times New Roman" w:cs="Times New Roman"/>
        </w:rPr>
        <w:t xml:space="preserve"> (emphasis added)</w:t>
      </w:r>
      <w:r w:rsidRPr="00CE3C47" w:rsidR="005B1CBF">
        <w:rPr>
          <w:rFonts w:ascii="Times New Roman" w:hAnsi="Times New Roman" w:cs="Times New Roman"/>
        </w:rPr>
        <w:t>.</w:t>
      </w:r>
    </w:p>
  </w:footnote>
  <w:footnote w:id="40">
    <w:p w:rsidR="00E23F8A" w:rsidRPr="00CE3C47" w:rsidP="00B47D51" w14:paraId="371E877D"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Id.</w:t>
      </w:r>
      <w:r w:rsidRPr="00CE3C47">
        <w:rPr>
          <w:rFonts w:ascii="Times New Roman" w:hAnsi="Times New Roman" w:cs="Times New Roman"/>
        </w:rPr>
        <w:t xml:space="preserve"> (emphasis added).</w:t>
      </w:r>
    </w:p>
  </w:footnote>
  <w:footnote w:id="41">
    <w:p w:rsidR="00670A23" w:rsidRPr="00CE3C47" w:rsidP="00B47D51" w14:paraId="29409FBA"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Hearing Transcript, Vol I</w:t>
      </w:r>
      <w:r w:rsidRPr="00CE3C47" w:rsidR="00C17A90">
        <w:rPr>
          <w:rFonts w:ascii="Times New Roman" w:hAnsi="Times New Roman" w:cs="Times New Roman"/>
        </w:rPr>
        <w:t>, p. 134</w:t>
      </w:r>
      <w:r w:rsidRPr="00CE3C47">
        <w:rPr>
          <w:rFonts w:ascii="Times New Roman" w:hAnsi="Times New Roman" w:cs="Times New Roman"/>
        </w:rPr>
        <w:t xml:space="preserve"> (Nov. 14, 2023)</w:t>
      </w:r>
      <w:r w:rsidRPr="00CE3C47" w:rsidR="00C17A90">
        <w:rPr>
          <w:rFonts w:ascii="Times New Roman" w:hAnsi="Times New Roman" w:cs="Times New Roman"/>
        </w:rPr>
        <w:t>.</w:t>
      </w:r>
    </w:p>
  </w:footnote>
  <w:footnote w:id="42">
    <w:p w:rsidR="00CD5111" w:rsidRPr="00CE3C47" w:rsidP="00B47D51" w14:paraId="2F3C69D4"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Hearing Transcript, Vol II</w:t>
      </w:r>
      <w:r w:rsidRPr="00CE3C47" w:rsidR="00C17A90">
        <w:rPr>
          <w:rFonts w:ascii="Times New Roman" w:hAnsi="Times New Roman" w:cs="Times New Roman"/>
        </w:rPr>
        <w:t>, p. 177</w:t>
      </w:r>
      <w:r w:rsidRPr="00CE3C47">
        <w:rPr>
          <w:rFonts w:ascii="Times New Roman" w:hAnsi="Times New Roman" w:cs="Times New Roman"/>
        </w:rPr>
        <w:t xml:space="preserve"> (Nov. 15, 2023)</w:t>
      </w:r>
      <w:r w:rsidRPr="00CE3C47" w:rsidR="00C17A90">
        <w:rPr>
          <w:rFonts w:ascii="Times New Roman" w:hAnsi="Times New Roman" w:cs="Times New Roman"/>
        </w:rPr>
        <w:t>.</w:t>
      </w:r>
    </w:p>
  </w:footnote>
  <w:footnote w:id="43">
    <w:p w:rsidR="008D3EE3" w:rsidRPr="00CE3C47" w:rsidP="00B47D51" w14:paraId="3BB4B9E4"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R.C. 4928.148(A)(1).</w:t>
      </w:r>
    </w:p>
  </w:footnote>
  <w:footnote w:id="44">
    <w:p w:rsidR="00E94775" w:rsidRPr="00CE3C47" w:rsidP="00B47D51" w14:paraId="1F4C2B6F"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Id.</w:t>
      </w:r>
    </w:p>
  </w:footnote>
  <w:footnote w:id="45">
    <w:p w:rsidR="00E94775" w:rsidRPr="00CE3C47" w:rsidP="00B47D51" w14:paraId="482AFF5D"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394792">
        <w:rPr>
          <w:rFonts w:ascii="Times New Roman" w:hAnsi="Times New Roman" w:cs="Times New Roman"/>
        </w:rPr>
        <w:t xml:space="preserve">Staff Ex. 6, </w:t>
      </w:r>
      <w:r w:rsidRPr="00CE3C47">
        <w:rPr>
          <w:rFonts w:ascii="Times New Roman" w:hAnsi="Times New Roman" w:cs="Times New Roman"/>
          <w:lang w:val="en-US"/>
        </w:rPr>
        <w:t>Duke Audit Report at 10 (Dec. 17, 2021) (footnotes omitted).</w:t>
      </w:r>
    </w:p>
  </w:footnote>
  <w:footnote w:id="46">
    <w:p w:rsidR="00D90C19" w:rsidRPr="00CE3C47" w:rsidP="00B47D51" w14:paraId="34937BE9"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 xml:space="preserve">Id. </w:t>
      </w:r>
      <w:r w:rsidRPr="00CE3C47">
        <w:rPr>
          <w:rFonts w:ascii="Times New Roman" w:hAnsi="Times New Roman" w:cs="Times New Roman"/>
          <w:lang w:val="en-US"/>
        </w:rPr>
        <w:t>at 40-41.</w:t>
      </w:r>
    </w:p>
  </w:footnote>
  <w:footnote w:id="47">
    <w:p w:rsidR="00D90C19" w:rsidRPr="00CE3C47" w:rsidP="00B47D51" w14:paraId="19056D6B"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 xml:space="preserve">Id. </w:t>
      </w:r>
      <w:r w:rsidRPr="00CE3C47">
        <w:rPr>
          <w:rFonts w:ascii="Times New Roman" w:hAnsi="Times New Roman" w:cs="Times New Roman"/>
          <w:lang w:val="en-US"/>
        </w:rPr>
        <w:t>at 42.</w:t>
      </w:r>
    </w:p>
  </w:footnote>
  <w:footnote w:id="48">
    <w:p w:rsidR="00E27A52" w:rsidRPr="00CE3C47" w:rsidP="00B47D51" w14:paraId="00435833"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Hearing Transcript, Vol. I</w:t>
      </w:r>
      <w:r w:rsidRPr="00CE3C47" w:rsidR="00C17A90">
        <w:rPr>
          <w:rFonts w:ascii="Times New Roman" w:hAnsi="Times New Roman" w:cs="Times New Roman"/>
          <w:lang w:val="en-US"/>
        </w:rPr>
        <w:t>, pp. 130-131</w:t>
      </w:r>
      <w:r w:rsidRPr="00CE3C47">
        <w:rPr>
          <w:rFonts w:ascii="Times New Roman" w:hAnsi="Times New Roman" w:cs="Times New Roman"/>
          <w:lang w:val="en-US"/>
        </w:rPr>
        <w:t xml:space="preserve"> (Nov. 14, 2023).</w:t>
      </w:r>
    </w:p>
  </w:footnote>
  <w:footnote w:id="49">
    <w:p w:rsidR="00E27A52" w:rsidRPr="00CE3C47" w:rsidP="00B47D51" w14:paraId="329B4417"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Id.</w:t>
      </w:r>
    </w:p>
  </w:footnote>
  <w:footnote w:id="50">
    <w:p w:rsidR="00997DCA" w:rsidRPr="00CE3C47" w:rsidP="00B47D51" w14:paraId="098FFC9A" w14:textId="77777777">
      <w:pPr>
        <w:spacing w:after="120" w:line="240" w:lineRule="auto"/>
        <w:rPr>
          <w:rFonts w:ascii="Times New Roman" w:eastAsia="Times New Roman" w:hAnsi="Times New Roman" w:cs="Times New Roman"/>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sidR="00A94CC8">
        <w:rPr>
          <w:rFonts w:ascii="Times New Roman" w:eastAsia="Times New Roman" w:hAnsi="Times New Roman" w:cs="Times New Roman"/>
          <w:sz w:val="20"/>
          <w:szCs w:val="20"/>
        </w:rPr>
        <w:t>Staff Ex. 6, Duke Audit Report at 9 (Dec. 17, 2021).</w:t>
      </w:r>
    </w:p>
  </w:footnote>
  <w:footnote w:id="51">
    <w:p w:rsidR="006972C3" w:rsidRPr="00CE3C47" w:rsidP="00B47D51" w14:paraId="73DA646D"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 xml:space="preserve">OCC Ex. 1, Direct Testimony of Elizabeth A. Stanton </w:t>
      </w:r>
      <w:r w:rsidRPr="00CE3C47" w:rsidR="00075473">
        <w:rPr>
          <w:rFonts w:ascii="Times New Roman" w:hAnsi="Times New Roman" w:cs="Times New Roman"/>
          <w:lang w:val="en-US"/>
        </w:rPr>
        <w:t>(</w:t>
      </w:r>
      <w:r w:rsidRPr="00CE3C47" w:rsidR="001977EB">
        <w:rPr>
          <w:rFonts w:ascii="Times New Roman" w:hAnsi="Times New Roman" w:cs="Times New Roman"/>
          <w:lang w:val="en-US"/>
        </w:rPr>
        <w:t>“</w:t>
      </w:r>
      <w:r w:rsidRPr="00CE3C47" w:rsidR="00075473">
        <w:rPr>
          <w:rFonts w:ascii="Times New Roman" w:hAnsi="Times New Roman" w:cs="Times New Roman"/>
          <w:lang w:val="en-US"/>
        </w:rPr>
        <w:t>Stanton Testimony</w:t>
      </w:r>
      <w:r w:rsidRPr="00CE3C47" w:rsidR="001977EB">
        <w:rPr>
          <w:rFonts w:ascii="Times New Roman" w:hAnsi="Times New Roman" w:cs="Times New Roman"/>
          <w:lang w:val="en-US"/>
        </w:rPr>
        <w:t>”</w:t>
      </w:r>
      <w:r w:rsidRPr="00CE3C47" w:rsidR="00075473">
        <w:rPr>
          <w:rFonts w:ascii="Times New Roman" w:hAnsi="Times New Roman" w:cs="Times New Roman"/>
          <w:lang w:val="en-US"/>
        </w:rPr>
        <w:t xml:space="preserve">) </w:t>
      </w:r>
      <w:r w:rsidRPr="00CE3C47">
        <w:rPr>
          <w:rFonts w:ascii="Times New Roman" w:hAnsi="Times New Roman" w:cs="Times New Roman"/>
          <w:lang w:val="en-US"/>
        </w:rPr>
        <w:t>at 18 (Oct. 10, 2023).</w:t>
      </w:r>
    </w:p>
  </w:footnote>
  <w:footnote w:id="52">
    <w:p w:rsidR="00FD5515" w:rsidRPr="00CE3C47" w:rsidP="00B47D51" w14:paraId="1C4BAA8D"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 xml:space="preserve">Id. </w:t>
      </w:r>
      <w:r w:rsidRPr="00CE3C47">
        <w:rPr>
          <w:rFonts w:ascii="Times New Roman" w:hAnsi="Times New Roman" w:cs="Times New Roman"/>
          <w:lang w:val="en-US"/>
        </w:rPr>
        <w:t>at 17.</w:t>
      </w:r>
    </w:p>
  </w:footnote>
  <w:footnote w:id="53">
    <w:p w:rsidR="00FD5515" w:rsidRPr="00CE3C47" w:rsidP="00B47D51" w14:paraId="1DDAADEE"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Id.</w:t>
      </w:r>
    </w:p>
  </w:footnote>
  <w:footnote w:id="54">
    <w:p w:rsidR="005A58ED" w:rsidRPr="00CE3C47" w:rsidP="00B47D51" w14:paraId="694F3A9B"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 xml:space="preserve">Id. </w:t>
      </w:r>
      <w:r w:rsidRPr="00CE3C47">
        <w:rPr>
          <w:rFonts w:ascii="Times New Roman" w:hAnsi="Times New Roman" w:cs="Times New Roman"/>
          <w:lang w:val="en-US"/>
        </w:rPr>
        <w:t>at 16.</w:t>
      </w:r>
    </w:p>
  </w:footnote>
  <w:footnote w:id="55">
    <w:p w:rsidR="00BB0787" w:rsidRPr="00CE3C47" w:rsidP="00B47D51" w14:paraId="1F884086"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 xml:space="preserve">Id. </w:t>
      </w:r>
      <w:r w:rsidRPr="00CE3C47">
        <w:rPr>
          <w:rFonts w:ascii="Times New Roman" w:hAnsi="Times New Roman" w:cs="Times New Roman"/>
          <w:lang w:val="en-US"/>
        </w:rPr>
        <w:t>at 18.</w:t>
      </w:r>
    </w:p>
  </w:footnote>
  <w:footnote w:id="56">
    <w:p w:rsidR="00152F4C" w:rsidRPr="00CE3C47" w:rsidP="00B47D51" w14:paraId="492023F4" w14:textId="7BD9D783">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sidR="00FC50DF">
        <w:rPr>
          <w:rFonts w:ascii="Times New Roman" w:hAnsi="Times New Roman" w:cs="Times New Roman"/>
        </w:rPr>
        <w:t xml:space="preserve"> </w:t>
      </w:r>
      <w:r w:rsidRPr="00CE3C47">
        <w:rPr>
          <w:rFonts w:ascii="Times New Roman" w:hAnsi="Times New Roman" w:cs="Times New Roman"/>
        </w:rPr>
        <w:t xml:space="preserve">MI PSC Order, Case No. U-20530, p. 12. Available at: </w:t>
      </w:r>
      <w:hyperlink r:id="rId1" w:history="1">
        <w:r w:rsidRPr="00BC6D2E">
          <w:rPr>
            <w:rStyle w:val="Hyperlink"/>
            <w:rFonts w:ascii="Times New Roman" w:hAnsi="Times New Roman" w:cs="Times New Roman"/>
          </w:rPr>
          <w:t>https://mi-psc.force.com/sfc/servlet.shepherd/version/download/0688y000006ctmIAAQ</w:t>
        </w:r>
      </w:hyperlink>
      <w:r w:rsidRPr="00CE3C47">
        <w:rPr>
          <w:rFonts w:ascii="Times New Roman" w:hAnsi="Times New Roman" w:cs="Times New Roman"/>
        </w:rPr>
        <w:t>.</w:t>
      </w:r>
    </w:p>
  </w:footnote>
  <w:footnote w:id="57">
    <w:p w:rsidR="00152F4C" w:rsidRPr="00CE3C47" w:rsidP="00B47D51" w14:paraId="71102838"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 xml:space="preserve">Id. </w:t>
      </w:r>
      <w:r w:rsidRPr="00CE3C47">
        <w:rPr>
          <w:rFonts w:ascii="Times New Roman" w:hAnsi="Times New Roman" w:cs="Times New Roman"/>
        </w:rPr>
        <w:t>at 8.</w:t>
      </w:r>
    </w:p>
  </w:footnote>
  <w:footnote w:id="58">
    <w:p w:rsidR="00152F4C" w:rsidRPr="00CE3C47" w:rsidP="00B47D51" w14:paraId="13E3F1B8"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 xml:space="preserve">Id. </w:t>
      </w:r>
      <w:r w:rsidRPr="00CE3C47">
        <w:rPr>
          <w:rFonts w:ascii="Times New Roman" w:hAnsi="Times New Roman" w:cs="Times New Roman"/>
        </w:rPr>
        <w:t>at</w:t>
      </w:r>
      <w:r w:rsidRPr="00CE3C47" w:rsidR="001F02DD">
        <w:rPr>
          <w:rFonts w:ascii="Times New Roman" w:hAnsi="Times New Roman" w:cs="Times New Roman"/>
        </w:rPr>
        <w:t xml:space="preserve"> </w:t>
      </w:r>
      <w:r w:rsidRPr="00CE3C47">
        <w:rPr>
          <w:rFonts w:ascii="Times New Roman" w:hAnsi="Times New Roman" w:cs="Times New Roman"/>
        </w:rPr>
        <w:t>12.</w:t>
      </w:r>
    </w:p>
  </w:footnote>
  <w:footnote w:id="59">
    <w:p w:rsidR="00152F4C" w:rsidRPr="00CE3C47" w:rsidP="00B47D51" w14:paraId="2ABCDF9C"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Id.</w:t>
      </w:r>
    </w:p>
  </w:footnote>
  <w:footnote w:id="60">
    <w:p w:rsidR="008D7A86" w:rsidRPr="00CE3C47" w:rsidP="00B47D51" w14:paraId="2ADB2D41"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sidR="00FC50DF">
        <w:rPr>
          <w:rFonts w:ascii="Times New Roman" w:hAnsi="Times New Roman" w:cs="Times New Roman"/>
        </w:rPr>
        <w:t xml:space="preserve"> </w:t>
      </w:r>
      <w:r w:rsidRPr="00CE3C47">
        <w:rPr>
          <w:rFonts w:ascii="Times New Roman" w:hAnsi="Times New Roman" w:cs="Times New Roman"/>
        </w:rPr>
        <w:t xml:space="preserve">MI PSC Order, Case No. U-20203, p. 26. Available at: </w:t>
      </w:r>
      <w:hyperlink r:id="rId2" w:history="1">
        <w:r w:rsidRPr="00BC6D2E">
          <w:rPr>
            <w:rStyle w:val="Hyperlink"/>
            <w:rFonts w:ascii="Times New Roman" w:hAnsi="Times New Roman" w:cs="Times New Roman"/>
          </w:rPr>
          <w:t>https://mi-psc.my.site.com/sfc/servlet.shepherd/version/download/068t000000HUDq3AAH</w:t>
        </w:r>
      </w:hyperlink>
      <w:r>
        <w:rPr>
          <w:rFonts w:ascii="Times New Roman" w:hAnsi="Times New Roman" w:cs="Times New Roman"/>
        </w:rPr>
        <w:t>.</w:t>
      </w:r>
    </w:p>
  </w:footnote>
  <w:footnote w:id="61">
    <w:p w:rsidR="00734C67" w:rsidRPr="00CE3C47" w:rsidP="00B47D51" w14:paraId="3563D854"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152F4C">
        <w:rPr>
          <w:rFonts w:ascii="Times New Roman" w:hAnsi="Times New Roman" w:cs="Times New Roman"/>
        </w:rPr>
        <w:t xml:space="preserve">OCC Ex. 2, Direct Testimony of Joseph Perez </w:t>
      </w:r>
      <w:r w:rsidRPr="00CE3C47" w:rsidR="003C7E82">
        <w:rPr>
          <w:rFonts w:ascii="Times New Roman" w:hAnsi="Times New Roman" w:cs="Times New Roman"/>
        </w:rPr>
        <w:t>(</w:t>
      </w:r>
      <w:r w:rsidRPr="00CE3C47" w:rsidR="001977EB">
        <w:rPr>
          <w:rFonts w:ascii="Times New Roman" w:hAnsi="Times New Roman" w:cs="Times New Roman"/>
        </w:rPr>
        <w:t>“</w:t>
      </w:r>
      <w:r w:rsidRPr="00CE3C47" w:rsidR="003C7E82">
        <w:rPr>
          <w:rFonts w:ascii="Times New Roman" w:hAnsi="Times New Roman" w:cs="Times New Roman"/>
        </w:rPr>
        <w:t>Perez Testimony</w:t>
      </w:r>
      <w:r w:rsidRPr="00CE3C47" w:rsidR="001977EB">
        <w:rPr>
          <w:rFonts w:ascii="Times New Roman" w:hAnsi="Times New Roman" w:cs="Times New Roman"/>
        </w:rPr>
        <w:t>”</w:t>
      </w:r>
      <w:r w:rsidRPr="00CE3C47" w:rsidR="003C7E82">
        <w:rPr>
          <w:rFonts w:ascii="Times New Roman" w:hAnsi="Times New Roman" w:cs="Times New Roman"/>
        </w:rPr>
        <w:t xml:space="preserve">) </w:t>
      </w:r>
      <w:r w:rsidRPr="00CE3C47">
        <w:rPr>
          <w:rFonts w:ascii="Times New Roman" w:hAnsi="Times New Roman" w:cs="Times New Roman"/>
        </w:rPr>
        <w:t xml:space="preserve">at 3 </w:t>
      </w:r>
      <w:r w:rsidRPr="00CE3C47" w:rsidR="00152F4C">
        <w:rPr>
          <w:rFonts w:ascii="Times New Roman" w:hAnsi="Times New Roman" w:cs="Times New Roman"/>
        </w:rPr>
        <w:t>(Oct. 10, 2023)</w:t>
      </w:r>
      <w:r w:rsidRPr="00CE3C47" w:rsidR="003C7E82">
        <w:rPr>
          <w:rFonts w:ascii="Times New Roman" w:hAnsi="Times New Roman" w:cs="Times New Roman"/>
        </w:rPr>
        <w:t>.</w:t>
      </w:r>
    </w:p>
  </w:footnote>
  <w:footnote w:id="62">
    <w:p w:rsidR="00734C67" w:rsidRPr="00CE3C47" w:rsidP="00B47D51" w14:paraId="526ECD74"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152F4C">
        <w:rPr>
          <w:rFonts w:ascii="Times New Roman" w:hAnsi="Times New Roman" w:cs="Times New Roman"/>
          <w:i/>
          <w:iCs/>
        </w:rPr>
        <w:t>Id.</w:t>
      </w:r>
      <w:r w:rsidRPr="00CE3C47">
        <w:rPr>
          <w:rFonts w:ascii="Times New Roman" w:hAnsi="Times New Roman" w:cs="Times New Roman"/>
        </w:rPr>
        <w:t xml:space="preserve"> at 12</w:t>
      </w:r>
      <w:r w:rsidRPr="00CE3C47" w:rsidR="00223E37">
        <w:rPr>
          <w:rFonts w:ascii="Times New Roman" w:hAnsi="Times New Roman" w:cs="Times New Roman"/>
        </w:rPr>
        <w:t>.</w:t>
      </w:r>
    </w:p>
  </w:footnote>
  <w:footnote w:id="63">
    <w:p w:rsidR="00281588" w:rsidRPr="00CE3C47" w:rsidP="00B47D51" w14:paraId="7FCCCB28"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 xml:space="preserve">Id. </w:t>
      </w:r>
      <w:r w:rsidRPr="00CE3C47">
        <w:rPr>
          <w:rFonts w:ascii="Times New Roman" w:hAnsi="Times New Roman" w:cs="Times New Roman"/>
          <w:lang w:val="en-US"/>
        </w:rPr>
        <w:t>at 9-10.</w:t>
      </w:r>
    </w:p>
  </w:footnote>
  <w:footnote w:id="64">
    <w:p w:rsidR="00281588" w:rsidRPr="00CE3C47" w:rsidP="00B47D51" w14:paraId="6E9AAC93"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AB3C3A">
        <w:rPr>
          <w:rFonts w:ascii="Times New Roman" w:hAnsi="Times New Roman" w:cs="Times New Roman"/>
          <w:i/>
          <w:iCs/>
        </w:rPr>
        <w:t>Id.</w:t>
      </w:r>
      <w:r w:rsidRPr="00CE3C47">
        <w:rPr>
          <w:rFonts w:ascii="Times New Roman" w:hAnsi="Times New Roman" w:cs="Times New Roman"/>
        </w:rPr>
        <w:t xml:space="preserve"> at 10</w:t>
      </w:r>
      <w:r w:rsidRPr="00CE3C47" w:rsidR="00BC546F">
        <w:rPr>
          <w:rFonts w:ascii="Times New Roman" w:hAnsi="Times New Roman" w:cs="Times New Roman"/>
        </w:rPr>
        <w:t>.</w:t>
      </w:r>
    </w:p>
  </w:footnote>
  <w:footnote w:id="65">
    <w:p w:rsidR="00281588" w:rsidRPr="00CE3C47" w:rsidP="00B47D51" w14:paraId="3EDB64BC"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AB3C3A">
        <w:rPr>
          <w:rFonts w:ascii="Times New Roman" w:hAnsi="Times New Roman" w:cs="Times New Roman"/>
          <w:i/>
          <w:iCs/>
        </w:rPr>
        <w:t>Id.</w:t>
      </w:r>
      <w:r w:rsidRPr="00CE3C47" w:rsidR="00FC50DF">
        <w:rPr>
          <w:rFonts w:ascii="Times New Roman" w:hAnsi="Times New Roman" w:cs="Times New Roman"/>
        </w:rPr>
        <w:t xml:space="preserve"> </w:t>
      </w:r>
    </w:p>
  </w:footnote>
  <w:footnote w:id="66">
    <w:p w:rsidR="00281588" w:rsidRPr="00CE3C47" w:rsidP="00B47D51" w14:paraId="01B45857"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AB3C3A">
        <w:rPr>
          <w:rFonts w:ascii="Times New Roman" w:hAnsi="Times New Roman" w:cs="Times New Roman"/>
          <w:i/>
          <w:iCs/>
        </w:rPr>
        <w:t>Id.</w:t>
      </w:r>
    </w:p>
  </w:footnote>
  <w:footnote w:id="67">
    <w:p w:rsidR="00734C67" w:rsidRPr="00CE3C47" w:rsidP="00B47D51" w14:paraId="7EADC57D"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1F02DD">
        <w:rPr>
          <w:rFonts w:ascii="Times New Roman" w:hAnsi="Times New Roman" w:cs="Times New Roman"/>
          <w:i/>
          <w:iCs/>
        </w:rPr>
        <w:t>Id.</w:t>
      </w:r>
      <w:r w:rsidRPr="00CE3C47" w:rsidR="00FC50DF">
        <w:rPr>
          <w:rFonts w:ascii="Times New Roman" w:hAnsi="Times New Roman" w:cs="Times New Roman"/>
        </w:rPr>
        <w:t xml:space="preserve"> </w:t>
      </w:r>
    </w:p>
  </w:footnote>
  <w:footnote w:id="68">
    <w:p w:rsidR="00734C67" w:rsidRPr="00CE3C47" w:rsidP="00B47D51" w14:paraId="6B7E3BFA"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1F02DD">
        <w:rPr>
          <w:rFonts w:ascii="Times New Roman" w:hAnsi="Times New Roman" w:cs="Times New Roman"/>
          <w:i/>
          <w:iCs/>
        </w:rPr>
        <w:t>Id.</w:t>
      </w:r>
      <w:r w:rsidRPr="00CE3C47">
        <w:rPr>
          <w:rFonts w:ascii="Times New Roman" w:hAnsi="Times New Roman" w:cs="Times New Roman"/>
        </w:rPr>
        <w:t xml:space="preserve"> at 13</w:t>
      </w:r>
      <w:r w:rsidRPr="00CE3C47" w:rsidR="00BC546F">
        <w:rPr>
          <w:rFonts w:ascii="Times New Roman" w:hAnsi="Times New Roman" w:cs="Times New Roman"/>
        </w:rPr>
        <w:t>.</w:t>
      </w:r>
      <w:r w:rsidRPr="00CE3C47" w:rsidR="00FC50DF">
        <w:rPr>
          <w:rFonts w:ascii="Times New Roman" w:hAnsi="Times New Roman" w:cs="Times New Roman"/>
        </w:rPr>
        <w:t xml:space="preserve"> </w:t>
      </w:r>
    </w:p>
  </w:footnote>
  <w:footnote w:id="69">
    <w:p w:rsidR="00734C67" w:rsidRPr="00CE3C47" w:rsidP="00B47D51" w14:paraId="64CFE86B"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6C61D3">
        <w:rPr>
          <w:rFonts w:ascii="Times New Roman" w:hAnsi="Times New Roman" w:cs="Times New Roman"/>
          <w:i/>
          <w:iCs/>
        </w:rPr>
        <w:t>Id.</w:t>
      </w:r>
      <w:r w:rsidRPr="00CE3C47" w:rsidR="00D42623">
        <w:rPr>
          <w:rFonts w:ascii="Times New Roman" w:hAnsi="Times New Roman" w:cs="Times New Roman"/>
        </w:rPr>
        <w:t xml:space="preserve"> </w:t>
      </w:r>
      <w:r w:rsidRPr="00CE3C47">
        <w:rPr>
          <w:rFonts w:ascii="Times New Roman" w:hAnsi="Times New Roman" w:cs="Times New Roman"/>
        </w:rPr>
        <w:t>at 15</w:t>
      </w:r>
      <w:r w:rsidRPr="00CE3C47" w:rsidR="00D42623">
        <w:rPr>
          <w:rFonts w:ascii="Times New Roman" w:hAnsi="Times New Roman" w:cs="Times New Roman"/>
        </w:rPr>
        <w:t>.</w:t>
      </w:r>
    </w:p>
  </w:footnote>
  <w:footnote w:id="70">
    <w:p w:rsidR="007F0DC6" w:rsidRPr="00CE3C47" w:rsidP="00B47D51" w14:paraId="171441CA"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R.C. 4928.148.</w:t>
      </w:r>
    </w:p>
  </w:footnote>
  <w:footnote w:id="71">
    <w:p w:rsidR="007F0DC6" w:rsidRPr="00CE3C47" w:rsidP="00B47D51" w14:paraId="7F2CB1F4"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 xml:space="preserve">See, e.g., Appl. of El Paso Elec. Co. for Authority to Change Rates, </w:t>
      </w:r>
      <w:r w:rsidRPr="00CE3C47">
        <w:rPr>
          <w:rFonts w:ascii="Times New Roman" w:hAnsi="Times New Roman" w:cs="Times New Roman"/>
          <w:lang w:val="en-US"/>
        </w:rPr>
        <w:t>Docket No. 5700, 10 P.U.C. BULL 1071, 1984 WL 274081, at *27 (Tex. Pub. Util. Comm</w:t>
      </w:r>
      <w:r w:rsidRPr="00CE3C47" w:rsidR="001977EB">
        <w:rPr>
          <w:rFonts w:ascii="Times New Roman" w:hAnsi="Times New Roman" w:cs="Times New Roman"/>
          <w:lang w:val="en-US"/>
        </w:rPr>
        <w:t>’</w:t>
      </w:r>
      <w:r w:rsidRPr="00CE3C47">
        <w:rPr>
          <w:rFonts w:ascii="Times New Roman" w:hAnsi="Times New Roman" w:cs="Times New Roman"/>
          <w:lang w:val="en-US"/>
        </w:rPr>
        <w:t>n Oct. 26, 1984, on modification Dec. 7, 1984).</w:t>
      </w:r>
    </w:p>
  </w:footnote>
  <w:footnote w:id="72">
    <w:p w:rsidR="00901CEF" w:rsidRPr="00CE3C47" w:rsidP="00B47D51" w14:paraId="70B3DA18"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578 So.2d 71 (1991)</w:t>
      </w:r>
      <w:r w:rsidRPr="00CE3C47" w:rsidR="00612532">
        <w:rPr>
          <w:rFonts w:ascii="Times New Roman" w:hAnsi="Times New Roman" w:cs="Times New Roman"/>
          <w:lang w:val="en-US"/>
        </w:rPr>
        <w:t>.</w:t>
      </w:r>
    </w:p>
  </w:footnote>
  <w:footnote w:id="73">
    <w:p w:rsidR="004234FC" w:rsidRPr="00CE3C47" w:rsidP="00B47D51" w14:paraId="3EC2BFAF"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Stanton Testimony at 1</w:t>
      </w:r>
      <w:r w:rsidRPr="00CE3C47" w:rsidR="009127EA">
        <w:rPr>
          <w:rFonts w:ascii="Times New Roman" w:hAnsi="Times New Roman" w:cs="Times New Roman"/>
          <w:lang w:val="en-US"/>
        </w:rPr>
        <w:t>8-19.</w:t>
      </w:r>
    </w:p>
  </w:footnote>
  <w:footnote w:id="74">
    <w:p w:rsidR="009127EA" w:rsidRPr="00CE3C47" w:rsidP="00B47D51" w14:paraId="504064E1"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Michigan Pub. Serv. Comm</w:t>
      </w:r>
      <w:r w:rsidRPr="00CE3C47" w:rsidR="001977EB">
        <w:rPr>
          <w:rFonts w:ascii="Times New Roman" w:hAnsi="Times New Roman" w:cs="Times New Roman"/>
          <w:i/>
          <w:iCs/>
        </w:rPr>
        <w:t>’</w:t>
      </w:r>
      <w:r w:rsidRPr="00CE3C47">
        <w:rPr>
          <w:rFonts w:ascii="Times New Roman" w:hAnsi="Times New Roman" w:cs="Times New Roman"/>
          <w:i/>
          <w:iCs/>
        </w:rPr>
        <w:t>n</w:t>
      </w:r>
      <w:r w:rsidRPr="00CE3C47" w:rsidR="001F6D2A">
        <w:rPr>
          <w:rFonts w:ascii="Times New Roman" w:hAnsi="Times New Roman" w:cs="Times New Roman"/>
          <w:i/>
          <w:iCs/>
        </w:rPr>
        <w:t xml:space="preserve"> . . .</w:t>
      </w:r>
      <w:r w:rsidRPr="00CE3C47">
        <w:rPr>
          <w:rFonts w:ascii="Times New Roman" w:hAnsi="Times New Roman" w:cs="Times New Roman"/>
          <w:i/>
          <w:iCs/>
        </w:rPr>
        <w:t xml:space="preserve"> Indiana Michigan Power Co.</w:t>
      </w:r>
      <w:r w:rsidRPr="00CE3C47">
        <w:rPr>
          <w:rFonts w:ascii="Times New Roman" w:hAnsi="Times New Roman" w:cs="Times New Roman"/>
        </w:rPr>
        <w:t>, Case No. 365180, Order (Jan. 18, 2004).</w:t>
      </w:r>
    </w:p>
  </w:footnote>
  <w:footnote w:id="75">
    <w:p w:rsidR="003B3682" w:rsidRPr="00CE3C47" w:rsidP="00B47D51" w14:paraId="516AF071"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 xml:space="preserve">Id. </w:t>
      </w:r>
      <w:r w:rsidRPr="00CE3C47">
        <w:rPr>
          <w:rFonts w:ascii="Times New Roman" w:hAnsi="Times New Roman" w:cs="Times New Roman"/>
          <w:lang w:val="en-US"/>
        </w:rPr>
        <w:t>at 15.</w:t>
      </w:r>
    </w:p>
  </w:footnote>
  <w:footnote w:id="76">
    <w:p w:rsidR="004F43FC" w:rsidRPr="00CE3C47" w:rsidP="00B47D51" w14:paraId="0E96FDB0" w14:textId="77777777">
      <w:pPr>
        <w:spacing w:after="120" w:line="240" w:lineRule="auto"/>
        <w:rPr>
          <w:rFonts w:ascii="Times New Roman" w:eastAsia="Times New Roman" w:hAnsi="Times New Roman" w:cs="Times New Roman"/>
          <w:sz w:val="20"/>
          <w:szCs w:val="20"/>
          <w:highlight w:val="yellow"/>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sidR="00D42623">
        <w:rPr>
          <w:rFonts w:ascii="Times New Roman" w:eastAsia="Times New Roman" w:hAnsi="Times New Roman" w:cs="Times New Roman"/>
          <w:i/>
          <w:iCs/>
          <w:sz w:val="20"/>
          <w:szCs w:val="20"/>
        </w:rPr>
        <w:t xml:space="preserve">In re </w:t>
      </w:r>
      <w:r w:rsidRPr="00CE3C47">
        <w:rPr>
          <w:rFonts w:ascii="Times New Roman" w:eastAsia="Times New Roman" w:hAnsi="Times New Roman" w:cs="Times New Roman"/>
          <w:i/>
          <w:iCs/>
          <w:sz w:val="20"/>
          <w:szCs w:val="20"/>
        </w:rPr>
        <w:t>Long Island Lighting Co</w:t>
      </w:r>
      <w:r w:rsidRPr="00CE3C47">
        <w:rPr>
          <w:rFonts w:ascii="Times New Roman" w:eastAsia="Times New Roman" w:hAnsi="Times New Roman" w:cs="Times New Roman"/>
          <w:sz w:val="20"/>
          <w:szCs w:val="20"/>
        </w:rPr>
        <w:t>., Case No. 27563, 71 PUR 4th 262 (N.Y. Pub. Serv. Comm</w:t>
      </w:r>
      <w:r w:rsidRPr="00CE3C47" w:rsidR="001977EB">
        <w:rPr>
          <w:rFonts w:ascii="Times New Roman" w:eastAsia="Times New Roman" w:hAnsi="Times New Roman" w:cs="Times New Roman"/>
          <w:sz w:val="20"/>
          <w:szCs w:val="20"/>
        </w:rPr>
        <w:t>’</w:t>
      </w:r>
      <w:r w:rsidRPr="00CE3C47">
        <w:rPr>
          <w:rFonts w:ascii="Times New Roman" w:eastAsia="Times New Roman" w:hAnsi="Times New Roman" w:cs="Times New Roman"/>
          <w:sz w:val="20"/>
          <w:szCs w:val="20"/>
        </w:rPr>
        <w:t>n,</w:t>
      </w:r>
      <w:r w:rsidRPr="00CE3C47" w:rsidR="00A85361">
        <w:rPr>
          <w:rFonts w:ascii="Times New Roman" w:eastAsia="Times New Roman" w:hAnsi="Times New Roman" w:cs="Times New Roman"/>
          <w:sz w:val="20"/>
          <w:szCs w:val="20"/>
        </w:rPr>
        <w:t>)</w:t>
      </w:r>
      <w:r w:rsidRPr="00CE3C47" w:rsidR="00DC62F6">
        <w:rPr>
          <w:rFonts w:ascii="Times New Roman" w:eastAsia="Times New Roman" w:hAnsi="Times New Roman" w:cs="Times New Roman"/>
          <w:sz w:val="20"/>
          <w:szCs w:val="20"/>
        </w:rPr>
        <w:t xml:space="preserve"> </w:t>
      </w:r>
      <w:r w:rsidRPr="00CE3C47" w:rsidR="00A85361">
        <w:rPr>
          <w:rFonts w:ascii="Times New Roman" w:eastAsia="Times New Roman" w:hAnsi="Times New Roman" w:cs="Times New Roman"/>
          <w:sz w:val="20"/>
          <w:szCs w:val="20"/>
        </w:rPr>
        <w:t>(</w:t>
      </w:r>
      <w:r w:rsidRPr="00CE3C47">
        <w:rPr>
          <w:rFonts w:ascii="Times New Roman" w:eastAsia="Times New Roman" w:hAnsi="Times New Roman" w:cs="Times New Roman"/>
          <w:sz w:val="20"/>
          <w:szCs w:val="20"/>
        </w:rPr>
        <w:t>Nov</w:t>
      </w:r>
      <w:r w:rsidRPr="00CE3C47" w:rsidR="00C07AF0">
        <w:rPr>
          <w:rFonts w:ascii="Times New Roman" w:eastAsia="Times New Roman" w:hAnsi="Times New Roman" w:cs="Times New Roman"/>
          <w:sz w:val="20"/>
          <w:szCs w:val="20"/>
        </w:rPr>
        <w:t>.</w:t>
      </w:r>
      <w:r w:rsidRPr="00CE3C47">
        <w:rPr>
          <w:rFonts w:ascii="Times New Roman" w:eastAsia="Times New Roman" w:hAnsi="Times New Roman" w:cs="Times New Roman"/>
          <w:sz w:val="20"/>
          <w:szCs w:val="20"/>
        </w:rPr>
        <w:t xml:space="preserve"> 16, 1985). </w:t>
      </w:r>
    </w:p>
  </w:footnote>
  <w:footnote w:id="77">
    <w:p w:rsidR="00150DB9" w:rsidRPr="00CE3C47" w:rsidP="00B47D51" w14:paraId="518F0C39"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 xml:space="preserve">Smith v. Ames, </w:t>
      </w:r>
      <w:r w:rsidRPr="00CE3C47">
        <w:rPr>
          <w:rFonts w:ascii="Times New Roman" w:hAnsi="Times New Roman" w:cs="Times New Roman"/>
          <w:lang w:val="en-US"/>
        </w:rPr>
        <w:t>169 U.S. 466, 544 (1898).</w:t>
      </w:r>
    </w:p>
  </w:footnote>
  <w:footnote w:id="78">
    <w:p w:rsidR="00467247" w:rsidRPr="00CE3C47" w:rsidP="00B47D51" w14:paraId="77D4C4E4"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Id.</w:t>
      </w:r>
    </w:p>
  </w:footnote>
  <w:footnote w:id="79">
    <w:p w:rsidR="00DA589B" w:rsidRPr="00CE3C47" w:rsidP="00B47D51" w14:paraId="38924508"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eastAsia="Times New Roman" w:hAnsi="Times New Roman" w:cs="Times New Roman"/>
        </w:rPr>
        <w:t>R.C. 4928.148(A)(1).</w:t>
      </w:r>
      <w:r w:rsidRPr="00CE3C47" w:rsidR="00FC50DF">
        <w:rPr>
          <w:rFonts w:ascii="Times New Roman" w:eastAsia="Times New Roman" w:hAnsi="Times New Roman" w:cs="Times New Roman"/>
        </w:rPr>
        <w:t xml:space="preserve"> </w:t>
      </w:r>
    </w:p>
  </w:footnote>
  <w:footnote w:id="80">
    <w:p w:rsidR="00997DCA" w:rsidRPr="00CE3C47" w:rsidP="00B47D51" w14:paraId="5E6F1474" w14:textId="77777777">
      <w:pPr>
        <w:spacing w:after="120" w:line="240" w:lineRule="auto"/>
        <w:rPr>
          <w:rFonts w:ascii="Times New Roman" w:eastAsia="Times New Roman" w:hAnsi="Times New Roman" w:cs="Times New Roman"/>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Pr>
          <w:rFonts w:ascii="Times New Roman" w:eastAsia="Times New Roman" w:hAnsi="Times New Roman" w:cs="Times New Roman"/>
          <w:i/>
          <w:iCs/>
          <w:sz w:val="20"/>
          <w:szCs w:val="20"/>
        </w:rPr>
        <w:t>In the Matter of the Application Seeking Approval of Ohio Power Company</w:t>
      </w:r>
      <w:r w:rsidRPr="00CE3C47" w:rsidR="001977EB">
        <w:rPr>
          <w:rFonts w:ascii="Times New Roman" w:eastAsia="Times New Roman" w:hAnsi="Times New Roman" w:cs="Times New Roman"/>
          <w:i/>
          <w:iCs/>
          <w:sz w:val="20"/>
          <w:szCs w:val="20"/>
        </w:rPr>
        <w:t>’</w:t>
      </w:r>
      <w:r w:rsidRPr="00CE3C47">
        <w:rPr>
          <w:rFonts w:ascii="Times New Roman" w:eastAsia="Times New Roman" w:hAnsi="Times New Roman" w:cs="Times New Roman"/>
          <w:i/>
          <w:iCs/>
          <w:sz w:val="20"/>
          <w:szCs w:val="20"/>
        </w:rPr>
        <w:t>s Proposal to Enter into an Affiliate Power Purchase Agreement for Inclusion in the Power Purchase Agreement Rider</w:t>
      </w:r>
      <w:r w:rsidRPr="00CE3C47">
        <w:rPr>
          <w:rFonts w:ascii="Times New Roman" w:eastAsia="Times New Roman" w:hAnsi="Times New Roman" w:cs="Times New Roman"/>
          <w:sz w:val="20"/>
          <w:szCs w:val="20"/>
        </w:rPr>
        <w:t>, Case No. 14-1693-EL-RDR, Opinion and Order at 89 (Mar</w:t>
      </w:r>
      <w:r w:rsidRPr="00CE3C47" w:rsidR="00FF741C">
        <w:rPr>
          <w:rFonts w:ascii="Times New Roman" w:eastAsia="Times New Roman" w:hAnsi="Times New Roman" w:cs="Times New Roman"/>
          <w:sz w:val="20"/>
          <w:szCs w:val="20"/>
        </w:rPr>
        <w:t>ch</w:t>
      </w:r>
      <w:r w:rsidRPr="00CE3C47">
        <w:rPr>
          <w:rFonts w:ascii="Times New Roman" w:eastAsia="Times New Roman" w:hAnsi="Times New Roman" w:cs="Times New Roman"/>
          <w:sz w:val="20"/>
          <w:szCs w:val="20"/>
        </w:rPr>
        <w:t xml:space="preserve"> 31, 2016)</w:t>
      </w:r>
      <w:r w:rsidRPr="00CE3C47" w:rsidR="002302D3">
        <w:rPr>
          <w:rFonts w:ascii="Times New Roman" w:eastAsia="Times New Roman" w:hAnsi="Times New Roman" w:cs="Times New Roman"/>
          <w:sz w:val="20"/>
          <w:szCs w:val="20"/>
        </w:rPr>
        <w:t xml:space="preserve"> (emphasis added)</w:t>
      </w:r>
      <w:r w:rsidRPr="00CE3C47">
        <w:rPr>
          <w:rFonts w:ascii="Times New Roman" w:eastAsia="Times New Roman" w:hAnsi="Times New Roman" w:cs="Times New Roman"/>
          <w:sz w:val="20"/>
          <w:szCs w:val="20"/>
        </w:rPr>
        <w:t xml:space="preserve">. </w:t>
      </w:r>
    </w:p>
  </w:footnote>
  <w:footnote w:id="81">
    <w:p w:rsidR="008D37C8" w:rsidRPr="00CE3C47" w:rsidP="00B47D51" w14:paraId="66708A18"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Perez Testimony at 13-15.</w:t>
      </w:r>
    </w:p>
  </w:footnote>
  <w:footnote w:id="82">
    <w:p w:rsidR="00522554" w:rsidRPr="00CE3C47" w:rsidP="00B47D51" w14:paraId="066EA066"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 xml:space="preserve">Id. </w:t>
      </w:r>
    </w:p>
  </w:footnote>
  <w:footnote w:id="83">
    <w:p w:rsidR="00522554" w:rsidRPr="00CE3C47" w:rsidP="00B47D51" w14:paraId="5D0C2F30" w14:textId="77777777">
      <w:pPr>
        <w:spacing w:after="120" w:line="240" w:lineRule="auto"/>
        <w:rPr>
          <w:rFonts w:ascii="Times New Roman" w:eastAsia="Times New Roman" w:hAnsi="Times New Roman" w:cs="Times New Roman"/>
          <w:sz w:val="20"/>
          <w:szCs w:val="20"/>
          <w:highlight w:val="yellow"/>
        </w:rPr>
      </w:pPr>
      <w:r w:rsidRPr="00CE3C47">
        <w:rPr>
          <w:rStyle w:val="FootnoteReference"/>
          <w:rFonts w:ascii="Times New Roman" w:hAnsi="Times New Roman" w:cs="Times New Roman"/>
          <w:sz w:val="20"/>
          <w:szCs w:val="20"/>
        </w:rPr>
        <w:footnoteRef/>
      </w:r>
      <w:r w:rsidRPr="00CE3C47">
        <w:rPr>
          <w:rFonts w:ascii="Times New Roman" w:hAnsi="Times New Roman" w:cs="Times New Roman"/>
          <w:sz w:val="20"/>
          <w:szCs w:val="20"/>
        </w:rPr>
        <w:t xml:space="preserve"> </w:t>
      </w:r>
      <w:r w:rsidRPr="00CE3C47">
        <w:rPr>
          <w:rFonts w:ascii="Times New Roman" w:eastAsia="Times New Roman" w:hAnsi="Times New Roman" w:cs="Times New Roman"/>
          <w:sz w:val="20"/>
          <w:szCs w:val="20"/>
        </w:rPr>
        <w:t>Stanton Testimony at 20.</w:t>
      </w:r>
    </w:p>
  </w:footnote>
  <w:footnote w:id="84">
    <w:p w:rsidR="00522554" w:rsidRPr="00CE3C47" w:rsidP="00B47D51" w14:paraId="377B1EE0"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Perez Testimony at 14.</w:t>
      </w:r>
    </w:p>
  </w:footnote>
  <w:footnote w:id="85">
    <w:p w:rsidR="008D37C8" w:rsidRPr="00CE3C47" w:rsidP="00B47D51" w14:paraId="095C5A6F"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522554">
        <w:rPr>
          <w:rFonts w:ascii="Times New Roman" w:hAnsi="Times New Roman" w:cs="Times New Roman"/>
          <w:i/>
          <w:iCs/>
          <w:lang w:val="en-US"/>
        </w:rPr>
        <w:t>Id.</w:t>
      </w:r>
    </w:p>
  </w:footnote>
  <w:footnote w:id="86">
    <w:p w:rsidR="00265764" w:rsidRPr="00CE3C47" w:rsidP="00B47D51" w14:paraId="37060CBF"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Stanton Testimony at 16.</w:t>
      </w:r>
    </w:p>
  </w:footnote>
  <w:footnote w:id="87">
    <w:p w:rsidR="008D37C8" w:rsidRPr="00CE3C47" w:rsidP="00B47D51" w14:paraId="7E23CC9B" w14:textId="77777777">
      <w:pPr>
        <w:spacing w:after="120" w:line="240" w:lineRule="auto"/>
        <w:rPr>
          <w:rFonts w:ascii="Times New Roman" w:eastAsia="Times New Roman" w:hAnsi="Times New Roman" w:cs="Times New Roman"/>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Pr>
          <w:rFonts w:ascii="Times New Roman" w:eastAsia="Times New Roman" w:hAnsi="Times New Roman" w:cs="Times New Roman"/>
          <w:i/>
          <w:iCs/>
          <w:sz w:val="20"/>
          <w:szCs w:val="20"/>
        </w:rPr>
        <w:t>In the Matter of the Application Seeking Approval of Ohio Power Company</w:t>
      </w:r>
      <w:r w:rsidRPr="00CE3C47" w:rsidR="001977EB">
        <w:rPr>
          <w:rFonts w:ascii="Times New Roman" w:eastAsia="Times New Roman" w:hAnsi="Times New Roman" w:cs="Times New Roman"/>
          <w:i/>
          <w:iCs/>
          <w:sz w:val="20"/>
          <w:szCs w:val="20"/>
        </w:rPr>
        <w:t>’</w:t>
      </w:r>
      <w:r w:rsidRPr="00CE3C47">
        <w:rPr>
          <w:rFonts w:ascii="Times New Roman" w:eastAsia="Times New Roman" w:hAnsi="Times New Roman" w:cs="Times New Roman"/>
          <w:i/>
          <w:iCs/>
          <w:sz w:val="20"/>
          <w:szCs w:val="20"/>
        </w:rPr>
        <w:t xml:space="preserve">s Proposal to Enter into an Affiliate Power Purchase Agreement for Inclusion in the Power Purchase Agreement Rider, </w:t>
      </w:r>
      <w:r w:rsidRPr="00CE3C47">
        <w:rPr>
          <w:rFonts w:ascii="Times New Roman" w:eastAsia="Times New Roman" w:hAnsi="Times New Roman" w:cs="Times New Roman"/>
          <w:sz w:val="20"/>
          <w:szCs w:val="20"/>
        </w:rPr>
        <w:t>Case No. 14-1693-EL-RDR, Opinion and Order at 89 (Mar</w:t>
      </w:r>
      <w:r w:rsidRPr="00CE3C47" w:rsidR="00B57E9F">
        <w:rPr>
          <w:rFonts w:ascii="Times New Roman" w:eastAsia="Times New Roman" w:hAnsi="Times New Roman" w:cs="Times New Roman"/>
          <w:sz w:val="20"/>
          <w:szCs w:val="20"/>
        </w:rPr>
        <w:t>ch</w:t>
      </w:r>
      <w:r w:rsidRPr="00CE3C47">
        <w:rPr>
          <w:rFonts w:ascii="Times New Roman" w:eastAsia="Times New Roman" w:hAnsi="Times New Roman" w:cs="Times New Roman"/>
          <w:sz w:val="20"/>
          <w:szCs w:val="20"/>
        </w:rPr>
        <w:t xml:space="preserve"> 31, 2016). </w:t>
      </w:r>
    </w:p>
  </w:footnote>
  <w:footnote w:id="88">
    <w:p w:rsidR="00997DCA" w:rsidRPr="00CE3C47" w:rsidP="00B47D51" w14:paraId="3E6D529D" w14:textId="77777777">
      <w:pPr>
        <w:spacing w:after="120" w:line="240" w:lineRule="auto"/>
        <w:rPr>
          <w:rFonts w:ascii="Times New Roman" w:eastAsia="Times New Roman" w:hAnsi="Times New Roman" w:cs="Times New Roman"/>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Pr>
          <w:rFonts w:ascii="Times New Roman" w:eastAsia="Times New Roman" w:hAnsi="Times New Roman" w:cs="Times New Roman"/>
          <w:i/>
          <w:iCs/>
          <w:sz w:val="20"/>
          <w:szCs w:val="20"/>
        </w:rPr>
        <w:t>Midwestern Gas Transmission Co. v. E. Tenn. Nat. Gas Co</w:t>
      </w:r>
      <w:r w:rsidRPr="00CE3C47">
        <w:rPr>
          <w:rFonts w:ascii="Times New Roman" w:eastAsia="Times New Roman" w:hAnsi="Times New Roman" w:cs="Times New Roman"/>
          <w:sz w:val="20"/>
          <w:szCs w:val="20"/>
        </w:rPr>
        <w:t>., 36 FPC 61, 70, 64 P.U.R.3d 433 (1966), aff</w:t>
      </w:r>
      <w:r w:rsidRPr="00CE3C47" w:rsidR="001977EB">
        <w:rPr>
          <w:rFonts w:ascii="Times New Roman" w:eastAsia="Times New Roman" w:hAnsi="Times New Roman" w:cs="Times New Roman"/>
          <w:sz w:val="20"/>
          <w:szCs w:val="20"/>
        </w:rPr>
        <w:t>’</w:t>
      </w:r>
      <w:r w:rsidRPr="00CE3C47">
        <w:rPr>
          <w:rFonts w:ascii="Times New Roman" w:eastAsia="Times New Roman" w:hAnsi="Times New Roman" w:cs="Times New Roman"/>
          <w:sz w:val="20"/>
          <w:szCs w:val="20"/>
        </w:rPr>
        <w:t>d sub nom. Midwestern Gas Transmission Co. v. FPC, 388 F.2d 444 (7th Cir. 1968).</w:t>
      </w:r>
    </w:p>
  </w:footnote>
  <w:footnote w:id="89">
    <w:p w:rsidR="00997DCA" w:rsidRPr="00CE3C47" w:rsidP="00B47D51" w14:paraId="03073811" w14:textId="77777777">
      <w:pPr>
        <w:spacing w:after="120" w:line="240" w:lineRule="auto"/>
        <w:rPr>
          <w:rFonts w:ascii="Times New Roman" w:eastAsia="Times New Roman" w:hAnsi="Times New Roman" w:cs="Times New Roman"/>
          <w:sz w:val="20"/>
          <w:szCs w:val="20"/>
        </w:rPr>
      </w:pPr>
      <w:r w:rsidRPr="00CE3C47">
        <w:rPr>
          <w:rFonts w:ascii="Times New Roman" w:hAnsi="Times New Roman" w:cs="Times New Roman"/>
          <w:sz w:val="20"/>
          <w:szCs w:val="20"/>
          <w:vertAlign w:val="superscript"/>
        </w:rPr>
        <w:footnoteRef/>
      </w:r>
      <w:r w:rsidRPr="00CE3C47">
        <w:rPr>
          <w:rFonts w:ascii="Times New Roman" w:eastAsia="Times New Roman" w:hAnsi="Times New Roman" w:cs="Times New Roman"/>
          <w:sz w:val="20"/>
          <w:szCs w:val="20"/>
        </w:rPr>
        <w:t xml:space="preserve"> </w:t>
      </w:r>
      <w:r w:rsidRPr="00CE3C47" w:rsidR="00CA2EB3">
        <w:rPr>
          <w:rFonts w:ascii="Times New Roman" w:eastAsia="Times New Roman" w:hAnsi="Times New Roman" w:cs="Times New Roman"/>
          <w:i/>
          <w:iCs/>
          <w:sz w:val="20"/>
          <w:szCs w:val="20"/>
        </w:rPr>
        <w:t>In re Long Island Lighting Co</w:t>
      </w:r>
      <w:r w:rsidRPr="00CE3C47" w:rsidR="00CA2EB3">
        <w:rPr>
          <w:rFonts w:ascii="Times New Roman" w:eastAsia="Times New Roman" w:hAnsi="Times New Roman" w:cs="Times New Roman"/>
          <w:sz w:val="20"/>
          <w:szCs w:val="20"/>
        </w:rPr>
        <w:t>., Case No. 27563, 71 PUR 4th 262 (N.Y. Pub. Serv. Comm</w:t>
      </w:r>
      <w:r w:rsidRPr="00CE3C47" w:rsidR="001977EB">
        <w:rPr>
          <w:rFonts w:ascii="Times New Roman" w:eastAsia="Times New Roman" w:hAnsi="Times New Roman" w:cs="Times New Roman"/>
          <w:sz w:val="20"/>
          <w:szCs w:val="20"/>
        </w:rPr>
        <w:t>’</w:t>
      </w:r>
      <w:r w:rsidRPr="00CE3C47" w:rsidR="00CA2EB3">
        <w:rPr>
          <w:rFonts w:ascii="Times New Roman" w:eastAsia="Times New Roman" w:hAnsi="Times New Roman" w:cs="Times New Roman"/>
          <w:sz w:val="20"/>
          <w:szCs w:val="20"/>
        </w:rPr>
        <w:t xml:space="preserve">n,) (Nov. 16, 1985). </w:t>
      </w:r>
    </w:p>
  </w:footnote>
  <w:footnote w:id="90">
    <w:p w:rsidR="00B518BC" w:rsidRPr="00CE3C47" w:rsidP="00B47D51" w14:paraId="46FE8E49"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Stanton Testimony at 16.</w:t>
      </w:r>
    </w:p>
  </w:footnote>
  <w:footnote w:id="91">
    <w:p w:rsidR="00D209B3" w:rsidRPr="00CE3C47" w:rsidP="00B47D51" w14:paraId="2EA56382"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B73C46">
        <w:rPr>
          <w:rFonts w:ascii="Times New Roman" w:hAnsi="Times New Roman" w:cs="Times New Roman"/>
          <w:i/>
          <w:iCs/>
        </w:rPr>
        <w:t>In the Matter of the Application Seeking Approval of Ohio Power Company</w:t>
      </w:r>
      <w:r w:rsidRPr="00CE3C47" w:rsidR="001977EB">
        <w:rPr>
          <w:rFonts w:ascii="Times New Roman" w:hAnsi="Times New Roman" w:cs="Times New Roman"/>
          <w:i/>
          <w:iCs/>
        </w:rPr>
        <w:t>’</w:t>
      </w:r>
      <w:r w:rsidRPr="00CE3C47" w:rsidR="00B73C46">
        <w:rPr>
          <w:rFonts w:ascii="Times New Roman" w:hAnsi="Times New Roman" w:cs="Times New Roman"/>
          <w:i/>
          <w:iCs/>
        </w:rPr>
        <w:t>s Proposal to Enter into an Affiliate Power Purchase Agreement for Inclusion in the Power Purchase Agreement Rider</w:t>
      </w:r>
      <w:r w:rsidRPr="00CE3C47" w:rsidR="00B73C46">
        <w:rPr>
          <w:rFonts w:ascii="Times New Roman" w:hAnsi="Times New Roman" w:cs="Times New Roman"/>
        </w:rPr>
        <w:t xml:space="preserve">, Case No. 14-1693-EL-RDR, Opinion and Order at 89 (March 31, 2016). </w:t>
      </w:r>
    </w:p>
  </w:footnote>
  <w:footnote w:id="92">
    <w:p w:rsidR="005E28AE" w:rsidRPr="00CE3C47" w:rsidP="00B47D51" w14:paraId="19E74CAB"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Staff Ex. 4, AEP Audit Report (Dec. 17, 2021).</w:t>
      </w:r>
      <w:r w:rsidRPr="00CE3C47" w:rsidR="00FC50DF">
        <w:rPr>
          <w:rFonts w:ascii="Times New Roman" w:hAnsi="Times New Roman" w:cs="Times New Roman"/>
        </w:rPr>
        <w:t xml:space="preserve"> </w:t>
      </w:r>
      <w:r w:rsidRPr="00CE3C47">
        <w:rPr>
          <w:rFonts w:ascii="Times New Roman" w:hAnsi="Times New Roman" w:cs="Times New Roman"/>
          <w:i/>
          <w:iCs/>
        </w:rPr>
        <w:t xml:space="preserve">See also, </w:t>
      </w:r>
      <w:r w:rsidRPr="00CE3C47">
        <w:rPr>
          <w:rFonts w:ascii="Times New Roman" w:hAnsi="Times New Roman" w:cs="Times New Roman"/>
          <w:lang w:val="en-US"/>
        </w:rPr>
        <w:t>AEP Motion for Protective Order, Audit Report at 51 (Jan. 4, 2024).</w:t>
      </w:r>
    </w:p>
  </w:footnote>
  <w:footnote w:id="93">
    <w:p w:rsidR="005E28AE" w:rsidRPr="00CE3C47" w:rsidP="00B47D51" w14:paraId="5974F8D0"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Id.</w:t>
      </w:r>
    </w:p>
  </w:footnote>
  <w:footnote w:id="94">
    <w:p w:rsidR="00235ADD" w:rsidRPr="00CE3C47" w:rsidP="00B47D51" w14:paraId="777A2258"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R.C. 4928.148(A).</w:t>
      </w:r>
    </w:p>
  </w:footnote>
  <w:footnote w:id="95">
    <w:p w:rsidR="00235ADD" w:rsidRPr="00CE3C47" w:rsidP="00B47D51" w14:paraId="2384818E" w14:textId="77777777">
      <w:pPr>
        <w:pStyle w:val="FootnoteText"/>
        <w:tabs>
          <w:tab w:val="left" w:pos="1870"/>
        </w:tabs>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R.C. 4928.01(A)(42).</w:t>
      </w:r>
    </w:p>
  </w:footnote>
  <w:footnote w:id="96">
    <w:p w:rsidR="006C3372" w:rsidRPr="00CE3C47" w:rsidP="00B47D51" w14:paraId="2D6AFA88"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Staff Ex. 4, AEP Audit Report (Dec. 17, 2021).</w:t>
      </w:r>
      <w:r w:rsidRPr="00CE3C47" w:rsidR="00FC50DF">
        <w:rPr>
          <w:rFonts w:ascii="Times New Roman" w:hAnsi="Times New Roman" w:cs="Times New Roman"/>
        </w:rPr>
        <w:t xml:space="preserve"> </w:t>
      </w:r>
      <w:r w:rsidRPr="00CE3C47">
        <w:rPr>
          <w:rFonts w:ascii="Times New Roman" w:hAnsi="Times New Roman" w:cs="Times New Roman"/>
          <w:i/>
          <w:iCs/>
        </w:rPr>
        <w:t xml:space="preserve">See also, </w:t>
      </w:r>
      <w:r w:rsidRPr="00CE3C47">
        <w:rPr>
          <w:rFonts w:ascii="Times New Roman" w:hAnsi="Times New Roman" w:cs="Times New Roman"/>
          <w:lang w:val="en-US"/>
        </w:rPr>
        <w:t>AEP Motion for Protective Order, Audit Report at 51 (Jan. 4, 2024).</w:t>
      </w:r>
    </w:p>
  </w:footnote>
  <w:footnote w:id="97">
    <w:p w:rsidR="00501D59" w:rsidRPr="00CE3C47" w:rsidP="00B47D51" w14:paraId="7C19F3FE"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12432C">
        <w:rPr>
          <w:rFonts w:ascii="Times New Roman" w:hAnsi="Times New Roman" w:cs="Times New Roman"/>
          <w:i/>
          <w:iCs/>
          <w:color w:val="212121"/>
        </w:rPr>
        <w:t xml:space="preserve">In the Matters of the </w:t>
      </w:r>
      <w:r w:rsidRPr="00CE3C47" w:rsidR="0012432C">
        <w:rPr>
          <w:rFonts w:ascii="Times New Roman" w:hAnsi="Times New Roman" w:cs="Times New Roman"/>
          <w:i/>
          <w:iCs/>
        </w:rPr>
        <w:t xml:space="preserve">Application of Portland General Electric Company for an Investigation into Least Cost Plan Plant Retirement, </w:t>
      </w:r>
      <w:r w:rsidRPr="00CE3C47" w:rsidR="0012432C">
        <w:rPr>
          <w:rFonts w:ascii="Times New Roman" w:hAnsi="Times New Roman" w:cs="Times New Roman"/>
        </w:rPr>
        <w:t xml:space="preserve">Order No. 08-487, </w:t>
      </w:r>
      <w:hyperlink r:id="rId3" w:history="1">
        <w:r w:rsidRPr="00CE3C47" w:rsidR="0012432C">
          <w:rPr>
            <w:rStyle w:val="Hyperlink"/>
            <w:rFonts w:ascii="Times New Roman" w:hAnsi="Times New Roman" w:cs="Times New Roman"/>
            <w:color w:val="auto"/>
            <w:u w:val="none"/>
            <w:bdr w:val="none" w:sz="0" w:space="0" w:color="auto" w:frame="1"/>
            <w:shd w:val="clear" w:color="auto" w:fill="FFFFFF"/>
          </w:rPr>
          <w:t xml:space="preserve">2008 Ore. PUC LEXIS 370, </w:t>
        </w:r>
        <w:r w:rsidRPr="00CE3C47" w:rsidR="0012432C">
          <w:rPr>
            <w:rFonts w:ascii="Times New Roman" w:hAnsi="Times New Roman" w:cs="Times New Roman"/>
            <w:shd w:val="clear" w:color="auto" w:fill="FFFFFF"/>
          </w:rPr>
          <w:t>269 P.U.R.4th 1, 200-201</w:t>
        </w:r>
        <w:r w:rsidRPr="00CE3C47" w:rsidR="0012432C">
          <w:rPr>
            <w:rStyle w:val="Hyperlink"/>
            <w:rFonts w:ascii="Times New Roman" w:hAnsi="Times New Roman" w:cs="Times New Roman"/>
            <w:color w:val="auto"/>
            <w:u w:val="none"/>
            <w:bdr w:val="none" w:sz="0" w:space="0" w:color="auto" w:frame="1"/>
            <w:shd w:val="clear" w:color="auto" w:fill="FFFFFF"/>
          </w:rPr>
          <w:t> </w:t>
        </w:r>
      </w:hyperlink>
      <w:r w:rsidRPr="00CE3C47" w:rsidR="0012432C">
        <w:rPr>
          <w:rFonts w:ascii="Times New Roman" w:hAnsi="Times New Roman" w:cs="Times New Roman"/>
        </w:rPr>
        <w:t>(Sept. 30, 2008).</w:t>
      </w:r>
    </w:p>
  </w:footnote>
  <w:footnote w:id="98">
    <w:p w:rsidR="006C3372" w:rsidRPr="00CE3C47" w:rsidP="00B47D51" w14:paraId="0AB24725"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R.C. 4928.148(A).</w:t>
      </w:r>
    </w:p>
  </w:footnote>
  <w:footnote w:id="99">
    <w:p w:rsidR="003D3C78" w:rsidRPr="00CE3C47" w:rsidP="00B47D51" w14:paraId="74601142"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Id.</w:t>
      </w:r>
    </w:p>
  </w:footnote>
  <w:footnote w:id="100">
    <w:p w:rsidR="001C0151" w:rsidRPr="00CE3C47" w:rsidP="00B47D51" w14:paraId="2483015F"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R.C. 4909.15(A)(4).</w:t>
      </w:r>
    </w:p>
  </w:footnote>
  <w:footnote w:id="101">
    <w:p w:rsidR="00AB30BC" w:rsidRPr="00CE3C47" w:rsidP="00B47D51" w14:paraId="50D85EAB"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R.C. 4909.15(C)(1).</w:t>
      </w:r>
    </w:p>
  </w:footnote>
  <w:footnote w:id="102">
    <w:p w:rsidR="00EC33CB" w:rsidRPr="00CE3C47" w:rsidP="00B47D51" w14:paraId="17B4B910"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 xml:space="preserve">OCC Ex. </w:t>
      </w:r>
      <w:r w:rsidRPr="00CE3C47" w:rsidR="00216C91">
        <w:rPr>
          <w:rFonts w:ascii="Times New Roman" w:hAnsi="Times New Roman" w:cs="Times New Roman"/>
          <w:lang w:val="en-US"/>
        </w:rPr>
        <w:t>7</w:t>
      </w:r>
      <w:r w:rsidRPr="00CE3C47">
        <w:rPr>
          <w:rFonts w:ascii="Times New Roman" w:hAnsi="Times New Roman" w:cs="Times New Roman"/>
          <w:lang w:val="en-US"/>
        </w:rPr>
        <w:t>, OVEC Annual Report 2020 at 11 (emphasis added).</w:t>
      </w:r>
    </w:p>
  </w:footnote>
  <w:footnote w:id="103">
    <w:p w:rsidR="00937803" w:rsidRPr="00CE3C47" w:rsidP="00B47D51" w14:paraId="0B2C66B8"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Id.</w:t>
      </w:r>
    </w:p>
  </w:footnote>
  <w:footnote w:id="104">
    <w:p w:rsidR="005264F9" w:rsidRPr="00CE3C47" w:rsidP="00B47D51" w14:paraId="416D5465"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Staff Ex. 6, Duke Audit Report at 12 (Dec. 17, 2021).</w:t>
      </w:r>
    </w:p>
  </w:footnote>
  <w:footnote w:id="105">
    <w:p w:rsidR="00937803" w:rsidRPr="00CE3C47" w:rsidP="00B47D51" w14:paraId="1A4B7F56"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A775C8">
        <w:rPr>
          <w:rFonts w:ascii="Times New Roman" w:hAnsi="Times New Roman" w:cs="Times New Roman"/>
          <w:i/>
          <w:iCs/>
        </w:rPr>
        <w:t>Id.</w:t>
      </w:r>
      <w:r w:rsidRPr="00CE3C47">
        <w:rPr>
          <w:rFonts w:ascii="Times New Roman" w:hAnsi="Times New Roman" w:cs="Times New Roman"/>
        </w:rPr>
        <w:t xml:space="preserve"> at </w:t>
      </w:r>
      <w:r w:rsidRPr="00CE3C47" w:rsidR="00933F8D">
        <w:rPr>
          <w:rFonts w:ascii="Times New Roman" w:hAnsi="Times New Roman" w:cs="Times New Roman"/>
        </w:rPr>
        <w:t>13</w:t>
      </w:r>
      <w:r w:rsidRPr="00CE3C47" w:rsidR="00A775C8">
        <w:rPr>
          <w:rFonts w:ascii="Times New Roman" w:hAnsi="Times New Roman" w:cs="Times New Roman"/>
        </w:rPr>
        <w:t>.</w:t>
      </w:r>
    </w:p>
  </w:footnote>
  <w:footnote w:id="106">
    <w:p w:rsidR="00933F8D" w:rsidRPr="00CE3C47" w:rsidP="00B47D51" w14:paraId="5D60B525"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R.C. 4928.148(A).</w:t>
      </w:r>
    </w:p>
  </w:footnote>
  <w:footnote w:id="107">
    <w:p w:rsidR="005264F9" w:rsidRPr="00CE3C47" w:rsidP="00B47D51" w14:paraId="62124167"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color w:val="212121"/>
        </w:rPr>
        <w:t xml:space="preserve">In the Matters of </w:t>
      </w:r>
      <w:r w:rsidRPr="00CE3C47" w:rsidR="00C9147B">
        <w:rPr>
          <w:rFonts w:ascii="Times New Roman" w:hAnsi="Times New Roman" w:cs="Times New Roman"/>
          <w:i/>
          <w:iCs/>
          <w:color w:val="212121"/>
        </w:rPr>
        <w:t>t</w:t>
      </w:r>
      <w:r w:rsidRPr="00CE3C47">
        <w:rPr>
          <w:rFonts w:ascii="Times New Roman" w:hAnsi="Times New Roman" w:cs="Times New Roman"/>
          <w:i/>
          <w:iCs/>
          <w:color w:val="212121"/>
        </w:rPr>
        <w:t xml:space="preserve">he </w:t>
      </w:r>
      <w:r w:rsidRPr="00CE3C47">
        <w:rPr>
          <w:rFonts w:ascii="Times New Roman" w:hAnsi="Times New Roman" w:cs="Times New Roman"/>
          <w:i/>
          <w:iCs/>
        </w:rPr>
        <w:t xml:space="preserve">Application of Portland General Electric Company for an Investigation into Least Cost Plan Plant Retirement, </w:t>
      </w:r>
      <w:r w:rsidRPr="00CE3C47" w:rsidR="00C82AB0">
        <w:rPr>
          <w:rFonts w:ascii="Times New Roman" w:hAnsi="Times New Roman" w:cs="Times New Roman"/>
        </w:rPr>
        <w:t>Order</w:t>
      </w:r>
      <w:r w:rsidRPr="00CE3C47">
        <w:rPr>
          <w:rFonts w:ascii="Times New Roman" w:hAnsi="Times New Roman" w:cs="Times New Roman"/>
        </w:rPr>
        <w:t xml:space="preserve"> No. </w:t>
      </w:r>
      <w:bookmarkStart w:id="23" w:name="2008_Ore._PUC_LEXIS_370"/>
      <w:r w:rsidRPr="00CE3C47" w:rsidR="00C82AB0">
        <w:rPr>
          <w:rFonts w:ascii="Times New Roman" w:hAnsi="Times New Roman" w:cs="Times New Roman"/>
        </w:rPr>
        <w:t>08-</w:t>
      </w:r>
      <w:r w:rsidRPr="00CE3C47" w:rsidR="0012432C">
        <w:rPr>
          <w:rFonts w:ascii="Times New Roman" w:hAnsi="Times New Roman" w:cs="Times New Roman"/>
        </w:rPr>
        <w:t xml:space="preserve">487, </w:t>
      </w:r>
      <w:hyperlink r:id="rId3" w:history="1">
        <w:r w:rsidRPr="00CE3C47" w:rsidR="00A5008C">
          <w:rPr>
            <w:rStyle w:val="Hyperlink"/>
            <w:rFonts w:ascii="Times New Roman" w:hAnsi="Times New Roman" w:cs="Times New Roman"/>
            <w:color w:val="auto"/>
            <w:u w:val="none"/>
            <w:bdr w:val="none" w:sz="0" w:space="0" w:color="auto" w:frame="1"/>
            <w:shd w:val="clear" w:color="auto" w:fill="FFFFFF"/>
          </w:rPr>
          <w:t xml:space="preserve">2008 Ore. PUC LEXIS 370, </w:t>
        </w:r>
        <w:r w:rsidRPr="00CE3C47" w:rsidR="00A5008C">
          <w:rPr>
            <w:rFonts w:ascii="Times New Roman" w:hAnsi="Times New Roman" w:cs="Times New Roman"/>
            <w:shd w:val="clear" w:color="auto" w:fill="FFFFFF"/>
          </w:rPr>
          <w:t>269 P.U.R.4th 1, 200-201</w:t>
        </w:r>
        <w:r w:rsidRPr="00CE3C47" w:rsidR="00A5008C">
          <w:rPr>
            <w:rStyle w:val="Hyperlink"/>
            <w:rFonts w:ascii="Times New Roman" w:hAnsi="Times New Roman" w:cs="Times New Roman"/>
            <w:color w:val="auto"/>
            <w:u w:val="none"/>
            <w:bdr w:val="none" w:sz="0" w:space="0" w:color="auto" w:frame="1"/>
            <w:shd w:val="clear" w:color="auto" w:fill="FFFFFF"/>
          </w:rPr>
          <w:t> </w:t>
        </w:r>
      </w:hyperlink>
      <w:bookmarkEnd w:id="23"/>
      <w:r w:rsidRPr="00CE3C47" w:rsidR="00A5008C">
        <w:rPr>
          <w:rFonts w:ascii="Times New Roman" w:hAnsi="Times New Roman" w:cs="Times New Roman"/>
        </w:rPr>
        <w:t>(Sept. 30, 2008).</w:t>
      </w:r>
    </w:p>
  </w:footnote>
  <w:footnote w:id="108">
    <w:p w:rsidR="00EE779E" w:rsidRPr="00CE3C47" w:rsidP="00B47D51" w14:paraId="7163FB02"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 xml:space="preserve">OCC Ex. </w:t>
      </w:r>
      <w:r w:rsidRPr="00CE3C47" w:rsidR="00A775C8">
        <w:rPr>
          <w:rFonts w:ascii="Times New Roman" w:hAnsi="Times New Roman" w:cs="Times New Roman"/>
          <w:lang w:val="en-US"/>
        </w:rPr>
        <w:t>7</w:t>
      </w:r>
      <w:r w:rsidRPr="00CE3C47">
        <w:rPr>
          <w:rFonts w:ascii="Times New Roman" w:hAnsi="Times New Roman" w:cs="Times New Roman"/>
          <w:lang w:val="en-US"/>
        </w:rPr>
        <w:t>, OVEC Annual Report 2020 at 10-11.</w:t>
      </w:r>
    </w:p>
  </w:footnote>
  <w:footnote w:id="109">
    <w:p w:rsidR="00A556F3" w:rsidRPr="00CE3C47" w:rsidP="00B47D51" w14:paraId="23A17FD4"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 xml:space="preserve">Id. </w:t>
      </w:r>
      <w:r w:rsidRPr="00CE3C47">
        <w:rPr>
          <w:rFonts w:ascii="Times New Roman" w:hAnsi="Times New Roman" w:cs="Times New Roman"/>
          <w:lang w:val="en-US"/>
        </w:rPr>
        <w:t>at 10.</w:t>
      </w:r>
    </w:p>
  </w:footnote>
  <w:footnote w:id="110">
    <w:p w:rsidR="00E86B5C" w:rsidRPr="00CE3C47" w:rsidP="00B47D51" w14:paraId="05B1A47D"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 xml:space="preserve">Id. </w:t>
      </w:r>
      <w:r w:rsidRPr="00CE3C47">
        <w:rPr>
          <w:rFonts w:ascii="Times New Roman" w:hAnsi="Times New Roman" w:cs="Times New Roman"/>
        </w:rPr>
        <w:t>at 10-11 (emphasis added).</w:t>
      </w:r>
    </w:p>
  </w:footnote>
  <w:footnote w:id="111">
    <w:p w:rsidR="00774AA0" w:rsidRPr="00CE3C47" w:rsidP="00B47D51" w14:paraId="0AFFF2EE"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color w:val="212121"/>
        </w:rPr>
        <w:t xml:space="preserve">In the Matter of the </w:t>
      </w:r>
      <w:r w:rsidRPr="00CE3C47">
        <w:rPr>
          <w:rFonts w:ascii="Times New Roman" w:hAnsi="Times New Roman" w:cs="Times New Roman"/>
          <w:i/>
          <w:iCs/>
        </w:rPr>
        <w:t>Commission</w:t>
      </w:r>
      <w:r w:rsidRPr="00CE3C47" w:rsidR="001977EB">
        <w:rPr>
          <w:rFonts w:ascii="Times New Roman" w:hAnsi="Times New Roman" w:cs="Times New Roman"/>
          <w:i/>
          <w:iCs/>
        </w:rPr>
        <w:t>’</w:t>
      </w:r>
      <w:r w:rsidRPr="00CE3C47">
        <w:rPr>
          <w:rFonts w:ascii="Times New Roman" w:hAnsi="Times New Roman" w:cs="Times New Roman"/>
          <w:i/>
          <w:iCs/>
        </w:rPr>
        <w:t>s Investigation into the Financial Impact of</w:t>
      </w:r>
      <w:r w:rsidRPr="00CE3C47" w:rsidR="00A62FA5">
        <w:rPr>
          <w:rFonts w:ascii="Times New Roman" w:hAnsi="Times New Roman" w:cs="Times New Roman"/>
          <w:i/>
          <w:iCs/>
        </w:rPr>
        <w:t xml:space="preserve"> FASB </w:t>
      </w:r>
      <w:r w:rsidRPr="00CE3C47">
        <w:rPr>
          <w:rFonts w:ascii="Times New Roman" w:hAnsi="Times New Roman" w:cs="Times New Roman"/>
          <w:i/>
          <w:iCs/>
        </w:rPr>
        <w:t xml:space="preserve">Statement No. 106, </w:t>
      </w:r>
      <w:r w:rsidRPr="00CE3C47" w:rsidR="001977EB">
        <w:rPr>
          <w:rFonts w:ascii="Times New Roman" w:hAnsi="Times New Roman" w:cs="Times New Roman"/>
        </w:rPr>
        <w:t>“</w:t>
      </w:r>
      <w:r w:rsidRPr="00CE3C47">
        <w:rPr>
          <w:rFonts w:ascii="Times New Roman" w:hAnsi="Times New Roman" w:cs="Times New Roman"/>
        </w:rPr>
        <w:t>Employers Accounting for Postretirement Benefits Other Than Pensions</w:t>
      </w:r>
      <w:r w:rsidRPr="00CE3C47" w:rsidR="00CF6C31">
        <w:rPr>
          <w:rFonts w:ascii="Times New Roman" w:hAnsi="Times New Roman" w:cs="Times New Roman"/>
        </w:rPr>
        <w:t>,</w:t>
      </w:r>
      <w:r w:rsidRPr="00CE3C47" w:rsidR="001977EB">
        <w:rPr>
          <w:rFonts w:ascii="Times New Roman" w:hAnsi="Times New Roman" w:cs="Times New Roman"/>
        </w:rPr>
        <w:t>”</w:t>
      </w:r>
      <w:r w:rsidRPr="00CE3C47">
        <w:rPr>
          <w:rFonts w:ascii="Times New Roman" w:hAnsi="Times New Roman" w:cs="Times New Roman"/>
          <w:i/>
          <w:iCs/>
        </w:rPr>
        <w:t xml:space="preserve"> </w:t>
      </w:r>
      <w:r w:rsidRPr="00CE3C47">
        <w:rPr>
          <w:rFonts w:ascii="Times New Roman" w:hAnsi="Times New Roman" w:cs="Times New Roman"/>
        </w:rPr>
        <w:t xml:space="preserve">Case No. </w:t>
      </w:r>
      <w:r w:rsidRPr="00CE3C47">
        <w:rPr>
          <w:rFonts w:ascii="Times New Roman" w:hAnsi="Times New Roman" w:cs="Times New Roman"/>
          <w:shd w:val="clear" w:color="auto" w:fill="FFFFFF"/>
        </w:rPr>
        <w:t>92-1751-AU-COI, Finding and Order (Feb. 25, 1993).</w:t>
      </w:r>
    </w:p>
  </w:footnote>
  <w:footnote w:id="112">
    <w:p w:rsidR="00774AA0" w:rsidRPr="00CE3C47" w:rsidP="00B47D51" w14:paraId="18174BB0"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Id.</w:t>
      </w:r>
    </w:p>
  </w:footnote>
  <w:footnote w:id="113">
    <w:p w:rsidR="00774AA0" w:rsidRPr="00CE3C47" w:rsidP="00B47D51" w14:paraId="50BF4D64"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 xml:space="preserve">OCC Ex. </w:t>
      </w:r>
      <w:r w:rsidRPr="00CE3C47" w:rsidR="00A775C8">
        <w:rPr>
          <w:rFonts w:ascii="Times New Roman" w:hAnsi="Times New Roman" w:cs="Times New Roman"/>
          <w:lang w:val="en-US"/>
        </w:rPr>
        <w:t>7</w:t>
      </w:r>
      <w:r w:rsidRPr="00CE3C47">
        <w:rPr>
          <w:rFonts w:ascii="Times New Roman" w:hAnsi="Times New Roman" w:cs="Times New Roman"/>
          <w:lang w:val="en-US"/>
        </w:rPr>
        <w:t>, OVEC Annual Report 2020 at 10-11.</w:t>
      </w:r>
    </w:p>
  </w:footnote>
  <w:footnote w:id="114">
    <w:p w:rsidR="00BA0431" w:rsidRPr="00CE3C47" w:rsidP="00B47D51" w14:paraId="5608E6D8"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The amounts collected by AEP, Duke and DP&amp;L for postretirement benefit costs during 2020 can be determined from the monthly OVEC billing statements (OCC Ex. 12C) multiplied by their OVEC ownership share.</w:t>
      </w:r>
    </w:p>
  </w:footnote>
  <w:footnote w:id="115">
    <w:p w:rsidR="007829C0" w:rsidRPr="00CE3C47" w:rsidP="00B47D51" w14:paraId="2E8CCD6D"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Staff Ex. 1, Audit Report at ¶¶ 27-34.</w:t>
      </w:r>
    </w:p>
  </w:footnote>
  <w:footnote w:id="116">
    <w:p w:rsidR="00BE7737" w:rsidRPr="00CE3C47" w:rsidP="00B47D51" w14:paraId="6AB1AA15"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Staff Ex. 4, AEP Audit Report (Dec. 17, 2021); Staff Ex. 6, Duke Audit Report (Dec. 17, 2021); Staff Ex. 2, AES Ohio Audit Report (Dec. 17, 2021).</w:t>
      </w:r>
    </w:p>
  </w:footnote>
  <w:footnote w:id="117">
    <w:p w:rsidR="00BE7737" w:rsidRPr="00CE3C47" w:rsidP="00B47D51" w14:paraId="3CD6DF84"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Id.</w:t>
      </w:r>
    </w:p>
  </w:footnote>
  <w:footnote w:id="118">
    <w:p w:rsidR="00BE7737" w:rsidRPr="00CE3C47" w:rsidP="00B47D51" w14:paraId="1A499669"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In the Matter of the Review of the Power Purchase Agreement Rider of Ohio Power Company for 2018</w:t>
      </w:r>
      <w:r w:rsidRPr="00CE3C47">
        <w:rPr>
          <w:rFonts w:ascii="Times New Roman" w:hAnsi="Times New Roman" w:cs="Times New Roman"/>
        </w:rPr>
        <w:t>, Case No. 18-1004-EL-RDR,</w:t>
      </w:r>
      <w:r w:rsidRPr="00CE3C47" w:rsidR="00CD7DA7">
        <w:rPr>
          <w:rFonts w:ascii="Times New Roman" w:hAnsi="Times New Roman" w:cs="Times New Roman"/>
        </w:rPr>
        <w:t xml:space="preserve"> et al.</w:t>
      </w:r>
      <w:r w:rsidRPr="00CE3C47">
        <w:rPr>
          <w:rFonts w:ascii="Times New Roman" w:hAnsi="Times New Roman" w:cs="Times New Roman"/>
        </w:rPr>
        <w:t xml:space="preserve"> Audit Report (Sept. 16, 2020).</w:t>
      </w:r>
    </w:p>
  </w:footnote>
  <w:footnote w:id="119">
    <w:p w:rsidR="00BE7737" w:rsidRPr="00CE3C47" w:rsidP="00B47D51" w14:paraId="141BEA40"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In the Matter of the Review of the Reconciliation Rider of Duke Energy Ohio, Inc.</w:t>
      </w:r>
      <w:r w:rsidRPr="00CE3C47">
        <w:rPr>
          <w:rFonts w:ascii="Times New Roman" w:hAnsi="Times New Roman" w:cs="Times New Roman"/>
        </w:rPr>
        <w:t>, Case No. 20-167-EL-RDR, Audit Report (Oct. 10, 2021).</w:t>
      </w:r>
    </w:p>
  </w:footnote>
  <w:footnote w:id="120">
    <w:p w:rsidR="00B94AC7" w:rsidRPr="00CE3C47" w:rsidP="00B47D51" w14:paraId="0DF66442"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Perez Testimony at Attachment J</w:t>
      </w:r>
      <w:r w:rsidRPr="00CE3C47" w:rsidR="00525C65">
        <w:rPr>
          <w:rFonts w:ascii="Times New Roman" w:hAnsi="Times New Roman" w:cs="Times New Roman"/>
        </w:rPr>
        <w:t>SP</w:t>
      </w:r>
      <w:r w:rsidRPr="00CE3C47">
        <w:rPr>
          <w:rFonts w:ascii="Times New Roman" w:hAnsi="Times New Roman" w:cs="Times New Roman"/>
        </w:rPr>
        <w:t>-3.</w:t>
      </w:r>
    </w:p>
  </w:footnote>
  <w:footnote w:id="121">
    <w:p w:rsidR="000850E3" w:rsidRPr="00CE3C47" w:rsidP="00B47D51" w14:paraId="4070E4A2"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Id.</w:t>
      </w:r>
    </w:p>
  </w:footnote>
  <w:footnote w:id="122">
    <w:p w:rsidR="000850E3" w:rsidRPr="00CE3C47" w:rsidP="00B47D51" w14:paraId="45FFFE95"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Id.</w:t>
      </w:r>
    </w:p>
  </w:footnote>
  <w:footnote w:id="123">
    <w:p w:rsidR="009C36D9" w:rsidRPr="00CE3C47" w:rsidP="00B47D51" w14:paraId="08D66AE8" w14:textId="77777777">
      <w:pPr>
        <w:pStyle w:val="FootnoteText"/>
        <w:spacing w:after="120"/>
        <w:rPr>
          <w:rFonts w:ascii="Times New Roman" w:hAnsi="Times New Roman" w:cs="Times New Roman"/>
          <w:i/>
          <w:iCs/>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Id.</w:t>
      </w:r>
    </w:p>
  </w:footnote>
  <w:footnote w:id="124">
    <w:p w:rsidR="009C36D9" w:rsidRPr="00CE3C47" w:rsidP="00B47D51" w14:paraId="24CFF26A"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lang w:val="en-US"/>
        </w:rPr>
        <w:t>Id.</w:t>
      </w:r>
      <w:r w:rsidRPr="00CE3C47">
        <w:rPr>
          <w:rFonts w:ascii="Times New Roman" w:hAnsi="Times New Roman" w:cs="Times New Roman"/>
          <w:lang w:val="en-US"/>
        </w:rPr>
        <w:t>; OCC Ex. 10.</w:t>
      </w:r>
    </w:p>
  </w:footnote>
  <w:footnote w:id="125">
    <w:p w:rsidR="006E520B" w:rsidRPr="00CE3C47" w:rsidP="00B47D51" w14:paraId="5893A5D2"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9F018E">
        <w:rPr>
          <w:rFonts w:ascii="Times New Roman" w:hAnsi="Times New Roman" w:cs="Times New Roman"/>
          <w:lang w:val="en-US"/>
        </w:rPr>
        <w:t>Hearing Transcript Vol. II, pp. 187-209 (Nov. 15, 2023).</w:t>
      </w:r>
    </w:p>
  </w:footnote>
  <w:footnote w:id="126">
    <w:p w:rsidR="00D023C9" w:rsidRPr="00CE3C47" w:rsidP="00B47D51" w14:paraId="334D56E9"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Perez Testimony at Attachment J</w:t>
      </w:r>
      <w:r w:rsidRPr="00CE3C47" w:rsidR="009964B2">
        <w:rPr>
          <w:rFonts w:ascii="Times New Roman" w:hAnsi="Times New Roman" w:cs="Times New Roman"/>
        </w:rPr>
        <w:t>SP</w:t>
      </w:r>
      <w:r w:rsidRPr="00CE3C47">
        <w:rPr>
          <w:rFonts w:ascii="Times New Roman" w:hAnsi="Times New Roman" w:cs="Times New Roman"/>
        </w:rPr>
        <w:t>-3.</w:t>
      </w:r>
    </w:p>
  </w:footnote>
  <w:footnote w:id="127">
    <w:p w:rsidR="006E520B" w:rsidRPr="00CE3C47" w:rsidP="00B47D51" w14:paraId="390BF885"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Perez Testimony at 2-5.</w:t>
      </w:r>
    </w:p>
  </w:footnote>
  <w:footnote w:id="128">
    <w:p w:rsidR="00D4077A" w:rsidRPr="00CE3C47" w:rsidP="00B47D51" w14:paraId="1B49D1EC"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6E520B">
        <w:rPr>
          <w:rFonts w:ascii="Times New Roman" w:hAnsi="Times New Roman" w:cs="Times New Roman"/>
          <w:i/>
          <w:iCs/>
          <w:lang w:val="en-US"/>
        </w:rPr>
        <w:t>Id.</w:t>
      </w:r>
      <w:r w:rsidRPr="00CE3C47">
        <w:rPr>
          <w:rFonts w:ascii="Times New Roman" w:hAnsi="Times New Roman" w:cs="Times New Roman"/>
          <w:lang w:val="en-US"/>
        </w:rPr>
        <w:t xml:space="preserve">; Hearing Transcript Vol. </w:t>
      </w:r>
      <w:r w:rsidRPr="00CE3C47" w:rsidR="005007A3">
        <w:rPr>
          <w:rFonts w:ascii="Times New Roman" w:hAnsi="Times New Roman" w:cs="Times New Roman"/>
          <w:lang w:val="en-US"/>
        </w:rPr>
        <w:t>V</w:t>
      </w:r>
      <w:r w:rsidRPr="00CE3C47">
        <w:rPr>
          <w:rFonts w:ascii="Times New Roman" w:hAnsi="Times New Roman" w:cs="Times New Roman"/>
          <w:lang w:val="en-US"/>
        </w:rPr>
        <w:t>, pp. 12</w:t>
      </w:r>
      <w:r w:rsidRPr="00CE3C47" w:rsidR="005007A3">
        <w:rPr>
          <w:rFonts w:ascii="Times New Roman" w:hAnsi="Times New Roman" w:cs="Times New Roman"/>
          <w:lang w:val="en-US"/>
        </w:rPr>
        <w:t>53</w:t>
      </w:r>
      <w:r w:rsidRPr="00CE3C47">
        <w:rPr>
          <w:rFonts w:ascii="Times New Roman" w:hAnsi="Times New Roman" w:cs="Times New Roman"/>
          <w:lang w:val="en-US"/>
        </w:rPr>
        <w:t>-12</w:t>
      </w:r>
      <w:r w:rsidRPr="00CE3C47" w:rsidR="005007A3">
        <w:rPr>
          <w:rFonts w:ascii="Times New Roman" w:hAnsi="Times New Roman" w:cs="Times New Roman"/>
          <w:lang w:val="en-US"/>
        </w:rPr>
        <w:t>5</w:t>
      </w:r>
      <w:r w:rsidRPr="00CE3C47">
        <w:rPr>
          <w:rFonts w:ascii="Times New Roman" w:hAnsi="Times New Roman" w:cs="Times New Roman"/>
          <w:lang w:val="en-US"/>
        </w:rPr>
        <w:t>5 (Nov. 1</w:t>
      </w:r>
      <w:r w:rsidRPr="00CE3C47" w:rsidR="005007A3">
        <w:rPr>
          <w:rFonts w:ascii="Times New Roman" w:hAnsi="Times New Roman" w:cs="Times New Roman"/>
          <w:lang w:val="en-US"/>
        </w:rPr>
        <w:t>7</w:t>
      </w:r>
      <w:r w:rsidRPr="00CE3C47">
        <w:rPr>
          <w:rFonts w:ascii="Times New Roman" w:hAnsi="Times New Roman" w:cs="Times New Roman"/>
          <w:lang w:val="en-US"/>
        </w:rPr>
        <w:t>, 2023).</w:t>
      </w:r>
    </w:p>
  </w:footnote>
  <w:footnote w:id="129">
    <w:p w:rsidR="00A32491" w:rsidRPr="00CE3C47" w:rsidP="00B47D51" w14:paraId="7A0708C6"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Hearing Transcript Vol. II, pp. 207-229 (Nov. 15, 2023).</w:t>
      </w:r>
    </w:p>
  </w:footnote>
  <w:footnote w:id="130">
    <w:p w:rsidR="007829C0" w:rsidRPr="00CE3C47" w:rsidP="00B47D51" w14:paraId="7AE87D0D"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Ohio R.Evid. 103(A).</w:t>
      </w:r>
    </w:p>
  </w:footnote>
  <w:footnote w:id="131">
    <w:p w:rsidR="00F2136D" w:rsidRPr="00CE3C47" w:rsidP="00B47D51" w14:paraId="441255EE"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Hearing Transcript Vol. II, pp. 202-203 (Nov. 15, 2023).</w:t>
      </w:r>
    </w:p>
  </w:footnote>
  <w:footnote w:id="132">
    <w:p w:rsidR="007829C0" w:rsidRPr="00CE3C47" w:rsidP="00B47D51" w14:paraId="0E776F32"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Ohio R.Evid 401.</w:t>
      </w:r>
    </w:p>
  </w:footnote>
  <w:footnote w:id="133">
    <w:p w:rsidR="007829C0" w:rsidRPr="00CE3C47" w:rsidP="00B47D51" w14:paraId="16F17B94"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i/>
          <w:iCs/>
        </w:rPr>
        <w:t xml:space="preserve"> Colony by the Mall v. Duckro, </w:t>
      </w:r>
      <w:r w:rsidRPr="00CE3C47">
        <w:rPr>
          <w:rFonts w:ascii="Times New Roman" w:hAnsi="Times New Roman" w:cs="Times New Roman"/>
        </w:rPr>
        <w:t xml:space="preserve">2d Dist. Mont. No. CA 6169, </w:t>
      </w:r>
      <w:r w:rsidRPr="00CE3C47">
        <w:rPr>
          <w:rFonts w:ascii="Times New Roman" w:hAnsi="Times New Roman" w:cs="Times New Roman"/>
          <w:color w:val="212121"/>
          <w:shd w:val="clear" w:color="auto" w:fill="FFFFFF"/>
        </w:rPr>
        <w:t>1979 Ohio App. LEXIS 8802 (June 29, 1979).</w:t>
      </w:r>
    </w:p>
  </w:footnote>
  <w:footnote w:id="134">
    <w:p w:rsidR="007829C0" w:rsidRPr="00CE3C47" w:rsidP="00B47D51" w14:paraId="491E88E6"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 xml:space="preserve">State ex rel. Mohr v. Colerain Twp., </w:t>
      </w:r>
      <w:r w:rsidRPr="00CE3C47">
        <w:rPr>
          <w:rFonts w:ascii="Times New Roman" w:hAnsi="Times New Roman" w:cs="Times New Roman"/>
        </w:rPr>
        <w:t>2022-Ohio-1109, 1</w:t>
      </w:r>
      <w:r w:rsidRPr="00CE3C47">
        <w:rPr>
          <w:rFonts w:ascii="Times New Roman" w:hAnsi="Times New Roman" w:cs="Times New Roman"/>
          <w:vertAlign w:val="superscript"/>
        </w:rPr>
        <w:t>st</w:t>
      </w:r>
      <w:r w:rsidRPr="00CE3C47">
        <w:rPr>
          <w:rFonts w:ascii="Times New Roman" w:hAnsi="Times New Roman" w:cs="Times New Roman"/>
        </w:rPr>
        <w:t xml:space="preserve"> Dist.; </w:t>
      </w:r>
      <w:r w:rsidRPr="00CE3C47">
        <w:rPr>
          <w:rStyle w:val="ssit"/>
          <w:rFonts w:ascii="Times New Roman" w:hAnsi="Times New Roman" w:cs="Times New Roman"/>
          <w:i/>
          <w:iCs/>
          <w:bdr w:val="none" w:sz="0" w:space="0" w:color="auto" w:frame="1"/>
          <w:shd w:val="clear" w:color="auto" w:fill="FFFFFF"/>
        </w:rPr>
        <w:t>Shore v. Best Cuts, Inc.</w:t>
      </w:r>
      <w:r w:rsidRPr="00CE3C47">
        <w:rPr>
          <w:rFonts w:ascii="Times New Roman" w:hAnsi="Times New Roman" w:cs="Times New Roman"/>
          <w:bdr w:val="none" w:sz="0" w:space="0" w:color="auto" w:frame="1"/>
          <w:shd w:val="clear" w:color="auto" w:fill="FFFFFF"/>
        </w:rPr>
        <w:t>, 8th Dist. Cuyahoga No. 77340, 2000 Ohio App. LEXIS 5553, 2000 WL 1754007 (Nov</w:t>
      </w:r>
      <w:r w:rsidRPr="00CE3C47" w:rsidR="00A52B56">
        <w:rPr>
          <w:rFonts w:ascii="Times New Roman" w:hAnsi="Times New Roman" w:cs="Times New Roman"/>
          <w:bdr w:val="none" w:sz="0" w:space="0" w:color="auto" w:frame="1"/>
          <w:shd w:val="clear" w:color="auto" w:fill="FFFFFF"/>
        </w:rPr>
        <w:t>.</w:t>
      </w:r>
      <w:r w:rsidRPr="00CE3C47">
        <w:rPr>
          <w:rFonts w:ascii="Times New Roman" w:hAnsi="Times New Roman" w:cs="Times New Roman"/>
          <w:bdr w:val="none" w:sz="0" w:space="0" w:color="auto" w:frame="1"/>
          <w:shd w:val="clear" w:color="auto" w:fill="FFFFFF"/>
        </w:rPr>
        <w:t xml:space="preserve"> 30, 2000)</w:t>
      </w:r>
      <w:r w:rsidRPr="00CE3C47">
        <w:rPr>
          <w:rFonts w:ascii="Times New Roman" w:hAnsi="Times New Roman" w:cs="Times New Roman"/>
          <w:shd w:val="clear" w:color="auto" w:fill="FFFFFF"/>
        </w:rPr>
        <w:t>; </w:t>
      </w:r>
      <w:r w:rsidRPr="00CE3C47">
        <w:rPr>
          <w:rFonts w:ascii="Times New Roman" w:hAnsi="Times New Roman" w:cs="Times New Roman"/>
          <w:i/>
          <w:iCs/>
        </w:rPr>
        <w:t xml:space="preserve">Colony by the Mall v. Duckro, </w:t>
      </w:r>
      <w:r w:rsidRPr="00CE3C47">
        <w:rPr>
          <w:rFonts w:ascii="Times New Roman" w:hAnsi="Times New Roman" w:cs="Times New Roman"/>
        </w:rPr>
        <w:t xml:space="preserve">2d Dist. Mont. No. CA 6169, </w:t>
      </w:r>
      <w:r w:rsidRPr="00CE3C47">
        <w:rPr>
          <w:rFonts w:ascii="Times New Roman" w:hAnsi="Times New Roman" w:cs="Times New Roman"/>
          <w:color w:val="212121"/>
          <w:shd w:val="clear" w:color="auto" w:fill="FFFFFF"/>
        </w:rPr>
        <w:t>1979 Ohio App. LEXIS 8802 (June 29, 1979).</w:t>
      </w:r>
    </w:p>
  </w:footnote>
  <w:footnote w:id="135">
    <w:p w:rsidR="00FE2AF4" w:rsidRPr="00CE3C47" w:rsidP="00B47D51" w14:paraId="3376B8DF" w14:textId="77777777">
      <w:pPr>
        <w:pStyle w:val="FootnoteText"/>
        <w:spacing w:after="120"/>
        <w:rPr>
          <w:rFonts w:ascii="Times New Roman" w:hAnsi="Times New Roman" w:cs="Times New Roman"/>
          <w:lang w:val="en-U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lang w:val="en-US"/>
        </w:rPr>
        <w:t>Entry, Request for Proposals (May 5, 2021).</w:t>
      </w:r>
    </w:p>
  </w:footnote>
  <w:footnote w:id="136">
    <w:p w:rsidR="007829C0" w:rsidRPr="00CE3C47" w:rsidP="00B47D51" w14:paraId="6C9F0A44"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Ohio R.Evid. 402.</w:t>
      </w:r>
    </w:p>
  </w:footnote>
  <w:footnote w:id="137">
    <w:p w:rsidR="007829C0" w:rsidRPr="00CE3C47" w:rsidP="00B47D51" w14:paraId="2C59C8F1"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Ohio R.Evid. 403.</w:t>
      </w:r>
    </w:p>
  </w:footnote>
  <w:footnote w:id="138">
    <w:p w:rsidR="007829C0" w:rsidRPr="00CE3C47" w:rsidP="00B47D51" w14:paraId="0B7E914F" w14:textId="77777777">
      <w:pPr>
        <w:pStyle w:val="FootnoteText"/>
        <w:spacing w:after="120"/>
        <w:rPr>
          <w:rFonts w:ascii="Times New Roman" w:hAnsi="Times New Roman" w:cs="Times New Roman"/>
          <w:i/>
          <w:iC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sidR="002F423A">
        <w:rPr>
          <w:rFonts w:ascii="Times New Roman" w:hAnsi="Times New Roman" w:cs="Times New Roman"/>
          <w:lang w:val="en-US"/>
        </w:rPr>
        <w:t>Entry, Request for Proposals (May 5, 2021).</w:t>
      </w:r>
    </w:p>
  </w:footnote>
  <w:footnote w:id="139">
    <w:p w:rsidR="007829C0" w:rsidRPr="00CE3C47" w:rsidP="00B47D51" w14:paraId="11992951" w14:textId="77777777">
      <w:pPr>
        <w:pStyle w:val="FootnoteText"/>
        <w:spacing w:after="120"/>
        <w:rPr>
          <w:rFonts w:ascii="Times New Roman" w:hAnsi="Times New Roman" w:cs="Times New Roman"/>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 xml:space="preserve">Oberlin v. Akron Gen. Med. Ctr., </w:t>
      </w:r>
      <w:bookmarkStart w:id="26" w:name="91_Ohio_St._3d_169"/>
      <w:r w:rsidRPr="00CE3C47">
        <w:rPr>
          <w:rFonts w:ascii="Times New Roman" w:hAnsi="Times New Roman" w:cs="Times New Roman"/>
        </w:rPr>
        <w:t>91 Ohio St.3d 169, 2001-Ohio-248, 743 N.E.2d 890.</w:t>
      </w:r>
      <w:r w:rsidRPr="00CE3C47">
        <w:rPr>
          <w:rFonts w:ascii="Times New Roman" w:hAnsi="Times New Roman" w:cs="Times New Roman"/>
          <w:i/>
          <w:iCs/>
        </w:rPr>
        <w:t xml:space="preserve"> </w:t>
      </w:r>
      <w:bookmarkEnd w:id="26"/>
    </w:p>
  </w:footnote>
  <w:footnote w:id="140">
    <w:p w:rsidR="007829C0" w:rsidRPr="00CE3C47" w:rsidP="00B47D51" w14:paraId="3BD2C2F2" w14:textId="77777777">
      <w:pPr>
        <w:pStyle w:val="FootnoteText"/>
        <w:spacing w:after="120"/>
        <w:rPr>
          <w:rFonts w:ascii="Times New Roman" w:hAnsi="Times New Roman" w:cs="Times New Roman"/>
          <w:i/>
          <w:iCs/>
        </w:rPr>
      </w:pPr>
      <w:r w:rsidRPr="00CE3C47">
        <w:rPr>
          <w:rStyle w:val="FootnoteReference"/>
          <w:rFonts w:ascii="Times New Roman" w:hAnsi="Times New Roman" w:cs="Times New Roman"/>
        </w:rPr>
        <w:footnoteRef/>
      </w:r>
      <w:r w:rsidRPr="00CE3C47">
        <w:rPr>
          <w:rFonts w:ascii="Times New Roman" w:hAnsi="Times New Roman" w:cs="Times New Roman"/>
        </w:rPr>
        <w:t xml:space="preserve"> </w:t>
      </w:r>
      <w:r w:rsidRPr="00CE3C47">
        <w:rPr>
          <w:rFonts w:ascii="Times New Roman" w:hAnsi="Times New Roman" w:cs="Times New Roman"/>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AA9" w14:paraId="32EBCF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AA9" w14:paraId="62F0219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0AA9" w14:paraId="13B42CF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E4466C"/>
    <w:multiLevelType w:val="hybridMultilevel"/>
    <w:tmpl w:val="BDFE41DC"/>
    <w:lvl w:ilvl="0">
      <w:start w:val="37"/>
      <w:numFmt w:val="decimal"/>
      <w:lvlText w:val="%1"/>
      <w:lvlJc w:val="left"/>
      <w:pPr>
        <w:ind w:left="691" w:hanging="320"/>
      </w:pPr>
      <w:rPr>
        <w:rFonts w:hint="default"/>
        <w:spacing w:val="-1"/>
        <w:w w:val="99"/>
        <w:lang w:val="en-US" w:eastAsia="en-US" w:bidi="ar-SA"/>
      </w:rPr>
    </w:lvl>
    <w:lvl w:ilvl="1">
      <w:start w:val="0"/>
      <w:numFmt w:val="bullet"/>
      <w:lvlText w:val="•"/>
      <w:lvlJc w:val="left"/>
      <w:pPr>
        <w:ind w:left="1231" w:hanging="320"/>
      </w:pPr>
      <w:rPr>
        <w:rFonts w:hint="default"/>
        <w:lang w:val="en-US" w:eastAsia="en-US" w:bidi="ar-SA"/>
      </w:rPr>
    </w:lvl>
    <w:lvl w:ilvl="2">
      <w:start w:val="0"/>
      <w:numFmt w:val="bullet"/>
      <w:lvlText w:val="•"/>
      <w:lvlJc w:val="left"/>
      <w:pPr>
        <w:ind w:left="1762" w:hanging="320"/>
      </w:pPr>
      <w:rPr>
        <w:rFonts w:hint="default"/>
        <w:lang w:val="en-US" w:eastAsia="en-US" w:bidi="ar-SA"/>
      </w:rPr>
    </w:lvl>
    <w:lvl w:ilvl="3">
      <w:start w:val="0"/>
      <w:numFmt w:val="bullet"/>
      <w:lvlText w:val="•"/>
      <w:lvlJc w:val="left"/>
      <w:pPr>
        <w:ind w:left="2293" w:hanging="320"/>
      </w:pPr>
      <w:rPr>
        <w:rFonts w:hint="default"/>
        <w:lang w:val="en-US" w:eastAsia="en-US" w:bidi="ar-SA"/>
      </w:rPr>
    </w:lvl>
    <w:lvl w:ilvl="4">
      <w:start w:val="0"/>
      <w:numFmt w:val="bullet"/>
      <w:lvlText w:val="•"/>
      <w:lvlJc w:val="left"/>
      <w:pPr>
        <w:ind w:left="2824" w:hanging="320"/>
      </w:pPr>
      <w:rPr>
        <w:rFonts w:hint="default"/>
        <w:lang w:val="en-US" w:eastAsia="en-US" w:bidi="ar-SA"/>
      </w:rPr>
    </w:lvl>
    <w:lvl w:ilvl="5">
      <w:start w:val="0"/>
      <w:numFmt w:val="bullet"/>
      <w:lvlText w:val="•"/>
      <w:lvlJc w:val="left"/>
      <w:pPr>
        <w:ind w:left="3355" w:hanging="320"/>
      </w:pPr>
      <w:rPr>
        <w:rFonts w:hint="default"/>
        <w:lang w:val="en-US" w:eastAsia="en-US" w:bidi="ar-SA"/>
      </w:rPr>
    </w:lvl>
    <w:lvl w:ilvl="6">
      <w:start w:val="0"/>
      <w:numFmt w:val="bullet"/>
      <w:lvlText w:val="•"/>
      <w:lvlJc w:val="left"/>
      <w:pPr>
        <w:ind w:left="3887" w:hanging="320"/>
      </w:pPr>
      <w:rPr>
        <w:rFonts w:hint="default"/>
        <w:lang w:val="en-US" w:eastAsia="en-US" w:bidi="ar-SA"/>
      </w:rPr>
    </w:lvl>
    <w:lvl w:ilvl="7">
      <w:start w:val="0"/>
      <w:numFmt w:val="bullet"/>
      <w:lvlText w:val="•"/>
      <w:lvlJc w:val="left"/>
      <w:pPr>
        <w:ind w:left="4418" w:hanging="320"/>
      </w:pPr>
      <w:rPr>
        <w:rFonts w:hint="default"/>
        <w:lang w:val="en-US" w:eastAsia="en-US" w:bidi="ar-SA"/>
      </w:rPr>
    </w:lvl>
    <w:lvl w:ilvl="8">
      <w:start w:val="0"/>
      <w:numFmt w:val="bullet"/>
      <w:lvlText w:val="•"/>
      <w:lvlJc w:val="left"/>
      <w:pPr>
        <w:ind w:left="4949" w:hanging="320"/>
      </w:pPr>
      <w:rPr>
        <w:rFonts w:hint="default"/>
        <w:lang w:val="en-US" w:eastAsia="en-US" w:bidi="ar-SA"/>
      </w:rPr>
    </w:lvl>
  </w:abstractNum>
  <w:abstractNum w:abstractNumId="1">
    <w:nsid w:val="09803447"/>
    <w:multiLevelType w:val="hybridMultilevel"/>
    <w:tmpl w:val="90A2FDFA"/>
    <w:lvl w:ilvl="0">
      <w:start w:val="56"/>
      <w:numFmt w:val="decimal"/>
      <w:lvlText w:val="%1"/>
      <w:lvlJc w:val="left"/>
      <w:pPr>
        <w:ind w:left="690" w:hanging="325"/>
      </w:pPr>
      <w:rPr>
        <w:rFonts w:hint="default"/>
        <w:spacing w:val="-1"/>
        <w:w w:val="106"/>
        <w:lang w:val="en-US" w:eastAsia="en-US" w:bidi="ar-SA"/>
      </w:rPr>
    </w:lvl>
    <w:lvl w:ilvl="1">
      <w:start w:val="0"/>
      <w:numFmt w:val="bullet"/>
      <w:lvlText w:val="•"/>
      <w:lvlJc w:val="left"/>
      <w:pPr>
        <w:ind w:left="1094" w:hanging="325"/>
      </w:pPr>
      <w:rPr>
        <w:rFonts w:hint="default"/>
        <w:lang w:val="en-US" w:eastAsia="en-US" w:bidi="ar-SA"/>
      </w:rPr>
    </w:lvl>
    <w:lvl w:ilvl="2">
      <w:start w:val="0"/>
      <w:numFmt w:val="bullet"/>
      <w:lvlText w:val="•"/>
      <w:lvlJc w:val="left"/>
      <w:pPr>
        <w:ind w:left="1488" w:hanging="325"/>
      </w:pPr>
      <w:rPr>
        <w:rFonts w:hint="default"/>
        <w:lang w:val="en-US" w:eastAsia="en-US" w:bidi="ar-SA"/>
      </w:rPr>
    </w:lvl>
    <w:lvl w:ilvl="3">
      <w:start w:val="0"/>
      <w:numFmt w:val="bullet"/>
      <w:lvlText w:val="•"/>
      <w:lvlJc w:val="left"/>
      <w:pPr>
        <w:ind w:left="1882" w:hanging="325"/>
      </w:pPr>
      <w:rPr>
        <w:rFonts w:hint="default"/>
        <w:lang w:val="en-US" w:eastAsia="en-US" w:bidi="ar-SA"/>
      </w:rPr>
    </w:lvl>
    <w:lvl w:ilvl="4">
      <w:start w:val="0"/>
      <w:numFmt w:val="bullet"/>
      <w:lvlText w:val="•"/>
      <w:lvlJc w:val="left"/>
      <w:pPr>
        <w:ind w:left="2277" w:hanging="325"/>
      </w:pPr>
      <w:rPr>
        <w:rFonts w:hint="default"/>
        <w:lang w:val="en-US" w:eastAsia="en-US" w:bidi="ar-SA"/>
      </w:rPr>
    </w:lvl>
    <w:lvl w:ilvl="5">
      <w:start w:val="0"/>
      <w:numFmt w:val="bullet"/>
      <w:lvlText w:val="•"/>
      <w:lvlJc w:val="left"/>
      <w:pPr>
        <w:ind w:left="2671" w:hanging="325"/>
      </w:pPr>
      <w:rPr>
        <w:rFonts w:hint="default"/>
        <w:lang w:val="en-US" w:eastAsia="en-US" w:bidi="ar-SA"/>
      </w:rPr>
    </w:lvl>
    <w:lvl w:ilvl="6">
      <w:start w:val="0"/>
      <w:numFmt w:val="bullet"/>
      <w:lvlText w:val="•"/>
      <w:lvlJc w:val="left"/>
      <w:pPr>
        <w:ind w:left="3065" w:hanging="325"/>
      </w:pPr>
      <w:rPr>
        <w:rFonts w:hint="default"/>
        <w:lang w:val="en-US" w:eastAsia="en-US" w:bidi="ar-SA"/>
      </w:rPr>
    </w:lvl>
    <w:lvl w:ilvl="7">
      <w:start w:val="0"/>
      <w:numFmt w:val="bullet"/>
      <w:lvlText w:val="•"/>
      <w:lvlJc w:val="left"/>
      <w:pPr>
        <w:ind w:left="3459" w:hanging="325"/>
      </w:pPr>
      <w:rPr>
        <w:rFonts w:hint="default"/>
        <w:lang w:val="en-US" w:eastAsia="en-US" w:bidi="ar-SA"/>
      </w:rPr>
    </w:lvl>
    <w:lvl w:ilvl="8">
      <w:start w:val="0"/>
      <w:numFmt w:val="bullet"/>
      <w:lvlText w:val="•"/>
      <w:lvlJc w:val="left"/>
      <w:pPr>
        <w:ind w:left="3854" w:hanging="325"/>
      </w:pPr>
      <w:rPr>
        <w:rFonts w:hint="default"/>
        <w:lang w:val="en-US" w:eastAsia="en-US" w:bidi="ar-SA"/>
      </w:rPr>
    </w:lvl>
  </w:abstractNum>
  <w:abstractNum w:abstractNumId="2">
    <w:nsid w:val="16F02EF2"/>
    <w:multiLevelType w:val="hybridMultilevel"/>
    <w:tmpl w:val="53E2612A"/>
    <w:lvl w:ilvl="0">
      <w:start w:val="1"/>
      <w:numFmt w:val="upperRoman"/>
      <w:lvlText w:val="%1."/>
      <w:lvlJc w:val="left"/>
      <w:pPr>
        <w:ind w:left="4480" w:hanging="717"/>
        <w:jc w:val="right"/>
      </w:pPr>
      <w:rPr>
        <w:rFonts w:hint="default"/>
        <w:spacing w:val="0"/>
        <w:w w:val="96"/>
        <w:lang w:val="en-US" w:eastAsia="en-US" w:bidi="ar-SA"/>
      </w:rPr>
    </w:lvl>
    <w:lvl w:ilvl="1">
      <w:start w:val="0"/>
      <w:numFmt w:val="bullet"/>
      <w:lvlText w:val="•"/>
      <w:lvlJc w:val="left"/>
      <w:pPr>
        <w:ind w:left="5175" w:hanging="717"/>
      </w:pPr>
      <w:rPr>
        <w:rFonts w:hint="default"/>
        <w:lang w:val="en-US" w:eastAsia="en-US" w:bidi="ar-SA"/>
      </w:rPr>
    </w:lvl>
    <w:lvl w:ilvl="2">
      <w:start w:val="0"/>
      <w:numFmt w:val="bullet"/>
      <w:lvlText w:val="•"/>
      <w:lvlJc w:val="left"/>
      <w:pPr>
        <w:ind w:left="5870" w:hanging="717"/>
      </w:pPr>
      <w:rPr>
        <w:rFonts w:hint="default"/>
        <w:lang w:val="en-US" w:eastAsia="en-US" w:bidi="ar-SA"/>
      </w:rPr>
    </w:lvl>
    <w:lvl w:ilvl="3">
      <w:start w:val="0"/>
      <w:numFmt w:val="bullet"/>
      <w:lvlText w:val="•"/>
      <w:lvlJc w:val="left"/>
      <w:pPr>
        <w:ind w:left="6565" w:hanging="717"/>
      </w:pPr>
      <w:rPr>
        <w:rFonts w:hint="default"/>
        <w:lang w:val="en-US" w:eastAsia="en-US" w:bidi="ar-SA"/>
      </w:rPr>
    </w:lvl>
    <w:lvl w:ilvl="4">
      <w:start w:val="0"/>
      <w:numFmt w:val="bullet"/>
      <w:lvlText w:val="•"/>
      <w:lvlJc w:val="left"/>
      <w:pPr>
        <w:ind w:left="7260" w:hanging="717"/>
      </w:pPr>
      <w:rPr>
        <w:rFonts w:hint="default"/>
        <w:lang w:val="en-US" w:eastAsia="en-US" w:bidi="ar-SA"/>
      </w:rPr>
    </w:lvl>
    <w:lvl w:ilvl="5">
      <w:start w:val="0"/>
      <w:numFmt w:val="bullet"/>
      <w:lvlText w:val="•"/>
      <w:lvlJc w:val="left"/>
      <w:pPr>
        <w:ind w:left="7956" w:hanging="717"/>
      </w:pPr>
      <w:rPr>
        <w:rFonts w:hint="default"/>
        <w:lang w:val="en-US" w:eastAsia="en-US" w:bidi="ar-SA"/>
      </w:rPr>
    </w:lvl>
    <w:lvl w:ilvl="6">
      <w:start w:val="0"/>
      <w:numFmt w:val="bullet"/>
      <w:lvlText w:val="•"/>
      <w:lvlJc w:val="left"/>
      <w:pPr>
        <w:ind w:left="8651" w:hanging="717"/>
      </w:pPr>
      <w:rPr>
        <w:rFonts w:hint="default"/>
        <w:lang w:val="en-US" w:eastAsia="en-US" w:bidi="ar-SA"/>
      </w:rPr>
    </w:lvl>
    <w:lvl w:ilvl="7">
      <w:start w:val="0"/>
      <w:numFmt w:val="bullet"/>
      <w:lvlText w:val="•"/>
      <w:lvlJc w:val="left"/>
      <w:pPr>
        <w:ind w:left="9346" w:hanging="717"/>
      </w:pPr>
      <w:rPr>
        <w:rFonts w:hint="default"/>
        <w:lang w:val="en-US" w:eastAsia="en-US" w:bidi="ar-SA"/>
      </w:rPr>
    </w:lvl>
    <w:lvl w:ilvl="8">
      <w:start w:val="0"/>
      <w:numFmt w:val="bullet"/>
      <w:lvlText w:val="•"/>
      <w:lvlJc w:val="left"/>
      <w:pPr>
        <w:ind w:left="10041" w:hanging="717"/>
      </w:pPr>
      <w:rPr>
        <w:rFonts w:hint="default"/>
        <w:lang w:val="en-US" w:eastAsia="en-US" w:bidi="ar-SA"/>
      </w:rPr>
    </w:lvl>
  </w:abstractNum>
  <w:abstractNum w:abstractNumId="3">
    <w:nsid w:val="195515E9"/>
    <w:multiLevelType w:val="hybridMultilevel"/>
    <w:tmpl w:val="A20E7914"/>
    <w:lvl w:ilvl="0">
      <w:start w:val="48"/>
      <w:numFmt w:val="decimal"/>
      <w:lvlText w:val="%1"/>
      <w:lvlJc w:val="left"/>
      <w:pPr>
        <w:ind w:left="689" w:hanging="320"/>
      </w:pPr>
      <w:rPr>
        <w:rFonts w:hint="default"/>
        <w:spacing w:val="-1"/>
        <w:w w:val="96"/>
        <w:lang w:val="en-US" w:eastAsia="en-US" w:bidi="ar-SA"/>
      </w:rPr>
    </w:lvl>
    <w:lvl w:ilvl="1">
      <w:start w:val="0"/>
      <w:numFmt w:val="bullet"/>
      <w:lvlText w:val="•"/>
      <w:lvlJc w:val="left"/>
      <w:pPr>
        <w:ind w:left="1755" w:hanging="320"/>
      </w:pPr>
      <w:rPr>
        <w:rFonts w:hint="default"/>
        <w:lang w:val="en-US" w:eastAsia="en-US" w:bidi="ar-SA"/>
      </w:rPr>
    </w:lvl>
    <w:lvl w:ilvl="2">
      <w:start w:val="0"/>
      <w:numFmt w:val="bullet"/>
      <w:lvlText w:val="•"/>
      <w:lvlJc w:val="left"/>
      <w:pPr>
        <w:ind w:left="2830" w:hanging="320"/>
      </w:pPr>
      <w:rPr>
        <w:rFonts w:hint="default"/>
        <w:lang w:val="en-US" w:eastAsia="en-US" w:bidi="ar-SA"/>
      </w:rPr>
    </w:lvl>
    <w:lvl w:ilvl="3">
      <w:start w:val="0"/>
      <w:numFmt w:val="bullet"/>
      <w:lvlText w:val="•"/>
      <w:lvlJc w:val="left"/>
      <w:pPr>
        <w:ind w:left="3905" w:hanging="320"/>
      </w:pPr>
      <w:rPr>
        <w:rFonts w:hint="default"/>
        <w:lang w:val="en-US" w:eastAsia="en-US" w:bidi="ar-SA"/>
      </w:rPr>
    </w:lvl>
    <w:lvl w:ilvl="4">
      <w:start w:val="0"/>
      <w:numFmt w:val="bullet"/>
      <w:lvlText w:val="•"/>
      <w:lvlJc w:val="left"/>
      <w:pPr>
        <w:ind w:left="4980" w:hanging="320"/>
      </w:pPr>
      <w:rPr>
        <w:rFonts w:hint="default"/>
        <w:lang w:val="en-US" w:eastAsia="en-US" w:bidi="ar-SA"/>
      </w:rPr>
    </w:lvl>
    <w:lvl w:ilvl="5">
      <w:start w:val="0"/>
      <w:numFmt w:val="bullet"/>
      <w:lvlText w:val="•"/>
      <w:lvlJc w:val="left"/>
      <w:pPr>
        <w:ind w:left="6056" w:hanging="320"/>
      </w:pPr>
      <w:rPr>
        <w:rFonts w:hint="default"/>
        <w:lang w:val="en-US" w:eastAsia="en-US" w:bidi="ar-SA"/>
      </w:rPr>
    </w:lvl>
    <w:lvl w:ilvl="6">
      <w:start w:val="0"/>
      <w:numFmt w:val="bullet"/>
      <w:lvlText w:val="•"/>
      <w:lvlJc w:val="left"/>
      <w:pPr>
        <w:ind w:left="7131" w:hanging="320"/>
      </w:pPr>
      <w:rPr>
        <w:rFonts w:hint="default"/>
        <w:lang w:val="en-US" w:eastAsia="en-US" w:bidi="ar-SA"/>
      </w:rPr>
    </w:lvl>
    <w:lvl w:ilvl="7">
      <w:start w:val="0"/>
      <w:numFmt w:val="bullet"/>
      <w:lvlText w:val="•"/>
      <w:lvlJc w:val="left"/>
      <w:pPr>
        <w:ind w:left="8206" w:hanging="320"/>
      </w:pPr>
      <w:rPr>
        <w:rFonts w:hint="default"/>
        <w:lang w:val="en-US" w:eastAsia="en-US" w:bidi="ar-SA"/>
      </w:rPr>
    </w:lvl>
    <w:lvl w:ilvl="8">
      <w:start w:val="0"/>
      <w:numFmt w:val="bullet"/>
      <w:lvlText w:val="•"/>
      <w:lvlJc w:val="left"/>
      <w:pPr>
        <w:ind w:left="9281" w:hanging="320"/>
      </w:pPr>
      <w:rPr>
        <w:rFonts w:hint="default"/>
        <w:lang w:val="en-US" w:eastAsia="en-US" w:bidi="ar-SA"/>
      </w:rPr>
    </w:lvl>
  </w:abstractNum>
  <w:abstractNum w:abstractNumId="4">
    <w:nsid w:val="19B158E1"/>
    <w:multiLevelType w:val="hybridMultilevel"/>
    <w:tmpl w:val="E91C8CB4"/>
    <w:lvl w:ilvl="0">
      <w:start w:val="79"/>
      <w:numFmt w:val="decimal"/>
      <w:lvlText w:val="%1"/>
      <w:lvlJc w:val="left"/>
      <w:pPr>
        <w:ind w:left="697" w:hanging="326"/>
        <w:jc w:val="right"/>
      </w:pPr>
      <w:rPr>
        <w:rFonts w:hint="default"/>
        <w:spacing w:val="-1"/>
        <w:w w:val="100"/>
        <w:lang w:val="en-US" w:eastAsia="en-US" w:bidi="ar-SA"/>
      </w:rPr>
    </w:lvl>
    <w:lvl w:ilvl="1">
      <w:start w:val="0"/>
      <w:numFmt w:val="bullet"/>
      <w:lvlText w:val="•"/>
      <w:lvlJc w:val="left"/>
      <w:pPr>
        <w:ind w:left="1773" w:hanging="326"/>
      </w:pPr>
      <w:rPr>
        <w:rFonts w:hint="default"/>
        <w:lang w:val="en-US" w:eastAsia="en-US" w:bidi="ar-SA"/>
      </w:rPr>
    </w:lvl>
    <w:lvl w:ilvl="2">
      <w:start w:val="0"/>
      <w:numFmt w:val="bullet"/>
      <w:lvlText w:val="•"/>
      <w:lvlJc w:val="left"/>
      <w:pPr>
        <w:ind w:left="2846" w:hanging="326"/>
      </w:pPr>
      <w:rPr>
        <w:rFonts w:hint="default"/>
        <w:lang w:val="en-US" w:eastAsia="en-US" w:bidi="ar-SA"/>
      </w:rPr>
    </w:lvl>
    <w:lvl w:ilvl="3">
      <w:start w:val="0"/>
      <w:numFmt w:val="bullet"/>
      <w:lvlText w:val="•"/>
      <w:lvlJc w:val="left"/>
      <w:pPr>
        <w:ind w:left="3919" w:hanging="326"/>
      </w:pPr>
      <w:rPr>
        <w:rFonts w:hint="default"/>
        <w:lang w:val="en-US" w:eastAsia="en-US" w:bidi="ar-SA"/>
      </w:rPr>
    </w:lvl>
    <w:lvl w:ilvl="4">
      <w:start w:val="0"/>
      <w:numFmt w:val="bullet"/>
      <w:lvlText w:val="•"/>
      <w:lvlJc w:val="left"/>
      <w:pPr>
        <w:ind w:left="4992" w:hanging="326"/>
      </w:pPr>
      <w:rPr>
        <w:rFonts w:hint="default"/>
        <w:lang w:val="en-US" w:eastAsia="en-US" w:bidi="ar-SA"/>
      </w:rPr>
    </w:lvl>
    <w:lvl w:ilvl="5">
      <w:start w:val="0"/>
      <w:numFmt w:val="bullet"/>
      <w:lvlText w:val="•"/>
      <w:lvlJc w:val="left"/>
      <w:pPr>
        <w:ind w:left="6066" w:hanging="326"/>
      </w:pPr>
      <w:rPr>
        <w:rFonts w:hint="default"/>
        <w:lang w:val="en-US" w:eastAsia="en-US" w:bidi="ar-SA"/>
      </w:rPr>
    </w:lvl>
    <w:lvl w:ilvl="6">
      <w:start w:val="0"/>
      <w:numFmt w:val="bullet"/>
      <w:lvlText w:val="•"/>
      <w:lvlJc w:val="left"/>
      <w:pPr>
        <w:ind w:left="7139" w:hanging="326"/>
      </w:pPr>
      <w:rPr>
        <w:rFonts w:hint="default"/>
        <w:lang w:val="en-US" w:eastAsia="en-US" w:bidi="ar-SA"/>
      </w:rPr>
    </w:lvl>
    <w:lvl w:ilvl="7">
      <w:start w:val="0"/>
      <w:numFmt w:val="bullet"/>
      <w:lvlText w:val="•"/>
      <w:lvlJc w:val="left"/>
      <w:pPr>
        <w:ind w:left="8212" w:hanging="326"/>
      </w:pPr>
      <w:rPr>
        <w:rFonts w:hint="default"/>
        <w:lang w:val="en-US" w:eastAsia="en-US" w:bidi="ar-SA"/>
      </w:rPr>
    </w:lvl>
    <w:lvl w:ilvl="8">
      <w:start w:val="0"/>
      <w:numFmt w:val="bullet"/>
      <w:lvlText w:val="•"/>
      <w:lvlJc w:val="left"/>
      <w:pPr>
        <w:ind w:left="9285" w:hanging="326"/>
      </w:pPr>
      <w:rPr>
        <w:rFonts w:hint="default"/>
        <w:lang w:val="en-US" w:eastAsia="en-US" w:bidi="ar-SA"/>
      </w:rPr>
    </w:lvl>
  </w:abstractNum>
  <w:abstractNum w:abstractNumId="5">
    <w:nsid w:val="1BF9634E"/>
    <w:multiLevelType w:val="hybridMultilevel"/>
    <w:tmpl w:val="A94AEB3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D1C78E1"/>
    <w:multiLevelType w:val="multilevel"/>
    <w:tmpl w:val="2E32A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E4A2B85"/>
    <w:multiLevelType w:val="hybridMultilevel"/>
    <w:tmpl w:val="A7222B9A"/>
    <w:lvl w:ilvl="0">
      <w:start w:val="47"/>
      <w:numFmt w:val="decimal"/>
      <w:lvlText w:val="%1"/>
      <w:lvlJc w:val="left"/>
      <w:pPr>
        <w:ind w:left="443" w:hanging="271"/>
      </w:pPr>
      <w:rPr>
        <w:rFonts w:hint="default"/>
        <w:spacing w:val="0"/>
        <w:w w:val="106"/>
        <w:lang w:val="en-US" w:eastAsia="en-US" w:bidi="ar-SA"/>
      </w:rPr>
    </w:lvl>
    <w:lvl w:ilvl="1">
      <w:start w:val="0"/>
      <w:numFmt w:val="bullet"/>
      <w:lvlText w:val="•"/>
      <w:lvlJc w:val="left"/>
      <w:pPr>
        <w:ind w:left="1425" w:hanging="271"/>
      </w:pPr>
      <w:rPr>
        <w:rFonts w:hint="default"/>
        <w:lang w:val="en-US" w:eastAsia="en-US" w:bidi="ar-SA"/>
      </w:rPr>
    </w:lvl>
    <w:lvl w:ilvl="2">
      <w:start w:val="0"/>
      <w:numFmt w:val="bullet"/>
      <w:lvlText w:val="•"/>
      <w:lvlJc w:val="left"/>
      <w:pPr>
        <w:ind w:left="2411" w:hanging="271"/>
      </w:pPr>
      <w:rPr>
        <w:rFonts w:hint="default"/>
        <w:lang w:val="en-US" w:eastAsia="en-US" w:bidi="ar-SA"/>
      </w:rPr>
    </w:lvl>
    <w:lvl w:ilvl="3">
      <w:start w:val="0"/>
      <w:numFmt w:val="bullet"/>
      <w:lvlText w:val="•"/>
      <w:lvlJc w:val="left"/>
      <w:pPr>
        <w:ind w:left="3396" w:hanging="271"/>
      </w:pPr>
      <w:rPr>
        <w:rFonts w:hint="default"/>
        <w:lang w:val="en-US" w:eastAsia="en-US" w:bidi="ar-SA"/>
      </w:rPr>
    </w:lvl>
    <w:lvl w:ilvl="4">
      <w:start w:val="0"/>
      <w:numFmt w:val="bullet"/>
      <w:lvlText w:val="•"/>
      <w:lvlJc w:val="left"/>
      <w:pPr>
        <w:ind w:left="4382" w:hanging="271"/>
      </w:pPr>
      <w:rPr>
        <w:rFonts w:hint="default"/>
        <w:lang w:val="en-US" w:eastAsia="en-US" w:bidi="ar-SA"/>
      </w:rPr>
    </w:lvl>
    <w:lvl w:ilvl="5">
      <w:start w:val="0"/>
      <w:numFmt w:val="bullet"/>
      <w:lvlText w:val="•"/>
      <w:lvlJc w:val="left"/>
      <w:pPr>
        <w:ind w:left="5368" w:hanging="271"/>
      </w:pPr>
      <w:rPr>
        <w:rFonts w:hint="default"/>
        <w:lang w:val="en-US" w:eastAsia="en-US" w:bidi="ar-SA"/>
      </w:rPr>
    </w:lvl>
    <w:lvl w:ilvl="6">
      <w:start w:val="0"/>
      <w:numFmt w:val="bullet"/>
      <w:lvlText w:val="•"/>
      <w:lvlJc w:val="left"/>
      <w:pPr>
        <w:ind w:left="6353" w:hanging="271"/>
      </w:pPr>
      <w:rPr>
        <w:rFonts w:hint="default"/>
        <w:lang w:val="en-US" w:eastAsia="en-US" w:bidi="ar-SA"/>
      </w:rPr>
    </w:lvl>
    <w:lvl w:ilvl="7">
      <w:start w:val="0"/>
      <w:numFmt w:val="bullet"/>
      <w:lvlText w:val="•"/>
      <w:lvlJc w:val="left"/>
      <w:pPr>
        <w:ind w:left="7339" w:hanging="271"/>
      </w:pPr>
      <w:rPr>
        <w:rFonts w:hint="default"/>
        <w:lang w:val="en-US" w:eastAsia="en-US" w:bidi="ar-SA"/>
      </w:rPr>
    </w:lvl>
    <w:lvl w:ilvl="8">
      <w:start w:val="0"/>
      <w:numFmt w:val="bullet"/>
      <w:lvlText w:val="•"/>
      <w:lvlJc w:val="left"/>
      <w:pPr>
        <w:ind w:left="8324" w:hanging="271"/>
      </w:pPr>
      <w:rPr>
        <w:rFonts w:hint="default"/>
        <w:lang w:val="en-US" w:eastAsia="en-US" w:bidi="ar-SA"/>
      </w:rPr>
    </w:lvl>
  </w:abstractNum>
  <w:abstractNum w:abstractNumId="8">
    <w:nsid w:val="1FE24F09"/>
    <w:multiLevelType w:val="hybridMultilevel"/>
    <w:tmpl w:val="818EB174"/>
    <w:lvl w:ilvl="0">
      <w:start w:val="0"/>
      <w:numFmt w:val="bullet"/>
      <w:lvlText w:val="■"/>
      <w:lvlJc w:val="left"/>
      <w:pPr>
        <w:ind w:left="202" w:hanging="158"/>
      </w:pPr>
      <w:rPr>
        <w:rFonts w:ascii="Arial" w:eastAsia="Arial" w:hAnsi="Arial" w:cs="Arial" w:hint="default"/>
        <w:b w:val="0"/>
        <w:bCs w:val="0"/>
        <w:i w:val="0"/>
        <w:iCs w:val="0"/>
        <w:spacing w:val="0"/>
        <w:w w:val="95"/>
        <w:sz w:val="21"/>
        <w:szCs w:val="21"/>
        <w:lang w:val="en-US" w:eastAsia="en-US" w:bidi="ar-SA"/>
      </w:rPr>
    </w:lvl>
    <w:lvl w:ilvl="1">
      <w:start w:val="0"/>
      <w:numFmt w:val="bullet"/>
      <w:lvlText w:val="•"/>
      <w:lvlJc w:val="left"/>
      <w:pPr>
        <w:ind w:left="349" w:hanging="158"/>
      </w:pPr>
      <w:rPr>
        <w:rFonts w:hint="default"/>
        <w:lang w:val="en-US" w:eastAsia="en-US" w:bidi="ar-SA"/>
      </w:rPr>
    </w:lvl>
    <w:lvl w:ilvl="2">
      <w:start w:val="0"/>
      <w:numFmt w:val="bullet"/>
      <w:lvlText w:val="•"/>
      <w:lvlJc w:val="left"/>
      <w:pPr>
        <w:ind w:left="498" w:hanging="158"/>
      </w:pPr>
      <w:rPr>
        <w:rFonts w:hint="default"/>
        <w:lang w:val="en-US" w:eastAsia="en-US" w:bidi="ar-SA"/>
      </w:rPr>
    </w:lvl>
    <w:lvl w:ilvl="3">
      <w:start w:val="0"/>
      <w:numFmt w:val="bullet"/>
      <w:lvlText w:val="•"/>
      <w:lvlJc w:val="left"/>
      <w:pPr>
        <w:ind w:left="647" w:hanging="158"/>
      </w:pPr>
      <w:rPr>
        <w:rFonts w:hint="default"/>
        <w:lang w:val="en-US" w:eastAsia="en-US" w:bidi="ar-SA"/>
      </w:rPr>
    </w:lvl>
    <w:lvl w:ilvl="4">
      <w:start w:val="0"/>
      <w:numFmt w:val="bullet"/>
      <w:lvlText w:val="•"/>
      <w:lvlJc w:val="left"/>
      <w:pPr>
        <w:ind w:left="796" w:hanging="158"/>
      </w:pPr>
      <w:rPr>
        <w:rFonts w:hint="default"/>
        <w:lang w:val="en-US" w:eastAsia="en-US" w:bidi="ar-SA"/>
      </w:rPr>
    </w:lvl>
    <w:lvl w:ilvl="5">
      <w:start w:val="0"/>
      <w:numFmt w:val="bullet"/>
      <w:lvlText w:val="•"/>
      <w:lvlJc w:val="left"/>
      <w:pPr>
        <w:ind w:left="945" w:hanging="158"/>
      </w:pPr>
      <w:rPr>
        <w:rFonts w:hint="default"/>
        <w:lang w:val="en-US" w:eastAsia="en-US" w:bidi="ar-SA"/>
      </w:rPr>
    </w:lvl>
    <w:lvl w:ilvl="6">
      <w:start w:val="0"/>
      <w:numFmt w:val="bullet"/>
      <w:lvlText w:val="•"/>
      <w:lvlJc w:val="left"/>
      <w:pPr>
        <w:ind w:left="1094" w:hanging="158"/>
      </w:pPr>
      <w:rPr>
        <w:rFonts w:hint="default"/>
        <w:lang w:val="en-US" w:eastAsia="en-US" w:bidi="ar-SA"/>
      </w:rPr>
    </w:lvl>
    <w:lvl w:ilvl="7">
      <w:start w:val="0"/>
      <w:numFmt w:val="bullet"/>
      <w:lvlText w:val="•"/>
      <w:lvlJc w:val="left"/>
      <w:pPr>
        <w:ind w:left="1243" w:hanging="158"/>
      </w:pPr>
      <w:rPr>
        <w:rFonts w:hint="default"/>
        <w:lang w:val="en-US" w:eastAsia="en-US" w:bidi="ar-SA"/>
      </w:rPr>
    </w:lvl>
    <w:lvl w:ilvl="8">
      <w:start w:val="0"/>
      <w:numFmt w:val="bullet"/>
      <w:lvlText w:val="•"/>
      <w:lvlJc w:val="left"/>
      <w:pPr>
        <w:ind w:left="1392" w:hanging="158"/>
      </w:pPr>
      <w:rPr>
        <w:rFonts w:hint="default"/>
        <w:lang w:val="en-US" w:eastAsia="en-US" w:bidi="ar-SA"/>
      </w:rPr>
    </w:lvl>
  </w:abstractNum>
  <w:abstractNum w:abstractNumId="9">
    <w:nsid w:val="215A366D"/>
    <w:multiLevelType w:val="hybridMultilevel"/>
    <w:tmpl w:val="D9FC32F4"/>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rPr>
        <w:b/>
        <w:bCs/>
        <w:i w:val="0"/>
        <w:iCs/>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300617"/>
    <w:multiLevelType w:val="hybridMultilevel"/>
    <w:tmpl w:val="851AA7AE"/>
    <w:lvl w:ilvl="0">
      <w:start w:val="1"/>
      <w:numFmt w:val="decimal"/>
      <w:lvlText w:val="%1."/>
      <w:lvlJc w:val="left"/>
      <w:pPr>
        <w:ind w:left="423" w:hanging="214"/>
      </w:pPr>
      <w:rPr>
        <w:rFonts w:hint="default"/>
        <w:spacing w:val="-1"/>
        <w:w w:val="97"/>
        <w:lang w:val="en-US" w:eastAsia="en-US" w:bidi="ar-SA"/>
      </w:rPr>
    </w:lvl>
    <w:lvl w:ilvl="1">
      <w:start w:val="0"/>
      <w:numFmt w:val="bullet"/>
      <w:lvlText w:val="•"/>
      <w:lvlJc w:val="left"/>
      <w:pPr>
        <w:ind w:left="1521" w:hanging="214"/>
      </w:pPr>
      <w:rPr>
        <w:rFonts w:hint="default"/>
        <w:lang w:val="en-US" w:eastAsia="en-US" w:bidi="ar-SA"/>
      </w:rPr>
    </w:lvl>
    <w:lvl w:ilvl="2">
      <w:start w:val="0"/>
      <w:numFmt w:val="bullet"/>
      <w:lvlText w:val="•"/>
      <w:lvlJc w:val="left"/>
      <w:pPr>
        <w:ind w:left="2622" w:hanging="214"/>
      </w:pPr>
      <w:rPr>
        <w:rFonts w:hint="default"/>
        <w:lang w:val="en-US" w:eastAsia="en-US" w:bidi="ar-SA"/>
      </w:rPr>
    </w:lvl>
    <w:lvl w:ilvl="3">
      <w:start w:val="0"/>
      <w:numFmt w:val="bullet"/>
      <w:lvlText w:val="•"/>
      <w:lvlJc w:val="left"/>
      <w:pPr>
        <w:ind w:left="3723" w:hanging="214"/>
      </w:pPr>
      <w:rPr>
        <w:rFonts w:hint="default"/>
        <w:lang w:val="en-US" w:eastAsia="en-US" w:bidi="ar-SA"/>
      </w:rPr>
    </w:lvl>
    <w:lvl w:ilvl="4">
      <w:start w:val="0"/>
      <w:numFmt w:val="bullet"/>
      <w:lvlText w:val="•"/>
      <w:lvlJc w:val="left"/>
      <w:pPr>
        <w:ind w:left="4824" w:hanging="214"/>
      </w:pPr>
      <w:rPr>
        <w:rFonts w:hint="default"/>
        <w:lang w:val="en-US" w:eastAsia="en-US" w:bidi="ar-SA"/>
      </w:rPr>
    </w:lvl>
    <w:lvl w:ilvl="5">
      <w:start w:val="0"/>
      <w:numFmt w:val="bullet"/>
      <w:lvlText w:val="•"/>
      <w:lvlJc w:val="left"/>
      <w:pPr>
        <w:ind w:left="5926" w:hanging="214"/>
      </w:pPr>
      <w:rPr>
        <w:rFonts w:hint="default"/>
        <w:lang w:val="en-US" w:eastAsia="en-US" w:bidi="ar-SA"/>
      </w:rPr>
    </w:lvl>
    <w:lvl w:ilvl="6">
      <w:start w:val="0"/>
      <w:numFmt w:val="bullet"/>
      <w:lvlText w:val="•"/>
      <w:lvlJc w:val="left"/>
      <w:pPr>
        <w:ind w:left="7027" w:hanging="214"/>
      </w:pPr>
      <w:rPr>
        <w:rFonts w:hint="default"/>
        <w:lang w:val="en-US" w:eastAsia="en-US" w:bidi="ar-SA"/>
      </w:rPr>
    </w:lvl>
    <w:lvl w:ilvl="7">
      <w:start w:val="0"/>
      <w:numFmt w:val="bullet"/>
      <w:lvlText w:val="•"/>
      <w:lvlJc w:val="left"/>
      <w:pPr>
        <w:ind w:left="8128" w:hanging="214"/>
      </w:pPr>
      <w:rPr>
        <w:rFonts w:hint="default"/>
        <w:lang w:val="en-US" w:eastAsia="en-US" w:bidi="ar-SA"/>
      </w:rPr>
    </w:lvl>
    <w:lvl w:ilvl="8">
      <w:start w:val="0"/>
      <w:numFmt w:val="bullet"/>
      <w:lvlText w:val="•"/>
      <w:lvlJc w:val="left"/>
      <w:pPr>
        <w:ind w:left="9229" w:hanging="214"/>
      </w:pPr>
      <w:rPr>
        <w:rFonts w:hint="default"/>
        <w:lang w:val="en-US" w:eastAsia="en-US" w:bidi="ar-SA"/>
      </w:rPr>
    </w:lvl>
  </w:abstractNum>
  <w:abstractNum w:abstractNumId="11">
    <w:nsid w:val="29711E62"/>
    <w:multiLevelType w:val="hybridMultilevel"/>
    <w:tmpl w:val="8EBA0D00"/>
    <w:lvl w:ilvl="0">
      <w:start w:val="301"/>
      <w:numFmt w:val="decimal"/>
      <w:lvlText w:val="%1)"/>
      <w:lvlJc w:val="left"/>
      <w:pPr>
        <w:ind w:left="510" w:hanging="407"/>
      </w:pPr>
      <w:rPr>
        <w:rFonts w:hint="default"/>
        <w:spacing w:val="-1"/>
        <w:w w:val="97"/>
        <w:lang w:val="en-US" w:eastAsia="en-US" w:bidi="ar-SA"/>
      </w:rPr>
    </w:lvl>
    <w:lvl w:ilvl="1">
      <w:start w:val="0"/>
      <w:numFmt w:val="bullet"/>
      <w:lvlText w:val="•"/>
      <w:lvlJc w:val="left"/>
      <w:pPr>
        <w:ind w:left="715" w:hanging="407"/>
      </w:pPr>
      <w:rPr>
        <w:rFonts w:hint="default"/>
        <w:lang w:val="en-US" w:eastAsia="en-US" w:bidi="ar-SA"/>
      </w:rPr>
    </w:lvl>
    <w:lvl w:ilvl="2">
      <w:start w:val="0"/>
      <w:numFmt w:val="bullet"/>
      <w:lvlText w:val="•"/>
      <w:lvlJc w:val="left"/>
      <w:pPr>
        <w:ind w:left="910" w:hanging="407"/>
      </w:pPr>
      <w:rPr>
        <w:rFonts w:hint="default"/>
        <w:lang w:val="en-US" w:eastAsia="en-US" w:bidi="ar-SA"/>
      </w:rPr>
    </w:lvl>
    <w:lvl w:ilvl="3">
      <w:start w:val="0"/>
      <w:numFmt w:val="bullet"/>
      <w:lvlText w:val="•"/>
      <w:lvlJc w:val="left"/>
      <w:pPr>
        <w:ind w:left="1105" w:hanging="407"/>
      </w:pPr>
      <w:rPr>
        <w:rFonts w:hint="default"/>
        <w:lang w:val="en-US" w:eastAsia="en-US" w:bidi="ar-SA"/>
      </w:rPr>
    </w:lvl>
    <w:lvl w:ilvl="4">
      <w:start w:val="0"/>
      <w:numFmt w:val="bullet"/>
      <w:lvlText w:val="•"/>
      <w:lvlJc w:val="left"/>
      <w:pPr>
        <w:ind w:left="1300" w:hanging="407"/>
      </w:pPr>
      <w:rPr>
        <w:rFonts w:hint="default"/>
        <w:lang w:val="en-US" w:eastAsia="en-US" w:bidi="ar-SA"/>
      </w:rPr>
    </w:lvl>
    <w:lvl w:ilvl="5">
      <w:start w:val="0"/>
      <w:numFmt w:val="bullet"/>
      <w:lvlText w:val="•"/>
      <w:lvlJc w:val="left"/>
      <w:pPr>
        <w:ind w:left="1495" w:hanging="407"/>
      </w:pPr>
      <w:rPr>
        <w:rFonts w:hint="default"/>
        <w:lang w:val="en-US" w:eastAsia="en-US" w:bidi="ar-SA"/>
      </w:rPr>
    </w:lvl>
    <w:lvl w:ilvl="6">
      <w:start w:val="0"/>
      <w:numFmt w:val="bullet"/>
      <w:lvlText w:val="•"/>
      <w:lvlJc w:val="left"/>
      <w:pPr>
        <w:ind w:left="1691" w:hanging="407"/>
      </w:pPr>
      <w:rPr>
        <w:rFonts w:hint="default"/>
        <w:lang w:val="en-US" w:eastAsia="en-US" w:bidi="ar-SA"/>
      </w:rPr>
    </w:lvl>
    <w:lvl w:ilvl="7">
      <w:start w:val="0"/>
      <w:numFmt w:val="bullet"/>
      <w:lvlText w:val="•"/>
      <w:lvlJc w:val="left"/>
      <w:pPr>
        <w:ind w:left="1886" w:hanging="407"/>
      </w:pPr>
      <w:rPr>
        <w:rFonts w:hint="default"/>
        <w:lang w:val="en-US" w:eastAsia="en-US" w:bidi="ar-SA"/>
      </w:rPr>
    </w:lvl>
    <w:lvl w:ilvl="8">
      <w:start w:val="0"/>
      <w:numFmt w:val="bullet"/>
      <w:lvlText w:val="•"/>
      <w:lvlJc w:val="left"/>
      <w:pPr>
        <w:ind w:left="2081" w:hanging="407"/>
      </w:pPr>
      <w:rPr>
        <w:rFonts w:hint="default"/>
        <w:lang w:val="en-US" w:eastAsia="en-US" w:bidi="ar-SA"/>
      </w:rPr>
    </w:lvl>
  </w:abstractNum>
  <w:abstractNum w:abstractNumId="12">
    <w:nsid w:val="33824A00"/>
    <w:multiLevelType w:val="multilevel"/>
    <w:tmpl w:val="4B7C55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35E606C5"/>
    <w:multiLevelType w:val="hybridMultilevel"/>
    <w:tmpl w:val="E5E089A0"/>
    <w:lvl w:ilvl="0">
      <w:start w:val="71"/>
      <w:numFmt w:val="decimal"/>
      <w:lvlText w:val="%1"/>
      <w:lvlJc w:val="left"/>
      <w:pPr>
        <w:ind w:left="697" w:hanging="326"/>
      </w:pPr>
      <w:rPr>
        <w:rFonts w:hint="default"/>
        <w:spacing w:val="-1"/>
        <w:w w:val="108"/>
        <w:lang w:val="en-US" w:eastAsia="en-US" w:bidi="ar-SA"/>
      </w:rPr>
    </w:lvl>
    <w:lvl w:ilvl="1">
      <w:start w:val="0"/>
      <w:numFmt w:val="bullet"/>
      <w:lvlText w:val="•"/>
      <w:lvlJc w:val="left"/>
      <w:pPr>
        <w:ind w:left="1007" w:hanging="326"/>
      </w:pPr>
      <w:rPr>
        <w:rFonts w:hint="default"/>
        <w:lang w:val="en-US" w:eastAsia="en-US" w:bidi="ar-SA"/>
      </w:rPr>
    </w:lvl>
    <w:lvl w:ilvl="2">
      <w:start w:val="0"/>
      <w:numFmt w:val="bullet"/>
      <w:lvlText w:val="•"/>
      <w:lvlJc w:val="left"/>
      <w:pPr>
        <w:ind w:left="1315" w:hanging="326"/>
      </w:pPr>
      <w:rPr>
        <w:rFonts w:hint="default"/>
        <w:lang w:val="en-US" w:eastAsia="en-US" w:bidi="ar-SA"/>
      </w:rPr>
    </w:lvl>
    <w:lvl w:ilvl="3">
      <w:start w:val="0"/>
      <w:numFmt w:val="bullet"/>
      <w:lvlText w:val="•"/>
      <w:lvlJc w:val="left"/>
      <w:pPr>
        <w:ind w:left="1623" w:hanging="326"/>
      </w:pPr>
      <w:rPr>
        <w:rFonts w:hint="default"/>
        <w:lang w:val="en-US" w:eastAsia="en-US" w:bidi="ar-SA"/>
      </w:rPr>
    </w:lvl>
    <w:lvl w:ilvl="4">
      <w:start w:val="0"/>
      <w:numFmt w:val="bullet"/>
      <w:lvlText w:val="•"/>
      <w:lvlJc w:val="left"/>
      <w:pPr>
        <w:ind w:left="1931" w:hanging="326"/>
      </w:pPr>
      <w:rPr>
        <w:rFonts w:hint="default"/>
        <w:lang w:val="en-US" w:eastAsia="en-US" w:bidi="ar-SA"/>
      </w:rPr>
    </w:lvl>
    <w:lvl w:ilvl="5">
      <w:start w:val="0"/>
      <w:numFmt w:val="bullet"/>
      <w:lvlText w:val="•"/>
      <w:lvlJc w:val="left"/>
      <w:pPr>
        <w:ind w:left="2238" w:hanging="326"/>
      </w:pPr>
      <w:rPr>
        <w:rFonts w:hint="default"/>
        <w:lang w:val="en-US" w:eastAsia="en-US" w:bidi="ar-SA"/>
      </w:rPr>
    </w:lvl>
    <w:lvl w:ilvl="6">
      <w:start w:val="0"/>
      <w:numFmt w:val="bullet"/>
      <w:lvlText w:val="•"/>
      <w:lvlJc w:val="left"/>
      <w:pPr>
        <w:ind w:left="2546" w:hanging="326"/>
      </w:pPr>
      <w:rPr>
        <w:rFonts w:hint="default"/>
        <w:lang w:val="en-US" w:eastAsia="en-US" w:bidi="ar-SA"/>
      </w:rPr>
    </w:lvl>
    <w:lvl w:ilvl="7">
      <w:start w:val="0"/>
      <w:numFmt w:val="bullet"/>
      <w:lvlText w:val="•"/>
      <w:lvlJc w:val="left"/>
      <w:pPr>
        <w:ind w:left="2854" w:hanging="326"/>
      </w:pPr>
      <w:rPr>
        <w:rFonts w:hint="default"/>
        <w:lang w:val="en-US" w:eastAsia="en-US" w:bidi="ar-SA"/>
      </w:rPr>
    </w:lvl>
    <w:lvl w:ilvl="8">
      <w:start w:val="0"/>
      <w:numFmt w:val="bullet"/>
      <w:lvlText w:val="•"/>
      <w:lvlJc w:val="left"/>
      <w:pPr>
        <w:ind w:left="3162" w:hanging="326"/>
      </w:pPr>
      <w:rPr>
        <w:rFonts w:hint="default"/>
        <w:lang w:val="en-US" w:eastAsia="en-US" w:bidi="ar-SA"/>
      </w:rPr>
    </w:lvl>
  </w:abstractNum>
  <w:abstractNum w:abstractNumId="14">
    <w:nsid w:val="371D0CE4"/>
    <w:multiLevelType w:val="hybridMultilevel"/>
    <w:tmpl w:val="49C0B5B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94A060C"/>
    <w:multiLevelType w:val="hybridMultilevel"/>
    <w:tmpl w:val="52784BBA"/>
    <w:lvl w:ilvl="0">
      <w:start w:val="7"/>
      <w:numFmt w:val="decimal"/>
      <w:lvlText w:val="%1"/>
      <w:lvlJc w:val="left"/>
      <w:pPr>
        <w:ind w:left="631" w:hanging="188"/>
        <w:jc w:val="right"/>
      </w:pPr>
      <w:rPr>
        <w:rFonts w:hint="default"/>
        <w:spacing w:val="0"/>
        <w:w w:val="93"/>
        <w:lang w:val="en-US" w:eastAsia="en-US" w:bidi="ar-SA"/>
      </w:rPr>
    </w:lvl>
    <w:lvl w:ilvl="1">
      <w:start w:val="0"/>
      <w:numFmt w:val="bullet"/>
      <w:lvlText w:val="•"/>
      <w:lvlJc w:val="left"/>
      <w:pPr>
        <w:ind w:left="1177" w:hanging="188"/>
      </w:pPr>
      <w:rPr>
        <w:rFonts w:hint="default"/>
        <w:lang w:val="en-US" w:eastAsia="en-US" w:bidi="ar-SA"/>
      </w:rPr>
    </w:lvl>
    <w:lvl w:ilvl="2">
      <w:start w:val="0"/>
      <w:numFmt w:val="bullet"/>
      <w:lvlText w:val="•"/>
      <w:lvlJc w:val="left"/>
      <w:pPr>
        <w:ind w:left="1714" w:hanging="188"/>
      </w:pPr>
      <w:rPr>
        <w:rFonts w:hint="default"/>
        <w:lang w:val="en-US" w:eastAsia="en-US" w:bidi="ar-SA"/>
      </w:rPr>
    </w:lvl>
    <w:lvl w:ilvl="3">
      <w:start w:val="0"/>
      <w:numFmt w:val="bullet"/>
      <w:lvlText w:val="•"/>
      <w:lvlJc w:val="left"/>
      <w:pPr>
        <w:ind w:left="2251" w:hanging="188"/>
      </w:pPr>
      <w:rPr>
        <w:rFonts w:hint="default"/>
        <w:lang w:val="en-US" w:eastAsia="en-US" w:bidi="ar-SA"/>
      </w:rPr>
    </w:lvl>
    <w:lvl w:ilvl="4">
      <w:start w:val="0"/>
      <w:numFmt w:val="bullet"/>
      <w:lvlText w:val="•"/>
      <w:lvlJc w:val="left"/>
      <w:pPr>
        <w:ind w:left="2788" w:hanging="188"/>
      </w:pPr>
      <w:rPr>
        <w:rFonts w:hint="default"/>
        <w:lang w:val="en-US" w:eastAsia="en-US" w:bidi="ar-SA"/>
      </w:rPr>
    </w:lvl>
    <w:lvl w:ilvl="5">
      <w:start w:val="0"/>
      <w:numFmt w:val="bullet"/>
      <w:lvlText w:val="•"/>
      <w:lvlJc w:val="left"/>
      <w:pPr>
        <w:ind w:left="3325" w:hanging="188"/>
      </w:pPr>
      <w:rPr>
        <w:rFonts w:hint="default"/>
        <w:lang w:val="en-US" w:eastAsia="en-US" w:bidi="ar-SA"/>
      </w:rPr>
    </w:lvl>
    <w:lvl w:ilvl="6">
      <w:start w:val="0"/>
      <w:numFmt w:val="bullet"/>
      <w:lvlText w:val="•"/>
      <w:lvlJc w:val="left"/>
      <w:pPr>
        <w:ind w:left="3863" w:hanging="188"/>
      </w:pPr>
      <w:rPr>
        <w:rFonts w:hint="default"/>
        <w:lang w:val="en-US" w:eastAsia="en-US" w:bidi="ar-SA"/>
      </w:rPr>
    </w:lvl>
    <w:lvl w:ilvl="7">
      <w:start w:val="0"/>
      <w:numFmt w:val="bullet"/>
      <w:lvlText w:val="•"/>
      <w:lvlJc w:val="left"/>
      <w:pPr>
        <w:ind w:left="4400" w:hanging="188"/>
      </w:pPr>
      <w:rPr>
        <w:rFonts w:hint="default"/>
        <w:lang w:val="en-US" w:eastAsia="en-US" w:bidi="ar-SA"/>
      </w:rPr>
    </w:lvl>
    <w:lvl w:ilvl="8">
      <w:start w:val="0"/>
      <w:numFmt w:val="bullet"/>
      <w:lvlText w:val="•"/>
      <w:lvlJc w:val="left"/>
      <w:pPr>
        <w:ind w:left="4937" w:hanging="188"/>
      </w:pPr>
      <w:rPr>
        <w:rFonts w:hint="default"/>
        <w:lang w:val="en-US" w:eastAsia="en-US" w:bidi="ar-SA"/>
      </w:rPr>
    </w:lvl>
  </w:abstractNum>
  <w:abstractNum w:abstractNumId="16">
    <w:nsid w:val="399A13B8"/>
    <w:multiLevelType w:val="multilevel"/>
    <w:tmpl w:val="6644A6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3E6E5572"/>
    <w:multiLevelType w:val="hybridMultilevel"/>
    <w:tmpl w:val="042C5DE2"/>
    <w:lvl w:ilvl="0">
      <w:start w:val="1"/>
      <w:numFmt w:val="upperLetter"/>
      <w:lvlText w:val="%1."/>
      <w:lvlJc w:val="left"/>
      <w:pPr>
        <w:ind w:left="1080" w:hanging="360"/>
      </w:pPr>
      <w:rPr>
        <w:rFonts w:hint="default"/>
        <w:sz w:val="24"/>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FA67EFC"/>
    <w:multiLevelType w:val="hybridMultilevel"/>
    <w:tmpl w:val="C1823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1F211E7"/>
    <w:multiLevelType w:val="hybridMultilevel"/>
    <w:tmpl w:val="084CC9D8"/>
    <w:lvl w:ilvl="0">
      <w:start w:val="0"/>
      <w:numFmt w:val="bullet"/>
      <w:lvlText w:val="•"/>
      <w:lvlJc w:val="left"/>
      <w:pPr>
        <w:ind w:left="2941" w:hanging="2553"/>
      </w:pPr>
      <w:rPr>
        <w:rFonts w:ascii="Times New Roman" w:eastAsia="Times New Roman" w:hAnsi="Times New Roman" w:cs="Times New Roman" w:hint="default"/>
        <w:spacing w:val="0"/>
        <w:w w:val="125"/>
        <w:lang w:val="en-US" w:eastAsia="en-US" w:bidi="ar-SA"/>
      </w:rPr>
    </w:lvl>
    <w:lvl w:ilvl="1">
      <w:start w:val="0"/>
      <w:numFmt w:val="bullet"/>
      <w:lvlText w:val="•"/>
      <w:lvlJc w:val="left"/>
      <w:pPr>
        <w:ind w:left="2986" w:hanging="2553"/>
      </w:pPr>
      <w:rPr>
        <w:rFonts w:hint="default"/>
        <w:lang w:val="en-US" w:eastAsia="en-US" w:bidi="ar-SA"/>
      </w:rPr>
    </w:lvl>
    <w:lvl w:ilvl="2">
      <w:start w:val="0"/>
      <w:numFmt w:val="bullet"/>
      <w:lvlText w:val="•"/>
      <w:lvlJc w:val="left"/>
      <w:pPr>
        <w:ind w:left="3032" w:hanging="2553"/>
      </w:pPr>
      <w:rPr>
        <w:rFonts w:hint="default"/>
        <w:lang w:val="en-US" w:eastAsia="en-US" w:bidi="ar-SA"/>
      </w:rPr>
    </w:lvl>
    <w:lvl w:ilvl="3">
      <w:start w:val="0"/>
      <w:numFmt w:val="bullet"/>
      <w:lvlText w:val="•"/>
      <w:lvlJc w:val="left"/>
      <w:pPr>
        <w:ind w:left="3078" w:hanging="2553"/>
      </w:pPr>
      <w:rPr>
        <w:rFonts w:hint="default"/>
        <w:lang w:val="en-US" w:eastAsia="en-US" w:bidi="ar-SA"/>
      </w:rPr>
    </w:lvl>
    <w:lvl w:ilvl="4">
      <w:start w:val="0"/>
      <w:numFmt w:val="bullet"/>
      <w:lvlText w:val="•"/>
      <w:lvlJc w:val="left"/>
      <w:pPr>
        <w:ind w:left="3124" w:hanging="2553"/>
      </w:pPr>
      <w:rPr>
        <w:rFonts w:hint="default"/>
        <w:lang w:val="en-US" w:eastAsia="en-US" w:bidi="ar-SA"/>
      </w:rPr>
    </w:lvl>
    <w:lvl w:ilvl="5">
      <w:start w:val="0"/>
      <w:numFmt w:val="bullet"/>
      <w:lvlText w:val="•"/>
      <w:lvlJc w:val="left"/>
      <w:pPr>
        <w:ind w:left="3171" w:hanging="2553"/>
      </w:pPr>
      <w:rPr>
        <w:rFonts w:hint="default"/>
        <w:lang w:val="en-US" w:eastAsia="en-US" w:bidi="ar-SA"/>
      </w:rPr>
    </w:lvl>
    <w:lvl w:ilvl="6">
      <w:start w:val="0"/>
      <w:numFmt w:val="bullet"/>
      <w:lvlText w:val="•"/>
      <w:lvlJc w:val="left"/>
      <w:pPr>
        <w:ind w:left="3217" w:hanging="2553"/>
      </w:pPr>
      <w:rPr>
        <w:rFonts w:hint="default"/>
        <w:lang w:val="en-US" w:eastAsia="en-US" w:bidi="ar-SA"/>
      </w:rPr>
    </w:lvl>
    <w:lvl w:ilvl="7">
      <w:start w:val="0"/>
      <w:numFmt w:val="bullet"/>
      <w:lvlText w:val="•"/>
      <w:lvlJc w:val="left"/>
      <w:pPr>
        <w:ind w:left="3263" w:hanging="2553"/>
      </w:pPr>
      <w:rPr>
        <w:rFonts w:hint="default"/>
        <w:lang w:val="en-US" w:eastAsia="en-US" w:bidi="ar-SA"/>
      </w:rPr>
    </w:lvl>
    <w:lvl w:ilvl="8">
      <w:start w:val="0"/>
      <w:numFmt w:val="bullet"/>
      <w:lvlText w:val="•"/>
      <w:lvlJc w:val="left"/>
      <w:pPr>
        <w:ind w:left="3309" w:hanging="2553"/>
      </w:pPr>
      <w:rPr>
        <w:rFonts w:hint="default"/>
        <w:lang w:val="en-US" w:eastAsia="en-US" w:bidi="ar-SA"/>
      </w:rPr>
    </w:lvl>
  </w:abstractNum>
  <w:abstractNum w:abstractNumId="20">
    <w:nsid w:val="42DD51B0"/>
    <w:multiLevelType w:val="hybridMultilevel"/>
    <w:tmpl w:val="2C5C25CC"/>
    <w:lvl w:ilvl="0">
      <w:start w:val="366"/>
      <w:numFmt w:val="decimal"/>
      <w:lvlText w:val="%1"/>
      <w:lvlJc w:val="left"/>
      <w:pPr>
        <w:ind w:left="441" w:hanging="342"/>
      </w:pPr>
      <w:rPr>
        <w:rFonts w:ascii="Arial" w:eastAsia="Arial" w:hAnsi="Arial" w:cs="Arial" w:hint="default"/>
        <w:b w:val="0"/>
        <w:bCs w:val="0"/>
        <w:i w:val="0"/>
        <w:iCs w:val="0"/>
        <w:spacing w:val="-1"/>
        <w:w w:val="101"/>
        <w:sz w:val="15"/>
        <w:szCs w:val="15"/>
        <w:lang w:val="en-US" w:eastAsia="en-US" w:bidi="ar-SA"/>
      </w:rPr>
    </w:lvl>
    <w:lvl w:ilvl="1">
      <w:start w:val="0"/>
      <w:numFmt w:val="bullet"/>
      <w:lvlText w:val="•"/>
      <w:lvlJc w:val="left"/>
      <w:pPr>
        <w:ind w:left="700" w:hanging="342"/>
      </w:pPr>
      <w:rPr>
        <w:rFonts w:hint="default"/>
        <w:lang w:val="en-US" w:eastAsia="en-US" w:bidi="ar-SA"/>
      </w:rPr>
    </w:lvl>
    <w:lvl w:ilvl="2">
      <w:start w:val="0"/>
      <w:numFmt w:val="bullet"/>
      <w:lvlText w:val="•"/>
      <w:lvlJc w:val="left"/>
      <w:pPr>
        <w:ind w:left="960" w:hanging="342"/>
      </w:pPr>
      <w:rPr>
        <w:rFonts w:hint="default"/>
        <w:lang w:val="en-US" w:eastAsia="en-US" w:bidi="ar-SA"/>
      </w:rPr>
    </w:lvl>
    <w:lvl w:ilvl="3">
      <w:start w:val="0"/>
      <w:numFmt w:val="bullet"/>
      <w:lvlText w:val="•"/>
      <w:lvlJc w:val="left"/>
      <w:pPr>
        <w:ind w:left="1220" w:hanging="342"/>
      </w:pPr>
      <w:rPr>
        <w:rFonts w:hint="default"/>
        <w:lang w:val="en-US" w:eastAsia="en-US" w:bidi="ar-SA"/>
      </w:rPr>
    </w:lvl>
    <w:lvl w:ilvl="4">
      <w:start w:val="0"/>
      <w:numFmt w:val="bullet"/>
      <w:lvlText w:val="•"/>
      <w:lvlJc w:val="left"/>
      <w:pPr>
        <w:ind w:left="1480" w:hanging="342"/>
      </w:pPr>
      <w:rPr>
        <w:rFonts w:hint="default"/>
        <w:lang w:val="en-US" w:eastAsia="en-US" w:bidi="ar-SA"/>
      </w:rPr>
    </w:lvl>
    <w:lvl w:ilvl="5">
      <w:start w:val="0"/>
      <w:numFmt w:val="bullet"/>
      <w:lvlText w:val="•"/>
      <w:lvlJc w:val="left"/>
      <w:pPr>
        <w:ind w:left="1740" w:hanging="342"/>
      </w:pPr>
      <w:rPr>
        <w:rFonts w:hint="default"/>
        <w:lang w:val="en-US" w:eastAsia="en-US" w:bidi="ar-SA"/>
      </w:rPr>
    </w:lvl>
    <w:lvl w:ilvl="6">
      <w:start w:val="0"/>
      <w:numFmt w:val="bullet"/>
      <w:lvlText w:val="•"/>
      <w:lvlJc w:val="left"/>
      <w:pPr>
        <w:ind w:left="2000" w:hanging="342"/>
      </w:pPr>
      <w:rPr>
        <w:rFonts w:hint="default"/>
        <w:lang w:val="en-US" w:eastAsia="en-US" w:bidi="ar-SA"/>
      </w:rPr>
    </w:lvl>
    <w:lvl w:ilvl="7">
      <w:start w:val="0"/>
      <w:numFmt w:val="bullet"/>
      <w:lvlText w:val="•"/>
      <w:lvlJc w:val="left"/>
      <w:pPr>
        <w:ind w:left="2261" w:hanging="342"/>
      </w:pPr>
      <w:rPr>
        <w:rFonts w:hint="default"/>
        <w:lang w:val="en-US" w:eastAsia="en-US" w:bidi="ar-SA"/>
      </w:rPr>
    </w:lvl>
    <w:lvl w:ilvl="8">
      <w:start w:val="0"/>
      <w:numFmt w:val="bullet"/>
      <w:lvlText w:val="•"/>
      <w:lvlJc w:val="left"/>
      <w:pPr>
        <w:ind w:left="2521" w:hanging="342"/>
      </w:pPr>
      <w:rPr>
        <w:rFonts w:hint="default"/>
        <w:lang w:val="en-US" w:eastAsia="en-US" w:bidi="ar-SA"/>
      </w:rPr>
    </w:lvl>
  </w:abstractNum>
  <w:abstractNum w:abstractNumId="21">
    <w:nsid w:val="49A913FD"/>
    <w:multiLevelType w:val="hybridMultilevel"/>
    <w:tmpl w:val="042C5DE2"/>
    <w:lvl w:ilvl="0">
      <w:start w:val="1"/>
      <w:numFmt w:val="upperLetter"/>
      <w:lvlText w:val="%1."/>
      <w:lvlJc w:val="left"/>
      <w:pPr>
        <w:ind w:left="1080" w:hanging="360"/>
      </w:pPr>
      <w:rPr>
        <w:rFonts w:hint="default"/>
        <w:sz w:val="24"/>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CA34E3E"/>
    <w:multiLevelType w:val="hybridMultilevel"/>
    <w:tmpl w:val="C3922F32"/>
    <w:lvl w:ilvl="0">
      <w:start w:val="0"/>
      <w:numFmt w:val="bullet"/>
      <w:lvlText w:val="•"/>
      <w:lvlJc w:val="left"/>
      <w:pPr>
        <w:ind w:left="2269" w:hanging="2087"/>
      </w:pPr>
      <w:rPr>
        <w:rFonts w:ascii="Arial" w:eastAsia="Arial" w:hAnsi="Arial" w:cs="Arial" w:hint="default"/>
        <w:spacing w:val="0"/>
        <w:w w:val="65"/>
        <w:lang w:val="en-US" w:eastAsia="en-US" w:bidi="ar-SA"/>
      </w:rPr>
    </w:lvl>
    <w:lvl w:ilvl="1">
      <w:start w:val="0"/>
      <w:numFmt w:val="bullet"/>
      <w:lvlText w:val="•"/>
      <w:lvlJc w:val="left"/>
      <w:pPr>
        <w:ind w:left="2397" w:hanging="2087"/>
      </w:pPr>
      <w:rPr>
        <w:rFonts w:hint="default"/>
        <w:lang w:val="en-US" w:eastAsia="en-US" w:bidi="ar-SA"/>
      </w:rPr>
    </w:lvl>
    <w:lvl w:ilvl="2">
      <w:start w:val="0"/>
      <w:numFmt w:val="bullet"/>
      <w:lvlText w:val="•"/>
      <w:lvlJc w:val="left"/>
      <w:pPr>
        <w:ind w:left="2535" w:hanging="2087"/>
      </w:pPr>
      <w:rPr>
        <w:rFonts w:hint="default"/>
        <w:lang w:val="en-US" w:eastAsia="en-US" w:bidi="ar-SA"/>
      </w:rPr>
    </w:lvl>
    <w:lvl w:ilvl="3">
      <w:start w:val="0"/>
      <w:numFmt w:val="bullet"/>
      <w:lvlText w:val="•"/>
      <w:lvlJc w:val="left"/>
      <w:pPr>
        <w:ind w:left="2672" w:hanging="2087"/>
      </w:pPr>
      <w:rPr>
        <w:rFonts w:hint="default"/>
        <w:lang w:val="en-US" w:eastAsia="en-US" w:bidi="ar-SA"/>
      </w:rPr>
    </w:lvl>
    <w:lvl w:ilvl="4">
      <w:start w:val="0"/>
      <w:numFmt w:val="bullet"/>
      <w:lvlText w:val="•"/>
      <w:lvlJc w:val="left"/>
      <w:pPr>
        <w:ind w:left="2810" w:hanging="2087"/>
      </w:pPr>
      <w:rPr>
        <w:rFonts w:hint="default"/>
        <w:lang w:val="en-US" w:eastAsia="en-US" w:bidi="ar-SA"/>
      </w:rPr>
    </w:lvl>
    <w:lvl w:ilvl="5">
      <w:start w:val="0"/>
      <w:numFmt w:val="bullet"/>
      <w:lvlText w:val="•"/>
      <w:lvlJc w:val="left"/>
      <w:pPr>
        <w:ind w:left="2948" w:hanging="2087"/>
      </w:pPr>
      <w:rPr>
        <w:rFonts w:hint="default"/>
        <w:lang w:val="en-US" w:eastAsia="en-US" w:bidi="ar-SA"/>
      </w:rPr>
    </w:lvl>
    <w:lvl w:ilvl="6">
      <w:start w:val="0"/>
      <w:numFmt w:val="bullet"/>
      <w:lvlText w:val="•"/>
      <w:lvlJc w:val="left"/>
      <w:pPr>
        <w:ind w:left="3085" w:hanging="2087"/>
      </w:pPr>
      <w:rPr>
        <w:rFonts w:hint="default"/>
        <w:lang w:val="en-US" w:eastAsia="en-US" w:bidi="ar-SA"/>
      </w:rPr>
    </w:lvl>
    <w:lvl w:ilvl="7">
      <w:start w:val="0"/>
      <w:numFmt w:val="bullet"/>
      <w:lvlText w:val="•"/>
      <w:lvlJc w:val="left"/>
      <w:pPr>
        <w:ind w:left="3223" w:hanging="2087"/>
      </w:pPr>
      <w:rPr>
        <w:rFonts w:hint="default"/>
        <w:lang w:val="en-US" w:eastAsia="en-US" w:bidi="ar-SA"/>
      </w:rPr>
    </w:lvl>
    <w:lvl w:ilvl="8">
      <w:start w:val="0"/>
      <w:numFmt w:val="bullet"/>
      <w:lvlText w:val="•"/>
      <w:lvlJc w:val="left"/>
      <w:pPr>
        <w:ind w:left="3360" w:hanging="2087"/>
      </w:pPr>
      <w:rPr>
        <w:rFonts w:hint="default"/>
        <w:lang w:val="en-US" w:eastAsia="en-US" w:bidi="ar-SA"/>
      </w:rPr>
    </w:lvl>
  </w:abstractNum>
  <w:abstractNum w:abstractNumId="23">
    <w:nsid w:val="4F5E7FE1"/>
    <w:multiLevelType w:val="hybridMultilevel"/>
    <w:tmpl w:val="3F9E188C"/>
    <w:lvl w:ilvl="0">
      <w:start w:val="7"/>
      <w:numFmt w:val="decimal"/>
      <w:lvlText w:val="%1"/>
      <w:lvlJc w:val="left"/>
      <w:pPr>
        <w:ind w:left="638" w:hanging="180"/>
        <w:jc w:val="right"/>
      </w:pPr>
      <w:rPr>
        <w:rFonts w:hint="default"/>
        <w:spacing w:val="0"/>
        <w:w w:val="103"/>
        <w:lang w:val="en-US" w:eastAsia="en-US" w:bidi="ar-SA"/>
      </w:rPr>
    </w:lvl>
    <w:lvl w:ilvl="1">
      <w:start w:val="0"/>
      <w:numFmt w:val="bullet"/>
      <w:lvlText w:val="•"/>
      <w:lvlJc w:val="left"/>
      <w:pPr>
        <w:ind w:left="1251" w:hanging="180"/>
      </w:pPr>
      <w:rPr>
        <w:rFonts w:hint="default"/>
        <w:lang w:val="en-US" w:eastAsia="en-US" w:bidi="ar-SA"/>
      </w:rPr>
    </w:lvl>
    <w:lvl w:ilvl="2">
      <w:start w:val="0"/>
      <w:numFmt w:val="bullet"/>
      <w:lvlText w:val="•"/>
      <w:lvlJc w:val="left"/>
      <w:pPr>
        <w:ind w:left="1863" w:hanging="180"/>
      </w:pPr>
      <w:rPr>
        <w:rFonts w:hint="default"/>
        <w:lang w:val="en-US" w:eastAsia="en-US" w:bidi="ar-SA"/>
      </w:rPr>
    </w:lvl>
    <w:lvl w:ilvl="3">
      <w:start w:val="0"/>
      <w:numFmt w:val="bullet"/>
      <w:lvlText w:val="•"/>
      <w:lvlJc w:val="left"/>
      <w:pPr>
        <w:ind w:left="2474" w:hanging="180"/>
      </w:pPr>
      <w:rPr>
        <w:rFonts w:hint="default"/>
        <w:lang w:val="en-US" w:eastAsia="en-US" w:bidi="ar-SA"/>
      </w:rPr>
    </w:lvl>
    <w:lvl w:ilvl="4">
      <w:start w:val="0"/>
      <w:numFmt w:val="bullet"/>
      <w:lvlText w:val="•"/>
      <w:lvlJc w:val="left"/>
      <w:pPr>
        <w:ind w:left="3086" w:hanging="180"/>
      </w:pPr>
      <w:rPr>
        <w:rFonts w:hint="default"/>
        <w:lang w:val="en-US" w:eastAsia="en-US" w:bidi="ar-SA"/>
      </w:rPr>
    </w:lvl>
    <w:lvl w:ilvl="5">
      <w:start w:val="0"/>
      <w:numFmt w:val="bullet"/>
      <w:lvlText w:val="•"/>
      <w:lvlJc w:val="left"/>
      <w:pPr>
        <w:ind w:left="3697" w:hanging="180"/>
      </w:pPr>
      <w:rPr>
        <w:rFonts w:hint="default"/>
        <w:lang w:val="en-US" w:eastAsia="en-US" w:bidi="ar-SA"/>
      </w:rPr>
    </w:lvl>
    <w:lvl w:ilvl="6">
      <w:start w:val="0"/>
      <w:numFmt w:val="bullet"/>
      <w:lvlText w:val="•"/>
      <w:lvlJc w:val="left"/>
      <w:pPr>
        <w:ind w:left="4309" w:hanging="180"/>
      </w:pPr>
      <w:rPr>
        <w:rFonts w:hint="default"/>
        <w:lang w:val="en-US" w:eastAsia="en-US" w:bidi="ar-SA"/>
      </w:rPr>
    </w:lvl>
    <w:lvl w:ilvl="7">
      <w:start w:val="0"/>
      <w:numFmt w:val="bullet"/>
      <w:lvlText w:val="•"/>
      <w:lvlJc w:val="left"/>
      <w:pPr>
        <w:ind w:left="4921" w:hanging="180"/>
      </w:pPr>
      <w:rPr>
        <w:rFonts w:hint="default"/>
        <w:lang w:val="en-US" w:eastAsia="en-US" w:bidi="ar-SA"/>
      </w:rPr>
    </w:lvl>
    <w:lvl w:ilvl="8">
      <w:start w:val="0"/>
      <w:numFmt w:val="bullet"/>
      <w:lvlText w:val="•"/>
      <w:lvlJc w:val="left"/>
      <w:pPr>
        <w:ind w:left="5532" w:hanging="180"/>
      </w:pPr>
      <w:rPr>
        <w:rFonts w:hint="default"/>
        <w:lang w:val="en-US" w:eastAsia="en-US" w:bidi="ar-SA"/>
      </w:rPr>
    </w:lvl>
  </w:abstractNum>
  <w:abstractNum w:abstractNumId="24">
    <w:nsid w:val="50A925A2"/>
    <w:multiLevelType w:val="hybridMultilevel"/>
    <w:tmpl w:val="652CACB0"/>
    <w:lvl w:ilvl="0">
      <w:start w:val="100"/>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12C5B8C"/>
    <w:multiLevelType w:val="hybridMultilevel"/>
    <w:tmpl w:val="BBE61056"/>
    <w:lvl w:ilvl="0">
      <w:start w:val="60"/>
      <w:numFmt w:val="decimal"/>
      <w:lvlText w:val="%1"/>
      <w:lvlJc w:val="left"/>
      <w:pPr>
        <w:ind w:left="696" w:hanging="325"/>
      </w:pPr>
      <w:rPr>
        <w:rFonts w:hint="default"/>
        <w:spacing w:val="-1"/>
        <w:w w:val="99"/>
        <w:lang w:val="en-US" w:eastAsia="en-US" w:bidi="ar-SA"/>
      </w:rPr>
    </w:lvl>
    <w:lvl w:ilvl="1">
      <w:start w:val="0"/>
      <w:numFmt w:val="bullet"/>
      <w:lvlText w:val="•"/>
      <w:lvlJc w:val="left"/>
      <w:pPr>
        <w:ind w:left="1773" w:hanging="325"/>
      </w:pPr>
      <w:rPr>
        <w:rFonts w:hint="default"/>
        <w:lang w:val="en-US" w:eastAsia="en-US" w:bidi="ar-SA"/>
      </w:rPr>
    </w:lvl>
    <w:lvl w:ilvl="2">
      <w:start w:val="0"/>
      <w:numFmt w:val="bullet"/>
      <w:lvlText w:val="•"/>
      <w:lvlJc w:val="left"/>
      <w:pPr>
        <w:ind w:left="2846" w:hanging="325"/>
      </w:pPr>
      <w:rPr>
        <w:rFonts w:hint="default"/>
        <w:lang w:val="en-US" w:eastAsia="en-US" w:bidi="ar-SA"/>
      </w:rPr>
    </w:lvl>
    <w:lvl w:ilvl="3">
      <w:start w:val="0"/>
      <w:numFmt w:val="bullet"/>
      <w:lvlText w:val="•"/>
      <w:lvlJc w:val="left"/>
      <w:pPr>
        <w:ind w:left="3919" w:hanging="325"/>
      </w:pPr>
      <w:rPr>
        <w:rFonts w:hint="default"/>
        <w:lang w:val="en-US" w:eastAsia="en-US" w:bidi="ar-SA"/>
      </w:rPr>
    </w:lvl>
    <w:lvl w:ilvl="4">
      <w:start w:val="0"/>
      <w:numFmt w:val="bullet"/>
      <w:lvlText w:val="•"/>
      <w:lvlJc w:val="left"/>
      <w:pPr>
        <w:ind w:left="4992" w:hanging="325"/>
      </w:pPr>
      <w:rPr>
        <w:rFonts w:hint="default"/>
        <w:lang w:val="en-US" w:eastAsia="en-US" w:bidi="ar-SA"/>
      </w:rPr>
    </w:lvl>
    <w:lvl w:ilvl="5">
      <w:start w:val="0"/>
      <w:numFmt w:val="bullet"/>
      <w:lvlText w:val="•"/>
      <w:lvlJc w:val="left"/>
      <w:pPr>
        <w:ind w:left="6066" w:hanging="325"/>
      </w:pPr>
      <w:rPr>
        <w:rFonts w:hint="default"/>
        <w:lang w:val="en-US" w:eastAsia="en-US" w:bidi="ar-SA"/>
      </w:rPr>
    </w:lvl>
    <w:lvl w:ilvl="6">
      <w:start w:val="0"/>
      <w:numFmt w:val="bullet"/>
      <w:lvlText w:val="•"/>
      <w:lvlJc w:val="left"/>
      <w:pPr>
        <w:ind w:left="7139" w:hanging="325"/>
      </w:pPr>
      <w:rPr>
        <w:rFonts w:hint="default"/>
        <w:lang w:val="en-US" w:eastAsia="en-US" w:bidi="ar-SA"/>
      </w:rPr>
    </w:lvl>
    <w:lvl w:ilvl="7">
      <w:start w:val="0"/>
      <w:numFmt w:val="bullet"/>
      <w:lvlText w:val="•"/>
      <w:lvlJc w:val="left"/>
      <w:pPr>
        <w:ind w:left="8212" w:hanging="325"/>
      </w:pPr>
      <w:rPr>
        <w:rFonts w:hint="default"/>
        <w:lang w:val="en-US" w:eastAsia="en-US" w:bidi="ar-SA"/>
      </w:rPr>
    </w:lvl>
    <w:lvl w:ilvl="8">
      <w:start w:val="0"/>
      <w:numFmt w:val="bullet"/>
      <w:lvlText w:val="•"/>
      <w:lvlJc w:val="left"/>
      <w:pPr>
        <w:ind w:left="9285" w:hanging="325"/>
      </w:pPr>
      <w:rPr>
        <w:rFonts w:hint="default"/>
        <w:lang w:val="en-US" w:eastAsia="en-US" w:bidi="ar-SA"/>
      </w:rPr>
    </w:lvl>
  </w:abstractNum>
  <w:abstractNum w:abstractNumId="26">
    <w:nsid w:val="5574029A"/>
    <w:multiLevelType w:val="hybridMultilevel"/>
    <w:tmpl w:val="0C60022E"/>
    <w:lvl w:ilvl="0">
      <w:start w:val="1"/>
      <w:numFmt w:val="decimal"/>
      <w:lvlText w:val="%1."/>
      <w:lvlJc w:val="left"/>
      <w:pPr>
        <w:ind w:left="439" w:hanging="222"/>
      </w:pPr>
      <w:rPr>
        <w:rFonts w:hint="default"/>
        <w:spacing w:val="-1"/>
        <w:w w:val="104"/>
        <w:lang w:val="en-US" w:eastAsia="en-US" w:bidi="ar-SA"/>
      </w:rPr>
    </w:lvl>
    <w:lvl w:ilvl="1">
      <w:start w:val="1"/>
      <w:numFmt w:val="decimal"/>
      <w:lvlText w:val="%2"/>
      <w:lvlJc w:val="left"/>
      <w:pPr>
        <w:ind w:left="644" w:hanging="188"/>
      </w:pPr>
      <w:rPr>
        <w:rFonts w:ascii="Arial" w:eastAsia="Arial" w:hAnsi="Arial" w:cs="Arial" w:hint="default"/>
        <w:b w:val="0"/>
        <w:bCs w:val="0"/>
        <w:i w:val="0"/>
        <w:iCs w:val="0"/>
        <w:spacing w:val="0"/>
        <w:w w:val="108"/>
        <w:sz w:val="15"/>
        <w:szCs w:val="15"/>
        <w:lang w:val="en-US" w:eastAsia="en-US" w:bidi="ar-SA"/>
      </w:rPr>
    </w:lvl>
    <w:lvl w:ilvl="2">
      <w:start w:val="0"/>
      <w:numFmt w:val="bullet"/>
      <w:lvlText w:val="•"/>
      <w:lvlJc w:val="left"/>
      <w:pPr>
        <w:ind w:left="821" w:hanging="188"/>
      </w:pPr>
      <w:rPr>
        <w:rFonts w:hint="default"/>
        <w:lang w:val="en-US" w:eastAsia="en-US" w:bidi="ar-SA"/>
      </w:rPr>
    </w:lvl>
    <w:lvl w:ilvl="3">
      <w:start w:val="0"/>
      <w:numFmt w:val="bullet"/>
      <w:lvlText w:val="•"/>
      <w:lvlJc w:val="left"/>
      <w:pPr>
        <w:ind w:left="1003" w:hanging="188"/>
      </w:pPr>
      <w:rPr>
        <w:rFonts w:hint="default"/>
        <w:lang w:val="en-US" w:eastAsia="en-US" w:bidi="ar-SA"/>
      </w:rPr>
    </w:lvl>
    <w:lvl w:ilvl="4">
      <w:start w:val="0"/>
      <w:numFmt w:val="bullet"/>
      <w:lvlText w:val="•"/>
      <w:lvlJc w:val="left"/>
      <w:pPr>
        <w:ind w:left="1184" w:hanging="188"/>
      </w:pPr>
      <w:rPr>
        <w:rFonts w:hint="default"/>
        <w:lang w:val="en-US" w:eastAsia="en-US" w:bidi="ar-SA"/>
      </w:rPr>
    </w:lvl>
    <w:lvl w:ilvl="5">
      <w:start w:val="0"/>
      <w:numFmt w:val="bullet"/>
      <w:lvlText w:val="•"/>
      <w:lvlJc w:val="left"/>
      <w:pPr>
        <w:ind w:left="1366" w:hanging="188"/>
      </w:pPr>
      <w:rPr>
        <w:rFonts w:hint="default"/>
        <w:lang w:val="en-US" w:eastAsia="en-US" w:bidi="ar-SA"/>
      </w:rPr>
    </w:lvl>
    <w:lvl w:ilvl="6">
      <w:start w:val="0"/>
      <w:numFmt w:val="bullet"/>
      <w:lvlText w:val="•"/>
      <w:lvlJc w:val="left"/>
      <w:pPr>
        <w:ind w:left="1548" w:hanging="188"/>
      </w:pPr>
      <w:rPr>
        <w:rFonts w:hint="default"/>
        <w:lang w:val="en-US" w:eastAsia="en-US" w:bidi="ar-SA"/>
      </w:rPr>
    </w:lvl>
    <w:lvl w:ilvl="7">
      <w:start w:val="0"/>
      <w:numFmt w:val="bullet"/>
      <w:lvlText w:val="•"/>
      <w:lvlJc w:val="left"/>
      <w:pPr>
        <w:ind w:left="1729" w:hanging="188"/>
      </w:pPr>
      <w:rPr>
        <w:rFonts w:hint="default"/>
        <w:lang w:val="en-US" w:eastAsia="en-US" w:bidi="ar-SA"/>
      </w:rPr>
    </w:lvl>
    <w:lvl w:ilvl="8">
      <w:start w:val="0"/>
      <w:numFmt w:val="bullet"/>
      <w:lvlText w:val="•"/>
      <w:lvlJc w:val="left"/>
      <w:pPr>
        <w:ind w:left="1911" w:hanging="188"/>
      </w:pPr>
      <w:rPr>
        <w:rFonts w:hint="default"/>
        <w:lang w:val="en-US" w:eastAsia="en-US" w:bidi="ar-SA"/>
      </w:rPr>
    </w:lvl>
  </w:abstractNum>
  <w:abstractNum w:abstractNumId="27">
    <w:nsid w:val="55A96B42"/>
    <w:multiLevelType w:val="hybridMultilevel"/>
    <w:tmpl w:val="B4D03152"/>
    <w:lvl w:ilvl="0">
      <w:start w:val="1"/>
      <w:numFmt w:val="decimal"/>
      <w:lvlText w:val="(%1)"/>
      <w:lvlJc w:val="left"/>
      <w:pPr>
        <w:ind w:left="760" w:hanging="40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6566B4F"/>
    <w:multiLevelType w:val="hybridMultilevel"/>
    <w:tmpl w:val="F1AE47D0"/>
    <w:lvl w:ilvl="0">
      <w:start w:val="88"/>
      <w:numFmt w:val="decimal"/>
      <w:lvlText w:val="%1"/>
      <w:lvlJc w:val="left"/>
      <w:pPr>
        <w:ind w:left="696" w:hanging="325"/>
        <w:jc w:val="right"/>
      </w:pPr>
      <w:rPr>
        <w:rFonts w:hint="default"/>
        <w:spacing w:val="-1"/>
        <w:w w:val="103"/>
        <w:lang w:val="en-US" w:eastAsia="en-US" w:bidi="ar-SA"/>
      </w:rPr>
    </w:lvl>
    <w:lvl w:ilvl="1">
      <w:start w:val="0"/>
      <w:numFmt w:val="bullet"/>
      <w:lvlText w:val="•"/>
      <w:lvlJc w:val="left"/>
      <w:pPr>
        <w:ind w:left="1142" w:hanging="325"/>
      </w:pPr>
      <w:rPr>
        <w:rFonts w:hint="default"/>
        <w:lang w:val="en-US" w:eastAsia="en-US" w:bidi="ar-SA"/>
      </w:rPr>
    </w:lvl>
    <w:lvl w:ilvl="2">
      <w:start w:val="0"/>
      <w:numFmt w:val="bullet"/>
      <w:lvlText w:val="•"/>
      <w:lvlJc w:val="left"/>
      <w:pPr>
        <w:ind w:left="1585" w:hanging="325"/>
      </w:pPr>
      <w:rPr>
        <w:rFonts w:hint="default"/>
        <w:lang w:val="en-US" w:eastAsia="en-US" w:bidi="ar-SA"/>
      </w:rPr>
    </w:lvl>
    <w:lvl w:ilvl="3">
      <w:start w:val="0"/>
      <w:numFmt w:val="bullet"/>
      <w:lvlText w:val="•"/>
      <w:lvlJc w:val="left"/>
      <w:pPr>
        <w:ind w:left="2028" w:hanging="325"/>
      </w:pPr>
      <w:rPr>
        <w:rFonts w:hint="default"/>
        <w:lang w:val="en-US" w:eastAsia="en-US" w:bidi="ar-SA"/>
      </w:rPr>
    </w:lvl>
    <w:lvl w:ilvl="4">
      <w:start w:val="0"/>
      <w:numFmt w:val="bullet"/>
      <w:lvlText w:val="•"/>
      <w:lvlJc w:val="left"/>
      <w:pPr>
        <w:ind w:left="2471" w:hanging="325"/>
      </w:pPr>
      <w:rPr>
        <w:rFonts w:hint="default"/>
        <w:lang w:val="en-US" w:eastAsia="en-US" w:bidi="ar-SA"/>
      </w:rPr>
    </w:lvl>
    <w:lvl w:ilvl="5">
      <w:start w:val="0"/>
      <w:numFmt w:val="bullet"/>
      <w:lvlText w:val="•"/>
      <w:lvlJc w:val="left"/>
      <w:pPr>
        <w:ind w:left="2914" w:hanging="325"/>
      </w:pPr>
      <w:rPr>
        <w:rFonts w:hint="default"/>
        <w:lang w:val="en-US" w:eastAsia="en-US" w:bidi="ar-SA"/>
      </w:rPr>
    </w:lvl>
    <w:lvl w:ilvl="6">
      <w:start w:val="0"/>
      <w:numFmt w:val="bullet"/>
      <w:lvlText w:val="•"/>
      <w:lvlJc w:val="left"/>
      <w:pPr>
        <w:ind w:left="3357" w:hanging="325"/>
      </w:pPr>
      <w:rPr>
        <w:rFonts w:hint="default"/>
        <w:lang w:val="en-US" w:eastAsia="en-US" w:bidi="ar-SA"/>
      </w:rPr>
    </w:lvl>
    <w:lvl w:ilvl="7">
      <w:start w:val="0"/>
      <w:numFmt w:val="bullet"/>
      <w:lvlText w:val="•"/>
      <w:lvlJc w:val="left"/>
      <w:pPr>
        <w:ind w:left="3799" w:hanging="325"/>
      </w:pPr>
      <w:rPr>
        <w:rFonts w:hint="default"/>
        <w:lang w:val="en-US" w:eastAsia="en-US" w:bidi="ar-SA"/>
      </w:rPr>
    </w:lvl>
    <w:lvl w:ilvl="8">
      <w:start w:val="0"/>
      <w:numFmt w:val="bullet"/>
      <w:lvlText w:val="•"/>
      <w:lvlJc w:val="left"/>
      <w:pPr>
        <w:ind w:left="4242" w:hanging="325"/>
      </w:pPr>
      <w:rPr>
        <w:rFonts w:hint="default"/>
        <w:lang w:val="en-US" w:eastAsia="en-US" w:bidi="ar-SA"/>
      </w:rPr>
    </w:lvl>
  </w:abstractNum>
  <w:abstractNum w:abstractNumId="29">
    <w:nsid w:val="5C95079E"/>
    <w:multiLevelType w:val="hybridMultilevel"/>
    <w:tmpl w:val="D7741F72"/>
    <w:lvl w:ilvl="0">
      <w:start w:val="62"/>
      <w:numFmt w:val="decimal"/>
      <w:lvlText w:val="%1"/>
      <w:lvlJc w:val="left"/>
      <w:pPr>
        <w:ind w:left="690" w:hanging="325"/>
      </w:pPr>
      <w:rPr>
        <w:rFonts w:ascii="Arial" w:eastAsia="Arial" w:hAnsi="Arial" w:cs="Arial" w:hint="default"/>
        <w:b w:val="0"/>
        <w:bCs w:val="0"/>
        <w:i w:val="0"/>
        <w:iCs w:val="0"/>
        <w:spacing w:val="-1"/>
        <w:w w:val="106"/>
        <w:sz w:val="15"/>
        <w:szCs w:val="15"/>
        <w:lang w:val="en-US" w:eastAsia="en-US" w:bidi="ar-SA"/>
      </w:rPr>
    </w:lvl>
    <w:lvl w:ilvl="1">
      <w:start w:val="0"/>
      <w:numFmt w:val="bullet"/>
      <w:lvlText w:val="•"/>
      <w:lvlJc w:val="left"/>
      <w:pPr>
        <w:ind w:left="1094" w:hanging="325"/>
      </w:pPr>
      <w:rPr>
        <w:rFonts w:hint="default"/>
        <w:lang w:val="en-US" w:eastAsia="en-US" w:bidi="ar-SA"/>
      </w:rPr>
    </w:lvl>
    <w:lvl w:ilvl="2">
      <w:start w:val="0"/>
      <w:numFmt w:val="bullet"/>
      <w:lvlText w:val="•"/>
      <w:lvlJc w:val="left"/>
      <w:pPr>
        <w:ind w:left="1488" w:hanging="325"/>
      </w:pPr>
      <w:rPr>
        <w:rFonts w:hint="default"/>
        <w:lang w:val="en-US" w:eastAsia="en-US" w:bidi="ar-SA"/>
      </w:rPr>
    </w:lvl>
    <w:lvl w:ilvl="3">
      <w:start w:val="0"/>
      <w:numFmt w:val="bullet"/>
      <w:lvlText w:val="•"/>
      <w:lvlJc w:val="left"/>
      <w:pPr>
        <w:ind w:left="1882" w:hanging="325"/>
      </w:pPr>
      <w:rPr>
        <w:rFonts w:hint="default"/>
        <w:lang w:val="en-US" w:eastAsia="en-US" w:bidi="ar-SA"/>
      </w:rPr>
    </w:lvl>
    <w:lvl w:ilvl="4">
      <w:start w:val="0"/>
      <w:numFmt w:val="bullet"/>
      <w:lvlText w:val="•"/>
      <w:lvlJc w:val="left"/>
      <w:pPr>
        <w:ind w:left="2277" w:hanging="325"/>
      </w:pPr>
      <w:rPr>
        <w:rFonts w:hint="default"/>
        <w:lang w:val="en-US" w:eastAsia="en-US" w:bidi="ar-SA"/>
      </w:rPr>
    </w:lvl>
    <w:lvl w:ilvl="5">
      <w:start w:val="0"/>
      <w:numFmt w:val="bullet"/>
      <w:lvlText w:val="•"/>
      <w:lvlJc w:val="left"/>
      <w:pPr>
        <w:ind w:left="2671" w:hanging="325"/>
      </w:pPr>
      <w:rPr>
        <w:rFonts w:hint="default"/>
        <w:lang w:val="en-US" w:eastAsia="en-US" w:bidi="ar-SA"/>
      </w:rPr>
    </w:lvl>
    <w:lvl w:ilvl="6">
      <w:start w:val="0"/>
      <w:numFmt w:val="bullet"/>
      <w:lvlText w:val="•"/>
      <w:lvlJc w:val="left"/>
      <w:pPr>
        <w:ind w:left="3065" w:hanging="325"/>
      </w:pPr>
      <w:rPr>
        <w:rFonts w:hint="default"/>
        <w:lang w:val="en-US" w:eastAsia="en-US" w:bidi="ar-SA"/>
      </w:rPr>
    </w:lvl>
    <w:lvl w:ilvl="7">
      <w:start w:val="0"/>
      <w:numFmt w:val="bullet"/>
      <w:lvlText w:val="•"/>
      <w:lvlJc w:val="left"/>
      <w:pPr>
        <w:ind w:left="3459" w:hanging="325"/>
      </w:pPr>
      <w:rPr>
        <w:rFonts w:hint="default"/>
        <w:lang w:val="en-US" w:eastAsia="en-US" w:bidi="ar-SA"/>
      </w:rPr>
    </w:lvl>
    <w:lvl w:ilvl="8">
      <w:start w:val="0"/>
      <w:numFmt w:val="bullet"/>
      <w:lvlText w:val="•"/>
      <w:lvlJc w:val="left"/>
      <w:pPr>
        <w:ind w:left="3854" w:hanging="325"/>
      </w:pPr>
      <w:rPr>
        <w:rFonts w:hint="default"/>
        <w:lang w:val="en-US" w:eastAsia="en-US" w:bidi="ar-SA"/>
      </w:rPr>
    </w:lvl>
  </w:abstractNum>
  <w:abstractNum w:abstractNumId="30">
    <w:nsid w:val="620B021A"/>
    <w:multiLevelType w:val="hybridMultilevel"/>
    <w:tmpl w:val="CA804F4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73115D8"/>
    <w:multiLevelType w:val="hybridMultilevel"/>
    <w:tmpl w:val="82C2F1A0"/>
    <w:lvl w:ilvl="0">
      <w:start w:val="7"/>
      <w:numFmt w:val="decimal"/>
      <w:lvlText w:val="%1"/>
      <w:lvlJc w:val="left"/>
      <w:pPr>
        <w:ind w:left="580" w:hanging="188"/>
        <w:jc w:val="right"/>
      </w:pPr>
      <w:rPr>
        <w:rFonts w:hint="default"/>
        <w:spacing w:val="0"/>
        <w:w w:val="96"/>
        <w:lang w:val="en-US" w:eastAsia="en-US" w:bidi="ar-SA"/>
      </w:rPr>
    </w:lvl>
    <w:lvl w:ilvl="1">
      <w:start w:val="0"/>
      <w:numFmt w:val="bullet"/>
      <w:lvlText w:val="•"/>
      <w:lvlJc w:val="left"/>
      <w:pPr>
        <w:ind w:left="1665" w:hanging="188"/>
      </w:pPr>
      <w:rPr>
        <w:rFonts w:hint="default"/>
        <w:lang w:val="en-US" w:eastAsia="en-US" w:bidi="ar-SA"/>
      </w:rPr>
    </w:lvl>
    <w:lvl w:ilvl="2">
      <w:start w:val="0"/>
      <w:numFmt w:val="bullet"/>
      <w:lvlText w:val="•"/>
      <w:lvlJc w:val="left"/>
      <w:pPr>
        <w:ind w:left="2750" w:hanging="188"/>
      </w:pPr>
      <w:rPr>
        <w:rFonts w:hint="default"/>
        <w:lang w:val="en-US" w:eastAsia="en-US" w:bidi="ar-SA"/>
      </w:rPr>
    </w:lvl>
    <w:lvl w:ilvl="3">
      <w:start w:val="0"/>
      <w:numFmt w:val="bullet"/>
      <w:lvlText w:val="•"/>
      <w:lvlJc w:val="left"/>
      <w:pPr>
        <w:ind w:left="3835" w:hanging="188"/>
      </w:pPr>
      <w:rPr>
        <w:rFonts w:hint="default"/>
        <w:lang w:val="en-US" w:eastAsia="en-US" w:bidi="ar-SA"/>
      </w:rPr>
    </w:lvl>
    <w:lvl w:ilvl="4">
      <w:start w:val="0"/>
      <w:numFmt w:val="bullet"/>
      <w:lvlText w:val="•"/>
      <w:lvlJc w:val="left"/>
      <w:pPr>
        <w:ind w:left="4920" w:hanging="188"/>
      </w:pPr>
      <w:rPr>
        <w:rFonts w:hint="default"/>
        <w:lang w:val="en-US" w:eastAsia="en-US" w:bidi="ar-SA"/>
      </w:rPr>
    </w:lvl>
    <w:lvl w:ilvl="5">
      <w:start w:val="0"/>
      <w:numFmt w:val="bullet"/>
      <w:lvlText w:val="•"/>
      <w:lvlJc w:val="left"/>
      <w:pPr>
        <w:ind w:left="6006" w:hanging="188"/>
      </w:pPr>
      <w:rPr>
        <w:rFonts w:hint="default"/>
        <w:lang w:val="en-US" w:eastAsia="en-US" w:bidi="ar-SA"/>
      </w:rPr>
    </w:lvl>
    <w:lvl w:ilvl="6">
      <w:start w:val="0"/>
      <w:numFmt w:val="bullet"/>
      <w:lvlText w:val="•"/>
      <w:lvlJc w:val="left"/>
      <w:pPr>
        <w:ind w:left="7091" w:hanging="188"/>
      </w:pPr>
      <w:rPr>
        <w:rFonts w:hint="default"/>
        <w:lang w:val="en-US" w:eastAsia="en-US" w:bidi="ar-SA"/>
      </w:rPr>
    </w:lvl>
    <w:lvl w:ilvl="7">
      <w:start w:val="0"/>
      <w:numFmt w:val="bullet"/>
      <w:lvlText w:val="•"/>
      <w:lvlJc w:val="left"/>
      <w:pPr>
        <w:ind w:left="8176" w:hanging="188"/>
      </w:pPr>
      <w:rPr>
        <w:rFonts w:hint="default"/>
        <w:lang w:val="en-US" w:eastAsia="en-US" w:bidi="ar-SA"/>
      </w:rPr>
    </w:lvl>
    <w:lvl w:ilvl="8">
      <w:start w:val="0"/>
      <w:numFmt w:val="bullet"/>
      <w:lvlText w:val="•"/>
      <w:lvlJc w:val="left"/>
      <w:pPr>
        <w:ind w:left="9261" w:hanging="188"/>
      </w:pPr>
      <w:rPr>
        <w:rFonts w:hint="default"/>
        <w:lang w:val="en-US" w:eastAsia="en-US" w:bidi="ar-SA"/>
      </w:rPr>
    </w:lvl>
  </w:abstractNum>
  <w:abstractNum w:abstractNumId="32">
    <w:nsid w:val="68595BB8"/>
    <w:multiLevelType w:val="hybridMultilevel"/>
    <w:tmpl w:val="B8F290C8"/>
    <w:lvl w:ilvl="0">
      <w:start w:val="1"/>
      <w:numFmt w:val="decimal"/>
      <w:lvlText w:val="%1."/>
      <w:lvlJc w:val="left"/>
      <w:pPr>
        <w:ind w:left="366" w:hanging="222"/>
      </w:pPr>
      <w:rPr>
        <w:rFonts w:hint="default"/>
        <w:spacing w:val="-1"/>
        <w:w w:val="97"/>
        <w:lang w:val="en-US" w:eastAsia="en-US" w:bidi="ar-SA"/>
      </w:rPr>
    </w:lvl>
    <w:lvl w:ilvl="1">
      <w:start w:val="1"/>
      <w:numFmt w:val="decimal"/>
      <w:lvlText w:val="%2"/>
      <w:lvlJc w:val="left"/>
      <w:pPr>
        <w:ind w:left="569" w:hanging="181"/>
      </w:pPr>
      <w:rPr>
        <w:rFonts w:hint="default"/>
        <w:spacing w:val="0"/>
        <w:w w:val="96"/>
        <w:lang w:val="en-US" w:eastAsia="en-US" w:bidi="ar-SA"/>
      </w:rPr>
    </w:lvl>
    <w:lvl w:ilvl="2">
      <w:start w:val="0"/>
      <w:numFmt w:val="bullet"/>
      <w:lvlText w:val="•"/>
      <w:lvlJc w:val="left"/>
      <w:pPr>
        <w:ind w:left="743" w:hanging="181"/>
      </w:pPr>
      <w:rPr>
        <w:rFonts w:hint="default"/>
        <w:lang w:val="en-US" w:eastAsia="en-US" w:bidi="ar-SA"/>
      </w:rPr>
    </w:lvl>
    <w:lvl w:ilvl="3">
      <w:start w:val="0"/>
      <w:numFmt w:val="bullet"/>
      <w:lvlText w:val="•"/>
      <w:lvlJc w:val="left"/>
      <w:pPr>
        <w:ind w:left="927" w:hanging="181"/>
      </w:pPr>
      <w:rPr>
        <w:rFonts w:hint="default"/>
        <w:lang w:val="en-US" w:eastAsia="en-US" w:bidi="ar-SA"/>
      </w:rPr>
    </w:lvl>
    <w:lvl w:ilvl="4">
      <w:start w:val="0"/>
      <w:numFmt w:val="bullet"/>
      <w:lvlText w:val="•"/>
      <w:lvlJc w:val="left"/>
      <w:pPr>
        <w:ind w:left="1111" w:hanging="181"/>
      </w:pPr>
      <w:rPr>
        <w:rFonts w:hint="default"/>
        <w:lang w:val="en-US" w:eastAsia="en-US" w:bidi="ar-SA"/>
      </w:rPr>
    </w:lvl>
    <w:lvl w:ilvl="5">
      <w:start w:val="0"/>
      <w:numFmt w:val="bullet"/>
      <w:lvlText w:val="•"/>
      <w:lvlJc w:val="left"/>
      <w:pPr>
        <w:ind w:left="1295" w:hanging="181"/>
      </w:pPr>
      <w:rPr>
        <w:rFonts w:hint="default"/>
        <w:lang w:val="en-US" w:eastAsia="en-US" w:bidi="ar-SA"/>
      </w:rPr>
    </w:lvl>
    <w:lvl w:ilvl="6">
      <w:start w:val="0"/>
      <w:numFmt w:val="bullet"/>
      <w:lvlText w:val="•"/>
      <w:lvlJc w:val="left"/>
      <w:pPr>
        <w:ind w:left="1479" w:hanging="181"/>
      </w:pPr>
      <w:rPr>
        <w:rFonts w:hint="default"/>
        <w:lang w:val="en-US" w:eastAsia="en-US" w:bidi="ar-SA"/>
      </w:rPr>
    </w:lvl>
    <w:lvl w:ilvl="7">
      <w:start w:val="0"/>
      <w:numFmt w:val="bullet"/>
      <w:lvlText w:val="•"/>
      <w:lvlJc w:val="left"/>
      <w:pPr>
        <w:ind w:left="1663" w:hanging="181"/>
      </w:pPr>
      <w:rPr>
        <w:rFonts w:hint="default"/>
        <w:lang w:val="en-US" w:eastAsia="en-US" w:bidi="ar-SA"/>
      </w:rPr>
    </w:lvl>
    <w:lvl w:ilvl="8">
      <w:start w:val="0"/>
      <w:numFmt w:val="bullet"/>
      <w:lvlText w:val="•"/>
      <w:lvlJc w:val="left"/>
      <w:pPr>
        <w:ind w:left="1847" w:hanging="181"/>
      </w:pPr>
      <w:rPr>
        <w:rFonts w:hint="default"/>
        <w:lang w:val="en-US" w:eastAsia="en-US" w:bidi="ar-SA"/>
      </w:rPr>
    </w:lvl>
  </w:abstractNum>
  <w:abstractNum w:abstractNumId="33">
    <w:nsid w:val="6A6E5045"/>
    <w:multiLevelType w:val="hybridMultilevel"/>
    <w:tmpl w:val="5314988A"/>
    <w:lvl w:ilvl="0">
      <w:start w:val="27"/>
      <w:numFmt w:val="decimal"/>
      <w:lvlText w:val="%1"/>
      <w:lvlJc w:val="left"/>
      <w:pPr>
        <w:ind w:left="656" w:hanging="282"/>
      </w:pPr>
      <w:rPr>
        <w:rFonts w:hint="default"/>
        <w:spacing w:val="-1"/>
        <w:w w:val="92"/>
        <w:lang w:val="en-US" w:eastAsia="en-US" w:bidi="ar-SA"/>
      </w:rPr>
    </w:lvl>
    <w:lvl w:ilvl="1">
      <w:start w:val="0"/>
      <w:numFmt w:val="bullet"/>
      <w:lvlText w:val="•"/>
      <w:lvlJc w:val="left"/>
      <w:pPr>
        <w:ind w:left="1269" w:hanging="282"/>
      </w:pPr>
      <w:rPr>
        <w:rFonts w:hint="default"/>
        <w:lang w:val="en-US" w:eastAsia="en-US" w:bidi="ar-SA"/>
      </w:rPr>
    </w:lvl>
    <w:lvl w:ilvl="2">
      <w:start w:val="0"/>
      <w:numFmt w:val="bullet"/>
      <w:lvlText w:val="•"/>
      <w:lvlJc w:val="left"/>
      <w:pPr>
        <w:ind w:left="1879" w:hanging="282"/>
      </w:pPr>
      <w:rPr>
        <w:rFonts w:hint="default"/>
        <w:lang w:val="en-US" w:eastAsia="en-US" w:bidi="ar-SA"/>
      </w:rPr>
    </w:lvl>
    <w:lvl w:ilvl="3">
      <w:start w:val="0"/>
      <w:numFmt w:val="bullet"/>
      <w:lvlText w:val="•"/>
      <w:lvlJc w:val="left"/>
      <w:pPr>
        <w:ind w:left="2488" w:hanging="282"/>
      </w:pPr>
      <w:rPr>
        <w:rFonts w:hint="default"/>
        <w:lang w:val="en-US" w:eastAsia="en-US" w:bidi="ar-SA"/>
      </w:rPr>
    </w:lvl>
    <w:lvl w:ilvl="4">
      <w:start w:val="0"/>
      <w:numFmt w:val="bullet"/>
      <w:lvlText w:val="•"/>
      <w:lvlJc w:val="left"/>
      <w:pPr>
        <w:ind w:left="3098" w:hanging="282"/>
      </w:pPr>
      <w:rPr>
        <w:rFonts w:hint="default"/>
        <w:lang w:val="en-US" w:eastAsia="en-US" w:bidi="ar-SA"/>
      </w:rPr>
    </w:lvl>
    <w:lvl w:ilvl="5">
      <w:start w:val="0"/>
      <w:numFmt w:val="bullet"/>
      <w:lvlText w:val="•"/>
      <w:lvlJc w:val="left"/>
      <w:pPr>
        <w:ind w:left="3707" w:hanging="282"/>
      </w:pPr>
      <w:rPr>
        <w:rFonts w:hint="default"/>
        <w:lang w:val="en-US" w:eastAsia="en-US" w:bidi="ar-SA"/>
      </w:rPr>
    </w:lvl>
    <w:lvl w:ilvl="6">
      <w:start w:val="0"/>
      <w:numFmt w:val="bullet"/>
      <w:lvlText w:val="•"/>
      <w:lvlJc w:val="left"/>
      <w:pPr>
        <w:ind w:left="4317" w:hanging="282"/>
      </w:pPr>
      <w:rPr>
        <w:rFonts w:hint="default"/>
        <w:lang w:val="en-US" w:eastAsia="en-US" w:bidi="ar-SA"/>
      </w:rPr>
    </w:lvl>
    <w:lvl w:ilvl="7">
      <w:start w:val="0"/>
      <w:numFmt w:val="bullet"/>
      <w:lvlText w:val="•"/>
      <w:lvlJc w:val="left"/>
      <w:pPr>
        <w:ind w:left="4927" w:hanging="282"/>
      </w:pPr>
      <w:rPr>
        <w:rFonts w:hint="default"/>
        <w:lang w:val="en-US" w:eastAsia="en-US" w:bidi="ar-SA"/>
      </w:rPr>
    </w:lvl>
    <w:lvl w:ilvl="8">
      <w:start w:val="0"/>
      <w:numFmt w:val="bullet"/>
      <w:lvlText w:val="•"/>
      <w:lvlJc w:val="left"/>
      <w:pPr>
        <w:ind w:left="5536" w:hanging="282"/>
      </w:pPr>
      <w:rPr>
        <w:rFonts w:hint="default"/>
        <w:lang w:val="en-US" w:eastAsia="en-US" w:bidi="ar-SA"/>
      </w:rPr>
    </w:lvl>
  </w:abstractNum>
  <w:abstractNum w:abstractNumId="34">
    <w:nsid w:val="6B060A2E"/>
    <w:multiLevelType w:val="multilevel"/>
    <w:tmpl w:val="1140044E"/>
    <w:lvl w:ilvl="0">
      <w:start w:val="1"/>
      <w:numFmt w:val="upperRoman"/>
      <w:lvlText w:val="%1."/>
      <w:lvlJc w:val="left"/>
      <w:pPr>
        <w:ind w:left="36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DDF6469"/>
    <w:multiLevelType w:val="hybridMultilevel"/>
    <w:tmpl w:val="9894F470"/>
    <w:lvl w:ilvl="0">
      <w:start w:val="1"/>
      <w:numFmt w:val="decimal"/>
      <w:lvlText w:val="%1."/>
      <w:lvlJc w:val="left"/>
      <w:pPr>
        <w:ind w:left="1384" w:hanging="737"/>
      </w:pPr>
      <w:rPr>
        <w:rFonts w:hint="default"/>
        <w:spacing w:val="0"/>
        <w:w w:val="103"/>
        <w:lang w:val="en-US" w:eastAsia="en-US" w:bidi="ar-SA"/>
      </w:rPr>
    </w:lvl>
    <w:lvl w:ilvl="1">
      <w:start w:val="1"/>
      <w:numFmt w:val="lowerLetter"/>
      <w:lvlText w:val="%2."/>
      <w:lvlJc w:val="left"/>
      <w:pPr>
        <w:ind w:left="2080" w:hanging="724"/>
      </w:pPr>
      <w:rPr>
        <w:rFonts w:hint="default"/>
        <w:spacing w:val="0"/>
        <w:w w:val="107"/>
        <w:lang w:val="en-US" w:eastAsia="en-US" w:bidi="ar-SA"/>
      </w:rPr>
    </w:lvl>
    <w:lvl w:ilvl="2">
      <w:start w:val="0"/>
      <w:numFmt w:val="bullet"/>
      <w:lvlText w:val="•"/>
      <w:lvlJc w:val="left"/>
      <w:pPr>
        <w:ind w:left="2100" w:hanging="724"/>
      </w:pPr>
      <w:rPr>
        <w:rFonts w:hint="default"/>
        <w:lang w:val="en-US" w:eastAsia="en-US" w:bidi="ar-SA"/>
      </w:rPr>
    </w:lvl>
    <w:lvl w:ilvl="3">
      <w:start w:val="0"/>
      <w:numFmt w:val="bullet"/>
      <w:lvlText w:val="•"/>
      <w:lvlJc w:val="left"/>
      <w:pPr>
        <w:ind w:left="3266" w:hanging="724"/>
      </w:pPr>
      <w:rPr>
        <w:rFonts w:hint="default"/>
        <w:lang w:val="en-US" w:eastAsia="en-US" w:bidi="ar-SA"/>
      </w:rPr>
    </w:lvl>
    <w:lvl w:ilvl="4">
      <w:start w:val="0"/>
      <w:numFmt w:val="bullet"/>
      <w:lvlText w:val="•"/>
      <w:lvlJc w:val="left"/>
      <w:pPr>
        <w:ind w:left="4433" w:hanging="724"/>
      </w:pPr>
      <w:rPr>
        <w:rFonts w:hint="default"/>
        <w:lang w:val="en-US" w:eastAsia="en-US" w:bidi="ar-SA"/>
      </w:rPr>
    </w:lvl>
    <w:lvl w:ilvl="5">
      <w:start w:val="0"/>
      <w:numFmt w:val="bullet"/>
      <w:lvlText w:val="•"/>
      <w:lvlJc w:val="left"/>
      <w:pPr>
        <w:ind w:left="5599" w:hanging="724"/>
      </w:pPr>
      <w:rPr>
        <w:rFonts w:hint="default"/>
        <w:lang w:val="en-US" w:eastAsia="en-US" w:bidi="ar-SA"/>
      </w:rPr>
    </w:lvl>
    <w:lvl w:ilvl="6">
      <w:start w:val="0"/>
      <w:numFmt w:val="bullet"/>
      <w:lvlText w:val="•"/>
      <w:lvlJc w:val="left"/>
      <w:pPr>
        <w:ind w:left="6766" w:hanging="724"/>
      </w:pPr>
      <w:rPr>
        <w:rFonts w:hint="default"/>
        <w:lang w:val="en-US" w:eastAsia="en-US" w:bidi="ar-SA"/>
      </w:rPr>
    </w:lvl>
    <w:lvl w:ilvl="7">
      <w:start w:val="0"/>
      <w:numFmt w:val="bullet"/>
      <w:lvlText w:val="•"/>
      <w:lvlJc w:val="left"/>
      <w:pPr>
        <w:ind w:left="7932" w:hanging="724"/>
      </w:pPr>
      <w:rPr>
        <w:rFonts w:hint="default"/>
        <w:lang w:val="en-US" w:eastAsia="en-US" w:bidi="ar-SA"/>
      </w:rPr>
    </w:lvl>
    <w:lvl w:ilvl="8">
      <w:start w:val="0"/>
      <w:numFmt w:val="bullet"/>
      <w:lvlText w:val="•"/>
      <w:lvlJc w:val="left"/>
      <w:pPr>
        <w:ind w:left="9099" w:hanging="724"/>
      </w:pPr>
      <w:rPr>
        <w:rFonts w:hint="default"/>
        <w:lang w:val="en-US" w:eastAsia="en-US" w:bidi="ar-SA"/>
      </w:rPr>
    </w:lvl>
  </w:abstractNum>
  <w:abstractNum w:abstractNumId="36">
    <w:nsid w:val="73252CE1"/>
    <w:multiLevelType w:val="hybridMultilevel"/>
    <w:tmpl w:val="DBC4AE7C"/>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55332A1"/>
    <w:multiLevelType w:val="hybridMultilevel"/>
    <w:tmpl w:val="152E051E"/>
    <w:lvl w:ilvl="0">
      <w:start w:val="0"/>
      <w:numFmt w:val="bullet"/>
      <w:lvlText w:val="•"/>
      <w:lvlJc w:val="left"/>
      <w:pPr>
        <w:ind w:left="445" w:hanging="342"/>
      </w:pPr>
      <w:rPr>
        <w:rFonts w:ascii="Times New Roman" w:eastAsia="Times New Roman" w:hAnsi="Times New Roman" w:cs="Times New Roman" w:hint="default"/>
        <w:spacing w:val="0"/>
        <w:w w:val="109"/>
        <w:lang w:val="en-US" w:eastAsia="en-US" w:bidi="ar-SA"/>
      </w:rPr>
    </w:lvl>
    <w:lvl w:ilvl="1">
      <w:start w:val="0"/>
      <w:numFmt w:val="bullet"/>
      <w:lvlText w:val="•"/>
      <w:lvlJc w:val="left"/>
      <w:pPr>
        <w:ind w:left="1495" w:hanging="342"/>
      </w:pPr>
      <w:rPr>
        <w:rFonts w:hint="default"/>
        <w:lang w:val="en-US" w:eastAsia="en-US" w:bidi="ar-SA"/>
      </w:rPr>
    </w:lvl>
    <w:lvl w:ilvl="2">
      <w:start w:val="0"/>
      <w:numFmt w:val="bullet"/>
      <w:lvlText w:val="•"/>
      <w:lvlJc w:val="left"/>
      <w:pPr>
        <w:ind w:left="2550" w:hanging="342"/>
      </w:pPr>
      <w:rPr>
        <w:rFonts w:hint="default"/>
        <w:lang w:val="en-US" w:eastAsia="en-US" w:bidi="ar-SA"/>
      </w:rPr>
    </w:lvl>
    <w:lvl w:ilvl="3">
      <w:start w:val="0"/>
      <w:numFmt w:val="bullet"/>
      <w:lvlText w:val="•"/>
      <w:lvlJc w:val="left"/>
      <w:pPr>
        <w:ind w:left="3605" w:hanging="342"/>
      </w:pPr>
      <w:rPr>
        <w:rFonts w:hint="default"/>
        <w:lang w:val="en-US" w:eastAsia="en-US" w:bidi="ar-SA"/>
      </w:rPr>
    </w:lvl>
    <w:lvl w:ilvl="4">
      <w:start w:val="0"/>
      <w:numFmt w:val="bullet"/>
      <w:lvlText w:val="•"/>
      <w:lvlJc w:val="left"/>
      <w:pPr>
        <w:ind w:left="4660" w:hanging="342"/>
      </w:pPr>
      <w:rPr>
        <w:rFonts w:hint="default"/>
        <w:lang w:val="en-US" w:eastAsia="en-US" w:bidi="ar-SA"/>
      </w:rPr>
    </w:lvl>
    <w:lvl w:ilvl="5">
      <w:start w:val="0"/>
      <w:numFmt w:val="bullet"/>
      <w:lvlText w:val="•"/>
      <w:lvlJc w:val="left"/>
      <w:pPr>
        <w:ind w:left="5716" w:hanging="342"/>
      </w:pPr>
      <w:rPr>
        <w:rFonts w:hint="default"/>
        <w:lang w:val="en-US" w:eastAsia="en-US" w:bidi="ar-SA"/>
      </w:rPr>
    </w:lvl>
    <w:lvl w:ilvl="6">
      <w:start w:val="0"/>
      <w:numFmt w:val="bullet"/>
      <w:lvlText w:val="•"/>
      <w:lvlJc w:val="left"/>
      <w:pPr>
        <w:ind w:left="6771" w:hanging="342"/>
      </w:pPr>
      <w:rPr>
        <w:rFonts w:hint="default"/>
        <w:lang w:val="en-US" w:eastAsia="en-US" w:bidi="ar-SA"/>
      </w:rPr>
    </w:lvl>
    <w:lvl w:ilvl="7">
      <w:start w:val="0"/>
      <w:numFmt w:val="bullet"/>
      <w:lvlText w:val="•"/>
      <w:lvlJc w:val="left"/>
      <w:pPr>
        <w:ind w:left="7826" w:hanging="342"/>
      </w:pPr>
      <w:rPr>
        <w:rFonts w:hint="default"/>
        <w:lang w:val="en-US" w:eastAsia="en-US" w:bidi="ar-SA"/>
      </w:rPr>
    </w:lvl>
    <w:lvl w:ilvl="8">
      <w:start w:val="0"/>
      <w:numFmt w:val="bullet"/>
      <w:lvlText w:val="•"/>
      <w:lvlJc w:val="left"/>
      <w:pPr>
        <w:ind w:left="8881" w:hanging="342"/>
      </w:pPr>
      <w:rPr>
        <w:rFonts w:hint="default"/>
        <w:lang w:val="en-US" w:eastAsia="en-US" w:bidi="ar-SA"/>
      </w:rPr>
    </w:lvl>
  </w:abstractNum>
  <w:abstractNum w:abstractNumId="38">
    <w:nsid w:val="7650261F"/>
    <w:multiLevelType w:val="hybridMultilevel"/>
    <w:tmpl w:val="042C5DE2"/>
    <w:lvl w:ilvl="0">
      <w:start w:val="1"/>
      <w:numFmt w:val="upperLetter"/>
      <w:lvlText w:val="%1."/>
      <w:lvlJc w:val="left"/>
      <w:pPr>
        <w:ind w:left="1080" w:hanging="360"/>
      </w:pPr>
      <w:rPr>
        <w:rFonts w:hint="default"/>
        <w:sz w:val="24"/>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771D7871"/>
    <w:multiLevelType w:val="hybridMultilevel"/>
    <w:tmpl w:val="BF525BBE"/>
    <w:lvl w:ilvl="0">
      <w:start w:val="77"/>
      <w:numFmt w:val="decimal"/>
      <w:lvlText w:val="%1"/>
      <w:lvlJc w:val="left"/>
      <w:pPr>
        <w:ind w:left="696" w:hanging="326"/>
      </w:pPr>
      <w:rPr>
        <w:rFonts w:hint="default"/>
        <w:spacing w:val="-1"/>
        <w:w w:val="104"/>
        <w:lang w:val="en-US" w:eastAsia="en-US" w:bidi="ar-SA"/>
      </w:rPr>
    </w:lvl>
    <w:lvl w:ilvl="1">
      <w:start w:val="0"/>
      <w:numFmt w:val="bullet"/>
      <w:lvlText w:val="•"/>
      <w:lvlJc w:val="left"/>
      <w:pPr>
        <w:ind w:left="1773" w:hanging="326"/>
      </w:pPr>
      <w:rPr>
        <w:rFonts w:hint="default"/>
        <w:lang w:val="en-US" w:eastAsia="en-US" w:bidi="ar-SA"/>
      </w:rPr>
    </w:lvl>
    <w:lvl w:ilvl="2">
      <w:start w:val="0"/>
      <w:numFmt w:val="bullet"/>
      <w:lvlText w:val="•"/>
      <w:lvlJc w:val="left"/>
      <w:pPr>
        <w:ind w:left="2846" w:hanging="326"/>
      </w:pPr>
      <w:rPr>
        <w:rFonts w:hint="default"/>
        <w:lang w:val="en-US" w:eastAsia="en-US" w:bidi="ar-SA"/>
      </w:rPr>
    </w:lvl>
    <w:lvl w:ilvl="3">
      <w:start w:val="0"/>
      <w:numFmt w:val="bullet"/>
      <w:lvlText w:val="•"/>
      <w:lvlJc w:val="left"/>
      <w:pPr>
        <w:ind w:left="3919" w:hanging="326"/>
      </w:pPr>
      <w:rPr>
        <w:rFonts w:hint="default"/>
        <w:lang w:val="en-US" w:eastAsia="en-US" w:bidi="ar-SA"/>
      </w:rPr>
    </w:lvl>
    <w:lvl w:ilvl="4">
      <w:start w:val="0"/>
      <w:numFmt w:val="bullet"/>
      <w:lvlText w:val="•"/>
      <w:lvlJc w:val="left"/>
      <w:pPr>
        <w:ind w:left="4992" w:hanging="326"/>
      </w:pPr>
      <w:rPr>
        <w:rFonts w:hint="default"/>
        <w:lang w:val="en-US" w:eastAsia="en-US" w:bidi="ar-SA"/>
      </w:rPr>
    </w:lvl>
    <w:lvl w:ilvl="5">
      <w:start w:val="0"/>
      <w:numFmt w:val="bullet"/>
      <w:lvlText w:val="•"/>
      <w:lvlJc w:val="left"/>
      <w:pPr>
        <w:ind w:left="6066" w:hanging="326"/>
      </w:pPr>
      <w:rPr>
        <w:rFonts w:hint="default"/>
        <w:lang w:val="en-US" w:eastAsia="en-US" w:bidi="ar-SA"/>
      </w:rPr>
    </w:lvl>
    <w:lvl w:ilvl="6">
      <w:start w:val="0"/>
      <w:numFmt w:val="bullet"/>
      <w:lvlText w:val="•"/>
      <w:lvlJc w:val="left"/>
      <w:pPr>
        <w:ind w:left="7139" w:hanging="326"/>
      </w:pPr>
      <w:rPr>
        <w:rFonts w:hint="default"/>
        <w:lang w:val="en-US" w:eastAsia="en-US" w:bidi="ar-SA"/>
      </w:rPr>
    </w:lvl>
    <w:lvl w:ilvl="7">
      <w:start w:val="0"/>
      <w:numFmt w:val="bullet"/>
      <w:lvlText w:val="•"/>
      <w:lvlJc w:val="left"/>
      <w:pPr>
        <w:ind w:left="8212" w:hanging="326"/>
      </w:pPr>
      <w:rPr>
        <w:rFonts w:hint="default"/>
        <w:lang w:val="en-US" w:eastAsia="en-US" w:bidi="ar-SA"/>
      </w:rPr>
    </w:lvl>
    <w:lvl w:ilvl="8">
      <w:start w:val="0"/>
      <w:numFmt w:val="bullet"/>
      <w:lvlText w:val="•"/>
      <w:lvlJc w:val="left"/>
      <w:pPr>
        <w:ind w:left="9285" w:hanging="326"/>
      </w:pPr>
      <w:rPr>
        <w:rFonts w:hint="default"/>
        <w:lang w:val="en-US" w:eastAsia="en-US" w:bidi="ar-SA"/>
      </w:rPr>
    </w:lvl>
  </w:abstractNum>
  <w:abstractNum w:abstractNumId="40">
    <w:nsid w:val="7B344AEA"/>
    <w:multiLevelType w:val="hybridMultilevel"/>
    <w:tmpl w:val="5AD4D374"/>
    <w:lvl w:ilvl="0">
      <w:start w:val="61"/>
      <w:numFmt w:val="decimal"/>
      <w:lvlText w:val="%1"/>
      <w:lvlJc w:val="left"/>
      <w:pPr>
        <w:ind w:left="501" w:hanging="326"/>
      </w:pPr>
      <w:rPr>
        <w:rFonts w:hint="default"/>
        <w:spacing w:val="0"/>
        <w:w w:val="105"/>
        <w:lang w:val="en-US" w:eastAsia="en-US" w:bidi="ar-SA"/>
      </w:rPr>
    </w:lvl>
    <w:lvl w:ilvl="1">
      <w:start w:val="0"/>
      <w:numFmt w:val="bullet"/>
      <w:lvlText w:val="•"/>
      <w:lvlJc w:val="left"/>
      <w:pPr>
        <w:ind w:left="1479" w:hanging="326"/>
      </w:pPr>
      <w:rPr>
        <w:rFonts w:hint="default"/>
        <w:lang w:val="en-US" w:eastAsia="en-US" w:bidi="ar-SA"/>
      </w:rPr>
    </w:lvl>
    <w:lvl w:ilvl="2">
      <w:start w:val="0"/>
      <w:numFmt w:val="bullet"/>
      <w:lvlText w:val="•"/>
      <w:lvlJc w:val="left"/>
      <w:pPr>
        <w:ind w:left="2459" w:hanging="326"/>
      </w:pPr>
      <w:rPr>
        <w:rFonts w:hint="default"/>
        <w:lang w:val="en-US" w:eastAsia="en-US" w:bidi="ar-SA"/>
      </w:rPr>
    </w:lvl>
    <w:lvl w:ilvl="3">
      <w:start w:val="0"/>
      <w:numFmt w:val="bullet"/>
      <w:lvlText w:val="•"/>
      <w:lvlJc w:val="left"/>
      <w:pPr>
        <w:ind w:left="3438" w:hanging="326"/>
      </w:pPr>
      <w:rPr>
        <w:rFonts w:hint="default"/>
        <w:lang w:val="en-US" w:eastAsia="en-US" w:bidi="ar-SA"/>
      </w:rPr>
    </w:lvl>
    <w:lvl w:ilvl="4">
      <w:start w:val="0"/>
      <w:numFmt w:val="bullet"/>
      <w:lvlText w:val="•"/>
      <w:lvlJc w:val="left"/>
      <w:pPr>
        <w:ind w:left="4418" w:hanging="326"/>
      </w:pPr>
      <w:rPr>
        <w:rFonts w:hint="default"/>
        <w:lang w:val="en-US" w:eastAsia="en-US" w:bidi="ar-SA"/>
      </w:rPr>
    </w:lvl>
    <w:lvl w:ilvl="5">
      <w:start w:val="0"/>
      <w:numFmt w:val="bullet"/>
      <w:lvlText w:val="•"/>
      <w:lvlJc w:val="left"/>
      <w:pPr>
        <w:ind w:left="5398" w:hanging="326"/>
      </w:pPr>
      <w:rPr>
        <w:rFonts w:hint="default"/>
        <w:lang w:val="en-US" w:eastAsia="en-US" w:bidi="ar-SA"/>
      </w:rPr>
    </w:lvl>
    <w:lvl w:ilvl="6">
      <w:start w:val="0"/>
      <w:numFmt w:val="bullet"/>
      <w:lvlText w:val="•"/>
      <w:lvlJc w:val="left"/>
      <w:pPr>
        <w:ind w:left="6377" w:hanging="326"/>
      </w:pPr>
      <w:rPr>
        <w:rFonts w:hint="default"/>
        <w:lang w:val="en-US" w:eastAsia="en-US" w:bidi="ar-SA"/>
      </w:rPr>
    </w:lvl>
    <w:lvl w:ilvl="7">
      <w:start w:val="0"/>
      <w:numFmt w:val="bullet"/>
      <w:lvlText w:val="•"/>
      <w:lvlJc w:val="left"/>
      <w:pPr>
        <w:ind w:left="7357" w:hanging="326"/>
      </w:pPr>
      <w:rPr>
        <w:rFonts w:hint="default"/>
        <w:lang w:val="en-US" w:eastAsia="en-US" w:bidi="ar-SA"/>
      </w:rPr>
    </w:lvl>
    <w:lvl w:ilvl="8">
      <w:start w:val="0"/>
      <w:numFmt w:val="bullet"/>
      <w:lvlText w:val="•"/>
      <w:lvlJc w:val="left"/>
      <w:pPr>
        <w:ind w:left="8336" w:hanging="326"/>
      </w:pPr>
      <w:rPr>
        <w:rFonts w:hint="default"/>
        <w:lang w:val="en-US" w:eastAsia="en-US" w:bidi="ar-SA"/>
      </w:rPr>
    </w:lvl>
  </w:abstractNum>
  <w:abstractNum w:abstractNumId="41">
    <w:nsid w:val="7F082ED9"/>
    <w:multiLevelType w:val="hybridMultilevel"/>
    <w:tmpl w:val="0E5C319E"/>
    <w:lvl w:ilvl="0">
      <w:start w:val="1"/>
      <w:numFmt w:val="upperLetter"/>
      <w:lvlText w:val="%1."/>
      <w:lvlJc w:val="left"/>
      <w:pPr>
        <w:ind w:left="720" w:hanging="360"/>
      </w:pPr>
      <w:rPr>
        <w:rFonts w:hint="default"/>
        <w:i w:val="0"/>
        <w:i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6"/>
  </w:num>
  <w:num w:numId="3">
    <w:abstractNumId w:val="34"/>
  </w:num>
  <w:num w:numId="4">
    <w:abstractNumId w:val="12"/>
  </w:num>
  <w:num w:numId="5">
    <w:abstractNumId w:val="5"/>
  </w:num>
  <w:num w:numId="6">
    <w:abstractNumId w:val="41"/>
  </w:num>
  <w:num w:numId="7">
    <w:abstractNumId w:val="9"/>
  </w:num>
  <w:num w:numId="8">
    <w:abstractNumId w:val="14"/>
  </w:num>
  <w:num w:numId="9">
    <w:abstractNumId w:val="21"/>
  </w:num>
  <w:num w:numId="10">
    <w:abstractNumId w:val="35"/>
  </w:num>
  <w:num w:numId="11">
    <w:abstractNumId w:val="37"/>
  </w:num>
  <w:num w:numId="12">
    <w:abstractNumId w:val="8"/>
  </w:num>
  <w:num w:numId="13">
    <w:abstractNumId w:val="22"/>
  </w:num>
  <w:num w:numId="14">
    <w:abstractNumId w:val="19"/>
  </w:num>
  <w:num w:numId="15">
    <w:abstractNumId w:val="40"/>
  </w:num>
  <w:num w:numId="16">
    <w:abstractNumId w:val="7"/>
  </w:num>
  <w:num w:numId="17">
    <w:abstractNumId w:val="31"/>
  </w:num>
  <w:num w:numId="18">
    <w:abstractNumId w:val="32"/>
  </w:num>
  <w:num w:numId="19">
    <w:abstractNumId w:val="4"/>
  </w:num>
  <w:num w:numId="20">
    <w:abstractNumId w:val="13"/>
  </w:num>
  <w:num w:numId="21">
    <w:abstractNumId w:val="20"/>
  </w:num>
  <w:num w:numId="22">
    <w:abstractNumId w:val="1"/>
  </w:num>
  <w:num w:numId="23">
    <w:abstractNumId w:val="29"/>
  </w:num>
  <w:num w:numId="24">
    <w:abstractNumId w:val="33"/>
  </w:num>
  <w:num w:numId="25">
    <w:abstractNumId w:val="23"/>
  </w:num>
  <w:num w:numId="26">
    <w:abstractNumId w:val="26"/>
  </w:num>
  <w:num w:numId="27">
    <w:abstractNumId w:val="28"/>
  </w:num>
  <w:num w:numId="28">
    <w:abstractNumId w:val="39"/>
  </w:num>
  <w:num w:numId="29">
    <w:abstractNumId w:val="25"/>
  </w:num>
  <w:num w:numId="30">
    <w:abstractNumId w:val="3"/>
  </w:num>
  <w:num w:numId="31">
    <w:abstractNumId w:val="0"/>
  </w:num>
  <w:num w:numId="32">
    <w:abstractNumId w:val="15"/>
  </w:num>
  <w:num w:numId="33">
    <w:abstractNumId w:val="11"/>
  </w:num>
  <w:num w:numId="34">
    <w:abstractNumId w:val="10"/>
  </w:num>
  <w:num w:numId="35">
    <w:abstractNumId w:val="2"/>
  </w:num>
  <w:num w:numId="36">
    <w:abstractNumId w:val="24"/>
  </w:num>
  <w:num w:numId="37">
    <w:abstractNumId w:val="30"/>
  </w:num>
  <w:num w:numId="38">
    <w:abstractNumId w:val="27"/>
  </w:num>
  <w:num w:numId="39">
    <w:abstractNumId w:val="17"/>
  </w:num>
  <w:num w:numId="40">
    <w:abstractNumId w:val="38"/>
  </w:num>
  <w:num w:numId="41">
    <w:abstractNumId w:val="1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CA"/>
    <w:rsid w:val="00002FD7"/>
    <w:rsid w:val="00005BA7"/>
    <w:rsid w:val="00011CB8"/>
    <w:rsid w:val="00015422"/>
    <w:rsid w:val="00035D7F"/>
    <w:rsid w:val="00041A9F"/>
    <w:rsid w:val="00046715"/>
    <w:rsid w:val="00046B7E"/>
    <w:rsid w:val="00051831"/>
    <w:rsid w:val="00075473"/>
    <w:rsid w:val="00076529"/>
    <w:rsid w:val="000802C2"/>
    <w:rsid w:val="00082EC8"/>
    <w:rsid w:val="000850E3"/>
    <w:rsid w:val="0008697C"/>
    <w:rsid w:val="00095578"/>
    <w:rsid w:val="00097332"/>
    <w:rsid w:val="000A1537"/>
    <w:rsid w:val="000A403A"/>
    <w:rsid w:val="000B0E3C"/>
    <w:rsid w:val="000B4E7F"/>
    <w:rsid w:val="000B5F9C"/>
    <w:rsid w:val="000C228F"/>
    <w:rsid w:val="000C3298"/>
    <w:rsid w:val="000C53BA"/>
    <w:rsid w:val="000C6D85"/>
    <w:rsid w:val="000D25C6"/>
    <w:rsid w:val="000D3478"/>
    <w:rsid w:val="000D4BA8"/>
    <w:rsid w:val="000D5294"/>
    <w:rsid w:val="000D6F50"/>
    <w:rsid w:val="000E7490"/>
    <w:rsid w:val="000F6CF9"/>
    <w:rsid w:val="00102458"/>
    <w:rsid w:val="00104E2C"/>
    <w:rsid w:val="001109CA"/>
    <w:rsid w:val="001117A2"/>
    <w:rsid w:val="0011459A"/>
    <w:rsid w:val="00121708"/>
    <w:rsid w:val="0012432C"/>
    <w:rsid w:val="00130328"/>
    <w:rsid w:val="001352DC"/>
    <w:rsid w:val="00141D84"/>
    <w:rsid w:val="00141E43"/>
    <w:rsid w:val="001441D7"/>
    <w:rsid w:val="00147BA4"/>
    <w:rsid w:val="00150DB9"/>
    <w:rsid w:val="001510B5"/>
    <w:rsid w:val="00152F4C"/>
    <w:rsid w:val="001536E1"/>
    <w:rsid w:val="00160B6D"/>
    <w:rsid w:val="0016593D"/>
    <w:rsid w:val="00167F2F"/>
    <w:rsid w:val="001734AB"/>
    <w:rsid w:val="001750C7"/>
    <w:rsid w:val="00175F1A"/>
    <w:rsid w:val="00176C32"/>
    <w:rsid w:val="001832B3"/>
    <w:rsid w:val="00187705"/>
    <w:rsid w:val="00187793"/>
    <w:rsid w:val="00191D7F"/>
    <w:rsid w:val="00193539"/>
    <w:rsid w:val="001935D2"/>
    <w:rsid w:val="00193767"/>
    <w:rsid w:val="001952EE"/>
    <w:rsid w:val="001970A8"/>
    <w:rsid w:val="001977EB"/>
    <w:rsid w:val="001A1740"/>
    <w:rsid w:val="001A21F1"/>
    <w:rsid w:val="001A23AD"/>
    <w:rsid w:val="001A35AA"/>
    <w:rsid w:val="001A4583"/>
    <w:rsid w:val="001A6E9E"/>
    <w:rsid w:val="001B3292"/>
    <w:rsid w:val="001B67C5"/>
    <w:rsid w:val="001B7486"/>
    <w:rsid w:val="001C0151"/>
    <w:rsid w:val="001C20B7"/>
    <w:rsid w:val="001C5478"/>
    <w:rsid w:val="001C679C"/>
    <w:rsid w:val="001E0BC1"/>
    <w:rsid w:val="001E459F"/>
    <w:rsid w:val="001E73D0"/>
    <w:rsid w:val="001F02DD"/>
    <w:rsid w:val="001F34D2"/>
    <w:rsid w:val="001F6D2A"/>
    <w:rsid w:val="001F7EF9"/>
    <w:rsid w:val="002012A2"/>
    <w:rsid w:val="00203F1A"/>
    <w:rsid w:val="00213FDC"/>
    <w:rsid w:val="00215C94"/>
    <w:rsid w:val="00216C91"/>
    <w:rsid w:val="00223E37"/>
    <w:rsid w:val="002275BF"/>
    <w:rsid w:val="002302D3"/>
    <w:rsid w:val="002329E2"/>
    <w:rsid w:val="00233314"/>
    <w:rsid w:val="00233A8E"/>
    <w:rsid w:val="00235ADD"/>
    <w:rsid w:val="00236ABB"/>
    <w:rsid w:val="00243C99"/>
    <w:rsid w:val="00245795"/>
    <w:rsid w:val="002465B4"/>
    <w:rsid w:val="002574C6"/>
    <w:rsid w:val="00265764"/>
    <w:rsid w:val="0026631E"/>
    <w:rsid w:val="00267739"/>
    <w:rsid w:val="00267C2C"/>
    <w:rsid w:val="002760B3"/>
    <w:rsid w:val="00281130"/>
    <w:rsid w:val="00281588"/>
    <w:rsid w:val="00281725"/>
    <w:rsid w:val="002825A9"/>
    <w:rsid w:val="00284EA8"/>
    <w:rsid w:val="00284FE3"/>
    <w:rsid w:val="00285E52"/>
    <w:rsid w:val="002878F9"/>
    <w:rsid w:val="002936B2"/>
    <w:rsid w:val="00297E65"/>
    <w:rsid w:val="002A154D"/>
    <w:rsid w:val="002A1B56"/>
    <w:rsid w:val="002A3B43"/>
    <w:rsid w:val="002A3F8C"/>
    <w:rsid w:val="002B0526"/>
    <w:rsid w:val="002B3717"/>
    <w:rsid w:val="002C1A1E"/>
    <w:rsid w:val="002C2617"/>
    <w:rsid w:val="002C7332"/>
    <w:rsid w:val="002D1068"/>
    <w:rsid w:val="002D1B05"/>
    <w:rsid w:val="002D5536"/>
    <w:rsid w:val="002D7D3B"/>
    <w:rsid w:val="002F2B17"/>
    <w:rsid w:val="002F423A"/>
    <w:rsid w:val="002F4CD3"/>
    <w:rsid w:val="002F6002"/>
    <w:rsid w:val="0030106C"/>
    <w:rsid w:val="00302B89"/>
    <w:rsid w:val="00303A57"/>
    <w:rsid w:val="00310EAC"/>
    <w:rsid w:val="0031217A"/>
    <w:rsid w:val="00312AED"/>
    <w:rsid w:val="00312E61"/>
    <w:rsid w:val="003130E0"/>
    <w:rsid w:val="00336D4A"/>
    <w:rsid w:val="00342E4D"/>
    <w:rsid w:val="00344876"/>
    <w:rsid w:val="00344E91"/>
    <w:rsid w:val="00351D95"/>
    <w:rsid w:val="00353A75"/>
    <w:rsid w:val="003547F5"/>
    <w:rsid w:val="003557D7"/>
    <w:rsid w:val="00355AFC"/>
    <w:rsid w:val="003603C6"/>
    <w:rsid w:val="00362FCE"/>
    <w:rsid w:val="00363BE8"/>
    <w:rsid w:val="00367016"/>
    <w:rsid w:val="00367AC2"/>
    <w:rsid w:val="00367D69"/>
    <w:rsid w:val="00373F1B"/>
    <w:rsid w:val="00377DBD"/>
    <w:rsid w:val="00377DDE"/>
    <w:rsid w:val="0038079E"/>
    <w:rsid w:val="00380EBC"/>
    <w:rsid w:val="00380FE2"/>
    <w:rsid w:val="003811C4"/>
    <w:rsid w:val="0038144D"/>
    <w:rsid w:val="003839E5"/>
    <w:rsid w:val="00385B8B"/>
    <w:rsid w:val="00394792"/>
    <w:rsid w:val="00394E5F"/>
    <w:rsid w:val="00396FC7"/>
    <w:rsid w:val="003A250A"/>
    <w:rsid w:val="003A26AC"/>
    <w:rsid w:val="003A68AA"/>
    <w:rsid w:val="003B1BE9"/>
    <w:rsid w:val="003B3682"/>
    <w:rsid w:val="003C3BB2"/>
    <w:rsid w:val="003C7E82"/>
    <w:rsid w:val="003D1FA8"/>
    <w:rsid w:val="003D3C78"/>
    <w:rsid w:val="003D61D5"/>
    <w:rsid w:val="003D6885"/>
    <w:rsid w:val="003D7C9C"/>
    <w:rsid w:val="003E06F7"/>
    <w:rsid w:val="003E07EC"/>
    <w:rsid w:val="003E29AD"/>
    <w:rsid w:val="003F3556"/>
    <w:rsid w:val="003F3CB7"/>
    <w:rsid w:val="003F7CB2"/>
    <w:rsid w:val="004007B9"/>
    <w:rsid w:val="004015A8"/>
    <w:rsid w:val="00404A1A"/>
    <w:rsid w:val="00412348"/>
    <w:rsid w:val="004131EE"/>
    <w:rsid w:val="00413557"/>
    <w:rsid w:val="004141B1"/>
    <w:rsid w:val="004207E6"/>
    <w:rsid w:val="004209FF"/>
    <w:rsid w:val="004234FC"/>
    <w:rsid w:val="00425479"/>
    <w:rsid w:val="00426B7C"/>
    <w:rsid w:val="00433B23"/>
    <w:rsid w:val="004408F2"/>
    <w:rsid w:val="00452C55"/>
    <w:rsid w:val="004577E1"/>
    <w:rsid w:val="00466236"/>
    <w:rsid w:val="004668D1"/>
    <w:rsid w:val="00467247"/>
    <w:rsid w:val="004679DB"/>
    <w:rsid w:val="00473FF2"/>
    <w:rsid w:val="00475154"/>
    <w:rsid w:val="004754A9"/>
    <w:rsid w:val="00476799"/>
    <w:rsid w:val="00477E63"/>
    <w:rsid w:val="0048164E"/>
    <w:rsid w:val="00484870"/>
    <w:rsid w:val="00485632"/>
    <w:rsid w:val="004864B1"/>
    <w:rsid w:val="0049043E"/>
    <w:rsid w:val="00494AD6"/>
    <w:rsid w:val="00496B1F"/>
    <w:rsid w:val="004A0D52"/>
    <w:rsid w:val="004A112C"/>
    <w:rsid w:val="004A1727"/>
    <w:rsid w:val="004A595E"/>
    <w:rsid w:val="004A7AFD"/>
    <w:rsid w:val="004B5529"/>
    <w:rsid w:val="004B595D"/>
    <w:rsid w:val="004B61F9"/>
    <w:rsid w:val="004B77AB"/>
    <w:rsid w:val="004C1E2C"/>
    <w:rsid w:val="004C4CC2"/>
    <w:rsid w:val="004C5AD5"/>
    <w:rsid w:val="004C6EA4"/>
    <w:rsid w:val="004D0608"/>
    <w:rsid w:val="004D1310"/>
    <w:rsid w:val="004D28CF"/>
    <w:rsid w:val="004D2FAE"/>
    <w:rsid w:val="004D31BA"/>
    <w:rsid w:val="004E3258"/>
    <w:rsid w:val="004F0136"/>
    <w:rsid w:val="004F1AB7"/>
    <w:rsid w:val="004F2909"/>
    <w:rsid w:val="004F3F06"/>
    <w:rsid w:val="004F3F7A"/>
    <w:rsid w:val="004F43FC"/>
    <w:rsid w:val="004F60D2"/>
    <w:rsid w:val="005007A3"/>
    <w:rsid w:val="00501D59"/>
    <w:rsid w:val="0050375A"/>
    <w:rsid w:val="00522554"/>
    <w:rsid w:val="00522A69"/>
    <w:rsid w:val="00524C3E"/>
    <w:rsid w:val="00525C65"/>
    <w:rsid w:val="005264F9"/>
    <w:rsid w:val="00530833"/>
    <w:rsid w:val="00530D5E"/>
    <w:rsid w:val="00533189"/>
    <w:rsid w:val="005347E8"/>
    <w:rsid w:val="005363F4"/>
    <w:rsid w:val="005402B5"/>
    <w:rsid w:val="00540661"/>
    <w:rsid w:val="00545E1F"/>
    <w:rsid w:val="005467FC"/>
    <w:rsid w:val="0055006D"/>
    <w:rsid w:val="00550F44"/>
    <w:rsid w:val="00556139"/>
    <w:rsid w:val="0055663C"/>
    <w:rsid w:val="00556B02"/>
    <w:rsid w:val="005609A0"/>
    <w:rsid w:val="00563D4E"/>
    <w:rsid w:val="00567FBC"/>
    <w:rsid w:val="00570F64"/>
    <w:rsid w:val="00574FED"/>
    <w:rsid w:val="00575220"/>
    <w:rsid w:val="00581CBE"/>
    <w:rsid w:val="00583937"/>
    <w:rsid w:val="00583A03"/>
    <w:rsid w:val="00584D05"/>
    <w:rsid w:val="00586271"/>
    <w:rsid w:val="00586648"/>
    <w:rsid w:val="00590467"/>
    <w:rsid w:val="0059287C"/>
    <w:rsid w:val="005937F0"/>
    <w:rsid w:val="0059766A"/>
    <w:rsid w:val="005A2BE6"/>
    <w:rsid w:val="005A395F"/>
    <w:rsid w:val="005A58ED"/>
    <w:rsid w:val="005B05DD"/>
    <w:rsid w:val="005B1CA7"/>
    <w:rsid w:val="005B1CBF"/>
    <w:rsid w:val="005C43FF"/>
    <w:rsid w:val="005C607D"/>
    <w:rsid w:val="005C6DF1"/>
    <w:rsid w:val="005C7C27"/>
    <w:rsid w:val="005E1A4D"/>
    <w:rsid w:val="005E28AE"/>
    <w:rsid w:val="005E295B"/>
    <w:rsid w:val="005E675A"/>
    <w:rsid w:val="005F050A"/>
    <w:rsid w:val="005F26BC"/>
    <w:rsid w:val="005F290A"/>
    <w:rsid w:val="005F2F30"/>
    <w:rsid w:val="005F4A68"/>
    <w:rsid w:val="005F742F"/>
    <w:rsid w:val="00601801"/>
    <w:rsid w:val="00604724"/>
    <w:rsid w:val="006056FD"/>
    <w:rsid w:val="00612532"/>
    <w:rsid w:val="00615449"/>
    <w:rsid w:val="00620DD2"/>
    <w:rsid w:val="00622643"/>
    <w:rsid w:val="00623E4C"/>
    <w:rsid w:val="00632168"/>
    <w:rsid w:val="00633AF6"/>
    <w:rsid w:val="00641105"/>
    <w:rsid w:val="00642F89"/>
    <w:rsid w:val="006441ED"/>
    <w:rsid w:val="00654234"/>
    <w:rsid w:val="0065641D"/>
    <w:rsid w:val="00662C83"/>
    <w:rsid w:val="006664EF"/>
    <w:rsid w:val="00670A23"/>
    <w:rsid w:val="00670A25"/>
    <w:rsid w:val="006723BA"/>
    <w:rsid w:val="00675DAA"/>
    <w:rsid w:val="006801AA"/>
    <w:rsid w:val="00682D6A"/>
    <w:rsid w:val="00684532"/>
    <w:rsid w:val="00684F28"/>
    <w:rsid w:val="00686394"/>
    <w:rsid w:val="0069094C"/>
    <w:rsid w:val="00693C14"/>
    <w:rsid w:val="006972C3"/>
    <w:rsid w:val="006A46E3"/>
    <w:rsid w:val="006A5AA4"/>
    <w:rsid w:val="006A671B"/>
    <w:rsid w:val="006B0599"/>
    <w:rsid w:val="006B0E96"/>
    <w:rsid w:val="006B7308"/>
    <w:rsid w:val="006C3372"/>
    <w:rsid w:val="006C40F0"/>
    <w:rsid w:val="006C61D3"/>
    <w:rsid w:val="006D25C4"/>
    <w:rsid w:val="006D46C7"/>
    <w:rsid w:val="006E1B67"/>
    <w:rsid w:val="006E520B"/>
    <w:rsid w:val="006E5EFB"/>
    <w:rsid w:val="006E63DF"/>
    <w:rsid w:val="006F0780"/>
    <w:rsid w:val="006F2CCF"/>
    <w:rsid w:val="006F3CDB"/>
    <w:rsid w:val="00700F22"/>
    <w:rsid w:val="0070437E"/>
    <w:rsid w:val="007045CE"/>
    <w:rsid w:val="007063B4"/>
    <w:rsid w:val="007069B5"/>
    <w:rsid w:val="00707593"/>
    <w:rsid w:val="007139CF"/>
    <w:rsid w:val="00722A07"/>
    <w:rsid w:val="00727168"/>
    <w:rsid w:val="00730864"/>
    <w:rsid w:val="00731BB6"/>
    <w:rsid w:val="00734C67"/>
    <w:rsid w:val="007351C9"/>
    <w:rsid w:val="00735B18"/>
    <w:rsid w:val="00737C65"/>
    <w:rsid w:val="007450A3"/>
    <w:rsid w:val="00745D6E"/>
    <w:rsid w:val="0075189C"/>
    <w:rsid w:val="007524A9"/>
    <w:rsid w:val="007531C3"/>
    <w:rsid w:val="00762C75"/>
    <w:rsid w:val="0076510A"/>
    <w:rsid w:val="00766E4C"/>
    <w:rsid w:val="00774AA0"/>
    <w:rsid w:val="00774C90"/>
    <w:rsid w:val="007826F8"/>
    <w:rsid w:val="007829C0"/>
    <w:rsid w:val="0079506E"/>
    <w:rsid w:val="00795F85"/>
    <w:rsid w:val="00796038"/>
    <w:rsid w:val="007A0DE7"/>
    <w:rsid w:val="007A35D8"/>
    <w:rsid w:val="007A6FB4"/>
    <w:rsid w:val="007A7822"/>
    <w:rsid w:val="007B241F"/>
    <w:rsid w:val="007B4C63"/>
    <w:rsid w:val="007B7B84"/>
    <w:rsid w:val="007C1DAB"/>
    <w:rsid w:val="007D34B8"/>
    <w:rsid w:val="007D6C9A"/>
    <w:rsid w:val="007E654F"/>
    <w:rsid w:val="007E768A"/>
    <w:rsid w:val="007E78BE"/>
    <w:rsid w:val="007F0DC6"/>
    <w:rsid w:val="007F62F6"/>
    <w:rsid w:val="007F6E59"/>
    <w:rsid w:val="00806A1A"/>
    <w:rsid w:val="00806BDD"/>
    <w:rsid w:val="008210BA"/>
    <w:rsid w:val="00821B58"/>
    <w:rsid w:val="00823FD5"/>
    <w:rsid w:val="008327CB"/>
    <w:rsid w:val="00836BD6"/>
    <w:rsid w:val="0084005B"/>
    <w:rsid w:val="0084150A"/>
    <w:rsid w:val="00841D3F"/>
    <w:rsid w:val="00850D70"/>
    <w:rsid w:val="00852B02"/>
    <w:rsid w:val="00854D85"/>
    <w:rsid w:val="008600E0"/>
    <w:rsid w:val="008633B9"/>
    <w:rsid w:val="0087293B"/>
    <w:rsid w:val="008732D9"/>
    <w:rsid w:val="00881982"/>
    <w:rsid w:val="00884BC0"/>
    <w:rsid w:val="00886400"/>
    <w:rsid w:val="00886CB7"/>
    <w:rsid w:val="008877FB"/>
    <w:rsid w:val="00890B09"/>
    <w:rsid w:val="008919D4"/>
    <w:rsid w:val="00893B24"/>
    <w:rsid w:val="0089475E"/>
    <w:rsid w:val="00895164"/>
    <w:rsid w:val="00895494"/>
    <w:rsid w:val="00896853"/>
    <w:rsid w:val="008A254D"/>
    <w:rsid w:val="008B035D"/>
    <w:rsid w:val="008B2CAB"/>
    <w:rsid w:val="008B3134"/>
    <w:rsid w:val="008B5C2B"/>
    <w:rsid w:val="008C6E44"/>
    <w:rsid w:val="008D3543"/>
    <w:rsid w:val="008D37C8"/>
    <w:rsid w:val="008D3EE3"/>
    <w:rsid w:val="008D736D"/>
    <w:rsid w:val="008D7A86"/>
    <w:rsid w:val="008F11D5"/>
    <w:rsid w:val="008F1FD3"/>
    <w:rsid w:val="008F2809"/>
    <w:rsid w:val="00901703"/>
    <w:rsid w:val="00901B91"/>
    <w:rsid w:val="00901CEF"/>
    <w:rsid w:val="009111AE"/>
    <w:rsid w:val="00911FBF"/>
    <w:rsid w:val="009127EA"/>
    <w:rsid w:val="00921181"/>
    <w:rsid w:val="00924CB1"/>
    <w:rsid w:val="0092569A"/>
    <w:rsid w:val="00925CFA"/>
    <w:rsid w:val="009305F4"/>
    <w:rsid w:val="00930C67"/>
    <w:rsid w:val="00932000"/>
    <w:rsid w:val="00933F8D"/>
    <w:rsid w:val="0093711A"/>
    <w:rsid w:val="009377CC"/>
    <w:rsid w:val="00937803"/>
    <w:rsid w:val="00940031"/>
    <w:rsid w:val="00964913"/>
    <w:rsid w:val="0096574D"/>
    <w:rsid w:val="009751B4"/>
    <w:rsid w:val="009775C7"/>
    <w:rsid w:val="009820F1"/>
    <w:rsid w:val="00985937"/>
    <w:rsid w:val="009904F7"/>
    <w:rsid w:val="00992D0F"/>
    <w:rsid w:val="009964B2"/>
    <w:rsid w:val="00996ECB"/>
    <w:rsid w:val="00997A48"/>
    <w:rsid w:val="00997DCA"/>
    <w:rsid w:val="009A3905"/>
    <w:rsid w:val="009A6641"/>
    <w:rsid w:val="009B16F2"/>
    <w:rsid w:val="009B20FA"/>
    <w:rsid w:val="009C36D9"/>
    <w:rsid w:val="009C3C10"/>
    <w:rsid w:val="009C4492"/>
    <w:rsid w:val="009C6A3C"/>
    <w:rsid w:val="009D53D7"/>
    <w:rsid w:val="009E129B"/>
    <w:rsid w:val="009E3721"/>
    <w:rsid w:val="009E47BB"/>
    <w:rsid w:val="009F018E"/>
    <w:rsid w:val="009F46EF"/>
    <w:rsid w:val="00A05A0C"/>
    <w:rsid w:val="00A05DEF"/>
    <w:rsid w:val="00A060B2"/>
    <w:rsid w:val="00A07461"/>
    <w:rsid w:val="00A07E8C"/>
    <w:rsid w:val="00A115F4"/>
    <w:rsid w:val="00A2295F"/>
    <w:rsid w:val="00A2781A"/>
    <w:rsid w:val="00A31464"/>
    <w:rsid w:val="00A322A7"/>
    <w:rsid w:val="00A32491"/>
    <w:rsid w:val="00A331AD"/>
    <w:rsid w:val="00A346D6"/>
    <w:rsid w:val="00A43BF9"/>
    <w:rsid w:val="00A43CDF"/>
    <w:rsid w:val="00A43E61"/>
    <w:rsid w:val="00A46B99"/>
    <w:rsid w:val="00A5008C"/>
    <w:rsid w:val="00A5027C"/>
    <w:rsid w:val="00A529A6"/>
    <w:rsid w:val="00A52B56"/>
    <w:rsid w:val="00A544CB"/>
    <w:rsid w:val="00A556F3"/>
    <w:rsid w:val="00A561D4"/>
    <w:rsid w:val="00A57D3E"/>
    <w:rsid w:val="00A62CA1"/>
    <w:rsid w:val="00A62DC5"/>
    <w:rsid w:val="00A62FA5"/>
    <w:rsid w:val="00A63135"/>
    <w:rsid w:val="00A6410E"/>
    <w:rsid w:val="00A64461"/>
    <w:rsid w:val="00A67D89"/>
    <w:rsid w:val="00A70637"/>
    <w:rsid w:val="00A70EFC"/>
    <w:rsid w:val="00A71A44"/>
    <w:rsid w:val="00A72A8C"/>
    <w:rsid w:val="00A74A29"/>
    <w:rsid w:val="00A759EA"/>
    <w:rsid w:val="00A77180"/>
    <w:rsid w:val="00A7737A"/>
    <w:rsid w:val="00A775C8"/>
    <w:rsid w:val="00A80311"/>
    <w:rsid w:val="00A81ED3"/>
    <w:rsid w:val="00A82808"/>
    <w:rsid w:val="00A85361"/>
    <w:rsid w:val="00A94CC8"/>
    <w:rsid w:val="00A9506D"/>
    <w:rsid w:val="00A96316"/>
    <w:rsid w:val="00A97F44"/>
    <w:rsid w:val="00AA42AA"/>
    <w:rsid w:val="00AA5747"/>
    <w:rsid w:val="00AA61C4"/>
    <w:rsid w:val="00AB30BC"/>
    <w:rsid w:val="00AB3C3A"/>
    <w:rsid w:val="00AB6313"/>
    <w:rsid w:val="00AC0F03"/>
    <w:rsid w:val="00AC1B79"/>
    <w:rsid w:val="00AC321D"/>
    <w:rsid w:val="00AC4C43"/>
    <w:rsid w:val="00AD3A41"/>
    <w:rsid w:val="00AD69CF"/>
    <w:rsid w:val="00AE3303"/>
    <w:rsid w:val="00AE4066"/>
    <w:rsid w:val="00AE432B"/>
    <w:rsid w:val="00AE4C93"/>
    <w:rsid w:val="00B05558"/>
    <w:rsid w:val="00B24FCF"/>
    <w:rsid w:val="00B25351"/>
    <w:rsid w:val="00B25650"/>
    <w:rsid w:val="00B25BE7"/>
    <w:rsid w:val="00B3407E"/>
    <w:rsid w:val="00B41D73"/>
    <w:rsid w:val="00B43783"/>
    <w:rsid w:val="00B44E43"/>
    <w:rsid w:val="00B46CEA"/>
    <w:rsid w:val="00B47D51"/>
    <w:rsid w:val="00B518BC"/>
    <w:rsid w:val="00B52AC5"/>
    <w:rsid w:val="00B5490D"/>
    <w:rsid w:val="00B552D2"/>
    <w:rsid w:val="00B57E9F"/>
    <w:rsid w:val="00B60EC5"/>
    <w:rsid w:val="00B65A13"/>
    <w:rsid w:val="00B67DC1"/>
    <w:rsid w:val="00B705C7"/>
    <w:rsid w:val="00B73C46"/>
    <w:rsid w:val="00B756E9"/>
    <w:rsid w:val="00B81D88"/>
    <w:rsid w:val="00B8239E"/>
    <w:rsid w:val="00B91104"/>
    <w:rsid w:val="00B93192"/>
    <w:rsid w:val="00B94AC7"/>
    <w:rsid w:val="00B94D36"/>
    <w:rsid w:val="00BA0169"/>
    <w:rsid w:val="00BA0262"/>
    <w:rsid w:val="00BA0431"/>
    <w:rsid w:val="00BA2F10"/>
    <w:rsid w:val="00BA4E38"/>
    <w:rsid w:val="00BB0787"/>
    <w:rsid w:val="00BB4539"/>
    <w:rsid w:val="00BC0F3C"/>
    <w:rsid w:val="00BC546F"/>
    <w:rsid w:val="00BC6D2E"/>
    <w:rsid w:val="00BD13D9"/>
    <w:rsid w:val="00BD2125"/>
    <w:rsid w:val="00BE1210"/>
    <w:rsid w:val="00BE121B"/>
    <w:rsid w:val="00BE7737"/>
    <w:rsid w:val="00BF0019"/>
    <w:rsid w:val="00BF0EB8"/>
    <w:rsid w:val="00BF196E"/>
    <w:rsid w:val="00BF1ABB"/>
    <w:rsid w:val="00BF339E"/>
    <w:rsid w:val="00C03B4D"/>
    <w:rsid w:val="00C057E3"/>
    <w:rsid w:val="00C07AF0"/>
    <w:rsid w:val="00C10C76"/>
    <w:rsid w:val="00C1121E"/>
    <w:rsid w:val="00C12723"/>
    <w:rsid w:val="00C16B0C"/>
    <w:rsid w:val="00C17A90"/>
    <w:rsid w:val="00C22B8E"/>
    <w:rsid w:val="00C27673"/>
    <w:rsid w:val="00C279D1"/>
    <w:rsid w:val="00C31ED1"/>
    <w:rsid w:val="00C362FF"/>
    <w:rsid w:val="00C36498"/>
    <w:rsid w:val="00C37EE3"/>
    <w:rsid w:val="00C434E8"/>
    <w:rsid w:val="00C459C1"/>
    <w:rsid w:val="00C503C1"/>
    <w:rsid w:val="00C5656A"/>
    <w:rsid w:val="00C614D5"/>
    <w:rsid w:val="00C6711B"/>
    <w:rsid w:val="00C6745C"/>
    <w:rsid w:val="00C72390"/>
    <w:rsid w:val="00C7427A"/>
    <w:rsid w:val="00C80EEF"/>
    <w:rsid w:val="00C82A09"/>
    <w:rsid w:val="00C82AB0"/>
    <w:rsid w:val="00C832A8"/>
    <w:rsid w:val="00C8658D"/>
    <w:rsid w:val="00C9007D"/>
    <w:rsid w:val="00C90AA9"/>
    <w:rsid w:val="00C9147B"/>
    <w:rsid w:val="00C92928"/>
    <w:rsid w:val="00C930BC"/>
    <w:rsid w:val="00C96231"/>
    <w:rsid w:val="00CA2EB3"/>
    <w:rsid w:val="00CA4F90"/>
    <w:rsid w:val="00CA7E61"/>
    <w:rsid w:val="00CB344D"/>
    <w:rsid w:val="00CB3F9C"/>
    <w:rsid w:val="00CB732C"/>
    <w:rsid w:val="00CC01B6"/>
    <w:rsid w:val="00CC07C8"/>
    <w:rsid w:val="00CC18B6"/>
    <w:rsid w:val="00CC1B77"/>
    <w:rsid w:val="00CC627A"/>
    <w:rsid w:val="00CD0527"/>
    <w:rsid w:val="00CD1218"/>
    <w:rsid w:val="00CD5111"/>
    <w:rsid w:val="00CD63A2"/>
    <w:rsid w:val="00CD7DA7"/>
    <w:rsid w:val="00CE331A"/>
    <w:rsid w:val="00CE3C47"/>
    <w:rsid w:val="00CE4BE5"/>
    <w:rsid w:val="00CF32DA"/>
    <w:rsid w:val="00CF4175"/>
    <w:rsid w:val="00CF69C2"/>
    <w:rsid w:val="00CF6C31"/>
    <w:rsid w:val="00D023C9"/>
    <w:rsid w:val="00D045AD"/>
    <w:rsid w:val="00D05F76"/>
    <w:rsid w:val="00D102C3"/>
    <w:rsid w:val="00D209B3"/>
    <w:rsid w:val="00D22C0F"/>
    <w:rsid w:val="00D26314"/>
    <w:rsid w:val="00D3401C"/>
    <w:rsid w:val="00D4077A"/>
    <w:rsid w:val="00D40E8B"/>
    <w:rsid w:val="00D4245B"/>
    <w:rsid w:val="00D42623"/>
    <w:rsid w:val="00D44FFB"/>
    <w:rsid w:val="00D45E94"/>
    <w:rsid w:val="00D54A62"/>
    <w:rsid w:val="00D6274C"/>
    <w:rsid w:val="00D62B59"/>
    <w:rsid w:val="00D633FE"/>
    <w:rsid w:val="00D65758"/>
    <w:rsid w:val="00D70DD2"/>
    <w:rsid w:val="00D712AE"/>
    <w:rsid w:val="00D87E31"/>
    <w:rsid w:val="00D90C19"/>
    <w:rsid w:val="00DA4A73"/>
    <w:rsid w:val="00DA589B"/>
    <w:rsid w:val="00DB23C2"/>
    <w:rsid w:val="00DB27E3"/>
    <w:rsid w:val="00DB39B7"/>
    <w:rsid w:val="00DC1C8C"/>
    <w:rsid w:val="00DC1F15"/>
    <w:rsid w:val="00DC62F6"/>
    <w:rsid w:val="00DC6896"/>
    <w:rsid w:val="00DC6949"/>
    <w:rsid w:val="00DC7C7B"/>
    <w:rsid w:val="00DD01F4"/>
    <w:rsid w:val="00DD0358"/>
    <w:rsid w:val="00DD372B"/>
    <w:rsid w:val="00DD530C"/>
    <w:rsid w:val="00DD6E7E"/>
    <w:rsid w:val="00DD7345"/>
    <w:rsid w:val="00DE3547"/>
    <w:rsid w:val="00DE7EFC"/>
    <w:rsid w:val="00DF43EB"/>
    <w:rsid w:val="00E01939"/>
    <w:rsid w:val="00E10171"/>
    <w:rsid w:val="00E12292"/>
    <w:rsid w:val="00E12694"/>
    <w:rsid w:val="00E139D8"/>
    <w:rsid w:val="00E1449D"/>
    <w:rsid w:val="00E17D94"/>
    <w:rsid w:val="00E20527"/>
    <w:rsid w:val="00E22F87"/>
    <w:rsid w:val="00E23F8A"/>
    <w:rsid w:val="00E251BA"/>
    <w:rsid w:val="00E27A52"/>
    <w:rsid w:val="00E30034"/>
    <w:rsid w:val="00E309D0"/>
    <w:rsid w:val="00E33174"/>
    <w:rsid w:val="00E37149"/>
    <w:rsid w:val="00E402C0"/>
    <w:rsid w:val="00E409B4"/>
    <w:rsid w:val="00E45753"/>
    <w:rsid w:val="00E53CB3"/>
    <w:rsid w:val="00E55B64"/>
    <w:rsid w:val="00E6251E"/>
    <w:rsid w:val="00E64D1E"/>
    <w:rsid w:val="00E65FFB"/>
    <w:rsid w:val="00E70368"/>
    <w:rsid w:val="00E720B7"/>
    <w:rsid w:val="00E746E0"/>
    <w:rsid w:val="00E75625"/>
    <w:rsid w:val="00E76DDB"/>
    <w:rsid w:val="00E774F5"/>
    <w:rsid w:val="00E77937"/>
    <w:rsid w:val="00E836CC"/>
    <w:rsid w:val="00E86B5C"/>
    <w:rsid w:val="00E91CFD"/>
    <w:rsid w:val="00E9200D"/>
    <w:rsid w:val="00E94775"/>
    <w:rsid w:val="00E9543F"/>
    <w:rsid w:val="00E96E45"/>
    <w:rsid w:val="00EA417D"/>
    <w:rsid w:val="00EB14FB"/>
    <w:rsid w:val="00EB2523"/>
    <w:rsid w:val="00EB5F2D"/>
    <w:rsid w:val="00EC19A9"/>
    <w:rsid w:val="00EC33CB"/>
    <w:rsid w:val="00EC5A7D"/>
    <w:rsid w:val="00EC6FD1"/>
    <w:rsid w:val="00EE5E86"/>
    <w:rsid w:val="00EE775D"/>
    <w:rsid w:val="00EE779E"/>
    <w:rsid w:val="00EF7D05"/>
    <w:rsid w:val="00F00BF3"/>
    <w:rsid w:val="00F014FB"/>
    <w:rsid w:val="00F1543E"/>
    <w:rsid w:val="00F20F7D"/>
    <w:rsid w:val="00F2136D"/>
    <w:rsid w:val="00F23828"/>
    <w:rsid w:val="00F2791B"/>
    <w:rsid w:val="00F37FC0"/>
    <w:rsid w:val="00F42D38"/>
    <w:rsid w:val="00F43F32"/>
    <w:rsid w:val="00F44D4C"/>
    <w:rsid w:val="00F546A0"/>
    <w:rsid w:val="00F6157C"/>
    <w:rsid w:val="00F61BED"/>
    <w:rsid w:val="00F62DFD"/>
    <w:rsid w:val="00F64A25"/>
    <w:rsid w:val="00F64E33"/>
    <w:rsid w:val="00F64FD0"/>
    <w:rsid w:val="00F653D4"/>
    <w:rsid w:val="00F70E8A"/>
    <w:rsid w:val="00F73C7A"/>
    <w:rsid w:val="00F74377"/>
    <w:rsid w:val="00F750C5"/>
    <w:rsid w:val="00F80236"/>
    <w:rsid w:val="00F90CE3"/>
    <w:rsid w:val="00F921E8"/>
    <w:rsid w:val="00F959AA"/>
    <w:rsid w:val="00FA06BA"/>
    <w:rsid w:val="00FA10DC"/>
    <w:rsid w:val="00FA148E"/>
    <w:rsid w:val="00FB395E"/>
    <w:rsid w:val="00FB3A7B"/>
    <w:rsid w:val="00FB568E"/>
    <w:rsid w:val="00FC0FC5"/>
    <w:rsid w:val="00FC50DF"/>
    <w:rsid w:val="00FD5515"/>
    <w:rsid w:val="00FD5903"/>
    <w:rsid w:val="00FE0810"/>
    <w:rsid w:val="00FE2AF4"/>
    <w:rsid w:val="00FE4054"/>
    <w:rsid w:val="00FE6090"/>
    <w:rsid w:val="00FE61AF"/>
    <w:rsid w:val="00FE6729"/>
    <w:rsid w:val="00FF1CA1"/>
    <w:rsid w:val="00FF23D2"/>
    <w:rsid w:val="00FF6097"/>
    <w:rsid w:val="00FF74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68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FB"/>
  </w:style>
  <w:style w:type="paragraph" w:styleId="Heading1">
    <w:name w:val="heading 1"/>
    <w:basedOn w:val="Normal"/>
    <w:next w:val="Normal"/>
    <w:uiPriority w:val="9"/>
    <w:qFormat/>
    <w:rsid w:val="00B52AC5"/>
    <w:pPr>
      <w:keepNext/>
      <w:keepLines/>
      <w:spacing w:after="240" w:line="240" w:lineRule="auto"/>
      <w:ind w:left="720" w:hanging="720"/>
      <w:outlineLvl w:val="0"/>
    </w:pPr>
    <w:rPr>
      <w:rFonts w:ascii="Times New Roman" w:hAnsi="Times New Roman"/>
      <w:b/>
      <w:sz w:val="24"/>
      <w:szCs w:val="40"/>
    </w:rPr>
  </w:style>
  <w:style w:type="paragraph" w:styleId="Heading2">
    <w:name w:val="heading 2"/>
    <w:basedOn w:val="ListParagraph"/>
    <w:next w:val="Normal"/>
    <w:uiPriority w:val="9"/>
    <w:unhideWhenUsed/>
    <w:qFormat/>
    <w:rsid w:val="00B52AC5"/>
    <w:pPr>
      <w:numPr>
        <w:numId w:val="42"/>
      </w:numPr>
      <w:spacing w:after="240" w:line="240" w:lineRule="auto"/>
      <w:ind w:left="1440" w:hanging="720"/>
      <w:contextualSpacing w:val="0"/>
      <w:outlineLvl w:val="1"/>
    </w:pPr>
    <w:rPr>
      <w:rFonts w:ascii="Times New Roman" w:eastAsia="Times New Roman" w:hAnsi="Times New Roman" w:cs="Times New Roman"/>
      <w:b/>
      <w:bCs/>
      <w:sz w:val="24"/>
      <w:szCs w:val="24"/>
    </w:rPr>
  </w:style>
  <w:style w:type="paragraph" w:styleId="Heading3">
    <w:name w:val="heading 3"/>
    <w:basedOn w:val="Normal"/>
    <w:next w:val="Normal"/>
    <w:uiPriority w:val="9"/>
    <w:unhideWhenUsed/>
    <w:qFormat/>
    <w:rsid w:val="00A759EA"/>
    <w:pPr>
      <w:keepNext/>
      <w:keepLines/>
      <w:spacing w:after="240" w:line="240" w:lineRule="auto"/>
      <w:ind w:left="2160" w:hanging="720"/>
      <w:outlineLvl w:val="2"/>
    </w:pPr>
    <w:rPr>
      <w:rFonts w:ascii="Times New Roman" w:hAnsi="Times New Roman"/>
      <w:b/>
      <w:color w:val="434343"/>
      <w:sz w:val="24"/>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paragraph" w:styleId="Heading7">
    <w:name w:val="heading 7"/>
    <w:basedOn w:val="Normal"/>
    <w:link w:val="Heading7Char"/>
    <w:uiPriority w:val="1"/>
    <w:qFormat/>
    <w:rsid w:val="00A05A0C"/>
    <w:pPr>
      <w:widowControl w:val="0"/>
      <w:autoSpaceDE w:val="0"/>
      <w:autoSpaceDN w:val="0"/>
      <w:spacing w:line="240" w:lineRule="auto"/>
      <w:outlineLvl w:val="6"/>
    </w:pPr>
    <w:rPr>
      <w:rFonts w:ascii="Times New Roman" w:eastAsia="Times New Roman" w:hAnsi="Times New Roman" w:cs="Times New Roman"/>
      <w:b/>
      <w:bCs/>
      <w:sz w:val="44"/>
      <w:szCs w:val="44"/>
      <w:lang w:val="en-US"/>
    </w:rPr>
  </w:style>
  <w:style w:type="paragraph" w:styleId="Heading8">
    <w:name w:val="heading 8"/>
    <w:basedOn w:val="Normal"/>
    <w:link w:val="Heading8Char"/>
    <w:uiPriority w:val="1"/>
    <w:qFormat/>
    <w:rsid w:val="00A05A0C"/>
    <w:pPr>
      <w:widowControl w:val="0"/>
      <w:autoSpaceDE w:val="0"/>
      <w:autoSpaceDN w:val="0"/>
      <w:spacing w:line="240" w:lineRule="auto"/>
      <w:outlineLvl w:val="7"/>
    </w:pPr>
    <w:rPr>
      <w:rFonts w:ascii="Courier New" w:eastAsia="Courier New" w:hAnsi="Courier New" w:cs="Courier New"/>
      <w:sz w:val="43"/>
      <w:szCs w:val="43"/>
      <w:lang w:val="en-US"/>
    </w:rPr>
  </w:style>
  <w:style w:type="paragraph" w:styleId="Heading9">
    <w:name w:val="heading 9"/>
    <w:basedOn w:val="Normal"/>
    <w:link w:val="Heading9Char"/>
    <w:uiPriority w:val="1"/>
    <w:qFormat/>
    <w:rsid w:val="00A05A0C"/>
    <w:pPr>
      <w:widowControl w:val="0"/>
      <w:autoSpaceDE w:val="0"/>
      <w:autoSpaceDN w:val="0"/>
      <w:spacing w:before="39" w:line="240" w:lineRule="auto"/>
      <w:ind w:left="208"/>
      <w:outlineLvl w:val="8"/>
    </w:pPr>
    <w:rPr>
      <w:b/>
      <w:bCs/>
      <w:sz w:val="42"/>
      <w:szCs w:val="4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11CB8"/>
    <w:pPr>
      <w:ind w:left="720"/>
      <w:contextualSpacing/>
    </w:pPr>
  </w:style>
  <w:style w:type="paragraph" w:styleId="Header">
    <w:name w:val="header"/>
    <w:basedOn w:val="Normal"/>
    <w:link w:val="HeaderChar"/>
    <w:uiPriority w:val="99"/>
    <w:unhideWhenUsed/>
    <w:rsid w:val="00011CB8"/>
    <w:pPr>
      <w:tabs>
        <w:tab w:val="center" w:pos="4680"/>
        <w:tab w:val="right" w:pos="9360"/>
      </w:tabs>
      <w:spacing w:line="240" w:lineRule="auto"/>
    </w:pPr>
  </w:style>
  <w:style w:type="character" w:customStyle="1" w:styleId="HeaderChar">
    <w:name w:val="Header Char"/>
    <w:basedOn w:val="DefaultParagraphFont"/>
    <w:link w:val="Header"/>
    <w:uiPriority w:val="99"/>
    <w:rsid w:val="00011CB8"/>
  </w:style>
  <w:style w:type="paragraph" w:styleId="Footer">
    <w:name w:val="footer"/>
    <w:basedOn w:val="Normal"/>
    <w:link w:val="FooterChar"/>
    <w:uiPriority w:val="99"/>
    <w:unhideWhenUsed/>
    <w:rsid w:val="00011CB8"/>
    <w:pPr>
      <w:tabs>
        <w:tab w:val="center" w:pos="4680"/>
        <w:tab w:val="right" w:pos="9360"/>
      </w:tabs>
      <w:spacing w:line="240" w:lineRule="auto"/>
    </w:pPr>
  </w:style>
  <w:style w:type="character" w:customStyle="1" w:styleId="FooterChar">
    <w:name w:val="Footer Char"/>
    <w:basedOn w:val="DefaultParagraphFont"/>
    <w:link w:val="Footer"/>
    <w:uiPriority w:val="99"/>
    <w:rsid w:val="00011CB8"/>
  </w:style>
  <w:style w:type="paragraph" w:styleId="HTMLPreformatted">
    <w:name w:val="HTML Preformatted"/>
    <w:aliases w:val=" Char,Char"/>
    <w:basedOn w:val="Normal"/>
    <w:link w:val="HTMLPreformattedChar"/>
    <w:unhideWhenUsed/>
    <w:rsid w:val="00852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lang w:val="en-US"/>
    </w:rPr>
  </w:style>
  <w:style w:type="character" w:customStyle="1" w:styleId="HTMLPreformattedChar">
    <w:name w:val="HTML Preformatted Char"/>
    <w:aliases w:val=" Char Char,Char Char"/>
    <w:basedOn w:val="DefaultParagraphFont"/>
    <w:link w:val="HTMLPreformatted"/>
    <w:rsid w:val="00852B02"/>
    <w:rPr>
      <w:rFonts w:ascii="Courier New" w:eastAsia="Courier New" w:hAnsi="Courier New" w:cs="Courier New"/>
      <w:sz w:val="20"/>
      <w:szCs w:val="20"/>
      <w:lang w:val="en-US"/>
    </w:rPr>
  </w:style>
  <w:style w:type="paragraph" w:styleId="BodyTextIndent3">
    <w:name w:val="Body Text Indent 3"/>
    <w:basedOn w:val="Normal"/>
    <w:link w:val="BodyTextIndent3Char"/>
    <w:uiPriority w:val="99"/>
    <w:unhideWhenUsed/>
    <w:rsid w:val="00852B02"/>
    <w:pPr>
      <w:spacing w:after="120"/>
      <w:ind w:left="360"/>
    </w:pPr>
    <w:rPr>
      <w:rFonts w:ascii="Times New Roman" w:hAnsi="Times New Roman" w:eastAsiaTheme="minorHAnsi" w:cstheme="minorBidi"/>
      <w:sz w:val="16"/>
      <w:szCs w:val="16"/>
      <w:lang w:val="en-US"/>
    </w:rPr>
  </w:style>
  <w:style w:type="character" w:customStyle="1" w:styleId="BodyTextIndent3Char">
    <w:name w:val="Body Text Indent 3 Char"/>
    <w:basedOn w:val="DefaultParagraphFont"/>
    <w:link w:val="BodyTextIndent3"/>
    <w:uiPriority w:val="99"/>
    <w:rsid w:val="00852B02"/>
    <w:rPr>
      <w:rFonts w:ascii="Times New Roman" w:hAnsi="Times New Roman" w:eastAsiaTheme="minorHAnsi" w:cstheme="minorBidi"/>
      <w:sz w:val="16"/>
      <w:szCs w:val="16"/>
      <w:lang w:val="en-US"/>
    </w:rPr>
  </w:style>
  <w:style w:type="paragraph" w:styleId="FootnoteText">
    <w:name w:val="footnote text"/>
    <w:aliases w:val="Car,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E774F5"/>
    <w:pPr>
      <w:spacing w:line="240" w:lineRule="auto"/>
    </w:pPr>
    <w:rPr>
      <w:sz w:val="20"/>
      <w:szCs w:val="20"/>
    </w:rPr>
  </w:style>
  <w:style w:type="character" w:customStyle="1" w:styleId="FootnoteTextChar">
    <w:name w:val="Footnote Text Char"/>
    <w:aliases w:val="Car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E774F5"/>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E774F5"/>
    <w:rPr>
      <w:vertAlign w:val="superscript"/>
    </w:rPr>
  </w:style>
  <w:style w:type="paragraph" w:styleId="Revision">
    <w:name w:val="Revision"/>
    <w:hidden/>
    <w:uiPriority w:val="99"/>
    <w:semiHidden/>
    <w:rsid w:val="00E774F5"/>
    <w:pPr>
      <w:spacing w:line="240" w:lineRule="auto"/>
    </w:pPr>
  </w:style>
  <w:style w:type="paragraph" w:styleId="BodyText">
    <w:name w:val="Body Text"/>
    <w:basedOn w:val="Normal"/>
    <w:link w:val="BodyTextChar"/>
    <w:uiPriority w:val="1"/>
    <w:unhideWhenUsed/>
    <w:qFormat/>
    <w:rsid w:val="00D102C3"/>
    <w:pPr>
      <w:spacing w:after="120"/>
    </w:pPr>
  </w:style>
  <w:style w:type="character" w:customStyle="1" w:styleId="BodyTextChar">
    <w:name w:val="Body Text Char"/>
    <w:basedOn w:val="DefaultParagraphFont"/>
    <w:link w:val="BodyText"/>
    <w:uiPriority w:val="99"/>
    <w:semiHidden/>
    <w:rsid w:val="00D102C3"/>
  </w:style>
  <w:style w:type="character" w:styleId="Hyperlink">
    <w:name w:val="Hyperlink"/>
    <w:uiPriority w:val="99"/>
    <w:unhideWhenUsed/>
    <w:rsid w:val="00D102C3"/>
    <w:rPr>
      <w:color w:val="0000FF"/>
      <w:u w:val="single"/>
    </w:rPr>
  </w:style>
  <w:style w:type="paragraph" w:styleId="CommentText">
    <w:name w:val="annotation text"/>
    <w:basedOn w:val="Normal"/>
    <w:link w:val="CommentTextChar"/>
    <w:unhideWhenUsed/>
    <w:rsid w:val="00D102C3"/>
    <w:pPr>
      <w:widowControl w:val="0"/>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rsid w:val="00D102C3"/>
    <w:rPr>
      <w:rFonts w:asciiTheme="minorHAnsi" w:eastAsiaTheme="minorHAnsi" w:hAnsiTheme="minorHAnsi" w:cstheme="minorBidi"/>
      <w:sz w:val="20"/>
      <w:szCs w:val="20"/>
      <w:lang w:val="en-US"/>
    </w:rPr>
  </w:style>
  <w:style w:type="paragraph" w:styleId="EndnoteText">
    <w:name w:val="endnote text"/>
    <w:basedOn w:val="Normal"/>
    <w:link w:val="EndnoteTextChar"/>
    <w:semiHidden/>
    <w:unhideWhenUsed/>
    <w:rsid w:val="00D102C3"/>
    <w:pPr>
      <w:widowControl w:val="0"/>
      <w:snapToGrid w:val="0"/>
      <w:spacing w:line="240" w:lineRule="auto"/>
    </w:pPr>
    <w:rPr>
      <w:rFonts w:ascii="Courier New" w:eastAsia="Times New Roman" w:hAnsi="Courier New" w:cs="Times New Roman"/>
      <w:sz w:val="24"/>
      <w:szCs w:val="20"/>
      <w:lang w:val="en-US"/>
    </w:rPr>
  </w:style>
  <w:style w:type="character" w:customStyle="1" w:styleId="EndnoteTextChar">
    <w:name w:val="Endnote Text Char"/>
    <w:basedOn w:val="DefaultParagraphFont"/>
    <w:link w:val="EndnoteText"/>
    <w:semiHidden/>
    <w:rsid w:val="00D102C3"/>
    <w:rPr>
      <w:rFonts w:ascii="Courier New" w:eastAsia="Times New Roman" w:hAnsi="Courier New" w:cs="Times New Roman"/>
      <w:sz w:val="24"/>
      <w:szCs w:val="20"/>
      <w:lang w:val="en-US"/>
    </w:rPr>
  </w:style>
  <w:style w:type="table" w:styleId="TableGrid">
    <w:name w:val="Table Grid"/>
    <w:basedOn w:val="TableNormal"/>
    <w:rsid w:val="00D102C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12694"/>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rsid w:val="00097332"/>
    <w:pPr>
      <w:tabs>
        <w:tab w:val="left" w:pos="1440"/>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E12694"/>
    <w:pPr>
      <w:tabs>
        <w:tab w:val="decimal" w:leader="dot" w:pos="8640"/>
      </w:tabs>
      <w:spacing w:after="240" w:line="240" w:lineRule="auto"/>
      <w:ind w:left="2160" w:hanging="720"/>
    </w:pPr>
    <w:rPr>
      <w:rFonts w:ascii="Times New Roman" w:hAnsi="Times New Roman"/>
      <w:sz w:val="24"/>
    </w:rPr>
  </w:style>
  <w:style w:type="character" w:customStyle="1" w:styleId="ac">
    <w:name w:val="ac"/>
    <w:basedOn w:val="DefaultParagraphFont"/>
    <w:rsid w:val="00996ECB"/>
  </w:style>
  <w:style w:type="paragraph" w:styleId="Caption">
    <w:name w:val="caption"/>
    <w:basedOn w:val="Normal"/>
    <w:next w:val="Normal"/>
    <w:unhideWhenUsed/>
    <w:qFormat/>
    <w:rsid w:val="002A1B56"/>
    <w:pPr>
      <w:spacing w:after="80" w:line="240" w:lineRule="auto"/>
      <w:ind w:left="720" w:right="720"/>
    </w:pPr>
    <w:rPr>
      <w:rFonts w:ascii="Times New Roman" w:eastAsia="Times New Roman" w:hAnsi="Times New Roman" w:cs="Times New Roman"/>
      <w:b/>
      <w:bCs/>
      <w:sz w:val="20"/>
      <w:szCs w:val="20"/>
      <w:lang w:val="en-US"/>
    </w:rPr>
  </w:style>
  <w:style w:type="paragraph" w:customStyle="1" w:styleId="FigureTableSource">
    <w:name w:val="Figure Table Source"/>
    <w:basedOn w:val="Normal"/>
    <w:qFormat/>
    <w:rsid w:val="002A1B56"/>
    <w:pPr>
      <w:spacing w:before="40" w:line="480" w:lineRule="auto"/>
      <w:ind w:left="720"/>
    </w:pPr>
    <w:rPr>
      <w:rFonts w:ascii="Times New Roman" w:eastAsia="Times New Roman" w:hAnsi="Times New Roman" w:cs="Times New Roman"/>
      <w:i/>
      <w:iCs/>
      <w:sz w:val="20"/>
      <w:szCs w:val="20"/>
      <w:lang w:val="en-US"/>
    </w:rPr>
  </w:style>
  <w:style w:type="character" w:styleId="CommentReference">
    <w:name w:val="annotation reference"/>
    <w:basedOn w:val="DefaultParagraphFont"/>
    <w:uiPriority w:val="99"/>
    <w:semiHidden/>
    <w:unhideWhenUsed/>
    <w:rsid w:val="00E20527"/>
    <w:rPr>
      <w:sz w:val="16"/>
      <w:szCs w:val="16"/>
    </w:rPr>
  </w:style>
  <w:style w:type="paragraph" w:styleId="CommentSubject">
    <w:name w:val="annotation subject"/>
    <w:basedOn w:val="CommentText"/>
    <w:next w:val="CommentText"/>
    <w:link w:val="CommentSubjectChar"/>
    <w:uiPriority w:val="99"/>
    <w:semiHidden/>
    <w:unhideWhenUsed/>
    <w:rsid w:val="00E20527"/>
    <w:pPr>
      <w:widowControl/>
    </w:pPr>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E20527"/>
    <w:rPr>
      <w:rFonts w:asciiTheme="minorHAnsi" w:eastAsiaTheme="minorHAnsi" w:hAnsiTheme="minorHAnsi" w:cstheme="minorBidi"/>
      <w:b/>
      <w:bCs/>
      <w:sz w:val="20"/>
      <w:szCs w:val="20"/>
      <w:lang w:val="en-US"/>
    </w:rPr>
  </w:style>
  <w:style w:type="character" w:customStyle="1" w:styleId="Heading7Char">
    <w:name w:val="Heading 7 Char"/>
    <w:basedOn w:val="DefaultParagraphFont"/>
    <w:link w:val="Heading7"/>
    <w:uiPriority w:val="1"/>
    <w:rsid w:val="00A05A0C"/>
    <w:rPr>
      <w:rFonts w:ascii="Times New Roman" w:eastAsia="Times New Roman" w:hAnsi="Times New Roman" w:cs="Times New Roman"/>
      <w:b/>
      <w:bCs/>
      <w:sz w:val="44"/>
      <w:szCs w:val="44"/>
      <w:lang w:val="en-US"/>
    </w:rPr>
  </w:style>
  <w:style w:type="character" w:customStyle="1" w:styleId="Heading8Char">
    <w:name w:val="Heading 8 Char"/>
    <w:basedOn w:val="DefaultParagraphFont"/>
    <w:link w:val="Heading8"/>
    <w:uiPriority w:val="1"/>
    <w:rsid w:val="00A05A0C"/>
    <w:rPr>
      <w:rFonts w:ascii="Courier New" w:eastAsia="Courier New" w:hAnsi="Courier New" w:cs="Courier New"/>
      <w:sz w:val="43"/>
      <w:szCs w:val="43"/>
      <w:lang w:val="en-US"/>
    </w:rPr>
  </w:style>
  <w:style w:type="character" w:customStyle="1" w:styleId="Heading9Char">
    <w:name w:val="Heading 9 Char"/>
    <w:basedOn w:val="DefaultParagraphFont"/>
    <w:link w:val="Heading9"/>
    <w:uiPriority w:val="1"/>
    <w:rsid w:val="00A05A0C"/>
    <w:rPr>
      <w:b/>
      <w:bCs/>
      <w:sz w:val="42"/>
      <w:szCs w:val="42"/>
      <w:lang w:val="en-US"/>
    </w:rPr>
  </w:style>
  <w:style w:type="paragraph" w:customStyle="1" w:styleId="TableParagraph">
    <w:name w:val="Table Paragraph"/>
    <w:basedOn w:val="Normal"/>
    <w:uiPriority w:val="1"/>
    <w:qFormat/>
    <w:rsid w:val="00A05A0C"/>
    <w:pPr>
      <w:widowControl w:val="0"/>
      <w:autoSpaceDE w:val="0"/>
      <w:autoSpaceDN w:val="0"/>
      <w:spacing w:line="240" w:lineRule="auto"/>
    </w:pPr>
    <w:rPr>
      <w:lang w:val="en-US"/>
    </w:rPr>
  </w:style>
  <w:style w:type="character" w:styleId="EndnoteReference">
    <w:name w:val="endnote reference"/>
    <w:basedOn w:val="DefaultParagraphFont"/>
    <w:uiPriority w:val="99"/>
    <w:semiHidden/>
    <w:unhideWhenUsed/>
    <w:rsid w:val="00E10171"/>
    <w:rPr>
      <w:vertAlign w:val="superscript"/>
    </w:rPr>
  </w:style>
  <w:style w:type="character" w:customStyle="1" w:styleId="ssit">
    <w:name w:val="ss_it"/>
    <w:basedOn w:val="DefaultParagraphFont"/>
    <w:rsid w:val="005264F9"/>
  </w:style>
  <w:style w:type="character" w:customStyle="1" w:styleId="sssh">
    <w:name w:val="ss_sh"/>
    <w:basedOn w:val="DefaultParagraphFont"/>
    <w:rsid w:val="005264F9"/>
  </w:style>
  <w:style w:type="character" w:customStyle="1" w:styleId="UnresolvedMention1">
    <w:name w:val="Unresolved Mention1"/>
    <w:basedOn w:val="DefaultParagraphFont"/>
    <w:uiPriority w:val="99"/>
    <w:rsid w:val="00A70637"/>
    <w:rPr>
      <w:color w:val="605E5C"/>
      <w:shd w:val="clear" w:color="auto" w:fill="E1DFDD"/>
    </w:rPr>
  </w:style>
  <w:style w:type="character" w:styleId="FollowedHyperlink">
    <w:name w:val="FollowedHyperlink"/>
    <w:basedOn w:val="DefaultParagraphFont"/>
    <w:uiPriority w:val="99"/>
    <w:semiHidden/>
    <w:unhideWhenUsed/>
    <w:rsid w:val="00A52B56"/>
    <w:rPr>
      <w:color w:val="800080" w:themeColor="followedHyperlink"/>
      <w:u w:val="single"/>
    </w:rPr>
  </w:style>
  <w:style w:type="character" w:customStyle="1" w:styleId="UnresolvedMention">
    <w:name w:val="Unresolved Mention"/>
    <w:basedOn w:val="DefaultParagraphFont"/>
    <w:uiPriority w:val="99"/>
    <w:rsid w:val="00400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image" Target="media/image1.png" /><Relationship Id="rId18" Type="http://schemas.openxmlformats.org/officeDocument/2006/relationships/image" Target="media/image2.png" /><Relationship Id="rId19" Type="http://schemas.openxmlformats.org/officeDocument/2006/relationships/hyperlink" Target="mailto:thomas.lindgren@ohioAGO.gov" TargetMode="External" /><Relationship Id="rId2" Type="http://schemas.openxmlformats.org/officeDocument/2006/relationships/settings" Target="settings.xml" /><Relationship Id="rId20" Type="http://schemas.openxmlformats.org/officeDocument/2006/relationships/hyperlink" Target="mailto:Rocco.dascenzo@duke-energy.com" TargetMode="External" /><Relationship Id="rId21" Type="http://schemas.openxmlformats.org/officeDocument/2006/relationships/hyperlink" Target="mailto:Jeanne.kingery@duke-energy.com" TargetMode="External" /><Relationship Id="rId22" Type="http://schemas.openxmlformats.org/officeDocument/2006/relationships/hyperlink" Target="mailto:Larisa.vaysman@duke-energy.com" TargetMode="External" /><Relationship Id="rId23" Type="http://schemas.openxmlformats.org/officeDocument/2006/relationships/hyperlink" Target="mailto:elyse.akhbari@duke-energy.com" TargetMode="External" /><Relationship Id="rId24" Type="http://schemas.openxmlformats.org/officeDocument/2006/relationships/hyperlink" Target="mailto:ctavenor@theoec.org" TargetMode="External" /><Relationship Id="rId25" Type="http://schemas.openxmlformats.org/officeDocument/2006/relationships/hyperlink" Target="mailto:dproano@bakerlaw.com" TargetMode="External" /><Relationship Id="rId26" Type="http://schemas.openxmlformats.org/officeDocument/2006/relationships/hyperlink" Target="mailto:pwillison@bakerlaw.com" TargetMode="External" /><Relationship Id="rId27" Type="http://schemas.openxmlformats.org/officeDocument/2006/relationships/hyperlink" Target="mailto:megan.addison@puco.ohio.gov" TargetMode="External" /><Relationship Id="rId28" Type="http://schemas.openxmlformats.org/officeDocument/2006/relationships/hyperlink" Target="mailto:jesse.davis@puco.ohio.gov" TargetMode="External" /><Relationship Id="rId29" Type="http://schemas.openxmlformats.org/officeDocument/2006/relationships/hyperlink" Target="mailto:rdove@keglerbrown.com" TargetMode="External" /><Relationship Id="rId3" Type="http://schemas.openxmlformats.org/officeDocument/2006/relationships/webSettings" Target="webSettings.xml" /><Relationship Id="rId30" Type="http://schemas.openxmlformats.org/officeDocument/2006/relationships/hyperlink" Target="mailto:stnourse@aep.com" TargetMode="External" /><Relationship Id="rId31" Type="http://schemas.openxmlformats.org/officeDocument/2006/relationships/hyperlink" Target="mailto:matthew@msmckenzieltd.com" TargetMode="External" /><Relationship Id="rId32" Type="http://schemas.openxmlformats.org/officeDocument/2006/relationships/hyperlink" Target="mailto:trent@hubaydougherty.com" TargetMode="External" /><Relationship Id="rId33" Type="http://schemas.openxmlformats.org/officeDocument/2006/relationships/hyperlink" Target="mailto:talexander@beneschlaw.com" TargetMode="External" /><Relationship Id="rId34" Type="http://schemas.openxmlformats.org/officeDocument/2006/relationships/hyperlink" Target="mailto:bojko@carpenterlipps.com" TargetMode="External" /><Relationship Id="rId35" Type="http://schemas.openxmlformats.org/officeDocument/2006/relationships/hyperlink" Target="mailto:Paul@carpenterlipps.com" TargetMode="External" /><Relationship Id="rId36" Type="http://schemas.openxmlformats.org/officeDocument/2006/relationships/hyperlink" Target="mailto:christopher.hollon@aes.com" TargetMode="External" /><Relationship Id="rId37" Type="http://schemas.openxmlformats.org/officeDocument/2006/relationships/hyperlink" Target="mailto:jsharkey@ficlaw.com" TargetMode="External" /><Relationship Id="rId38" Type="http://schemas.openxmlformats.org/officeDocument/2006/relationships/hyperlink" Target="mailto:mwatt@ficlaw.com" TargetMode="External" /><Relationship Id="rId39" Type="http://schemas.openxmlformats.org/officeDocument/2006/relationships/footer" Target="footer5.xm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alex.hickey@occ.ohio.gov" TargetMode="External" /><Relationship Id="rId9" Type="http://schemas.openxmlformats.org/officeDocument/2006/relationships/hyperlink" Target="mailto:thomas.zuehlke@occ.ohi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mi-psc.force.com/sfc/servlet.shepherd/version/download/0688y000006ctmIAAQ" TargetMode="External" /><Relationship Id="rId2" Type="http://schemas.openxmlformats.org/officeDocument/2006/relationships/hyperlink" Target="https://mi-psc.my.site.com/sfc/servlet.shepherd/version/download/068t000000HUDq3AAH" TargetMode="External" /><Relationship Id="rId3" Type="http://schemas.openxmlformats.org/officeDocument/2006/relationships/hyperlink" Target="https://plus.lexis.com/document/teaserdocument/?pdmfid=1530671&amp;crid=42ee64d5-3e18-4d94-a21a-434f9f266aa6&amp;pddocfullpath=%2Fshared%2Fdocument%2Fadministrative-materials%2Furn%3AcontentItem%3A4TNV-9X00-00T9-83JK-00000-00&amp;pddocid=urn%3AcontentItem%3A4TNV-9X00-00T9-83JK-00000-00&amp;pdcontentcomponentid=238448&amp;pdteaserkey=h4&amp;ecomp=y74k&amp;earg=sr0&amp;prid=fc849b88-8551-4cca-906e-7670ff9fa0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6255-26A3-41D1-B0D7-74058AEE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8638</Words>
  <Characters>49241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2024-02-12T20:08:30Z</dcterms:created>
  <dcterms:modified xsi:type="dcterms:W3CDTF">2024-02-12T20:08:30Z</dcterms:modified>
</cp:coreProperties>
</file>