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B" w:rsidRPr="009D6A2A" w:rsidRDefault="00EA50BB" w:rsidP="00EA50BB">
      <w:pPr>
        <w:jc w:val="center"/>
        <w:rPr>
          <w:rFonts w:ascii="Times New Roman" w:hAnsi="Times New Roman"/>
          <w:b/>
          <w:sz w:val="26"/>
          <w:szCs w:val="26"/>
        </w:rPr>
      </w:pPr>
      <w:bookmarkStart w:id="0" w:name="_Toc172348423"/>
      <w:bookmarkStart w:id="1" w:name="_Toc172349243"/>
      <w:smartTag w:uri="urn:schemas-microsoft-com:office:smarttags" w:element="place">
        <w:smartTag w:uri="urn:schemas-microsoft-com:office:smarttags" w:element="country-region">
          <w:r w:rsidRPr="009D6A2A">
            <w:rPr>
              <w:rFonts w:ascii="Times New Roman" w:hAnsi="Times New Roman"/>
              <w:b/>
              <w:sz w:val="26"/>
              <w:szCs w:val="26"/>
            </w:rPr>
            <w:t>UNITED STATES OF AMERICA</w:t>
          </w:r>
        </w:smartTag>
      </w:smartTag>
    </w:p>
    <w:p w:rsidR="00EA50BB" w:rsidRPr="009D6A2A" w:rsidRDefault="00EA50BB" w:rsidP="00EA50BB">
      <w:pPr>
        <w:jc w:val="center"/>
        <w:rPr>
          <w:rFonts w:ascii="Times New Roman" w:hAnsi="Times New Roman"/>
          <w:b/>
          <w:sz w:val="26"/>
          <w:szCs w:val="26"/>
        </w:rPr>
      </w:pPr>
    </w:p>
    <w:p w:rsidR="00EA50BB" w:rsidRPr="009D6A2A" w:rsidRDefault="00EA50BB" w:rsidP="00EA50BB">
      <w:pPr>
        <w:jc w:val="center"/>
        <w:rPr>
          <w:rFonts w:ascii="Times New Roman" w:hAnsi="Times New Roman"/>
          <w:b/>
          <w:sz w:val="26"/>
          <w:szCs w:val="26"/>
        </w:rPr>
      </w:pPr>
      <w:r w:rsidRPr="009D6A2A">
        <w:rPr>
          <w:rFonts w:ascii="Times New Roman" w:hAnsi="Times New Roman"/>
          <w:b/>
          <w:sz w:val="26"/>
          <w:szCs w:val="26"/>
        </w:rPr>
        <w:t>BEFORE THE</w:t>
      </w:r>
    </w:p>
    <w:p w:rsidR="00EA50BB" w:rsidRDefault="00EA50BB" w:rsidP="00EA50BB">
      <w:pPr>
        <w:jc w:val="center"/>
        <w:rPr>
          <w:rFonts w:ascii="Times New Roman" w:hAnsi="Times New Roman"/>
          <w:b/>
          <w:sz w:val="26"/>
          <w:szCs w:val="26"/>
        </w:rPr>
      </w:pPr>
      <w:r w:rsidRPr="009D6A2A">
        <w:rPr>
          <w:rFonts w:ascii="Times New Roman" w:hAnsi="Times New Roman"/>
          <w:b/>
          <w:sz w:val="26"/>
          <w:szCs w:val="26"/>
        </w:rPr>
        <w:t>FEDERAL ENERGY REGULATORY COMMISSION</w:t>
      </w:r>
    </w:p>
    <w:p w:rsidR="00EA50BB" w:rsidRPr="009D6A2A" w:rsidRDefault="00EA50BB" w:rsidP="00EA50BB">
      <w:pPr>
        <w:jc w:val="center"/>
        <w:rPr>
          <w:rFonts w:ascii="Times New Roman" w:hAnsi="Times New Roman"/>
          <w:sz w:val="26"/>
          <w:szCs w:val="26"/>
        </w:rPr>
      </w:pPr>
    </w:p>
    <w:p w:rsidR="00EA50BB" w:rsidRPr="009D6A2A" w:rsidRDefault="00EA50BB" w:rsidP="00EA50BB">
      <w:pPr>
        <w:rPr>
          <w:rFonts w:ascii="Times New Roman" w:hAnsi="Times New Roman"/>
          <w:sz w:val="26"/>
          <w:szCs w:val="26"/>
        </w:rPr>
      </w:pPr>
    </w:p>
    <w:tbl>
      <w:tblPr>
        <w:tblW w:w="0" w:type="auto"/>
        <w:tblLook w:val="01E0" w:firstRow="1" w:lastRow="1" w:firstColumn="1" w:lastColumn="1" w:noHBand="0" w:noVBand="0"/>
      </w:tblPr>
      <w:tblGrid>
        <w:gridCol w:w="4664"/>
        <w:gridCol w:w="357"/>
        <w:gridCol w:w="4339"/>
      </w:tblGrid>
      <w:tr w:rsidR="00EA50BB" w:rsidRPr="009D6A2A" w:rsidTr="00A9090D">
        <w:tc>
          <w:tcPr>
            <w:tcW w:w="4788" w:type="dxa"/>
            <w:shd w:val="clear" w:color="auto" w:fill="auto"/>
          </w:tcPr>
          <w:p w:rsidR="00EA50BB" w:rsidRPr="00A9090D" w:rsidRDefault="009F56D9" w:rsidP="00EA50BB">
            <w:pPr>
              <w:rPr>
                <w:rFonts w:ascii="Times New Roman" w:hAnsi="Times New Roman"/>
                <w:sz w:val="26"/>
                <w:szCs w:val="26"/>
              </w:rPr>
            </w:pPr>
            <w:r>
              <w:rPr>
                <w:rFonts w:ascii="Times New Roman" w:hAnsi="Times New Roman"/>
                <w:sz w:val="26"/>
                <w:szCs w:val="26"/>
              </w:rPr>
              <w:t>PJM Interconnection, LLC</w:t>
            </w:r>
          </w:p>
        </w:tc>
        <w:tc>
          <w:tcPr>
            <w:tcW w:w="360" w:type="dxa"/>
            <w:shd w:val="clear" w:color="auto" w:fill="auto"/>
          </w:tcPr>
          <w:p w:rsidR="00D84779" w:rsidRPr="00A9090D" w:rsidRDefault="00EA50BB" w:rsidP="00EA50BB">
            <w:pPr>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EA50BB" w:rsidRPr="00A9090D" w:rsidRDefault="00CB0D2A" w:rsidP="009F56D9">
            <w:pPr>
              <w:ind w:left="1332" w:hanging="1332"/>
              <w:rPr>
                <w:rFonts w:ascii="Times New Roman" w:hAnsi="Times New Roman"/>
                <w:sz w:val="26"/>
                <w:szCs w:val="26"/>
              </w:rPr>
            </w:pPr>
            <w:r w:rsidRPr="00A9090D">
              <w:rPr>
                <w:rFonts w:ascii="Times New Roman" w:hAnsi="Times New Roman"/>
                <w:sz w:val="26"/>
                <w:szCs w:val="26"/>
              </w:rPr>
              <w:t>Docket No</w:t>
            </w:r>
            <w:r w:rsidR="00EA50BB" w:rsidRPr="00A9090D">
              <w:rPr>
                <w:rFonts w:ascii="Times New Roman" w:hAnsi="Times New Roman"/>
                <w:sz w:val="26"/>
                <w:szCs w:val="26"/>
              </w:rPr>
              <w:t>.</w:t>
            </w:r>
            <w:r w:rsidR="00EA50BB" w:rsidRPr="00A9090D">
              <w:rPr>
                <w:rFonts w:ascii="Times New Roman" w:hAnsi="Times New Roman"/>
                <w:sz w:val="26"/>
                <w:szCs w:val="26"/>
              </w:rPr>
              <w:tab/>
            </w:r>
            <w:r w:rsidR="009F56D9">
              <w:rPr>
                <w:rFonts w:ascii="Times New Roman" w:hAnsi="Times New Roman"/>
                <w:sz w:val="26"/>
                <w:szCs w:val="26"/>
              </w:rPr>
              <w:t>ER14-2940-000</w:t>
            </w:r>
          </w:p>
        </w:tc>
      </w:tr>
    </w:tbl>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EA50BB">
        <w:rPr>
          <w:rFonts w:ascii="Times New Roman" w:hAnsi="Times New Roman"/>
          <w:b/>
          <w:color w:val="000000"/>
          <w:sz w:val="28"/>
          <w:szCs w:val="28"/>
        </w:rPr>
        <w:t>COMMENTS</w:t>
      </w:r>
      <w:r>
        <w:rPr>
          <w:rFonts w:ascii="Times New Roman" w:hAnsi="Times New Roman"/>
          <w:b/>
          <w:color w:val="000000"/>
          <w:sz w:val="26"/>
          <w:szCs w:val="26"/>
        </w:rPr>
        <w:br/>
        <w:t>SUBMITTED ON BEHALF OF</w:t>
      </w:r>
    </w:p>
    <w:p w:rsidR="00EA50BB" w:rsidRPr="009D6A2A"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Pr>
              <w:rFonts w:ascii="Times New Roman" w:hAnsi="Times New Roman"/>
              <w:b/>
              <w:color w:val="000000"/>
              <w:sz w:val="26"/>
              <w:szCs w:val="26"/>
            </w:rPr>
            <w:t>OHIO</w:t>
          </w:r>
        </w:smartTag>
      </w:smartTag>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6F3E21" w:rsidRDefault="006F3E21" w:rsidP="00EA50BB">
      <w:pPr>
        <w:rPr>
          <w:rFonts w:ascii="Times New Roman" w:hAnsi="Times New Roman"/>
          <w:b/>
          <w:sz w:val="26"/>
          <w:szCs w:val="26"/>
        </w:rPr>
      </w:pPr>
    </w:p>
    <w:p w:rsidR="006F3E21" w:rsidRDefault="006F3E21"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6F3E21" w:rsidRDefault="006F3E21" w:rsidP="00EA50BB">
      <w:pPr>
        <w:rPr>
          <w:rFonts w:ascii="Times New Roman" w:hAnsi="Times New Roman"/>
          <w:b/>
          <w:sz w:val="26"/>
          <w:szCs w:val="26"/>
        </w:rPr>
      </w:pPr>
    </w:p>
    <w:p w:rsidR="00EA50BB" w:rsidRDefault="009F56D9" w:rsidP="00A46BED">
      <w:pPr>
        <w:jc w:val="center"/>
        <w:rPr>
          <w:rFonts w:ascii="Times New Roman" w:hAnsi="Times New Roman"/>
          <w:b/>
          <w:sz w:val="26"/>
          <w:szCs w:val="26"/>
        </w:rPr>
      </w:pPr>
      <w:r>
        <w:rPr>
          <w:rFonts w:ascii="Times New Roman" w:hAnsi="Times New Roman"/>
          <w:b/>
          <w:sz w:val="26"/>
          <w:szCs w:val="26"/>
        </w:rPr>
        <w:t>October 17, 2014</w:t>
      </w:r>
    </w:p>
    <w:p w:rsidR="00EA50BB" w:rsidRDefault="00EA50BB" w:rsidP="00EA50BB">
      <w:pPr>
        <w:rPr>
          <w:rFonts w:ascii="Times New Roman" w:hAnsi="Times New Roman"/>
          <w:b/>
          <w:sz w:val="26"/>
          <w:szCs w:val="26"/>
        </w:rPr>
      </w:pPr>
    </w:p>
    <w:p w:rsidR="00EA50BB" w:rsidRDefault="00EA50BB" w:rsidP="006F3E21">
      <w:pPr>
        <w:jc w:val="center"/>
        <w:rPr>
          <w:rFonts w:ascii="Times New Roman" w:hAnsi="Times New Roman"/>
          <w:b/>
          <w:sz w:val="26"/>
          <w:szCs w:val="26"/>
        </w:rPr>
        <w:sectPr w:rsidR="00EA50BB" w:rsidSect="00A46BED">
          <w:headerReference w:type="default" r:id="rId8"/>
          <w:footerReference w:type="even" r:id="rId9"/>
          <w:footerReference w:type="default" r:id="rId10"/>
          <w:pgSz w:w="12240" w:h="15840" w:code="1"/>
          <w:pgMar w:top="1440" w:right="1440" w:bottom="1440" w:left="1440" w:header="720" w:footer="720" w:gutter="0"/>
          <w:pgNumType w:start="1"/>
          <w:cols w:space="720"/>
          <w:titlePg/>
          <w:docGrid w:linePitch="272"/>
        </w:sectPr>
      </w:pPr>
    </w:p>
    <w:p w:rsidR="00F24E08" w:rsidRDefault="00F24E08">
      <w:pPr>
        <w:pStyle w:val="TOC1"/>
        <w:rPr>
          <w:rFonts w:asciiTheme="minorHAnsi" w:eastAsiaTheme="minorEastAsia" w:hAnsiTheme="minorHAnsi" w:cstheme="minorBidi"/>
          <w:noProof/>
          <w:sz w:val="22"/>
          <w:szCs w:val="22"/>
        </w:rPr>
      </w:pPr>
      <w:r>
        <w:rPr>
          <w:b/>
          <w:sz w:val="28"/>
          <w:szCs w:val="28"/>
        </w:rPr>
        <w:lastRenderedPageBreak/>
        <w:fldChar w:fldCharType="begin"/>
      </w:r>
      <w:r>
        <w:rPr>
          <w:b/>
          <w:sz w:val="28"/>
          <w:szCs w:val="28"/>
        </w:rPr>
        <w:instrText xml:space="preserve"> TOC \o "1-3" \u </w:instrText>
      </w:r>
      <w:r>
        <w:rPr>
          <w:b/>
          <w:sz w:val="28"/>
          <w:szCs w:val="28"/>
        </w:rPr>
        <w:fldChar w:fldCharType="separate"/>
      </w:r>
      <w:r w:rsidRPr="00E21974">
        <w:rPr>
          <w:noProof/>
          <w:snapToGrid w:val="0"/>
        </w:rPr>
        <w:t>I.</w:t>
      </w:r>
      <w:r>
        <w:rPr>
          <w:rFonts w:asciiTheme="minorHAnsi" w:eastAsiaTheme="minorEastAsia" w:hAnsiTheme="minorHAnsi" w:cstheme="minorBidi"/>
          <w:noProof/>
          <w:sz w:val="22"/>
          <w:szCs w:val="22"/>
        </w:rPr>
        <w:tab/>
      </w:r>
      <w:r w:rsidRPr="00E21974">
        <w:rPr>
          <w:noProof/>
          <w:snapToGrid w:val="0"/>
        </w:rPr>
        <w:t>INTRODUCTION</w:t>
      </w:r>
      <w:r>
        <w:rPr>
          <w:noProof/>
        </w:rPr>
        <w:tab/>
      </w:r>
      <w:r>
        <w:rPr>
          <w:noProof/>
        </w:rPr>
        <w:fldChar w:fldCharType="begin"/>
      </w:r>
      <w:r>
        <w:rPr>
          <w:noProof/>
        </w:rPr>
        <w:instrText xml:space="preserve"> PAGEREF _Toc401220725 \h </w:instrText>
      </w:r>
      <w:r>
        <w:rPr>
          <w:noProof/>
        </w:rPr>
      </w:r>
      <w:r>
        <w:rPr>
          <w:noProof/>
        </w:rPr>
        <w:fldChar w:fldCharType="separate"/>
      </w:r>
      <w:r w:rsidR="004C78C6">
        <w:rPr>
          <w:noProof/>
        </w:rPr>
        <w:t>1</w:t>
      </w:r>
      <w:r>
        <w:rPr>
          <w:noProof/>
        </w:rPr>
        <w:fldChar w:fldCharType="end"/>
      </w:r>
    </w:p>
    <w:p w:rsidR="00F24E08" w:rsidRDefault="00F24E08">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_Toc401220726 \h </w:instrText>
      </w:r>
      <w:r>
        <w:rPr>
          <w:noProof/>
        </w:rPr>
      </w:r>
      <w:r>
        <w:rPr>
          <w:noProof/>
        </w:rPr>
        <w:fldChar w:fldCharType="separate"/>
      </w:r>
      <w:r w:rsidR="004C78C6">
        <w:rPr>
          <w:noProof/>
        </w:rPr>
        <w:t>2</w:t>
      </w:r>
      <w:r>
        <w:rPr>
          <w:noProof/>
        </w:rPr>
        <w:fldChar w:fldCharType="end"/>
      </w:r>
    </w:p>
    <w:p w:rsidR="00F24E08" w:rsidRDefault="00F24E08">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COMMENTS</w:t>
      </w:r>
      <w:r>
        <w:rPr>
          <w:noProof/>
        </w:rPr>
        <w:tab/>
      </w:r>
      <w:r>
        <w:rPr>
          <w:noProof/>
        </w:rPr>
        <w:fldChar w:fldCharType="begin"/>
      </w:r>
      <w:r>
        <w:rPr>
          <w:noProof/>
        </w:rPr>
        <w:instrText xml:space="preserve"> PAGEREF _Toc401220727 \h </w:instrText>
      </w:r>
      <w:r>
        <w:rPr>
          <w:noProof/>
        </w:rPr>
      </w:r>
      <w:r>
        <w:rPr>
          <w:noProof/>
        </w:rPr>
        <w:fldChar w:fldCharType="separate"/>
      </w:r>
      <w:r w:rsidR="004C78C6">
        <w:rPr>
          <w:noProof/>
        </w:rPr>
        <w:t>4</w:t>
      </w:r>
      <w:r>
        <w:rPr>
          <w:noProof/>
        </w:rPr>
        <w:fldChar w:fldCharType="end"/>
      </w:r>
    </w:p>
    <w:p w:rsidR="00F24E08" w:rsidRDefault="00F24E08">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Shape of the VRR Curve</w:t>
      </w:r>
      <w:r>
        <w:rPr>
          <w:noProof/>
        </w:rPr>
        <w:tab/>
      </w:r>
      <w:r>
        <w:rPr>
          <w:noProof/>
        </w:rPr>
        <w:fldChar w:fldCharType="begin"/>
      </w:r>
      <w:r>
        <w:rPr>
          <w:noProof/>
        </w:rPr>
        <w:instrText xml:space="preserve"> PAGEREF _Toc401220728 \h </w:instrText>
      </w:r>
      <w:r>
        <w:rPr>
          <w:noProof/>
        </w:rPr>
      </w:r>
      <w:r>
        <w:rPr>
          <w:noProof/>
        </w:rPr>
        <w:fldChar w:fldCharType="separate"/>
      </w:r>
      <w:r w:rsidR="004C78C6">
        <w:rPr>
          <w:noProof/>
        </w:rPr>
        <w:t>4</w:t>
      </w:r>
      <w:r>
        <w:rPr>
          <w:noProof/>
        </w:rPr>
        <w:fldChar w:fldCharType="end"/>
      </w:r>
    </w:p>
    <w:p w:rsidR="00F24E08" w:rsidRDefault="00F24E08">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PJM Proposal is Consistent with Other FERC-Approved Demand Curves</w:t>
      </w:r>
      <w:r>
        <w:rPr>
          <w:noProof/>
        </w:rPr>
        <w:tab/>
      </w:r>
      <w:r>
        <w:rPr>
          <w:noProof/>
        </w:rPr>
        <w:fldChar w:fldCharType="begin"/>
      </w:r>
      <w:r>
        <w:rPr>
          <w:noProof/>
        </w:rPr>
        <w:instrText xml:space="preserve"> PAGEREF _Toc401220729 \h </w:instrText>
      </w:r>
      <w:r>
        <w:rPr>
          <w:noProof/>
        </w:rPr>
      </w:r>
      <w:r>
        <w:rPr>
          <w:noProof/>
        </w:rPr>
        <w:fldChar w:fldCharType="separate"/>
      </w:r>
      <w:r w:rsidR="004C78C6">
        <w:rPr>
          <w:noProof/>
        </w:rPr>
        <w:t>6</w:t>
      </w:r>
      <w:r>
        <w:rPr>
          <w:noProof/>
        </w:rPr>
        <w:fldChar w:fldCharType="end"/>
      </w:r>
    </w:p>
    <w:p w:rsidR="00F24E08" w:rsidRDefault="00F24E08">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E&amp;AS Forecasts Should be Forward-Looking</w:t>
      </w:r>
      <w:r>
        <w:rPr>
          <w:noProof/>
        </w:rPr>
        <w:tab/>
      </w:r>
      <w:r>
        <w:rPr>
          <w:noProof/>
        </w:rPr>
        <w:fldChar w:fldCharType="begin"/>
      </w:r>
      <w:r>
        <w:rPr>
          <w:noProof/>
        </w:rPr>
        <w:instrText xml:space="preserve"> PAGEREF _Toc401220730 \h </w:instrText>
      </w:r>
      <w:r>
        <w:rPr>
          <w:noProof/>
        </w:rPr>
      </w:r>
      <w:r>
        <w:rPr>
          <w:noProof/>
        </w:rPr>
        <w:fldChar w:fldCharType="separate"/>
      </w:r>
      <w:r w:rsidR="004C78C6">
        <w:rPr>
          <w:noProof/>
        </w:rPr>
        <w:t>6</w:t>
      </w:r>
      <w:r>
        <w:rPr>
          <w:noProof/>
        </w:rPr>
        <w:fldChar w:fldCharType="end"/>
      </w:r>
    </w:p>
    <w:p w:rsidR="00F24E08" w:rsidRDefault="00F24E08">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Other PJM Changes to the Capacity Construct</w:t>
      </w:r>
      <w:r>
        <w:rPr>
          <w:noProof/>
        </w:rPr>
        <w:tab/>
      </w:r>
      <w:r>
        <w:rPr>
          <w:noProof/>
        </w:rPr>
        <w:fldChar w:fldCharType="begin"/>
      </w:r>
      <w:r>
        <w:rPr>
          <w:noProof/>
        </w:rPr>
        <w:instrText xml:space="preserve"> PAGEREF _Toc401220731 \h </w:instrText>
      </w:r>
      <w:r>
        <w:rPr>
          <w:noProof/>
        </w:rPr>
      </w:r>
      <w:r>
        <w:rPr>
          <w:noProof/>
        </w:rPr>
        <w:fldChar w:fldCharType="separate"/>
      </w:r>
      <w:r w:rsidR="004C78C6">
        <w:rPr>
          <w:noProof/>
        </w:rPr>
        <w:t>7</w:t>
      </w:r>
      <w:r>
        <w:rPr>
          <w:noProof/>
        </w:rPr>
        <w:fldChar w:fldCharType="end"/>
      </w:r>
    </w:p>
    <w:p w:rsidR="00F24E08" w:rsidRDefault="00F24E08">
      <w:pPr>
        <w:pStyle w:val="TOC1"/>
        <w:rPr>
          <w:rFonts w:asciiTheme="minorHAnsi" w:eastAsiaTheme="minorEastAsia" w:hAnsiTheme="minorHAnsi" w:cstheme="minorBidi"/>
          <w:noProof/>
          <w:sz w:val="22"/>
          <w:szCs w:val="22"/>
        </w:rPr>
      </w:pPr>
      <w:r>
        <w:rPr>
          <w:noProof/>
        </w:rPr>
        <w:t xml:space="preserve">IV. </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_Toc401220732 \h </w:instrText>
      </w:r>
      <w:r>
        <w:rPr>
          <w:noProof/>
        </w:rPr>
      </w:r>
      <w:r>
        <w:rPr>
          <w:noProof/>
        </w:rPr>
        <w:fldChar w:fldCharType="separate"/>
      </w:r>
      <w:r w:rsidR="004C78C6">
        <w:rPr>
          <w:noProof/>
        </w:rPr>
        <w:t>7</w:t>
      </w:r>
      <w:r>
        <w:rPr>
          <w:noProof/>
        </w:rPr>
        <w:fldChar w:fldCharType="end"/>
      </w:r>
    </w:p>
    <w:p w:rsidR="00F24E08" w:rsidRDefault="00F24E08">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CERTIFICATE OF SERVICE</w:t>
      </w:r>
      <w:r>
        <w:rPr>
          <w:noProof/>
        </w:rPr>
        <w:tab/>
      </w:r>
      <w:r>
        <w:rPr>
          <w:noProof/>
        </w:rPr>
        <w:fldChar w:fldCharType="begin"/>
      </w:r>
      <w:r>
        <w:rPr>
          <w:noProof/>
        </w:rPr>
        <w:instrText xml:space="preserve"> PAGEREF _Toc401220733 \h </w:instrText>
      </w:r>
      <w:r>
        <w:rPr>
          <w:noProof/>
        </w:rPr>
      </w:r>
      <w:r>
        <w:rPr>
          <w:noProof/>
        </w:rPr>
        <w:fldChar w:fldCharType="separate"/>
      </w:r>
      <w:r w:rsidR="004C78C6">
        <w:rPr>
          <w:noProof/>
        </w:rPr>
        <w:t>9</w:t>
      </w:r>
      <w:r>
        <w:rPr>
          <w:noProof/>
        </w:rPr>
        <w:fldChar w:fldCharType="end"/>
      </w:r>
    </w:p>
    <w:p w:rsidR="001C3A3E" w:rsidRDefault="00F24E08" w:rsidP="00153A5E">
      <w:pPr>
        <w:jc w:val="center"/>
        <w:rPr>
          <w:rFonts w:ascii="Times New Roman" w:hAnsi="Times New Roman"/>
          <w:b/>
          <w:sz w:val="28"/>
          <w:szCs w:val="28"/>
        </w:rPr>
        <w:sectPr w:rsidR="001C3A3E" w:rsidSect="001C3A3E">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272"/>
        </w:sectPr>
      </w:pPr>
      <w:r>
        <w:rPr>
          <w:rFonts w:ascii="Times New Roman" w:hAnsi="Times New Roman"/>
          <w:b/>
          <w:sz w:val="28"/>
          <w:szCs w:val="28"/>
        </w:rPr>
        <w:fldChar w:fldCharType="end"/>
      </w:r>
    </w:p>
    <w:p w:rsidR="00F62477" w:rsidRPr="00153A5E" w:rsidRDefault="00F62477" w:rsidP="00153A5E">
      <w:pPr>
        <w:jc w:val="center"/>
        <w:rPr>
          <w:rFonts w:ascii="Times New Roman" w:hAnsi="Times New Roman"/>
          <w:b/>
          <w:sz w:val="28"/>
          <w:szCs w:val="28"/>
        </w:rPr>
      </w:pPr>
      <w:r w:rsidRPr="00153A5E">
        <w:rPr>
          <w:rFonts w:ascii="Times New Roman" w:hAnsi="Times New Roman"/>
          <w:b/>
          <w:sz w:val="28"/>
          <w:szCs w:val="28"/>
        </w:rPr>
        <w:lastRenderedPageBreak/>
        <w:t>UNITED STATES OF AMERICA</w:t>
      </w:r>
      <w:bookmarkEnd w:id="0"/>
      <w:bookmarkEnd w:id="1"/>
    </w:p>
    <w:p w:rsidR="00F62477" w:rsidRPr="00153A5E" w:rsidRDefault="00F62477" w:rsidP="00F62477">
      <w:pPr>
        <w:jc w:val="center"/>
        <w:rPr>
          <w:rFonts w:ascii="Times New Roman" w:hAnsi="Times New Roman"/>
          <w:b/>
          <w:sz w:val="28"/>
          <w:szCs w:val="28"/>
        </w:rPr>
      </w:pPr>
      <w:r w:rsidRPr="00153A5E">
        <w:rPr>
          <w:rFonts w:ascii="Times New Roman" w:hAnsi="Times New Roman"/>
          <w:b/>
          <w:sz w:val="28"/>
          <w:szCs w:val="28"/>
        </w:rPr>
        <w:t>BEFORE THE</w:t>
      </w:r>
    </w:p>
    <w:p w:rsidR="00F62477" w:rsidRDefault="00F62477" w:rsidP="00F62477">
      <w:pPr>
        <w:jc w:val="center"/>
        <w:rPr>
          <w:rFonts w:ascii="Times New Roman" w:hAnsi="Times New Roman"/>
          <w:b/>
          <w:sz w:val="28"/>
          <w:szCs w:val="28"/>
        </w:rPr>
      </w:pPr>
      <w:bookmarkStart w:id="2" w:name="_Toc172348424"/>
      <w:bookmarkStart w:id="3" w:name="_Toc172349244"/>
      <w:r w:rsidRPr="00153A5E">
        <w:rPr>
          <w:rFonts w:ascii="Times New Roman" w:hAnsi="Times New Roman"/>
          <w:b/>
          <w:sz w:val="28"/>
          <w:szCs w:val="28"/>
        </w:rPr>
        <w:t>FEDERAL ENERGY REGULATORY COMMISSION</w:t>
      </w:r>
      <w:bookmarkEnd w:id="2"/>
      <w:bookmarkEnd w:id="3"/>
    </w:p>
    <w:p w:rsidR="004A0D88" w:rsidRPr="00153A5E" w:rsidRDefault="004A0D88" w:rsidP="00F62477">
      <w:pPr>
        <w:jc w:val="center"/>
        <w:rPr>
          <w:rFonts w:ascii="Times New Roman" w:hAnsi="Times New Roman"/>
          <w:sz w:val="28"/>
          <w:szCs w:val="28"/>
        </w:rPr>
      </w:pPr>
    </w:p>
    <w:tbl>
      <w:tblPr>
        <w:tblW w:w="0" w:type="auto"/>
        <w:tblLook w:val="01E0" w:firstRow="1" w:lastRow="1" w:firstColumn="1" w:lastColumn="1" w:noHBand="0" w:noVBand="0"/>
      </w:tblPr>
      <w:tblGrid>
        <w:gridCol w:w="4662"/>
        <w:gridCol w:w="357"/>
        <w:gridCol w:w="4341"/>
      </w:tblGrid>
      <w:tr w:rsidR="006F3E21" w:rsidRPr="009D6A2A" w:rsidTr="006F3E21">
        <w:tc>
          <w:tcPr>
            <w:tcW w:w="4662" w:type="dxa"/>
            <w:shd w:val="clear" w:color="auto" w:fill="auto"/>
          </w:tcPr>
          <w:p w:rsidR="006F3E21" w:rsidRPr="00A9090D" w:rsidRDefault="006F3E21" w:rsidP="003457C9">
            <w:pPr>
              <w:rPr>
                <w:rFonts w:ascii="Times New Roman" w:hAnsi="Times New Roman"/>
                <w:sz w:val="26"/>
                <w:szCs w:val="26"/>
              </w:rPr>
            </w:pPr>
            <w:r>
              <w:rPr>
                <w:rFonts w:ascii="Times New Roman" w:hAnsi="Times New Roman"/>
                <w:sz w:val="26"/>
                <w:szCs w:val="26"/>
              </w:rPr>
              <w:t>PJM Interconnection, LLC</w:t>
            </w:r>
          </w:p>
        </w:tc>
        <w:tc>
          <w:tcPr>
            <w:tcW w:w="357" w:type="dxa"/>
            <w:shd w:val="clear" w:color="auto" w:fill="auto"/>
          </w:tcPr>
          <w:p w:rsidR="006F3E21" w:rsidRPr="00A9090D" w:rsidRDefault="006F3E21" w:rsidP="003457C9">
            <w:pPr>
              <w:rPr>
                <w:rFonts w:ascii="Times New Roman" w:hAnsi="Times New Roman"/>
                <w:sz w:val="26"/>
                <w:szCs w:val="26"/>
              </w:rPr>
            </w:pPr>
            <w:r w:rsidRPr="00A9090D">
              <w:rPr>
                <w:rFonts w:ascii="Times New Roman" w:hAnsi="Times New Roman"/>
                <w:sz w:val="26"/>
                <w:szCs w:val="26"/>
              </w:rPr>
              <w:t>:</w:t>
            </w:r>
          </w:p>
          <w:p w:rsidR="006F3E21" w:rsidRPr="00A9090D" w:rsidRDefault="006F3E21" w:rsidP="003457C9">
            <w:pPr>
              <w:rPr>
                <w:rFonts w:ascii="Times New Roman" w:hAnsi="Times New Roman"/>
                <w:sz w:val="26"/>
                <w:szCs w:val="26"/>
              </w:rPr>
            </w:pPr>
            <w:r w:rsidRPr="00A9090D">
              <w:rPr>
                <w:rFonts w:ascii="Times New Roman" w:hAnsi="Times New Roman"/>
                <w:sz w:val="26"/>
                <w:szCs w:val="26"/>
              </w:rPr>
              <w:t>:</w:t>
            </w:r>
          </w:p>
          <w:p w:rsidR="006F3E21" w:rsidRPr="00A9090D" w:rsidRDefault="006F3E21" w:rsidP="003457C9">
            <w:pPr>
              <w:rPr>
                <w:rFonts w:ascii="Times New Roman" w:hAnsi="Times New Roman"/>
                <w:sz w:val="26"/>
                <w:szCs w:val="26"/>
              </w:rPr>
            </w:pPr>
            <w:r w:rsidRPr="00A9090D">
              <w:rPr>
                <w:rFonts w:ascii="Times New Roman" w:hAnsi="Times New Roman"/>
                <w:sz w:val="26"/>
                <w:szCs w:val="26"/>
              </w:rPr>
              <w:t>:</w:t>
            </w:r>
          </w:p>
        </w:tc>
        <w:tc>
          <w:tcPr>
            <w:tcW w:w="4341" w:type="dxa"/>
            <w:shd w:val="clear" w:color="auto" w:fill="auto"/>
          </w:tcPr>
          <w:p w:rsidR="006F3E21" w:rsidRPr="00A9090D" w:rsidRDefault="006F3E21" w:rsidP="003457C9">
            <w:pPr>
              <w:ind w:left="1332" w:hanging="1332"/>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ER14-2940-000</w:t>
            </w:r>
          </w:p>
        </w:tc>
      </w:tr>
    </w:tbl>
    <w:p w:rsidR="00F62477" w:rsidRPr="009D6A2A" w:rsidRDefault="00F62477" w:rsidP="00F62477">
      <w:pPr>
        <w:rPr>
          <w:rFonts w:ascii="Times New Roman" w:hAnsi="Times New Roman"/>
          <w:sz w:val="26"/>
          <w:szCs w:val="26"/>
        </w:rPr>
      </w:pPr>
    </w:p>
    <w:p w:rsidR="00F62477" w:rsidRPr="009D6A2A" w:rsidRDefault="00F62477" w:rsidP="00F62477">
      <w:pPr>
        <w:autoSpaceDE w:val="0"/>
        <w:autoSpaceDN w:val="0"/>
        <w:adjustRightInd w:val="0"/>
        <w:jc w:val="center"/>
        <w:rPr>
          <w:rFonts w:ascii="Times New Roman" w:hAnsi="Times New Roman"/>
          <w:color w:val="000000"/>
          <w:sz w:val="26"/>
          <w:szCs w:val="26"/>
        </w:rPr>
      </w:pPr>
    </w:p>
    <w:p w:rsidR="009D6A2A"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32"/>
          <w:szCs w:val="32"/>
        </w:rPr>
      </w:pPr>
      <w:r w:rsidRPr="009D6A2A">
        <w:rPr>
          <w:rFonts w:ascii="Times New Roman" w:hAnsi="Times New Roman"/>
          <w:b/>
          <w:color w:val="000000"/>
          <w:sz w:val="32"/>
          <w:szCs w:val="32"/>
        </w:rPr>
        <w:t>COMMENTS</w:t>
      </w:r>
    </w:p>
    <w:p w:rsidR="009D6A2A" w:rsidRPr="009D6A2A" w:rsidRDefault="009D6A2A"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SUBMITTED ON BEHALF </w:t>
      </w:r>
      <w:r w:rsidR="00F62477" w:rsidRPr="009D6A2A">
        <w:rPr>
          <w:rFonts w:ascii="Times New Roman" w:hAnsi="Times New Roman"/>
          <w:b/>
          <w:color w:val="000000"/>
          <w:sz w:val="26"/>
          <w:szCs w:val="26"/>
        </w:rPr>
        <w:t>OF</w:t>
      </w:r>
    </w:p>
    <w:p w:rsidR="00F62477"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THE PUBLIC UTILITIES COMMISSION OF OHIO </w:t>
      </w:r>
    </w:p>
    <w:p w:rsidR="009F56D9" w:rsidRDefault="009F56D9" w:rsidP="009F56D9">
      <w:pPr>
        <w:pStyle w:val="Textstyle"/>
      </w:pPr>
      <w:bookmarkStart w:id="4" w:name="_Toc177529824"/>
    </w:p>
    <w:p w:rsidR="009F56D9" w:rsidRDefault="009F56D9" w:rsidP="009F56D9">
      <w:pPr>
        <w:pStyle w:val="Textstyle"/>
      </w:pPr>
      <w:r>
        <w:tab/>
        <w:t>The Public Utilities Commission of Ohio (Ohio Commission) respectfully submits the following Comments in response to PJM Interconnection, LLC’s (PJM) September 25, 2014 proposed revisions to PJM’s Open Access Transmission Tariff (Tariff) Attach</w:t>
      </w:r>
      <w:r w:rsidR="001C3A3E">
        <w:softHyphen/>
      </w:r>
      <w:r>
        <w:t>ment DD, sections 5.10(a)(</w:t>
      </w:r>
      <w:proofErr w:type="spellStart"/>
      <w:r>
        <w:t>i</w:t>
      </w:r>
      <w:proofErr w:type="spellEnd"/>
      <w:r>
        <w:t>) -- (iii) for</w:t>
      </w:r>
      <w:r w:rsidRPr="009532AD">
        <w:t xml:space="preserve"> certain elements of the Reliability Pricing Model</w:t>
      </w:r>
      <w:r>
        <w:t xml:space="preserve"> (RPM</w:t>
      </w:r>
      <w:r w:rsidRPr="009532AD">
        <w:t>)</w:t>
      </w:r>
      <w:r>
        <w:t>.  PJM’s filing is to fulfill its obligation for a periodic review of the shape of the Variable Resource Requirement (</w:t>
      </w:r>
      <w:proofErr w:type="spellStart"/>
      <w:r>
        <w:t>VRR</w:t>
      </w:r>
      <w:proofErr w:type="spellEnd"/>
      <w:r>
        <w:t>) curve used in the RPM Capacity Auctions and key components of the curve, the estimated Cost of New Entry (CONE) for a representa</w:t>
      </w:r>
      <w:r w:rsidR="001C3A3E">
        <w:softHyphen/>
      </w:r>
      <w:r>
        <w:t>tive new plant, and the Net Energy and Ancillary Services Revenues (</w:t>
      </w:r>
      <w:proofErr w:type="spellStart"/>
      <w:r>
        <w:t>E&amp;AS</w:t>
      </w:r>
      <w:proofErr w:type="spellEnd"/>
      <w:r>
        <w:t>) that a plant would be expected to earn</w:t>
      </w:r>
      <w:r>
        <w:rPr>
          <w:lang w:bidi="en-US"/>
        </w:rPr>
        <w:t>.</w:t>
      </w:r>
    </w:p>
    <w:p w:rsidR="00F62477" w:rsidRDefault="00F62477" w:rsidP="00DC5262">
      <w:pPr>
        <w:pStyle w:val="Heading1"/>
        <w:numPr>
          <w:ilvl w:val="0"/>
          <w:numId w:val="9"/>
        </w:numPr>
        <w:rPr>
          <w:snapToGrid w:val="0"/>
        </w:rPr>
      </w:pPr>
      <w:bookmarkStart w:id="5" w:name="_Toc401220725"/>
      <w:r w:rsidRPr="009D6A2A">
        <w:rPr>
          <w:snapToGrid w:val="0"/>
        </w:rPr>
        <w:t>INTRODUCTION</w:t>
      </w:r>
      <w:bookmarkEnd w:id="5"/>
      <w:r w:rsidRPr="009D6A2A">
        <w:rPr>
          <w:snapToGrid w:val="0"/>
        </w:rPr>
        <w:t xml:space="preserve"> </w:t>
      </w:r>
      <w:bookmarkEnd w:id="4"/>
    </w:p>
    <w:p w:rsidR="009F56D9" w:rsidRDefault="009F56D9" w:rsidP="009F56D9">
      <w:pPr>
        <w:pStyle w:val="Textstyle"/>
        <w:rPr>
          <w:lang w:bidi="en-US"/>
        </w:rPr>
      </w:pPr>
      <w:bookmarkStart w:id="6" w:name="_Toc177529825"/>
      <w:r>
        <w:rPr>
          <w:lang w:bidi="en-US"/>
        </w:rPr>
        <w:tab/>
        <w:t>The Ohio Commission is charged with assuring that Ohioans have access to ade</w:t>
      </w:r>
      <w:r w:rsidR="001C3A3E">
        <w:rPr>
          <w:lang w:bidi="en-US"/>
        </w:rPr>
        <w:softHyphen/>
      </w:r>
      <w:r>
        <w:rPr>
          <w:lang w:bidi="en-US"/>
        </w:rPr>
        <w:t xml:space="preserve">quate, safe, and reliable public utility services at a fair price.  </w:t>
      </w:r>
      <w:r>
        <w:rPr>
          <w:bCs/>
          <w:kern w:val="32"/>
          <w:lang w:eastAsia="x-none"/>
        </w:rPr>
        <w:t xml:space="preserve">Ohio is a retail choice state for electric generation service.  </w:t>
      </w:r>
      <w:r w:rsidRPr="00D87778">
        <w:t xml:space="preserve">As a </w:t>
      </w:r>
      <w:r>
        <w:t>state that facilitates</w:t>
      </w:r>
      <w:r w:rsidRPr="00D87778">
        <w:t xml:space="preserve"> competitive electricity markets, </w:t>
      </w:r>
      <w:r w:rsidRPr="00D87778">
        <w:lastRenderedPageBreak/>
        <w:t xml:space="preserve">we are </w:t>
      </w:r>
      <w:r>
        <w:t>able to provide a valuable and unique perspective to the Commission.</w:t>
      </w:r>
    </w:p>
    <w:p w:rsidR="009F56D9" w:rsidRDefault="009F56D9" w:rsidP="009F56D9">
      <w:pPr>
        <w:pStyle w:val="Textstyle"/>
        <w:rPr>
          <w:lang w:bidi="en-US"/>
        </w:rPr>
      </w:pPr>
      <w:r>
        <w:rPr>
          <w:lang w:bidi="en-US"/>
        </w:rPr>
        <w:tab/>
        <w:t>The</w:t>
      </w:r>
      <w:r w:rsidRPr="00D87778">
        <w:rPr>
          <w:lang w:bidi="en-US"/>
        </w:rPr>
        <w:t xml:space="preserve"> decisions </w:t>
      </w:r>
      <w:r>
        <w:rPr>
          <w:lang w:bidi="en-US"/>
        </w:rPr>
        <w:t xml:space="preserve">PJM </w:t>
      </w:r>
      <w:r w:rsidRPr="00D87778">
        <w:rPr>
          <w:lang w:bidi="en-US"/>
        </w:rPr>
        <w:t xml:space="preserve">makes as the manager of transmission across our state, as well </w:t>
      </w:r>
      <w:r>
        <w:rPr>
          <w:lang w:bidi="en-US"/>
        </w:rPr>
        <w:t xml:space="preserve">as </w:t>
      </w:r>
      <w:r w:rsidRPr="00D87778">
        <w:rPr>
          <w:lang w:bidi="en-US"/>
        </w:rPr>
        <w:t xml:space="preserve">its operation of energy and capacity markets, directly </w:t>
      </w:r>
      <w:r>
        <w:rPr>
          <w:lang w:bidi="en-US"/>
        </w:rPr>
        <w:t>a</w:t>
      </w:r>
      <w:r w:rsidRPr="00D87778">
        <w:rPr>
          <w:lang w:bidi="en-US"/>
        </w:rPr>
        <w:t xml:space="preserve">ffect reliability of our electric system and the costs necessary </w:t>
      </w:r>
      <w:r>
        <w:rPr>
          <w:lang w:bidi="en-US"/>
        </w:rPr>
        <w:t xml:space="preserve">to </w:t>
      </w:r>
      <w:r w:rsidRPr="00D87778">
        <w:rPr>
          <w:lang w:bidi="en-US"/>
        </w:rPr>
        <w:t>maintain an optimum level of reliability.</w:t>
      </w:r>
      <w:r>
        <w:rPr>
          <w:lang w:bidi="en-US"/>
        </w:rPr>
        <w:t xml:space="preserve">  Ohio is an energy-intensive state whose demand accounts for </w:t>
      </w:r>
      <w:r>
        <w:rPr>
          <w:bCs/>
          <w:kern w:val="32"/>
          <w:lang w:eastAsia="x-none"/>
        </w:rPr>
        <w:t>approximately 21 percent of PJM’s load.</w:t>
      </w:r>
      <w:r>
        <w:rPr>
          <w:rStyle w:val="FootnoteReference"/>
          <w:bCs/>
          <w:kern w:val="32"/>
          <w:lang w:eastAsia="x-none"/>
        </w:rPr>
        <w:footnoteReference w:id="1"/>
      </w:r>
      <w:r>
        <w:rPr>
          <w:bCs/>
          <w:kern w:val="32"/>
          <w:lang w:eastAsia="x-none"/>
        </w:rPr>
        <w:t xml:space="preserve">  Consequently, the Ohio Commission is well positioned to evaluate the impact of PJM’s filing.   </w:t>
      </w:r>
    </w:p>
    <w:p w:rsidR="00F62477" w:rsidRDefault="009F56D9" w:rsidP="00205025">
      <w:pPr>
        <w:pStyle w:val="Heading1"/>
      </w:pPr>
      <w:bookmarkStart w:id="7" w:name="_Toc401220726"/>
      <w:bookmarkEnd w:id="6"/>
      <w:r>
        <w:t>BACKGROUND</w:t>
      </w:r>
      <w:bookmarkEnd w:id="7"/>
    </w:p>
    <w:p w:rsidR="009F56D9" w:rsidRDefault="009F56D9" w:rsidP="009F56D9">
      <w:pPr>
        <w:pStyle w:val="Textstyle"/>
      </w:pPr>
      <w:bookmarkStart w:id="8" w:name="_Toc177529826"/>
      <w:r w:rsidRPr="008D6961">
        <w:tab/>
      </w:r>
      <w:r>
        <w:t>In accordance with its tariff obligations, PJM undertook the third and final Tri</w:t>
      </w:r>
      <w:r w:rsidR="006F3E21">
        <w:softHyphen/>
      </w:r>
      <w:r>
        <w:t xml:space="preserve">ennial Review of its </w:t>
      </w:r>
      <w:proofErr w:type="spellStart"/>
      <w:r>
        <w:t>VRR</w:t>
      </w:r>
      <w:proofErr w:type="spellEnd"/>
      <w:r>
        <w:t xml:space="preserve"> curve shape, CONE determination, and </w:t>
      </w:r>
      <w:proofErr w:type="spellStart"/>
      <w:r>
        <w:t>E&amp;AS</w:t>
      </w:r>
      <w:proofErr w:type="spellEnd"/>
      <w:r>
        <w:t xml:space="preserve"> revenue offset methodology.</w:t>
      </w:r>
      <w:r>
        <w:rPr>
          <w:rStyle w:val="FootnoteReference"/>
          <w:bCs/>
          <w:kern w:val="32"/>
          <w:sz w:val="28"/>
          <w:szCs w:val="28"/>
          <w:lang w:eastAsia="x-none"/>
        </w:rPr>
        <w:footnoteReference w:id="2"/>
      </w:r>
      <w:r>
        <w:t xml:space="preserve"> PJM hired an independent consultant, The Brattle Group (Brattle) to eval</w:t>
      </w:r>
      <w:r w:rsidR="001C3A3E">
        <w:softHyphen/>
      </w:r>
      <w:r>
        <w:t xml:space="preserve">uate the current construct and recommend changes for the 2018/2019 Delivery Year and thereafter. PJM utilized both the Brattle study and its own analysis to propose changes to RPM. </w:t>
      </w:r>
    </w:p>
    <w:p w:rsidR="009F56D9" w:rsidRDefault="009F56D9" w:rsidP="009F56D9">
      <w:pPr>
        <w:pStyle w:val="Textstyle"/>
      </w:pPr>
      <w:r>
        <w:rPr>
          <w:sz w:val="28"/>
          <w:szCs w:val="28"/>
        </w:rPr>
        <w:tab/>
      </w:r>
      <w:r w:rsidRPr="00921765">
        <w:t xml:space="preserve">PJM </w:t>
      </w:r>
      <w:r>
        <w:t>introduces</w:t>
      </w:r>
      <w:r w:rsidRPr="00921765">
        <w:t xml:space="preserve"> </w:t>
      </w:r>
      <w:r>
        <w:t>several changes in order to meet its reliability objectives at a rea</w:t>
      </w:r>
      <w:r w:rsidR="001C3A3E">
        <w:softHyphen/>
      </w:r>
      <w:r>
        <w:t>sonable cost. The recommended changes include:</w:t>
      </w:r>
    </w:p>
    <w:p w:rsidR="009F56D9" w:rsidRPr="00304A19" w:rsidRDefault="009F56D9" w:rsidP="009F56D9">
      <w:pPr>
        <w:pStyle w:val="ListParagraph"/>
        <w:widowControl/>
        <w:numPr>
          <w:ilvl w:val="0"/>
          <w:numId w:val="11"/>
        </w:numPr>
        <w:spacing w:after="0" w:line="480" w:lineRule="auto"/>
        <w:ind w:left="1440" w:hanging="720"/>
        <w:contextualSpacing w:val="0"/>
        <w:rPr>
          <w:rFonts w:ascii="Times New Roman" w:eastAsia="Times New Roman" w:hAnsi="Times New Roman"/>
          <w:bCs/>
          <w:kern w:val="32"/>
          <w:sz w:val="26"/>
          <w:szCs w:val="26"/>
          <w:lang w:eastAsia="x-none"/>
        </w:rPr>
      </w:pPr>
      <w:r w:rsidRPr="001D0FFC">
        <w:rPr>
          <w:rFonts w:ascii="Times New Roman" w:eastAsia="Times New Roman" w:hAnsi="Times New Roman"/>
          <w:bCs/>
          <w:kern w:val="32"/>
          <w:sz w:val="26"/>
          <w:szCs w:val="26"/>
          <w:lang w:eastAsia="x-none"/>
        </w:rPr>
        <w:lastRenderedPageBreak/>
        <w:t>Revise the shape of the</w:t>
      </w:r>
      <w:r w:rsidRPr="00EB0F65">
        <w:rPr>
          <w:rFonts w:ascii="Times New Roman" w:eastAsia="Times New Roman" w:hAnsi="Times New Roman"/>
          <w:bCs/>
          <w:kern w:val="32"/>
          <w:sz w:val="26"/>
          <w:szCs w:val="26"/>
          <w:lang w:eastAsia="x-none"/>
        </w:rPr>
        <w:t xml:space="preserve"> </w:t>
      </w:r>
      <w:proofErr w:type="spellStart"/>
      <w:r w:rsidRPr="00EB0F65">
        <w:rPr>
          <w:rFonts w:ascii="Times New Roman" w:eastAsia="Times New Roman" w:hAnsi="Times New Roman"/>
          <w:bCs/>
          <w:kern w:val="32"/>
          <w:sz w:val="26"/>
          <w:szCs w:val="26"/>
          <w:lang w:eastAsia="x-none"/>
        </w:rPr>
        <w:t>VRR</w:t>
      </w:r>
      <w:proofErr w:type="spellEnd"/>
      <w:r w:rsidRPr="00EB0F65">
        <w:rPr>
          <w:rFonts w:ascii="Times New Roman" w:eastAsia="Times New Roman" w:hAnsi="Times New Roman"/>
          <w:bCs/>
          <w:kern w:val="32"/>
          <w:sz w:val="26"/>
          <w:szCs w:val="26"/>
          <w:lang w:eastAsia="x-none"/>
        </w:rPr>
        <w:t xml:space="preserve"> curve to enhance reliability i</w:t>
      </w:r>
      <w:r>
        <w:rPr>
          <w:rFonts w:ascii="Times New Roman" w:eastAsia="Times New Roman" w:hAnsi="Times New Roman"/>
          <w:bCs/>
          <w:kern w:val="32"/>
          <w:sz w:val="26"/>
          <w:szCs w:val="26"/>
          <w:lang w:eastAsia="x-none"/>
        </w:rPr>
        <w:t>n procurement of capacity in</w:t>
      </w:r>
      <w:r w:rsidRPr="00EB0F65">
        <w:rPr>
          <w:rFonts w:ascii="Times New Roman" w:eastAsia="Times New Roman" w:hAnsi="Times New Roman"/>
          <w:bCs/>
          <w:kern w:val="32"/>
          <w:sz w:val="26"/>
          <w:szCs w:val="26"/>
          <w:lang w:eastAsia="x-none"/>
        </w:rPr>
        <w:t xml:space="preserve"> R</w:t>
      </w:r>
      <w:r>
        <w:rPr>
          <w:rFonts w:ascii="Times New Roman" w:eastAsia="Times New Roman" w:hAnsi="Times New Roman"/>
          <w:bCs/>
          <w:kern w:val="32"/>
          <w:sz w:val="26"/>
          <w:szCs w:val="26"/>
          <w:lang w:eastAsia="x-none"/>
        </w:rPr>
        <w:t>P</w:t>
      </w:r>
      <w:r w:rsidRPr="00EB0F65">
        <w:rPr>
          <w:rFonts w:ascii="Times New Roman" w:eastAsia="Times New Roman" w:hAnsi="Times New Roman"/>
          <w:bCs/>
          <w:kern w:val="32"/>
          <w:sz w:val="26"/>
          <w:szCs w:val="26"/>
          <w:lang w:eastAsia="x-none"/>
        </w:rPr>
        <w:t>M markets.</w:t>
      </w:r>
      <w:r w:rsidRPr="001D0FFC">
        <w:rPr>
          <w:rFonts w:ascii="Times New Roman" w:eastAsia="Times New Roman" w:hAnsi="Times New Roman"/>
          <w:bCs/>
          <w:kern w:val="32"/>
          <w:sz w:val="26"/>
          <w:szCs w:val="26"/>
          <w:lang w:eastAsia="x-none"/>
        </w:rPr>
        <w:t xml:space="preserve"> </w:t>
      </w:r>
      <w:r>
        <w:rPr>
          <w:rFonts w:ascii="Times New Roman" w:eastAsia="Times New Roman" w:hAnsi="Times New Roman"/>
          <w:bCs/>
          <w:kern w:val="32"/>
          <w:sz w:val="26"/>
          <w:szCs w:val="26"/>
          <w:lang w:eastAsia="x-none"/>
        </w:rPr>
        <w:t xml:space="preserve"> </w:t>
      </w:r>
      <w:r w:rsidRPr="001D0FFC">
        <w:rPr>
          <w:rFonts w:ascii="Times New Roman" w:eastAsia="Times New Roman" w:hAnsi="Times New Roman"/>
          <w:bCs/>
          <w:kern w:val="32"/>
          <w:sz w:val="26"/>
          <w:szCs w:val="26"/>
          <w:lang w:eastAsia="x-none"/>
        </w:rPr>
        <w:t>The change would be the first since the curve wa</w:t>
      </w:r>
      <w:r>
        <w:rPr>
          <w:rFonts w:ascii="Times New Roman" w:eastAsia="Times New Roman" w:hAnsi="Times New Roman"/>
          <w:bCs/>
          <w:kern w:val="32"/>
          <w:sz w:val="26"/>
          <w:szCs w:val="26"/>
          <w:lang w:eastAsia="x-none"/>
        </w:rPr>
        <w:t>s introduced in 2006</w:t>
      </w:r>
      <w:r w:rsidRPr="001D0FFC">
        <w:rPr>
          <w:rFonts w:ascii="Times New Roman" w:eastAsia="Times New Roman" w:hAnsi="Times New Roman"/>
          <w:bCs/>
          <w:kern w:val="32"/>
          <w:sz w:val="26"/>
          <w:szCs w:val="26"/>
          <w:lang w:eastAsia="x-none"/>
        </w:rPr>
        <w:t xml:space="preserve"> as a </w:t>
      </w:r>
      <w:r>
        <w:rPr>
          <w:rFonts w:ascii="Times New Roman" w:eastAsia="Times New Roman" w:hAnsi="Times New Roman"/>
          <w:bCs/>
          <w:kern w:val="32"/>
          <w:sz w:val="26"/>
          <w:szCs w:val="26"/>
          <w:lang w:eastAsia="x-none"/>
        </w:rPr>
        <w:t>negatively sloped</w:t>
      </w:r>
      <w:r w:rsidRPr="001D0FFC">
        <w:rPr>
          <w:rFonts w:ascii="Times New Roman" w:eastAsia="Times New Roman" w:hAnsi="Times New Roman"/>
          <w:bCs/>
          <w:kern w:val="32"/>
          <w:sz w:val="26"/>
          <w:szCs w:val="26"/>
          <w:lang w:eastAsia="x-none"/>
        </w:rPr>
        <w:t xml:space="preserve"> shape</w:t>
      </w:r>
      <w:r>
        <w:rPr>
          <w:rFonts w:ascii="Times New Roman" w:eastAsia="Times New Roman" w:hAnsi="Times New Roman"/>
          <w:bCs/>
          <w:kern w:val="32"/>
          <w:sz w:val="26"/>
          <w:szCs w:val="26"/>
          <w:lang w:eastAsia="x-none"/>
        </w:rPr>
        <w:t>.</w:t>
      </w:r>
      <w:r w:rsidRPr="001D0FFC">
        <w:rPr>
          <w:rFonts w:ascii="Times New Roman" w:eastAsia="Times New Roman" w:hAnsi="Times New Roman"/>
          <w:bCs/>
          <w:kern w:val="32"/>
          <w:sz w:val="26"/>
          <w:szCs w:val="26"/>
          <w:lang w:eastAsia="x-none"/>
        </w:rPr>
        <w:t xml:space="preserve"> PJM and Brattle agree </w:t>
      </w:r>
      <w:r>
        <w:rPr>
          <w:rFonts w:ascii="Times New Roman" w:eastAsia="Times New Roman" w:hAnsi="Times New Roman"/>
          <w:bCs/>
          <w:kern w:val="32"/>
          <w:sz w:val="26"/>
          <w:szCs w:val="26"/>
          <w:lang w:eastAsia="x-none"/>
        </w:rPr>
        <w:t xml:space="preserve">that the current </w:t>
      </w:r>
      <w:proofErr w:type="spellStart"/>
      <w:r>
        <w:rPr>
          <w:rFonts w:ascii="Times New Roman" w:eastAsia="Times New Roman" w:hAnsi="Times New Roman"/>
          <w:bCs/>
          <w:kern w:val="32"/>
          <w:sz w:val="26"/>
          <w:szCs w:val="26"/>
          <w:lang w:eastAsia="x-none"/>
        </w:rPr>
        <w:t>VRR</w:t>
      </w:r>
      <w:proofErr w:type="spellEnd"/>
      <w:r>
        <w:rPr>
          <w:rFonts w:ascii="Times New Roman" w:eastAsia="Times New Roman" w:hAnsi="Times New Roman"/>
          <w:bCs/>
          <w:kern w:val="32"/>
          <w:sz w:val="26"/>
          <w:szCs w:val="26"/>
          <w:lang w:eastAsia="x-none"/>
        </w:rPr>
        <w:t xml:space="preserve"> curve is</w:t>
      </w:r>
      <w:r w:rsidRPr="001D0FFC">
        <w:rPr>
          <w:rFonts w:ascii="Times New Roman" w:eastAsia="Times New Roman" w:hAnsi="Times New Roman"/>
          <w:bCs/>
          <w:kern w:val="32"/>
          <w:sz w:val="26"/>
          <w:szCs w:val="26"/>
          <w:lang w:eastAsia="x-none"/>
        </w:rPr>
        <w:t xml:space="preserve"> no longer meeting reliability targets.</w:t>
      </w:r>
      <w:r>
        <w:rPr>
          <w:rFonts w:ascii="Times New Roman" w:eastAsia="Times New Roman" w:hAnsi="Times New Roman"/>
          <w:bCs/>
          <w:kern w:val="32"/>
          <w:sz w:val="26"/>
          <w:szCs w:val="26"/>
          <w:lang w:eastAsia="x-none"/>
        </w:rPr>
        <w:t xml:space="preserve"> </w:t>
      </w:r>
      <w:r w:rsidRPr="001D0FFC">
        <w:rPr>
          <w:rFonts w:ascii="Times New Roman" w:eastAsia="Times New Roman" w:hAnsi="Times New Roman"/>
          <w:bCs/>
          <w:kern w:val="32"/>
          <w:sz w:val="26"/>
          <w:szCs w:val="26"/>
          <w:lang w:eastAsia="x-none"/>
        </w:rPr>
        <w:t xml:space="preserve"> In its place, PJM </w:t>
      </w:r>
      <w:r>
        <w:rPr>
          <w:rFonts w:ascii="Times New Roman" w:eastAsia="Times New Roman" w:hAnsi="Times New Roman"/>
          <w:bCs/>
          <w:kern w:val="32"/>
          <w:sz w:val="26"/>
          <w:szCs w:val="26"/>
          <w:lang w:eastAsia="x-none"/>
        </w:rPr>
        <w:t>proposes</w:t>
      </w:r>
      <w:r w:rsidRPr="001D0FFC">
        <w:rPr>
          <w:rFonts w:ascii="Times New Roman" w:eastAsia="Times New Roman" w:hAnsi="Times New Roman"/>
          <w:bCs/>
          <w:kern w:val="32"/>
          <w:sz w:val="26"/>
          <w:szCs w:val="26"/>
          <w:lang w:eastAsia="x-none"/>
        </w:rPr>
        <w:t xml:space="preserve"> a convex curve to satisfy the reliability objective of a loss of load expectation (</w:t>
      </w:r>
      <w:proofErr w:type="spellStart"/>
      <w:r w:rsidRPr="001D0FFC">
        <w:rPr>
          <w:rFonts w:ascii="Times New Roman" w:eastAsia="Times New Roman" w:hAnsi="Times New Roman"/>
          <w:bCs/>
          <w:kern w:val="32"/>
          <w:sz w:val="26"/>
          <w:szCs w:val="26"/>
          <w:lang w:eastAsia="x-none"/>
        </w:rPr>
        <w:t>LOLE</w:t>
      </w:r>
      <w:proofErr w:type="spellEnd"/>
      <w:r w:rsidRPr="001D0FFC">
        <w:rPr>
          <w:rFonts w:ascii="Times New Roman" w:eastAsia="Times New Roman" w:hAnsi="Times New Roman"/>
          <w:bCs/>
          <w:kern w:val="32"/>
          <w:sz w:val="26"/>
          <w:szCs w:val="26"/>
          <w:lang w:eastAsia="x-none"/>
        </w:rPr>
        <w:t xml:space="preserve">) of no more than one event in ten years. </w:t>
      </w:r>
      <w:r>
        <w:rPr>
          <w:rFonts w:ascii="Times New Roman" w:eastAsia="Times New Roman" w:hAnsi="Times New Roman"/>
          <w:bCs/>
          <w:kern w:val="32"/>
          <w:sz w:val="26"/>
          <w:szCs w:val="26"/>
          <w:lang w:eastAsia="x-none"/>
        </w:rPr>
        <w:t>PJM maintains that t</w:t>
      </w:r>
      <w:r w:rsidRPr="001D0FFC">
        <w:rPr>
          <w:rFonts w:ascii="Times New Roman" w:eastAsia="Times New Roman" w:hAnsi="Times New Roman"/>
          <w:bCs/>
          <w:kern w:val="32"/>
          <w:sz w:val="26"/>
          <w:szCs w:val="26"/>
          <w:lang w:eastAsia="x-none"/>
        </w:rPr>
        <w:t xml:space="preserve">he convex curve </w:t>
      </w:r>
      <w:r>
        <w:rPr>
          <w:rFonts w:ascii="Times New Roman" w:eastAsia="Times New Roman" w:hAnsi="Times New Roman"/>
          <w:bCs/>
          <w:kern w:val="32"/>
          <w:sz w:val="26"/>
          <w:szCs w:val="26"/>
          <w:lang w:eastAsia="x-none"/>
        </w:rPr>
        <w:t xml:space="preserve">limits the </w:t>
      </w:r>
      <w:r w:rsidRPr="001D0FFC">
        <w:rPr>
          <w:rFonts w:ascii="Times New Roman" w:eastAsia="Times New Roman" w:hAnsi="Times New Roman"/>
          <w:bCs/>
          <w:kern w:val="32"/>
          <w:sz w:val="26"/>
          <w:szCs w:val="26"/>
          <w:lang w:eastAsia="x-none"/>
        </w:rPr>
        <w:t xml:space="preserve">expected occurrence of a </w:t>
      </w:r>
      <w:proofErr w:type="spellStart"/>
      <w:r w:rsidRPr="001D0FFC">
        <w:rPr>
          <w:rFonts w:ascii="Times New Roman" w:eastAsia="Times New Roman" w:hAnsi="Times New Roman"/>
          <w:bCs/>
          <w:kern w:val="32"/>
          <w:sz w:val="26"/>
          <w:szCs w:val="26"/>
          <w:lang w:eastAsia="x-none"/>
        </w:rPr>
        <w:t>LOLE</w:t>
      </w:r>
      <w:proofErr w:type="spellEnd"/>
      <w:r w:rsidRPr="001D0FFC">
        <w:rPr>
          <w:rFonts w:ascii="Times New Roman" w:eastAsia="Times New Roman" w:hAnsi="Times New Roman"/>
          <w:bCs/>
          <w:kern w:val="32"/>
          <w:sz w:val="26"/>
          <w:szCs w:val="26"/>
          <w:lang w:eastAsia="x-none"/>
        </w:rPr>
        <w:t xml:space="preserve"> of one</w:t>
      </w:r>
      <w:r>
        <w:rPr>
          <w:rFonts w:ascii="Times New Roman" w:eastAsia="Times New Roman" w:hAnsi="Times New Roman"/>
          <w:bCs/>
          <w:kern w:val="32"/>
          <w:sz w:val="26"/>
          <w:szCs w:val="26"/>
          <w:lang w:eastAsia="x-none"/>
        </w:rPr>
        <w:t xml:space="preserve"> event in five years to about seven percent.  Over the long run, the proposed curve would result in </w:t>
      </w:r>
      <w:r w:rsidRPr="00205172">
        <w:rPr>
          <w:rFonts w:ascii="Times New Roman" w:eastAsia="Times New Roman" w:hAnsi="Times New Roman"/>
          <w:bCs/>
          <w:kern w:val="32"/>
          <w:sz w:val="26"/>
          <w:szCs w:val="26"/>
          <w:lang w:eastAsia="x-none"/>
        </w:rPr>
        <w:t>a</w:t>
      </w:r>
      <w:r>
        <w:rPr>
          <w:rFonts w:ascii="Times New Roman" w:eastAsia="Times New Roman" w:hAnsi="Times New Roman"/>
          <w:bCs/>
          <w:kern w:val="32"/>
          <w:sz w:val="26"/>
          <w:szCs w:val="26"/>
          <w:lang w:eastAsia="x-none"/>
        </w:rPr>
        <w:t>n</w:t>
      </w:r>
      <w:r w:rsidRPr="00205172">
        <w:rPr>
          <w:rFonts w:ascii="Times New Roman" w:eastAsia="Times New Roman" w:hAnsi="Times New Roman"/>
          <w:bCs/>
          <w:kern w:val="32"/>
          <w:sz w:val="26"/>
          <w:szCs w:val="26"/>
          <w:lang w:eastAsia="x-none"/>
        </w:rPr>
        <w:t xml:space="preserve"> average procurement cost increase of only about one percent compared to the current </w:t>
      </w:r>
      <w:proofErr w:type="spellStart"/>
      <w:r w:rsidRPr="00205172">
        <w:rPr>
          <w:rFonts w:ascii="Times New Roman" w:eastAsia="Times New Roman" w:hAnsi="Times New Roman"/>
          <w:bCs/>
          <w:kern w:val="32"/>
          <w:sz w:val="26"/>
          <w:szCs w:val="26"/>
          <w:lang w:eastAsia="x-none"/>
        </w:rPr>
        <w:t>VRR</w:t>
      </w:r>
      <w:proofErr w:type="spellEnd"/>
      <w:r w:rsidRPr="00205172">
        <w:rPr>
          <w:rFonts w:ascii="Times New Roman" w:eastAsia="Times New Roman" w:hAnsi="Times New Roman"/>
          <w:bCs/>
          <w:kern w:val="32"/>
          <w:sz w:val="26"/>
          <w:szCs w:val="26"/>
          <w:lang w:eastAsia="x-none"/>
        </w:rPr>
        <w:t xml:space="preserve"> curve.</w:t>
      </w:r>
      <w:r>
        <w:rPr>
          <w:rStyle w:val="FootnoteReference"/>
          <w:rFonts w:ascii="Times New Roman" w:eastAsia="Times New Roman" w:hAnsi="Times New Roman"/>
          <w:bCs/>
          <w:kern w:val="32"/>
          <w:sz w:val="26"/>
          <w:szCs w:val="26"/>
          <w:lang w:eastAsia="x-none"/>
        </w:rPr>
        <w:footnoteReference w:id="3"/>
      </w:r>
    </w:p>
    <w:p w:rsidR="009F56D9" w:rsidRPr="008E1CAF" w:rsidRDefault="009F56D9" w:rsidP="009F56D9">
      <w:pPr>
        <w:pStyle w:val="ListParagraph"/>
        <w:widowControl/>
        <w:numPr>
          <w:ilvl w:val="0"/>
          <w:numId w:val="11"/>
        </w:numPr>
        <w:spacing w:after="0" w:line="480" w:lineRule="auto"/>
        <w:ind w:left="1440" w:hanging="720"/>
        <w:contextualSpacing w:val="0"/>
        <w:rPr>
          <w:rFonts w:ascii="Times New Roman" w:hAnsi="Times New Roman"/>
          <w:sz w:val="26"/>
          <w:szCs w:val="26"/>
        </w:rPr>
      </w:pPr>
      <w:r w:rsidRPr="007C3F42">
        <w:rPr>
          <w:rFonts w:ascii="Times New Roman" w:eastAsia="Times New Roman" w:hAnsi="Times New Roman"/>
          <w:bCs/>
          <w:kern w:val="32"/>
          <w:sz w:val="26"/>
          <w:szCs w:val="26"/>
          <w:lang w:eastAsia="x-none"/>
        </w:rPr>
        <w:t xml:space="preserve">Update the CONE values largely per the estimates provided by Brattle and consultant Sargent &amp; Lundy, </w:t>
      </w:r>
      <w:r>
        <w:rPr>
          <w:rFonts w:ascii="Times New Roman" w:eastAsia="Times New Roman" w:hAnsi="Times New Roman"/>
          <w:bCs/>
          <w:kern w:val="32"/>
          <w:sz w:val="26"/>
          <w:szCs w:val="26"/>
          <w:lang w:eastAsia="x-none"/>
        </w:rPr>
        <w:t>including</w:t>
      </w:r>
      <w:r>
        <w:rPr>
          <w:rFonts w:ascii="Times New Roman" w:hAnsi="Times New Roman"/>
          <w:sz w:val="26"/>
          <w:szCs w:val="26"/>
        </w:rPr>
        <w:t xml:space="preserve"> the previously accepted “bottoms-up” analysis approved by the Commission</w:t>
      </w:r>
      <w:r w:rsidRPr="008E1CAF">
        <w:rPr>
          <w:rFonts w:ascii="Times New Roman" w:hAnsi="Times New Roman"/>
          <w:sz w:val="26"/>
          <w:szCs w:val="26"/>
        </w:rPr>
        <w:t>.</w:t>
      </w:r>
      <w:r>
        <w:rPr>
          <w:rFonts w:ascii="Times New Roman" w:hAnsi="Times New Roman"/>
          <w:sz w:val="26"/>
          <w:szCs w:val="26"/>
        </w:rPr>
        <w:t xml:space="preserve">  In each of the four proposed CONE areas, cost estimates are lower than current tariff.</w:t>
      </w:r>
      <w:r w:rsidRPr="008E1CAF">
        <w:rPr>
          <w:rFonts w:ascii="Times New Roman" w:hAnsi="Times New Roman"/>
          <w:sz w:val="26"/>
          <w:szCs w:val="26"/>
        </w:rPr>
        <w:t xml:space="preserve"> </w:t>
      </w:r>
      <w:r>
        <w:rPr>
          <w:rFonts w:ascii="Times New Roman" w:hAnsi="Times New Roman"/>
          <w:sz w:val="26"/>
          <w:szCs w:val="26"/>
        </w:rPr>
        <w:t xml:space="preserve"> In one notable exception to the current approach, </w:t>
      </w:r>
      <w:r w:rsidRPr="008E1CAF">
        <w:rPr>
          <w:rFonts w:ascii="Times New Roman" w:hAnsi="Times New Roman"/>
          <w:sz w:val="26"/>
          <w:szCs w:val="26"/>
        </w:rPr>
        <w:t>PJM adopts the recommendation of the Independent Marker Monitor (</w:t>
      </w:r>
      <w:proofErr w:type="spellStart"/>
      <w:r w:rsidRPr="008E1CAF">
        <w:rPr>
          <w:rFonts w:ascii="Times New Roman" w:hAnsi="Times New Roman"/>
          <w:sz w:val="26"/>
          <w:szCs w:val="26"/>
        </w:rPr>
        <w:t>IMM</w:t>
      </w:r>
      <w:proofErr w:type="spellEnd"/>
      <w:r w:rsidRPr="008E1CAF">
        <w:rPr>
          <w:rFonts w:ascii="Times New Roman" w:hAnsi="Times New Roman"/>
          <w:sz w:val="26"/>
          <w:szCs w:val="26"/>
        </w:rPr>
        <w:t>) to use a lower estimate of construction labor costs than Brattle recommended.</w:t>
      </w:r>
      <w:r>
        <w:rPr>
          <w:rFonts w:ascii="Times New Roman" w:hAnsi="Times New Roman"/>
          <w:sz w:val="26"/>
          <w:szCs w:val="26"/>
        </w:rPr>
        <w:t xml:space="preserve"> </w:t>
      </w:r>
    </w:p>
    <w:p w:rsidR="009F56D9" w:rsidRPr="00EB0F65" w:rsidRDefault="009F56D9" w:rsidP="009F56D9">
      <w:pPr>
        <w:pStyle w:val="ListParagraph"/>
        <w:widowControl/>
        <w:numPr>
          <w:ilvl w:val="0"/>
          <w:numId w:val="11"/>
        </w:numPr>
        <w:spacing w:after="0" w:line="480" w:lineRule="auto"/>
        <w:ind w:left="1440" w:hanging="720"/>
        <w:contextualSpacing w:val="0"/>
        <w:rPr>
          <w:rFonts w:ascii="Times New Roman" w:eastAsia="Times New Roman" w:hAnsi="Times New Roman"/>
          <w:b/>
          <w:bCs/>
          <w:kern w:val="32"/>
          <w:sz w:val="26"/>
          <w:szCs w:val="26"/>
          <w:lang w:eastAsia="x-none"/>
        </w:rPr>
      </w:pPr>
      <w:r w:rsidRPr="008560E8">
        <w:rPr>
          <w:rFonts w:ascii="Times New Roman" w:eastAsia="Times New Roman" w:hAnsi="Times New Roman"/>
          <w:bCs/>
          <w:kern w:val="32"/>
          <w:sz w:val="26"/>
          <w:szCs w:val="26"/>
          <w:lang w:eastAsia="x-none"/>
        </w:rPr>
        <w:lastRenderedPageBreak/>
        <w:t>Use the composite index of the Bureau of Labor Statistics to adjust CONE values automatically for years between</w:t>
      </w:r>
      <w:r>
        <w:rPr>
          <w:rFonts w:ascii="Times New Roman" w:eastAsia="Times New Roman" w:hAnsi="Times New Roman"/>
          <w:bCs/>
          <w:kern w:val="32"/>
          <w:sz w:val="26"/>
          <w:szCs w:val="26"/>
          <w:lang w:eastAsia="x-none"/>
        </w:rPr>
        <w:t xml:space="preserve"> </w:t>
      </w:r>
      <w:r w:rsidRPr="008560E8">
        <w:rPr>
          <w:rFonts w:ascii="Times New Roman" w:eastAsia="Times New Roman" w:hAnsi="Times New Roman"/>
          <w:bCs/>
          <w:kern w:val="32"/>
          <w:sz w:val="26"/>
          <w:szCs w:val="26"/>
          <w:lang w:eastAsia="x-none"/>
        </w:rPr>
        <w:t xml:space="preserve">comprehensive reviews instead of the Handy-Whitman </w:t>
      </w:r>
      <w:r w:rsidRPr="00EB0F65">
        <w:rPr>
          <w:rFonts w:ascii="Times New Roman" w:eastAsia="Times New Roman" w:hAnsi="Times New Roman"/>
          <w:bCs/>
          <w:kern w:val="32"/>
          <w:sz w:val="26"/>
          <w:szCs w:val="26"/>
          <w:lang w:eastAsia="x-none"/>
        </w:rPr>
        <w:t>Index</w:t>
      </w:r>
      <w:r>
        <w:rPr>
          <w:rFonts w:ascii="Times New Roman" w:eastAsia="Times New Roman" w:hAnsi="Times New Roman"/>
          <w:bCs/>
          <w:kern w:val="32"/>
          <w:sz w:val="26"/>
          <w:szCs w:val="26"/>
          <w:lang w:eastAsia="x-none"/>
        </w:rPr>
        <w:t>,</w:t>
      </w:r>
      <w:r w:rsidRPr="00EB0F65">
        <w:rPr>
          <w:rFonts w:ascii="Times New Roman" w:eastAsia="Times New Roman" w:hAnsi="Times New Roman"/>
          <w:bCs/>
          <w:kern w:val="32"/>
          <w:sz w:val="26"/>
          <w:szCs w:val="26"/>
          <w:lang w:eastAsia="x-none"/>
        </w:rPr>
        <w:t xml:space="preserve"> </w:t>
      </w:r>
      <w:r w:rsidRPr="008560E8">
        <w:rPr>
          <w:rFonts w:ascii="Times New Roman" w:eastAsia="Times New Roman" w:hAnsi="Times New Roman"/>
          <w:bCs/>
          <w:kern w:val="32"/>
          <w:sz w:val="26"/>
          <w:szCs w:val="26"/>
          <w:lang w:eastAsia="x-none"/>
        </w:rPr>
        <w:t xml:space="preserve">which has overstated cost increases in the past. </w:t>
      </w:r>
    </w:p>
    <w:p w:rsidR="00AA7769" w:rsidRPr="00441A74" w:rsidRDefault="009F56D9" w:rsidP="00205025">
      <w:pPr>
        <w:pStyle w:val="Heading1"/>
      </w:pPr>
      <w:bookmarkStart w:id="9" w:name="_Toc401220727"/>
      <w:bookmarkEnd w:id="8"/>
      <w:r>
        <w:t>COMMENTS</w:t>
      </w:r>
      <w:bookmarkEnd w:id="9"/>
    </w:p>
    <w:p w:rsidR="009F56D9" w:rsidRPr="00072355" w:rsidRDefault="009F56D9" w:rsidP="009F56D9">
      <w:pPr>
        <w:pStyle w:val="Textstyle"/>
      </w:pPr>
      <w:bookmarkStart w:id="10" w:name="_Toc177529835"/>
      <w:r>
        <w:tab/>
      </w:r>
      <w:r w:rsidRPr="00072355">
        <w:t>A</w:t>
      </w:r>
      <w:r>
        <w:t>s</w:t>
      </w:r>
      <w:r w:rsidRPr="00072355">
        <w:t xml:space="preserve"> discussed below, PJM’s proposal strikes an appropriate balance between relia</w:t>
      </w:r>
      <w:r w:rsidR="001C3A3E">
        <w:softHyphen/>
      </w:r>
      <w:r w:rsidRPr="00072355">
        <w:t>bility and price and should be adopted by the Commission</w:t>
      </w:r>
      <w:r>
        <w:t>,</w:t>
      </w:r>
      <w:r w:rsidRPr="00072355">
        <w:t xml:space="preserve"> with </w:t>
      </w:r>
      <w:r>
        <w:t>a minor revision to the</w:t>
      </w:r>
      <w:r w:rsidRPr="00072355">
        <w:t xml:space="preserve"> </w:t>
      </w:r>
      <w:r>
        <w:t>Energy and Ancillary Services (E &amp; AS)</w:t>
      </w:r>
      <w:r w:rsidRPr="00072355">
        <w:t xml:space="preserve"> forecasting methodology.</w:t>
      </w:r>
      <w:r>
        <w:t xml:space="preserve">  The Ohio Commis</w:t>
      </w:r>
      <w:r w:rsidR="001C3A3E">
        <w:softHyphen/>
      </w:r>
      <w:r>
        <w:t>sion notes that the Triennial Review does not consider any of the proposed changes to PJM’s capacity market, and, accordingly, the Commission should also consider this filing in light of other possible capacity market changes.</w:t>
      </w:r>
      <w:r w:rsidRPr="00072355">
        <w:t xml:space="preserve">  </w:t>
      </w:r>
    </w:p>
    <w:p w:rsidR="009F56D9" w:rsidRPr="00423448" w:rsidRDefault="009F56D9" w:rsidP="009F56D9">
      <w:pPr>
        <w:pStyle w:val="Heading2"/>
      </w:pPr>
      <w:bookmarkStart w:id="11" w:name="_Toc401220728"/>
      <w:r>
        <w:t>A.</w:t>
      </w:r>
      <w:r>
        <w:tab/>
      </w:r>
      <w:r w:rsidRPr="00423448">
        <w:t xml:space="preserve">Shape of the </w:t>
      </w:r>
      <w:proofErr w:type="spellStart"/>
      <w:r w:rsidRPr="00423448">
        <w:t>VRR</w:t>
      </w:r>
      <w:proofErr w:type="spellEnd"/>
      <w:r w:rsidRPr="00423448">
        <w:t xml:space="preserve"> Curve</w:t>
      </w:r>
      <w:bookmarkEnd w:id="11"/>
      <w:r w:rsidRPr="00423448">
        <w:t xml:space="preserve"> </w:t>
      </w:r>
    </w:p>
    <w:p w:rsidR="009F56D9" w:rsidRPr="00072355" w:rsidRDefault="009F56D9" w:rsidP="009F56D9">
      <w:pPr>
        <w:pStyle w:val="Textstyle"/>
      </w:pPr>
      <w:r>
        <w:tab/>
      </w:r>
      <w:r w:rsidRPr="00072355">
        <w:t xml:space="preserve">The Ohio Commission is concerned that PJM’s current </w:t>
      </w:r>
      <w:proofErr w:type="spellStart"/>
      <w:r w:rsidRPr="00072355">
        <w:t>VRR</w:t>
      </w:r>
      <w:proofErr w:type="spellEnd"/>
      <w:r w:rsidRPr="00072355">
        <w:t xml:space="preserve"> curve does not meet its resource adequacy objective. </w:t>
      </w:r>
      <w:r>
        <w:t>I</w:t>
      </w:r>
      <w:r w:rsidRPr="00072355">
        <w:t xml:space="preserve">n order to meet its resource adequacy objective, the </w:t>
      </w:r>
      <w:proofErr w:type="spellStart"/>
      <w:r w:rsidRPr="00072355">
        <w:t>VRR</w:t>
      </w:r>
      <w:proofErr w:type="spellEnd"/>
      <w:r w:rsidRPr="00072355">
        <w:t xml:space="preserve"> curve must satisfy a </w:t>
      </w:r>
      <w:proofErr w:type="spellStart"/>
      <w:r w:rsidRPr="00072355">
        <w:t>LOLE</w:t>
      </w:r>
      <w:proofErr w:type="spellEnd"/>
      <w:r w:rsidRPr="00072355">
        <w:t xml:space="preserve"> of no more than an average of </w:t>
      </w:r>
      <w:r>
        <w:t>one</w:t>
      </w:r>
      <w:r w:rsidRPr="00072355">
        <w:t xml:space="preserve"> </w:t>
      </w:r>
      <w:r>
        <w:t xml:space="preserve">event in 10 years.  </w:t>
      </w:r>
      <w:r w:rsidRPr="00072355">
        <w:t xml:space="preserve">Based on its simulations, Brattle concludes that the current </w:t>
      </w:r>
      <w:proofErr w:type="spellStart"/>
      <w:r w:rsidRPr="00072355">
        <w:t>VRR</w:t>
      </w:r>
      <w:proofErr w:type="spellEnd"/>
      <w:r w:rsidRPr="00072355">
        <w:t xml:space="preserve"> Curve does not result in sufficient investment in capacity resources t</w:t>
      </w:r>
      <w:r>
        <w:t>o</w:t>
      </w:r>
      <w:r w:rsidRPr="00072355">
        <w:t xml:space="preserve"> meet the applicable reliability requirements.  </w:t>
      </w:r>
      <w:r>
        <w:t>A</w:t>
      </w:r>
      <w:r w:rsidRPr="00072355">
        <w:t xml:space="preserve">ccording to PJM and Brattle, the current curve misses the </w:t>
      </w:r>
      <w:proofErr w:type="spellStart"/>
      <w:r w:rsidRPr="00072355">
        <w:t>LOLE</w:t>
      </w:r>
      <w:proofErr w:type="spellEnd"/>
      <w:r w:rsidRPr="00072355">
        <w:t xml:space="preserve"> goal substantially, with an expectation that load will be lost 1.2 times in 10 years.</w:t>
      </w:r>
      <w:r>
        <w:t xml:space="preserve">  The Ohio Commission supports PJM’s revisions to enhance reliability objectives.    </w:t>
      </w:r>
    </w:p>
    <w:p w:rsidR="009F56D9" w:rsidRPr="00072355" w:rsidRDefault="009F56D9" w:rsidP="009F56D9">
      <w:pPr>
        <w:pStyle w:val="Textstyle"/>
      </w:pPr>
      <w:r>
        <w:lastRenderedPageBreak/>
        <w:tab/>
      </w:r>
      <w:r w:rsidRPr="00072355">
        <w:t>The Ohio Commission agrees with PJM and Brattle that while the resource ade</w:t>
      </w:r>
      <w:r w:rsidR="001C3A3E">
        <w:softHyphen/>
      </w:r>
      <w:r w:rsidRPr="00072355">
        <w:t xml:space="preserve">quacy objective must be fulfilled, the </w:t>
      </w:r>
      <w:proofErr w:type="spellStart"/>
      <w:r w:rsidRPr="00072355">
        <w:t>VRR</w:t>
      </w:r>
      <w:proofErr w:type="spellEnd"/>
      <w:r w:rsidRPr="00072355">
        <w:t xml:space="preserve"> curve design should avoid excessive price volatility and susceptibility to market power abuse.  </w:t>
      </w:r>
      <w:r>
        <w:t>Prices</w:t>
      </w:r>
      <w:r w:rsidRPr="00072355">
        <w:t xml:space="preserve"> </w:t>
      </w:r>
      <w:r>
        <w:t>must</w:t>
      </w:r>
      <w:r w:rsidRPr="00072355">
        <w:t xml:space="preserve"> reflect year-to-year changes in market conditions to send appropriate price signals</w:t>
      </w:r>
      <w:r>
        <w:t xml:space="preserve"> but should not be so vola</w:t>
      </w:r>
      <w:r w:rsidR="001C3A3E">
        <w:softHyphen/>
      </w:r>
      <w:r>
        <w:t>tile that generation owners cannot make economic decisions to maintain or build power plants</w:t>
      </w:r>
      <w:r w:rsidRPr="00072355">
        <w:t>.</w:t>
      </w:r>
      <w:r>
        <w:t xml:space="preserve">  Price volatility in the wholesale market renders market responses more difficult for wholesale customers.</w:t>
      </w:r>
      <w:r w:rsidRPr="00072355">
        <w:t xml:space="preserve"> </w:t>
      </w:r>
      <w:r>
        <w:t xml:space="preserve"> </w:t>
      </w:r>
      <w:r w:rsidRPr="00072355">
        <w:t>The Ohio Commission supports PJM’s proposal to adopt a flat</w:t>
      </w:r>
      <w:r w:rsidR="001C3A3E">
        <w:softHyphen/>
      </w:r>
      <w:r w:rsidRPr="00072355">
        <w:t>te</w:t>
      </w:r>
      <w:r>
        <w:t>r, convex,</w:t>
      </w:r>
      <w:r w:rsidRPr="00072355">
        <w:t xml:space="preserve"> </w:t>
      </w:r>
      <w:proofErr w:type="spellStart"/>
      <w:r w:rsidRPr="00072355">
        <w:t>VRR</w:t>
      </w:r>
      <w:proofErr w:type="spellEnd"/>
      <w:r w:rsidRPr="00072355">
        <w:t xml:space="preserve"> Curve to meet these objectives.   </w:t>
      </w:r>
    </w:p>
    <w:p w:rsidR="009F56D9" w:rsidRDefault="009F56D9" w:rsidP="009F56D9">
      <w:pPr>
        <w:pStyle w:val="Textstyle"/>
      </w:pPr>
      <w:r>
        <w:tab/>
      </w:r>
      <w:r w:rsidRPr="00072355">
        <w:t xml:space="preserve">PJM’s </w:t>
      </w:r>
      <w:r>
        <w:t>r</w:t>
      </w:r>
      <w:r w:rsidRPr="00072355">
        <w:t xml:space="preserve">ecommended </w:t>
      </w:r>
      <w:r>
        <w:t>c</w:t>
      </w:r>
      <w:r w:rsidRPr="00072355">
        <w:t xml:space="preserve">urve meets the resource adequacy objection and provides substantial improvements in protection against adverse reliability outcomes.  Specifically, it achieves on average, a </w:t>
      </w:r>
      <w:proofErr w:type="spellStart"/>
      <w:r w:rsidRPr="00072355">
        <w:t>LOLE</w:t>
      </w:r>
      <w:proofErr w:type="spellEnd"/>
      <w:r w:rsidRPr="00072355">
        <w:t xml:space="preserve"> of approximately 0.6 events in 10 years; and limits the occurrence of an </w:t>
      </w:r>
      <w:proofErr w:type="spellStart"/>
      <w:r w:rsidRPr="00072355">
        <w:t>LOLE</w:t>
      </w:r>
      <w:proofErr w:type="spellEnd"/>
      <w:r w:rsidRPr="00072355">
        <w:t xml:space="preserve"> of </w:t>
      </w:r>
      <w:r>
        <w:t>one</w:t>
      </w:r>
      <w:r w:rsidRPr="00072355">
        <w:t xml:space="preserve"> event in </w:t>
      </w:r>
      <w:r>
        <w:t>five</w:t>
      </w:r>
      <w:r w:rsidRPr="00072355">
        <w:t xml:space="preserve"> years to about </w:t>
      </w:r>
      <w:r>
        <w:t>seven</w:t>
      </w:r>
      <w:r w:rsidRPr="00072355">
        <w:t xml:space="preserve"> percent.  The Ohio Commission </w:t>
      </w:r>
      <w:r>
        <w:t>maintains</w:t>
      </w:r>
      <w:r w:rsidRPr="00072355">
        <w:t xml:space="preserve"> that PJM’s proposed adjustments to the </w:t>
      </w:r>
      <w:proofErr w:type="spellStart"/>
      <w:r w:rsidRPr="00072355">
        <w:t>VRR</w:t>
      </w:r>
      <w:proofErr w:type="spellEnd"/>
      <w:r w:rsidRPr="00072355">
        <w:t xml:space="preserve"> curve, while provid</w:t>
      </w:r>
      <w:r w:rsidR="001C3A3E">
        <w:softHyphen/>
      </w:r>
      <w:r w:rsidRPr="00072355">
        <w:t xml:space="preserve">ing modest cost increases for procurement of capacity, will result in </w:t>
      </w:r>
      <w:r>
        <w:t xml:space="preserve">improved market price signals.  </w:t>
      </w:r>
      <w:r w:rsidRPr="00072355">
        <w:t>Th</w:t>
      </w:r>
      <w:r>
        <w:t>e</w:t>
      </w:r>
      <w:r w:rsidRPr="00072355">
        <w:t xml:space="preserve"> change </w:t>
      </w:r>
      <w:r>
        <w:t xml:space="preserve">to the shape of the </w:t>
      </w:r>
      <w:proofErr w:type="spellStart"/>
      <w:r>
        <w:t>VRR</w:t>
      </w:r>
      <w:proofErr w:type="spellEnd"/>
      <w:r>
        <w:t xml:space="preserve"> curve </w:t>
      </w:r>
      <w:r w:rsidRPr="00072355">
        <w:t>will assign greater value to mar</w:t>
      </w:r>
      <w:r w:rsidR="001C3A3E">
        <w:softHyphen/>
      </w:r>
      <w:r w:rsidRPr="00072355">
        <w:t>ginal movements on the low-reserves p</w:t>
      </w:r>
      <w:r>
        <w:t>ortion</w:t>
      </w:r>
      <w:r w:rsidRPr="00072355">
        <w:t xml:space="preserve"> </w:t>
      </w:r>
      <w:r>
        <w:t>of the curve.</w:t>
      </w:r>
      <w:r w:rsidRPr="00072355">
        <w:t xml:space="preserve">  </w:t>
      </w:r>
      <w:r>
        <w:t xml:space="preserve">A more precise </w:t>
      </w:r>
      <w:proofErr w:type="spellStart"/>
      <w:r>
        <w:t>VRR</w:t>
      </w:r>
      <w:proofErr w:type="spellEnd"/>
      <w:r>
        <w:t xml:space="preserve"> curve will </w:t>
      </w:r>
      <w:r w:rsidRPr="00072355">
        <w:t xml:space="preserve">enhance </w:t>
      </w:r>
      <w:proofErr w:type="spellStart"/>
      <w:r w:rsidRPr="00072355">
        <w:t>RPM’s</w:t>
      </w:r>
      <w:proofErr w:type="spellEnd"/>
      <w:r w:rsidRPr="00072355">
        <w:t xml:space="preserve"> ability to attract offers and investments by suppliers. </w:t>
      </w:r>
      <w:r>
        <w:t xml:space="preserve"> This proposal fixes the current situation where a relatively high level of reserves clear in the market, the demand curve becomes vertical and the price quickly falls to zero.</w:t>
      </w:r>
    </w:p>
    <w:p w:rsidR="006F3E21" w:rsidRDefault="006F3E21" w:rsidP="009F56D9">
      <w:pPr>
        <w:pStyle w:val="Textstyle"/>
      </w:pPr>
    </w:p>
    <w:p w:rsidR="009F56D9" w:rsidRPr="00423448" w:rsidRDefault="009F56D9" w:rsidP="009F56D9">
      <w:pPr>
        <w:pStyle w:val="Heading2"/>
      </w:pPr>
      <w:bookmarkStart w:id="12" w:name="_Toc401220729"/>
      <w:r>
        <w:lastRenderedPageBreak/>
        <w:t>B.</w:t>
      </w:r>
      <w:r>
        <w:tab/>
      </w:r>
      <w:r w:rsidRPr="00423448">
        <w:t>PJM Pro</w:t>
      </w:r>
      <w:r>
        <w:t xml:space="preserve">posal is Consistent with Other </w:t>
      </w:r>
      <w:r w:rsidRPr="00423448">
        <w:t>FERC-Approved Demand Curves</w:t>
      </w:r>
      <w:bookmarkEnd w:id="12"/>
      <w:r w:rsidRPr="00423448">
        <w:t xml:space="preserve"> </w:t>
      </w:r>
    </w:p>
    <w:p w:rsidR="009F56D9" w:rsidRPr="00072355" w:rsidRDefault="009F56D9" w:rsidP="009F56D9">
      <w:pPr>
        <w:pStyle w:val="Textstyle"/>
      </w:pPr>
      <w:r>
        <w:tab/>
      </w:r>
      <w:r w:rsidRPr="00072355">
        <w:t xml:space="preserve">The Ohio Commission notes that PJM’s recommended curve is consistent with changes the Commission approved earlier this year for the New York ISO </w:t>
      </w:r>
      <w:r>
        <w:t xml:space="preserve">(NY ISO) </w:t>
      </w:r>
      <w:r w:rsidRPr="00072355">
        <w:t>and ISO-New England</w:t>
      </w:r>
      <w:r>
        <w:t xml:space="preserve"> (ISO-NE)</w:t>
      </w:r>
      <w:r w:rsidRPr="00072355">
        <w:t>.  The PJM</w:t>
      </w:r>
      <w:r>
        <w:t>-</w:t>
      </w:r>
      <w:r w:rsidRPr="00072355">
        <w:t xml:space="preserve">recommended </w:t>
      </w:r>
      <w:r>
        <w:t xml:space="preserve">changes are comparable with </w:t>
      </w:r>
      <w:proofErr w:type="spellStart"/>
      <w:r w:rsidRPr="00072355">
        <w:t>NYISO</w:t>
      </w:r>
      <w:proofErr w:type="spellEnd"/>
      <w:r w:rsidRPr="00072355">
        <w:t xml:space="preserve"> and the ISO-NE </w:t>
      </w:r>
      <w:r>
        <w:t xml:space="preserve">capacity demand </w:t>
      </w:r>
      <w:r w:rsidRPr="00072355">
        <w:t xml:space="preserve">curves whose shapes are either convex or straight. </w:t>
      </w:r>
      <w:r>
        <w:t xml:space="preserve"> A</w:t>
      </w:r>
      <w:r w:rsidRPr="00072355">
        <w:t xml:space="preserve"> notable </w:t>
      </w:r>
      <w:r>
        <w:t xml:space="preserve">distinction </w:t>
      </w:r>
      <w:r w:rsidRPr="00072355">
        <w:t xml:space="preserve">between PJM’s design and the other two </w:t>
      </w:r>
      <w:proofErr w:type="spellStart"/>
      <w:r w:rsidRPr="00072355">
        <w:t>RTOs</w:t>
      </w:r>
      <w:proofErr w:type="spellEnd"/>
      <w:r w:rsidRPr="00072355">
        <w:t xml:space="preserve"> is the price cap of 1.5 </w:t>
      </w:r>
      <w:r>
        <w:t>x</w:t>
      </w:r>
      <w:r w:rsidRPr="00072355">
        <w:t xml:space="preserve"> Net C</w:t>
      </w:r>
      <w:r>
        <w:t>ONE remains</w:t>
      </w:r>
      <w:r w:rsidRPr="00072355">
        <w:t xml:space="preserve"> unchanged from the current parameters</w:t>
      </w:r>
      <w:r>
        <w:t>.</w:t>
      </w:r>
      <w:r w:rsidRPr="00072355">
        <w:t xml:space="preserve"> </w:t>
      </w:r>
      <w:r>
        <w:t xml:space="preserve"> The Ohio Com</w:t>
      </w:r>
      <w:r w:rsidR="001C3A3E">
        <w:softHyphen/>
      </w:r>
      <w:r>
        <w:t>mission supports</w:t>
      </w:r>
      <w:r w:rsidRPr="00072355">
        <w:t xml:space="preserve"> PJM</w:t>
      </w:r>
      <w:r>
        <w:t>’s decision to maintain the current cap level</w:t>
      </w:r>
      <w:r w:rsidRPr="00072355">
        <w:t xml:space="preserve">; PJM’s maximum price is still the lowest </w:t>
      </w:r>
      <w:r>
        <w:t xml:space="preserve">when compared to ISO-NE and </w:t>
      </w:r>
      <w:proofErr w:type="spellStart"/>
      <w:r>
        <w:t>NYISO</w:t>
      </w:r>
      <w:proofErr w:type="spellEnd"/>
      <w:r>
        <w:t xml:space="preserve">.  </w:t>
      </w:r>
      <w:r w:rsidRPr="00072355">
        <w:t xml:space="preserve">   </w:t>
      </w:r>
    </w:p>
    <w:p w:rsidR="009F56D9" w:rsidRPr="00423448" w:rsidRDefault="009F56D9" w:rsidP="009F56D9">
      <w:pPr>
        <w:pStyle w:val="Heading2"/>
      </w:pPr>
      <w:bookmarkStart w:id="13" w:name="_Toc401220730"/>
      <w:r>
        <w:t>C.</w:t>
      </w:r>
      <w:r>
        <w:tab/>
      </w:r>
      <w:proofErr w:type="spellStart"/>
      <w:r>
        <w:t>E&amp;AS</w:t>
      </w:r>
      <w:proofErr w:type="spellEnd"/>
      <w:r w:rsidRPr="00423448">
        <w:t xml:space="preserve"> Forecast</w:t>
      </w:r>
      <w:r>
        <w:t>s</w:t>
      </w:r>
      <w:r w:rsidRPr="00423448">
        <w:t xml:space="preserve"> Should be Forward-Looking</w:t>
      </w:r>
      <w:bookmarkEnd w:id="13"/>
      <w:r w:rsidRPr="00423448">
        <w:t xml:space="preserve"> </w:t>
      </w:r>
    </w:p>
    <w:p w:rsidR="009F56D9" w:rsidRDefault="009F56D9" w:rsidP="009F56D9">
      <w:pPr>
        <w:pStyle w:val="Textstyle"/>
      </w:pPr>
      <w:r>
        <w:tab/>
        <w:t xml:space="preserve">In calculating net </w:t>
      </w:r>
      <w:proofErr w:type="spellStart"/>
      <w:r>
        <w:t>E&amp;AS</w:t>
      </w:r>
      <w:proofErr w:type="spellEnd"/>
      <w:r>
        <w:t xml:space="preserve"> revenue offset, PJM relies upon the most recent three years of energy price and fuel cost data.  As explained by Brattle, the use of historical data is not representative of evolving market conditions due to a four- to six- year delay between the historical years and the delivery year.</w:t>
      </w:r>
      <w:r>
        <w:rPr>
          <w:rStyle w:val="FootnoteReference"/>
          <w:bCs/>
          <w:kern w:val="32"/>
          <w:lang w:eastAsia="x-none"/>
        </w:rPr>
        <w:footnoteReference w:id="4"/>
      </w:r>
      <w:r>
        <w:t xml:space="preserve">  The Ohio Commission notes that the reliance on historical data to project future results leads to uncertain results.  The Ohio Commission supports Brattle’s recommendation to adopt a forward-looking </w:t>
      </w:r>
      <w:proofErr w:type="spellStart"/>
      <w:r>
        <w:t>E&amp;AS</w:t>
      </w:r>
      <w:proofErr w:type="spellEnd"/>
      <w:r>
        <w:t xml:space="preserve"> esti</w:t>
      </w:r>
      <w:r w:rsidR="001C3A3E">
        <w:softHyphen/>
      </w:r>
      <w:r>
        <w:t>mation approach.</w:t>
      </w:r>
      <w:r>
        <w:rPr>
          <w:rStyle w:val="FootnoteReference"/>
          <w:bCs/>
          <w:kern w:val="32"/>
          <w:lang w:eastAsia="x-none"/>
        </w:rPr>
        <w:footnoteReference w:id="5"/>
      </w:r>
      <w:r>
        <w:t xml:space="preserve">  The Ohio Commission notes that developing an estimate of </w:t>
      </w:r>
      <w:proofErr w:type="spellStart"/>
      <w:r>
        <w:t>E&amp;AS</w:t>
      </w:r>
      <w:proofErr w:type="spellEnd"/>
      <w:r>
        <w:t xml:space="preserve"> </w:t>
      </w:r>
      <w:r>
        <w:lastRenderedPageBreak/>
        <w:t>margins, in a similar manner to ISO-NE, from publicly available futures prices will sim</w:t>
      </w:r>
      <w:r w:rsidR="001C3A3E">
        <w:softHyphen/>
      </w:r>
      <w:r>
        <w:t>plify the estimation process.</w:t>
      </w:r>
      <w:r>
        <w:rPr>
          <w:rStyle w:val="FootnoteReference"/>
          <w:bCs/>
          <w:kern w:val="32"/>
          <w:lang w:eastAsia="x-none"/>
        </w:rPr>
        <w:footnoteReference w:id="6"/>
      </w:r>
      <w:r>
        <w:t xml:space="preserve">  This approach will average out extreme weather years and also reflect market participants’ expected changes in fundamentals.</w:t>
      </w:r>
      <w:r>
        <w:rPr>
          <w:rStyle w:val="FootnoteReference"/>
          <w:bCs/>
          <w:kern w:val="32"/>
          <w:lang w:eastAsia="x-none"/>
        </w:rPr>
        <w:footnoteReference w:id="7"/>
      </w:r>
      <w:r>
        <w:t xml:space="preserve">  </w:t>
      </w:r>
    </w:p>
    <w:p w:rsidR="009F56D9" w:rsidRPr="00423448" w:rsidRDefault="009F56D9" w:rsidP="009F56D9">
      <w:pPr>
        <w:pStyle w:val="Heading2"/>
      </w:pPr>
      <w:bookmarkStart w:id="14" w:name="_Toc401220731"/>
      <w:r>
        <w:t>D.</w:t>
      </w:r>
      <w:r>
        <w:tab/>
      </w:r>
      <w:r w:rsidRPr="00423448">
        <w:t>Other PJM Changes</w:t>
      </w:r>
      <w:r>
        <w:t xml:space="preserve"> to the Capacity Construct</w:t>
      </w:r>
      <w:bookmarkEnd w:id="14"/>
    </w:p>
    <w:p w:rsidR="009F56D9" w:rsidRPr="00302740" w:rsidRDefault="009F56D9" w:rsidP="009F56D9">
      <w:pPr>
        <w:pStyle w:val="Textstyle"/>
      </w:pPr>
      <w:r>
        <w:tab/>
        <w:t xml:space="preserve">While the Ohio Commission supports PJM’s recommended </w:t>
      </w:r>
      <w:proofErr w:type="spellStart"/>
      <w:r>
        <w:t>VRR</w:t>
      </w:r>
      <w:proofErr w:type="spellEnd"/>
      <w:r>
        <w:t xml:space="preserve"> curve changes, we urge the Commission to consider this change in light of other capacity market reforms that are likely to be filed before the end of the year.  The proposal may drastically change the RPM construct and the role of demand resources within PJM.  It is possible that some of those changes will negate the need for reforms in other areas.  The Ohio Commission recommends that the Commission be mindful of the potential effect of multiple changes to the Capacity Construct and the combined impact the reforms on RPM.  We urge the Commission to be mindful of unintended consequences from a major overhaul of PJM’s RPM. </w:t>
      </w:r>
    </w:p>
    <w:p w:rsidR="00F62477" w:rsidRPr="009D6A2A" w:rsidRDefault="00F62477" w:rsidP="00DA3AC2">
      <w:pPr>
        <w:pStyle w:val="Heading1"/>
        <w:numPr>
          <w:ilvl w:val="0"/>
          <w:numId w:val="0"/>
        </w:numPr>
        <w:ind w:left="1080" w:hanging="1080"/>
      </w:pPr>
      <w:bookmarkStart w:id="15" w:name="_Toc401220732"/>
      <w:bookmarkStart w:id="16" w:name="_GoBack"/>
      <w:bookmarkEnd w:id="16"/>
      <w:r w:rsidRPr="009D6A2A">
        <w:t xml:space="preserve">IV. </w:t>
      </w:r>
      <w:r w:rsidR="00303765">
        <w:tab/>
      </w:r>
      <w:r w:rsidRPr="009D6A2A">
        <w:t>CONCLUSION</w:t>
      </w:r>
      <w:bookmarkEnd w:id="10"/>
      <w:bookmarkEnd w:id="15"/>
      <w:r w:rsidRPr="009D6A2A">
        <w:t xml:space="preserve"> </w:t>
      </w:r>
    </w:p>
    <w:p w:rsidR="009F56D9" w:rsidRDefault="00F62477" w:rsidP="009F56D9">
      <w:pPr>
        <w:pStyle w:val="Textstyle"/>
      </w:pPr>
      <w:r w:rsidRPr="00153A5E">
        <w:tab/>
      </w:r>
      <w:r w:rsidR="009F56D9" w:rsidRPr="0018564F">
        <w:t xml:space="preserve">The Ohio Commission supports adoption of a convex </w:t>
      </w:r>
      <w:proofErr w:type="spellStart"/>
      <w:r w:rsidR="009F56D9" w:rsidRPr="0018564F">
        <w:t>VRR</w:t>
      </w:r>
      <w:proofErr w:type="spellEnd"/>
      <w:r w:rsidR="009F56D9" w:rsidRPr="0018564F">
        <w:t xml:space="preserve"> curve as a prudent bal</w:t>
      </w:r>
      <w:r w:rsidR="001C3A3E">
        <w:softHyphen/>
      </w:r>
      <w:r w:rsidR="009F56D9" w:rsidRPr="0018564F">
        <w:t xml:space="preserve">ance between cost and reliability in PJM’s RPM markets. </w:t>
      </w:r>
      <w:r w:rsidR="009F56D9">
        <w:t xml:space="preserve"> In addition, the </w:t>
      </w:r>
      <w:r w:rsidR="009F56D9" w:rsidRPr="0018564F">
        <w:t xml:space="preserve">updated costs for the </w:t>
      </w:r>
      <w:r w:rsidR="009F56D9">
        <w:t>CONE</w:t>
      </w:r>
      <w:r w:rsidR="009F56D9" w:rsidRPr="0018564F">
        <w:t xml:space="preserve"> calculation used to create the </w:t>
      </w:r>
      <w:proofErr w:type="spellStart"/>
      <w:r w:rsidR="009F56D9" w:rsidRPr="0018564F">
        <w:t>VRR</w:t>
      </w:r>
      <w:proofErr w:type="spellEnd"/>
      <w:r w:rsidR="009F56D9" w:rsidRPr="0018564F">
        <w:t xml:space="preserve"> curve, and the switch to the Bureau of </w:t>
      </w:r>
      <w:r w:rsidR="009F56D9" w:rsidRPr="0018564F">
        <w:lastRenderedPageBreak/>
        <w:t>Labor Statistics composite index to adjust CONE values in years between comprehensive reviews</w:t>
      </w:r>
      <w:r w:rsidR="009F56D9">
        <w:t xml:space="preserve"> are just and reasonable and should be adopted</w:t>
      </w:r>
      <w:r w:rsidR="009F56D9" w:rsidRPr="0018564F">
        <w:t xml:space="preserve">. </w:t>
      </w:r>
    </w:p>
    <w:p w:rsidR="009F56D9" w:rsidRPr="0018564F" w:rsidRDefault="009F56D9" w:rsidP="009F56D9">
      <w:pPr>
        <w:pStyle w:val="Textstyle"/>
      </w:pPr>
      <w:r>
        <w:tab/>
        <w:t>T</w:t>
      </w:r>
      <w:r w:rsidRPr="0018564F">
        <w:t xml:space="preserve">he Ohio Commission respectfully requests that the Commission order PJM to develop and use a forward-looking approach to calculation of energy price and fuel cost data in its net </w:t>
      </w:r>
      <w:proofErr w:type="spellStart"/>
      <w:r>
        <w:t>E&amp;AS</w:t>
      </w:r>
      <w:proofErr w:type="spellEnd"/>
      <w:r w:rsidRPr="0018564F">
        <w:t xml:space="preserve"> revenue offset calculations to more closely approximate true costs and revenues.</w:t>
      </w:r>
      <w:r>
        <w:t xml:space="preserve"> </w:t>
      </w:r>
      <w:r w:rsidRPr="0018564F">
        <w:t xml:space="preserve"> F</w:t>
      </w:r>
      <w:r>
        <w:t>urther</w:t>
      </w:r>
      <w:r w:rsidRPr="0018564F">
        <w:t xml:space="preserve">, the Ohio Commission cautions that other changes within PJM may mitigate the need for changes proposed here. </w:t>
      </w:r>
      <w:r>
        <w:t xml:space="preserve"> </w:t>
      </w:r>
      <w:r w:rsidRPr="0018564F">
        <w:t xml:space="preserve">With significant reforms to Demand Response and </w:t>
      </w:r>
      <w:r>
        <w:t>the RPM Capacity Construct likely forthcoming</w:t>
      </w:r>
      <w:r w:rsidRPr="0018564F">
        <w:t xml:space="preserve">, the Ohio Commission suggests an analysis of the combined impact on RPM. </w:t>
      </w:r>
    </w:p>
    <w:p w:rsidR="00A46BED" w:rsidRDefault="009F56D9" w:rsidP="009F56D9">
      <w:pPr>
        <w:tabs>
          <w:tab w:val="left" w:pos="4760"/>
        </w:tabs>
        <w:rPr>
          <w:rFonts w:ascii="Times New Roman" w:hAnsi="Times New Roman"/>
          <w:sz w:val="26"/>
          <w:szCs w:val="26"/>
        </w:rPr>
      </w:pPr>
      <w:r>
        <w:rPr>
          <w:rFonts w:ascii="Times New Roman" w:hAnsi="Times New Roman"/>
          <w:sz w:val="26"/>
          <w:szCs w:val="26"/>
        </w:rPr>
        <w:tab/>
        <w:t>Respectfully submitted,</w:t>
      </w:r>
    </w:p>
    <w:p w:rsidR="009F56D9" w:rsidRDefault="009F56D9" w:rsidP="009F56D9">
      <w:pPr>
        <w:tabs>
          <w:tab w:val="left" w:pos="4760"/>
        </w:tabs>
        <w:rPr>
          <w:rFonts w:ascii="Times New Roman" w:hAnsi="Times New Roman"/>
          <w:sz w:val="26"/>
          <w:szCs w:val="26"/>
        </w:rPr>
      </w:pPr>
    </w:p>
    <w:p w:rsidR="009F56D9" w:rsidRPr="009F56D9" w:rsidRDefault="009F56D9" w:rsidP="009F56D9">
      <w:pPr>
        <w:tabs>
          <w:tab w:val="left" w:pos="9360"/>
        </w:tabs>
        <w:ind w:left="4760"/>
        <w:rPr>
          <w:rFonts w:ascii="Brush Script MT" w:hAnsi="Brush Script MT"/>
          <w:i/>
          <w:sz w:val="40"/>
          <w:szCs w:val="40"/>
          <w:u w:val="single"/>
        </w:rPr>
      </w:pPr>
      <w:r w:rsidRPr="009F56D9">
        <w:rPr>
          <w:rFonts w:ascii="Brush Script MT" w:hAnsi="Brush Script MT"/>
          <w:i/>
          <w:sz w:val="40"/>
          <w:szCs w:val="40"/>
          <w:u w:val="single"/>
        </w:rPr>
        <w:t xml:space="preserve">/s/ Jonathan J. </w:t>
      </w:r>
      <w:r w:rsidR="006F3E21" w:rsidRPr="009F56D9">
        <w:rPr>
          <w:rFonts w:ascii="Brush Script MT" w:hAnsi="Brush Script MT"/>
          <w:i/>
          <w:sz w:val="40"/>
          <w:szCs w:val="40"/>
          <w:u w:val="single"/>
        </w:rPr>
        <w:t>Tauber</w:t>
      </w:r>
      <w:r w:rsidRPr="009F56D9">
        <w:rPr>
          <w:rFonts w:ascii="Brush Script MT" w:hAnsi="Brush Script MT"/>
          <w:i/>
          <w:sz w:val="40"/>
          <w:szCs w:val="40"/>
          <w:u w:val="single"/>
        </w:rPr>
        <w:tab/>
      </w:r>
    </w:p>
    <w:p w:rsidR="009F56D9" w:rsidRDefault="009F56D9" w:rsidP="009F56D9">
      <w:pPr>
        <w:tabs>
          <w:tab w:val="left" w:pos="4760"/>
        </w:tabs>
        <w:rPr>
          <w:rFonts w:ascii="Times New Roman" w:hAnsi="Times New Roman"/>
          <w:b/>
          <w:sz w:val="26"/>
          <w:szCs w:val="26"/>
        </w:rPr>
      </w:pPr>
      <w:r>
        <w:rPr>
          <w:rFonts w:ascii="Times New Roman" w:hAnsi="Times New Roman"/>
          <w:b/>
          <w:sz w:val="26"/>
          <w:szCs w:val="26"/>
        </w:rPr>
        <w:tab/>
        <w:t>Jonathan J. Tauber</w:t>
      </w:r>
    </w:p>
    <w:p w:rsidR="009F56D9" w:rsidRDefault="009F56D9" w:rsidP="009F56D9">
      <w:pPr>
        <w:tabs>
          <w:tab w:val="left" w:pos="4760"/>
        </w:tabs>
        <w:rPr>
          <w:rFonts w:ascii="Times New Roman" w:hAnsi="Times New Roman"/>
          <w:sz w:val="26"/>
          <w:szCs w:val="26"/>
        </w:rPr>
      </w:pPr>
      <w:r>
        <w:rPr>
          <w:rFonts w:ascii="Times New Roman" w:hAnsi="Times New Roman"/>
          <w:sz w:val="26"/>
          <w:szCs w:val="26"/>
        </w:rPr>
        <w:tab/>
        <w:t>Public Utilities Commission of Ohio</w:t>
      </w:r>
    </w:p>
    <w:p w:rsidR="009F56D9" w:rsidRDefault="009F56D9" w:rsidP="009F56D9">
      <w:pPr>
        <w:tabs>
          <w:tab w:val="left" w:pos="4760"/>
        </w:tabs>
        <w:rPr>
          <w:rFonts w:ascii="Times New Roman" w:hAnsi="Times New Roman"/>
          <w:sz w:val="26"/>
          <w:szCs w:val="26"/>
        </w:rPr>
      </w:pPr>
      <w:r>
        <w:rPr>
          <w:rFonts w:ascii="Times New Roman" w:hAnsi="Times New Roman"/>
          <w:sz w:val="26"/>
          <w:szCs w:val="26"/>
        </w:rPr>
        <w:tab/>
        <w:t>180 East Broad Street</w:t>
      </w:r>
    </w:p>
    <w:p w:rsidR="009F56D9" w:rsidRDefault="009F56D9" w:rsidP="009F56D9">
      <w:pPr>
        <w:tabs>
          <w:tab w:val="left" w:pos="4760"/>
        </w:tabs>
        <w:rPr>
          <w:rFonts w:ascii="Times New Roman" w:hAnsi="Times New Roman"/>
          <w:sz w:val="26"/>
          <w:szCs w:val="26"/>
        </w:rPr>
      </w:pPr>
      <w:r>
        <w:rPr>
          <w:rFonts w:ascii="Times New Roman" w:hAnsi="Times New Roman"/>
          <w:sz w:val="26"/>
          <w:szCs w:val="26"/>
        </w:rPr>
        <w:tab/>
        <w:t>Columbus, OH 43215-3793</w:t>
      </w:r>
    </w:p>
    <w:p w:rsidR="009F56D9" w:rsidRDefault="009F56D9" w:rsidP="009F56D9">
      <w:pPr>
        <w:tabs>
          <w:tab w:val="left" w:pos="4760"/>
        </w:tabs>
        <w:rPr>
          <w:rFonts w:ascii="Times New Roman" w:hAnsi="Times New Roman"/>
          <w:sz w:val="26"/>
          <w:szCs w:val="26"/>
        </w:rPr>
      </w:pPr>
      <w:r>
        <w:rPr>
          <w:rFonts w:ascii="Times New Roman" w:hAnsi="Times New Roman"/>
          <w:sz w:val="26"/>
          <w:szCs w:val="26"/>
        </w:rPr>
        <w:tab/>
        <w:t>614.644.7797 (telephone)</w:t>
      </w:r>
    </w:p>
    <w:p w:rsidR="009F56D9" w:rsidRDefault="009F56D9" w:rsidP="009F56D9">
      <w:pPr>
        <w:tabs>
          <w:tab w:val="left" w:pos="4760"/>
        </w:tabs>
        <w:rPr>
          <w:rFonts w:ascii="Times New Roman" w:hAnsi="Times New Roman"/>
          <w:sz w:val="26"/>
          <w:szCs w:val="26"/>
        </w:rPr>
      </w:pPr>
      <w:r>
        <w:rPr>
          <w:rFonts w:ascii="Times New Roman" w:hAnsi="Times New Roman"/>
          <w:sz w:val="26"/>
          <w:szCs w:val="26"/>
        </w:rPr>
        <w:tab/>
        <w:t>614.644.8764 (fax)</w:t>
      </w:r>
    </w:p>
    <w:p w:rsidR="009F56D9" w:rsidRDefault="009F56D9" w:rsidP="009F56D9">
      <w:pPr>
        <w:tabs>
          <w:tab w:val="left" w:pos="4760"/>
        </w:tabs>
        <w:rPr>
          <w:rFonts w:ascii="Times New Roman" w:hAnsi="Times New Roman"/>
          <w:sz w:val="26"/>
          <w:szCs w:val="26"/>
        </w:rPr>
      </w:pPr>
      <w:r>
        <w:rPr>
          <w:rFonts w:ascii="Times New Roman" w:hAnsi="Times New Roman"/>
          <w:sz w:val="26"/>
          <w:szCs w:val="26"/>
        </w:rPr>
        <w:tab/>
      </w:r>
      <w:hyperlink r:id="rId15" w:history="1">
        <w:r w:rsidRPr="001775D7">
          <w:rPr>
            <w:rStyle w:val="Hyperlink"/>
            <w:rFonts w:ascii="Times New Roman" w:hAnsi="Times New Roman"/>
            <w:sz w:val="26"/>
            <w:szCs w:val="26"/>
          </w:rPr>
          <w:t>jonathan.tauber@puc.state.oh.us</w:t>
        </w:r>
      </w:hyperlink>
    </w:p>
    <w:p w:rsidR="009F56D9" w:rsidRDefault="009F56D9" w:rsidP="009F56D9">
      <w:pPr>
        <w:tabs>
          <w:tab w:val="left" w:pos="4760"/>
        </w:tabs>
        <w:rPr>
          <w:rFonts w:ascii="Times New Roman" w:hAnsi="Times New Roman"/>
          <w:sz w:val="26"/>
          <w:szCs w:val="26"/>
        </w:rPr>
      </w:pPr>
    </w:p>
    <w:p w:rsidR="009F56D9" w:rsidRPr="009F56D9" w:rsidRDefault="009F56D9" w:rsidP="009F56D9">
      <w:pPr>
        <w:tabs>
          <w:tab w:val="left" w:pos="4760"/>
        </w:tabs>
        <w:rPr>
          <w:rFonts w:ascii="Times New Roman" w:hAnsi="Times New Roman"/>
          <w:sz w:val="26"/>
          <w:szCs w:val="26"/>
        </w:rPr>
      </w:pPr>
    </w:p>
    <w:p w:rsidR="00F62477" w:rsidRPr="00B6570D" w:rsidRDefault="00B6570D" w:rsidP="00F62477">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w:t>
      </w:r>
      <w:r w:rsidR="00A46BED" w:rsidRPr="00B6570D">
        <w:rPr>
          <w:rFonts w:ascii="Brush Script MT" w:hAnsi="Brush Script MT"/>
          <w:i/>
          <w:sz w:val="40"/>
          <w:szCs w:val="40"/>
          <w:u w:val="single"/>
        </w:rPr>
        <w:t>/ Thomas W. McNamee</w:t>
      </w:r>
      <w:r w:rsidR="00B8172D" w:rsidRPr="00B6570D">
        <w:rPr>
          <w:rFonts w:ascii="Brush Script MT" w:hAnsi="Brush Script MT"/>
          <w:i/>
          <w:sz w:val="40"/>
          <w:szCs w:val="40"/>
          <w:u w:val="single"/>
        </w:rPr>
        <w:tab/>
      </w:r>
    </w:p>
    <w:p w:rsidR="00A46BED" w:rsidRPr="00A46BED" w:rsidRDefault="00F62477" w:rsidP="00F62477">
      <w:pPr>
        <w:tabs>
          <w:tab w:val="left" w:pos="4760"/>
        </w:tabs>
        <w:rPr>
          <w:rFonts w:ascii="Times New Roman" w:hAnsi="Times New Roman"/>
          <w:b/>
          <w:sz w:val="26"/>
          <w:szCs w:val="26"/>
        </w:rPr>
      </w:pPr>
      <w:r w:rsidRPr="009D6A2A">
        <w:rPr>
          <w:rFonts w:ascii="Times New Roman" w:hAnsi="Times New Roman"/>
          <w:sz w:val="26"/>
          <w:szCs w:val="26"/>
        </w:rPr>
        <w:tab/>
      </w:r>
      <w:r w:rsidR="00A46BED">
        <w:rPr>
          <w:rFonts w:ascii="Times New Roman" w:hAnsi="Times New Roman"/>
          <w:b/>
          <w:sz w:val="26"/>
          <w:szCs w:val="26"/>
        </w:rPr>
        <w:t>Thomas W. McNamee</w:t>
      </w:r>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Street">
        <w:smartTag w:uri="urn:schemas-microsoft-com:office:smarttags" w:element="address">
          <w:r w:rsidRPr="009D6A2A">
            <w:rPr>
              <w:rFonts w:ascii="Times New Roman" w:hAnsi="Times New Roman"/>
              <w:sz w:val="26"/>
              <w:szCs w:val="26"/>
            </w:rPr>
            <w:t>180 East Broad Street</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place">
        <w:smartTag w:uri="urn:schemas-microsoft-com:office:smarttags" w:element="City">
          <w:r w:rsidRPr="009D6A2A">
            <w:rPr>
              <w:rFonts w:ascii="Times New Roman" w:hAnsi="Times New Roman"/>
              <w:sz w:val="26"/>
              <w:szCs w:val="26"/>
            </w:rPr>
            <w:t>Columbus</w:t>
          </w:r>
        </w:smartTag>
        <w:r w:rsidRPr="009D6A2A">
          <w:rPr>
            <w:rFonts w:ascii="Times New Roman" w:hAnsi="Times New Roman"/>
            <w:sz w:val="26"/>
            <w:szCs w:val="26"/>
          </w:rPr>
          <w:t xml:space="preserve">, </w:t>
        </w:r>
        <w:smartTag w:uri="urn:schemas-microsoft-com:office:smarttags" w:element="State">
          <w:r w:rsidRPr="009D6A2A">
            <w:rPr>
              <w:rFonts w:ascii="Times New Roman" w:hAnsi="Times New Roman"/>
              <w:sz w:val="26"/>
              <w:szCs w:val="26"/>
            </w:rPr>
            <w:t>OH</w:t>
          </w:r>
        </w:smartTag>
        <w:r w:rsidRPr="009D6A2A">
          <w:rPr>
            <w:rFonts w:ascii="Times New Roman" w:hAnsi="Times New Roman"/>
            <w:sz w:val="26"/>
            <w:szCs w:val="26"/>
          </w:rPr>
          <w:t xml:space="preserve">  </w:t>
        </w:r>
        <w:smartTag w:uri="urn:schemas-microsoft-com:office:smarttags" w:element="PostalCode">
          <w:r w:rsidRPr="009D6A2A">
            <w:rPr>
              <w:rFonts w:ascii="Times New Roman" w:hAnsi="Times New Roman"/>
              <w:sz w:val="26"/>
              <w:szCs w:val="26"/>
            </w:rPr>
            <w:t>43215-3793</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r w:rsidR="00A46BED">
        <w:rPr>
          <w:rFonts w:ascii="Times New Roman" w:hAnsi="Times New Roman"/>
          <w:sz w:val="26"/>
          <w:szCs w:val="26"/>
        </w:rPr>
        <w:t>614.</w:t>
      </w:r>
      <w:r w:rsidRPr="009D6A2A">
        <w:rPr>
          <w:rFonts w:ascii="Times New Roman" w:hAnsi="Times New Roman"/>
          <w:sz w:val="26"/>
          <w:szCs w:val="26"/>
        </w:rPr>
        <w:t>466</w:t>
      </w:r>
      <w:r w:rsidR="00A46BED">
        <w:rPr>
          <w:rFonts w:ascii="Times New Roman" w:hAnsi="Times New Roman"/>
          <w:sz w:val="26"/>
          <w:szCs w:val="26"/>
        </w:rPr>
        <w:t>.</w:t>
      </w:r>
      <w:r w:rsidRPr="009D6A2A">
        <w:rPr>
          <w:rFonts w:ascii="Times New Roman" w:hAnsi="Times New Roman"/>
          <w:sz w:val="26"/>
          <w:szCs w:val="26"/>
        </w:rPr>
        <w:t>4396</w:t>
      </w:r>
      <w:r w:rsidR="009F56D9">
        <w:rPr>
          <w:rFonts w:ascii="Times New Roman" w:hAnsi="Times New Roman"/>
          <w:sz w:val="26"/>
          <w:szCs w:val="26"/>
        </w:rPr>
        <w:t xml:space="preserve"> (telephone)</w:t>
      </w:r>
    </w:p>
    <w:p w:rsidR="00F62477"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t>614</w:t>
      </w:r>
      <w:r w:rsidR="00A46BED">
        <w:rPr>
          <w:rFonts w:ascii="Times New Roman" w:hAnsi="Times New Roman"/>
          <w:sz w:val="26"/>
          <w:szCs w:val="26"/>
        </w:rPr>
        <w:t>.</w:t>
      </w:r>
      <w:r w:rsidRPr="009D6A2A">
        <w:rPr>
          <w:rFonts w:ascii="Times New Roman" w:hAnsi="Times New Roman"/>
          <w:sz w:val="26"/>
          <w:szCs w:val="26"/>
        </w:rPr>
        <w:t>64</w:t>
      </w:r>
      <w:r w:rsidR="009F56D9">
        <w:rPr>
          <w:rFonts w:ascii="Times New Roman" w:hAnsi="Times New Roman"/>
          <w:sz w:val="26"/>
          <w:szCs w:val="26"/>
        </w:rPr>
        <w:t>4</w:t>
      </w:r>
      <w:r w:rsidR="00A46BED">
        <w:rPr>
          <w:rFonts w:ascii="Times New Roman" w:hAnsi="Times New Roman"/>
          <w:sz w:val="26"/>
          <w:szCs w:val="26"/>
        </w:rPr>
        <w:t>.</w:t>
      </w:r>
      <w:r w:rsidRPr="009D6A2A">
        <w:rPr>
          <w:rFonts w:ascii="Times New Roman" w:hAnsi="Times New Roman"/>
          <w:sz w:val="26"/>
          <w:szCs w:val="26"/>
        </w:rPr>
        <w:t>876</w:t>
      </w:r>
      <w:r w:rsidR="009F56D9">
        <w:rPr>
          <w:rFonts w:ascii="Times New Roman" w:hAnsi="Times New Roman"/>
          <w:sz w:val="26"/>
          <w:szCs w:val="26"/>
        </w:rPr>
        <w:t>4 (fax)</w:t>
      </w:r>
    </w:p>
    <w:p w:rsidR="009F56D9" w:rsidRDefault="009F56D9" w:rsidP="00F62477">
      <w:pPr>
        <w:tabs>
          <w:tab w:val="left" w:pos="4760"/>
        </w:tabs>
        <w:rPr>
          <w:rFonts w:ascii="Times New Roman" w:hAnsi="Times New Roman"/>
          <w:sz w:val="26"/>
          <w:szCs w:val="26"/>
        </w:rPr>
      </w:pPr>
      <w:r>
        <w:rPr>
          <w:rFonts w:ascii="Times New Roman" w:hAnsi="Times New Roman"/>
          <w:sz w:val="26"/>
          <w:szCs w:val="26"/>
        </w:rPr>
        <w:tab/>
      </w:r>
      <w:hyperlink r:id="rId16" w:history="1">
        <w:r w:rsidRPr="001775D7">
          <w:rPr>
            <w:rStyle w:val="Hyperlink"/>
            <w:rFonts w:ascii="Times New Roman" w:hAnsi="Times New Roman"/>
            <w:sz w:val="26"/>
            <w:szCs w:val="26"/>
          </w:rPr>
          <w:t>thomas.mcnamee@puc.state.oh.us</w:t>
        </w:r>
      </w:hyperlink>
    </w:p>
    <w:p w:rsidR="009F56D9" w:rsidRDefault="009F56D9" w:rsidP="00F62477">
      <w:pPr>
        <w:tabs>
          <w:tab w:val="left" w:pos="4760"/>
        </w:tabs>
        <w:rPr>
          <w:rFonts w:ascii="Times New Roman" w:hAnsi="Times New Roman"/>
          <w:sz w:val="26"/>
          <w:szCs w:val="26"/>
        </w:rPr>
      </w:pPr>
    </w:p>
    <w:p w:rsidR="00F62477" w:rsidRPr="009D6A2A" w:rsidRDefault="00F62477" w:rsidP="00F62477">
      <w:pPr>
        <w:tabs>
          <w:tab w:val="left" w:pos="4760"/>
        </w:tabs>
        <w:ind w:left="4760"/>
        <w:rPr>
          <w:rFonts w:ascii="Times New Roman" w:hAnsi="Times New Roman"/>
          <w:b/>
          <w:sz w:val="26"/>
          <w:szCs w:val="26"/>
        </w:rPr>
      </w:pPr>
      <w:r w:rsidRPr="009D6A2A">
        <w:rPr>
          <w:rFonts w:ascii="Times New Roman" w:hAnsi="Times New Roman"/>
          <w:b/>
          <w:sz w:val="26"/>
          <w:szCs w:val="26"/>
        </w:rPr>
        <w:t xml:space="preserve">Attorney for the </w:t>
      </w:r>
    </w:p>
    <w:p w:rsidR="00303765" w:rsidRDefault="00F62477" w:rsidP="00303765">
      <w:pPr>
        <w:tabs>
          <w:tab w:val="left" w:pos="4760"/>
        </w:tabs>
        <w:ind w:left="4760"/>
        <w:rPr>
          <w:rFonts w:ascii="Times New Roman" w:hAnsi="Times New Roman"/>
          <w:b/>
          <w:sz w:val="26"/>
          <w:szCs w:val="26"/>
        </w:rPr>
      </w:pPr>
      <w:r w:rsidRPr="009D6A2A">
        <w:rPr>
          <w:rFonts w:ascii="Times New Roman" w:hAnsi="Times New Roman"/>
          <w:b/>
          <w:sz w:val="26"/>
          <w:szCs w:val="26"/>
        </w:rPr>
        <w:t xml:space="preserve">Public Utilities Commission of </w:t>
      </w:r>
      <w:smartTag w:uri="urn:schemas-microsoft-com:office:smarttags" w:element="place">
        <w:smartTag w:uri="urn:schemas-microsoft-com:office:smarttags" w:element="State">
          <w:r w:rsidRPr="009D6A2A">
            <w:rPr>
              <w:rFonts w:ascii="Times New Roman" w:hAnsi="Times New Roman"/>
              <w:b/>
              <w:sz w:val="26"/>
              <w:szCs w:val="26"/>
            </w:rPr>
            <w:t>Ohio</w:t>
          </w:r>
        </w:smartTag>
      </w:smartTag>
    </w:p>
    <w:p w:rsidR="00A46BED" w:rsidRDefault="00A46BED" w:rsidP="00303765">
      <w:pPr>
        <w:tabs>
          <w:tab w:val="left" w:pos="4760"/>
        </w:tabs>
        <w:ind w:left="4760"/>
        <w:rPr>
          <w:rFonts w:ascii="Times New Roman" w:hAnsi="Times New Roman"/>
          <w:b/>
          <w:sz w:val="26"/>
          <w:szCs w:val="26"/>
        </w:rPr>
      </w:pPr>
    </w:p>
    <w:p w:rsidR="00A46BED" w:rsidRDefault="00A46BED" w:rsidP="00303765">
      <w:pPr>
        <w:tabs>
          <w:tab w:val="left" w:pos="4760"/>
        </w:tabs>
        <w:ind w:left="4760"/>
        <w:rPr>
          <w:rFonts w:ascii="Times New Roman" w:hAnsi="Times New Roman"/>
          <w:snapToGrid w:val="0"/>
          <w:sz w:val="26"/>
          <w:szCs w:val="26"/>
        </w:rPr>
      </w:pPr>
    </w:p>
    <w:p w:rsidR="00303765" w:rsidRPr="00CA640D" w:rsidRDefault="00303765" w:rsidP="008743B9">
      <w:pPr>
        <w:pStyle w:val="Heading1"/>
      </w:pPr>
      <w:bookmarkStart w:id="17" w:name="_Toc177529836"/>
      <w:bookmarkStart w:id="18" w:name="_Toc401220733"/>
      <w:r w:rsidRPr="00CA640D">
        <w:t>CERTIFICATE OF SERVICE</w:t>
      </w:r>
      <w:bookmarkEnd w:id="17"/>
      <w:bookmarkEnd w:id="18"/>
    </w:p>
    <w:p w:rsidR="00303765" w:rsidRPr="00CA640D" w:rsidRDefault="00303765" w:rsidP="00A46BED">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B6570D" w:rsidRPr="00B6570D" w:rsidRDefault="00B6570D" w:rsidP="00B6570D">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303765">
      <w:pPr>
        <w:tabs>
          <w:tab w:val="left" w:pos="9360"/>
        </w:tabs>
        <w:ind w:left="4760"/>
        <w:rPr>
          <w:b/>
          <w:sz w:val="26"/>
          <w:szCs w:val="26"/>
        </w:rPr>
      </w:pPr>
      <w:r>
        <w:rPr>
          <w:b/>
          <w:sz w:val="26"/>
          <w:szCs w:val="26"/>
        </w:rPr>
        <w:t>Thomas W. McNamee</w:t>
      </w:r>
    </w:p>
    <w:p w:rsidR="00303765" w:rsidRPr="00CA640D" w:rsidRDefault="00303765" w:rsidP="00303765">
      <w:pPr>
        <w:tabs>
          <w:tab w:val="left" w:pos="9360"/>
        </w:tabs>
        <w:ind w:left="4760"/>
        <w:rPr>
          <w:sz w:val="26"/>
          <w:szCs w:val="26"/>
        </w:rPr>
      </w:pPr>
    </w:p>
    <w:p w:rsidR="00076ACA" w:rsidRPr="009D6A2A" w:rsidRDefault="00A46BED" w:rsidP="00A46BED">
      <w:pPr>
        <w:pStyle w:val="Textstyle"/>
      </w:pPr>
      <w:r w:rsidRPr="00256146">
        <w:t xml:space="preserve">Dated at Columbus, Ohio this </w:t>
      </w:r>
      <w:r w:rsidR="00301DF3">
        <w:t>October 17, 2014</w:t>
      </w:r>
      <w:r w:rsidRPr="00256146">
        <w:t>.</w:t>
      </w:r>
    </w:p>
    <w:sectPr w:rsidR="00076ACA" w:rsidRPr="009D6A2A" w:rsidSect="000B4113">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D9" w:rsidRDefault="009F56D9">
      <w:r>
        <w:separator/>
      </w:r>
    </w:p>
  </w:endnote>
  <w:endnote w:type="continuationSeparator" w:id="0">
    <w:p w:rsidR="009F56D9" w:rsidRDefault="009F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F21" w:rsidRDefault="00482F21" w:rsidP="000B41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ind w:right="360"/>
      <w:jc w:val="center"/>
    </w:pPr>
  </w:p>
  <w:p w:rsidR="00482F21" w:rsidRDefault="00482F21">
    <w:pPr>
      <w:pStyle w:val="Footer"/>
      <w:jc w:val="center"/>
    </w:pPr>
  </w:p>
  <w:p w:rsidR="00482F21" w:rsidRPr="00355D5C" w:rsidRDefault="00482F21" w:rsidP="000B411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B8172D" w:rsidRDefault="00482F21" w:rsidP="00B817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34026803"/>
      <w:docPartObj>
        <w:docPartGallery w:val="Page Numbers (Bottom of Page)"/>
        <w:docPartUnique/>
      </w:docPartObj>
    </w:sdtPr>
    <w:sdtEndPr>
      <w:rPr>
        <w:noProof/>
      </w:rPr>
    </w:sdtEndPr>
    <w:sdtContent>
      <w:p w:rsidR="00482F21" w:rsidRPr="001C3A3E" w:rsidRDefault="001C3A3E" w:rsidP="001C3A3E">
        <w:pPr>
          <w:pStyle w:val="Footer"/>
          <w:jc w:val="center"/>
          <w:rPr>
            <w:sz w:val="24"/>
            <w:szCs w:val="24"/>
          </w:rPr>
        </w:pPr>
        <w:r w:rsidRPr="001C3A3E">
          <w:rPr>
            <w:sz w:val="24"/>
            <w:szCs w:val="24"/>
          </w:rPr>
          <w:fldChar w:fldCharType="begin"/>
        </w:r>
        <w:r w:rsidRPr="001C3A3E">
          <w:rPr>
            <w:sz w:val="24"/>
            <w:szCs w:val="24"/>
          </w:rPr>
          <w:instrText xml:space="preserve"> PAGE   \* MERGEFORMAT </w:instrText>
        </w:r>
        <w:r w:rsidRPr="001C3A3E">
          <w:rPr>
            <w:sz w:val="24"/>
            <w:szCs w:val="24"/>
          </w:rPr>
          <w:fldChar w:fldCharType="separate"/>
        </w:r>
        <w:r w:rsidR="004C78C6">
          <w:rPr>
            <w:noProof/>
            <w:sz w:val="24"/>
            <w:szCs w:val="24"/>
          </w:rPr>
          <w:t>i</w:t>
        </w:r>
        <w:r w:rsidRPr="001C3A3E">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867263956"/>
      <w:docPartObj>
        <w:docPartGallery w:val="Page Numbers (Bottom of Page)"/>
        <w:docPartUnique/>
      </w:docPartObj>
    </w:sdtPr>
    <w:sdtEndPr>
      <w:rPr>
        <w:noProof/>
      </w:rPr>
    </w:sdtEndPr>
    <w:sdtContent>
      <w:p w:rsidR="001C3A3E" w:rsidRPr="001C3A3E" w:rsidRDefault="001C3A3E" w:rsidP="001C3A3E">
        <w:pPr>
          <w:pStyle w:val="Footer"/>
          <w:jc w:val="center"/>
          <w:rPr>
            <w:sz w:val="24"/>
            <w:szCs w:val="24"/>
          </w:rPr>
        </w:pPr>
        <w:r w:rsidRPr="001C3A3E">
          <w:rPr>
            <w:sz w:val="24"/>
            <w:szCs w:val="24"/>
          </w:rPr>
          <w:fldChar w:fldCharType="begin"/>
        </w:r>
        <w:r w:rsidRPr="001C3A3E">
          <w:rPr>
            <w:sz w:val="24"/>
            <w:szCs w:val="24"/>
          </w:rPr>
          <w:instrText xml:space="preserve"> PAGE   \* MERGEFORMAT </w:instrText>
        </w:r>
        <w:r w:rsidRPr="001C3A3E">
          <w:rPr>
            <w:sz w:val="24"/>
            <w:szCs w:val="24"/>
          </w:rPr>
          <w:fldChar w:fldCharType="separate"/>
        </w:r>
        <w:r w:rsidR="004C78C6">
          <w:rPr>
            <w:noProof/>
            <w:sz w:val="24"/>
            <w:szCs w:val="24"/>
          </w:rPr>
          <w:t>9</w:t>
        </w:r>
        <w:r w:rsidRPr="001C3A3E">
          <w:rPr>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3E" w:rsidRPr="001C3A3E" w:rsidRDefault="001C3A3E" w:rsidP="001C3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D9" w:rsidRDefault="009F56D9">
      <w:r>
        <w:separator/>
      </w:r>
    </w:p>
  </w:footnote>
  <w:footnote w:type="continuationSeparator" w:id="0">
    <w:p w:rsidR="009F56D9" w:rsidRDefault="009F56D9">
      <w:r>
        <w:continuationSeparator/>
      </w:r>
    </w:p>
  </w:footnote>
  <w:footnote w:id="1">
    <w:p w:rsidR="009F56D9" w:rsidRDefault="009F56D9" w:rsidP="009F56D9">
      <w:pPr>
        <w:pStyle w:val="FootnoteText"/>
      </w:pPr>
      <w:r>
        <w:rPr>
          <w:rStyle w:val="FootnoteReference"/>
        </w:rPr>
        <w:footnoteRef/>
      </w:r>
      <w:r>
        <w:t xml:space="preserve"> </w:t>
      </w:r>
      <w:r>
        <w:tab/>
      </w:r>
      <w:r>
        <w:tab/>
      </w:r>
      <w:r w:rsidRPr="00CA75C4">
        <w:rPr>
          <w:i/>
        </w:rPr>
        <w:t xml:space="preserve">Percentage of PJM Load </w:t>
      </w:r>
      <w:r>
        <w:rPr>
          <w:i/>
        </w:rPr>
        <w:t>b</w:t>
      </w:r>
      <w:r w:rsidRPr="00CA75C4">
        <w:rPr>
          <w:i/>
        </w:rPr>
        <w:t>y State</w:t>
      </w:r>
      <w:r>
        <w:t xml:space="preserve">, Monitoring Analytics (Aug. 20, 2014), </w:t>
      </w:r>
      <w:hyperlink w:history="1">
        <w:r w:rsidRPr="001775D7">
          <w:rPr>
            <w:rStyle w:val="Hyperlink"/>
          </w:rPr>
          <w:t>http://www.monitoring analytics.com/data/pjm_load.shtml</w:t>
        </w:r>
      </w:hyperlink>
      <w:r>
        <w:t xml:space="preserve">. </w:t>
      </w:r>
    </w:p>
  </w:footnote>
  <w:footnote w:id="2">
    <w:p w:rsidR="009F56D9" w:rsidRDefault="009F56D9" w:rsidP="009F56D9">
      <w:pPr>
        <w:pStyle w:val="FootnoteText"/>
      </w:pPr>
      <w:r>
        <w:rPr>
          <w:rStyle w:val="FootnoteReference"/>
        </w:rPr>
        <w:footnoteRef/>
      </w:r>
      <w:r>
        <w:t xml:space="preserve"> </w:t>
      </w:r>
      <w:r>
        <w:tab/>
      </w:r>
      <w:r>
        <w:tab/>
        <w:t xml:space="preserve">Henceforth, reviews of the </w:t>
      </w:r>
      <w:proofErr w:type="spellStart"/>
      <w:r>
        <w:t>VRR</w:t>
      </w:r>
      <w:proofErr w:type="spellEnd"/>
      <w:r>
        <w:t xml:space="preserve"> curve shape will become quadrennial.  </w:t>
      </w:r>
      <w:r w:rsidRPr="003057D4">
        <w:rPr>
          <w:i/>
        </w:rPr>
        <w:t>See,</w:t>
      </w:r>
      <w:r>
        <w:t xml:space="preserve"> PJM Transmittal Letter in this docket, September 25, 2014, Footnote 2. Tariff, Attachment DD, Sections 5.10(a</w:t>
      </w:r>
      <w:proofErr w:type="gramStart"/>
      <w:r>
        <w:t>)(</w:t>
      </w:r>
      <w:proofErr w:type="spellStart"/>
      <w:proofErr w:type="gramEnd"/>
      <w:r>
        <w:t>i</w:t>
      </w:r>
      <w:proofErr w:type="spellEnd"/>
      <w:r>
        <w:t xml:space="preserve">) – (iii).      </w:t>
      </w:r>
    </w:p>
  </w:footnote>
  <w:footnote w:id="3">
    <w:p w:rsidR="009F56D9" w:rsidRDefault="009F56D9" w:rsidP="009F56D9">
      <w:pPr>
        <w:pStyle w:val="FootnoteText"/>
      </w:pPr>
      <w:r>
        <w:rPr>
          <w:rStyle w:val="FootnoteReference"/>
        </w:rPr>
        <w:footnoteRef/>
      </w:r>
      <w:r>
        <w:t xml:space="preserve"> </w:t>
      </w:r>
      <w:r>
        <w:tab/>
      </w:r>
      <w:r>
        <w:tab/>
        <w:t>PJM Application at 2, 17, Table 1.</w:t>
      </w:r>
    </w:p>
  </w:footnote>
  <w:footnote w:id="4">
    <w:p w:rsidR="009F56D9" w:rsidRDefault="009F56D9" w:rsidP="009F56D9">
      <w:pPr>
        <w:pStyle w:val="FootnoteText"/>
      </w:pPr>
      <w:r>
        <w:rPr>
          <w:rStyle w:val="FootnoteReference"/>
        </w:rPr>
        <w:footnoteRef/>
      </w:r>
      <w:r>
        <w:t xml:space="preserve"> </w:t>
      </w:r>
      <w:r w:rsidR="006F3E21">
        <w:tab/>
      </w:r>
      <w:r w:rsidR="006F3E21">
        <w:tab/>
      </w:r>
      <w:r>
        <w:t xml:space="preserve">Brattle Report </w:t>
      </w:r>
      <w:r w:rsidR="006F3E21">
        <w:t xml:space="preserve">at </w:t>
      </w:r>
      <w:r>
        <w:t>15-16</w:t>
      </w:r>
    </w:p>
  </w:footnote>
  <w:footnote w:id="5">
    <w:p w:rsidR="009F56D9" w:rsidRDefault="009F56D9" w:rsidP="009F56D9">
      <w:pPr>
        <w:pStyle w:val="FootnoteText"/>
      </w:pPr>
      <w:r>
        <w:rPr>
          <w:rStyle w:val="FootnoteReference"/>
        </w:rPr>
        <w:footnoteRef/>
      </w:r>
      <w:r w:rsidR="006F3E21">
        <w:tab/>
      </w:r>
      <w:r w:rsidR="006F3E21">
        <w:tab/>
      </w:r>
      <w:r w:rsidRPr="006F3E21">
        <w:rPr>
          <w:i/>
        </w:rPr>
        <w:t>Id</w:t>
      </w:r>
      <w:r>
        <w:t>.</w:t>
      </w:r>
    </w:p>
  </w:footnote>
  <w:footnote w:id="6">
    <w:p w:rsidR="009F56D9" w:rsidRPr="00693BF9" w:rsidRDefault="009F56D9" w:rsidP="009F56D9">
      <w:pPr>
        <w:pStyle w:val="FootnoteText"/>
      </w:pPr>
      <w:r>
        <w:rPr>
          <w:rStyle w:val="FootnoteReference"/>
        </w:rPr>
        <w:footnoteRef/>
      </w:r>
      <w:r>
        <w:t xml:space="preserve"> </w:t>
      </w:r>
      <w:r w:rsidR="006F3E21">
        <w:tab/>
      </w:r>
      <w:r w:rsidR="006F3E21">
        <w:tab/>
      </w:r>
      <w:r>
        <w:t xml:space="preserve">The </w:t>
      </w:r>
      <w:proofErr w:type="spellStart"/>
      <w:r>
        <w:t>IMM</w:t>
      </w:r>
      <w:proofErr w:type="spellEnd"/>
      <w:r>
        <w:t xml:space="preserve"> for PJM also supports this approach.  </w:t>
      </w:r>
      <w:r w:rsidRPr="00BF24C7">
        <w:rPr>
          <w:i/>
        </w:rPr>
        <w:t>See</w:t>
      </w:r>
      <w:r>
        <w:t xml:space="preserve"> FERC Docket </w:t>
      </w:r>
      <w:r w:rsidR="006F3E21">
        <w:t xml:space="preserve">No. </w:t>
      </w:r>
      <w:r>
        <w:t>ER13-535-001</w:t>
      </w:r>
      <w:r w:rsidR="006F3E21">
        <w:t xml:space="preserve"> (</w:t>
      </w:r>
      <w:proofErr w:type="spellStart"/>
      <w:r w:rsidR="006F3E21">
        <w:t>IMM</w:t>
      </w:r>
      <w:proofErr w:type="spellEnd"/>
      <w:r w:rsidR="006F3E21">
        <w:t xml:space="preserve"> Comments at 3-4) (</w:t>
      </w:r>
      <w:r>
        <w:t>Mar</w:t>
      </w:r>
      <w:r w:rsidR="006F3E21">
        <w:t>.</w:t>
      </w:r>
      <w:r>
        <w:t xml:space="preserve"> 24, 2013</w:t>
      </w:r>
      <w:r w:rsidR="006F3E21">
        <w:t>)</w:t>
      </w:r>
      <w:r>
        <w:t>.</w:t>
      </w:r>
      <w:r w:rsidR="006F3E21" w:rsidRPr="00693BF9">
        <w:t xml:space="preserve"> </w:t>
      </w:r>
    </w:p>
  </w:footnote>
  <w:footnote w:id="7">
    <w:p w:rsidR="009F56D9" w:rsidRDefault="009F56D9" w:rsidP="009F56D9">
      <w:pPr>
        <w:pStyle w:val="FootnoteText"/>
      </w:pPr>
      <w:r>
        <w:rPr>
          <w:rStyle w:val="FootnoteReference"/>
        </w:rPr>
        <w:footnoteRef/>
      </w:r>
      <w:r>
        <w:t xml:space="preserve"> </w:t>
      </w:r>
      <w:r w:rsidR="006F3E21">
        <w:tab/>
      </w:r>
      <w:r w:rsidR="006F3E21">
        <w:tab/>
      </w:r>
      <w:r w:rsidRPr="006F3E21">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F62477" w:rsidRDefault="00482F21">
    <w:pPr>
      <w:pStyle w:val="Header"/>
      <w:rPr>
        <w:b/>
        <w:sz w:val="22"/>
        <w:szCs w:val="22"/>
      </w:rPr>
    </w:pPr>
    <w:r>
      <w:tab/>
    </w:r>
    <w:r>
      <w:tab/>
    </w:r>
    <w:smartTag w:uri="urn:schemas-microsoft-com:office:smarttags" w:element="place">
      <w:smartTag w:uri="urn:schemas-microsoft-com:office:smarttags" w:element="State">
        <w:r w:rsidRPr="00F62477">
          <w:rPr>
            <w:b/>
            <w:sz w:val="22"/>
            <w:szCs w:val="22"/>
          </w:rPr>
          <w:t>Ohio</w:t>
        </w:r>
      </w:smartTag>
    </w:smartTag>
    <w:r w:rsidRPr="00F62477">
      <w:rPr>
        <w:b/>
        <w:sz w:val="22"/>
        <w:szCs w:val="22"/>
      </w:rPr>
      <w:t xml:space="preserve"> Commission Comments</w:t>
    </w:r>
    <w:r w:rsidRPr="00F62477">
      <w:rPr>
        <w:b/>
        <w:sz w:val="22"/>
        <w:szCs w:val="22"/>
      </w:rPr>
      <w:tab/>
    </w:r>
  </w:p>
  <w:p w:rsidR="00482F21" w:rsidRPr="00F62477" w:rsidRDefault="00482F21">
    <w:pPr>
      <w:pStyle w:val="Header"/>
      <w:rPr>
        <w:b/>
        <w:sz w:val="22"/>
        <w:szCs w:val="22"/>
      </w:rPr>
    </w:pPr>
    <w:r w:rsidRPr="00F62477">
      <w:rPr>
        <w:b/>
        <w:sz w:val="22"/>
        <w:szCs w:val="22"/>
      </w:rPr>
      <w:tab/>
    </w:r>
    <w:r w:rsidRPr="00F62477">
      <w:rPr>
        <w:b/>
        <w:sz w:val="22"/>
        <w:szCs w:val="22"/>
      </w:rPr>
      <w:tab/>
    </w:r>
    <w:r>
      <w:rPr>
        <w:b/>
        <w:sz w:val="22"/>
        <w:szCs w:val="22"/>
      </w:rPr>
      <w:t>EC-08-78-000</w:t>
    </w:r>
  </w:p>
  <w:p w:rsidR="00482F21" w:rsidRPr="00F62477" w:rsidRDefault="00482F21">
    <w:pPr>
      <w:pStyle w:val="Header"/>
      <w:rPr>
        <w:b/>
        <w:sz w:val="22"/>
        <w:szCs w:val="22"/>
      </w:rPr>
    </w:pPr>
    <w:r w:rsidRPr="00F62477">
      <w:rPr>
        <w:b/>
        <w:sz w:val="22"/>
        <w:szCs w:val="22"/>
      </w:rPr>
      <w:tab/>
    </w:r>
    <w:r w:rsidRPr="00F62477">
      <w:rPr>
        <w:b/>
        <w:sz w:val="22"/>
        <w:szCs w:val="22"/>
      </w:rPr>
      <w:tab/>
      <w:t xml:space="preserve">Page </w:t>
    </w:r>
    <w:r w:rsidRPr="00F62477">
      <w:rPr>
        <w:b/>
        <w:sz w:val="22"/>
        <w:szCs w:val="22"/>
      </w:rPr>
      <w:fldChar w:fldCharType="begin"/>
    </w:r>
    <w:r w:rsidRPr="00F62477">
      <w:rPr>
        <w:b/>
        <w:sz w:val="22"/>
        <w:szCs w:val="22"/>
      </w:rPr>
      <w:instrText xml:space="preserve"> PAGE </w:instrText>
    </w:r>
    <w:r w:rsidRPr="00F62477">
      <w:rPr>
        <w:b/>
        <w:sz w:val="22"/>
        <w:szCs w:val="22"/>
      </w:rPr>
      <w:fldChar w:fldCharType="separate"/>
    </w:r>
    <w:r w:rsidR="006F3E21">
      <w:rPr>
        <w:b/>
        <w:noProof/>
        <w:sz w:val="22"/>
        <w:szCs w:val="22"/>
      </w:rPr>
      <w:t>2</w:t>
    </w:r>
    <w:r w:rsidRPr="00F62477">
      <w:rPr>
        <w:b/>
        <w:sz w:val="22"/>
        <w:szCs w:val="22"/>
      </w:rPr>
      <w:fldChar w:fldCharType="end"/>
    </w:r>
    <w:r w:rsidRPr="00F62477">
      <w:rPr>
        <w:b/>
        <w:sz w:val="22"/>
        <w:szCs w:val="22"/>
      </w:rPr>
      <w:t xml:space="preserve"> of </w:t>
    </w:r>
    <w:r w:rsidRPr="00F62477">
      <w:rPr>
        <w:b/>
        <w:sz w:val="22"/>
        <w:szCs w:val="22"/>
      </w:rPr>
      <w:fldChar w:fldCharType="begin"/>
    </w:r>
    <w:r w:rsidRPr="00F62477">
      <w:rPr>
        <w:b/>
        <w:sz w:val="22"/>
        <w:szCs w:val="22"/>
      </w:rPr>
      <w:instrText xml:space="preserve"> NUMPAGES </w:instrText>
    </w:r>
    <w:r w:rsidRPr="00F62477">
      <w:rPr>
        <w:b/>
        <w:sz w:val="22"/>
        <w:szCs w:val="22"/>
      </w:rPr>
      <w:fldChar w:fldCharType="separate"/>
    </w:r>
    <w:r w:rsidR="004C78C6">
      <w:rPr>
        <w:b/>
        <w:noProof/>
        <w:sz w:val="22"/>
        <w:szCs w:val="22"/>
      </w:rPr>
      <w:t>11</w:t>
    </w:r>
    <w:r w:rsidRPr="00F62477">
      <w:rPr>
        <w:b/>
        <w:sz w:val="22"/>
        <w:szCs w:val="22"/>
      </w:rPr>
      <w:fldChar w:fldCharType="end"/>
    </w:r>
  </w:p>
  <w:p w:rsidR="00482F21" w:rsidRPr="00F62477" w:rsidRDefault="00482F21">
    <w:pPr>
      <w:pStyle w:val="Header"/>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A46BED" w:rsidRDefault="00482F21" w:rsidP="00B8172D">
    <w:pPr>
      <w:pStyle w:val="Header"/>
      <w:jc w:val="right"/>
      <w:rPr>
        <w:rFonts w:ascii="Times New Roman" w:hAnsi="Times New Roman"/>
        <w:b/>
        <w:sz w:val="24"/>
        <w:szCs w:val="24"/>
      </w:rPr>
    </w:pPr>
    <w:smartTag w:uri="urn:schemas-microsoft-com:office:smarttags" w:element="place">
      <w:smartTag w:uri="urn:schemas-microsoft-com:office:smarttags" w:element="State">
        <w:r w:rsidRPr="00A46BED">
          <w:rPr>
            <w:rFonts w:ascii="Times New Roman" w:hAnsi="Times New Roman"/>
            <w:b/>
            <w:sz w:val="24"/>
            <w:szCs w:val="24"/>
          </w:rPr>
          <w:t>Ohio</w:t>
        </w:r>
      </w:smartTag>
    </w:smartTag>
    <w:r w:rsidRPr="00A46BED">
      <w:rPr>
        <w:rFonts w:ascii="Times New Roman" w:hAnsi="Times New Roman"/>
        <w:b/>
        <w:sz w:val="24"/>
        <w:szCs w:val="24"/>
      </w:rPr>
      <w:t xml:space="preserve"> Commission Comments</w:t>
    </w:r>
  </w:p>
  <w:p w:rsidR="00482F21" w:rsidRPr="00A46BED" w:rsidRDefault="009F56D9" w:rsidP="00B8172D">
    <w:pPr>
      <w:pStyle w:val="Header"/>
      <w:jc w:val="right"/>
      <w:rPr>
        <w:rFonts w:ascii="Times New Roman" w:hAnsi="Times New Roman"/>
        <w:b/>
        <w:sz w:val="24"/>
        <w:szCs w:val="24"/>
      </w:rPr>
    </w:pPr>
    <w:r>
      <w:rPr>
        <w:rFonts w:ascii="Times New Roman" w:hAnsi="Times New Roman"/>
        <w:b/>
        <w:sz w:val="24"/>
        <w:szCs w:val="24"/>
      </w:rPr>
      <w:t>ER14-2940-000</w:t>
    </w:r>
  </w:p>
  <w:p w:rsidR="00482F21" w:rsidRPr="00A46BED" w:rsidRDefault="00482F21" w:rsidP="00B8172D">
    <w:pPr>
      <w:pStyle w:val="Header"/>
      <w:jc w:val="right"/>
      <w:rPr>
        <w:rStyle w:val="PageNumber"/>
        <w:rFonts w:ascii="Times New Roman" w:hAnsi="Times New Roman"/>
        <w:b/>
        <w:sz w:val="24"/>
        <w:szCs w:val="24"/>
      </w:rPr>
    </w:pPr>
    <w:r w:rsidRPr="00A46BED">
      <w:rPr>
        <w:rFonts w:ascii="Times New Roman" w:hAnsi="Times New Roman"/>
        <w:b/>
        <w:sz w:val="24"/>
        <w:szCs w:val="24"/>
      </w:rPr>
      <w:t xml:space="preserve">Page </w:t>
    </w:r>
    <w:r w:rsidRPr="00A46BED">
      <w:rPr>
        <w:rStyle w:val="PageNumber"/>
        <w:rFonts w:ascii="Times New Roman" w:hAnsi="Times New Roman"/>
        <w:b/>
        <w:sz w:val="24"/>
        <w:szCs w:val="24"/>
      </w:rPr>
      <w:fldChar w:fldCharType="begin"/>
    </w:r>
    <w:r w:rsidRPr="00A46BED">
      <w:rPr>
        <w:rStyle w:val="PageNumber"/>
        <w:rFonts w:ascii="Times New Roman" w:hAnsi="Times New Roman"/>
        <w:b/>
        <w:sz w:val="24"/>
        <w:szCs w:val="24"/>
      </w:rPr>
      <w:instrText xml:space="preserve"> PAGE </w:instrText>
    </w:r>
    <w:r w:rsidRPr="00A46BED">
      <w:rPr>
        <w:rStyle w:val="PageNumber"/>
        <w:rFonts w:ascii="Times New Roman" w:hAnsi="Times New Roman"/>
        <w:b/>
        <w:sz w:val="24"/>
        <w:szCs w:val="24"/>
      </w:rPr>
      <w:fldChar w:fldCharType="separate"/>
    </w:r>
    <w:r w:rsidR="001C3A3E">
      <w:rPr>
        <w:rStyle w:val="PageNumber"/>
        <w:rFonts w:ascii="Times New Roman" w:hAnsi="Times New Roman"/>
        <w:b/>
        <w:noProof/>
        <w:sz w:val="24"/>
        <w:szCs w:val="24"/>
      </w:rPr>
      <w:t>2</w:t>
    </w:r>
    <w:r w:rsidRPr="00A46BED">
      <w:rPr>
        <w:rStyle w:val="PageNumber"/>
        <w:rFonts w:ascii="Times New Roman" w:hAnsi="Times New Roman"/>
        <w:b/>
        <w:sz w:val="24"/>
        <w:szCs w:val="24"/>
      </w:rPr>
      <w:fldChar w:fldCharType="end"/>
    </w:r>
    <w:r w:rsidRPr="00A46BED">
      <w:rPr>
        <w:rStyle w:val="PageNumber"/>
        <w:rFonts w:ascii="Times New Roman" w:hAnsi="Times New Roman"/>
        <w:b/>
        <w:sz w:val="24"/>
        <w:szCs w:val="24"/>
      </w:rPr>
      <w:t xml:space="preserve"> of </w:t>
    </w:r>
    <w:r w:rsidR="001C3A3E">
      <w:rPr>
        <w:rStyle w:val="PageNumber"/>
        <w:rFonts w:ascii="Times New Roman" w:hAnsi="Times New Roman"/>
        <w:b/>
        <w:sz w:val="24"/>
        <w:szCs w:val="24"/>
      </w:rPr>
      <w:t>9</w:t>
    </w:r>
  </w:p>
  <w:p w:rsidR="00482F21" w:rsidRPr="00A46BED" w:rsidRDefault="00482F21" w:rsidP="00B8172D">
    <w:pPr>
      <w:pStyle w:val="Header"/>
      <w:jc w:val="right"/>
      <w:rPr>
        <w:rFonts w:ascii="Times New Roman" w:hAnsi="Times New Roman"/>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1C3A3E" w:rsidP="001C3A3E">
    <w:pPr>
      <w:pStyle w:val="Header"/>
      <w:jc w:val="center"/>
      <w:rPr>
        <w:b/>
        <w:sz w:val="28"/>
        <w:szCs w:val="28"/>
      </w:rPr>
    </w:pPr>
    <w:r>
      <w:rPr>
        <w:b/>
        <w:sz w:val="28"/>
        <w:szCs w:val="28"/>
      </w:rPr>
      <w:t>TABLE OF CONTENTS</w:t>
    </w:r>
  </w:p>
  <w:p w:rsidR="001C3A3E" w:rsidRDefault="001C3A3E" w:rsidP="001C3A3E">
    <w:pPr>
      <w:pStyle w:val="Header"/>
      <w:jc w:val="right"/>
      <w:rPr>
        <w:b/>
        <w:sz w:val="28"/>
        <w:szCs w:val="28"/>
      </w:rPr>
    </w:pPr>
    <w:r>
      <w:rPr>
        <w:b/>
        <w:sz w:val="28"/>
        <w:szCs w:val="28"/>
      </w:rPr>
      <w:t>Page</w:t>
    </w:r>
  </w:p>
  <w:p w:rsidR="001C3A3E" w:rsidRPr="001C3A3E" w:rsidRDefault="001C3A3E" w:rsidP="001C3A3E">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3E" w:rsidRPr="00A46BED" w:rsidRDefault="001C3A3E" w:rsidP="00B8172D">
    <w:pPr>
      <w:pStyle w:val="Header"/>
      <w:jc w:val="right"/>
      <w:rPr>
        <w:rFonts w:ascii="Times New Roman" w:hAnsi="Times New Roman"/>
        <w:b/>
        <w:sz w:val="24"/>
        <w:szCs w:val="24"/>
      </w:rPr>
    </w:pPr>
    <w:r w:rsidRPr="00A46BED">
      <w:rPr>
        <w:rFonts w:ascii="Times New Roman" w:hAnsi="Times New Roman"/>
        <w:b/>
        <w:sz w:val="24"/>
        <w:szCs w:val="24"/>
      </w:rPr>
      <w:t>Ohio Commission Comments</w:t>
    </w:r>
  </w:p>
  <w:p w:rsidR="001C3A3E" w:rsidRDefault="001C3A3E" w:rsidP="00B8172D">
    <w:pPr>
      <w:pStyle w:val="Header"/>
      <w:jc w:val="right"/>
      <w:rPr>
        <w:rFonts w:ascii="Times New Roman" w:hAnsi="Times New Roman"/>
        <w:b/>
        <w:sz w:val="24"/>
        <w:szCs w:val="24"/>
      </w:rPr>
    </w:pPr>
    <w:r>
      <w:rPr>
        <w:rFonts w:ascii="Times New Roman" w:hAnsi="Times New Roman"/>
        <w:b/>
        <w:sz w:val="24"/>
        <w:szCs w:val="24"/>
      </w:rPr>
      <w:t>ER14-2940-000</w:t>
    </w:r>
  </w:p>
  <w:p w:rsidR="001C3A3E" w:rsidRPr="00A46BED" w:rsidRDefault="001C3A3E" w:rsidP="00B8172D">
    <w:pPr>
      <w:pStyle w:val="Header"/>
      <w:jc w:val="right"/>
      <w:rPr>
        <w:rFonts w:ascii="Times New Roman" w:hAnsi="Times New Roman"/>
        <w:b/>
        <w:sz w:val="24"/>
        <w:szCs w:val="24"/>
      </w:rPr>
    </w:pPr>
    <w:r>
      <w:rPr>
        <w:rFonts w:ascii="Times New Roman" w:hAnsi="Times New Roman"/>
        <w:b/>
        <w:sz w:val="24"/>
        <w:szCs w:val="24"/>
      </w:rPr>
      <w:t>October 17, 2014</w:t>
    </w:r>
  </w:p>
  <w:p w:rsidR="001C3A3E" w:rsidRPr="00A46BED" w:rsidRDefault="001C3A3E" w:rsidP="00B8172D">
    <w:pPr>
      <w:pStyle w:val="Header"/>
      <w:jc w:val="right"/>
      <w:rPr>
        <w:rFonts w:ascii="Times New Roman" w:hAnsi="Times New Roman"/>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3E" w:rsidRPr="00B8172D" w:rsidRDefault="001C3A3E" w:rsidP="00B8172D">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F183F"/>
    <w:multiLevelType w:val="hybridMultilevel"/>
    <w:tmpl w:val="7F902052"/>
    <w:lvl w:ilvl="0" w:tplc="2D8C9D5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D50988"/>
    <w:multiLevelType w:val="hybridMultilevel"/>
    <w:tmpl w:val="96F24AD6"/>
    <w:lvl w:ilvl="0" w:tplc="49CA311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5C1942"/>
    <w:multiLevelType w:val="hybridMultilevel"/>
    <w:tmpl w:val="52BA1B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85DD1"/>
    <w:multiLevelType w:val="hybridMultilevel"/>
    <w:tmpl w:val="E44A7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484218"/>
    <w:multiLevelType w:val="hybridMultilevel"/>
    <w:tmpl w:val="9F12EEB8"/>
    <w:lvl w:ilvl="0" w:tplc="034E1DAE">
      <w:start w:val="2"/>
      <w:numFmt w:val="upperRoman"/>
      <w:pStyle w:val="Heading1"/>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7"/>
  </w:num>
  <w:num w:numId="4">
    <w:abstractNumId w:val="10"/>
  </w:num>
  <w:num w:numId="5">
    <w:abstractNumId w:val="3"/>
  </w:num>
  <w:num w:numId="6">
    <w:abstractNumId w:val="1"/>
  </w:num>
  <w:num w:numId="7">
    <w:abstractNumId w:val="8"/>
  </w:num>
  <w:num w:numId="8">
    <w:abstractNumId w:val="9"/>
  </w:num>
  <w:num w:numId="9">
    <w:abstractNumId w:val="4"/>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9"/>
    <w:rsid w:val="00007F01"/>
    <w:rsid w:val="00037832"/>
    <w:rsid w:val="00076ACA"/>
    <w:rsid w:val="000A72C9"/>
    <w:rsid w:val="000B4113"/>
    <w:rsid w:val="000B5989"/>
    <w:rsid w:val="000E2660"/>
    <w:rsid w:val="00106378"/>
    <w:rsid w:val="00135CA2"/>
    <w:rsid w:val="00153A5E"/>
    <w:rsid w:val="001609DB"/>
    <w:rsid w:val="001A5A19"/>
    <w:rsid w:val="001C3A3E"/>
    <w:rsid w:val="001E059C"/>
    <w:rsid w:val="00201F9F"/>
    <w:rsid w:val="00205025"/>
    <w:rsid w:val="002647A3"/>
    <w:rsid w:val="002971FD"/>
    <w:rsid w:val="002D7EAA"/>
    <w:rsid w:val="00301DF3"/>
    <w:rsid w:val="00303765"/>
    <w:rsid w:val="00324D1D"/>
    <w:rsid w:val="00363FB6"/>
    <w:rsid w:val="00380EF0"/>
    <w:rsid w:val="003843E7"/>
    <w:rsid w:val="003B2C56"/>
    <w:rsid w:val="00432DD5"/>
    <w:rsid w:val="00441A74"/>
    <w:rsid w:val="00482F21"/>
    <w:rsid w:val="004A0D88"/>
    <w:rsid w:val="004C78C6"/>
    <w:rsid w:val="004F1EC4"/>
    <w:rsid w:val="005D4586"/>
    <w:rsid w:val="00607F81"/>
    <w:rsid w:val="0064115F"/>
    <w:rsid w:val="006427A6"/>
    <w:rsid w:val="00651528"/>
    <w:rsid w:val="006F10FC"/>
    <w:rsid w:val="006F3E21"/>
    <w:rsid w:val="00836EAF"/>
    <w:rsid w:val="00873DD9"/>
    <w:rsid w:val="008743B9"/>
    <w:rsid w:val="008D6A39"/>
    <w:rsid w:val="009029E5"/>
    <w:rsid w:val="009130DB"/>
    <w:rsid w:val="00991A55"/>
    <w:rsid w:val="009D6A2A"/>
    <w:rsid w:val="009F56D9"/>
    <w:rsid w:val="00A3393C"/>
    <w:rsid w:val="00A37C37"/>
    <w:rsid w:val="00A46BED"/>
    <w:rsid w:val="00A71758"/>
    <w:rsid w:val="00A90564"/>
    <w:rsid w:val="00A9090D"/>
    <w:rsid w:val="00AA0C58"/>
    <w:rsid w:val="00AA7769"/>
    <w:rsid w:val="00B6570D"/>
    <w:rsid w:val="00B806F5"/>
    <w:rsid w:val="00B8172D"/>
    <w:rsid w:val="00BB7D9D"/>
    <w:rsid w:val="00BE403D"/>
    <w:rsid w:val="00BE67A0"/>
    <w:rsid w:val="00C03FC9"/>
    <w:rsid w:val="00C7337D"/>
    <w:rsid w:val="00CB0D2A"/>
    <w:rsid w:val="00CB0DBF"/>
    <w:rsid w:val="00D829C6"/>
    <w:rsid w:val="00D84779"/>
    <w:rsid w:val="00D87E6C"/>
    <w:rsid w:val="00DA3AC2"/>
    <w:rsid w:val="00DB34F6"/>
    <w:rsid w:val="00DC5262"/>
    <w:rsid w:val="00DD1FFB"/>
    <w:rsid w:val="00E427EA"/>
    <w:rsid w:val="00EA50BB"/>
    <w:rsid w:val="00EB038E"/>
    <w:rsid w:val="00EE79CC"/>
    <w:rsid w:val="00F24E08"/>
    <w:rsid w:val="00F32501"/>
    <w:rsid w:val="00F62477"/>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6206973-01D9-4743-BEED-F48131D0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8743B9"/>
    <w:pPr>
      <w:keepNext/>
      <w:numPr>
        <w:numId w:val="8"/>
      </w:numPr>
      <w:spacing w:before="360" w:after="240"/>
      <w:ind w:hanging="1080"/>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9D6A2A"/>
    <w:pPr>
      <w:keepNext/>
      <w:spacing w:before="360" w:after="240"/>
      <w:ind w:left="1440"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C7337D"/>
    <w:pPr>
      <w:keepNext/>
      <w:spacing w:before="360" w:after="240"/>
      <w:ind w:left="216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pPr>
      <w:spacing w:before="240" w:after="240"/>
      <w:ind w:left="720" w:hanging="720"/>
    </w:pPr>
    <w:rPr>
      <w:rFonts w:ascii="Times New Roman" w:hAnsi="Times New Roman"/>
    </w:rPr>
  </w:style>
  <w:style w:type="character" w:styleId="FootnoteReference">
    <w:name w:val="footnote reference"/>
    <w:aliases w:val="o"/>
    <w:uiPriority w:val="99"/>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nhideWhenUsed/>
    <w:rsid w:val="00F62477"/>
    <w:pPr>
      <w:tabs>
        <w:tab w:val="center" w:pos="4680"/>
        <w:tab w:val="right" w:pos="9360"/>
      </w:tabs>
    </w:pPr>
  </w:style>
  <w:style w:type="character" w:customStyle="1" w:styleId="HeaderChar">
    <w:name w:val="Header Char"/>
    <w:link w:val="Header"/>
    <w:rsid w:val="00F62477"/>
    <w:rPr>
      <w:rFonts w:ascii="Times New (W1)" w:hAnsi="Times New (W1)"/>
      <w:lang w:val="en-US" w:eastAsia="en-US" w:bidi="ar-SA"/>
    </w:rPr>
  </w:style>
  <w:style w:type="paragraph" w:styleId="ListParagraph">
    <w:name w:val="List Paragraph"/>
    <w:basedOn w:val="Normal"/>
    <w:uiPriority w:val="34"/>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8743B9"/>
    <w:rPr>
      <w:b/>
      <w:bCs/>
      <w:kern w:val="32"/>
      <w:sz w:val="28"/>
      <w:szCs w:val="32"/>
      <w:lang w:val="en-US" w:eastAsia="en-US" w:bidi="ar-SA"/>
    </w:rPr>
  </w:style>
  <w:style w:type="character" w:customStyle="1" w:styleId="Heading2Char">
    <w:name w:val="Heading 2 Char"/>
    <w:link w:val="Heading2"/>
    <w:rsid w:val="009D6A2A"/>
    <w:rPr>
      <w:b/>
      <w:bCs/>
      <w:iCs/>
      <w:color w:val="000000"/>
      <w:sz w:val="28"/>
      <w:szCs w:val="28"/>
      <w:lang w:val="en-US" w:eastAsia="en-US" w:bidi="ar-SA"/>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9F56D9"/>
    <w:pPr>
      <w:spacing w:line="480" w:lineRule="auto"/>
    </w:pPr>
    <w:rPr>
      <w:rFonts w:ascii="Times New Roman" w:hAnsi="Times New Roman"/>
      <w:snapToGrid w:val="0"/>
      <w:color w:val="000000"/>
      <w:sz w:val="26"/>
      <w:szCs w:val="26"/>
    </w:rPr>
  </w:style>
  <w:style w:type="character" w:customStyle="1" w:styleId="TextstyleChar">
    <w:name w:val="Text style Char"/>
    <w:link w:val="Textstyle"/>
    <w:rsid w:val="009F56D9"/>
    <w:rPr>
      <w:snapToGrid w:val="0"/>
      <w:color w:val="000000"/>
      <w:sz w:val="26"/>
      <w:szCs w:val="26"/>
    </w:rPr>
  </w:style>
  <w:style w:type="paragraph" w:customStyle="1" w:styleId="Headinjg2">
    <w:name w:val="Headinjg 2"/>
    <w:basedOn w:val="Heading1"/>
    <w:rsid w:val="00303765"/>
  </w:style>
  <w:style w:type="character" w:styleId="Hyperlink">
    <w:name w:val="Hyperlink"/>
    <w:rsid w:val="00303765"/>
    <w:rPr>
      <w:color w:val="0000FF"/>
      <w:u w:val="single"/>
    </w:rPr>
  </w:style>
  <w:style w:type="paragraph" w:styleId="TOC1">
    <w:name w:val="toc 1"/>
    <w:basedOn w:val="Normal"/>
    <w:next w:val="Normal"/>
    <w:autoRedefine/>
    <w:uiPriority w:val="39"/>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uiPriority w:val="39"/>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semiHidden/>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homas.mcnamee@puc.state.oh.u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nathan.tauber@puc.state.oh.us"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C0C5-4D55-413E-A739-D9EFB17D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FERC Pleading 2011</Template>
  <TotalTime>21</TotalTime>
  <Pages>11</Pages>
  <Words>1712</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5</cp:revision>
  <cp:lastPrinted>2014-10-16T18:59:00Z</cp:lastPrinted>
  <dcterms:created xsi:type="dcterms:W3CDTF">2014-10-16T14:42:00Z</dcterms:created>
  <dcterms:modified xsi:type="dcterms:W3CDTF">2014-10-16T18:59:00Z</dcterms:modified>
</cp:coreProperties>
</file>