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4F" w:rsidRPr="00E94C11" w:rsidRDefault="00C90F4F" w:rsidP="00C90F4F">
      <w:pPr>
        <w:pStyle w:val="Title"/>
        <w:rPr>
          <w:sz w:val="28"/>
          <w:szCs w:val="28"/>
        </w:rPr>
      </w:pPr>
      <w:r w:rsidRPr="00E94C11">
        <w:rPr>
          <w:sz w:val="28"/>
          <w:szCs w:val="28"/>
        </w:rPr>
        <w:t>Before</w:t>
      </w:r>
    </w:p>
    <w:p w:rsidR="00C90F4F" w:rsidRPr="00E94C11" w:rsidRDefault="00C90F4F" w:rsidP="00C90F4F">
      <w:pPr>
        <w:jc w:val="center"/>
        <w:rPr>
          <w:rFonts w:cs="Arial"/>
          <w:b/>
          <w:smallCaps/>
          <w:sz w:val="28"/>
          <w:szCs w:val="28"/>
        </w:rPr>
      </w:pPr>
      <w:r w:rsidRPr="00E94C11">
        <w:rPr>
          <w:rFonts w:cs="Arial"/>
          <w:b/>
          <w:smallCaps/>
          <w:sz w:val="28"/>
          <w:szCs w:val="28"/>
        </w:rPr>
        <w:t>The Public Utilities Commission of Ohio</w:t>
      </w:r>
    </w:p>
    <w:p w:rsidR="00C90F4F" w:rsidRDefault="00C90F4F" w:rsidP="00C90F4F">
      <w:pPr>
        <w:autoSpaceDE w:val="0"/>
        <w:autoSpaceDN w:val="0"/>
        <w:adjustRightInd w:val="0"/>
        <w:rPr>
          <w:rFonts w:cs="Arial"/>
        </w:rPr>
      </w:pPr>
    </w:p>
    <w:p w:rsidR="00C90F4F" w:rsidRDefault="00C90F4F" w:rsidP="00C90F4F">
      <w:pPr>
        <w:autoSpaceDE w:val="0"/>
        <w:autoSpaceDN w:val="0"/>
        <w:adjustRightInd w:val="0"/>
        <w:rPr>
          <w:rFonts w:cs="Arial"/>
        </w:rPr>
      </w:pPr>
    </w:p>
    <w:p w:rsidR="00C90F4F" w:rsidRDefault="00C90F4F" w:rsidP="00C90F4F">
      <w:pPr>
        <w:pStyle w:val="BodyText"/>
        <w:tabs>
          <w:tab w:val="left" w:pos="4500"/>
        </w:tabs>
      </w:pPr>
      <w:r>
        <w:t>In the Matter of the Application of Duke</w:t>
      </w:r>
      <w:r>
        <w:tab/>
        <w:t>)</w:t>
      </w:r>
    </w:p>
    <w:p w:rsidR="00C90F4F" w:rsidRDefault="00C90F4F" w:rsidP="00C90F4F">
      <w:pPr>
        <w:pStyle w:val="BodyText"/>
        <w:tabs>
          <w:tab w:val="left" w:pos="4500"/>
        </w:tabs>
      </w:pPr>
      <w:r>
        <w:t>Energy Ohio, Inc., for Authority to</w:t>
      </w:r>
      <w:r>
        <w:tab/>
        <w:t>)</w:t>
      </w:r>
    </w:p>
    <w:p w:rsidR="00C90F4F" w:rsidRDefault="00C90F4F" w:rsidP="00C90F4F">
      <w:pPr>
        <w:pStyle w:val="BodyText"/>
        <w:tabs>
          <w:tab w:val="left" w:pos="4500"/>
        </w:tabs>
      </w:pPr>
      <w:r>
        <w:t>Establish a Non-residential Energy</w:t>
      </w:r>
      <w:r>
        <w:tab/>
        <w:t>)</w:t>
      </w:r>
      <w:r>
        <w:tab/>
        <w:t>Case No. 14-1575-EL-POR</w:t>
      </w:r>
    </w:p>
    <w:p w:rsidR="00C90F4F" w:rsidRDefault="00C90F4F" w:rsidP="00C90F4F">
      <w:pPr>
        <w:pStyle w:val="BodyText"/>
        <w:tabs>
          <w:tab w:val="left" w:pos="4500"/>
        </w:tabs>
      </w:pPr>
      <w:r>
        <w:t>Efficiency Program for Inclusion in its</w:t>
      </w:r>
      <w:r>
        <w:tab/>
        <w:t>)</w:t>
      </w:r>
    </w:p>
    <w:p w:rsidR="00C90F4F" w:rsidRDefault="00C90F4F" w:rsidP="00C90F4F">
      <w:pPr>
        <w:pStyle w:val="BodyText"/>
        <w:tabs>
          <w:tab w:val="left" w:pos="4500"/>
        </w:tabs>
      </w:pPr>
      <w:r>
        <w:t>Energy Efficiency Portfolio</w:t>
      </w:r>
      <w:r>
        <w:tab/>
        <w:t>)</w:t>
      </w:r>
    </w:p>
    <w:p w:rsidR="00C90F4F" w:rsidRDefault="00C90F4F" w:rsidP="00C90F4F"/>
    <w:p w:rsidR="00C90F4F" w:rsidRDefault="00C90F4F" w:rsidP="00C90F4F">
      <w:r>
        <w:t>______________________________________________________________________</w:t>
      </w:r>
    </w:p>
    <w:p w:rsidR="00C90F4F" w:rsidRDefault="00C90F4F" w:rsidP="00C90F4F"/>
    <w:p w:rsidR="00C90F4F" w:rsidRDefault="00152BDD" w:rsidP="00C90F4F">
      <w:pPr>
        <w:jc w:val="center"/>
        <w:rPr>
          <w:rFonts w:ascii="Arial Bold" w:hAnsi="Arial Bold"/>
          <w:b/>
          <w:caps/>
          <w:sz w:val="28"/>
          <w:szCs w:val="28"/>
        </w:rPr>
      </w:pPr>
      <w:r>
        <w:rPr>
          <w:rFonts w:ascii="Arial Bold" w:hAnsi="Arial Bold"/>
          <w:b/>
          <w:caps/>
          <w:sz w:val="28"/>
          <w:szCs w:val="28"/>
        </w:rPr>
        <w:t>Re</w:t>
      </w:r>
      <w:r w:rsidR="00316575">
        <w:rPr>
          <w:rFonts w:ascii="Arial Bold" w:hAnsi="Arial Bold"/>
          <w:b/>
          <w:caps/>
          <w:sz w:val="28"/>
          <w:szCs w:val="28"/>
        </w:rPr>
        <w:t>P</w:t>
      </w:r>
      <w:r>
        <w:rPr>
          <w:rFonts w:ascii="Arial Bold" w:hAnsi="Arial Bold"/>
          <w:b/>
          <w:caps/>
          <w:sz w:val="28"/>
          <w:szCs w:val="28"/>
        </w:rPr>
        <w:t>ly</w:t>
      </w:r>
      <w:r w:rsidR="00C90F4F" w:rsidRPr="00E94C11">
        <w:rPr>
          <w:rFonts w:ascii="Arial Bold" w:hAnsi="Arial Bold"/>
          <w:b/>
          <w:caps/>
          <w:sz w:val="28"/>
          <w:szCs w:val="28"/>
        </w:rPr>
        <w:t xml:space="preserve"> Co</w:t>
      </w:r>
      <w:bookmarkStart w:id="0" w:name="_GoBack"/>
      <w:bookmarkEnd w:id="0"/>
      <w:r w:rsidR="00C90F4F" w:rsidRPr="00E94C11">
        <w:rPr>
          <w:rFonts w:ascii="Arial Bold" w:hAnsi="Arial Bold"/>
          <w:b/>
          <w:caps/>
          <w:sz w:val="28"/>
          <w:szCs w:val="28"/>
        </w:rPr>
        <w:t>mments of</w:t>
      </w:r>
    </w:p>
    <w:p w:rsidR="00C90F4F" w:rsidRPr="00E94C11" w:rsidRDefault="00C90F4F" w:rsidP="00C90F4F">
      <w:pPr>
        <w:jc w:val="center"/>
        <w:rPr>
          <w:rFonts w:ascii="Arial Bold" w:hAnsi="Arial Bold"/>
          <w:b/>
          <w:caps/>
        </w:rPr>
      </w:pPr>
      <w:r w:rsidRPr="00E94C11">
        <w:rPr>
          <w:rFonts w:ascii="Arial Bold" w:hAnsi="Arial Bold"/>
          <w:b/>
          <w:caps/>
          <w:sz w:val="28"/>
          <w:szCs w:val="28"/>
        </w:rPr>
        <w:t>Industrial Energy Users-Ohio</w:t>
      </w:r>
    </w:p>
    <w:p w:rsidR="00C90F4F" w:rsidRDefault="00C90F4F" w:rsidP="00C90F4F">
      <w:r>
        <w:t>______________________________________________________________________</w:t>
      </w:r>
    </w:p>
    <w:p w:rsidR="00C90F4F" w:rsidRDefault="00C90F4F" w:rsidP="00C90F4F"/>
    <w:p w:rsidR="00C90F4F" w:rsidRDefault="00C90F4F" w:rsidP="00C90F4F">
      <w:pPr>
        <w:widowControl w:val="0"/>
        <w:ind w:left="4320"/>
        <w:rPr>
          <w:rFonts w:eastAsia="Calibri" w:cs="Arial"/>
          <w:bCs/>
        </w:rPr>
      </w:pPr>
    </w:p>
    <w:p w:rsidR="00C90F4F" w:rsidRDefault="00C90F4F" w:rsidP="00C90F4F">
      <w:pPr>
        <w:widowControl w:val="0"/>
        <w:ind w:left="4320"/>
        <w:rPr>
          <w:rFonts w:eastAsia="Calibri" w:cs="Arial"/>
          <w:bCs/>
        </w:rPr>
      </w:pPr>
    </w:p>
    <w:p w:rsidR="00C90F4F" w:rsidRDefault="00C90F4F" w:rsidP="00C90F4F">
      <w:pPr>
        <w:widowControl w:val="0"/>
        <w:ind w:left="4320"/>
        <w:rPr>
          <w:rFonts w:eastAsia="Calibri" w:cs="Arial"/>
          <w:bCs/>
        </w:rPr>
      </w:pPr>
    </w:p>
    <w:p w:rsidR="00C90F4F" w:rsidRDefault="00C90F4F" w:rsidP="00C90F4F">
      <w:pPr>
        <w:widowControl w:val="0"/>
        <w:ind w:left="4320"/>
        <w:rPr>
          <w:rFonts w:eastAsia="Calibri" w:cs="Arial"/>
          <w:bCs/>
        </w:rPr>
      </w:pPr>
    </w:p>
    <w:p w:rsidR="00C90F4F" w:rsidRDefault="00C90F4F" w:rsidP="00C90F4F">
      <w:pPr>
        <w:widowControl w:val="0"/>
        <w:ind w:left="4320"/>
        <w:rPr>
          <w:rFonts w:eastAsia="Calibri" w:cs="Arial"/>
          <w:bCs/>
        </w:rPr>
      </w:pPr>
    </w:p>
    <w:p w:rsidR="00C90F4F" w:rsidRDefault="00C90F4F" w:rsidP="00C90F4F">
      <w:pPr>
        <w:widowControl w:val="0"/>
        <w:ind w:left="4320"/>
        <w:rPr>
          <w:rFonts w:eastAsia="Calibri" w:cs="Arial"/>
          <w:bCs/>
        </w:rPr>
      </w:pPr>
    </w:p>
    <w:p w:rsidR="00C90F4F" w:rsidRDefault="00C90F4F" w:rsidP="00C90F4F">
      <w:pPr>
        <w:widowControl w:val="0"/>
        <w:ind w:left="4320"/>
        <w:rPr>
          <w:rFonts w:eastAsia="Calibri" w:cs="Arial"/>
          <w:bCs/>
        </w:rPr>
      </w:pPr>
    </w:p>
    <w:p w:rsidR="00C90F4F" w:rsidRDefault="00C90F4F" w:rsidP="00C90F4F">
      <w:pPr>
        <w:widowControl w:val="0"/>
        <w:ind w:left="4320"/>
        <w:rPr>
          <w:rFonts w:eastAsia="Calibri" w:cs="Arial"/>
          <w:bCs/>
        </w:rPr>
      </w:pPr>
    </w:p>
    <w:p w:rsidR="00C90F4F" w:rsidRDefault="00C90F4F" w:rsidP="00C90F4F">
      <w:pPr>
        <w:widowControl w:val="0"/>
        <w:ind w:left="4320"/>
        <w:rPr>
          <w:rFonts w:eastAsia="Calibri" w:cs="Arial"/>
          <w:bCs/>
        </w:rPr>
      </w:pPr>
    </w:p>
    <w:p w:rsidR="00C90F4F" w:rsidRDefault="00C90F4F" w:rsidP="00C90F4F">
      <w:pPr>
        <w:widowControl w:val="0"/>
        <w:ind w:left="4320"/>
        <w:rPr>
          <w:rFonts w:eastAsia="Calibri" w:cs="Arial"/>
          <w:bCs/>
        </w:rPr>
      </w:pPr>
    </w:p>
    <w:p w:rsidR="00C90F4F" w:rsidRDefault="00C90F4F" w:rsidP="00C90F4F">
      <w:pPr>
        <w:widowControl w:val="0"/>
        <w:ind w:left="4320"/>
        <w:rPr>
          <w:rFonts w:eastAsia="Calibri" w:cs="Arial"/>
          <w:bCs/>
        </w:rPr>
      </w:pPr>
    </w:p>
    <w:p w:rsidR="00C90F4F" w:rsidRDefault="00C90F4F" w:rsidP="00C90F4F">
      <w:pPr>
        <w:widowControl w:val="0"/>
        <w:ind w:left="4320"/>
        <w:rPr>
          <w:rFonts w:eastAsia="Calibri" w:cs="Arial"/>
          <w:bCs/>
        </w:rPr>
      </w:pPr>
    </w:p>
    <w:p w:rsidR="00C90F4F" w:rsidRDefault="00C90F4F" w:rsidP="00C90F4F">
      <w:pPr>
        <w:widowControl w:val="0"/>
        <w:ind w:left="4320"/>
        <w:rPr>
          <w:rFonts w:eastAsia="Calibri" w:cs="Arial"/>
          <w:bCs/>
        </w:rPr>
      </w:pPr>
    </w:p>
    <w:p w:rsidR="00C90F4F" w:rsidRDefault="00C90F4F" w:rsidP="00C90F4F">
      <w:pPr>
        <w:widowControl w:val="0"/>
        <w:ind w:left="4320"/>
        <w:rPr>
          <w:rFonts w:eastAsia="Calibri" w:cs="Arial"/>
          <w:bCs/>
        </w:rPr>
      </w:pPr>
    </w:p>
    <w:p w:rsidR="00C90F4F" w:rsidRDefault="00C90F4F" w:rsidP="00C90F4F">
      <w:pPr>
        <w:widowControl w:val="0"/>
        <w:ind w:left="4320"/>
        <w:rPr>
          <w:rFonts w:eastAsia="Calibri" w:cs="Arial"/>
          <w:bCs/>
        </w:rPr>
      </w:pPr>
      <w:r w:rsidRPr="0074338B">
        <w:rPr>
          <w:rFonts w:eastAsia="Calibri" w:cs="Arial"/>
          <w:bCs/>
        </w:rPr>
        <w:t>Frank P. Darr (Reg. No. 0025469)</w:t>
      </w:r>
    </w:p>
    <w:p w:rsidR="00C90F4F" w:rsidRPr="0074338B" w:rsidRDefault="00C90F4F" w:rsidP="00C90F4F">
      <w:pPr>
        <w:widowControl w:val="0"/>
        <w:ind w:left="4320"/>
        <w:rPr>
          <w:rFonts w:eastAsia="Calibri" w:cs="Arial"/>
          <w:bCs/>
        </w:rPr>
      </w:pPr>
      <w:r>
        <w:rPr>
          <w:rFonts w:eastAsia="Calibri" w:cs="Arial"/>
          <w:bCs/>
        </w:rPr>
        <w:t>(Counsel of Record)</w:t>
      </w:r>
    </w:p>
    <w:p w:rsidR="00C90F4F" w:rsidRPr="0074338B" w:rsidRDefault="00C90F4F" w:rsidP="00C90F4F">
      <w:pPr>
        <w:widowControl w:val="0"/>
        <w:ind w:left="4320"/>
        <w:rPr>
          <w:rFonts w:eastAsia="Calibri" w:cs="Arial"/>
          <w:b/>
          <w:bCs/>
        </w:rPr>
      </w:pPr>
      <w:r w:rsidRPr="0074338B">
        <w:rPr>
          <w:rFonts w:eastAsia="Calibri" w:cs="Arial"/>
          <w:bCs/>
        </w:rPr>
        <w:t>Matthew R. Pritchard (Reg. No. 0088070)</w:t>
      </w:r>
    </w:p>
    <w:p w:rsidR="00C90F4F" w:rsidRPr="0074338B" w:rsidRDefault="00C90F4F" w:rsidP="00C90F4F">
      <w:pPr>
        <w:widowControl w:val="0"/>
        <w:ind w:left="4320"/>
        <w:rPr>
          <w:rFonts w:eastAsia="Calibri" w:cs="Arial"/>
          <w:b/>
          <w:bCs/>
          <w:smallCaps/>
        </w:rPr>
      </w:pPr>
      <w:r w:rsidRPr="0074338B">
        <w:rPr>
          <w:rFonts w:eastAsia="Calibri" w:cs="Arial"/>
          <w:bCs/>
          <w:smallCaps/>
        </w:rPr>
        <w:t>McNees Wallace &amp; Nurick LLC</w:t>
      </w:r>
    </w:p>
    <w:p w:rsidR="00C90F4F" w:rsidRPr="0074338B" w:rsidRDefault="00C90F4F" w:rsidP="00C90F4F">
      <w:pPr>
        <w:widowControl w:val="0"/>
        <w:ind w:left="4320"/>
        <w:rPr>
          <w:rFonts w:eastAsia="Calibri" w:cs="Arial"/>
          <w:b/>
          <w:bCs/>
        </w:rPr>
      </w:pPr>
      <w:r w:rsidRPr="0074338B">
        <w:rPr>
          <w:rFonts w:eastAsia="Calibri" w:cs="Arial"/>
          <w:bCs/>
        </w:rPr>
        <w:t>21 East State Street, 17</w:t>
      </w:r>
      <w:r w:rsidRPr="0074338B">
        <w:rPr>
          <w:rFonts w:eastAsia="Calibri" w:cs="Arial"/>
          <w:bCs/>
          <w:vertAlign w:val="superscript"/>
        </w:rPr>
        <w:t>TH</w:t>
      </w:r>
      <w:r w:rsidRPr="0074338B">
        <w:rPr>
          <w:rFonts w:eastAsia="Calibri" w:cs="Arial"/>
          <w:bCs/>
        </w:rPr>
        <w:t xml:space="preserve"> Floor</w:t>
      </w:r>
    </w:p>
    <w:p w:rsidR="00C90F4F" w:rsidRPr="0074338B" w:rsidRDefault="00C90F4F" w:rsidP="00C90F4F">
      <w:pPr>
        <w:tabs>
          <w:tab w:val="left" w:pos="-1440"/>
          <w:tab w:val="left" w:pos="-720"/>
          <w:tab w:val="left" w:pos="5040"/>
          <w:tab w:val="center" w:pos="7200"/>
        </w:tabs>
        <w:overflowPunct w:val="0"/>
        <w:autoSpaceDE w:val="0"/>
        <w:autoSpaceDN w:val="0"/>
        <w:adjustRightInd w:val="0"/>
        <w:ind w:left="4320"/>
        <w:rPr>
          <w:rFonts w:eastAsia="Calibri" w:cs="Arial"/>
        </w:rPr>
      </w:pPr>
      <w:r w:rsidRPr="0074338B">
        <w:rPr>
          <w:rFonts w:eastAsia="Calibri" w:cs="Arial"/>
        </w:rPr>
        <w:t>Columbus, OH  43215</w:t>
      </w:r>
    </w:p>
    <w:p w:rsidR="00C90F4F" w:rsidRPr="0074338B" w:rsidRDefault="00C90F4F" w:rsidP="00C90F4F">
      <w:pPr>
        <w:tabs>
          <w:tab w:val="left" w:pos="-1440"/>
          <w:tab w:val="left" w:pos="-720"/>
          <w:tab w:val="left" w:pos="5040"/>
          <w:tab w:val="center" w:pos="7200"/>
        </w:tabs>
        <w:overflowPunct w:val="0"/>
        <w:autoSpaceDE w:val="0"/>
        <w:autoSpaceDN w:val="0"/>
        <w:adjustRightInd w:val="0"/>
        <w:ind w:left="4320"/>
        <w:rPr>
          <w:rFonts w:eastAsia="Calibri" w:cs="Arial"/>
        </w:rPr>
      </w:pPr>
      <w:r w:rsidRPr="0074338B">
        <w:rPr>
          <w:rFonts w:eastAsia="Calibri" w:cs="Arial"/>
        </w:rPr>
        <w:t>Telephone:  (614) 469-8000</w:t>
      </w:r>
    </w:p>
    <w:p w:rsidR="00C90F4F" w:rsidRPr="0074338B" w:rsidRDefault="00C90F4F" w:rsidP="00C90F4F">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Telecopier:  (614) 469-4653</w:t>
      </w:r>
    </w:p>
    <w:p w:rsidR="00C90F4F" w:rsidRPr="0074338B" w:rsidRDefault="00C90F4F" w:rsidP="00C90F4F">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rPr>
        <w:t>fdarr@mwncmh.com</w:t>
      </w:r>
    </w:p>
    <w:p w:rsidR="00C90F4F" w:rsidRPr="0074338B" w:rsidRDefault="00C90F4F" w:rsidP="00C90F4F">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(willing to accept service by e-mail)</w:t>
      </w:r>
    </w:p>
    <w:p w:rsidR="00C90F4F" w:rsidRPr="0074338B" w:rsidRDefault="00C90F4F" w:rsidP="00C90F4F">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74338B">
        <w:rPr>
          <w:rFonts w:eastAsia="Calibri" w:cs="Arial"/>
          <w:color w:val="000000"/>
        </w:rPr>
        <w:t>mpritchard@mwncmh.com</w:t>
      </w:r>
    </w:p>
    <w:p w:rsidR="00C90F4F" w:rsidRPr="0074338B" w:rsidRDefault="00C90F4F" w:rsidP="00C90F4F">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(willing to accept service by e-mail)</w:t>
      </w:r>
    </w:p>
    <w:p w:rsidR="00C90F4F" w:rsidRPr="0074338B" w:rsidRDefault="00C90F4F" w:rsidP="00C90F4F">
      <w:pPr>
        <w:tabs>
          <w:tab w:val="left" w:pos="-1440"/>
          <w:tab w:val="left" w:pos="-720"/>
          <w:tab w:val="left" w:pos="5040"/>
          <w:tab w:val="center" w:pos="7200"/>
        </w:tabs>
        <w:overflowPunct w:val="0"/>
        <w:autoSpaceDE w:val="0"/>
        <w:autoSpaceDN w:val="0"/>
        <w:adjustRightInd w:val="0"/>
        <w:ind w:left="4320"/>
        <w:rPr>
          <w:rFonts w:eastAsia="Calibri" w:cs="Arial"/>
          <w:color w:val="000000"/>
        </w:rPr>
      </w:pPr>
    </w:p>
    <w:p w:rsidR="00C90F4F" w:rsidRDefault="00152BDD" w:rsidP="00C90F4F">
      <w:pPr>
        <w:ind w:left="4320" w:hanging="4320"/>
        <w:rPr>
          <w:rFonts w:cs="Arial"/>
          <w:b/>
          <w:bCs/>
        </w:rPr>
      </w:pPr>
      <w:r>
        <w:rPr>
          <w:rFonts w:cs="Arial"/>
          <w:b/>
          <w:smallCaps/>
          <w:color w:val="000000"/>
        </w:rPr>
        <w:t>February 12</w:t>
      </w:r>
      <w:r w:rsidR="00C90F4F">
        <w:rPr>
          <w:rFonts w:cs="Arial"/>
          <w:b/>
          <w:smallCaps/>
          <w:color w:val="000000"/>
        </w:rPr>
        <w:t>, 2015</w:t>
      </w:r>
      <w:r w:rsidR="00C90F4F" w:rsidRPr="0074338B">
        <w:rPr>
          <w:rFonts w:cs="Arial"/>
          <w:b/>
          <w:smallCaps/>
          <w:color w:val="000000"/>
        </w:rPr>
        <w:tab/>
        <w:t>On Behalf of Industrial Energy Users-Ohio</w:t>
      </w:r>
    </w:p>
    <w:p w:rsidR="00C90F4F" w:rsidRPr="00930D83" w:rsidRDefault="00C90F4F" w:rsidP="00C90F4F">
      <w:pPr>
        <w:pStyle w:val="BodyText"/>
        <w:rPr>
          <w:rFonts w:asciiTheme="minorHAnsi" w:hAnsiTheme="minorHAnsi"/>
          <w:b/>
          <w:smallCaps/>
          <w:sz w:val="28"/>
          <w:szCs w:val="28"/>
        </w:rPr>
        <w:sectPr w:rsidR="00C90F4F" w:rsidRPr="00930D8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rsidR="00C90F4F" w:rsidRPr="00E94C11" w:rsidRDefault="00C90F4F" w:rsidP="00C90F4F">
      <w:pPr>
        <w:pStyle w:val="Title"/>
        <w:rPr>
          <w:sz w:val="28"/>
          <w:szCs w:val="28"/>
        </w:rPr>
      </w:pPr>
      <w:r w:rsidRPr="00E94C11">
        <w:rPr>
          <w:sz w:val="28"/>
          <w:szCs w:val="28"/>
        </w:rPr>
        <w:lastRenderedPageBreak/>
        <w:t>Before</w:t>
      </w:r>
    </w:p>
    <w:p w:rsidR="00C90F4F" w:rsidRPr="00E94C11" w:rsidRDefault="00C90F4F" w:rsidP="00C90F4F">
      <w:pPr>
        <w:jc w:val="center"/>
        <w:rPr>
          <w:rFonts w:cs="Arial"/>
          <w:b/>
          <w:smallCaps/>
          <w:sz w:val="28"/>
          <w:szCs w:val="28"/>
        </w:rPr>
      </w:pPr>
      <w:r w:rsidRPr="00E94C11">
        <w:rPr>
          <w:rFonts w:cs="Arial"/>
          <w:b/>
          <w:smallCaps/>
          <w:sz w:val="28"/>
          <w:szCs w:val="28"/>
        </w:rPr>
        <w:t>The Public Utilities Commission of Ohio</w:t>
      </w:r>
    </w:p>
    <w:p w:rsidR="00C90F4F" w:rsidRPr="00E94C11" w:rsidRDefault="00C90F4F" w:rsidP="00C90F4F">
      <w:pPr>
        <w:autoSpaceDE w:val="0"/>
        <w:autoSpaceDN w:val="0"/>
        <w:adjustRightInd w:val="0"/>
        <w:rPr>
          <w:rFonts w:cs="Arial"/>
          <w:sz w:val="28"/>
          <w:szCs w:val="28"/>
        </w:rPr>
      </w:pPr>
    </w:p>
    <w:p w:rsidR="00C90F4F" w:rsidRDefault="00C90F4F" w:rsidP="00C90F4F">
      <w:pPr>
        <w:autoSpaceDE w:val="0"/>
        <w:autoSpaceDN w:val="0"/>
        <w:adjustRightInd w:val="0"/>
        <w:rPr>
          <w:rFonts w:cs="Arial"/>
        </w:rPr>
      </w:pPr>
    </w:p>
    <w:p w:rsidR="00C90F4F" w:rsidRDefault="00C90F4F" w:rsidP="00C90F4F">
      <w:pPr>
        <w:pStyle w:val="BodyText"/>
        <w:tabs>
          <w:tab w:val="left" w:pos="4500"/>
        </w:tabs>
      </w:pPr>
      <w:r>
        <w:t>In the Matter of the Application of Duke</w:t>
      </w:r>
      <w:r>
        <w:tab/>
        <w:t>)</w:t>
      </w:r>
    </w:p>
    <w:p w:rsidR="00C90F4F" w:rsidRDefault="00C90F4F" w:rsidP="00C90F4F">
      <w:pPr>
        <w:pStyle w:val="BodyText"/>
        <w:tabs>
          <w:tab w:val="left" w:pos="4500"/>
        </w:tabs>
      </w:pPr>
      <w:r>
        <w:t>Energy Ohio, Inc., for Authority to</w:t>
      </w:r>
      <w:r>
        <w:tab/>
        <w:t>)</w:t>
      </w:r>
    </w:p>
    <w:p w:rsidR="00C90F4F" w:rsidRDefault="00C90F4F" w:rsidP="00C90F4F">
      <w:pPr>
        <w:pStyle w:val="BodyText"/>
        <w:tabs>
          <w:tab w:val="left" w:pos="4500"/>
        </w:tabs>
      </w:pPr>
      <w:r>
        <w:t>Establish a Non-residential Energy</w:t>
      </w:r>
      <w:r>
        <w:tab/>
        <w:t>)</w:t>
      </w:r>
      <w:r>
        <w:tab/>
        <w:t>Case No. 14-1575-EL-POR</w:t>
      </w:r>
    </w:p>
    <w:p w:rsidR="00C90F4F" w:rsidRDefault="00C90F4F" w:rsidP="00C90F4F">
      <w:pPr>
        <w:pStyle w:val="BodyText"/>
        <w:tabs>
          <w:tab w:val="left" w:pos="4500"/>
        </w:tabs>
      </w:pPr>
      <w:r>
        <w:t>Efficiency Program for Inclusion in its</w:t>
      </w:r>
      <w:r>
        <w:tab/>
        <w:t>)</w:t>
      </w:r>
    </w:p>
    <w:p w:rsidR="00C90F4F" w:rsidRDefault="00C90F4F" w:rsidP="00C90F4F">
      <w:pPr>
        <w:pStyle w:val="BodyText"/>
        <w:tabs>
          <w:tab w:val="left" w:pos="4500"/>
        </w:tabs>
      </w:pPr>
      <w:r>
        <w:t>Energy Efficiency Portfolio</w:t>
      </w:r>
      <w:r>
        <w:tab/>
        <w:t>)</w:t>
      </w:r>
    </w:p>
    <w:p w:rsidR="00C90F4F" w:rsidRDefault="00C90F4F" w:rsidP="00C90F4F"/>
    <w:p w:rsidR="00C90F4F" w:rsidRDefault="00C90F4F" w:rsidP="00C90F4F">
      <w:r>
        <w:t>______________________________________________________________________</w:t>
      </w:r>
    </w:p>
    <w:p w:rsidR="00C90F4F" w:rsidRDefault="00C90F4F" w:rsidP="00C90F4F"/>
    <w:p w:rsidR="00C90F4F" w:rsidRDefault="00152BDD" w:rsidP="00C90F4F">
      <w:pPr>
        <w:jc w:val="center"/>
        <w:rPr>
          <w:rFonts w:ascii="Arial Bold" w:hAnsi="Arial Bold"/>
          <w:b/>
          <w:caps/>
          <w:sz w:val="28"/>
          <w:szCs w:val="28"/>
        </w:rPr>
      </w:pPr>
      <w:r>
        <w:rPr>
          <w:rFonts w:ascii="Arial Bold" w:hAnsi="Arial Bold"/>
          <w:b/>
          <w:caps/>
          <w:sz w:val="28"/>
          <w:szCs w:val="28"/>
        </w:rPr>
        <w:t>Reply</w:t>
      </w:r>
      <w:r w:rsidR="00C90F4F" w:rsidRPr="00E94C11">
        <w:rPr>
          <w:rFonts w:ascii="Arial Bold" w:hAnsi="Arial Bold"/>
          <w:b/>
          <w:caps/>
          <w:sz w:val="28"/>
          <w:szCs w:val="28"/>
        </w:rPr>
        <w:t xml:space="preserve"> Comments of</w:t>
      </w:r>
    </w:p>
    <w:p w:rsidR="00C90F4F" w:rsidRPr="00E94C11" w:rsidRDefault="00C90F4F" w:rsidP="00C90F4F">
      <w:pPr>
        <w:jc w:val="center"/>
        <w:rPr>
          <w:rFonts w:ascii="Arial Bold" w:hAnsi="Arial Bold"/>
          <w:b/>
          <w:caps/>
        </w:rPr>
      </w:pPr>
      <w:r w:rsidRPr="00E94C11">
        <w:rPr>
          <w:rFonts w:ascii="Arial Bold" w:hAnsi="Arial Bold"/>
          <w:b/>
          <w:caps/>
          <w:sz w:val="28"/>
          <w:szCs w:val="28"/>
        </w:rPr>
        <w:t>Industrial Energy Users-Ohio</w:t>
      </w:r>
    </w:p>
    <w:p w:rsidR="00C90F4F" w:rsidRDefault="00C90F4F" w:rsidP="00C90F4F">
      <w:r>
        <w:t>______________________________________________________________________</w:t>
      </w:r>
    </w:p>
    <w:p w:rsidR="00F01A92" w:rsidRDefault="00F01A92" w:rsidP="00884256">
      <w:pPr>
        <w:pStyle w:val="Heading1"/>
        <w:numPr>
          <w:ilvl w:val="0"/>
          <w:numId w:val="0"/>
        </w:numPr>
      </w:pPr>
    </w:p>
    <w:p w:rsidR="006A5354" w:rsidRDefault="006A5354" w:rsidP="00A05623">
      <w:pPr>
        <w:pStyle w:val="Heading1"/>
      </w:pPr>
      <w:r>
        <w:t>Introduction</w:t>
      </w:r>
    </w:p>
    <w:p w:rsidR="002A3454" w:rsidRDefault="002A3454" w:rsidP="002A3454">
      <w:pPr>
        <w:spacing w:line="480" w:lineRule="auto"/>
        <w:ind w:firstLine="720"/>
        <w:jc w:val="both"/>
      </w:pPr>
      <w:r>
        <w:t xml:space="preserve">On </w:t>
      </w:r>
      <w:r w:rsidR="008D4BC9">
        <w:t>September 9</w:t>
      </w:r>
      <w:r>
        <w:t>, 2014, Duke Energy Ohio</w:t>
      </w:r>
      <w:r w:rsidR="00C90F4F">
        <w:t>, Inc.,</w:t>
      </w:r>
      <w:r>
        <w:t xml:space="preserve"> (“Duke”) filed an application </w:t>
      </w:r>
      <w:r w:rsidR="00A43CE7">
        <w:t>requesting</w:t>
      </w:r>
      <w:r>
        <w:t xml:space="preserve"> authority </w:t>
      </w:r>
      <w:r w:rsidR="008D4BC9">
        <w:t>to conduct a pilot program for non</w:t>
      </w:r>
      <w:r w:rsidR="00C90F4F">
        <w:t>-</w:t>
      </w:r>
      <w:r w:rsidR="008D4BC9">
        <w:t xml:space="preserve">residential customers referred to as Smart </w:t>
      </w:r>
      <w:r w:rsidR="00C90F4F">
        <w:t xml:space="preserve">Energy </w:t>
      </w:r>
      <w:r w:rsidR="008D4BC9">
        <w:t>in Offices.</w:t>
      </w:r>
      <w:r w:rsidR="008D4BC9">
        <w:rPr>
          <w:rStyle w:val="FootnoteReference"/>
        </w:rPr>
        <w:footnoteReference w:id="1"/>
      </w:r>
      <w:r w:rsidR="008D4BC9">
        <w:t xml:space="preserve">  According to Duke, this program is designed to increase energy efficiency by educating certain targeted customers to change energy consumption.</w:t>
      </w:r>
      <w:r w:rsidR="008D4BC9">
        <w:rPr>
          <w:rStyle w:val="FootnoteReference"/>
        </w:rPr>
        <w:footnoteReference w:id="2"/>
      </w:r>
      <w:r w:rsidR="00253917">
        <w:t xml:space="preserve">  </w:t>
      </w:r>
      <w:r w:rsidR="008D4BC9">
        <w:t xml:space="preserve">Further, </w:t>
      </w:r>
      <w:r w:rsidR="00884256">
        <w:t xml:space="preserve">Duke </w:t>
      </w:r>
      <w:r w:rsidR="008D4D54">
        <w:t>estimates the program expenditure to be</w:t>
      </w:r>
      <w:r w:rsidR="008D4BC9">
        <w:t xml:space="preserve"> nearly $2 million.</w:t>
      </w:r>
      <w:r w:rsidR="008D4BC9">
        <w:rPr>
          <w:rStyle w:val="FootnoteReference"/>
        </w:rPr>
        <w:footnoteReference w:id="3"/>
      </w:r>
      <w:r w:rsidR="008D4BC9">
        <w:t xml:space="preserve">  </w:t>
      </w:r>
      <w:r w:rsidR="000B6559">
        <w:t xml:space="preserve">Under the new provisions of Ohio law governing existing portfolio plans, the </w:t>
      </w:r>
      <w:r w:rsidR="00F01A92">
        <w:t>Public Utilities Commission of Ohio (“</w:t>
      </w:r>
      <w:r w:rsidR="000B6559">
        <w:t>Commission</w:t>
      </w:r>
      <w:r w:rsidR="00F01A92">
        <w:t>”)</w:t>
      </w:r>
      <w:r w:rsidR="000B6559">
        <w:t xml:space="preserve"> must either dismiss the Application or find that it is an amendment and permit qualified electric intensive customers to opt out of the portfolio plan.</w:t>
      </w:r>
    </w:p>
    <w:p w:rsidR="00152BDD" w:rsidRPr="00152BDD" w:rsidRDefault="00152BDD" w:rsidP="00152BDD">
      <w:pPr>
        <w:spacing w:line="480" w:lineRule="auto"/>
        <w:ind w:firstLine="720"/>
        <w:jc w:val="both"/>
      </w:pPr>
      <w:r w:rsidRPr="00152BDD">
        <w:t xml:space="preserve">In its Comments, the Staff of the Commission </w:t>
      </w:r>
      <w:r w:rsidR="0063105E">
        <w:t xml:space="preserve">(“Staff”) </w:t>
      </w:r>
      <w:r w:rsidRPr="00152BDD">
        <w:t xml:space="preserve">states that the Commission may approve the Application even though it would modify the current </w:t>
      </w:r>
      <w:r w:rsidRPr="00152BDD">
        <w:lastRenderedPageBreak/>
        <w:t xml:space="preserve">portfolio plan because </w:t>
      </w:r>
      <w:r>
        <w:t>the current plan provides that “additional program offerings may be filed with the Commission to seek approval, as appropriate” and because the Commission previously approved a similar program for commercial and industrial customers as part of the existing portfolio plan</w:t>
      </w:r>
      <w:r w:rsidRPr="00152BDD">
        <w:t>.</w:t>
      </w:r>
      <w:r w:rsidRPr="00152BDD">
        <w:rPr>
          <w:vertAlign w:val="superscript"/>
        </w:rPr>
        <w:footnoteReference w:id="4"/>
      </w:r>
      <w:r w:rsidRPr="00152BDD">
        <w:t xml:space="preserve">  </w:t>
      </w:r>
      <w:r w:rsidR="00DD386F">
        <w:t>Staff’s recommendation based on the assumption that the Application does not amend Duke’s current portfolio plan, however, is not correct.</w:t>
      </w:r>
      <w:r w:rsidRPr="00152BDD">
        <w:t xml:space="preserve">  Because the Application seeks to amend the current portfolio plan, the Commission must either deny the Application or find that </w:t>
      </w:r>
      <w:r w:rsidR="0048152B">
        <w:t>an</w:t>
      </w:r>
      <w:r w:rsidRPr="00152BDD">
        <w:t xml:space="preserve"> amendment is permitted under Section 6 of </w:t>
      </w:r>
      <w:r w:rsidR="00D55D92">
        <w:t>Substitute Senate Bill 310 (“</w:t>
      </w:r>
      <w:r w:rsidRPr="00152BDD">
        <w:t>SB 310</w:t>
      </w:r>
      <w:r w:rsidR="00D55D92">
        <w:t>”)</w:t>
      </w:r>
      <w:r w:rsidRPr="00152BDD">
        <w:t xml:space="preserve"> and permit energy intensive customers to opt out of the benefits and costs of the amended plan.</w:t>
      </w:r>
    </w:p>
    <w:p w:rsidR="00152BDD" w:rsidRPr="00152BDD" w:rsidRDefault="00152BDD" w:rsidP="00152BDD">
      <w:pPr>
        <w:numPr>
          <w:ilvl w:val="0"/>
          <w:numId w:val="2"/>
        </w:numPr>
        <w:spacing w:after="240"/>
        <w:jc w:val="both"/>
        <w:outlineLvl w:val="0"/>
        <w:rPr>
          <w:rFonts w:eastAsiaTheme="majorEastAsia" w:cs="Arial"/>
          <w:b/>
          <w:bCs/>
          <w:caps/>
          <w:szCs w:val="28"/>
          <w:u w:val="single"/>
        </w:rPr>
      </w:pPr>
      <w:r w:rsidRPr="00152BDD">
        <w:rPr>
          <w:rFonts w:eastAsiaTheme="majorEastAsia" w:cs="Arial"/>
          <w:b/>
          <w:bCs/>
          <w:caps/>
          <w:szCs w:val="28"/>
          <w:u w:val="single"/>
        </w:rPr>
        <w:t>Discussion</w:t>
      </w:r>
    </w:p>
    <w:p w:rsidR="00152BDD" w:rsidRPr="00152BDD" w:rsidRDefault="00DD386F" w:rsidP="00152BDD">
      <w:pPr>
        <w:spacing w:line="480" w:lineRule="auto"/>
        <w:ind w:firstLine="720"/>
        <w:jc w:val="both"/>
      </w:pPr>
      <w:r>
        <w:t>To support its recommendation that the Commission approve the Application, t</w:t>
      </w:r>
      <w:r w:rsidR="00152BDD">
        <w:t>he</w:t>
      </w:r>
      <w:r w:rsidR="00152BDD" w:rsidRPr="00152BDD">
        <w:t xml:space="preserve"> Staff asserts that the Application is not an amendment to the current portfolio plan because</w:t>
      </w:r>
      <w:r w:rsidR="00152BDD">
        <w:t xml:space="preserve"> the new program is “the type of program that wa</w:t>
      </w:r>
      <w:r>
        <w:t>s contemplated when [Duke] filed</w:t>
      </w:r>
      <w:r w:rsidR="00152BDD">
        <w:t xml:space="preserve"> its original [energy efficiency] Portfolio Plan in April 2013.”</w:t>
      </w:r>
      <w:r w:rsidR="00152BDD" w:rsidRPr="00152BDD">
        <w:rPr>
          <w:vertAlign w:val="superscript"/>
        </w:rPr>
        <w:footnoteReference w:id="5"/>
      </w:r>
      <w:r w:rsidR="00152BDD" w:rsidRPr="00152BDD">
        <w:t xml:space="preserve">  The Application, however, </w:t>
      </w:r>
      <w:r w:rsidR="00152BDD">
        <w:t xml:space="preserve">does not implement the existing portfolio plan and </w:t>
      </w:r>
      <w:r w:rsidR="00152BDD" w:rsidRPr="00152BDD">
        <w:t>is not “necessary” to implement the existing portfolio plan</w:t>
      </w:r>
      <w:r w:rsidR="00152BDD">
        <w:t xml:space="preserve">. </w:t>
      </w:r>
      <w:r>
        <w:t xml:space="preserve"> </w:t>
      </w:r>
      <w:r w:rsidR="00152BDD">
        <w:t>Further,</w:t>
      </w:r>
      <w:r w:rsidR="00152BDD" w:rsidRPr="00152BDD">
        <w:t xml:space="preserve"> Staff’s </w:t>
      </w:r>
      <w:r w:rsidR="00152BDD">
        <w:t>argument that the Application seeks to implement the current portfolio plan</w:t>
      </w:r>
      <w:r w:rsidR="00152BDD" w:rsidRPr="00152BDD">
        <w:t xml:space="preserve"> would undermine the </w:t>
      </w:r>
      <w:r w:rsidR="001F32B6">
        <w:t>limitations and outcomes</w:t>
      </w:r>
      <w:r w:rsidR="00152BDD" w:rsidRPr="00152BDD">
        <w:t xml:space="preserve"> required by SB 310.</w:t>
      </w:r>
    </w:p>
    <w:p w:rsidR="00152BDD" w:rsidRPr="00152BDD" w:rsidRDefault="00DD386F" w:rsidP="00152BDD">
      <w:pPr>
        <w:spacing w:line="480" w:lineRule="auto"/>
        <w:ind w:firstLine="720"/>
        <w:jc w:val="both"/>
      </w:pPr>
      <w:r>
        <w:t>This</w:t>
      </w:r>
      <w:r w:rsidR="00152BDD" w:rsidRPr="00152BDD">
        <w:t xml:space="preserve"> Application is governed by SB 310.  Under Section 7(B) of SB 310, the Commission, prior to January 1, 2017, is prohibited from taking any action with regard to any portfolio plan or application regarding a portfolio plan with two exceptions.  Under </w:t>
      </w:r>
      <w:r w:rsidR="00152BDD" w:rsidRPr="00152BDD">
        <w:lastRenderedPageBreak/>
        <w:t>the first exception contained in Section 7(B), the Commission may approve, or modify and approve, an application to amend a portfolio plan if the application is to amend an existing portfolio plan under Section 6(B) (“plan exception”).</w:t>
      </w:r>
      <w:r w:rsidR="00152BDD" w:rsidRPr="00152BDD">
        <w:rPr>
          <w:vertAlign w:val="superscript"/>
        </w:rPr>
        <w:footnoteReference w:id="6"/>
      </w:r>
      <w:r w:rsidR="00152BDD" w:rsidRPr="00152BDD">
        <w:t xml:space="preserve">  Under the second exception, the Commission may take those actions necessary to administer the implementation of the existing portfolio plan (“implementation exception”).</w:t>
      </w:r>
    </w:p>
    <w:p w:rsidR="001D0B75" w:rsidRDefault="001D0B75" w:rsidP="00152BDD">
      <w:pPr>
        <w:spacing w:line="480" w:lineRule="auto"/>
        <w:ind w:firstLine="720"/>
        <w:jc w:val="both"/>
      </w:pPr>
      <w:r>
        <w:t xml:space="preserve">Initially, the Staff’s position that the Application seeks to implement the current portfolio plan is not factually true.  </w:t>
      </w:r>
      <w:r w:rsidR="0030098A">
        <w:t>T</w:t>
      </w:r>
      <w:r>
        <w:t xml:space="preserve">he Application seeks to add a program that does not currently exist in the Duke portfolio </w:t>
      </w:r>
      <w:r w:rsidR="008D4D54">
        <w:t>plan</w:t>
      </w:r>
      <w:r w:rsidR="00366B9D">
        <w:t xml:space="preserve">; </w:t>
      </w:r>
      <w:r w:rsidR="00DD386F">
        <w:t>without</w:t>
      </w:r>
      <w:r>
        <w:t xml:space="preserve"> an amendm</w:t>
      </w:r>
      <w:r w:rsidR="00DD386F">
        <w:t>ent to the current plan</w:t>
      </w:r>
      <w:r w:rsidR="00366B9D">
        <w:t>,</w:t>
      </w:r>
      <w:r>
        <w:t xml:space="preserve"> Duke would not be authorized to expend and collect from customers </w:t>
      </w:r>
      <w:r w:rsidR="008D4D54">
        <w:t>the nearly</w:t>
      </w:r>
      <w:r w:rsidR="00D55D92">
        <w:t xml:space="preserve"> </w:t>
      </w:r>
      <w:r>
        <w:t>$2 million</w:t>
      </w:r>
      <w:r w:rsidR="008D4D54">
        <w:t xml:space="preserve"> in proposed program costs  </w:t>
      </w:r>
      <w:r>
        <w:t>Thus, the claim that the Application is seeking to implement the existing plan is unwarranted.</w:t>
      </w:r>
    </w:p>
    <w:p w:rsidR="00152BDD" w:rsidRPr="00152BDD" w:rsidRDefault="001D0B75" w:rsidP="00152BDD">
      <w:pPr>
        <w:spacing w:line="480" w:lineRule="auto"/>
        <w:ind w:firstLine="720"/>
        <w:jc w:val="both"/>
      </w:pPr>
      <w:r>
        <w:t xml:space="preserve">Likewise, Staff’s suggestion that the current plan’s provision permitting Duke to seek approval of </w:t>
      </w:r>
      <w:r w:rsidR="00D55D92">
        <w:t xml:space="preserve">the </w:t>
      </w:r>
      <w:r>
        <w:t xml:space="preserve">new program ignores the expressly narrow scope of the implementation exception.  </w:t>
      </w:r>
      <w:r w:rsidR="0074543B">
        <w:t xml:space="preserve">The Staff argues that the Commission should find that the Application is not an amendment of the current portfolio plan because the plan provides that Duke may seek additional program offerings and Duke has offered similar programs under the current plan.  </w:t>
      </w:r>
      <w:r w:rsidR="00152BDD" w:rsidRPr="00152BDD">
        <w:t>The implementation exception</w:t>
      </w:r>
      <w:r w:rsidR="00CF0CBE">
        <w:t>, however,</w:t>
      </w:r>
      <w:r w:rsidR="00152BDD" w:rsidRPr="00152BDD">
        <w:t xml:space="preserve"> describes those actions the Commission may take as those “</w:t>
      </w:r>
      <w:r w:rsidR="00152BDD" w:rsidRPr="00152BDD">
        <w:rPr>
          <w:i/>
        </w:rPr>
        <w:t>necessary</w:t>
      </w:r>
      <w:r w:rsidR="00152BDD" w:rsidRPr="00152BDD">
        <w:t xml:space="preserve"> to administer the implementation of [the] existing portfolio plan[].”</w:t>
      </w:r>
      <w:r w:rsidR="0074543B">
        <w:t xml:space="preserve">  (Emphasis added)</w:t>
      </w:r>
      <w:r w:rsidR="00D55D92">
        <w:t>.</w:t>
      </w:r>
      <w:r w:rsidR="0074543B">
        <w:t xml:space="preserve"> </w:t>
      </w:r>
      <w:r w:rsidR="00152BDD" w:rsidRPr="00152BDD">
        <w:t xml:space="preserve"> </w:t>
      </w:r>
      <w:r w:rsidR="008D4D54">
        <w:t xml:space="preserve">The Application </w:t>
      </w:r>
      <w:r w:rsidR="008D4D54">
        <w:lastRenderedPageBreak/>
        <w:t xml:space="preserve">and </w:t>
      </w:r>
      <w:r w:rsidR="00CF0CBE">
        <w:t>Staff</w:t>
      </w:r>
      <w:r w:rsidR="00152BDD" w:rsidRPr="00152BDD">
        <w:t xml:space="preserve"> </w:t>
      </w:r>
      <w:r w:rsidR="00CF0CBE">
        <w:t>do not offer</w:t>
      </w:r>
      <w:r w:rsidR="00152BDD" w:rsidRPr="00152BDD">
        <w:t xml:space="preserve"> any basis for the Commission to conclude that the program is “necessary” to the implementation of Duke’s current portfolio plan.</w:t>
      </w:r>
      <w:r w:rsidR="0063710A">
        <w:rPr>
          <w:rStyle w:val="FootnoteReference"/>
        </w:rPr>
        <w:footnoteReference w:id="7"/>
      </w:r>
      <w:r w:rsidR="00152BDD" w:rsidRPr="00152BDD">
        <w:t xml:space="preserve">  </w:t>
      </w:r>
    </w:p>
    <w:p w:rsidR="0030098A" w:rsidRDefault="0030098A" w:rsidP="00152BDD">
      <w:pPr>
        <w:spacing w:line="480" w:lineRule="auto"/>
        <w:ind w:firstLine="720"/>
        <w:jc w:val="both"/>
      </w:pPr>
      <w:r w:rsidRPr="0030098A">
        <w:t>Further, the Staff points to approval of amendments to the current portfolio plan</w:t>
      </w:r>
      <w:r w:rsidR="0063710A">
        <w:t xml:space="preserve"> as a basis for </w:t>
      </w:r>
      <w:r w:rsidR="008D4D54">
        <w:t xml:space="preserve">supporting </w:t>
      </w:r>
      <w:r w:rsidR="0063710A">
        <w:t>its claim that the Application implements the current portfolio plan.</w:t>
      </w:r>
      <w:r w:rsidR="0063710A" w:rsidRPr="0030098A">
        <w:rPr>
          <w:vertAlign w:val="superscript"/>
        </w:rPr>
        <w:footnoteReference w:id="8"/>
      </w:r>
      <w:r w:rsidR="0063710A" w:rsidRPr="0030098A">
        <w:t xml:space="preserve"> </w:t>
      </w:r>
      <w:r w:rsidR="0099251B">
        <w:t xml:space="preserve"> </w:t>
      </w:r>
      <w:r w:rsidR="0063710A">
        <w:t>The decision cited by Staff, however,</w:t>
      </w:r>
      <w:r w:rsidRPr="0030098A">
        <w:t xml:space="preserve"> predate</w:t>
      </w:r>
      <w:r w:rsidR="0063710A">
        <w:t>s</w:t>
      </w:r>
      <w:r w:rsidRPr="0030098A">
        <w:t xml:space="preserve"> the effective date of SB 310</w:t>
      </w:r>
      <w:r w:rsidR="0063710A">
        <w:t xml:space="preserve"> by over two years</w:t>
      </w:r>
      <w:r w:rsidRPr="0030098A">
        <w:t>.</w:t>
      </w:r>
      <w:r w:rsidR="0063710A">
        <w:rPr>
          <w:rStyle w:val="FootnoteReference"/>
        </w:rPr>
        <w:footnoteReference w:id="9"/>
      </w:r>
      <w:r w:rsidRPr="0030098A">
        <w:t xml:space="preserve"> </w:t>
      </w:r>
      <w:r w:rsidR="0063710A">
        <w:t xml:space="preserve"> </w:t>
      </w:r>
      <w:r w:rsidR="0048152B">
        <w:t>Because SB 310 fundamentally changed the authority of the Commission to approve changes in the current portfolio plan, a</w:t>
      </w:r>
      <w:r>
        <w:t xml:space="preserve">pproval of </w:t>
      </w:r>
      <w:r w:rsidR="0099251B">
        <w:t xml:space="preserve">portfolio plan </w:t>
      </w:r>
      <w:r>
        <w:t>amendments that predate</w:t>
      </w:r>
      <w:r w:rsidR="008D4D54">
        <w:t>s</w:t>
      </w:r>
      <w:r>
        <w:t xml:space="preserve"> the effective date of SB 310 does not demonstrate that this Application </w:t>
      </w:r>
      <w:r w:rsidR="0099251B">
        <w:t>is consistent with the implementation exception, as discussed above.</w:t>
      </w:r>
      <w:r>
        <w:rPr>
          <w:rStyle w:val="FootnoteReference"/>
        </w:rPr>
        <w:footnoteReference w:id="10"/>
      </w:r>
      <w:r>
        <w:t xml:space="preserve">  </w:t>
      </w:r>
    </w:p>
    <w:p w:rsidR="0048152B" w:rsidRDefault="00365557" w:rsidP="00152BDD">
      <w:pPr>
        <w:spacing w:line="480" w:lineRule="auto"/>
        <w:ind w:firstLine="720"/>
        <w:jc w:val="both"/>
      </w:pPr>
      <w:r>
        <w:t xml:space="preserve">Approval of the Application as an implementation of the current portfolio plan, moreover, would be contrary to the express legislative intent of SB 310.  </w:t>
      </w:r>
      <w:r w:rsidR="00152BDD" w:rsidRPr="00152BDD">
        <w:t xml:space="preserve">In that legislation, the General Assembly revised the portfolio requirements to hold them at 2014 levels </w:t>
      </w:r>
      <w:r>
        <w:t>through 2016</w:t>
      </w:r>
      <w:r w:rsidR="00152BDD" w:rsidRPr="00152BDD">
        <w:rPr>
          <w:vertAlign w:val="superscript"/>
        </w:rPr>
        <w:footnoteReference w:id="11"/>
      </w:r>
      <w:r w:rsidR="00152BDD" w:rsidRPr="00152BDD">
        <w:t xml:space="preserve"> while it </w:t>
      </w:r>
      <w:r w:rsidR="0099251B" w:rsidRPr="00152BDD">
        <w:t>studies</w:t>
      </w:r>
      <w:r w:rsidR="00152BDD" w:rsidRPr="00152BDD">
        <w:t xml:space="preserve"> the </w:t>
      </w:r>
      <w:r w:rsidR="00CF0CBE">
        <w:t>statutory portfolio mandates</w:t>
      </w:r>
      <w:r>
        <w:t>, and the initiation of the study is expressly intended to result</w:t>
      </w:r>
      <w:r w:rsidR="00152BDD" w:rsidRPr="00152BDD">
        <w:t xml:space="preserve"> </w:t>
      </w:r>
      <w:r>
        <w:t xml:space="preserve">in the enactment of </w:t>
      </w:r>
      <w:r w:rsidR="00152BDD" w:rsidRPr="00152BDD">
        <w:t xml:space="preserve">legislation to reduce </w:t>
      </w:r>
      <w:r w:rsidR="00CF0CBE">
        <w:t xml:space="preserve">those </w:t>
      </w:r>
      <w:r>
        <w:t xml:space="preserve">portfolio </w:t>
      </w:r>
      <w:r w:rsidR="00CF0CBE">
        <w:t>mandates</w:t>
      </w:r>
      <w:r w:rsidR="00152BDD" w:rsidRPr="00152BDD">
        <w:t>.</w:t>
      </w:r>
      <w:r w:rsidR="00152BDD" w:rsidRPr="00152BDD">
        <w:rPr>
          <w:vertAlign w:val="superscript"/>
        </w:rPr>
        <w:footnoteReference w:id="12"/>
      </w:r>
      <w:r w:rsidR="00152BDD" w:rsidRPr="00152BDD">
        <w:t xml:space="preserve">  </w:t>
      </w:r>
      <w:r w:rsidR="008D4D54">
        <w:t xml:space="preserve">Because the General Assembly has expressed the </w:t>
      </w:r>
      <w:r w:rsidR="008D4D54">
        <w:lastRenderedPageBreak/>
        <w:t>intent to freeze and then lower the portfolio requirements,</w:t>
      </w:r>
      <w:r>
        <w:t xml:space="preserve"> the Commission should not undertake changes that expand existing portfolio plans and the cost</w:t>
      </w:r>
      <w:r w:rsidR="00F03C9D">
        <w:t>s</w:t>
      </w:r>
      <w:r>
        <w:t xml:space="preserve"> </w:t>
      </w:r>
      <w:r w:rsidR="00F03C9D">
        <w:t>of those plans</w:t>
      </w:r>
      <w:r>
        <w:t xml:space="preserve">.  </w:t>
      </w:r>
    </w:p>
    <w:p w:rsidR="00152BDD" w:rsidRPr="00152BDD" w:rsidRDefault="00365557" w:rsidP="00152BDD">
      <w:pPr>
        <w:spacing w:line="480" w:lineRule="auto"/>
        <w:ind w:firstLine="720"/>
        <w:jc w:val="both"/>
      </w:pPr>
      <w:r>
        <w:t>According to the Staff</w:t>
      </w:r>
      <w:r w:rsidR="00152BDD" w:rsidRPr="00152BDD">
        <w:t xml:space="preserve">, however, the Commission may approve any addition to the </w:t>
      </w:r>
      <w:r w:rsidR="007D6E69">
        <w:t xml:space="preserve">current portfolio </w:t>
      </w:r>
      <w:r w:rsidR="00152BDD" w:rsidRPr="00152BDD">
        <w:t xml:space="preserve">plan that might have been contemplated but not effected prior to adoption of SB 310 without demonstration that </w:t>
      </w:r>
      <w:r w:rsidR="000B607E">
        <w:t>the addition</w:t>
      </w:r>
      <w:r w:rsidR="000B607E" w:rsidRPr="00152BDD">
        <w:t xml:space="preserve"> </w:t>
      </w:r>
      <w:r w:rsidR="00152BDD" w:rsidRPr="00152BDD">
        <w:t xml:space="preserve">is “necessary” to implement the existing plan.  </w:t>
      </w:r>
      <w:r w:rsidR="008D4D54">
        <w:t>Under Staff’s view, t</w:t>
      </w:r>
      <w:r w:rsidR="00152BDD" w:rsidRPr="00152BDD">
        <w:t xml:space="preserve">he scope of the implementation exception would overwhelm the prohibition of Commission action to modify an existing portfolio plan, a result that is clearly contrary to the General Assembly’s intention to limit the expansion of energy efficiency programs while it studies the portfolio requirements.  </w:t>
      </w:r>
    </w:p>
    <w:p w:rsidR="00152BDD" w:rsidRPr="00152BDD" w:rsidRDefault="007D6E69" w:rsidP="00152BDD">
      <w:pPr>
        <w:spacing w:line="480" w:lineRule="auto"/>
        <w:ind w:firstLine="720"/>
        <w:jc w:val="both"/>
      </w:pPr>
      <w:r>
        <w:t xml:space="preserve">Because the Application seeks to amend the </w:t>
      </w:r>
      <w:r w:rsidR="00365557">
        <w:t>Application</w:t>
      </w:r>
      <w:r>
        <w:t xml:space="preserve">, however, the other exception to Section 7(B) may apply.  Under that </w:t>
      </w:r>
      <w:r w:rsidR="00365557">
        <w:t>exception</w:t>
      </w:r>
      <w:r w:rsidR="00152BDD" w:rsidRPr="00152BDD">
        <w:t>, the Commission may approve, or modify and approve, an application to amend a portfolio plan if the application is to amend an existing portfolio plan under Section 6(B) (“plan exception”).</w:t>
      </w:r>
      <w:r w:rsidR="00152BDD" w:rsidRPr="00152BDD">
        <w:rPr>
          <w:vertAlign w:val="superscript"/>
        </w:rPr>
        <w:footnoteReference w:id="13"/>
      </w:r>
      <w:r w:rsidR="00152BDD" w:rsidRPr="00152BDD">
        <w:t xml:space="preserve">  </w:t>
      </w:r>
    </w:p>
    <w:p w:rsidR="00152BDD" w:rsidRPr="00152BDD" w:rsidRDefault="00F03C9D" w:rsidP="00152BDD">
      <w:pPr>
        <w:spacing w:line="480" w:lineRule="auto"/>
        <w:ind w:firstLine="720"/>
        <w:jc w:val="both"/>
      </w:pPr>
      <w:r w:rsidRPr="00F03C9D">
        <w:t>Approval of the Application under the plan exception</w:t>
      </w:r>
      <w:r w:rsidR="00CF01BA">
        <w:t>, however,</w:t>
      </w:r>
      <w:r w:rsidRPr="00F03C9D">
        <w:t xml:space="preserve"> triggers an additional right of certain customers to opt out of the amended portfolio plan.  </w:t>
      </w:r>
      <w:r w:rsidR="00152BDD" w:rsidRPr="00152BDD">
        <w:t>If the Commission deems the Application in this proceeding as one seeking an amendment to the current portfolio plan</w:t>
      </w:r>
      <w:r w:rsidR="0048152B">
        <w:t xml:space="preserve"> and approve</w:t>
      </w:r>
      <w:r w:rsidR="00A96125">
        <w:t>s</w:t>
      </w:r>
      <w:r w:rsidR="0048152B">
        <w:t xml:space="preserve"> a modified plan</w:t>
      </w:r>
      <w:r w:rsidR="00152BDD" w:rsidRPr="00152BDD">
        <w:t>, a customer that takes service above primary voltage levels or a commercial or industrial customer that has made a written request for registration as a self-assessing purchaser pursuant to R.C. 5727.81 (</w:t>
      </w:r>
      <w:r w:rsidR="00152BDD" w:rsidRPr="00152BDD">
        <w:rPr>
          <w:i/>
        </w:rPr>
        <w:t>i.e.,</w:t>
      </w:r>
      <w:r w:rsidR="00152BDD" w:rsidRPr="00152BDD">
        <w:t xml:space="preserve"> the customer may self-assess the kilowatt-hour tax) may elect to opt out of the </w:t>
      </w:r>
      <w:r w:rsidR="00152BDD" w:rsidRPr="00152BDD">
        <w:lastRenderedPageBreak/>
        <w:t>portfolio plan (rather than wait to make the election on or after January 1, 2017).</w:t>
      </w:r>
      <w:r w:rsidR="00152BDD" w:rsidRPr="00152BDD">
        <w:rPr>
          <w:vertAlign w:val="superscript"/>
        </w:rPr>
        <w:footnoteReference w:id="14"/>
      </w:r>
      <w:r w:rsidR="00152BDD" w:rsidRPr="00152BDD">
        <w:t xml:space="preserve">  If the Commission determines that the plan exception applies, therefore, the Commission should make an affirmative finding that the Commission is approving an amended portfolio plan and that eligible </w:t>
      </w:r>
      <w:r w:rsidR="0099251B">
        <w:t xml:space="preserve">Duke </w:t>
      </w:r>
      <w:r w:rsidR="00152BDD" w:rsidRPr="00152BDD">
        <w:t>customers may opt out as provided by Section 8 of SB 310.</w:t>
      </w:r>
    </w:p>
    <w:p w:rsidR="00152BDD" w:rsidRPr="00152BDD" w:rsidRDefault="00152BDD" w:rsidP="00152BDD">
      <w:pPr>
        <w:numPr>
          <w:ilvl w:val="0"/>
          <w:numId w:val="2"/>
        </w:numPr>
        <w:spacing w:after="240"/>
        <w:jc w:val="both"/>
        <w:outlineLvl w:val="0"/>
        <w:rPr>
          <w:rFonts w:eastAsiaTheme="majorEastAsia" w:cs="Arial"/>
          <w:b/>
          <w:bCs/>
          <w:caps/>
          <w:szCs w:val="28"/>
          <w:u w:val="single"/>
        </w:rPr>
      </w:pPr>
      <w:r w:rsidRPr="00152BDD">
        <w:rPr>
          <w:rFonts w:eastAsiaTheme="majorEastAsia" w:cs="Arial"/>
          <w:b/>
          <w:bCs/>
          <w:caps/>
          <w:szCs w:val="28"/>
          <w:u w:val="single"/>
        </w:rPr>
        <w:t>Conclusion</w:t>
      </w:r>
    </w:p>
    <w:p w:rsidR="00152BDD" w:rsidRPr="00152BDD" w:rsidRDefault="00152BDD" w:rsidP="00152BDD">
      <w:pPr>
        <w:spacing w:line="480" w:lineRule="auto"/>
        <w:ind w:firstLine="720"/>
        <w:jc w:val="both"/>
      </w:pPr>
      <w:r w:rsidRPr="00152BDD">
        <w:t>Duke seeks to amend its current portfolio plan to add a new program.  Under the requirements of SB 310, the Commission may not approve the Application unless it may be approved under the plan exception of SB 310.  If the Commission finds that it may approve or modify and approve the Application under the plan exception, the Commission should also expressly find that energy intensive customers may use the opt out procedures provided by Section 8 of SB 310.</w:t>
      </w:r>
    </w:p>
    <w:p w:rsidR="00E527B5" w:rsidRPr="00E527B5" w:rsidRDefault="00E527B5" w:rsidP="00E527B5">
      <w:pPr>
        <w:ind w:left="4320"/>
        <w:rPr>
          <w:rFonts w:eastAsia="Times New Roman" w:cs="Times New Roman"/>
          <w:lang w:val="x-none" w:eastAsia="x-none"/>
        </w:rPr>
      </w:pPr>
      <w:r w:rsidRPr="00E527B5">
        <w:rPr>
          <w:rFonts w:eastAsia="Times New Roman" w:cs="Times New Roman"/>
          <w:lang w:val="x-none" w:eastAsia="x-none"/>
        </w:rPr>
        <w:t>Respectfully submitted,</w:t>
      </w:r>
    </w:p>
    <w:p w:rsidR="00E527B5" w:rsidRPr="00E527B5" w:rsidRDefault="00E527B5" w:rsidP="00E527B5">
      <w:pPr>
        <w:ind w:left="4320"/>
        <w:rPr>
          <w:rFonts w:eastAsia="Times New Roman" w:cs="Times New Roman"/>
          <w:lang w:eastAsia="x-none"/>
        </w:rPr>
      </w:pPr>
    </w:p>
    <w:p w:rsidR="00E527B5" w:rsidRPr="00E527B5" w:rsidRDefault="00E527B5" w:rsidP="00E527B5">
      <w:pPr>
        <w:rPr>
          <w:rFonts w:eastAsia="Times New Roman" w:cs="Times New Roman"/>
          <w:lang w:eastAsia="x-none"/>
        </w:rPr>
      </w:pPr>
    </w:p>
    <w:p w:rsidR="00E527B5" w:rsidRPr="00E527B5" w:rsidRDefault="00E527B5" w:rsidP="00E527B5">
      <w:pPr>
        <w:tabs>
          <w:tab w:val="left" w:pos="4320"/>
          <w:tab w:val="right" w:pos="8640"/>
        </w:tabs>
        <w:ind w:left="4320"/>
        <w:jc w:val="both"/>
        <w:rPr>
          <w:rFonts w:cs="Arial"/>
          <w:i/>
        </w:rPr>
      </w:pPr>
      <w:r w:rsidRPr="00E527B5">
        <w:rPr>
          <w:rFonts w:cs="Arial"/>
          <w:i/>
          <w:u w:val="single"/>
        </w:rPr>
        <w:t>/s/ Frank P. Darr</w:t>
      </w:r>
      <w:r w:rsidRPr="00E527B5">
        <w:rPr>
          <w:rFonts w:cs="Arial"/>
          <w:i/>
          <w:u w:val="single"/>
        </w:rPr>
        <w:tab/>
      </w:r>
      <w:r w:rsidRPr="00E527B5">
        <w:rPr>
          <w:rFonts w:cs="Arial"/>
          <w:i/>
        </w:rPr>
        <w:t xml:space="preserve"> </w:t>
      </w:r>
    </w:p>
    <w:p w:rsidR="00E527B5" w:rsidRPr="00E527B5" w:rsidRDefault="00E527B5" w:rsidP="00E527B5">
      <w:pPr>
        <w:widowControl w:val="0"/>
        <w:ind w:left="4320"/>
        <w:rPr>
          <w:rFonts w:eastAsia="Calibri" w:cs="Arial"/>
          <w:bCs/>
        </w:rPr>
      </w:pPr>
      <w:r w:rsidRPr="00E527B5">
        <w:rPr>
          <w:rFonts w:eastAsia="Calibri" w:cs="Arial"/>
          <w:bCs/>
        </w:rPr>
        <w:t>Frank P. Darr (Reg. No. 0025469)</w:t>
      </w:r>
    </w:p>
    <w:p w:rsidR="00E527B5" w:rsidRPr="00E527B5" w:rsidRDefault="00E527B5" w:rsidP="00E527B5">
      <w:pPr>
        <w:widowControl w:val="0"/>
        <w:ind w:left="4320"/>
        <w:rPr>
          <w:rFonts w:eastAsia="Calibri" w:cs="Arial"/>
          <w:bCs/>
        </w:rPr>
      </w:pPr>
      <w:r w:rsidRPr="00E527B5">
        <w:rPr>
          <w:rFonts w:eastAsia="Calibri" w:cs="Arial"/>
        </w:rPr>
        <w:t>(Counsel of Record)</w:t>
      </w:r>
    </w:p>
    <w:p w:rsidR="00E527B5" w:rsidRPr="00E527B5" w:rsidRDefault="00E527B5" w:rsidP="00E527B5">
      <w:pPr>
        <w:widowControl w:val="0"/>
        <w:ind w:left="4320"/>
        <w:rPr>
          <w:rFonts w:eastAsia="Calibri" w:cs="Arial"/>
          <w:b/>
          <w:bCs/>
        </w:rPr>
      </w:pPr>
      <w:r w:rsidRPr="00E527B5">
        <w:rPr>
          <w:rFonts w:eastAsia="Calibri" w:cs="Arial"/>
          <w:bCs/>
        </w:rPr>
        <w:t>Matthew R. Pritchard (Reg. No. 0088070)</w:t>
      </w:r>
    </w:p>
    <w:p w:rsidR="00E527B5" w:rsidRPr="00E527B5" w:rsidRDefault="00E527B5" w:rsidP="00E527B5">
      <w:pPr>
        <w:widowControl w:val="0"/>
        <w:ind w:left="4320"/>
        <w:rPr>
          <w:rFonts w:eastAsia="Calibri" w:cs="Arial"/>
          <w:b/>
          <w:bCs/>
          <w:smallCaps/>
        </w:rPr>
      </w:pPr>
      <w:r w:rsidRPr="00E527B5">
        <w:rPr>
          <w:rFonts w:eastAsia="Calibri" w:cs="Arial"/>
          <w:bCs/>
          <w:smallCaps/>
        </w:rPr>
        <w:t>McNees Wallace &amp; Nurick LLC</w:t>
      </w:r>
    </w:p>
    <w:p w:rsidR="00E527B5" w:rsidRPr="00E527B5" w:rsidRDefault="00E527B5" w:rsidP="00E527B5">
      <w:pPr>
        <w:widowControl w:val="0"/>
        <w:ind w:left="4320"/>
        <w:rPr>
          <w:rFonts w:eastAsia="Calibri" w:cs="Arial"/>
          <w:b/>
          <w:bCs/>
        </w:rPr>
      </w:pPr>
      <w:r w:rsidRPr="00E527B5">
        <w:rPr>
          <w:rFonts w:eastAsia="Calibri" w:cs="Arial"/>
          <w:bCs/>
        </w:rPr>
        <w:t>21 East State Street, 17</w:t>
      </w:r>
      <w:r w:rsidRPr="00E527B5">
        <w:rPr>
          <w:rFonts w:eastAsia="Calibri" w:cs="Arial"/>
          <w:bCs/>
          <w:vertAlign w:val="superscript"/>
        </w:rPr>
        <w:t>TH</w:t>
      </w:r>
      <w:r w:rsidRPr="00E527B5">
        <w:rPr>
          <w:rFonts w:eastAsia="Calibri" w:cs="Arial"/>
          <w:bCs/>
        </w:rPr>
        <w:t xml:space="preserve"> Floor</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rPr>
      </w:pPr>
      <w:r w:rsidRPr="00E527B5">
        <w:rPr>
          <w:rFonts w:eastAsia="Calibri" w:cs="Arial"/>
        </w:rPr>
        <w:t>Columbus, OH  43215</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rPr>
      </w:pPr>
      <w:r w:rsidRPr="00E527B5">
        <w:rPr>
          <w:rFonts w:eastAsia="Calibri" w:cs="Arial"/>
        </w:rPr>
        <w:t>Telephone:  (614) 469-8000</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E527B5">
        <w:rPr>
          <w:rFonts w:eastAsia="Calibri" w:cs="Arial"/>
          <w:color w:val="000000"/>
        </w:rPr>
        <w:t>Telecopier:  (614) 469-4653</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E527B5">
        <w:rPr>
          <w:rFonts w:eastAsia="Calibri" w:cs="Arial"/>
        </w:rPr>
        <w:t>fdarr@mwncmh.com</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E527B5">
        <w:rPr>
          <w:rFonts w:eastAsia="Calibri" w:cs="Arial"/>
          <w:color w:val="000000"/>
        </w:rPr>
        <w:t>(willing to accept service by e-mail)</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E527B5">
        <w:rPr>
          <w:rFonts w:eastAsia="Calibri" w:cs="Arial"/>
          <w:color w:val="000000"/>
        </w:rPr>
        <w:t>mpritchard@mwncmh.com</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E527B5">
        <w:rPr>
          <w:rFonts w:eastAsia="Calibri" w:cs="Arial"/>
          <w:color w:val="000000"/>
        </w:rPr>
        <w:t>(willing to accept service by e-mail)</w:t>
      </w:r>
    </w:p>
    <w:p w:rsidR="00E527B5" w:rsidRPr="00E527B5" w:rsidRDefault="00E527B5" w:rsidP="00E527B5">
      <w:pPr>
        <w:tabs>
          <w:tab w:val="left" w:pos="-1440"/>
          <w:tab w:val="left" w:pos="-720"/>
          <w:tab w:val="left" w:pos="4680"/>
          <w:tab w:val="left" w:pos="5040"/>
        </w:tabs>
        <w:jc w:val="both"/>
        <w:rPr>
          <w:rFonts w:cs="Arial"/>
        </w:rPr>
      </w:pPr>
    </w:p>
    <w:p w:rsidR="00E527B5" w:rsidRPr="00E527B5" w:rsidRDefault="00E527B5" w:rsidP="00E527B5">
      <w:pPr>
        <w:tabs>
          <w:tab w:val="left" w:pos="-1440"/>
          <w:tab w:val="left" w:pos="-720"/>
          <w:tab w:val="left" w:pos="4320"/>
        </w:tabs>
        <w:ind w:left="4320" w:hanging="4320"/>
        <w:jc w:val="both"/>
        <w:rPr>
          <w:rFonts w:cs="Arial"/>
          <w:b/>
        </w:rPr>
        <w:sectPr w:rsidR="00E527B5" w:rsidRPr="00E527B5" w:rsidSect="00A16F60">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r w:rsidRPr="00E527B5">
        <w:rPr>
          <w:rFonts w:cs="Arial"/>
        </w:rPr>
        <w:tab/>
      </w:r>
      <w:r w:rsidRPr="00E527B5">
        <w:rPr>
          <w:rFonts w:cs="Arial"/>
          <w:b/>
        </w:rPr>
        <w:t>Attorneys for Industrial Energy Users-Ohio</w:t>
      </w:r>
    </w:p>
    <w:p w:rsidR="00074D81" w:rsidRPr="00074D81" w:rsidRDefault="00074D81" w:rsidP="00074D81">
      <w:pPr>
        <w:jc w:val="center"/>
        <w:rPr>
          <w:rFonts w:ascii="Arial Bold" w:eastAsia="Times New Roman" w:hAnsi="Arial Bold" w:cs="Arial"/>
          <w:b/>
          <w:smallCaps/>
          <w:sz w:val="28"/>
          <w:szCs w:val="28"/>
          <w:u w:val="single"/>
        </w:rPr>
      </w:pPr>
      <w:r w:rsidRPr="00074D81">
        <w:rPr>
          <w:rFonts w:ascii="Arial Bold" w:eastAsia="Times New Roman" w:hAnsi="Arial Bold" w:cs="Arial"/>
          <w:b/>
          <w:smallCaps/>
          <w:sz w:val="28"/>
          <w:szCs w:val="28"/>
          <w:u w:val="single"/>
        </w:rPr>
        <w:lastRenderedPageBreak/>
        <w:t>Certificate Of Service</w:t>
      </w:r>
    </w:p>
    <w:p w:rsidR="00074D81" w:rsidRPr="00074D81" w:rsidRDefault="00074D81" w:rsidP="00074D81">
      <w:pPr>
        <w:spacing w:line="480" w:lineRule="auto"/>
        <w:ind w:firstLine="720"/>
        <w:jc w:val="both"/>
        <w:rPr>
          <w:rFonts w:eastAsia="Times New Roman" w:cs="Arial"/>
        </w:rPr>
      </w:pPr>
    </w:p>
    <w:p w:rsidR="00074D81" w:rsidRPr="00074D81" w:rsidRDefault="00074D81" w:rsidP="00074D81">
      <w:pPr>
        <w:spacing w:line="480" w:lineRule="auto"/>
        <w:ind w:firstLine="720"/>
        <w:jc w:val="both"/>
        <w:rPr>
          <w:rFonts w:eastAsia="Times New Roman" w:cs="Arial"/>
          <w:b/>
          <w:smallCaps/>
        </w:rPr>
      </w:pPr>
      <w:r w:rsidRPr="00074D81">
        <w:rPr>
          <w:rFonts w:eastAsia="Times New Roman" w:cs="Arial"/>
        </w:rPr>
        <w:t xml:space="preserve">In accordance with Rule 4901-1-05, Ohio Administrative Code, the PUCO's e-filing system will electronically serve notice of the filing of this document upon the following parties.  In addition, I hereby certify that a service copy of the foregoing </w:t>
      </w:r>
      <w:r w:rsidR="00152BDD">
        <w:rPr>
          <w:rFonts w:eastAsia="Times New Roman" w:cs="Arial"/>
          <w:i/>
        </w:rPr>
        <w:t>Reply</w:t>
      </w:r>
      <w:r w:rsidRPr="00074D81">
        <w:rPr>
          <w:rFonts w:eastAsia="Times New Roman" w:cs="Arial"/>
          <w:i/>
        </w:rPr>
        <w:t xml:space="preserve"> Comments of Industrial Energy Users-Ohio </w:t>
      </w:r>
      <w:r w:rsidRPr="00074D81">
        <w:rPr>
          <w:rFonts w:eastAsia="Times New Roman" w:cs="Arial"/>
        </w:rPr>
        <w:t xml:space="preserve">was sent by, or on behalf of, the undersigned counsel for IEU-Ohio to the following parties of record this </w:t>
      </w:r>
      <w:r w:rsidR="00152BDD">
        <w:rPr>
          <w:rFonts w:eastAsia="Times New Roman" w:cs="Arial"/>
        </w:rPr>
        <w:t>12th</w:t>
      </w:r>
      <w:r w:rsidRPr="00074D81">
        <w:rPr>
          <w:rFonts w:eastAsia="Times New Roman" w:cs="Arial"/>
        </w:rPr>
        <w:t xml:space="preserve"> day of </w:t>
      </w:r>
      <w:r w:rsidR="00152BDD">
        <w:rPr>
          <w:rFonts w:eastAsia="Times New Roman" w:cs="Arial"/>
        </w:rPr>
        <w:t>February</w:t>
      </w:r>
      <w:r w:rsidR="002824F6">
        <w:rPr>
          <w:rFonts w:eastAsia="Times New Roman" w:cs="Arial"/>
        </w:rPr>
        <w:t xml:space="preserve"> 2015</w:t>
      </w:r>
      <w:r w:rsidRPr="00074D81">
        <w:rPr>
          <w:rFonts w:eastAsia="Times New Roman" w:cs="Arial"/>
        </w:rPr>
        <w:t xml:space="preserve">, </w:t>
      </w:r>
      <w:r w:rsidRPr="00074D81">
        <w:rPr>
          <w:rFonts w:eastAsia="Times New Roman" w:cs="Arial"/>
          <w:i/>
        </w:rPr>
        <w:t>via</w:t>
      </w:r>
      <w:r w:rsidRPr="00074D81">
        <w:rPr>
          <w:rFonts w:eastAsia="Times New Roman" w:cs="Arial"/>
        </w:rPr>
        <w:t xml:space="preserve"> electronic transmission. </w:t>
      </w:r>
    </w:p>
    <w:p w:rsidR="00074D81" w:rsidRPr="00074D81" w:rsidRDefault="00074D81" w:rsidP="00074D81">
      <w:pPr>
        <w:tabs>
          <w:tab w:val="left" w:pos="-1440"/>
          <w:tab w:val="left" w:pos="-720"/>
          <w:tab w:val="left" w:pos="5040"/>
          <w:tab w:val="center" w:pos="7200"/>
          <w:tab w:val="right" w:pos="9360"/>
        </w:tabs>
        <w:ind w:firstLine="5040"/>
        <w:rPr>
          <w:rFonts w:eastAsia="Times New Roman" w:cs="Arial"/>
          <w:i/>
        </w:rPr>
      </w:pPr>
      <w:r w:rsidRPr="00074D81">
        <w:rPr>
          <w:rFonts w:eastAsia="Times New Roman" w:cs="Arial"/>
          <w:i/>
          <w:u w:val="single"/>
        </w:rPr>
        <w:t>/s/ Frank P. Darr</w:t>
      </w:r>
      <w:r w:rsidRPr="00074D81">
        <w:rPr>
          <w:rFonts w:eastAsia="Times New Roman" w:cs="Arial"/>
          <w:i/>
          <w:u w:val="single"/>
        </w:rPr>
        <w:tab/>
      </w:r>
      <w:r w:rsidRPr="00074D81">
        <w:rPr>
          <w:rFonts w:eastAsia="Times New Roman" w:cs="Arial"/>
          <w:i/>
          <w:u w:val="single"/>
        </w:rPr>
        <w:tab/>
      </w:r>
    </w:p>
    <w:p w:rsidR="00074D81" w:rsidRDefault="00074D81" w:rsidP="00074D81">
      <w:pPr>
        <w:tabs>
          <w:tab w:val="left" w:pos="4320"/>
          <w:tab w:val="center" w:pos="6840"/>
        </w:tabs>
        <w:rPr>
          <w:rFonts w:eastAsia="Times New Roman" w:cs="Arial"/>
        </w:rPr>
        <w:sectPr w:rsidR="00074D81" w:rsidSect="00C0405A">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r w:rsidRPr="00074D81">
        <w:rPr>
          <w:rFonts w:eastAsia="Times New Roman" w:cs="Arial"/>
        </w:rPr>
        <w:tab/>
      </w:r>
      <w:r w:rsidRPr="00074D81">
        <w:rPr>
          <w:rFonts w:eastAsia="Times New Roman" w:cs="Arial"/>
        </w:rPr>
        <w:tab/>
        <w:t>Frank P. Darr</w:t>
      </w:r>
    </w:p>
    <w:p w:rsidR="00074D81" w:rsidRPr="00884256" w:rsidRDefault="00074D81" w:rsidP="00884256">
      <w:pPr>
        <w:tabs>
          <w:tab w:val="left" w:pos="4320"/>
          <w:tab w:val="center" w:pos="6840"/>
        </w:tabs>
        <w:rPr>
          <w:rFonts w:eastAsia="Times New Roman" w:cs="Arial"/>
        </w:rPr>
      </w:pPr>
    </w:p>
    <w:p w:rsidR="00074D81" w:rsidRDefault="00074D81" w:rsidP="00074D81">
      <w:pPr>
        <w:rPr>
          <w:rFonts w:eastAsia="Times New Roman" w:cs="Arial"/>
          <w:sz w:val="22"/>
          <w:szCs w:val="22"/>
        </w:rPr>
      </w:pPr>
    </w:p>
    <w:p w:rsidR="00D55D92" w:rsidRPr="00D55D92" w:rsidRDefault="00D55D92" w:rsidP="00D55D92">
      <w:pPr>
        <w:rPr>
          <w:rFonts w:eastAsia="Times New Roman" w:cs="Arial"/>
        </w:rPr>
      </w:pPr>
      <w:r w:rsidRPr="00D55D92">
        <w:rPr>
          <w:rFonts w:eastAsia="Times New Roman" w:cs="Arial"/>
        </w:rPr>
        <w:t>Amy B. Spiller (Reg. No. 0047277)</w:t>
      </w:r>
    </w:p>
    <w:p w:rsidR="00D55D92" w:rsidRPr="00D55D92" w:rsidRDefault="00D55D92" w:rsidP="00D55D92">
      <w:pPr>
        <w:rPr>
          <w:rFonts w:eastAsia="Times New Roman" w:cs="Arial"/>
        </w:rPr>
      </w:pPr>
      <w:r w:rsidRPr="00D55D92">
        <w:rPr>
          <w:rFonts w:eastAsia="Times New Roman" w:cs="Arial"/>
        </w:rPr>
        <w:t>Deputy General Counsel</w:t>
      </w:r>
    </w:p>
    <w:p w:rsidR="00D55D92" w:rsidRPr="00D55D92" w:rsidRDefault="00D55D92" w:rsidP="00D55D92">
      <w:pPr>
        <w:rPr>
          <w:rFonts w:eastAsia="Times New Roman" w:cs="Arial"/>
        </w:rPr>
      </w:pPr>
      <w:r w:rsidRPr="00D55D92">
        <w:rPr>
          <w:rFonts w:eastAsia="Times New Roman" w:cs="Arial"/>
        </w:rPr>
        <w:t>Elizabeth H. Watts (Reg. No. 0031092)</w:t>
      </w:r>
    </w:p>
    <w:p w:rsidR="00D55D92" w:rsidRPr="00D55D92" w:rsidRDefault="00D55D92" w:rsidP="00D55D92">
      <w:pPr>
        <w:rPr>
          <w:rFonts w:eastAsia="Times New Roman" w:cs="Arial"/>
        </w:rPr>
      </w:pPr>
      <w:r w:rsidRPr="00D55D92">
        <w:rPr>
          <w:rFonts w:eastAsia="Times New Roman" w:cs="Arial"/>
        </w:rPr>
        <w:t>Counsel of Record</w:t>
      </w:r>
    </w:p>
    <w:p w:rsidR="00D55D92" w:rsidRPr="00D55D92" w:rsidRDefault="00D55D92" w:rsidP="00D55D92">
      <w:pPr>
        <w:rPr>
          <w:rFonts w:eastAsia="Times New Roman" w:cs="Arial"/>
        </w:rPr>
      </w:pPr>
      <w:r w:rsidRPr="00D55D92">
        <w:rPr>
          <w:rFonts w:eastAsia="Times New Roman" w:cs="Arial"/>
        </w:rPr>
        <w:t>Associate General Counsel</w:t>
      </w:r>
    </w:p>
    <w:p w:rsidR="00D55D92" w:rsidRPr="00D55D92" w:rsidRDefault="00D55D92" w:rsidP="00D55D92">
      <w:pPr>
        <w:rPr>
          <w:rFonts w:eastAsia="Times New Roman" w:cs="Arial"/>
        </w:rPr>
      </w:pPr>
      <w:r w:rsidRPr="00D55D92">
        <w:rPr>
          <w:rFonts w:eastAsia="Times New Roman" w:cs="Arial"/>
        </w:rPr>
        <w:t>Duke Energy Business Services LLC</w:t>
      </w:r>
    </w:p>
    <w:p w:rsidR="00D55D92" w:rsidRPr="00D55D92" w:rsidRDefault="00D55D92" w:rsidP="00D55D92">
      <w:pPr>
        <w:rPr>
          <w:rFonts w:eastAsia="Times New Roman" w:cs="Arial"/>
        </w:rPr>
      </w:pPr>
      <w:r w:rsidRPr="00D55D92">
        <w:rPr>
          <w:rFonts w:eastAsia="Times New Roman" w:cs="Arial"/>
        </w:rPr>
        <w:t>139 East Fourth Street, 1303-Main</w:t>
      </w:r>
    </w:p>
    <w:p w:rsidR="00D55D92" w:rsidRPr="00D55D92" w:rsidRDefault="00D55D92" w:rsidP="00D55D92">
      <w:pPr>
        <w:rPr>
          <w:rFonts w:eastAsia="Times New Roman" w:cs="Arial"/>
        </w:rPr>
      </w:pPr>
      <w:r w:rsidRPr="00D55D92">
        <w:rPr>
          <w:rFonts w:eastAsia="Times New Roman" w:cs="Arial"/>
        </w:rPr>
        <w:t>P.O. Box 960</w:t>
      </w:r>
    </w:p>
    <w:p w:rsidR="00D55D92" w:rsidRPr="00D55D92" w:rsidRDefault="00D55D92" w:rsidP="00D55D92">
      <w:pPr>
        <w:rPr>
          <w:rFonts w:eastAsia="Times New Roman" w:cs="Arial"/>
        </w:rPr>
      </w:pPr>
      <w:r w:rsidRPr="00D55D92">
        <w:rPr>
          <w:rFonts w:eastAsia="Times New Roman" w:cs="Arial"/>
        </w:rPr>
        <w:t>Cincinnati, OH  45201-0960</w:t>
      </w:r>
    </w:p>
    <w:p w:rsidR="00D55D92" w:rsidRPr="00D55D92" w:rsidRDefault="00D55D92" w:rsidP="00D55D92">
      <w:pPr>
        <w:autoSpaceDE w:val="0"/>
        <w:autoSpaceDN w:val="0"/>
        <w:adjustRightInd w:val="0"/>
        <w:rPr>
          <w:rFonts w:eastAsia="Times New Roman" w:cs="Arial"/>
          <w:color w:val="000000"/>
        </w:rPr>
      </w:pPr>
      <w:r w:rsidRPr="00D55D92">
        <w:rPr>
          <w:rFonts w:eastAsia="Times New Roman" w:cs="Arial"/>
          <w:color w:val="000000"/>
        </w:rPr>
        <w:t>Amy.Spiller@duke-energy.com</w:t>
      </w:r>
    </w:p>
    <w:p w:rsidR="00D55D92" w:rsidRPr="00D55D92" w:rsidRDefault="00D55D92" w:rsidP="00D55D92">
      <w:pPr>
        <w:autoSpaceDE w:val="0"/>
        <w:autoSpaceDN w:val="0"/>
        <w:adjustRightInd w:val="0"/>
        <w:rPr>
          <w:rFonts w:eastAsia="Times New Roman" w:cs="Arial"/>
          <w:color w:val="000000"/>
        </w:rPr>
      </w:pPr>
      <w:r w:rsidRPr="00D55D92">
        <w:rPr>
          <w:rFonts w:eastAsia="Times New Roman" w:cs="Arial"/>
          <w:color w:val="000000"/>
        </w:rPr>
        <w:t>Elizabeth.watts@duke-energy.com</w:t>
      </w:r>
    </w:p>
    <w:p w:rsidR="00D55D92" w:rsidRPr="00D55D92" w:rsidRDefault="00D55D92" w:rsidP="00D55D92">
      <w:pPr>
        <w:autoSpaceDE w:val="0"/>
        <w:autoSpaceDN w:val="0"/>
        <w:adjustRightInd w:val="0"/>
        <w:rPr>
          <w:rFonts w:eastAsia="Times New Roman" w:cs="Arial"/>
          <w:color w:val="000000"/>
        </w:rPr>
      </w:pPr>
    </w:p>
    <w:p w:rsidR="00D55D92" w:rsidRPr="00D55D92" w:rsidRDefault="00D55D92" w:rsidP="00D55D92">
      <w:pPr>
        <w:spacing w:line="480" w:lineRule="auto"/>
      </w:pPr>
      <w:r w:rsidRPr="00D55D92">
        <w:rPr>
          <w:rFonts w:eastAsia="Times New Roman" w:cs="Arial"/>
          <w:b/>
          <w:smallCaps/>
          <w:color w:val="000000"/>
        </w:rPr>
        <w:t>Counsel for Duke Energy Ohio, Inc.</w:t>
      </w:r>
    </w:p>
    <w:p w:rsidR="00D55D92" w:rsidRPr="00D55D92" w:rsidRDefault="00D55D92" w:rsidP="00D55D92">
      <w:pPr>
        <w:autoSpaceDE w:val="0"/>
        <w:autoSpaceDN w:val="0"/>
        <w:adjustRightInd w:val="0"/>
        <w:rPr>
          <w:rFonts w:eastAsia="Times New Roman" w:cs="Arial"/>
          <w:color w:val="000000"/>
        </w:rPr>
      </w:pPr>
      <w:r w:rsidRPr="00D55D92">
        <w:rPr>
          <w:rFonts w:eastAsia="Times New Roman" w:cs="Arial"/>
          <w:color w:val="000000"/>
        </w:rPr>
        <w:t>William L. Wright</w:t>
      </w:r>
    </w:p>
    <w:p w:rsidR="00D55D92" w:rsidRPr="00D55D92" w:rsidRDefault="00D55D92" w:rsidP="00D55D92">
      <w:pPr>
        <w:autoSpaceDE w:val="0"/>
        <w:autoSpaceDN w:val="0"/>
        <w:adjustRightInd w:val="0"/>
        <w:rPr>
          <w:rFonts w:eastAsia="Times New Roman" w:cs="Arial"/>
          <w:color w:val="000000"/>
        </w:rPr>
      </w:pPr>
      <w:r w:rsidRPr="00D55D92">
        <w:rPr>
          <w:rFonts w:eastAsia="Times New Roman" w:cs="Arial"/>
          <w:color w:val="000000"/>
        </w:rPr>
        <w:t>Section Chief, Public Utilities Section</w:t>
      </w:r>
    </w:p>
    <w:p w:rsidR="00D55D92" w:rsidRPr="00D55D92" w:rsidRDefault="00D55D92" w:rsidP="00D55D92">
      <w:pPr>
        <w:autoSpaceDE w:val="0"/>
        <w:autoSpaceDN w:val="0"/>
        <w:adjustRightInd w:val="0"/>
        <w:rPr>
          <w:rFonts w:eastAsia="Times New Roman" w:cs="Arial"/>
          <w:color w:val="000000"/>
        </w:rPr>
      </w:pPr>
      <w:r w:rsidRPr="00D55D92">
        <w:rPr>
          <w:rFonts w:eastAsia="Times New Roman" w:cs="Arial"/>
          <w:color w:val="000000"/>
        </w:rPr>
        <w:t>Katie L. Johnson</w:t>
      </w:r>
    </w:p>
    <w:p w:rsidR="00D55D92" w:rsidRPr="00D55D92" w:rsidRDefault="00D55D92" w:rsidP="00D55D92">
      <w:pPr>
        <w:autoSpaceDE w:val="0"/>
        <w:autoSpaceDN w:val="0"/>
        <w:adjustRightInd w:val="0"/>
        <w:rPr>
          <w:rFonts w:eastAsia="Times New Roman" w:cs="Arial"/>
          <w:color w:val="000000"/>
        </w:rPr>
      </w:pPr>
      <w:r w:rsidRPr="00D55D92">
        <w:rPr>
          <w:rFonts w:eastAsia="Times New Roman" w:cs="Arial"/>
          <w:color w:val="000000"/>
        </w:rPr>
        <w:t>Assistant Attorney General</w:t>
      </w:r>
    </w:p>
    <w:p w:rsidR="00D55D92" w:rsidRPr="00D55D92" w:rsidRDefault="00D55D92" w:rsidP="00D55D92">
      <w:pPr>
        <w:autoSpaceDE w:val="0"/>
        <w:autoSpaceDN w:val="0"/>
        <w:adjustRightInd w:val="0"/>
        <w:rPr>
          <w:rFonts w:eastAsia="Times New Roman" w:cs="Arial"/>
          <w:color w:val="000000"/>
        </w:rPr>
      </w:pPr>
      <w:r w:rsidRPr="00D55D92">
        <w:rPr>
          <w:rFonts w:eastAsia="Times New Roman" w:cs="Arial"/>
          <w:color w:val="000000"/>
        </w:rPr>
        <w:t>Public Utilities Section</w:t>
      </w:r>
    </w:p>
    <w:p w:rsidR="00D55D92" w:rsidRPr="00D55D92" w:rsidRDefault="00D55D92" w:rsidP="00D55D92">
      <w:pPr>
        <w:autoSpaceDE w:val="0"/>
        <w:autoSpaceDN w:val="0"/>
        <w:adjustRightInd w:val="0"/>
        <w:rPr>
          <w:rFonts w:eastAsia="Times New Roman" w:cs="Arial"/>
          <w:color w:val="000000"/>
        </w:rPr>
      </w:pPr>
      <w:r w:rsidRPr="00D55D92">
        <w:rPr>
          <w:rFonts w:eastAsia="Times New Roman" w:cs="Arial"/>
          <w:color w:val="000000"/>
        </w:rPr>
        <w:t>180 East Broad Street, 6</w:t>
      </w:r>
      <w:r w:rsidRPr="00D55D92">
        <w:rPr>
          <w:rFonts w:eastAsia="Times New Roman" w:cs="Arial"/>
          <w:color w:val="000000"/>
          <w:vertAlign w:val="superscript"/>
        </w:rPr>
        <w:t>th</w:t>
      </w:r>
      <w:r w:rsidRPr="00D55D92">
        <w:rPr>
          <w:rFonts w:eastAsia="Times New Roman" w:cs="Arial"/>
          <w:color w:val="000000"/>
        </w:rPr>
        <w:t xml:space="preserve"> Floor</w:t>
      </w:r>
    </w:p>
    <w:p w:rsidR="00D55D92" w:rsidRPr="00D55D92" w:rsidRDefault="00D55D92" w:rsidP="00D55D92">
      <w:pPr>
        <w:autoSpaceDE w:val="0"/>
        <w:autoSpaceDN w:val="0"/>
        <w:adjustRightInd w:val="0"/>
        <w:rPr>
          <w:rFonts w:eastAsia="Times New Roman" w:cs="Arial"/>
          <w:color w:val="000000"/>
        </w:rPr>
      </w:pPr>
      <w:r w:rsidRPr="00D55D92">
        <w:rPr>
          <w:rFonts w:eastAsia="Times New Roman" w:cs="Arial"/>
          <w:color w:val="000000"/>
        </w:rPr>
        <w:t>Columbus, OH  43215-3793</w:t>
      </w:r>
    </w:p>
    <w:p w:rsidR="00D55D92" w:rsidRPr="00D55D92" w:rsidRDefault="00D55D92" w:rsidP="00D55D92">
      <w:pPr>
        <w:autoSpaceDE w:val="0"/>
        <w:autoSpaceDN w:val="0"/>
        <w:adjustRightInd w:val="0"/>
        <w:rPr>
          <w:rFonts w:eastAsia="Times New Roman" w:cs="Arial"/>
          <w:color w:val="000000"/>
        </w:rPr>
      </w:pPr>
      <w:r w:rsidRPr="00D55D92">
        <w:rPr>
          <w:rFonts w:eastAsia="Times New Roman" w:cs="Arial"/>
          <w:color w:val="000000"/>
        </w:rPr>
        <w:t>Telephone:  (614) 466-4397</w:t>
      </w:r>
    </w:p>
    <w:p w:rsidR="00D55D92" w:rsidRPr="00D55D92" w:rsidRDefault="00D55D92" w:rsidP="00D55D92">
      <w:pPr>
        <w:autoSpaceDE w:val="0"/>
        <w:autoSpaceDN w:val="0"/>
        <w:adjustRightInd w:val="0"/>
        <w:rPr>
          <w:rFonts w:eastAsia="Times New Roman" w:cs="Arial"/>
          <w:color w:val="000000"/>
        </w:rPr>
      </w:pPr>
      <w:r w:rsidRPr="00D55D92">
        <w:rPr>
          <w:rFonts w:eastAsia="Times New Roman" w:cs="Arial"/>
          <w:color w:val="000000"/>
        </w:rPr>
        <w:t>Facsimile:  (614) 644-8764</w:t>
      </w:r>
    </w:p>
    <w:p w:rsidR="00D55D92" w:rsidRPr="00D55D92" w:rsidRDefault="00D55D92" w:rsidP="00D55D92">
      <w:pPr>
        <w:autoSpaceDE w:val="0"/>
        <w:autoSpaceDN w:val="0"/>
        <w:adjustRightInd w:val="0"/>
        <w:rPr>
          <w:rFonts w:eastAsia="Times New Roman" w:cs="Arial"/>
          <w:color w:val="000000"/>
        </w:rPr>
      </w:pPr>
      <w:r w:rsidRPr="00D55D92">
        <w:rPr>
          <w:rFonts w:eastAsia="Times New Roman" w:cs="Arial"/>
          <w:color w:val="000000"/>
        </w:rPr>
        <w:t>katie.johnson@puc.state.oh.us</w:t>
      </w:r>
    </w:p>
    <w:p w:rsidR="00D55D92" w:rsidRPr="00D55D92" w:rsidRDefault="00D55D92" w:rsidP="00D55D92">
      <w:pPr>
        <w:autoSpaceDE w:val="0"/>
        <w:autoSpaceDN w:val="0"/>
        <w:adjustRightInd w:val="0"/>
        <w:rPr>
          <w:rFonts w:eastAsia="Times New Roman" w:cs="Arial"/>
          <w:color w:val="000000"/>
        </w:rPr>
      </w:pPr>
    </w:p>
    <w:p w:rsidR="00D55D92" w:rsidRPr="00D55D92" w:rsidRDefault="00D55D92" w:rsidP="00D55D92">
      <w:pPr>
        <w:autoSpaceDE w:val="0"/>
        <w:autoSpaceDN w:val="0"/>
        <w:adjustRightInd w:val="0"/>
        <w:rPr>
          <w:rFonts w:eastAsia="Times New Roman" w:cs="Arial"/>
          <w:b/>
          <w:smallCaps/>
          <w:color w:val="000000"/>
        </w:rPr>
      </w:pPr>
      <w:r w:rsidRPr="00D55D92">
        <w:rPr>
          <w:rFonts w:eastAsia="Times New Roman" w:cs="Arial"/>
          <w:b/>
          <w:smallCaps/>
          <w:color w:val="000000"/>
        </w:rPr>
        <w:t>On Behalf of the Staff of the Public Utilities Commission of Ohio</w:t>
      </w:r>
    </w:p>
    <w:p w:rsidR="00D55D92" w:rsidRPr="00D55D92" w:rsidRDefault="00D55D92" w:rsidP="00D55D92"/>
    <w:p w:rsidR="00D55D92" w:rsidRPr="00D55D92" w:rsidRDefault="00D55D92" w:rsidP="00D55D92">
      <w:pPr>
        <w:rPr>
          <w:rFonts w:cs="Arial"/>
        </w:rPr>
      </w:pPr>
    </w:p>
    <w:p w:rsidR="00D55D92" w:rsidRPr="00D55D92" w:rsidRDefault="00D55D92" w:rsidP="00D55D92">
      <w:pPr>
        <w:rPr>
          <w:rFonts w:cs="Arial"/>
        </w:rPr>
      </w:pPr>
      <w:r w:rsidRPr="00D55D92">
        <w:rPr>
          <w:rFonts w:cs="Arial"/>
        </w:rPr>
        <w:t>Christine M.T. Pirik</w:t>
      </w:r>
    </w:p>
    <w:p w:rsidR="00D55D92" w:rsidRPr="00D55D92" w:rsidRDefault="00D55D92" w:rsidP="00D55D92">
      <w:pPr>
        <w:rPr>
          <w:rFonts w:cs="Arial"/>
        </w:rPr>
      </w:pPr>
      <w:r w:rsidRPr="00D55D92">
        <w:rPr>
          <w:rFonts w:cs="Arial"/>
        </w:rPr>
        <w:t>Nicholas Walstra</w:t>
      </w:r>
    </w:p>
    <w:p w:rsidR="00D55D92" w:rsidRPr="00D55D92" w:rsidRDefault="00D55D92" w:rsidP="00D55D92">
      <w:pPr>
        <w:rPr>
          <w:rFonts w:cs="Arial"/>
        </w:rPr>
      </w:pPr>
      <w:r w:rsidRPr="00D55D92">
        <w:rPr>
          <w:rFonts w:cs="Arial"/>
        </w:rPr>
        <w:t>Attorney Examiners</w:t>
      </w:r>
    </w:p>
    <w:p w:rsidR="00D55D92" w:rsidRPr="00D55D92" w:rsidRDefault="00D55D92" w:rsidP="00D55D92">
      <w:pPr>
        <w:autoSpaceDE w:val="0"/>
        <w:autoSpaceDN w:val="0"/>
        <w:adjustRightInd w:val="0"/>
        <w:rPr>
          <w:rFonts w:cs="Arial"/>
          <w:color w:val="000000" w:themeColor="text1"/>
        </w:rPr>
      </w:pPr>
      <w:r w:rsidRPr="00D55D92">
        <w:rPr>
          <w:rFonts w:cs="Arial"/>
          <w:color w:val="000000" w:themeColor="text1"/>
        </w:rPr>
        <w:t>Public Utilities Commission of Ohio</w:t>
      </w:r>
    </w:p>
    <w:p w:rsidR="00D55D92" w:rsidRPr="00D55D92" w:rsidRDefault="00D55D92" w:rsidP="00D55D92">
      <w:pPr>
        <w:autoSpaceDE w:val="0"/>
        <w:autoSpaceDN w:val="0"/>
        <w:adjustRightInd w:val="0"/>
        <w:rPr>
          <w:rFonts w:cs="Arial"/>
          <w:color w:val="000000" w:themeColor="text1"/>
        </w:rPr>
      </w:pPr>
      <w:r w:rsidRPr="00D55D92">
        <w:rPr>
          <w:rFonts w:cs="Arial"/>
          <w:color w:val="000000" w:themeColor="text1"/>
        </w:rPr>
        <w:t>180 East Broad Street, 12</w:t>
      </w:r>
      <w:r w:rsidRPr="00D55D92">
        <w:rPr>
          <w:rFonts w:cs="Arial"/>
          <w:color w:val="000000" w:themeColor="text1"/>
          <w:vertAlign w:val="superscript"/>
        </w:rPr>
        <w:t>th</w:t>
      </w:r>
      <w:r w:rsidRPr="00D55D92">
        <w:rPr>
          <w:rFonts w:cs="Arial"/>
          <w:color w:val="000000" w:themeColor="text1"/>
        </w:rPr>
        <w:t xml:space="preserve"> Floor</w:t>
      </w:r>
    </w:p>
    <w:p w:rsidR="00D55D92" w:rsidRPr="00D55D92" w:rsidRDefault="00D55D92" w:rsidP="00D55D92">
      <w:pPr>
        <w:autoSpaceDE w:val="0"/>
        <w:autoSpaceDN w:val="0"/>
        <w:adjustRightInd w:val="0"/>
        <w:rPr>
          <w:rFonts w:cs="Arial"/>
          <w:color w:val="000000" w:themeColor="text1"/>
        </w:rPr>
      </w:pPr>
      <w:r w:rsidRPr="00D55D92">
        <w:rPr>
          <w:rFonts w:cs="Arial"/>
          <w:color w:val="000000" w:themeColor="text1"/>
        </w:rPr>
        <w:t>Columbus, OH 43215</w:t>
      </w:r>
    </w:p>
    <w:p w:rsidR="00D55D92" w:rsidRPr="00D55D92" w:rsidRDefault="00D55D92" w:rsidP="00D55D92">
      <w:pPr>
        <w:autoSpaceDE w:val="0"/>
        <w:autoSpaceDN w:val="0"/>
        <w:adjustRightInd w:val="0"/>
        <w:rPr>
          <w:rFonts w:cs="Arial"/>
          <w:color w:val="000000" w:themeColor="text1"/>
        </w:rPr>
      </w:pPr>
      <w:r w:rsidRPr="00D55D92">
        <w:rPr>
          <w:rFonts w:cs="Arial"/>
          <w:color w:val="000000" w:themeColor="text1"/>
        </w:rPr>
        <w:t>Christine.pirik@puc.state.oh.us</w:t>
      </w:r>
    </w:p>
    <w:p w:rsidR="00D55D92" w:rsidRPr="00D55D92" w:rsidRDefault="00D55D92" w:rsidP="00D55D92">
      <w:pPr>
        <w:autoSpaceDE w:val="0"/>
        <w:autoSpaceDN w:val="0"/>
        <w:adjustRightInd w:val="0"/>
        <w:rPr>
          <w:rFonts w:cs="Arial"/>
          <w:color w:val="000000" w:themeColor="text1"/>
        </w:rPr>
      </w:pPr>
      <w:r w:rsidRPr="00D55D92">
        <w:rPr>
          <w:rFonts w:cs="Arial"/>
          <w:color w:val="000000" w:themeColor="text1"/>
        </w:rPr>
        <w:t>Nicholas.walstra@puc.state.oh.us</w:t>
      </w:r>
    </w:p>
    <w:p w:rsidR="00D55D92" w:rsidRPr="00D55D92" w:rsidRDefault="00D55D92" w:rsidP="00D55D92">
      <w:pPr>
        <w:tabs>
          <w:tab w:val="left" w:pos="2160"/>
          <w:tab w:val="left" w:pos="2280"/>
        </w:tabs>
        <w:rPr>
          <w:rFonts w:cs="Arial"/>
        </w:rPr>
      </w:pPr>
    </w:p>
    <w:p w:rsidR="00D55D92" w:rsidRPr="00D55D92" w:rsidRDefault="00D55D92" w:rsidP="00D55D92">
      <w:pPr>
        <w:autoSpaceDE w:val="0"/>
        <w:autoSpaceDN w:val="0"/>
        <w:adjustRightInd w:val="0"/>
        <w:rPr>
          <w:rFonts w:cs="Arial"/>
          <w:b/>
          <w:smallCaps/>
          <w:color w:val="000000" w:themeColor="text1"/>
        </w:rPr>
      </w:pPr>
      <w:r w:rsidRPr="00D55D92">
        <w:rPr>
          <w:rFonts w:cs="Arial"/>
          <w:b/>
          <w:smallCaps/>
          <w:color w:val="000000" w:themeColor="text1"/>
        </w:rPr>
        <w:t>Attorney Examiners</w:t>
      </w:r>
    </w:p>
    <w:p w:rsidR="00D55D92" w:rsidRPr="00D55D92" w:rsidRDefault="00D55D92" w:rsidP="00D55D92"/>
    <w:p w:rsidR="0030098A" w:rsidRDefault="0030098A" w:rsidP="00884256">
      <w:pPr>
        <w:spacing w:line="480" w:lineRule="auto"/>
        <w:rPr>
          <w:rFonts w:eastAsia="Times New Roman" w:cs="Arial"/>
          <w:b/>
          <w:smallCaps/>
          <w:color w:val="000000"/>
        </w:rPr>
      </w:pPr>
    </w:p>
    <w:p w:rsidR="0030098A" w:rsidRPr="00C272C5" w:rsidRDefault="0030098A" w:rsidP="00884256">
      <w:pPr>
        <w:spacing w:line="480" w:lineRule="auto"/>
      </w:pPr>
    </w:p>
    <w:sectPr w:rsidR="0030098A" w:rsidRPr="00C272C5" w:rsidSect="00884256">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454" w:rsidRDefault="002A3454" w:rsidP="002A3454">
      <w:r>
        <w:separator/>
      </w:r>
    </w:p>
  </w:endnote>
  <w:endnote w:type="continuationSeparator" w:id="0">
    <w:p w:rsidR="002A3454" w:rsidRDefault="002A3454" w:rsidP="002A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4F" w:rsidRDefault="00C90F4F">
    <w:pPr>
      <w:pStyle w:val="Footer"/>
    </w:pPr>
    <w:r>
      <w:rPr>
        <w:noProof/>
        <w:sz w:val="16"/>
      </w:rPr>
      <w:t>{C30194:3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4F" w:rsidRDefault="00316575">
    <w:pPr>
      <w:pStyle w:val="Footer"/>
      <w:jc w:val="center"/>
    </w:pPr>
    <w:r w:rsidRPr="00316575">
      <w:rPr>
        <w:noProof/>
        <w:sz w:val="16"/>
      </w:rPr>
      <w:t>{C46560:2 }</w:t>
    </w:r>
    <w:r w:rsidR="00C90F4F">
      <w:fldChar w:fldCharType="begin"/>
    </w:r>
    <w:r w:rsidR="00C90F4F">
      <w:instrText xml:space="preserve"> PAGE   \* MERGEFORMAT </w:instrText>
    </w:r>
    <w:r w:rsidR="00C90F4F">
      <w:fldChar w:fldCharType="separate"/>
    </w:r>
    <w:r w:rsidR="00C90F4F">
      <w:rPr>
        <w:noProof/>
      </w:rPr>
      <w:t>1</w:t>
    </w:r>
    <w:r w:rsidR="00C90F4F">
      <w:rPr>
        <w:noProof/>
      </w:rPr>
      <w:fldChar w:fldCharType="end"/>
    </w:r>
  </w:p>
  <w:p w:rsidR="00C90F4F" w:rsidRDefault="00C90F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4F" w:rsidRDefault="00316575">
    <w:pPr>
      <w:pStyle w:val="Footer"/>
    </w:pPr>
    <w:r w:rsidRPr="00316575">
      <w:rPr>
        <w:noProof/>
        <w:sz w:val="16"/>
      </w:rPr>
      <w:t>{C46560:2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5" w:rsidRDefault="00E527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5" w:rsidRPr="0029719A" w:rsidRDefault="00316575">
    <w:pPr>
      <w:pStyle w:val="Footer"/>
    </w:pPr>
    <w:r w:rsidRPr="00316575">
      <w:rPr>
        <w:noProof/>
        <w:sz w:val="16"/>
      </w:rPr>
      <w:t>{C46560:2 }</w:t>
    </w:r>
    <w:sdt>
      <w:sdtPr>
        <w:id w:val="1273367022"/>
        <w:docPartObj>
          <w:docPartGallery w:val="Page Numbers (Bottom of Page)"/>
          <w:docPartUnique/>
        </w:docPartObj>
      </w:sdtPr>
      <w:sdtEndPr>
        <w:rPr>
          <w:noProof/>
        </w:rPr>
      </w:sdtEndPr>
      <w:sdtContent>
        <w:r w:rsidR="00E527B5">
          <w:tab/>
        </w:r>
        <w:r w:rsidR="00E527B5" w:rsidRPr="0029719A">
          <w:fldChar w:fldCharType="begin"/>
        </w:r>
        <w:r w:rsidR="00E527B5" w:rsidRPr="0029719A">
          <w:instrText xml:space="preserve"> PAGE   \* MERGEFORMAT </w:instrText>
        </w:r>
        <w:r w:rsidR="00E527B5" w:rsidRPr="0029719A">
          <w:fldChar w:fldCharType="separate"/>
        </w:r>
        <w:r>
          <w:rPr>
            <w:noProof/>
          </w:rPr>
          <w:t>6</w:t>
        </w:r>
        <w:r w:rsidR="00E527B5" w:rsidRPr="0029719A">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5" w:rsidRPr="004A0983" w:rsidRDefault="00316575">
    <w:pPr>
      <w:pStyle w:val="Footer"/>
    </w:pPr>
    <w:r w:rsidRPr="00316575">
      <w:rPr>
        <w:noProof/>
        <w:sz w:val="16"/>
      </w:rPr>
      <w:t>{C46560:2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81" w:rsidRDefault="00074D8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81" w:rsidRDefault="00316575">
    <w:pPr>
      <w:pStyle w:val="Footer"/>
      <w:rPr>
        <w:rFonts w:cs="Arial"/>
      </w:rPr>
    </w:pPr>
    <w:r w:rsidRPr="00316575">
      <w:rPr>
        <w:rFonts w:cs="Arial"/>
        <w:noProof/>
        <w:sz w:val="16"/>
      </w:rPr>
      <w:t>{C46560:2 }</w:t>
    </w:r>
  </w:p>
  <w:p w:rsidR="00074D81" w:rsidRDefault="00074D81">
    <w:pPr>
      <w:pStyle w:val="Footer"/>
      <w:rPr>
        <w:rFonts w:cs="Arial"/>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81" w:rsidRPr="00E65492" w:rsidRDefault="00316575">
    <w:pPr>
      <w:pStyle w:val="Footer"/>
      <w:rPr>
        <w:rFonts w:cs="Arial"/>
      </w:rPr>
    </w:pPr>
    <w:r w:rsidRPr="00316575">
      <w:rPr>
        <w:rFonts w:cs="Arial"/>
        <w:noProof/>
        <w:sz w:val="16"/>
      </w:rPr>
      <w:t>{C46560:2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454" w:rsidRDefault="002A3454" w:rsidP="002A3454">
      <w:pPr>
        <w:rPr>
          <w:noProof/>
        </w:rPr>
      </w:pPr>
      <w:r>
        <w:rPr>
          <w:noProof/>
        </w:rPr>
        <w:separator/>
      </w:r>
    </w:p>
  </w:footnote>
  <w:footnote w:type="continuationSeparator" w:id="0">
    <w:p w:rsidR="002A3454" w:rsidRDefault="002A3454" w:rsidP="002A3454">
      <w:r>
        <w:continuationSeparator/>
      </w:r>
    </w:p>
  </w:footnote>
  <w:footnote w:id="1">
    <w:p w:rsidR="008D4BC9" w:rsidRDefault="008D4BC9" w:rsidP="00884256">
      <w:pPr>
        <w:pStyle w:val="FootnoteText"/>
        <w:spacing w:after="120"/>
        <w:jc w:val="both"/>
      </w:pPr>
      <w:r>
        <w:rPr>
          <w:rStyle w:val="FootnoteReference"/>
        </w:rPr>
        <w:footnoteRef/>
      </w:r>
      <w:r>
        <w:t xml:space="preserve"> Application </w:t>
      </w:r>
      <w:r w:rsidR="00C90F4F">
        <w:t xml:space="preserve">of Duke Energy Ohio, Inc., for Authority </w:t>
      </w:r>
      <w:r>
        <w:t xml:space="preserve">to Establish </w:t>
      </w:r>
      <w:r w:rsidR="00C90F4F">
        <w:t xml:space="preserve">a Non-residential </w:t>
      </w:r>
      <w:r>
        <w:t xml:space="preserve">Energy Efficiency Program </w:t>
      </w:r>
      <w:r w:rsidR="00C90F4F">
        <w:t xml:space="preserve">for Inclusion in its Energy Efficiency Portfolio </w:t>
      </w:r>
      <w:r>
        <w:t>(Sept. 9, 2014)</w:t>
      </w:r>
      <w:r w:rsidR="00C90F4F">
        <w:t xml:space="preserve"> (“Application”)</w:t>
      </w:r>
      <w:r>
        <w:t>.</w:t>
      </w:r>
    </w:p>
  </w:footnote>
  <w:footnote w:id="2">
    <w:p w:rsidR="008D4BC9" w:rsidRDefault="008D4BC9" w:rsidP="00884256">
      <w:pPr>
        <w:pStyle w:val="FootnoteText"/>
        <w:spacing w:after="120"/>
        <w:jc w:val="both"/>
      </w:pPr>
      <w:r>
        <w:rPr>
          <w:rStyle w:val="FootnoteReference"/>
        </w:rPr>
        <w:footnoteRef/>
      </w:r>
      <w:r>
        <w:t xml:space="preserve"> </w:t>
      </w:r>
      <w:r w:rsidRPr="00884256">
        <w:rPr>
          <w:i/>
        </w:rPr>
        <w:t>Id</w:t>
      </w:r>
      <w:r>
        <w:t>. at 2-3.</w:t>
      </w:r>
    </w:p>
  </w:footnote>
  <w:footnote w:id="3">
    <w:p w:rsidR="008D4BC9" w:rsidRDefault="008D4BC9" w:rsidP="00884256">
      <w:pPr>
        <w:pStyle w:val="FootnoteText"/>
        <w:spacing w:after="120"/>
        <w:jc w:val="both"/>
      </w:pPr>
      <w:r>
        <w:rPr>
          <w:rStyle w:val="FootnoteReference"/>
        </w:rPr>
        <w:footnoteRef/>
      </w:r>
      <w:r>
        <w:t xml:space="preserve"> </w:t>
      </w:r>
      <w:r w:rsidRPr="00884256">
        <w:rPr>
          <w:i/>
        </w:rPr>
        <w:t>Id</w:t>
      </w:r>
      <w:r>
        <w:t xml:space="preserve">. at 3. </w:t>
      </w:r>
    </w:p>
  </w:footnote>
  <w:footnote w:id="4">
    <w:p w:rsidR="00152BDD" w:rsidRDefault="00152BDD" w:rsidP="00152BDD">
      <w:pPr>
        <w:pStyle w:val="FootnoteText"/>
        <w:spacing w:after="120"/>
        <w:jc w:val="both"/>
      </w:pPr>
      <w:r>
        <w:rPr>
          <w:rStyle w:val="FootnoteReference"/>
        </w:rPr>
        <w:footnoteRef/>
      </w:r>
      <w:r>
        <w:t xml:space="preserve"> Comments Submitted on Behalf of the Staff of the Public Utilities Commission of Ohio at 2 (Jan. 27, 2014) (“Staff Comments”).</w:t>
      </w:r>
    </w:p>
  </w:footnote>
  <w:footnote w:id="5">
    <w:p w:rsidR="00152BDD" w:rsidRDefault="00152BDD" w:rsidP="00152BDD">
      <w:pPr>
        <w:pStyle w:val="FootnoteText"/>
        <w:spacing w:after="120"/>
        <w:jc w:val="both"/>
      </w:pPr>
      <w:r>
        <w:rPr>
          <w:rStyle w:val="FootnoteReference"/>
        </w:rPr>
        <w:footnoteRef/>
      </w:r>
      <w:r>
        <w:t xml:space="preserve"> Staff Comments at </w:t>
      </w:r>
      <w:r w:rsidR="00DD386F">
        <w:t>2</w:t>
      </w:r>
      <w:r>
        <w:t>.</w:t>
      </w:r>
    </w:p>
  </w:footnote>
  <w:footnote w:id="6">
    <w:p w:rsidR="00152BDD" w:rsidRDefault="00152BDD" w:rsidP="00152BDD">
      <w:pPr>
        <w:pStyle w:val="FootnoteText"/>
        <w:spacing w:after="120"/>
        <w:jc w:val="both"/>
      </w:pPr>
      <w:r>
        <w:rPr>
          <w:rStyle w:val="FootnoteReference"/>
        </w:rPr>
        <w:footnoteRef/>
      </w:r>
      <w:r>
        <w:t xml:space="preserve"> </w:t>
      </w:r>
      <w:r w:rsidRPr="00717AFA">
        <w:rPr>
          <w:i/>
        </w:rPr>
        <w:t>See In the Matter of the Application of Ohio Edison Company, The Cleveland Electric Illuminating Company, and The Toledo Edison Company for Approval of Their Energy Efficiency and Peak Demand Reduction Program Plans for 2013 through 2015</w:t>
      </w:r>
      <w:r>
        <w:t xml:space="preserve">, Case Nos. 12-2190-EL-POR, </w:t>
      </w:r>
      <w:r w:rsidRPr="00717AFA">
        <w:rPr>
          <w:i/>
        </w:rPr>
        <w:t>et al</w:t>
      </w:r>
      <w:r>
        <w:t>., Finding and Order (Nov. 20, 2014) (approving modification to current portfolio plan).</w:t>
      </w:r>
    </w:p>
  </w:footnote>
  <w:footnote w:id="7">
    <w:p w:rsidR="0063710A" w:rsidRDefault="0063710A" w:rsidP="0063710A">
      <w:pPr>
        <w:pStyle w:val="FootnoteText"/>
        <w:spacing w:after="120"/>
        <w:jc w:val="both"/>
      </w:pPr>
      <w:r>
        <w:rPr>
          <w:rStyle w:val="FootnoteReference"/>
        </w:rPr>
        <w:footnoteRef/>
      </w:r>
      <w:r>
        <w:t xml:space="preserve"> Staff points out that Duke may fall short of the frozen portfolio targets for 2015 or 2016, but also notes that it believes it would “be better for [Duke] to implement the [proposed program] in order to reach, and possibly exceed, its goals for 2015 and 2016 rather than rely on previously banked savings.” </w:t>
      </w:r>
      <w:r w:rsidR="0048152B">
        <w:t xml:space="preserve"> </w:t>
      </w:r>
      <w:r>
        <w:t>Staff Comments at 3-4.  Staff’s suggestion that Duke will fall short, thus, is undermined by the fact that Duke currently has sufficient banked savings to meet the frozen portfolio requirements.  Thus, the proposed program i</w:t>
      </w:r>
      <w:r w:rsidR="00AC30E0">
        <w:t>s</w:t>
      </w:r>
      <w:r>
        <w:t xml:space="preserve"> not necessary to meet the current portfolio requirements and certainly is not necessary to carry out the current portfolio plan. </w:t>
      </w:r>
    </w:p>
  </w:footnote>
  <w:footnote w:id="8">
    <w:p w:rsidR="0063710A" w:rsidRDefault="0063710A" w:rsidP="0063710A">
      <w:pPr>
        <w:pStyle w:val="FootnoteText"/>
        <w:spacing w:after="120"/>
      </w:pPr>
      <w:r>
        <w:rPr>
          <w:rStyle w:val="FootnoteReference"/>
        </w:rPr>
        <w:footnoteRef/>
      </w:r>
      <w:r>
        <w:t xml:space="preserve"> Staff Comments at 2-3.</w:t>
      </w:r>
    </w:p>
  </w:footnote>
  <w:footnote w:id="9">
    <w:p w:rsidR="0063710A" w:rsidRDefault="0063710A" w:rsidP="0063710A">
      <w:pPr>
        <w:pStyle w:val="FootnoteText"/>
        <w:spacing w:after="120"/>
      </w:pPr>
      <w:r>
        <w:rPr>
          <w:rStyle w:val="FootnoteReference"/>
        </w:rPr>
        <w:footnoteRef/>
      </w:r>
      <w:r>
        <w:t xml:space="preserve"> </w:t>
      </w:r>
      <w:r w:rsidRPr="0063710A">
        <w:rPr>
          <w:i/>
        </w:rPr>
        <w:t>In the Matter of the Application of Duke Energy Ohio, Inc. for an Energy Efficiency Cost Recovery Mechanism and for Approval of Additional Programs for Inclusion in its Existing Portfolio</w:t>
      </w:r>
      <w:r>
        <w:t>, Case No. 11-4393-EL-RDR, Opinion and Order (Aug. 15, 2012).</w:t>
      </w:r>
    </w:p>
  </w:footnote>
  <w:footnote w:id="10">
    <w:p w:rsidR="0030098A" w:rsidRDefault="0030098A" w:rsidP="0030098A">
      <w:pPr>
        <w:pStyle w:val="FootnoteText"/>
        <w:spacing w:after="120"/>
      </w:pPr>
      <w:r>
        <w:rPr>
          <w:rStyle w:val="FootnoteReference"/>
        </w:rPr>
        <w:footnoteRef/>
      </w:r>
      <w:r>
        <w:t xml:space="preserve"> SB 310, Section 7(B).</w:t>
      </w:r>
    </w:p>
  </w:footnote>
  <w:footnote w:id="11">
    <w:p w:rsidR="00152BDD" w:rsidRDefault="00152BDD" w:rsidP="00152BDD">
      <w:pPr>
        <w:pStyle w:val="FootnoteText"/>
        <w:spacing w:after="120"/>
        <w:jc w:val="both"/>
      </w:pPr>
      <w:r>
        <w:rPr>
          <w:rStyle w:val="FootnoteReference"/>
        </w:rPr>
        <w:footnoteRef/>
      </w:r>
      <w:r>
        <w:t xml:space="preserve"> R.C. 4928.64 &amp; R.C. 4928.66.</w:t>
      </w:r>
    </w:p>
  </w:footnote>
  <w:footnote w:id="12">
    <w:p w:rsidR="00152BDD" w:rsidRDefault="00152BDD" w:rsidP="00152BDD">
      <w:pPr>
        <w:pStyle w:val="FootnoteText"/>
        <w:spacing w:after="120"/>
        <w:jc w:val="both"/>
      </w:pPr>
      <w:r>
        <w:rPr>
          <w:rStyle w:val="FootnoteReference"/>
        </w:rPr>
        <w:footnoteRef/>
      </w:r>
      <w:r>
        <w:t xml:space="preserve"> SB 310, Section</w:t>
      </w:r>
      <w:r w:rsidR="0048152B">
        <w:t>s</w:t>
      </w:r>
      <w:r>
        <w:t xml:space="preserve"> 3 &amp; 4.</w:t>
      </w:r>
    </w:p>
  </w:footnote>
  <w:footnote w:id="13">
    <w:p w:rsidR="00152BDD" w:rsidRDefault="00152BDD" w:rsidP="00152BDD">
      <w:pPr>
        <w:pStyle w:val="FootnoteText"/>
        <w:spacing w:after="120"/>
        <w:jc w:val="both"/>
      </w:pPr>
      <w:r>
        <w:rPr>
          <w:rStyle w:val="FootnoteReference"/>
        </w:rPr>
        <w:footnoteRef/>
      </w:r>
      <w:r>
        <w:t xml:space="preserve"> </w:t>
      </w:r>
      <w:r w:rsidRPr="00717AFA">
        <w:rPr>
          <w:i/>
        </w:rPr>
        <w:t>See In the Matter of the Application of Ohio Edison Company, The Cleveland Electric Illuminating Company, and The Toledo Edison Company for Approval of Their Energy Efficiency and Peak Demand Reduction Program Plans for 2013 through 2015</w:t>
      </w:r>
      <w:r>
        <w:t xml:space="preserve">, Case Nos. 12-2190-EL-POR, </w:t>
      </w:r>
      <w:r w:rsidRPr="00717AFA">
        <w:rPr>
          <w:i/>
        </w:rPr>
        <w:t>et al</w:t>
      </w:r>
      <w:r>
        <w:t>., Finding and Order (Nov. 20, 2014) (approving modification to current portfolio plan).</w:t>
      </w:r>
    </w:p>
  </w:footnote>
  <w:footnote w:id="14">
    <w:p w:rsidR="00152BDD" w:rsidRDefault="00152BDD" w:rsidP="00152BDD">
      <w:pPr>
        <w:pStyle w:val="FootnoteText"/>
        <w:spacing w:after="120"/>
        <w:jc w:val="both"/>
      </w:pPr>
      <w:r>
        <w:rPr>
          <w:rStyle w:val="FootnoteReference"/>
        </w:rPr>
        <w:footnoteRef/>
      </w:r>
      <w:r>
        <w:t xml:space="preserve"> </w:t>
      </w:r>
      <w:r w:rsidRPr="00392E88">
        <w:t xml:space="preserve">Section 8 of SB 310 provides, “Beginning January 1, 2015, a customer of an electric distribution utility may opt out of the opportunity and ability to obtain direct benefits from the utility’s portfolio plan that is amended under division (B) of Section 6.”  </w:t>
      </w:r>
      <w:r>
        <w:t>All customers meeting certain voltage or usage levels will have the right to opt out beginning January 1, 2017.  R.C. 4928.6611.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E0" w:rsidRDefault="00AC3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E0" w:rsidRDefault="00AC30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E0" w:rsidRDefault="00AC30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5" w:rsidRDefault="00E527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5" w:rsidRDefault="00E527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5" w:rsidRDefault="00E527B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81" w:rsidRDefault="00074D8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81" w:rsidRDefault="00074D8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81" w:rsidRDefault="00074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D1DEA"/>
    <w:multiLevelType w:val="multilevel"/>
    <w:tmpl w:val="F5429D10"/>
    <w:name w:val="IEU-Olhio Default"/>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1">
    <w:nsid w:val="7D882F1C"/>
    <w:multiLevelType w:val="multilevel"/>
    <w:tmpl w:val="7E1EBF1A"/>
    <w:lvl w:ilvl="0">
      <w:start w:val="1"/>
      <w:numFmt w:val="upperRoman"/>
      <w:lvlText w:val="%1."/>
      <w:lvlJc w:val="left"/>
      <w:pPr>
        <w:tabs>
          <w:tab w:val="num" w:pos="720"/>
        </w:tabs>
        <w:ind w:left="720" w:hanging="720"/>
      </w:pPr>
      <w:rPr>
        <w:b/>
        <w:caps w:val="0"/>
        <w:color w:val="010000"/>
        <w:u w:val="none"/>
      </w:rPr>
    </w:lvl>
    <w:lvl w:ilvl="1">
      <w:start w:val="1"/>
      <w:numFmt w:val="upperLetter"/>
      <w:lvlText w:val="%2."/>
      <w:lvlJc w:val="left"/>
      <w:pPr>
        <w:tabs>
          <w:tab w:val="num" w:pos="1440"/>
        </w:tabs>
        <w:ind w:left="1440" w:hanging="720"/>
      </w:pPr>
      <w:rPr>
        <w:b/>
        <w:caps w:val="0"/>
        <w:color w:val="010000"/>
        <w:u w:val="none"/>
      </w:rPr>
    </w:lvl>
    <w:lvl w:ilvl="2">
      <w:start w:val="1"/>
      <w:numFmt w:val="decimal"/>
      <w:lvlText w:val="%3."/>
      <w:lvlJc w:val="left"/>
      <w:pPr>
        <w:tabs>
          <w:tab w:val="num" w:pos="2160"/>
        </w:tabs>
        <w:ind w:left="2160" w:hanging="720"/>
      </w:pPr>
      <w:rPr>
        <w:b/>
        <w:i w:val="0"/>
        <w:caps w:val="0"/>
        <w:color w:val="010000"/>
        <w:u w:val="none"/>
      </w:rPr>
    </w:lvl>
    <w:lvl w:ilvl="3">
      <w:start w:val="1"/>
      <w:numFmt w:val="lowerLetter"/>
      <w:lvlText w:val="%4."/>
      <w:lvlJc w:val="left"/>
      <w:pPr>
        <w:tabs>
          <w:tab w:val="num" w:pos="2880"/>
        </w:tabs>
        <w:ind w:left="2880" w:hanging="720"/>
      </w:pPr>
      <w:rPr>
        <w:b/>
        <w:i/>
        <w:caps w:val="0"/>
        <w:color w:val="010000"/>
        <w:u w:val="none"/>
      </w:rPr>
    </w:lvl>
    <w:lvl w:ilvl="4">
      <w:start w:val="1"/>
      <w:numFmt w:val="lowerRoman"/>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Roman"/>
      <w:lvlText w:val="%8)"/>
      <w:lvlJc w:val="left"/>
      <w:pPr>
        <w:tabs>
          <w:tab w:val="num" w:pos="5760"/>
        </w:tabs>
        <w:ind w:left="5760" w:hanging="720"/>
      </w:pPr>
      <w:rPr>
        <w:caps w:val="0"/>
        <w:color w:val="010000"/>
        <w:u w:val="none"/>
      </w:rPr>
    </w:lvl>
    <w:lvl w:ilvl="8">
      <w:start w:val="1"/>
      <w:numFmt w:val="lowerLetter"/>
      <w:lvlText w:val="%9)"/>
      <w:lvlJc w:val="left"/>
      <w:pPr>
        <w:tabs>
          <w:tab w:val="num" w:pos="6480"/>
        </w:tabs>
        <w:ind w:left="6480" w:hanging="720"/>
      </w:pPr>
      <w:rPr>
        <w:caps w:val="0"/>
        <w:color w:val="01000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EU-Olhio Default"/>
    <w:docVar w:name="LastSchemeUniqueID" w:val="1"/>
    <w:docVar w:name="Option0True" w:val="False"/>
    <w:docVar w:name="Option1True" w:val="False"/>
    <w:docVar w:name="Option2True" w:val="False"/>
  </w:docVars>
  <w:rsids>
    <w:rsidRoot w:val="002A3454"/>
    <w:rsid w:val="00074D81"/>
    <w:rsid w:val="000B607E"/>
    <w:rsid w:val="000B6559"/>
    <w:rsid w:val="00152BDD"/>
    <w:rsid w:val="001D0B75"/>
    <w:rsid w:val="001F32B6"/>
    <w:rsid w:val="00253917"/>
    <w:rsid w:val="00272370"/>
    <w:rsid w:val="002824F6"/>
    <w:rsid w:val="002A3454"/>
    <w:rsid w:val="0030098A"/>
    <w:rsid w:val="00316575"/>
    <w:rsid w:val="00365557"/>
    <w:rsid w:val="003667F2"/>
    <w:rsid w:val="00366B9D"/>
    <w:rsid w:val="0048152B"/>
    <w:rsid w:val="005B68F5"/>
    <w:rsid w:val="0063105E"/>
    <w:rsid w:val="0063710A"/>
    <w:rsid w:val="00663B0B"/>
    <w:rsid w:val="006A5354"/>
    <w:rsid w:val="0074543B"/>
    <w:rsid w:val="00756EBF"/>
    <w:rsid w:val="007D6E69"/>
    <w:rsid w:val="00830C13"/>
    <w:rsid w:val="00884256"/>
    <w:rsid w:val="00885780"/>
    <w:rsid w:val="008D4BC9"/>
    <w:rsid w:val="008D4D54"/>
    <w:rsid w:val="008E3BF4"/>
    <w:rsid w:val="00990D15"/>
    <w:rsid w:val="0099251B"/>
    <w:rsid w:val="009A785C"/>
    <w:rsid w:val="00A05623"/>
    <w:rsid w:val="00A43CE7"/>
    <w:rsid w:val="00A557E6"/>
    <w:rsid w:val="00A67BB7"/>
    <w:rsid w:val="00A96125"/>
    <w:rsid w:val="00AC30E0"/>
    <w:rsid w:val="00AE752A"/>
    <w:rsid w:val="00B073A9"/>
    <w:rsid w:val="00BB3BEF"/>
    <w:rsid w:val="00C0405A"/>
    <w:rsid w:val="00C053E5"/>
    <w:rsid w:val="00C272C5"/>
    <w:rsid w:val="00C90F4F"/>
    <w:rsid w:val="00CA58FF"/>
    <w:rsid w:val="00CE29B2"/>
    <w:rsid w:val="00CF01BA"/>
    <w:rsid w:val="00CF0CBE"/>
    <w:rsid w:val="00D120D9"/>
    <w:rsid w:val="00D55D92"/>
    <w:rsid w:val="00DD386F"/>
    <w:rsid w:val="00DD63BC"/>
    <w:rsid w:val="00E527B5"/>
    <w:rsid w:val="00F01A92"/>
    <w:rsid w:val="00F03C9D"/>
    <w:rsid w:val="00F8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54"/>
  </w:style>
  <w:style w:type="paragraph" w:styleId="Heading1">
    <w:name w:val="heading 1"/>
    <w:basedOn w:val="Normal"/>
    <w:next w:val="Normal"/>
    <w:link w:val="Heading1Char"/>
    <w:uiPriority w:val="9"/>
    <w:qFormat/>
    <w:rsid w:val="00F01A92"/>
    <w:pPr>
      <w:numPr>
        <w:numId w:val="1"/>
      </w:numPr>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F01A92"/>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F01A92"/>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F01A92"/>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F01A92"/>
    <w:pPr>
      <w:numPr>
        <w:ilvl w:val="4"/>
        <w:numId w:val="1"/>
      </w:numPr>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F01A92"/>
    <w:pPr>
      <w:numPr>
        <w:ilvl w:val="5"/>
        <w:numId w:val="1"/>
      </w:numPr>
      <w:spacing w:after="240"/>
      <w:jc w:val="both"/>
      <w:outlineLvl w:val="5"/>
    </w:pPr>
    <w:rPr>
      <w:rFonts w:eastAsiaTheme="majorEastAsia" w:cs="Arial"/>
      <w:iCs/>
      <w:color w:val="243F60"/>
    </w:rPr>
  </w:style>
  <w:style w:type="paragraph" w:styleId="Heading7">
    <w:name w:val="heading 7"/>
    <w:basedOn w:val="Normal"/>
    <w:next w:val="Normal"/>
    <w:link w:val="Heading7Char"/>
    <w:uiPriority w:val="9"/>
    <w:semiHidden/>
    <w:unhideWhenUsed/>
    <w:qFormat/>
    <w:rsid w:val="00F01A92"/>
    <w:pPr>
      <w:numPr>
        <w:ilvl w:val="6"/>
        <w:numId w:val="1"/>
      </w:numPr>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F01A92"/>
    <w:pPr>
      <w:numPr>
        <w:ilvl w:val="7"/>
        <w:numId w:val="1"/>
      </w:numPr>
      <w:spacing w:after="240"/>
      <w:jc w:val="both"/>
      <w:outlineLvl w:val="7"/>
    </w:pPr>
    <w:rPr>
      <w:rFonts w:eastAsiaTheme="majorEastAsia" w:cs="Arial"/>
      <w:color w:val="404040"/>
      <w:szCs w:val="20"/>
    </w:rPr>
  </w:style>
  <w:style w:type="paragraph" w:styleId="Heading9">
    <w:name w:val="heading 9"/>
    <w:basedOn w:val="Normal"/>
    <w:next w:val="Normal"/>
    <w:link w:val="Heading9Char"/>
    <w:uiPriority w:val="9"/>
    <w:semiHidden/>
    <w:unhideWhenUsed/>
    <w:qFormat/>
    <w:rsid w:val="00F01A92"/>
    <w:pPr>
      <w:numPr>
        <w:ilvl w:val="8"/>
        <w:numId w:val="1"/>
      </w:numPr>
      <w:spacing w:after="240"/>
      <w:jc w:val="both"/>
      <w:outlineLvl w:val="8"/>
    </w:pPr>
    <w:rPr>
      <w:rFonts w:eastAsiaTheme="majorEastAsia" w:cs="Arial"/>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3454"/>
    <w:rPr>
      <w:sz w:val="20"/>
      <w:szCs w:val="20"/>
    </w:rPr>
  </w:style>
  <w:style w:type="character" w:customStyle="1" w:styleId="FootnoteTextChar">
    <w:name w:val="Footnote Text Char"/>
    <w:basedOn w:val="DefaultParagraphFont"/>
    <w:link w:val="FootnoteText"/>
    <w:uiPriority w:val="99"/>
    <w:semiHidden/>
    <w:rsid w:val="002A3454"/>
    <w:rPr>
      <w:sz w:val="20"/>
      <w:szCs w:val="20"/>
    </w:rPr>
  </w:style>
  <w:style w:type="character" w:styleId="FootnoteReference">
    <w:name w:val="footnote reference"/>
    <w:basedOn w:val="DefaultParagraphFont"/>
    <w:uiPriority w:val="99"/>
    <w:semiHidden/>
    <w:unhideWhenUsed/>
    <w:rsid w:val="002A3454"/>
    <w:rPr>
      <w:vertAlign w:val="superscript"/>
    </w:rPr>
  </w:style>
  <w:style w:type="paragraph" w:styleId="Header">
    <w:name w:val="header"/>
    <w:basedOn w:val="Normal"/>
    <w:link w:val="HeaderChar"/>
    <w:unhideWhenUsed/>
    <w:rsid w:val="00E527B5"/>
    <w:pPr>
      <w:tabs>
        <w:tab w:val="center" w:pos="4680"/>
        <w:tab w:val="right" w:pos="9360"/>
      </w:tabs>
    </w:pPr>
  </w:style>
  <w:style w:type="character" w:customStyle="1" w:styleId="HeaderChar">
    <w:name w:val="Header Char"/>
    <w:basedOn w:val="DefaultParagraphFont"/>
    <w:link w:val="Header"/>
    <w:rsid w:val="00E527B5"/>
  </w:style>
  <w:style w:type="paragraph" w:styleId="Footer">
    <w:name w:val="footer"/>
    <w:basedOn w:val="Normal"/>
    <w:link w:val="FooterChar"/>
    <w:unhideWhenUsed/>
    <w:rsid w:val="00E527B5"/>
    <w:pPr>
      <w:tabs>
        <w:tab w:val="center" w:pos="4680"/>
        <w:tab w:val="right" w:pos="9360"/>
      </w:tabs>
    </w:pPr>
  </w:style>
  <w:style w:type="character" w:customStyle="1" w:styleId="FooterChar">
    <w:name w:val="Footer Char"/>
    <w:basedOn w:val="DefaultParagraphFont"/>
    <w:link w:val="Footer"/>
    <w:rsid w:val="00E527B5"/>
  </w:style>
  <w:style w:type="paragraph" w:styleId="BodyText">
    <w:name w:val="Body Text"/>
    <w:basedOn w:val="Normal"/>
    <w:link w:val="BodyTextChar"/>
    <w:rsid w:val="00C90F4F"/>
    <w:pPr>
      <w:jc w:val="both"/>
    </w:pPr>
    <w:rPr>
      <w:rFonts w:eastAsia="Times New Roman" w:cs="Arial"/>
    </w:rPr>
  </w:style>
  <w:style w:type="character" w:customStyle="1" w:styleId="BodyTextChar">
    <w:name w:val="Body Text Char"/>
    <w:basedOn w:val="DefaultParagraphFont"/>
    <w:link w:val="BodyText"/>
    <w:rsid w:val="00C90F4F"/>
    <w:rPr>
      <w:rFonts w:eastAsia="Times New Roman" w:cs="Arial"/>
    </w:rPr>
  </w:style>
  <w:style w:type="paragraph" w:styleId="Title">
    <w:name w:val="Title"/>
    <w:basedOn w:val="Normal"/>
    <w:link w:val="TitleChar"/>
    <w:qFormat/>
    <w:rsid w:val="00C90F4F"/>
    <w:pPr>
      <w:jc w:val="center"/>
    </w:pPr>
    <w:rPr>
      <w:rFonts w:eastAsia="Times New Roman" w:cs="Arial"/>
      <w:b/>
      <w:smallCaps/>
      <w:sz w:val="32"/>
    </w:rPr>
  </w:style>
  <w:style w:type="character" w:customStyle="1" w:styleId="TitleChar">
    <w:name w:val="Title Char"/>
    <w:basedOn w:val="DefaultParagraphFont"/>
    <w:link w:val="Title"/>
    <w:rsid w:val="00C90F4F"/>
    <w:rPr>
      <w:rFonts w:eastAsia="Times New Roman" w:cs="Arial"/>
      <w:b/>
      <w:smallCaps/>
      <w:sz w:val="32"/>
    </w:rPr>
  </w:style>
  <w:style w:type="character" w:customStyle="1" w:styleId="Heading1Char">
    <w:name w:val="Heading 1 Char"/>
    <w:basedOn w:val="DefaultParagraphFont"/>
    <w:link w:val="Heading1"/>
    <w:uiPriority w:val="9"/>
    <w:rsid w:val="00F01A92"/>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F01A92"/>
    <w:rPr>
      <w:rFonts w:eastAsiaTheme="majorEastAsia" w:cs="Arial"/>
      <w:b/>
      <w:bCs/>
      <w:szCs w:val="26"/>
    </w:rPr>
  </w:style>
  <w:style w:type="character" w:customStyle="1" w:styleId="Heading3Char">
    <w:name w:val="Heading 3 Char"/>
    <w:basedOn w:val="DefaultParagraphFont"/>
    <w:link w:val="Heading3"/>
    <w:uiPriority w:val="9"/>
    <w:semiHidden/>
    <w:rsid w:val="00F01A92"/>
    <w:rPr>
      <w:rFonts w:eastAsiaTheme="majorEastAsia" w:cs="Arial"/>
      <w:b/>
      <w:bCs/>
    </w:rPr>
  </w:style>
  <w:style w:type="character" w:customStyle="1" w:styleId="Heading4Char">
    <w:name w:val="Heading 4 Char"/>
    <w:basedOn w:val="DefaultParagraphFont"/>
    <w:link w:val="Heading4"/>
    <w:uiPriority w:val="9"/>
    <w:semiHidden/>
    <w:rsid w:val="00F01A92"/>
    <w:rPr>
      <w:rFonts w:eastAsiaTheme="majorEastAsia" w:cs="Arial"/>
      <w:b/>
      <w:bCs/>
      <w:i/>
      <w:iCs/>
    </w:rPr>
  </w:style>
  <w:style w:type="character" w:customStyle="1" w:styleId="Heading5Char">
    <w:name w:val="Heading 5 Char"/>
    <w:basedOn w:val="DefaultParagraphFont"/>
    <w:link w:val="Heading5"/>
    <w:uiPriority w:val="9"/>
    <w:semiHidden/>
    <w:rsid w:val="00F01A92"/>
    <w:rPr>
      <w:rFonts w:eastAsiaTheme="majorEastAsia" w:cs="Arial"/>
      <w:color w:val="243F60"/>
    </w:rPr>
  </w:style>
  <w:style w:type="character" w:customStyle="1" w:styleId="Heading6Char">
    <w:name w:val="Heading 6 Char"/>
    <w:basedOn w:val="DefaultParagraphFont"/>
    <w:link w:val="Heading6"/>
    <w:uiPriority w:val="9"/>
    <w:semiHidden/>
    <w:rsid w:val="00F01A92"/>
    <w:rPr>
      <w:rFonts w:eastAsiaTheme="majorEastAsia" w:cs="Arial"/>
      <w:iCs/>
      <w:color w:val="243F60"/>
    </w:rPr>
  </w:style>
  <w:style w:type="character" w:customStyle="1" w:styleId="Heading7Char">
    <w:name w:val="Heading 7 Char"/>
    <w:basedOn w:val="DefaultParagraphFont"/>
    <w:link w:val="Heading7"/>
    <w:uiPriority w:val="9"/>
    <w:semiHidden/>
    <w:rsid w:val="00F01A92"/>
    <w:rPr>
      <w:rFonts w:eastAsiaTheme="majorEastAsia" w:cs="Arial"/>
      <w:iCs/>
      <w:color w:val="404040"/>
    </w:rPr>
  </w:style>
  <w:style w:type="character" w:customStyle="1" w:styleId="Heading8Char">
    <w:name w:val="Heading 8 Char"/>
    <w:basedOn w:val="DefaultParagraphFont"/>
    <w:link w:val="Heading8"/>
    <w:uiPriority w:val="9"/>
    <w:semiHidden/>
    <w:rsid w:val="00F01A92"/>
    <w:rPr>
      <w:rFonts w:eastAsiaTheme="majorEastAsia" w:cs="Arial"/>
      <w:color w:val="404040"/>
      <w:szCs w:val="20"/>
    </w:rPr>
  </w:style>
  <w:style w:type="character" w:customStyle="1" w:styleId="Heading9Char">
    <w:name w:val="Heading 9 Char"/>
    <w:basedOn w:val="DefaultParagraphFont"/>
    <w:link w:val="Heading9"/>
    <w:uiPriority w:val="9"/>
    <w:semiHidden/>
    <w:rsid w:val="00F01A92"/>
    <w:rPr>
      <w:rFonts w:eastAsiaTheme="majorEastAsia" w:cs="Arial"/>
      <w:iCs/>
      <w:color w:val="404040"/>
      <w:szCs w:val="20"/>
    </w:rPr>
  </w:style>
  <w:style w:type="character" w:styleId="CommentReference">
    <w:name w:val="annotation reference"/>
    <w:basedOn w:val="DefaultParagraphFont"/>
    <w:uiPriority w:val="99"/>
    <w:semiHidden/>
    <w:unhideWhenUsed/>
    <w:rsid w:val="00F01A92"/>
    <w:rPr>
      <w:sz w:val="16"/>
      <w:szCs w:val="16"/>
    </w:rPr>
  </w:style>
  <w:style w:type="paragraph" w:styleId="CommentText">
    <w:name w:val="annotation text"/>
    <w:basedOn w:val="Normal"/>
    <w:link w:val="CommentTextChar"/>
    <w:uiPriority w:val="99"/>
    <w:semiHidden/>
    <w:unhideWhenUsed/>
    <w:rsid w:val="00F01A92"/>
    <w:rPr>
      <w:sz w:val="20"/>
      <w:szCs w:val="20"/>
    </w:rPr>
  </w:style>
  <w:style w:type="character" w:customStyle="1" w:styleId="CommentTextChar">
    <w:name w:val="Comment Text Char"/>
    <w:basedOn w:val="DefaultParagraphFont"/>
    <w:link w:val="CommentText"/>
    <w:uiPriority w:val="99"/>
    <w:semiHidden/>
    <w:rsid w:val="00F01A92"/>
    <w:rPr>
      <w:sz w:val="20"/>
      <w:szCs w:val="20"/>
    </w:rPr>
  </w:style>
  <w:style w:type="paragraph" w:styleId="CommentSubject">
    <w:name w:val="annotation subject"/>
    <w:basedOn w:val="CommentText"/>
    <w:next w:val="CommentText"/>
    <w:link w:val="CommentSubjectChar"/>
    <w:uiPriority w:val="99"/>
    <w:semiHidden/>
    <w:unhideWhenUsed/>
    <w:rsid w:val="00F01A92"/>
    <w:rPr>
      <w:b/>
      <w:bCs/>
    </w:rPr>
  </w:style>
  <w:style w:type="character" w:customStyle="1" w:styleId="CommentSubjectChar">
    <w:name w:val="Comment Subject Char"/>
    <w:basedOn w:val="CommentTextChar"/>
    <w:link w:val="CommentSubject"/>
    <w:uiPriority w:val="99"/>
    <w:semiHidden/>
    <w:rsid w:val="00F01A92"/>
    <w:rPr>
      <w:b/>
      <w:bCs/>
      <w:sz w:val="20"/>
      <w:szCs w:val="20"/>
    </w:rPr>
  </w:style>
  <w:style w:type="paragraph" w:styleId="Revision">
    <w:name w:val="Revision"/>
    <w:hidden/>
    <w:uiPriority w:val="99"/>
    <w:semiHidden/>
    <w:rsid w:val="00F01A92"/>
  </w:style>
  <w:style w:type="paragraph" w:styleId="BalloonText">
    <w:name w:val="Balloon Text"/>
    <w:basedOn w:val="Normal"/>
    <w:link w:val="BalloonTextChar"/>
    <w:uiPriority w:val="99"/>
    <w:semiHidden/>
    <w:unhideWhenUsed/>
    <w:rsid w:val="00F01A92"/>
    <w:rPr>
      <w:rFonts w:ascii="Tahoma" w:hAnsi="Tahoma" w:cs="Tahoma"/>
      <w:sz w:val="16"/>
      <w:szCs w:val="16"/>
    </w:rPr>
  </w:style>
  <w:style w:type="character" w:customStyle="1" w:styleId="BalloonTextChar">
    <w:name w:val="Balloon Text Char"/>
    <w:basedOn w:val="DefaultParagraphFont"/>
    <w:link w:val="BalloonText"/>
    <w:uiPriority w:val="99"/>
    <w:semiHidden/>
    <w:rsid w:val="00F01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54"/>
  </w:style>
  <w:style w:type="paragraph" w:styleId="Heading1">
    <w:name w:val="heading 1"/>
    <w:basedOn w:val="Normal"/>
    <w:next w:val="Normal"/>
    <w:link w:val="Heading1Char"/>
    <w:uiPriority w:val="9"/>
    <w:qFormat/>
    <w:rsid w:val="00F01A92"/>
    <w:pPr>
      <w:numPr>
        <w:numId w:val="1"/>
      </w:numPr>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F01A92"/>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F01A92"/>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F01A92"/>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F01A92"/>
    <w:pPr>
      <w:numPr>
        <w:ilvl w:val="4"/>
        <w:numId w:val="1"/>
      </w:numPr>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F01A92"/>
    <w:pPr>
      <w:numPr>
        <w:ilvl w:val="5"/>
        <w:numId w:val="1"/>
      </w:numPr>
      <w:spacing w:after="240"/>
      <w:jc w:val="both"/>
      <w:outlineLvl w:val="5"/>
    </w:pPr>
    <w:rPr>
      <w:rFonts w:eastAsiaTheme="majorEastAsia" w:cs="Arial"/>
      <w:iCs/>
      <w:color w:val="243F60"/>
    </w:rPr>
  </w:style>
  <w:style w:type="paragraph" w:styleId="Heading7">
    <w:name w:val="heading 7"/>
    <w:basedOn w:val="Normal"/>
    <w:next w:val="Normal"/>
    <w:link w:val="Heading7Char"/>
    <w:uiPriority w:val="9"/>
    <w:semiHidden/>
    <w:unhideWhenUsed/>
    <w:qFormat/>
    <w:rsid w:val="00F01A92"/>
    <w:pPr>
      <w:numPr>
        <w:ilvl w:val="6"/>
        <w:numId w:val="1"/>
      </w:numPr>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F01A92"/>
    <w:pPr>
      <w:numPr>
        <w:ilvl w:val="7"/>
        <w:numId w:val="1"/>
      </w:numPr>
      <w:spacing w:after="240"/>
      <w:jc w:val="both"/>
      <w:outlineLvl w:val="7"/>
    </w:pPr>
    <w:rPr>
      <w:rFonts w:eastAsiaTheme="majorEastAsia" w:cs="Arial"/>
      <w:color w:val="404040"/>
      <w:szCs w:val="20"/>
    </w:rPr>
  </w:style>
  <w:style w:type="paragraph" w:styleId="Heading9">
    <w:name w:val="heading 9"/>
    <w:basedOn w:val="Normal"/>
    <w:next w:val="Normal"/>
    <w:link w:val="Heading9Char"/>
    <w:uiPriority w:val="9"/>
    <w:semiHidden/>
    <w:unhideWhenUsed/>
    <w:qFormat/>
    <w:rsid w:val="00F01A92"/>
    <w:pPr>
      <w:numPr>
        <w:ilvl w:val="8"/>
        <w:numId w:val="1"/>
      </w:numPr>
      <w:spacing w:after="240"/>
      <w:jc w:val="both"/>
      <w:outlineLvl w:val="8"/>
    </w:pPr>
    <w:rPr>
      <w:rFonts w:eastAsiaTheme="majorEastAsia" w:cs="Arial"/>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3454"/>
    <w:rPr>
      <w:sz w:val="20"/>
      <w:szCs w:val="20"/>
    </w:rPr>
  </w:style>
  <w:style w:type="character" w:customStyle="1" w:styleId="FootnoteTextChar">
    <w:name w:val="Footnote Text Char"/>
    <w:basedOn w:val="DefaultParagraphFont"/>
    <w:link w:val="FootnoteText"/>
    <w:uiPriority w:val="99"/>
    <w:semiHidden/>
    <w:rsid w:val="002A3454"/>
    <w:rPr>
      <w:sz w:val="20"/>
      <w:szCs w:val="20"/>
    </w:rPr>
  </w:style>
  <w:style w:type="character" w:styleId="FootnoteReference">
    <w:name w:val="footnote reference"/>
    <w:basedOn w:val="DefaultParagraphFont"/>
    <w:uiPriority w:val="99"/>
    <w:semiHidden/>
    <w:unhideWhenUsed/>
    <w:rsid w:val="002A3454"/>
    <w:rPr>
      <w:vertAlign w:val="superscript"/>
    </w:rPr>
  </w:style>
  <w:style w:type="paragraph" w:styleId="Header">
    <w:name w:val="header"/>
    <w:basedOn w:val="Normal"/>
    <w:link w:val="HeaderChar"/>
    <w:unhideWhenUsed/>
    <w:rsid w:val="00E527B5"/>
    <w:pPr>
      <w:tabs>
        <w:tab w:val="center" w:pos="4680"/>
        <w:tab w:val="right" w:pos="9360"/>
      </w:tabs>
    </w:pPr>
  </w:style>
  <w:style w:type="character" w:customStyle="1" w:styleId="HeaderChar">
    <w:name w:val="Header Char"/>
    <w:basedOn w:val="DefaultParagraphFont"/>
    <w:link w:val="Header"/>
    <w:rsid w:val="00E527B5"/>
  </w:style>
  <w:style w:type="paragraph" w:styleId="Footer">
    <w:name w:val="footer"/>
    <w:basedOn w:val="Normal"/>
    <w:link w:val="FooterChar"/>
    <w:unhideWhenUsed/>
    <w:rsid w:val="00E527B5"/>
    <w:pPr>
      <w:tabs>
        <w:tab w:val="center" w:pos="4680"/>
        <w:tab w:val="right" w:pos="9360"/>
      </w:tabs>
    </w:pPr>
  </w:style>
  <w:style w:type="character" w:customStyle="1" w:styleId="FooterChar">
    <w:name w:val="Footer Char"/>
    <w:basedOn w:val="DefaultParagraphFont"/>
    <w:link w:val="Footer"/>
    <w:rsid w:val="00E527B5"/>
  </w:style>
  <w:style w:type="paragraph" w:styleId="BodyText">
    <w:name w:val="Body Text"/>
    <w:basedOn w:val="Normal"/>
    <w:link w:val="BodyTextChar"/>
    <w:rsid w:val="00C90F4F"/>
    <w:pPr>
      <w:jc w:val="both"/>
    </w:pPr>
    <w:rPr>
      <w:rFonts w:eastAsia="Times New Roman" w:cs="Arial"/>
    </w:rPr>
  </w:style>
  <w:style w:type="character" w:customStyle="1" w:styleId="BodyTextChar">
    <w:name w:val="Body Text Char"/>
    <w:basedOn w:val="DefaultParagraphFont"/>
    <w:link w:val="BodyText"/>
    <w:rsid w:val="00C90F4F"/>
    <w:rPr>
      <w:rFonts w:eastAsia="Times New Roman" w:cs="Arial"/>
    </w:rPr>
  </w:style>
  <w:style w:type="paragraph" w:styleId="Title">
    <w:name w:val="Title"/>
    <w:basedOn w:val="Normal"/>
    <w:link w:val="TitleChar"/>
    <w:qFormat/>
    <w:rsid w:val="00C90F4F"/>
    <w:pPr>
      <w:jc w:val="center"/>
    </w:pPr>
    <w:rPr>
      <w:rFonts w:eastAsia="Times New Roman" w:cs="Arial"/>
      <w:b/>
      <w:smallCaps/>
      <w:sz w:val="32"/>
    </w:rPr>
  </w:style>
  <w:style w:type="character" w:customStyle="1" w:styleId="TitleChar">
    <w:name w:val="Title Char"/>
    <w:basedOn w:val="DefaultParagraphFont"/>
    <w:link w:val="Title"/>
    <w:rsid w:val="00C90F4F"/>
    <w:rPr>
      <w:rFonts w:eastAsia="Times New Roman" w:cs="Arial"/>
      <w:b/>
      <w:smallCaps/>
      <w:sz w:val="32"/>
    </w:rPr>
  </w:style>
  <w:style w:type="character" w:customStyle="1" w:styleId="Heading1Char">
    <w:name w:val="Heading 1 Char"/>
    <w:basedOn w:val="DefaultParagraphFont"/>
    <w:link w:val="Heading1"/>
    <w:uiPriority w:val="9"/>
    <w:rsid w:val="00F01A92"/>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F01A92"/>
    <w:rPr>
      <w:rFonts w:eastAsiaTheme="majorEastAsia" w:cs="Arial"/>
      <w:b/>
      <w:bCs/>
      <w:szCs w:val="26"/>
    </w:rPr>
  </w:style>
  <w:style w:type="character" w:customStyle="1" w:styleId="Heading3Char">
    <w:name w:val="Heading 3 Char"/>
    <w:basedOn w:val="DefaultParagraphFont"/>
    <w:link w:val="Heading3"/>
    <w:uiPriority w:val="9"/>
    <w:semiHidden/>
    <w:rsid w:val="00F01A92"/>
    <w:rPr>
      <w:rFonts w:eastAsiaTheme="majorEastAsia" w:cs="Arial"/>
      <w:b/>
      <w:bCs/>
    </w:rPr>
  </w:style>
  <w:style w:type="character" w:customStyle="1" w:styleId="Heading4Char">
    <w:name w:val="Heading 4 Char"/>
    <w:basedOn w:val="DefaultParagraphFont"/>
    <w:link w:val="Heading4"/>
    <w:uiPriority w:val="9"/>
    <w:semiHidden/>
    <w:rsid w:val="00F01A92"/>
    <w:rPr>
      <w:rFonts w:eastAsiaTheme="majorEastAsia" w:cs="Arial"/>
      <w:b/>
      <w:bCs/>
      <w:i/>
      <w:iCs/>
    </w:rPr>
  </w:style>
  <w:style w:type="character" w:customStyle="1" w:styleId="Heading5Char">
    <w:name w:val="Heading 5 Char"/>
    <w:basedOn w:val="DefaultParagraphFont"/>
    <w:link w:val="Heading5"/>
    <w:uiPriority w:val="9"/>
    <w:semiHidden/>
    <w:rsid w:val="00F01A92"/>
    <w:rPr>
      <w:rFonts w:eastAsiaTheme="majorEastAsia" w:cs="Arial"/>
      <w:color w:val="243F60"/>
    </w:rPr>
  </w:style>
  <w:style w:type="character" w:customStyle="1" w:styleId="Heading6Char">
    <w:name w:val="Heading 6 Char"/>
    <w:basedOn w:val="DefaultParagraphFont"/>
    <w:link w:val="Heading6"/>
    <w:uiPriority w:val="9"/>
    <w:semiHidden/>
    <w:rsid w:val="00F01A92"/>
    <w:rPr>
      <w:rFonts w:eastAsiaTheme="majorEastAsia" w:cs="Arial"/>
      <w:iCs/>
      <w:color w:val="243F60"/>
    </w:rPr>
  </w:style>
  <w:style w:type="character" w:customStyle="1" w:styleId="Heading7Char">
    <w:name w:val="Heading 7 Char"/>
    <w:basedOn w:val="DefaultParagraphFont"/>
    <w:link w:val="Heading7"/>
    <w:uiPriority w:val="9"/>
    <w:semiHidden/>
    <w:rsid w:val="00F01A92"/>
    <w:rPr>
      <w:rFonts w:eastAsiaTheme="majorEastAsia" w:cs="Arial"/>
      <w:iCs/>
      <w:color w:val="404040"/>
    </w:rPr>
  </w:style>
  <w:style w:type="character" w:customStyle="1" w:styleId="Heading8Char">
    <w:name w:val="Heading 8 Char"/>
    <w:basedOn w:val="DefaultParagraphFont"/>
    <w:link w:val="Heading8"/>
    <w:uiPriority w:val="9"/>
    <w:semiHidden/>
    <w:rsid w:val="00F01A92"/>
    <w:rPr>
      <w:rFonts w:eastAsiaTheme="majorEastAsia" w:cs="Arial"/>
      <w:color w:val="404040"/>
      <w:szCs w:val="20"/>
    </w:rPr>
  </w:style>
  <w:style w:type="character" w:customStyle="1" w:styleId="Heading9Char">
    <w:name w:val="Heading 9 Char"/>
    <w:basedOn w:val="DefaultParagraphFont"/>
    <w:link w:val="Heading9"/>
    <w:uiPriority w:val="9"/>
    <w:semiHidden/>
    <w:rsid w:val="00F01A92"/>
    <w:rPr>
      <w:rFonts w:eastAsiaTheme="majorEastAsia" w:cs="Arial"/>
      <w:iCs/>
      <w:color w:val="404040"/>
      <w:szCs w:val="20"/>
    </w:rPr>
  </w:style>
  <w:style w:type="character" w:styleId="CommentReference">
    <w:name w:val="annotation reference"/>
    <w:basedOn w:val="DefaultParagraphFont"/>
    <w:uiPriority w:val="99"/>
    <w:semiHidden/>
    <w:unhideWhenUsed/>
    <w:rsid w:val="00F01A92"/>
    <w:rPr>
      <w:sz w:val="16"/>
      <w:szCs w:val="16"/>
    </w:rPr>
  </w:style>
  <w:style w:type="paragraph" w:styleId="CommentText">
    <w:name w:val="annotation text"/>
    <w:basedOn w:val="Normal"/>
    <w:link w:val="CommentTextChar"/>
    <w:uiPriority w:val="99"/>
    <w:semiHidden/>
    <w:unhideWhenUsed/>
    <w:rsid w:val="00F01A92"/>
    <w:rPr>
      <w:sz w:val="20"/>
      <w:szCs w:val="20"/>
    </w:rPr>
  </w:style>
  <w:style w:type="character" w:customStyle="1" w:styleId="CommentTextChar">
    <w:name w:val="Comment Text Char"/>
    <w:basedOn w:val="DefaultParagraphFont"/>
    <w:link w:val="CommentText"/>
    <w:uiPriority w:val="99"/>
    <w:semiHidden/>
    <w:rsid w:val="00F01A92"/>
    <w:rPr>
      <w:sz w:val="20"/>
      <w:szCs w:val="20"/>
    </w:rPr>
  </w:style>
  <w:style w:type="paragraph" w:styleId="CommentSubject">
    <w:name w:val="annotation subject"/>
    <w:basedOn w:val="CommentText"/>
    <w:next w:val="CommentText"/>
    <w:link w:val="CommentSubjectChar"/>
    <w:uiPriority w:val="99"/>
    <w:semiHidden/>
    <w:unhideWhenUsed/>
    <w:rsid w:val="00F01A92"/>
    <w:rPr>
      <w:b/>
      <w:bCs/>
    </w:rPr>
  </w:style>
  <w:style w:type="character" w:customStyle="1" w:styleId="CommentSubjectChar">
    <w:name w:val="Comment Subject Char"/>
    <w:basedOn w:val="CommentTextChar"/>
    <w:link w:val="CommentSubject"/>
    <w:uiPriority w:val="99"/>
    <w:semiHidden/>
    <w:rsid w:val="00F01A92"/>
    <w:rPr>
      <w:b/>
      <w:bCs/>
      <w:sz w:val="20"/>
      <w:szCs w:val="20"/>
    </w:rPr>
  </w:style>
  <w:style w:type="paragraph" w:styleId="Revision">
    <w:name w:val="Revision"/>
    <w:hidden/>
    <w:uiPriority w:val="99"/>
    <w:semiHidden/>
    <w:rsid w:val="00F01A92"/>
  </w:style>
  <w:style w:type="paragraph" w:styleId="BalloonText">
    <w:name w:val="Balloon Text"/>
    <w:basedOn w:val="Normal"/>
    <w:link w:val="BalloonTextChar"/>
    <w:uiPriority w:val="99"/>
    <w:semiHidden/>
    <w:unhideWhenUsed/>
    <w:rsid w:val="00F01A92"/>
    <w:rPr>
      <w:rFonts w:ascii="Tahoma" w:hAnsi="Tahoma" w:cs="Tahoma"/>
      <w:sz w:val="16"/>
      <w:szCs w:val="16"/>
    </w:rPr>
  </w:style>
  <w:style w:type="character" w:customStyle="1" w:styleId="BalloonTextChar">
    <w:name w:val="Balloon Text Char"/>
    <w:basedOn w:val="DefaultParagraphFont"/>
    <w:link w:val="BalloonText"/>
    <w:uiPriority w:val="99"/>
    <w:semiHidden/>
    <w:rsid w:val="00F01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6D9CE-E755-49ED-902D-B6AA501B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8</Pages>
  <Words>1612</Words>
  <Characters>9280</Characters>
  <Application>Microsoft Office Word</Application>
  <DocSecurity>0</DocSecurity>
  <PresentationFormat/>
  <Lines>232</Lines>
  <Paragraphs>101</Paragraphs>
  <ScaleCrop>false</ScaleCrop>
  <HeadingPairs>
    <vt:vector size="2" baseType="variant">
      <vt:variant>
        <vt:lpstr>Title</vt:lpstr>
      </vt:variant>
      <vt:variant>
        <vt:i4>1</vt:i4>
      </vt:variant>
    </vt:vector>
  </HeadingPairs>
  <TitlesOfParts>
    <vt:vector size="1" baseType="lpstr">
      <vt:lpstr>Duke Case No. 14-1575; reply comments (C46560-2).DOCX</vt:lpstr>
    </vt:vector>
  </TitlesOfParts>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Case No. 14-1575; reply comments (C46560-2).DOCX</dc:title>
  <dc:subject>C46560:2 /font=8</dc:subject>
  <dc:creator>_</dc:creator>
  <cp:keywords/>
  <dc:description/>
  <cp:lastModifiedBy>Karen Bowman</cp:lastModifiedBy>
  <cp:revision>12</cp:revision>
  <cp:lastPrinted>2015-02-09T13:50:00Z</cp:lastPrinted>
  <dcterms:created xsi:type="dcterms:W3CDTF">2015-02-07T15:14:00Z</dcterms:created>
  <dcterms:modified xsi:type="dcterms:W3CDTF">2015-02-12T17:46:00Z</dcterms:modified>
</cp:coreProperties>
</file>