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65FB5" w:rsidRPr="004C3CC6" w14:paraId="7C5EF94C" w14:textId="77777777">
      <w:pPr>
        <w:pStyle w:val="HTMLPreformatted"/>
        <w:jc w:val="center"/>
        <w:rPr>
          <w:rFonts w:ascii="Times New Roman" w:hAnsi="Times New Roman" w:cs="Times New Roman"/>
          <w:b/>
          <w:bCs/>
          <w:sz w:val="24"/>
          <w:szCs w:val="24"/>
        </w:rPr>
      </w:pPr>
      <w:r w:rsidRPr="004C3CC6">
        <w:rPr>
          <w:rFonts w:ascii="Times New Roman" w:hAnsi="Times New Roman" w:cs="Times New Roman"/>
          <w:b/>
          <w:bCs/>
          <w:sz w:val="24"/>
          <w:szCs w:val="24"/>
        </w:rPr>
        <w:t>BEFORE</w:t>
      </w:r>
    </w:p>
    <w:p w:rsidR="00E65FB5" w:rsidRPr="004C3CC6" w14:paraId="628ED510" w14:textId="77777777">
      <w:pPr>
        <w:pStyle w:val="HTMLPreformatted"/>
        <w:jc w:val="center"/>
        <w:rPr>
          <w:rFonts w:ascii="Times New Roman" w:hAnsi="Times New Roman" w:cs="Times New Roman"/>
          <w:sz w:val="24"/>
          <w:szCs w:val="24"/>
        </w:rPr>
      </w:pPr>
      <w:r w:rsidRPr="004C3CC6">
        <w:rPr>
          <w:rFonts w:ascii="Times New Roman" w:hAnsi="Times New Roman" w:cs="Times New Roman"/>
          <w:b/>
          <w:bCs/>
          <w:sz w:val="24"/>
          <w:szCs w:val="24"/>
        </w:rPr>
        <w:t>THE PUBLIC UTILITIES COMMISSION OF OHIO</w:t>
      </w:r>
    </w:p>
    <w:p w:rsidR="00E65FB5" w:rsidRPr="004C3CC6" w14:paraId="1C90BBC7" w14:textId="77777777">
      <w:pPr>
        <w:pStyle w:val="HTMLPreformatted"/>
        <w:rPr>
          <w:rFonts w:ascii="Times New Roman" w:hAnsi="Times New Roman" w:cs="Times New Roman"/>
          <w:sz w:val="24"/>
          <w:szCs w:val="24"/>
        </w:rPr>
      </w:pPr>
    </w:p>
    <w:tbl>
      <w:tblPr>
        <w:tblW w:w="8730" w:type="dxa"/>
        <w:tblLook w:val="01E0"/>
      </w:tblPr>
      <w:tblGrid>
        <w:gridCol w:w="4140"/>
        <w:gridCol w:w="360"/>
        <w:gridCol w:w="4230"/>
      </w:tblGrid>
      <w:tr w14:paraId="7D77342D" w14:textId="77777777" w:rsidTr="0006263A">
        <w:tblPrEx>
          <w:tblW w:w="8730" w:type="dxa"/>
          <w:tblLook w:val="01E0"/>
        </w:tblPrEx>
        <w:trPr>
          <w:trHeight w:val="807"/>
        </w:trPr>
        <w:tc>
          <w:tcPr>
            <w:tcW w:w="4140" w:type="dxa"/>
            <w:shd w:val="clear" w:color="auto" w:fill="auto"/>
          </w:tcPr>
          <w:p w:rsidR="00E65FB5" w:rsidRPr="004C3CC6" w:rsidP="00907424" w14:paraId="1928B76B" w14:textId="50ABFE7F">
            <w:pPr>
              <w:pStyle w:val="HTMLPreformatted"/>
              <w:rPr>
                <w:rFonts w:ascii="Times New Roman" w:hAnsi="Times New Roman" w:cs="Times New Roman"/>
                <w:sz w:val="24"/>
                <w:szCs w:val="24"/>
              </w:rPr>
            </w:pPr>
            <w:r w:rsidRPr="004C3CC6">
              <w:rPr>
                <w:rFonts w:ascii="Times New Roman" w:hAnsi="Times New Roman" w:cs="Times New Roman"/>
                <w:sz w:val="24"/>
                <w:szCs w:val="24"/>
              </w:rPr>
              <w:t xml:space="preserve">In the Matter of the Application of </w:t>
            </w:r>
            <w:r w:rsidRPr="004C3CC6" w:rsidR="00907424">
              <w:rPr>
                <w:rFonts w:ascii="Times New Roman" w:hAnsi="Times New Roman" w:cs="Times New Roman"/>
                <w:sz w:val="24"/>
                <w:szCs w:val="24"/>
              </w:rPr>
              <w:t>North Coast Gas Transmission, LLC for Authority to Become a Natural Gas Company in Ohio, Replace its Existing P.U.C.O. Tariff No. 2, and Move the PUCO Rolls as a Regulated Natural Gas Company.</w:t>
            </w:r>
            <w:r w:rsidRPr="004C3CC6">
              <w:rPr>
                <w:rFonts w:ascii="Times New Roman" w:hAnsi="Times New Roman" w:cs="Times New Roman"/>
                <w:sz w:val="24"/>
                <w:szCs w:val="24"/>
              </w:rPr>
              <w:t xml:space="preserve"> </w:t>
            </w:r>
          </w:p>
        </w:tc>
        <w:tc>
          <w:tcPr>
            <w:tcW w:w="360" w:type="dxa"/>
            <w:shd w:val="clear" w:color="auto" w:fill="auto"/>
          </w:tcPr>
          <w:p w:rsidR="00E65FB5" w:rsidRPr="004C3CC6" w14:paraId="4A114057"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14:paraId="12DE137D"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14:paraId="6C9E59A1"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14:paraId="11E170AC"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rsidP="00E65FB5" w14:paraId="10AC41A4"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rsidP="00E65FB5" w14:paraId="3B5EEB2C"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FE6688" w:rsidRPr="004C3CC6" w:rsidP="00E65FB5" w14:paraId="4370D279"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tc>
        <w:tc>
          <w:tcPr>
            <w:tcW w:w="4230" w:type="dxa"/>
            <w:shd w:val="clear" w:color="auto" w:fill="auto"/>
          </w:tcPr>
          <w:p w:rsidR="00E65FB5" w:rsidRPr="004C3CC6" w14:paraId="5A473D7A" w14:textId="77777777">
            <w:pPr>
              <w:pStyle w:val="HTMLPreformatted"/>
              <w:rPr>
                <w:rFonts w:ascii="Times New Roman" w:hAnsi="Times New Roman" w:cs="Times New Roman"/>
                <w:sz w:val="24"/>
                <w:szCs w:val="24"/>
              </w:rPr>
            </w:pPr>
          </w:p>
          <w:p w:rsidR="00E65FB5" w:rsidRPr="004C3CC6" w14:paraId="7A0E6322" w14:textId="77777777">
            <w:pPr>
              <w:pStyle w:val="HTMLPreformatted"/>
              <w:rPr>
                <w:rFonts w:ascii="Times New Roman" w:hAnsi="Times New Roman" w:cs="Times New Roman"/>
                <w:sz w:val="24"/>
                <w:szCs w:val="24"/>
              </w:rPr>
            </w:pPr>
          </w:p>
          <w:p w:rsidR="00E65FB5" w:rsidRPr="004C3CC6" w14:paraId="14FE0C2F" w14:textId="25FD7B9A">
            <w:pPr>
              <w:pStyle w:val="HTMLPreformatted"/>
              <w:rPr>
                <w:rFonts w:ascii="Times New Roman" w:hAnsi="Times New Roman" w:cs="Times New Roman"/>
                <w:sz w:val="24"/>
                <w:szCs w:val="24"/>
              </w:rPr>
            </w:pPr>
            <w:r w:rsidRPr="004C3CC6">
              <w:rPr>
                <w:rFonts w:ascii="Times New Roman" w:hAnsi="Times New Roman" w:cs="Times New Roman"/>
                <w:sz w:val="24"/>
                <w:szCs w:val="24"/>
              </w:rPr>
              <w:t xml:space="preserve">Case No. </w:t>
            </w:r>
            <w:r w:rsidRPr="004C3CC6" w:rsidR="0042418F">
              <w:rPr>
                <w:rFonts w:ascii="Times New Roman" w:hAnsi="Times New Roman" w:cs="Times New Roman"/>
                <w:sz w:val="24"/>
                <w:szCs w:val="24"/>
              </w:rPr>
              <w:t>21-</w:t>
            </w:r>
            <w:r w:rsidRPr="004C3CC6" w:rsidR="00907424">
              <w:rPr>
                <w:rFonts w:ascii="Times New Roman" w:hAnsi="Times New Roman" w:cs="Times New Roman"/>
                <w:sz w:val="24"/>
                <w:szCs w:val="24"/>
              </w:rPr>
              <w:t>1029</w:t>
            </w:r>
            <w:r w:rsidRPr="004C3CC6">
              <w:rPr>
                <w:rFonts w:ascii="Times New Roman" w:hAnsi="Times New Roman" w:cs="Times New Roman"/>
                <w:sz w:val="24"/>
                <w:szCs w:val="24"/>
              </w:rPr>
              <w:t>-GA-</w:t>
            </w:r>
            <w:r w:rsidRPr="004C3CC6" w:rsidR="00907424">
              <w:rPr>
                <w:rFonts w:ascii="Times New Roman" w:hAnsi="Times New Roman" w:cs="Times New Roman"/>
                <w:sz w:val="24"/>
                <w:szCs w:val="24"/>
              </w:rPr>
              <w:t>ATA</w:t>
            </w:r>
          </w:p>
          <w:p w:rsidR="00E65FB5" w:rsidRPr="004C3CC6" w14:paraId="7126323A" w14:textId="77777777">
            <w:pPr>
              <w:pStyle w:val="HTMLPreformatted"/>
              <w:rPr>
                <w:rFonts w:ascii="Times New Roman" w:hAnsi="Times New Roman" w:cs="Times New Roman"/>
                <w:sz w:val="24"/>
                <w:szCs w:val="24"/>
              </w:rPr>
            </w:pPr>
          </w:p>
          <w:p w:rsidR="00E65FB5" w:rsidRPr="004C3CC6" w14:paraId="6161BC07" w14:textId="77777777">
            <w:pPr>
              <w:pStyle w:val="HTMLPreformatted"/>
              <w:rPr>
                <w:rFonts w:ascii="Times New Roman" w:hAnsi="Times New Roman" w:cs="Times New Roman"/>
                <w:sz w:val="24"/>
                <w:szCs w:val="24"/>
              </w:rPr>
            </w:pPr>
          </w:p>
        </w:tc>
      </w:tr>
    </w:tbl>
    <w:p w:rsidR="00F37455" w:rsidRPr="00105FD8" w:rsidP="00F37455" w14:paraId="460397F1" w14:textId="77777777">
      <w:pPr>
        <w:pStyle w:val="HTMLPreformatted"/>
        <w:rPr>
          <w:rFonts w:ascii="Times New Roman" w:hAnsi="Times New Roman" w:cs="Times New Roman"/>
          <w:b/>
          <w:sz w:val="24"/>
          <w:szCs w:val="24"/>
        </w:rPr>
      </w:pPr>
    </w:p>
    <w:p w:rsidR="00F37455" w:rsidRPr="00105FD8" w:rsidP="00F37455" w14:paraId="12E8DE62" w14:textId="77777777">
      <w:pPr>
        <w:pStyle w:val="Footer"/>
        <w:pBdr>
          <w:top w:val="single" w:sz="12" w:space="1" w:color="auto"/>
        </w:pBdr>
        <w:tabs>
          <w:tab w:val="left" w:pos="4320"/>
          <w:tab w:val="clear" w:pos="8640"/>
        </w:tabs>
      </w:pPr>
    </w:p>
    <w:p w:rsidR="00F37455" w:rsidRPr="00F37455" w:rsidP="00F37455" w14:paraId="0AA80350" w14:textId="696CC139">
      <w:pPr>
        <w:pStyle w:val="Footer"/>
        <w:tabs>
          <w:tab w:val="left" w:pos="4320"/>
          <w:tab w:val="clear" w:pos="8640"/>
        </w:tabs>
        <w:jc w:val="center"/>
        <w:rPr>
          <w:b/>
          <w:sz w:val="24"/>
          <w:szCs w:val="24"/>
        </w:rPr>
      </w:pPr>
      <w:r>
        <w:rPr>
          <w:b/>
          <w:sz w:val="24"/>
          <w:szCs w:val="24"/>
        </w:rPr>
        <w:t xml:space="preserve">CONSUMER PROTECTION </w:t>
      </w:r>
      <w:r w:rsidR="000E544A">
        <w:rPr>
          <w:b/>
          <w:sz w:val="24"/>
          <w:szCs w:val="24"/>
        </w:rPr>
        <w:t xml:space="preserve">REPLY </w:t>
      </w:r>
      <w:r>
        <w:rPr>
          <w:b/>
          <w:sz w:val="24"/>
          <w:szCs w:val="24"/>
        </w:rPr>
        <w:t>COMMENTS</w:t>
      </w:r>
      <w:r w:rsidRPr="00F37455">
        <w:rPr>
          <w:b/>
          <w:sz w:val="24"/>
          <w:szCs w:val="24"/>
        </w:rPr>
        <w:t xml:space="preserve"> </w:t>
      </w:r>
    </w:p>
    <w:p w:rsidR="00F37455" w:rsidRPr="00F37455" w:rsidP="00F37455" w14:paraId="6A93BFE5" w14:textId="77777777">
      <w:pPr>
        <w:pStyle w:val="Footer"/>
        <w:tabs>
          <w:tab w:val="left" w:pos="4320"/>
          <w:tab w:val="clear" w:pos="8640"/>
        </w:tabs>
        <w:jc w:val="center"/>
        <w:rPr>
          <w:b/>
          <w:sz w:val="24"/>
          <w:szCs w:val="24"/>
        </w:rPr>
      </w:pPr>
      <w:r w:rsidRPr="00F37455">
        <w:rPr>
          <w:b/>
          <w:sz w:val="24"/>
          <w:szCs w:val="24"/>
        </w:rPr>
        <w:t>BY</w:t>
      </w:r>
    </w:p>
    <w:p w:rsidR="00F37455" w:rsidRPr="00F37455" w:rsidP="00F37455" w14:paraId="413597FF" w14:textId="77777777">
      <w:pPr>
        <w:pStyle w:val="Footer"/>
        <w:tabs>
          <w:tab w:val="left" w:pos="4320"/>
          <w:tab w:val="clear" w:pos="8640"/>
        </w:tabs>
        <w:jc w:val="center"/>
        <w:rPr>
          <w:b/>
          <w:sz w:val="24"/>
          <w:szCs w:val="24"/>
        </w:rPr>
      </w:pPr>
      <w:r w:rsidRPr="00F37455">
        <w:rPr>
          <w:b/>
          <w:sz w:val="24"/>
          <w:szCs w:val="24"/>
        </w:rPr>
        <w:t>OFFICE OF THE OHIO CONSUMERS’ COUNSEL</w:t>
      </w:r>
    </w:p>
    <w:p w:rsidR="00F37455" w:rsidRPr="00105FD8" w:rsidP="00F37455" w14:paraId="4014E961" w14:textId="77777777">
      <w:pPr>
        <w:pStyle w:val="Footer"/>
        <w:pBdr>
          <w:bottom w:val="single" w:sz="12" w:space="1" w:color="auto"/>
        </w:pBdr>
        <w:tabs>
          <w:tab w:val="left" w:pos="4320"/>
          <w:tab w:val="clear" w:pos="8640"/>
        </w:tabs>
      </w:pPr>
    </w:p>
    <w:p w:rsidR="00F37455" w:rsidP="00F37455" w14:paraId="3A2B742F" w14:textId="77777777">
      <w:pPr>
        <w:pStyle w:val="BodyTextIndent"/>
        <w:spacing w:line="240" w:lineRule="auto"/>
        <w:ind w:left="360" w:firstLine="0"/>
        <w:rPr>
          <w:b/>
          <w:bCs/>
          <w:szCs w:val="24"/>
        </w:rPr>
      </w:pPr>
    </w:p>
    <w:p w:rsidR="00E65FB5" w:rsidP="00F37455" w14:paraId="77CF8239" w14:textId="4C06C591">
      <w:pPr>
        <w:pStyle w:val="BodyTextIndent"/>
        <w:numPr>
          <w:ilvl w:val="0"/>
          <w:numId w:val="20"/>
        </w:numPr>
        <w:spacing w:line="240" w:lineRule="auto"/>
        <w:ind w:left="720"/>
        <w:rPr>
          <w:b/>
          <w:bCs/>
          <w:szCs w:val="24"/>
        </w:rPr>
      </w:pPr>
      <w:r>
        <w:rPr>
          <w:b/>
          <w:bCs/>
          <w:szCs w:val="24"/>
        </w:rPr>
        <w:t>INTRODUCTION</w:t>
      </w:r>
    </w:p>
    <w:p w:rsidR="00996063" w:rsidRPr="004C3CC6" w:rsidP="00996063" w14:paraId="7DF69A6C" w14:textId="77777777">
      <w:pPr>
        <w:pStyle w:val="BodyTextIndent"/>
        <w:spacing w:line="240" w:lineRule="auto"/>
        <w:ind w:left="1080" w:firstLine="0"/>
        <w:rPr>
          <w:b/>
          <w:bCs/>
          <w:szCs w:val="24"/>
        </w:rPr>
      </w:pPr>
    </w:p>
    <w:p w:rsidR="00E758E0" w:rsidP="000E544A" w14:paraId="74334F70" w14:textId="3826098F">
      <w:pPr>
        <w:pStyle w:val="BodyTextIndent3"/>
        <w:widowControl w:val="0"/>
        <w:spacing w:line="480" w:lineRule="auto"/>
        <w:ind w:right="-24"/>
        <w:rPr>
          <w:szCs w:val="24"/>
        </w:rPr>
      </w:pPr>
      <w:r>
        <w:rPr>
          <w:szCs w:val="24"/>
        </w:rPr>
        <w:t xml:space="preserve">North Coast’s </w:t>
      </w:r>
      <w:r w:rsidR="002120F4">
        <w:rPr>
          <w:szCs w:val="24"/>
        </w:rPr>
        <w:t>A</w:t>
      </w:r>
      <w:r>
        <w:rPr>
          <w:szCs w:val="24"/>
        </w:rPr>
        <w:t xml:space="preserve">pplication </w:t>
      </w:r>
      <w:r w:rsidR="008F7A9F">
        <w:rPr>
          <w:szCs w:val="24"/>
        </w:rPr>
        <w:t xml:space="preserve">to convert from a pipeline to a natural gas utility </w:t>
      </w:r>
      <w:r>
        <w:rPr>
          <w:szCs w:val="24"/>
        </w:rPr>
        <w:t>should be denied</w:t>
      </w:r>
      <w:r w:rsidR="00F968D7">
        <w:rPr>
          <w:szCs w:val="24"/>
        </w:rPr>
        <w:t>, at least</w:t>
      </w:r>
      <w:r>
        <w:rPr>
          <w:szCs w:val="24"/>
        </w:rPr>
        <w:t xml:space="preserve"> with regard to its proposal for serving residential consumers</w:t>
      </w:r>
      <w:r w:rsidR="008F7A9F">
        <w:rPr>
          <w:szCs w:val="24"/>
        </w:rPr>
        <w:t>. N</w:t>
      </w:r>
      <w:r>
        <w:rPr>
          <w:szCs w:val="24"/>
        </w:rPr>
        <w:t xml:space="preserve">orth Coast has failed to show its </w:t>
      </w:r>
      <w:r w:rsidR="002120F4">
        <w:rPr>
          <w:szCs w:val="24"/>
        </w:rPr>
        <w:t>A</w:t>
      </w:r>
      <w:r>
        <w:rPr>
          <w:szCs w:val="24"/>
        </w:rPr>
        <w:t>pplication</w:t>
      </w:r>
      <w:r>
        <w:rPr>
          <w:rStyle w:val="FootnoteReference"/>
          <w:szCs w:val="24"/>
        </w:rPr>
        <w:footnoteReference w:id="2"/>
      </w:r>
      <w:r>
        <w:rPr>
          <w:szCs w:val="24"/>
        </w:rPr>
        <w:t xml:space="preserve"> provides adequate consumer safeguards</w:t>
      </w:r>
      <w:r w:rsidR="008F7A9F">
        <w:rPr>
          <w:szCs w:val="24"/>
        </w:rPr>
        <w:t xml:space="preserve"> and protection</w:t>
      </w:r>
      <w:r>
        <w:rPr>
          <w:szCs w:val="24"/>
        </w:rPr>
        <w:t xml:space="preserve">. North Coast </w:t>
      </w:r>
      <w:r w:rsidR="00F968D7">
        <w:rPr>
          <w:szCs w:val="24"/>
        </w:rPr>
        <w:t xml:space="preserve">also </w:t>
      </w:r>
      <w:r>
        <w:rPr>
          <w:szCs w:val="24"/>
        </w:rPr>
        <w:t>failed to show that its application is just and reasonable as required by Ohio law.</w:t>
      </w:r>
      <w:r>
        <w:rPr>
          <w:rStyle w:val="FootnoteReference"/>
          <w:szCs w:val="24"/>
        </w:rPr>
        <w:footnoteReference w:id="3"/>
      </w:r>
      <w:r>
        <w:rPr>
          <w:szCs w:val="24"/>
        </w:rPr>
        <w:t xml:space="preserve"> </w:t>
      </w:r>
      <w:r w:rsidR="000D6CEE">
        <w:rPr>
          <w:szCs w:val="24"/>
        </w:rPr>
        <w:t>Comments were filed by</w:t>
      </w:r>
      <w:r w:rsidR="006C5740">
        <w:rPr>
          <w:szCs w:val="24"/>
        </w:rPr>
        <w:t xml:space="preserve"> the </w:t>
      </w:r>
      <w:r w:rsidR="00D9026B">
        <w:rPr>
          <w:szCs w:val="24"/>
        </w:rPr>
        <w:t>Office of the Ohio Consumers’ Counsel (“OCC”),</w:t>
      </w:r>
      <w:r>
        <w:rPr>
          <w:rStyle w:val="FootnoteReference"/>
          <w:szCs w:val="24"/>
        </w:rPr>
        <w:footnoteReference w:id="4"/>
      </w:r>
      <w:r w:rsidR="00D9026B">
        <w:rPr>
          <w:szCs w:val="24"/>
        </w:rPr>
        <w:t xml:space="preserve"> The East Ohio Gas Company d/b/a Dominion Energy Ohio (“Dominion”)</w:t>
      </w:r>
      <w:r>
        <w:rPr>
          <w:rStyle w:val="FootnoteReference"/>
          <w:szCs w:val="24"/>
        </w:rPr>
        <w:footnoteReference w:id="5"/>
      </w:r>
      <w:r w:rsidR="00D9026B">
        <w:rPr>
          <w:szCs w:val="24"/>
        </w:rPr>
        <w:t xml:space="preserve"> and Columbia Gas of Ohio (“Columbia”).</w:t>
      </w:r>
      <w:r>
        <w:rPr>
          <w:rStyle w:val="FootnoteReference"/>
          <w:szCs w:val="24"/>
        </w:rPr>
        <w:footnoteReference w:id="6"/>
      </w:r>
    </w:p>
    <w:p w:rsidR="001636E0" w:rsidP="000E544A" w14:paraId="17DAEAF4" w14:textId="77777777">
      <w:pPr>
        <w:pStyle w:val="BodyTextIndent3"/>
        <w:widowControl w:val="0"/>
        <w:spacing w:line="480" w:lineRule="auto"/>
        <w:ind w:right="-24"/>
        <w:rPr>
          <w:szCs w:val="24"/>
        </w:rPr>
        <w:sectPr w:rsidSect="00F37455">
          <w:footerReference w:type="default" r:id="rId6"/>
          <w:footerReference w:type="first" r:id="rId7"/>
          <w:pgSz w:w="12240" w:h="15840"/>
          <w:pgMar w:top="1440" w:right="1800" w:bottom="1440" w:left="1800" w:header="720" w:footer="720" w:gutter="0"/>
          <w:pgNumType w:start="2"/>
          <w:cols w:space="720"/>
          <w:titlePg/>
          <w:docGrid w:linePitch="65"/>
        </w:sectPr>
      </w:pPr>
      <w:r>
        <w:rPr>
          <w:szCs w:val="24"/>
        </w:rPr>
        <w:t>North Coast’s proposal for individually contracting with consumers,</w:t>
      </w:r>
      <w:r>
        <w:rPr>
          <w:rStyle w:val="FootnoteReference"/>
          <w:szCs w:val="24"/>
        </w:rPr>
        <w:footnoteReference w:id="7"/>
      </w:r>
      <w:r>
        <w:rPr>
          <w:szCs w:val="24"/>
        </w:rPr>
        <w:t xml:space="preserve"> instead of using a tariffed regulated Gas Cost Recovery service,</w:t>
      </w:r>
      <w:r>
        <w:rPr>
          <w:rStyle w:val="FootnoteReference"/>
          <w:szCs w:val="24"/>
        </w:rPr>
        <w:footnoteReference w:id="8"/>
      </w:r>
      <w:r>
        <w:rPr>
          <w:szCs w:val="24"/>
        </w:rPr>
        <w:t xml:space="preserve"> would leave consumers </w:t>
      </w:r>
    </w:p>
    <w:p w:rsidR="006E6258" w:rsidP="001636E0" w14:paraId="670EFE38" w14:textId="6566125A">
      <w:pPr>
        <w:pStyle w:val="BodyTextIndent3"/>
        <w:widowControl w:val="0"/>
        <w:spacing w:line="480" w:lineRule="auto"/>
        <w:ind w:right="-24" w:firstLine="0"/>
        <w:rPr>
          <w:szCs w:val="24"/>
        </w:rPr>
      </w:pPr>
      <w:r>
        <w:rPr>
          <w:szCs w:val="24"/>
        </w:rPr>
        <w:t xml:space="preserve">unprotected by either PUCO regulation or effective competition (such as a standard </w:t>
      </w:r>
    </w:p>
    <w:p w:rsidR="000E544A" w:rsidP="0006263A" w14:paraId="7F45C7AE" w14:textId="318CCAED">
      <w:pPr>
        <w:pStyle w:val="BodyTextIndent3"/>
        <w:widowControl w:val="0"/>
        <w:spacing w:line="480" w:lineRule="auto"/>
        <w:ind w:right="-24" w:firstLine="0"/>
        <w:rPr>
          <w:szCs w:val="24"/>
        </w:rPr>
      </w:pPr>
      <w:r>
        <w:rPr>
          <w:szCs w:val="24"/>
        </w:rPr>
        <w:t xml:space="preserve">service offer). North Coast’s </w:t>
      </w:r>
      <w:r w:rsidR="002120F4">
        <w:rPr>
          <w:szCs w:val="24"/>
        </w:rPr>
        <w:t>A</w:t>
      </w:r>
      <w:r>
        <w:rPr>
          <w:szCs w:val="24"/>
        </w:rPr>
        <w:t xml:space="preserve">pplication does not incorporate proper principles </w:t>
      </w:r>
      <w:r w:rsidR="00F968D7">
        <w:rPr>
          <w:szCs w:val="24"/>
        </w:rPr>
        <w:t xml:space="preserve">and practices </w:t>
      </w:r>
      <w:r>
        <w:rPr>
          <w:szCs w:val="24"/>
        </w:rPr>
        <w:t xml:space="preserve">of utility regulation. It would have the PUCO stand aside while consumers are exposed to the monopoly power of a new utility, North Coast. </w:t>
      </w:r>
    </w:p>
    <w:p w:rsidR="000D6CEE" w:rsidP="00E758E0" w14:paraId="63F0E851" w14:textId="65A869EC">
      <w:pPr>
        <w:pStyle w:val="BodyTextIndent3"/>
        <w:widowControl w:val="0"/>
        <w:spacing w:line="480" w:lineRule="auto"/>
        <w:ind w:right="-24"/>
        <w:rPr>
          <w:szCs w:val="24"/>
        </w:rPr>
      </w:pPr>
      <w:r>
        <w:rPr>
          <w:szCs w:val="24"/>
        </w:rPr>
        <w:t xml:space="preserve">Accordingly, </w:t>
      </w:r>
      <w:r w:rsidR="00E758E0">
        <w:rPr>
          <w:szCs w:val="24"/>
        </w:rPr>
        <w:t>North Coast</w:t>
      </w:r>
      <w:r>
        <w:rPr>
          <w:szCs w:val="24"/>
        </w:rPr>
        <w:t>’s application</w:t>
      </w:r>
      <w:r w:rsidR="00E758E0">
        <w:rPr>
          <w:szCs w:val="24"/>
        </w:rPr>
        <w:t xml:space="preserve"> </w:t>
      </w:r>
      <w:r>
        <w:rPr>
          <w:szCs w:val="24"/>
        </w:rPr>
        <w:t>is inadequate. Before the PUCO could authorize North Coast to</w:t>
      </w:r>
      <w:r w:rsidR="00E758E0">
        <w:rPr>
          <w:szCs w:val="24"/>
        </w:rPr>
        <w:t xml:space="preserve"> become a natural gas utility, </w:t>
      </w:r>
      <w:r>
        <w:rPr>
          <w:szCs w:val="24"/>
        </w:rPr>
        <w:t>North Coast must</w:t>
      </w:r>
      <w:r w:rsidR="00E758E0">
        <w:rPr>
          <w:szCs w:val="24"/>
        </w:rPr>
        <w:t xml:space="preserve"> conform with regulatory norms (principles and practices) for consumer protection under law, rule and precedent</w:t>
      </w:r>
      <w:r w:rsidR="002060E8">
        <w:rPr>
          <w:szCs w:val="24"/>
        </w:rPr>
        <w:t>, including a fair and thorough process of reviewing the Application</w:t>
      </w:r>
      <w:r w:rsidR="00E758E0">
        <w:rPr>
          <w:szCs w:val="24"/>
        </w:rPr>
        <w:t xml:space="preserve">. </w:t>
      </w:r>
      <w:r>
        <w:rPr>
          <w:szCs w:val="24"/>
        </w:rPr>
        <w:t xml:space="preserve">North Coast would need to prove what it has yet to show – that it is in the public interest for it to be granted the status of public utility. </w:t>
      </w:r>
      <w:r w:rsidR="00E758E0">
        <w:rPr>
          <w:szCs w:val="24"/>
        </w:rPr>
        <w:t xml:space="preserve"> </w:t>
      </w:r>
    </w:p>
    <w:p w:rsidR="00E758E0" w:rsidP="00E758E0" w14:paraId="14E9A247" w14:textId="0514F1A5">
      <w:pPr>
        <w:pStyle w:val="BodyTextIndent3"/>
        <w:widowControl w:val="0"/>
        <w:spacing w:line="480" w:lineRule="auto"/>
        <w:ind w:right="-24"/>
        <w:rPr>
          <w:szCs w:val="24"/>
        </w:rPr>
      </w:pPr>
      <w:r>
        <w:rPr>
          <w:szCs w:val="24"/>
        </w:rPr>
        <w:t xml:space="preserve">In addition, OCC remains concerned that North Coast wants to serve </w:t>
      </w:r>
      <w:r w:rsidR="00900474">
        <w:rPr>
          <w:szCs w:val="24"/>
        </w:rPr>
        <w:t>retail consumers</w:t>
      </w:r>
      <w:r>
        <w:rPr>
          <w:szCs w:val="24"/>
        </w:rPr>
        <w:t xml:space="preserve"> with only a</w:t>
      </w:r>
      <w:r w:rsidR="00900474">
        <w:rPr>
          <w:szCs w:val="24"/>
        </w:rPr>
        <w:t>n Applica</w:t>
      </w:r>
      <w:r w:rsidR="007639E5">
        <w:rPr>
          <w:szCs w:val="24"/>
        </w:rPr>
        <w:t>tion for T</w:t>
      </w:r>
      <w:r>
        <w:rPr>
          <w:szCs w:val="24"/>
        </w:rPr>
        <w:t>ariff</w:t>
      </w:r>
      <w:r w:rsidR="007639E5">
        <w:rPr>
          <w:szCs w:val="24"/>
        </w:rPr>
        <w:t xml:space="preserve"> Approval</w:t>
      </w:r>
      <w:r>
        <w:rPr>
          <w:szCs w:val="24"/>
        </w:rPr>
        <w:t xml:space="preserve"> </w:t>
      </w:r>
      <w:r w:rsidR="007639E5">
        <w:rPr>
          <w:szCs w:val="24"/>
        </w:rPr>
        <w:t>(“</w:t>
      </w:r>
      <w:r>
        <w:rPr>
          <w:szCs w:val="24"/>
        </w:rPr>
        <w:t>ATA</w:t>
      </w:r>
      <w:r w:rsidR="007639E5">
        <w:rPr>
          <w:szCs w:val="24"/>
        </w:rPr>
        <w:t>”)</w:t>
      </w:r>
      <w:r>
        <w:rPr>
          <w:szCs w:val="24"/>
        </w:rPr>
        <w:t xml:space="preserve"> filing. North Coast should make a more substantial filing indicating its consumer protections for</w:t>
      </w:r>
      <w:r w:rsidR="001C35B7">
        <w:rPr>
          <w:szCs w:val="24"/>
        </w:rPr>
        <w:t xml:space="preserve"> its</w:t>
      </w:r>
      <w:r>
        <w:rPr>
          <w:szCs w:val="24"/>
        </w:rPr>
        <w:t xml:space="preserve"> rate and terms applicable to distribution service and gas commodity service, among other things. The</w:t>
      </w:r>
      <w:r w:rsidRPr="00A74183">
        <w:rPr>
          <w:szCs w:val="24"/>
        </w:rPr>
        <w:t xml:space="preserve"> PUCO should not permit North Coast to </w:t>
      </w:r>
      <w:r>
        <w:rPr>
          <w:szCs w:val="24"/>
        </w:rPr>
        <w:t>conduct utility service</w:t>
      </w:r>
      <w:r w:rsidRPr="00A74183">
        <w:rPr>
          <w:szCs w:val="24"/>
        </w:rPr>
        <w:t xml:space="preserve"> </w:t>
      </w:r>
      <w:r>
        <w:rPr>
          <w:szCs w:val="24"/>
        </w:rPr>
        <w:t>through</w:t>
      </w:r>
      <w:r w:rsidRPr="00A74183">
        <w:rPr>
          <w:szCs w:val="24"/>
        </w:rPr>
        <w:t xml:space="preserve"> individual contracts</w:t>
      </w:r>
      <w:r>
        <w:rPr>
          <w:szCs w:val="24"/>
        </w:rPr>
        <w:t xml:space="preserve"> for natural gas instead of a Gas Cost Recovery service under tariff.</w:t>
      </w:r>
      <w:r w:rsidRPr="00A74183">
        <w:rPr>
          <w:szCs w:val="24"/>
        </w:rPr>
        <w:t xml:space="preserve"> </w:t>
      </w:r>
    </w:p>
    <w:p w:rsidR="00F37455" w:rsidP="00F37455" w14:paraId="10527686" w14:textId="77777777">
      <w:pPr>
        <w:pStyle w:val="BodyTextIndent3"/>
        <w:widowControl w:val="0"/>
        <w:spacing w:line="240" w:lineRule="auto"/>
        <w:ind w:right="-24" w:firstLine="360"/>
        <w:rPr>
          <w:szCs w:val="24"/>
        </w:rPr>
      </w:pPr>
    </w:p>
    <w:p w:rsidR="00E65FB5" w:rsidRPr="00645175" w:rsidP="00F37455" w14:paraId="1896FD17" w14:textId="7EB82BE5">
      <w:pPr>
        <w:pStyle w:val="BodyTextIndent3"/>
        <w:widowControl w:val="0"/>
        <w:numPr>
          <w:ilvl w:val="0"/>
          <w:numId w:val="20"/>
        </w:numPr>
        <w:spacing w:line="480" w:lineRule="auto"/>
        <w:ind w:left="720" w:right="-24"/>
        <w:rPr>
          <w:b/>
          <w:bCs/>
          <w:szCs w:val="24"/>
        </w:rPr>
      </w:pPr>
      <w:r>
        <w:rPr>
          <w:b/>
          <w:bCs/>
          <w:szCs w:val="24"/>
        </w:rPr>
        <w:t>RECOMMENDATIONS</w:t>
      </w:r>
    </w:p>
    <w:p w:rsidR="00A74183" w:rsidRPr="006C5740" w:rsidP="001636E0" w14:paraId="03427488" w14:textId="2AA72D08">
      <w:pPr>
        <w:ind w:left="720"/>
        <w:rPr>
          <w:szCs w:val="24"/>
        </w:rPr>
      </w:pPr>
      <w:r w:rsidRPr="006C5740">
        <w:rPr>
          <w:b/>
          <w:bCs/>
          <w:szCs w:val="24"/>
        </w:rPr>
        <w:t xml:space="preserve">North Coast’s </w:t>
      </w:r>
      <w:r w:rsidRPr="006C5740" w:rsidR="002120F4">
        <w:rPr>
          <w:b/>
          <w:bCs/>
          <w:szCs w:val="24"/>
        </w:rPr>
        <w:t>A</w:t>
      </w:r>
      <w:r w:rsidRPr="006C5740">
        <w:rPr>
          <w:b/>
          <w:bCs/>
          <w:szCs w:val="24"/>
        </w:rPr>
        <w:t xml:space="preserve">pplication is </w:t>
      </w:r>
      <w:r w:rsidRPr="006C5740" w:rsidR="001574B9">
        <w:rPr>
          <w:b/>
          <w:bCs/>
          <w:szCs w:val="24"/>
        </w:rPr>
        <w:t>deficient and not in the public interest</w:t>
      </w:r>
      <w:r w:rsidR="006C5740">
        <w:rPr>
          <w:b/>
          <w:bCs/>
          <w:szCs w:val="24"/>
        </w:rPr>
        <w:t xml:space="preserve"> and therefore should be denied.</w:t>
      </w:r>
      <w:r w:rsidRPr="006C5740" w:rsidR="001574B9">
        <w:rPr>
          <w:b/>
          <w:bCs/>
          <w:szCs w:val="24"/>
        </w:rPr>
        <w:t xml:space="preserve"> </w:t>
      </w:r>
    </w:p>
    <w:p w:rsidR="0006263A" w:rsidP="0006263A" w14:paraId="1D618E0A" w14:textId="77777777">
      <w:pPr>
        <w:ind w:firstLine="720"/>
      </w:pPr>
    </w:p>
    <w:p w:rsidR="00B970F4" w:rsidP="004F4C0A" w14:paraId="6B7BAE9C" w14:textId="4C25C8A5">
      <w:pPr>
        <w:spacing w:line="480" w:lineRule="auto"/>
        <w:ind w:firstLine="720"/>
      </w:pPr>
      <w:r>
        <w:t>Dominion comment</w:t>
      </w:r>
      <w:r w:rsidR="00197553">
        <w:t>ed that</w:t>
      </w:r>
      <w:r>
        <w:t xml:space="preserve"> North Coast’s </w:t>
      </w:r>
      <w:r w:rsidR="00FE0158">
        <w:t xml:space="preserve">Application includes </w:t>
      </w:r>
      <w:r>
        <w:t xml:space="preserve">tariffs </w:t>
      </w:r>
      <w:r w:rsidR="00FE0158">
        <w:t xml:space="preserve">that </w:t>
      </w:r>
      <w:r>
        <w:t>are at odds with Ohio law.</w:t>
      </w:r>
      <w:r>
        <w:rPr>
          <w:rStyle w:val="FootnoteReference"/>
        </w:rPr>
        <w:footnoteReference w:id="9"/>
      </w:r>
      <w:r w:rsidR="00C52FA3">
        <w:t xml:space="preserve"> </w:t>
      </w:r>
      <w:r w:rsidR="00197553">
        <w:t xml:space="preserve">Dominion is correct. </w:t>
      </w:r>
    </w:p>
    <w:p w:rsidR="004F4C0A" w:rsidP="004F4C0A" w14:paraId="6C92DC3A" w14:textId="6A7754F6">
      <w:pPr>
        <w:spacing w:line="480" w:lineRule="auto"/>
        <w:ind w:firstLine="720"/>
        <w:rPr>
          <w:szCs w:val="24"/>
        </w:rPr>
      </w:pPr>
      <w:r>
        <w:t xml:space="preserve">North Coast’s tariffs do not </w:t>
      </w:r>
      <w:r w:rsidR="00FE0158">
        <w:t xml:space="preserve">acknowledge that </w:t>
      </w:r>
      <w:r>
        <w:t>it has a legal duty to serve</w:t>
      </w:r>
      <w:r w:rsidR="00FE0158">
        <w:t xml:space="preserve">.  Rather its </w:t>
      </w:r>
      <w:r>
        <w:t>tariffs allow the company to serve select customers under private contract at the company’s discretion.</w:t>
      </w:r>
      <w:r>
        <w:rPr>
          <w:rStyle w:val="FootnoteReference"/>
        </w:rPr>
        <w:footnoteReference w:id="10"/>
      </w:r>
      <w:r>
        <w:t xml:space="preserve"> </w:t>
      </w:r>
      <w:r w:rsidR="002120F4">
        <w:t xml:space="preserve">These issues raised by Dominion </w:t>
      </w:r>
      <w:r w:rsidR="00B970F4">
        <w:t>show</w:t>
      </w:r>
      <w:r w:rsidR="002120F4">
        <w:t xml:space="preserve"> that North Coast’s Application</w:t>
      </w:r>
      <w:r w:rsidR="001C35B7">
        <w:t xml:space="preserve"> to become a gas distribution utility</w:t>
      </w:r>
      <w:r w:rsidR="002120F4">
        <w:t xml:space="preserve"> is not in the public interest.</w:t>
      </w:r>
    </w:p>
    <w:p w:rsidR="004F4C0A" w:rsidP="004F4C0A" w14:paraId="3D670630" w14:textId="3A6D5881">
      <w:pPr>
        <w:spacing w:line="480" w:lineRule="auto"/>
        <w:ind w:firstLine="720"/>
      </w:pPr>
      <w:r>
        <w:t xml:space="preserve">It is generally recognized that advancing </w:t>
      </w:r>
      <w:r w:rsidR="001C35B7">
        <w:t xml:space="preserve">the </w:t>
      </w:r>
      <w:r>
        <w:t>public interest is the main objective of public utility regulation.</w:t>
      </w:r>
      <w:r w:rsidR="0006263A">
        <w:t xml:space="preserve"> </w:t>
      </w:r>
      <w:r>
        <w:t>For example, Charles F. Philips, Jr. noted that “The public interest theory of regulation – the oldest and the one that is more often implied than articulated – holds that regulation is undertaken to protect the consumers from the abuses of market imperfections (or, more broadly, is established for “public interest-related objectives”</w:t>
      </w:r>
      <w:r w:rsidR="008C5AAF">
        <w:t>)</w:t>
      </w:r>
      <w:r w:rsidR="00BF3C9D">
        <w:t>.</w:t>
      </w:r>
      <w:r>
        <w:rPr>
          <w:rStyle w:val="FootnoteReference"/>
        </w:rPr>
        <w:footnoteReference w:id="11"/>
      </w:r>
      <w:r w:rsidR="0006263A">
        <w:t xml:space="preserve"> </w:t>
      </w:r>
      <w:r>
        <w:t>James C. Bonbright also observed that “The goals or rationales of regulation in the public interest may be economic (to correct market failures), social (to correct social failures) and political (to correct political failures) in nature.</w:t>
      </w:r>
      <w:r>
        <w:rPr>
          <w:rStyle w:val="FootnoteReference"/>
        </w:rPr>
        <w:footnoteReference w:id="12"/>
      </w:r>
      <w:r w:rsidR="0006263A">
        <w:t xml:space="preserve"> </w:t>
      </w:r>
    </w:p>
    <w:p w:rsidR="00592B14" w:rsidP="00592B14" w14:paraId="7818003D" w14:textId="7D9AD3B9">
      <w:pPr>
        <w:spacing w:line="480" w:lineRule="auto"/>
        <w:ind w:firstLine="720"/>
      </w:pPr>
      <w:r>
        <w:t xml:space="preserve">Consideration of the public interest </w:t>
      </w:r>
      <w:r w:rsidR="00F078CE">
        <w:t>should be</w:t>
      </w:r>
      <w:r>
        <w:t xml:space="preserve"> an implicit standard for every decision made by the PUCO. In addition, the Ohio Supreme Court has decided that the PUCO has the authority and the obligation to use this public interest consideration regarding the provision of natural gas service.  Specifically, the “power to regulate and supervise the functions of public utilities” is “lodged with the public utilities commission in the public interest.”</w:t>
      </w:r>
      <w:r>
        <w:rPr>
          <w:rStyle w:val="FootnoteReference"/>
        </w:rPr>
        <w:footnoteReference w:id="13"/>
      </w:r>
    </w:p>
    <w:p w:rsidR="00592B14" w:rsidP="004F4C0A" w14:paraId="652B7062" w14:textId="5EC86179">
      <w:pPr>
        <w:spacing w:line="480" w:lineRule="auto"/>
        <w:ind w:firstLine="720"/>
      </w:pPr>
      <w:r>
        <w:t xml:space="preserve">In reflecting this consideration of public interest, the PUCO in the past has used the following standards in deciding if an entity should be allowed to be a natural gas company: </w:t>
      </w:r>
      <w:r w:rsidR="00E05FD7">
        <w:t xml:space="preserve">whether the applicant has the </w:t>
      </w:r>
      <w:r w:rsidR="004F4C0A">
        <w:t xml:space="preserve">managerial, technical, and financial capability </w:t>
      </w:r>
      <w:r w:rsidR="00E05FD7">
        <w:t>to provide natural gas service and whether there are reasonable financial assurances sufficient to protect consumers.</w:t>
      </w:r>
      <w:r>
        <w:rPr>
          <w:rStyle w:val="FootnoteReference"/>
        </w:rPr>
        <w:footnoteReference w:id="14"/>
      </w:r>
      <w:r w:rsidR="00E05FD7">
        <w:t xml:space="preserve"> These standards </w:t>
      </w:r>
      <w:r w:rsidR="00646FF5">
        <w:t>help ensure</w:t>
      </w:r>
      <w:r w:rsidR="00E05FD7">
        <w:t xml:space="preserve"> that </w:t>
      </w:r>
      <w:r w:rsidR="004F4C0A">
        <w:t xml:space="preserve">consumers will receive adequate, </w:t>
      </w:r>
      <w:r w:rsidR="00646FF5">
        <w:t>reliable and reasonably priced natural gas service</w:t>
      </w:r>
      <w:r>
        <w:rPr>
          <w:rStyle w:val="FootnoteReference"/>
        </w:rPr>
        <w:footnoteReference w:id="15"/>
      </w:r>
      <w:r w:rsidR="00646FF5">
        <w:t xml:space="preserve"> at just and reasonable rates</w:t>
      </w:r>
      <w:r w:rsidR="004F4C0A">
        <w:t>.</w:t>
      </w:r>
      <w:r>
        <w:rPr>
          <w:rStyle w:val="FootnoteReference"/>
        </w:rPr>
        <w:footnoteReference w:id="16"/>
      </w:r>
      <w:r w:rsidR="004F4C0A">
        <w:t xml:space="preserve"> </w:t>
      </w:r>
    </w:p>
    <w:p w:rsidR="00DB60C4" w:rsidP="00DB60C4" w14:paraId="5D3891E1" w14:textId="4783B844">
      <w:pPr>
        <w:spacing w:line="480" w:lineRule="auto"/>
        <w:ind w:firstLine="720"/>
        <w:rPr>
          <w:szCs w:val="24"/>
        </w:rPr>
      </w:pPr>
      <w:r>
        <w:t xml:space="preserve">It is not in the public interest for the PUCO to allow </w:t>
      </w:r>
      <w:r w:rsidRPr="00A74183">
        <w:rPr>
          <w:szCs w:val="24"/>
        </w:rPr>
        <w:t>North Coast to enter into individual contracts with individual residential consumers for gas service or supply.</w:t>
      </w:r>
      <w:r>
        <w:rPr>
          <w:szCs w:val="24"/>
        </w:rPr>
        <w:t xml:space="preserve"> If the rate will be determined in individual contracts with individual residential consumers as the application suggests, then residential consumers will be at a severe disadvantage in the negotiations for such contracts. </w:t>
      </w:r>
    </w:p>
    <w:p w:rsidR="00944E82" w:rsidRPr="00F91EC4" w:rsidP="001636E0" w14:paraId="7A6FD077" w14:textId="7BFCB878">
      <w:pPr>
        <w:pStyle w:val="NoSpacing"/>
        <w:spacing w:line="480" w:lineRule="auto"/>
        <w:ind w:firstLine="720"/>
        <w:rPr>
          <w:rFonts w:ascii="Times New Roman" w:hAnsi="Times New Roman" w:cs="Times New Roman"/>
          <w:sz w:val="24"/>
          <w:szCs w:val="24"/>
        </w:rPr>
      </w:pPr>
      <w:bookmarkStart w:id="0" w:name="_Hlk93413010"/>
      <w:r>
        <w:rPr>
          <w:rFonts w:ascii="Times New Roman" w:hAnsi="Times New Roman" w:cs="Times New Roman"/>
          <w:sz w:val="24"/>
          <w:szCs w:val="24"/>
        </w:rPr>
        <w:t xml:space="preserve">In addition, North Coast’s proposed rates and charges for both base gas distribution service and commodity gas service are higher than other utilities in the </w:t>
      </w:r>
      <w:r w:rsidR="007639E5">
        <w:rPr>
          <w:rFonts w:ascii="Times New Roman" w:hAnsi="Times New Roman" w:cs="Times New Roman"/>
          <w:sz w:val="24"/>
          <w:szCs w:val="24"/>
        </w:rPr>
        <w:t>state</w:t>
      </w:r>
      <w:r>
        <w:rPr>
          <w:rFonts w:ascii="Times New Roman" w:hAnsi="Times New Roman" w:cs="Times New Roman"/>
          <w:sz w:val="24"/>
          <w:szCs w:val="24"/>
        </w:rPr>
        <w:t>.  For example, Columbia Gas of Ohio’s (“Columbia”) current residential base distribution charge is $16.75 per</w:t>
      </w:r>
      <w:r w:rsidR="007639E5">
        <w:rPr>
          <w:rFonts w:ascii="Times New Roman" w:hAnsi="Times New Roman" w:cs="Times New Roman"/>
          <w:sz w:val="24"/>
          <w:szCs w:val="24"/>
        </w:rPr>
        <w:t xml:space="preserve"> consumer</w:t>
      </w:r>
      <w:r>
        <w:rPr>
          <w:rFonts w:ascii="Times New Roman" w:hAnsi="Times New Roman" w:cs="Times New Roman"/>
          <w:sz w:val="24"/>
          <w:szCs w:val="24"/>
        </w:rPr>
        <w:t xml:space="preserve"> account per month.</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And Dominion East Ohio Gas’ base distribution charge is $17.58 per </w:t>
      </w:r>
      <w:r w:rsidR="007639E5">
        <w:rPr>
          <w:rFonts w:ascii="Times New Roman" w:hAnsi="Times New Roman" w:cs="Times New Roman"/>
          <w:sz w:val="24"/>
          <w:szCs w:val="24"/>
        </w:rPr>
        <w:t xml:space="preserve">consumer </w:t>
      </w:r>
      <w:r>
        <w:rPr>
          <w:rFonts w:ascii="Times New Roman" w:hAnsi="Times New Roman" w:cs="Times New Roman"/>
          <w:sz w:val="24"/>
          <w:szCs w:val="24"/>
        </w:rPr>
        <w:t>delivery point per month.</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This compares to North Coast’s proposed residential customer charge of $20.00 per month.</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Similarly, North Coast’s proposed gas commodity residential rate of $7.00 per Mcf</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is considerably higher than Columbia’s current SCO rate of $5.7240 per Mcf</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or Dominion’s current SCO rate of $4.174/Mcf.</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And as OCC noted in its initial Comments, it is unclear how frequently North Coast’s commodity gas costs will change (if at all) or if the commodity costs will be negotiated with individual customers.   </w:t>
      </w:r>
    </w:p>
    <w:bookmarkEnd w:id="0"/>
    <w:p w:rsidR="007639E5" w:rsidRPr="00B176CE" w:rsidP="007639E5" w14:paraId="64727E44" w14:textId="77777777">
      <w:pPr>
        <w:spacing w:line="480" w:lineRule="auto"/>
        <w:ind w:firstLine="720"/>
        <w:rPr>
          <w:szCs w:val="24"/>
        </w:rPr>
      </w:pPr>
      <w:r w:rsidRPr="00B176CE">
        <w:rPr>
          <w:szCs w:val="24"/>
        </w:rPr>
        <w:t>And OCC remains concerned that North Coast is attempting to serve end use residential consumers under a simple ATA filing. If the PUCO is to approve North Coast’s application, then it should require North Coast to, among other things, provide gas service (commodity and distribution) to residential consumers through a more substantial filing that includes an application and more thorough supporting documentation for the tariffs and charges contained therein. That tariff would be subject to approval by the PUCO with a clear establishment of North Coast’s obligation to serve consumers. As Dominion’s comments reflect,</w:t>
      </w:r>
      <w:r>
        <w:rPr>
          <w:rStyle w:val="FootnoteReference"/>
          <w:szCs w:val="24"/>
        </w:rPr>
        <w:footnoteReference w:id="23"/>
      </w:r>
      <w:r w:rsidRPr="00B176CE">
        <w:rPr>
          <w:szCs w:val="24"/>
        </w:rPr>
        <w:t xml:space="preserve"> the PUCO should require that North Coast’s gas supply for residential consumers be supplied via the GCR mechanism, similar to the processes used by other small gas utilities in the state.</w:t>
      </w:r>
    </w:p>
    <w:p w:rsidR="004F6144" w:rsidRPr="00C12EE4" w:rsidP="004F6144" w14:paraId="0368EA2A" w14:textId="7AE4133B">
      <w:pPr>
        <w:pStyle w:val="ListParagraph"/>
        <w:spacing w:line="480" w:lineRule="auto"/>
        <w:ind w:left="0" w:firstLine="720"/>
        <w:rPr>
          <w:b/>
          <w:bCs/>
        </w:rPr>
      </w:pPr>
      <w:r>
        <w:rPr>
          <w:szCs w:val="24"/>
        </w:rPr>
        <w:t>As discussed in OCC’s Initial Comments, North Coast provides no rationale for exempting it</w:t>
      </w:r>
      <w:r w:rsidR="00A37821">
        <w:rPr>
          <w:szCs w:val="24"/>
        </w:rPr>
        <w:t>self</w:t>
      </w:r>
      <w:r>
        <w:rPr>
          <w:szCs w:val="24"/>
        </w:rPr>
        <w:t xml:space="preserve"> from supplying natural gas service to consumers through a GCR. </w:t>
      </w:r>
      <w:r w:rsidRPr="00622ECB">
        <w:rPr>
          <w:szCs w:val="24"/>
        </w:rPr>
        <w:t xml:space="preserve">North Coast provides no </w:t>
      </w:r>
      <w:r>
        <w:rPr>
          <w:szCs w:val="24"/>
        </w:rPr>
        <w:t>supporting documentation for</w:t>
      </w:r>
      <w:r w:rsidRPr="00622ECB">
        <w:rPr>
          <w:szCs w:val="24"/>
        </w:rPr>
        <w:t xml:space="preserve"> the tariffs i</w:t>
      </w:r>
      <w:r>
        <w:rPr>
          <w:szCs w:val="24"/>
        </w:rPr>
        <w:t>t</w:t>
      </w:r>
      <w:r w:rsidRPr="00622ECB">
        <w:rPr>
          <w:szCs w:val="24"/>
        </w:rPr>
        <w:t xml:space="preserve"> intend</w:t>
      </w:r>
      <w:r>
        <w:rPr>
          <w:szCs w:val="24"/>
        </w:rPr>
        <w:t>s</w:t>
      </w:r>
      <w:r w:rsidRPr="00622ECB">
        <w:rPr>
          <w:szCs w:val="24"/>
        </w:rPr>
        <w:t xml:space="preserve"> to charge consumers</w:t>
      </w:r>
      <w:r>
        <w:rPr>
          <w:szCs w:val="24"/>
        </w:rPr>
        <w:t xml:space="preserve"> and there is no demonstration that they are just and reasonable. To promote public interest, North Coast should demonstrate that its proposed </w:t>
      </w:r>
      <w:r w:rsidRPr="00C12EE4">
        <w:t>transition</w:t>
      </w:r>
      <w:r w:rsidR="00A37821">
        <w:t xml:space="preserve"> to gas utility status</w:t>
      </w:r>
      <w:r w:rsidRPr="00C12EE4">
        <w:t xml:space="preserve"> should benefit consumers</w:t>
      </w:r>
      <w:r w:rsidR="00A37821">
        <w:t>.</w:t>
      </w:r>
      <w:r w:rsidRPr="00C12EE4">
        <w:t xml:space="preserve"> </w:t>
      </w:r>
      <w:r w:rsidR="00A37821">
        <w:t>A</w:t>
      </w:r>
      <w:r w:rsidRPr="00C12EE4">
        <w:t xml:space="preserve">nd, </w:t>
      </w:r>
      <w:r>
        <w:t xml:space="preserve">specifically, </w:t>
      </w:r>
      <w:r w:rsidR="00A37821">
        <w:t xml:space="preserve">North Coast should show that </w:t>
      </w:r>
      <w:r w:rsidRPr="00C12EE4">
        <w:t xml:space="preserve">the gas supplied </w:t>
      </w:r>
      <w:r w:rsidR="00E64455">
        <w:t xml:space="preserve">and service rendered </w:t>
      </w:r>
      <w:r w:rsidRPr="00C12EE4">
        <w:t xml:space="preserve">to residential consumers </w:t>
      </w:r>
      <w:r w:rsidR="00A37821">
        <w:t>w</w:t>
      </w:r>
      <w:r w:rsidRPr="00C12EE4">
        <w:t>ould be provided at just and reasonable rates</w:t>
      </w:r>
      <w:r>
        <w:rPr>
          <w:rStyle w:val="FootnoteReference"/>
        </w:rPr>
        <w:footnoteReference w:id="24"/>
      </w:r>
      <w:r w:rsidRPr="00C12EE4">
        <w:t xml:space="preserve"> and include the consumer protections enjoyed by other natural gas consumers in the state</w:t>
      </w:r>
      <w:r>
        <w:t xml:space="preserve">. </w:t>
      </w:r>
    </w:p>
    <w:p w:rsidR="00C16F2E" w:rsidP="00C16F2E" w14:paraId="0FEA6B8E" w14:textId="7003E180">
      <w:pPr>
        <w:spacing w:line="480" w:lineRule="auto"/>
        <w:ind w:firstLine="720"/>
        <w:rPr>
          <w:szCs w:val="24"/>
        </w:rPr>
      </w:pPr>
      <w:r w:rsidRPr="00F11FA7">
        <w:rPr>
          <w:szCs w:val="24"/>
        </w:rPr>
        <w:t xml:space="preserve">It </w:t>
      </w:r>
      <w:r w:rsidR="00A37821">
        <w:rPr>
          <w:szCs w:val="24"/>
        </w:rPr>
        <w:t xml:space="preserve">therefore </w:t>
      </w:r>
      <w:r w:rsidRPr="00F11FA7">
        <w:rPr>
          <w:szCs w:val="24"/>
        </w:rPr>
        <w:t xml:space="preserve">is unjust and unreasonable </w:t>
      </w:r>
      <w:r>
        <w:rPr>
          <w:szCs w:val="24"/>
        </w:rPr>
        <w:t xml:space="preserve">and not in the public interest </w:t>
      </w:r>
      <w:r w:rsidRPr="00F11FA7">
        <w:rPr>
          <w:szCs w:val="24"/>
        </w:rPr>
        <w:t>to allow North Coast to convert to a natural gas company serving end-use consumers with only a p</w:t>
      </w:r>
      <w:r w:rsidRPr="007F11D6">
        <w:rPr>
          <w:szCs w:val="24"/>
        </w:rPr>
        <w:t xml:space="preserve">erfunctory review by the PUCO. </w:t>
      </w:r>
    </w:p>
    <w:p w:rsidR="00A92138" w:rsidP="00D4603B" w14:paraId="5856D7E2" w14:textId="77777777">
      <w:pPr>
        <w:pStyle w:val="BodyTextIndent3"/>
        <w:widowControl w:val="0"/>
        <w:spacing w:line="240" w:lineRule="auto"/>
        <w:ind w:right="-24"/>
        <w:rPr>
          <w:szCs w:val="24"/>
        </w:rPr>
      </w:pPr>
    </w:p>
    <w:p w:rsidR="007F11D6" w:rsidRPr="00622ECB" w:rsidP="00080C4C" w14:paraId="1B8FB645" w14:textId="625B6E1E">
      <w:pPr>
        <w:pStyle w:val="ListParagraph"/>
        <w:numPr>
          <w:ilvl w:val="0"/>
          <w:numId w:val="20"/>
        </w:numPr>
        <w:spacing w:line="480" w:lineRule="auto"/>
        <w:ind w:left="720"/>
        <w:rPr>
          <w:b/>
          <w:bCs/>
          <w:szCs w:val="24"/>
        </w:rPr>
      </w:pPr>
      <w:r w:rsidRPr="00622ECB">
        <w:rPr>
          <w:b/>
          <w:bCs/>
          <w:szCs w:val="24"/>
        </w:rPr>
        <w:t>CONCLUSION</w:t>
      </w:r>
    </w:p>
    <w:p w:rsidR="00F82A12" w:rsidP="00F82A12" w14:paraId="6B4E88D6" w14:textId="21FD2AE3">
      <w:pPr>
        <w:spacing w:line="480" w:lineRule="auto"/>
        <w:ind w:firstLine="720"/>
        <w:rPr>
          <w:szCs w:val="24"/>
        </w:rPr>
      </w:pPr>
      <w:r>
        <w:rPr>
          <w:szCs w:val="24"/>
        </w:rPr>
        <w:t xml:space="preserve">The PUCO should </w:t>
      </w:r>
      <w:r w:rsidRPr="00622ECB" w:rsidR="005E0D32">
        <w:rPr>
          <w:szCs w:val="24"/>
        </w:rPr>
        <w:t>adopt OCC’s consumer protection recommendations</w:t>
      </w:r>
      <w:r w:rsidRPr="00F82A12">
        <w:rPr>
          <w:szCs w:val="24"/>
        </w:rPr>
        <w:t xml:space="preserve"> </w:t>
      </w:r>
      <w:r>
        <w:rPr>
          <w:szCs w:val="24"/>
        </w:rPr>
        <w:t xml:space="preserve">in our Comments and Reply Comments </w:t>
      </w:r>
      <w:r w:rsidR="00AC6FFA">
        <w:rPr>
          <w:szCs w:val="24"/>
        </w:rPr>
        <w:t>if</w:t>
      </w:r>
      <w:r w:rsidRPr="007F11D6" w:rsidR="00AC6FFA">
        <w:rPr>
          <w:szCs w:val="24"/>
        </w:rPr>
        <w:t xml:space="preserve"> </w:t>
      </w:r>
      <w:r w:rsidRPr="007F11D6">
        <w:rPr>
          <w:szCs w:val="24"/>
        </w:rPr>
        <w:t xml:space="preserve">it allows North Coast to convert to </w:t>
      </w:r>
      <w:r w:rsidRPr="00047175">
        <w:rPr>
          <w:szCs w:val="24"/>
        </w:rPr>
        <w:t xml:space="preserve">a natural gas </w:t>
      </w:r>
      <w:r w:rsidR="008C5AAF">
        <w:rPr>
          <w:szCs w:val="24"/>
        </w:rPr>
        <w:t>utility</w:t>
      </w:r>
      <w:r w:rsidRPr="00047175">
        <w:rPr>
          <w:szCs w:val="24"/>
        </w:rPr>
        <w:t xml:space="preserve"> servi</w:t>
      </w:r>
      <w:r w:rsidRPr="005C1F97">
        <w:rPr>
          <w:szCs w:val="24"/>
        </w:rPr>
        <w:t>ng residen</w:t>
      </w:r>
      <w:r w:rsidRPr="00622ECB">
        <w:rPr>
          <w:szCs w:val="24"/>
        </w:rPr>
        <w:t>tial consumers</w:t>
      </w:r>
      <w:r>
        <w:rPr>
          <w:szCs w:val="24"/>
        </w:rPr>
        <w:t>.</w:t>
      </w:r>
      <w:r w:rsidR="00F37455">
        <w:rPr>
          <w:szCs w:val="24"/>
        </w:rPr>
        <w:t xml:space="preserve"> </w:t>
      </w:r>
      <w:r w:rsidR="005E0D32">
        <w:rPr>
          <w:szCs w:val="24"/>
        </w:rPr>
        <w:t>The</w:t>
      </w:r>
      <w:r w:rsidRPr="00A74183" w:rsidR="005E0D32">
        <w:rPr>
          <w:szCs w:val="24"/>
        </w:rPr>
        <w:t xml:space="preserve"> PUCO should not permit North Coast to </w:t>
      </w:r>
      <w:r w:rsidR="00286FDC">
        <w:rPr>
          <w:szCs w:val="24"/>
        </w:rPr>
        <w:t xml:space="preserve">avoid the statutory standard for a gas cost recovery rate by instead </w:t>
      </w:r>
      <w:r w:rsidRPr="00A74183" w:rsidR="005E0D32">
        <w:rPr>
          <w:szCs w:val="24"/>
        </w:rPr>
        <w:t>enter</w:t>
      </w:r>
      <w:r w:rsidR="00286FDC">
        <w:rPr>
          <w:szCs w:val="24"/>
        </w:rPr>
        <w:t>ing</w:t>
      </w:r>
      <w:r w:rsidRPr="00A74183" w:rsidR="005E0D32">
        <w:rPr>
          <w:szCs w:val="24"/>
        </w:rPr>
        <w:t xml:space="preserve"> into individual contracts with individual residential consumers for gas service or supply.</w:t>
      </w:r>
      <w:r w:rsidR="005E0D32">
        <w:rPr>
          <w:szCs w:val="24"/>
        </w:rPr>
        <w:t xml:space="preserve"> </w:t>
      </w:r>
      <w:r w:rsidRPr="00A74183" w:rsidR="005E0D32">
        <w:rPr>
          <w:szCs w:val="24"/>
        </w:rPr>
        <w:t>Th</w:t>
      </w:r>
      <w:r w:rsidR="005E0D32">
        <w:rPr>
          <w:szCs w:val="24"/>
        </w:rPr>
        <w:t>e PUCO</w:t>
      </w:r>
      <w:r w:rsidRPr="00A74183" w:rsidR="005E0D32">
        <w:rPr>
          <w:szCs w:val="24"/>
        </w:rPr>
        <w:t xml:space="preserve"> should require North Coast to provide gas service to residential consumers through a tariff approved by the PUCO</w:t>
      </w:r>
      <w:r w:rsidR="008B49BF">
        <w:rPr>
          <w:szCs w:val="24"/>
        </w:rPr>
        <w:t xml:space="preserve"> with a clear establishment of North Coast’s obligation to serve consumers</w:t>
      </w:r>
      <w:r w:rsidR="007152E5">
        <w:rPr>
          <w:szCs w:val="24"/>
        </w:rPr>
        <w:t>.</w:t>
      </w:r>
      <w:r w:rsidR="00F37455">
        <w:rPr>
          <w:szCs w:val="24"/>
        </w:rPr>
        <w:t xml:space="preserve"> </w:t>
      </w:r>
      <w:r w:rsidRPr="00A74183" w:rsidR="005E0D32">
        <w:rPr>
          <w:szCs w:val="24"/>
        </w:rPr>
        <w:t xml:space="preserve">And the PUCO should require that </w:t>
      </w:r>
      <w:r w:rsidR="00407E12">
        <w:rPr>
          <w:szCs w:val="24"/>
        </w:rPr>
        <w:t xml:space="preserve">North Coast’s natural </w:t>
      </w:r>
      <w:r w:rsidRPr="00A74183" w:rsidR="005E0D32">
        <w:rPr>
          <w:szCs w:val="24"/>
        </w:rPr>
        <w:t xml:space="preserve">gas supply for residential consumers should be </w:t>
      </w:r>
      <w:r w:rsidR="00407E12">
        <w:rPr>
          <w:szCs w:val="24"/>
        </w:rPr>
        <w:t>provided</w:t>
      </w:r>
      <w:r w:rsidRPr="00A74183" w:rsidR="00407E12">
        <w:rPr>
          <w:szCs w:val="24"/>
        </w:rPr>
        <w:t xml:space="preserve"> </w:t>
      </w:r>
      <w:r w:rsidRPr="00A74183" w:rsidR="005E0D32">
        <w:rPr>
          <w:szCs w:val="24"/>
        </w:rPr>
        <w:t>via the GCR mechanism, similar to the processes used by other small gas utilities in the state.</w:t>
      </w:r>
    </w:p>
    <w:p w:rsidR="008A4AA4" w:rsidRPr="004C3CC6" w:rsidP="00F82A12" w14:paraId="7378205D" w14:textId="1A75A46E">
      <w:pPr>
        <w:spacing w:line="480" w:lineRule="auto"/>
        <w:ind w:left="2880" w:firstLine="720"/>
        <w:rPr>
          <w:szCs w:val="24"/>
        </w:rPr>
      </w:pPr>
      <w:r w:rsidRPr="004C3CC6">
        <w:rPr>
          <w:szCs w:val="24"/>
        </w:rPr>
        <w:t>Respectfully submitted,</w:t>
      </w:r>
    </w:p>
    <w:p w:rsidR="008A4AA4" w:rsidRPr="004C3CC6" w:rsidP="008A4AA4" w14:paraId="627E74C9" w14:textId="77777777">
      <w:pPr>
        <w:tabs>
          <w:tab w:val="left" w:pos="4320"/>
        </w:tabs>
        <w:spacing w:before="240"/>
        <w:ind w:left="3600"/>
        <w:rPr>
          <w:szCs w:val="24"/>
        </w:rPr>
      </w:pPr>
      <w:r w:rsidRPr="004C3CC6">
        <w:rPr>
          <w:szCs w:val="24"/>
        </w:rPr>
        <w:t>Bruce Weston (0016973)</w:t>
      </w:r>
    </w:p>
    <w:p w:rsidR="008A4AA4" w:rsidRPr="004C3CC6" w:rsidP="008A4AA4" w14:paraId="28533D87" w14:textId="77777777">
      <w:pPr>
        <w:tabs>
          <w:tab w:val="left" w:pos="4320"/>
        </w:tabs>
        <w:ind w:left="3600"/>
        <w:rPr>
          <w:szCs w:val="24"/>
        </w:rPr>
      </w:pPr>
      <w:r w:rsidRPr="004C3CC6">
        <w:rPr>
          <w:szCs w:val="24"/>
        </w:rPr>
        <w:t>Ohio Consumers’ Counsel</w:t>
      </w:r>
    </w:p>
    <w:p w:rsidR="008A4AA4" w:rsidRPr="004C3CC6" w:rsidP="008A4AA4" w14:paraId="1C6C3D36" w14:textId="77777777">
      <w:pPr>
        <w:tabs>
          <w:tab w:val="left" w:pos="4320"/>
        </w:tabs>
        <w:ind w:left="3600"/>
        <w:rPr>
          <w:szCs w:val="24"/>
        </w:rPr>
      </w:pPr>
    </w:p>
    <w:p w:rsidR="008A4AA4" w:rsidRPr="004C3CC6" w:rsidP="008A4AA4" w14:paraId="7F74F9EF" w14:textId="77777777">
      <w:pPr>
        <w:tabs>
          <w:tab w:val="left" w:pos="4320"/>
        </w:tabs>
        <w:ind w:left="3600"/>
        <w:rPr>
          <w:i/>
          <w:szCs w:val="24"/>
          <w:u w:val="single"/>
        </w:rPr>
      </w:pPr>
      <w:r w:rsidRPr="004C3CC6">
        <w:rPr>
          <w:i/>
          <w:szCs w:val="24"/>
          <w:u w:val="single"/>
        </w:rPr>
        <w:t>/s/ Amy Botschner O’Brien</w:t>
      </w:r>
      <w:r w:rsidRPr="004C3CC6">
        <w:rPr>
          <w:i/>
          <w:szCs w:val="24"/>
          <w:u w:val="single"/>
        </w:rPr>
        <w:tab/>
      </w:r>
    </w:p>
    <w:p w:rsidR="008A4AA4" w:rsidP="008A4AA4" w14:paraId="45A5444E" w14:textId="7EC265E2">
      <w:pPr>
        <w:tabs>
          <w:tab w:val="left" w:pos="4320"/>
        </w:tabs>
        <w:ind w:left="3600"/>
        <w:rPr>
          <w:szCs w:val="24"/>
        </w:rPr>
      </w:pPr>
      <w:r w:rsidRPr="004C3CC6">
        <w:rPr>
          <w:szCs w:val="24"/>
        </w:rPr>
        <w:t>Amy Botschner O’Brien (0074423)</w:t>
      </w:r>
    </w:p>
    <w:p w:rsidR="008A4AA4" w:rsidP="008A4AA4" w14:paraId="703A2F30" w14:textId="3B92DF4A">
      <w:pPr>
        <w:tabs>
          <w:tab w:val="left" w:pos="4320"/>
        </w:tabs>
        <w:ind w:left="3600"/>
        <w:rPr>
          <w:szCs w:val="24"/>
        </w:rPr>
      </w:pPr>
      <w:r w:rsidRPr="004C3CC6">
        <w:rPr>
          <w:szCs w:val="24"/>
        </w:rPr>
        <w:t>Counsel of Record</w:t>
      </w:r>
    </w:p>
    <w:p w:rsidR="00944098" w:rsidRPr="00105FD8" w:rsidP="00944098" w14:paraId="507C55DC" w14:textId="77777777">
      <w:pPr>
        <w:ind w:left="3600"/>
      </w:pPr>
      <w:r>
        <w:t>William J. Michael</w:t>
      </w:r>
      <w:r w:rsidRPr="00105FD8">
        <w:t xml:space="preserve"> </w:t>
      </w:r>
      <w:r>
        <w:t>(0070921)</w:t>
      </w:r>
    </w:p>
    <w:p w:rsidR="00944098" w:rsidRPr="00105FD8" w:rsidP="00944098" w14:paraId="4CF6CA4A" w14:textId="77777777">
      <w:pPr>
        <w:ind w:left="3600"/>
      </w:pPr>
      <w:r w:rsidRPr="00105FD8">
        <w:t>Assistant Consumers' Counsel</w:t>
      </w:r>
    </w:p>
    <w:p w:rsidR="00944098" w:rsidRPr="00105FD8" w:rsidP="00944098" w14:paraId="32BB4BE8" w14:textId="77777777">
      <w:pPr>
        <w:ind w:left="3600"/>
      </w:pPr>
    </w:p>
    <w:p w:rsidR="00944098" w:rsidRPr="00105FD8" w:rsidP="00944098" w14:paraId="565BC0A6" w14:textId="77777777">
      <w:pPr>
        <w:ind w:left="3600"/>
        <w:rPr>
          <w:b/>
          <w:bCs/>
        </w:rPr>
      </w:pPr>
      <w:r w:rsidRPr="00105FD8">
        <w:rPr>
          <w:b/>
          <w:bCs/>
        </w:rPr>
        <w:t>Office of the Ohio Consumers' Counsel</w:t>
      </w:r>
    </w:p>
    <w:p w:rsidR="00944098" w:rsidRPr="00105FD8" w:rsidP="00944098" w14:paraId="18FA7115" w14:textId="77777777">
      <w:pPr>
        <w:ind w:left="3600"/>
        <w:rPr>
          <w:b/>
        </w:rPr>
      </w:pPr>
      <w:r w:rsidRPr="00105FD8">
        <w:t xml:space="preserve">65 East State Street, </w:t>
      </w:r>
      <w:r>
        <w:t>Suite 700</w:t>
      </w:r>
    </w:p>
    <w:p w:rsidR="00944098" w:rsidRPr="00105FD8" w:rsidP="00944098" w14:paraId="5AD0DEC3" w14:textId="77777777">
      <w:pPr>
        <w:ind w:left="3600"/>
      </w:pPr>
      <w:r w:rsidRPr="00105FD8">
        <w:t>Columbus, Ohio 43215</w:t>
      </w:r>
    </w:p>
    <w:p w:rsidR="00944098" w:rsidRPr="00105FD8" w:rsidP="00944098" w14:paraId="19FEB828" w14:textId="77777777">
      <w:pPr>
        <w:autoSpaceDE w:val="0"/>
        <w:autoSpaceDN w:val="0"/>
        <w:adjustRightInd w:val="0"/>
        <w:ind w:left="3600"/>
      </w:pPr>
      <w:r w:rsidRPr="00105FD8">
        <w:t>Telephone [Botschner O’Brien]: (614) 466-9575</w:t>
      </w:r>
    </w:p>
    <w:p w:rsidR="00944098" w:rsidRPr="00105FD8" w:rsidP="00944098" w14:paraId="5BEB9DC9" w14:textId="77777777">
      <w:pPr>
        <w:autoSpaceDE w:val="0"/>
        <w:autoSpaceDN w:val="0"/>
        <w:adjustRightInd w:val="0"/>
        <w:ind w:left="3600"/>
      </w:pPr>
      <w:r w:rsidRPr="00105FD8">
        <w:t>Telephone [</w:t>
      </w:r>
      <w:r>
        <w:t>Michael</w:t>
      </w:r>
      <w:r w:rsidRPr="00105FD8">
        <w:t>]: (614) 466-129</w:t>
      </w:r>
      <w:r>
        <w:t>1</w:t>
      </w:r>
    </w:p>
    <w:p w:rsidR="00944098" w:rsidRPr="00105FD8" w:rsidP="00944098" w14:paraId="79111E41" w14:textId="77777777">
      <w:pPr>
        <w:ind w:left="3600"/>
        <w:rPr>
          <w:color w:val="0000FF"/>
          <w:u w:val="single"/>
        </w:rPr>
      </w:pPr>
      <w:hyperlink r:id="rId8" w:history="1">
        <w:r w:rsidRPr="00105FD8" w:rsidR="005E0D32">
          <w:rPr>
            <w:rStyle w:val="Hyperlink"/>
          </w:rPr>
          <w:t>amy.botschner.obrien@occ.ohio.gov</w:t>
        </w:r>
      </w:hyperlink>
    </w:p>
    <w:p w:rsidR="00944098" w:rsidP="00944098" w14:paraId="20C29595" w14:textId="77777777">
      <w:pPr>
        <w:ind w:left="3600"/>
        <w:rPr>
          <w:color w:val="0000FF"/>
          <w:u w:val="single"/>
        </w:rPr>
      </w:pPr>
      <w:r>
        <w:rPr>
          <w:color w:val="0000FF"/>
          <w:u w:val="single"/>
        </w:rPr>
        <w:t>william.michael@occ.ohio.gov</w:t>
      </w:r>
    </w:p>
    <w:p w:rsidR="00944098" w:rsidRPr="00105FD8" w:rsidP="00944098" w14:paraId="63F1333E" w14:textId="77777777">
      <w:pPr>
        <w:ind w:left="3600"/>
      </w:pPr>
      <w:r>
        <w:t>(</w:t>
      </w:r>
      <w:r w:rsidRPr="00105FD8">
        <w:t>willing to accept service by e-mail)</w:t>
      </w:r>
    </w:p>
    <w:p w:rsidR="004C3CC6" w:rsidRPr="004C3CC6" w:rsidP="008A4AA4" w14:paraId="5907AF9D" w14:textId="77777777">
      <w:pPr>
        <w:ind w:left="3600"/>
        <w:rPr>
          <w:color w:val="0000FF"/>
          <w:szCs w:val="24"/>
          <w:u w:val="single"/>
        </w:rPr>
      </w:pPr>
    </w:p>
    <w:p w:rsidR="008A4AA4" w:rsidRPr="004C3CC6" w:rsidP="008A4AA4" w14:paraId="74630B72" w14:textId="76483CCF">
      <w:pPr>
        <w:ind w:left="3600"/>
        <w:rPr>
          <w:color w:val="0000FF"/>
          <w:szCs w:val="24"/>
          <w:u w:val="single"/>
        </w:rPr>
      </w:pPr>
    </w:p>
    <w:p w:rsidR="008A4AA4" w:rsidRPr="004C3CC6" w:rsidP="008A4AA4" w14:paraId="16BB0AA7" w14:textId="77777777">
      <w:pPr>
        <w:rPr>
          <w:szCs w:val="24"/>
        </w:rPr>
      </w:pPr>
    </w:p>
    <w:p w:rsidR="00E65FB5" w:rsidRPr="004C3CC6" w:rsidP="008A4AA4" w14:paraId="2094746C" w14:textId="77777777">
      <w:pPr>
        <w:pStyle w:val="BodyTextIndent3"/>
        <w:widowControl w:val="0"/>
        <w:spacing w:line="480" w:lineRule="auto"/>
        <w:ind w:left="3600" w:right="-672" w:firstLine="0"/>
        <w:rPr>
          <w:szCs w:val="24"/>
        </w:rPr>
      </w:pPr>
    </w:p>
    <w:p w:rsidR="00E65FB5" w:rsidRPr="004C3CC6" w:rsidP="0006263A" w14:paraId="7C113B7F" w14:textId="119224A9">
      <w:pPr>
        <w:jc w:val="center"/>
        <w:rPr>
          <w:b/>
          <w:bCs/>
          <w:szCs w:val="24"/>
          <w:u w:val="single"/>
        </w:rPr>
      </w:pPr>
      <w:r>
        <w:rPr>
          <w:b/>
          <w:bCs/>
          <w:szCs w:val="24"/>
          <w:u w:val="single"/>
        </w:rPr>
        <w:br w:type="page"/>
      </w:r>
      <w:r w:rsidRPr="004C3CC6">
        <w:rPr>
          <w:b/>
          <w:bCs/>
          <w:szCs w:val="24"/>
          <w:u w:val="single"/>
        </w:rPr>
        <w:t>CERTIFICATE OF SERVICE</w:t>
      </w:r>
    </w:p>
    <w:p w:rsidR="00E65FB5" w:rsidRPr="004C3CC6" w:rsidP="00E65FB5" w14:paraId="3C247218" w14:textId="19DD7A4D">
      <w:pPr>
        <w:spacing w:line="480" w:lineRule="atLeast"/>
        <w:ind w:firstLine="720"/>
        <w:rPr>
          <w:szCs w:val="24"/>
        </w:rPr>
      </w:pPr>
      <w:r w:rsidRPr="004C3CC6">
        <w:rPr>
          <w:szCs w:val="24"/>
        </w:rPr>
        <w:t>I hereby certify that a copy of th</w:t>
      </w:r>
      <w:r w:rsidR="00CD5A15">
        <w:rPr>
          <w:szCs w:val="24"/>
        </w:rPr>
        <w:t xml:space="preserve">ese </w:t>
      </w:r>
      <w:r>
        <w:rPr>
          <w:szCs w:val="24"/>
        </w:rPr>
        <w:t xml:space="preserve">Reply </w:t>
      </w:r>
      <w:r w:rsidR="00CD5A15">
        <w:rPr>
          <w:szCs w:val="24"/>
        </w:rPr>
        <w:t xml:space="preserve">Comments </w:t>
      </w:r>
      <w:r w:rsidRPr="004C3CC6">
        <w:rPr>
          <w:szCs w:val="24"/>
        </w:rPr>
        <w:t xml:space="preserve">was served on the persons stated below via electronic transmission, this </w:t>
      </w:r>
      <w:r w:rsidR="00F82A12">
        <w:rPr>
          <w:szCs w:val="24"/>
        </w:rPr>
        <w:t>18</w:t>
      </w:r>
      <w:r w:rsidRPr="00CD5A15" w:rsidR="00CD5A15">
        <w:rPr>
          <w:szCs w:val="24"/>
          <w:vertAlign w:val="superscript"/>
        </w:rPr>
        <w:t>th</w:t>
      </w:r>
      <w:r w:rsidR="00CD5A15">
        <w:rPr>
          <w:szCs w:val="24"/>
        </w:rPr>
        <w:t xml:space="preserve"> </w:t>
      </w:r>
      <w:r w:rsidRPr="004C3CC6">
        <w:rPr>
          <w:szCs w:val="24"/>
        </w:rPr>
        <w:t xml:space="preserve">day of </w:t>
      </w:r>
      <w:r w:rsidR="00CD5A15">
        <w:rPr>
          <w:szCs w:val="24"/>
        </w:rPr>
        <w:t xml:space="preserve">January </w:t>
      </w:r>
      <w:r w:rsidRPr="004C3CC6">
        <w:rPr>
          <w:szCs w:val="24"/>
        </w:rPr>
        <w:t>20</w:t>
      </w:r>
      <w:r w:rsidRPr="004C3CC6" w:rsidR="00E47062">
        <w:rPr>
          <w:szCs w:val="24"/>
        </w:rPr>
        <w:t>2</w:t>
      </w:r>
      <w:r w:rsidR="00CD5A15">
        <w:rPr>
          <w:szCs w:val="24"/>
        </w:rPr>
        <w:t>2</w:t>
      </w:r>
      <w:r w:rsidRPr="004C3CC6">
        <w:rPr>
          <w:szCs w:val="24"/>
        </w:rPr>
        <w:t>.</w:t>
      </w:r>
    </w:p>
    <w:p w:rsidR="00E65FB5" w:rsidRPr="004C3CC6" w14:paraId="5D39DF67" w14:textId="77777777">
      <w:pPr>
        <w:spacing w:line="480" w:lineRule="atLeast"/>
        <w:rPr>
          <w:szCs w:val="24"/>
        </w:rPr>
      </w:pPr>
    </w:p>
    <w:p w:rsidR="008A4AA4" w:rsidRPr="004C3CC6" w:rsidP="008A4AA4" w14:paraId="103C66B6" w14:textId="77777777">
      <w:pPr>
        <w:tabs>
          <w:tab w:val="left" w:pos="4320"/>
        </w:tabs>
        <w:ind w:left="3600"/>
        <w:rPr>
          <w:i/>
          <w:szCs w:val="24"/>
          <w:u w:val="single"/>
        </w:rPr>
      </w:pPr>
      <w:r w:rsidRPr="004C3CC6">
        <w:rPr>
          <w:szCs w:val="24"/>
        </w:rPr>
        <w:tab/>
      </w:r>
      <w:r w:rsidRPr="004C3CC6">
        <w:rPr>
          <w:i/>
          <w:szCs w:val="24"/>
          <w:u w:val="single"/>
        </w:rPr>
        <w:t>/s/ Amy Botschner O’Brien</w:t>
      </w:r>
      <w:r w:rsidRPr="004C3CC6">
        <w:rPr>
          <w:i/>
          <w:szCs w:val="24"/>
          <w:u w:val="single"/>
        </w:rPr>
        <w:tab/>
      </w:r>
    </w:p>
    <w:p w:rsidR="00E65FB5" w:rsidRPr="004C3CC6" w14:paraId="783D03FE" w14:textId="77777777">
      <w:pPr>
        <w:tabs>
          <w:tab w:val="left" w:pos="4320"/>
        </w:tabs>
        <w:rPr>
          <w:szCs w:val="24"/>
        </w:rPr>
      </w:pPr>
      <w:r w:rsidRPr="004C3CC6">
        <w:rPr>
          <w:szCs w:val="24"/>
        </w:rPr>
        <w:tab/>
        <w:t>A</w:t>
      </w:r>
      <w:r w:rsidRPr="004C3CC6" w:rsidR="00E47062">
        <w:rPr>
          <w:szCs w:val="24"/>
        </w:rPr>
        <w:t>my Botschner O’Brien</w:t>
      </w:r>
    </w:p>
    <w:p w:rsidR="00E65FB5" w:rsidRPr="004C3CC6" w14:paraId="57CF2A19" w14:textId="77777777">
      <w:pPr>
        <w:tabs>
          <w:tab w:val="left" w:pos="4320"/>
        </w:tabs>
        <w:rPr>
          <w:szCs w:val="24"/>
        </w:rPr>
      </w:pPr>
      <w:r w:rsidRPr="004C3CC6">
        <w:rPr>
          <w:szCs w:val="24"/>
        </w:rPr>
        <w:tab/>
        <w:t>Assistant Consumers’ Counsel</w:t>
      </w:r>
    </w:p>
    <w:p w:rsidR="00E65FB5" w:rsidRPr="004C3CC6" w14:paraId="418EE09E" w14:textId="77777777">
      <w:pPr>
        <w:pStyle w:val="CommentSubject"/>
        <w:rPr>
          <w:szCs w:val="24"/>
        </w:rPr>
      </w:pPr>
    </w:p>
    <w:p w:rsidR="00E65FB5" w:rsidRPr="004C3CC6" w14:paraId="759A1BDC" w14:textId="77777777">
      <w:pPr>
        <w:pStyle w:val="CommentText"/>
        <w:jc w:val="center"/>
        <w:rPr>
          <w:b/>
          <w:u w:val="single"/>
        </w:rPr>
      </w:pPr>
      <w:r w:rsidRPr="004C3CC6">
        <w:rPr>
          <w:b/>
          <w:u w:val="single"/>
        </w:rPr>
        <w:t>SERVICE LIST</w:t>
      </w:r>
    </w:p>
    <w:p w:rsidR="00E65FB5" w:rsidRPr="004C3CC6" w14:paraId="342BB19F" w14:textId="77777777">
      <w:pPr>
        <w:pStyle w:val="BodyText"/>
        <w:rPr>
          <w:b/>
          <w:bCs/>
          <w:szCs w:val="24"/>
        </w:rPr>
      </w:pPr>
    </w:p>
    <w:tbl>
      <w:tblPr>
        <w:tblW w:w="0" w:type="auto"/>
        <w:tblLayout w:type="fixed"/>
        <w:tblLook w:val="01E0"/>
      </w:tblPr>
      <w:tblGrid>
        <w:gridCol w:w="3960"/>
        <w:gridCol w:w="4680"/>
      </w:tblGrid>
      <w:tr w14:paraId="221E3748" w14:textId="77777777" w:rsidTr="00944098">
        <w:tblPrEx>
          <w:tblW w:w="0" w:type="auto"/>
          <w:tblLayout w:type="fixed"/>
          <w:tblLook w:val="01E0"/>
        </w:tblPrEx>
        <w:tc>
          <w:tcPr>
            <w:tcW w:w="3960" w:type="dxa"/>
            <w:shd w:val="clear" w:color="auto" w:fill="auto"/>
          </w:tcPr>
          <w:p w:rsidR="00944098" w:rsidRPr="004C3CC6" w:rsidP="008C03B7" w14:paraId="2E28A826" w14:textId="77777777">
            <w:pPr>
              <w:autoSpaceDE w:val="0"/>
              <w:autoSpaceDN w:val="0"/>
              <w:adjustRightInd w:val="0"/>
              <w:rPr>
                <w:bCs/>
              </w:rPr>
            </w:pPr>
            <w:hyperlink r:id="rId9" w:history="1">
              <w:r w:rsidRPr="009958D4" w:rsidR="005E0D32">
                <w:rPr>
                  <w:rStyle w:val="Hyperlink"/>
                </w:rPr>
                <w:t>thomas</w:t>
              </w:r>
              <w:r w:rsidRPr="009958D4" w:rsidR="005E0D32">
                <w:rPr>
                  <w:rStyle w:val="Hyperlink"/>
                  <w:bCs/>
                </w:rPr>
                <w:t>.shepherd@ohioAGO.gov</w:t>
              </w:r>
            </w:hyperlink>
          </w:p>
          <w:p w:rsidR="00944098" w:rsidP="008C03B7" w14:paraId="68C77825" w14:textId="77777777">
            <w:pPr>
              <w:autoSpaceDE w:val="0"/>
              <w:autoSpaceDN w:val="0"/>
              <w:adjustRightInd w:val="0"/>
              <w:rPr>
                <w:bCs/>
              </w:rPr>
            </w:pPr>
            <w:hyperlink r:id="rId10" w:history="1">
              <w:r w:rsidRPr="009958D4" w:rsidR="005E0D32">
                <w:rPr>
                  <w:rStyle w:val="Hyperlink"/>
                  <w:bCs/>
                </w:rPr>
                <w:t>werner.margard@ohioAGO.gov</w:t>
              </w:r>
            </w:hyperlink>
          </w:p>
          <w:p w:rsidR="00944098" w:rsidRPr="004C3CC6" w:rsidP="008C03B7" w14:paraId="47590213" w14:textId="77777777">
            <w:pPr>
              <w:autoSpaceDE w:val="0"/>
              <w:autoSpaceDN w:val="0"/>
              <w:adjustRightInd w:val="0"/>
              <w:rPr>
                <w:bCs/>
              </w:rPr>
            </w:pPr>
          </w:p>
          <w:p w:rsidR="00944098" w:rsidP="008C03B7" w14:paraId="3CB17C8D" w14:textId="77777777">
            <w:pPr>
              <w:autoSpaceDE w:val="0"/>
              <w:autoSpaceDN w:val="0"/>
              <w:adjustRightInd w:val="0"/>
              <w:rPr>
                <w:bCs/>
              </w:rPr>
            </w:pPr>
            <w:r w:rsidRPr="004C3CC6">
              <w:rPr>
                <w:bCs/>
              </w:rPr>
              <w:t>Attorney Examiner:</w:t>
            </w:r>
          </w:p>
          <w:p w:rsidR="00944098" w:rsidRPr="004C3CC6" w:rsidP="008C03B7" w14:paraId="00040B69" w14:textId="77777777">
            <w:pPr>
              <w:autoSpaceDE w:val="0"/>
              <w:autoSpaceDN w:val="0"/>
              <w:adjustRightInd w:val="0"/>
              <w:rPr>
                <w:bCs/>
              </w:rPr>
            </w:pPr>
          </w:p>
          <w:p w:rsidR="00944098" w:rsidRPr="004C3CC6" w:rsidP="008C03B7" w14:paraId="36367AFC" w14:textId="77777777">
            <w:pPr>
              <w:autoSpaceDE w:val="0"/>
              <w:autoSpaceDN w:val="0"/>
              <w:adjustRightInd w:val="0"/>
              <w:rPr>
                <w:bCs/>
              </w:rPr>
            </w:pPr>
            <w:hyperlink r:id="rId11" w:history="1">
              <w:r w:rsidRPr="00C33130" w:rsidR="005E0D32">
                <w:rPr>
                  <w:rStyle w:val="Hyperlink"/>
                </w:rPr>
                <w:t>d</w:t>
              </w:r>
              <w:r w:rsidRPr="00C33130" w:rsidR="005E0D32">
                <w:rPr>
                  <w:rStyle w:val="Hyperlink"/>
                  <w:bCs/>
                </w:rPr>
                <w:t>avid.hicks@puco.ohio.gov</w:t>
              </w:r>
            </w:hyperlink>
          </w:p>
          <w:p w:rsidR="00944098" w:rsidRPr="004C3CC6" w:rsidP="008C03B7" w14:paraId="6318E618" w14:textId="77777777">
            <w:pPr>
              <w:autoSpaceDE w:val="0"/>
              <w:autoSpaceDN w:val="0"/>
              <w:adjustRightInd w:val="0"/>
              <w:rPr>
                <w:bCs/>
              </w:rPr>
            </w:pPr>
          </w:p>
        </w:tc>
        <w:tc>
          <w:tcPr>
            <w:tcW w:w="4680" w:type="dxa"/>
            <w:shd w:val="clear" w:color="auto" w:fill="auto"/>
          </w:tcPr>
          <w:p w:rsidR="00944098" w:rsidRPr="004C3CC6" w:rsidP="00944098" w14:paraId="4D401889" w14:textId="77777777">
            <w:pPr>
              <w:autoSpaceDE w:val="0"/>
              <w:autoSpaceDN w:val="0"/>
              <w:adjustRightInd w:val="0"/>
              <w:ind w:left="677" w:hanging="333"/>
              <w:rPr>
                <w:color w:val="0000FF"/>
              </w:rPr>
            </w:pPr>
            <w:hyperlink r:id="rId12" w:history="1">
              <w:r w:rsidRPr="004C3CC6" w:rsidR="005E0D32">
                <w:rPr>
                  <w:rStyle w:val="Hyperlink"/>
                </w:rPr>
                <w:t>mjsettineri@vorys.com</w:t>
              </w:r>
            </w:hyperlink>
          </w:p>
          <w:p w:rsidR="00944098" w:rsidP="00944098" w14:paraId="2EFA163D" w14:textId="5B332A3F">
            <w:pPr>
              <w:pStyle w:val="BodyText"/>
              <w:ind w:left="677" w:hanging="333"/>
              <w:rPr>
                <w:szCs w:val="24"/>
              </w:rPr>
            </w:pPr>
            <w:hyperlink r:id="rId13" w:history="1">
              <w:r w:rsidRPr="009958D4" w:rsidR="005E0D32">
                <w:rPr>
                  <w:rStyle w:val="Hyperlink"/>
                  <w:szCs w:val="24"/>
                </w:rPr>
                <w:t>glpetrucci@vorys.com</w:t>
              </w:r>
            </w:hyperlink>
          </w:p>
          <w:p w:rsidR="00944098" w:rsidP="00944098" w14:paraId="54E8A022" w14:textId="07887A50">
            <w:pPr>
              <w:pStyle w:val="BodyText"/>
              <w:ind w:left="677" w:hanging="333"/>
              <w:rPr>
                <w:color w:val="0000FF"/>
                <w:szCs w:val="24"/>
              </w:rPr>
            </w:pPr>
            <w:hyperlink r:id="rId14" w:history="1">
              <w:r w:rsidRPr="004978E3" w:rsidR="005E0D32">
                <w:rPr>
                  <w:rStyle w:val="Hyperlink"/>
                  <w:szCs w:val="24"/>
                </w:rPr>
                <w:t>josephclark@nisource.com</w:t>
              </w:r>
            </w:hyperlink>
          </w:p>
          <w:p w:rsidR="00944098" w:rsidP="00944098" w14:paraId="4F8CA2B1" w14:textId="080AD2E5">
            <w:pPr>
              <w:pStyle w:val="BodyText"/>
              <w:ind w:left="677" w:hanging="333"/>
              <w:rPr>
                <w:color w:val="0000FF"/>
                <w:szCs w:val="24"/>
              </w:rPr>
            </w:pPr>
            <w:hyperlink r:id="rId15" w:history="1">
              <w:r w:rsidRPr="004978E3" w:rsidR="005E0D32">
                <w:rPr>
                  <w:rStyle w:val="Hyperlink"/>
                  <w:szCs w:val="24"/>
                </w:rPr>
                <w:t>johnryan@nisource.com</w:t>
              </w:r>
            </w:hyperlink>
          </w:p>
          <w:p w:rsidR="00944098" w:rsidP="00944098" w14:paraId="18CB353B" w14:textId="15D03D27">
            <w:pPr>
              <w:pStyle w:val="BodyText"/>
              <w:ind w:left="677" w:hanging="333"/>
              <w:rPr>
                <w:color w:val="0000FF"/>
                <w:szCs w:val="24"/>
              </w:rPr>
            </w:pPr>
            <w:hyperlink r:id="rId16" w:history="1">
              <w:r w:rsidRPr="004978E3" w:rsidR="005E0D32">
                <w:rPr>
                  <w:rStyle w:val="Hyperlink"/>
                  <w:szCs w:val="24"/>
                </w:rPr>
                <w:t>whitt@whitt-sturtevant.com</w:t>
              </w:r>
            </w:hyperlink>
          </w:p>
          <w:p w:rsidR="00944098" w:rsidP="00944098" w14:paraId="3E4D9639" w14:textId="12163460">
            <w:pPr>
              <w:pStyle w:val="BodyText"/>
              <w:ind w:left="677" w:hanging="333"/>
              <w:rPr>
                <w:color w:val="0000FF"/>
                <w:szCs w:val="24"/>
              </w:rPr>
            </w:pPr>
            <w:hyperlink r:id="rId17" w:history="1">
              <w:r w:rsidRPr="004978E3" w:rsidR="005E0D32">
                <w:rPr>
                  <w:rStyle w:val="Hyperlink"/>
                  <w:szCs w:val="24"/>
                </w:rPr>
                <w:t>kennedy@whitt-sturtevant.com</w:t>
              </w:r>
            </w:hyperlink>
          </w:p>
          <w:p w:rsidR="00944098" w:rsidP="00944098" w14:paraId="5F495416" w14:textId="034F1AEB">
            <w:pPr>
              <w:pStyle w:val="BodyText"/>
              <w:ind w:left="706" w:hanging="362"/>
              <w:rPr>
                <w:color w:val="0000FF"/>
                <w:szCs w:val="24"/>
              </w:rPr>
            </w:pPr>
            <w:hyperlink r:id="rId18" w:history="1">
              <w:r w:rsidRPr="004978E3" w:rsidR="005E0D32">
                <w:rPr>
                  <w:rStyle w:val="Hyperlink"/>
                  <w:szCs w:val="24"/>
                </w:rPr>
                <w:t>fykes@whitt-sturtevant.com</w:t>
              </w:r>
            </w:hyperlink>
          </w:p>
          <w:p w:rsidR="00944098" w:rsidP="00944098" w14:paraId="46DFEFD6" w14:textId="51854158">
            <w:pPr>
              <w:pStyle w:val="BodyText"/>
              <w:ind w:left="706" w:hanging="362"/>
              <w:rPr>
                <w:color w:val="0000FF"/>
                <w:szCs w:val="24"/>
              </w:rPr>
            </w:pPr>
            <w:hyperlink r:id="rId19" w:history="1">
              <w:r w:rsidRPr="004978E3" w:rsidR="005E0D32">
                <w:rPr>
                  <w:rStyle w:val="Hyperlink"/>
                  <w:szCs w:val="24"/>
                </w:rPr>
                <w:t>andrew.j.campbell@dominionenergy.com</w:t>
              </w:r>
            </w:hyperlink>
          </w:p>
          <w:p w:rsidR="00944098" w:rsidRPr="004C3CC6" w:rsidP="00944098" w14:paraId="1ACA14EE" w14:textId="77777777">
            <w:pPr>
              <w:pStyle w:val="BodyText"/>
              <w:ind w:left="706"/>
              <w:rPr>
                <w:color w:val="0000FF"/>
                <w:szCs w:val="24"/>
              </w:rPr>
            </w:pPr>
          </w:p>
          <w:p w:rsidR="00944098" w:rsidRPr="004C3CC6" w:rsidP="008C03B7" w14:paraId="4B33ED2A" w14:textId="77777777">
            <w:pPr>
              <w:pStyle w:val="BodyText"/>
              <w:rPr>
                <w:bCs/>
                <w:szCs w:val="24"/>
              </w:rPr>
            </w:pPr>
          </w:p>
        </w:tc>
      </w:tr>
      <w:tr w14:paraId="67C71310" w14:textId="77777777" w:rsidTr="00944098">
        <w:tblPrEx>
          <w:tblW w:w="0" w:type="auto"/>
          <w:tblLayout w:type="fixed"/>
          <w:tblLook w:val="01E0"/>
        </w:tblPrEx>
        <w:tc>
          <w:tcPr>
            <w:tcW w:w="3960" w:type="dxa"/>
            <w:shd w:val="clear" w:color="auto" w:fill="auto"/>
          </w:tcPr>
          <w:p w:rsidR="00944098" w:rsidP="008C03B7" w14:paraId="5726D971" w14:textId="77777777">
            <w:pPr>
              <w:autoSpaceDE w:val="0"/>
              <w:autoSpaceDN w:val="0"/>
              <w:adjustRightInd w:val="0"/>
            </w:pPr>
          </w:p>
        </w:tc>
        <w:tc>
          <w:tcPr>
            <w:tcW w:w="4680" w:type="dxa"/>
            <w:shd w:val="clear" w:color="auto" w:fill="auto"/>
          </w:tcPr>
          <w:p w:rsidR="00944098" w:rsidP="008C03B7" w14:paraId="0870BB1E" w14:textId="77777777">
            <w:pPr>
              <w:autoSpaceDE w:val="0"/>
              <w:autoSpaceDN w:val="0"/>
              <w:adjustRightInd w:val="0"/>
              <w:ind w:left="1314"/>
            </w:pPr>
          </w:p>
        </w:tc>
      </w:tr>
    </w:tbl>
    <w:p w:rsidR="00E65FB5" w:rsidRPr="004C3CC6" w:rsidP="00E65FB5" w14:paraId="30253B9B" w14:textId="77777777">
      <w:pPr>
        <w:pStyle w:val="BodyText"/>
        <w:jc w:val="left"/>
        <w:rPr>
          <w:b/>
          <w:bCs/>
          <w:szCs w:val="24"/>
        </w:rPr>
      </w:pPr>
    </w:p>
    <w:p w:rsidR="00640263" w:rsidRPr="004C3CC6" w14:paraId="333B9BB7" w14:textId="77777777">
      <w:pPr>
        <w:pStyle w:val="BodyText"/>
        <w:jc w:val="left"/>
        <w:rPr>
          <w:b/>
          <w:bCs/>
          <w:szCs w:val="24"/>
        </w:rPr>
      </w:pPr>
    </w:p>
    <w:sectPr w:rsidSect="00F37455">
      <w:footerReference w:type="first" r:id="rId20"/>
      <w:pgSz w:w="12240" w:h="15840"/>
      <w:pgMar w:top="1440" w:right="1800" w:bottom="1440" w:left="1800" w:header="720" w:footer="720" w:gutter="0"/>
      <w:pgNumType w:start="2"/>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840695"/>
      <w:docPartObj>
        <w:docPartGallery w:val="Page Numbers (Bottom of Page)"/>
        <w:docPartUnique/>
      </w:docPartObj>
    </w:sdtPr>
    <w:sdtEndPr>
      <w:rPr>
        <w:noProof/>
        <w:sz w:val="24"/>
        <w:szCs w:val="24"/>
      </w:rPr>
    </w:sdtEndPr>
    <w:sdtContent>
      <w:p w:rsidR="0006263A" w:rsidRPr="001636E0" w14:paraId="642CD38E" w14:textId="35E8922C">
        <w:pPr>
          <w:pStyle w:val="Footer"/>
          <w:jc w:val="center"/>
          <w:rPr>
            <w:sz w:val="24"/>
            <w:szCs w:val="24"/>
          </w:rPr>
        </w:pPr>
        <w:r w:rsidRPr="001636E0">
          <w:rPr>
            <w:sz w:val="24"/>
            <w:szCs w:val="24"/>
          </w:rPr>
          <w:fldChar w:fldCharType="begin"/>
        </w:r>
        <w:r w:rsidRPr="001636E0">
          <w:rPr>
            <w:sz w:val="24"/>
            <w:szCs w:val="24"/>
          </w:rPr>
          <w:instrText xml:space="preserve"> PAGE   \* MERGEFORMAT </w:instrText>
        </w:r>
        <w:r w:rsidRPr="001636E0">
          <w:rPr>
            <w:sz w:val="24"/>
            <w:szCs w:val="24"/>
          </w:rPr>
          <w:fldChar w:fldCharType="separate"/>
        </w:r>
        <w:r w:rsidRPr="001636E0">
          <w:rPr>
            <w:noProof/>
            <w:sz w:val="24"/>
            <w:szCs w:val="24"/>
          </w:rPr>
          <w:t>2</w:t>
        </w:r>
        <w:r w:rsidRPr="001636E0">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63A" w14:paraId="3FED1E15" w14:textId="6586C3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0058304"/>
      <w:docPartObj>
        <w:docPartGallery w:val="Page Numbers (Bottom of Page)"/>
        <w:docPartUnique/>
      </w:docPartObj>
    </w:sdtPr>
    <w:sdtEndPr>
      <w:rPr>
        <w:noProof/>
        <w:sz w:val="24"/>
        <w:szCs w:val="24"/>
      </w:rPr>
    </w:sdtEndPr>
    <w:sdtContent>
      <w:p w:rsidR="001636E0" w:rsidRPr="001636E0" w14:paraId="4E980373" w14:textId="1AE6825F">
        <w:pPr>
          <w:pStyle w:val="Footer"/>
          <w:jc w:val="center"/>
          <w:rPr>
            <w:sz w:val="24"/>
            <w:szCs w:val="24"/>
          </w:rPr>
        </w:pPr>
        <w:r w:rsidRPr="001636E0">
          <w:rPr>
            <w:sz w:val="24"/>
            <w:szCs w:val="24"/>
          </w:rPr>
          <w:fldChar w:fldCharType="begin"/>
        </w:r>
        <w:r w:rsidRPr="001636E0">
          <w:rPr>
            <w:sz w:val="24"/>
            <w:szCs w:val="24"/>
          </w:rPr>
          <w:instrText xml:space="preserve"> PAGE   \* MERGEFORMAT </w:instrText>
        </w:r>
        <w:r w:rsidRPr="001636E0">
          <w:rPr>
            <w:sz w:val="24"/>
            <w:szCs w:val="24"/>
          </w:rPr>
          <w:fldChar w:fldCharType="separate"/>
        </w:r>
        <w:r w:rsidRPr="001636E0">
          <w:rPr>
            <w:noProof/>
            <w:sz w:val="24"/>
            <w:szCs w:val="24"/>
          </w:rPr>
          <w:t>2</w:t>
        </w:r>
        <w:r w:rsidRPr="001636E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C59D4" w14:paraId="61CE9BEB" w14:textId="77777777">
      <w:r>
        <w:separator/>
      </w:r>
    </w:p>
  </w:footnote>
  <w:footnote w:type="continuationSeparator" w:id="1">
    <w:p w:rsidR="009C59D4" w14:paraId="1AFEF805" w14:textId="77777777">
      <w:r>
        <w:continuationSeparator/>
      </w:r>
    </w:p>
  </w:footnote>
  <w:footnote w:id="2">
    <w:p w:rsidR="008F7A9F" w:rsidP="001636E0" w14:paraId="4DC69AC3" w14:textId="19F4EF60">
      <w:pPr>
        <w:pStyle w:val="FootnoteText"/>
        <w:spacing w:after="120"/>
      </w:pPr>
      <w:r>
        <w:rPr>
          <w:rStyle w:val="FootnoteReference"/>
        </w:rPr>
        <w:footnoteRef/>
      </w:r>
      <w:r>
        <w:t xml:space="preserve"> </w:t>
      </w:r>
      <w:r w:rsidRPr="00813988">
        <w:t>North Coast Application (Oct</w:t>
      </w:r>
      <w:r>
        <w:t>ober</w:t>
      </w:r>
      <w:r w:rsidRPr="00813988">
        <w:t xml:space="preserve"> 4, 2021).</w:t>
      </w:r>
    </w:p>
  </w:footnote>
  <w:footnote w:id="3">
    <w:p w:rsidR="000E544A" w:rsidRPr="00813988" w:rsidP="001636E0" w14:paraId="70D8D665" w14:textId="77777777">
      <w:pPr>
        <w:pStyle w:val="FootnoteText"/>
        <w:spacing w:after="120"/>
      </w:pPr>
      <w:r w:rsidRPr="00813988">
        <w:rPr>
          <w:rStyle w:val="FootnoteReference"/>
        </w:rPr>
        <w:footnoteRef/>
      </w:r>
      <w:r w:rsidRPr="00813988">
        <w:t xml:space="preserve"> R.C. 4905.22.</w:t>
      </w:r>
    </w:p>
  </w:footnote>
  <w:footnote w:id="4">
    <w:p w:rsidR="006C5740" w:rsidP="001636E0" w14:paraId="58DCC6CA" w14:textId="68CEDD93">
      <w:pPr>
        <w:pStyle w:val="FootnoteText"/>
        <w:spacing w:after="120"/>
      </w:pPr>
      <w:r>
        <w:rPr>
          <w:rStyle w:val="FootnoteReference"/>
        </w:rPr>
        <w:footnoteRef/>
      </w:r>
      <w:r>
        <w:t xml:space="preserve"> Consumer Protection Comments by Office of the Ohio Consumers’ Counsel (January 4, 2022).</w:t>
      </w:r>
    </w:p>
  </w:footnote>
  <w:footnote w:id="5">
    <w:p w:rsidR="006C5740" w:rsidP="001636E0" w14:paraId="0EE9AE17" w14:textId="3B514738">
      <w:pPr>
        <w:pStyle w:val="FootnoteText"/>
        <w:spacing w:after="120"/>
      </w:pPr>
      <w:r>
        <w:rPr>
          <w:rStyle w:val="FootnoteReference"/>
        </w:rPr>
        <w:footnoteRef/>
      </w:r>
      <w:r>
        <w:t xml:space="preserve"> Comments of the East Ohio Gas Company d/b/a Dominion Energy Ohio (January 4, 2022).</w:t>
      </w:r>
    </w:p>
  </w:footnote>
  <w:footnote w:id="6">
    <w:p w:rsidR="006C5740" w:rsidP="001636E0" w14:paraId="2649811A" w14:textId="2EB7ACCD">
      <w:pPr>
        <w:pStyle w:val="FootnoteText"/>
        <w:spacing w:after="120"/>
      </w:pPr>
      <w:r>
        <w:rPr>
          <w:rStyle w:val="FootnoteReference"/>
        </w:rPr>
        <w:footnoteRef/>
      </w:r>
      <w:r>
        <w:t xml:space="preserve"> Initial Comments of Columbia Gas of Ohio, Inc. (January 4, 2022). </w:t>
      </w:r>
    </w:p>
  </w:footnote>
  <w:footnote w:id="7">
    <w:p w:rsidR="008F7A9F" w:rsidP="001636E0" w14:paraId="28EAB9B2" w14:textId="1E0FBEC9">
      <w:pPr>
        <w:pStyle w:val="FootnoteText"/>
        <w:spacing w:after="120"/>
      </w:pPr>
      <w:r>
        <w:rPr>
          <w:rStyle w:val="FootnoteReference"/>
        </w:rPr>
        <w:footnoteRef/>
      </w:r>
      <w:r>
        <w:t xml:space="preserve"> Application at 5.</w:t>
      </w:r>
    </w:p>
  </w:footnote>
  <w:footnote w:id="8">
    <w:p w:rsidR="000E544A" w:rsidRPr="00813988" w:rsidP="001636E0" w14:paraId="2FFA3880" w14:textId="30DC1009">
      <w:pPr>
        <w:pStyle w:val="FootnoteText"/>
        <w:spacing w:after="120"/>
      </w:pPr>
      <w:r w:rsidRPr="00813988">
        <w:rPr>
          <w:rStyle w:val="FootnoteReference"/>
        </w:rPr>
        <w:footnoteRef/>
      </w:r>
      <w:r w:rsidRPr="00813988">
        <w:t xml:space="preserve"> </w:t>
      </w:r>
      <w:r w:rsidRPr="006C5740" w:rsidR="006C5740">
        <w:rPr>
          <w:i/>
          <w:iCs/>
        </w:rPr>
        <w:t>Id</w:t>
      </w:r>
      <w:r w:rsidR="006C5740">
        <w:t>.</w:t>
      </w:r>
      <w:r w:rsidRPr="00813988">
        <w:t xml:space="preserve"> </w:t>
      </w:r>
    </w:p>
  </w:footnote>
  <w:footnote w:id="9">
    <w:p w:rsidR="000E5A69" w:rsidP="001636E0" w14:paraId="61C32E78" w14:textId="6E3DA109">
      <w:pPr>
        <w:pStyle w:val="FootnoteText"/>
        <w:spacing w:after="120"/>
      </w:pPr>
      <w:r>
        <w:rPr>
          <w:rStyle w:val="FootnoteReference"/>
        </w:rPr>
        <w:footnoteRef/>
      </w:r>
      <w:r>
        <w:t xml:space="preserve"> </w:t>
      </w:r>
      <w:r w:rsidRPr="001636E0" w:rsidR="00BF3C9D">
        <w:rPr>
          <w:i/>
          <w:iCs/>
        </w:rPr>
        <w:t>See</w:t>
      </w:r>
      <w:r w:rsidR="00BF3C9D">
        <w:t xml:space="preserve">, Dominion Comments at 2. </w:t>
      </w:r>
      <w:r w:rsidRPr="001636E0" w:rsidR="00BF3C9D">
        <w:rPr>
          <w:i/>
          <w:iCs/>
        </w:rPr>
        <w:t>See also,</w:t>
      </w:r>
      <w:r w:rsidR="00BF3C9D">
        <w:t xml:space="preserve"> </w:t>
      </w:r>
      <w:r w:rsidR="004F4C0A">
        <w:t xml:space="preserve">R.C. 4905.22; </w:t>
      </w:r>
      <w:r w:rsidRPr="004F4C0A">
        <w:rPr>
          <w:i/>
          <w:iCs/>
        </w:rPr>
        <w:t>Indu</w:t>
      </w:r>
      <w:r w:rsidR="006C5740">
        <w:rPr>
          <w:i/>
          <w:iCs/>
        </w:rPr>
        <w:t xml:space="preserve">strial Gas Company v. Pub. Util. Comm., </w:t>
      </w:r>
      <w:r>
        <w:t>135</w:t>
      </w:r>
      <w:r w:rsidR="00C52FA3">
        <w:t xml:space="preserve"> </w:t>
      </w:r>
      <w:r>
        <w:t>Ohio St. 408, 413</w:t>
      </w:r>
      <w:r w:rsidR="006C5740">
        <w:t>, 21 N.E.2d 166</w:t>
      </w:r>
      <w:r>
        <w:t xml:space="preserve"> (19</w:t>
      </w:r>
      <w:r w:rsidR="00C52FA3">
        <w:t>39).</w:t>
      </w:r>
    </w:p>
  </w:footnote>
  <w:footnote w:id="10">
    <w:p w:rsidR="00C52FA3" w:rsidP="001636E0" w14:paraId="0BDE0D21" w14:textId="12420B94">
      <w:pPr>
        <w:pStyle w:val="FootnoteText"/>
        <w:spacing w:after="120"/>
      </w:pPr>
      <w:r>
        <w:rPr>
          <w:rStyle w:val="FootnoteReference"/>
        </w:rPr>
        <w:footnoteRef/>
      </w:r>
      <w:r>
        <w:t xml:space="preserve"> Dominion Comments at 4.</w:t>
      </w:r>
    </w:p>
  </w:footnote>
  <w:footnote w:id="11">
    <w:p w:rsidR="004F4C0A" w:rsidP="001636E0" w14:paraId="34653695" w14:textId="1671849B">
      <w:pPr>
        <w:pStyle w:val="FootnoteText"/>
        <w:spacing w:after="120"/>
      </w:pPr>
      <w:r>
        <w:rPr>
          <w:rStyle w:val="FootnoteReference"/>
        </w:rPr>
        <w:footnoteRef/>
      </w:r>
      <w:r>
        <w:t xml:space="preserve"> Charles F. Phillips, Jr., </w:t>
      </w:r>
      <w:r w:rsidRPr="00482C67">
        <w:rPr>
          <w:i/>
          <w:iCs/>
        </w:rPr>
        <w:t>The Regulation of Public Utilities Theory and Practice</w:t>
      </w:r>
      <w:r>
        <w:t xml:space="preserve"> (1988) at 174, Public Utilities Reports, Inc. Arlington, Virginia.</w:t>
      </w:r>
      <w:r w:rsidR="0006263A">
        <w:t xml:space="preserve"> </w:t>
      </w:r>
    </w:p>
  </w:footnote>
  <w:footnote w:id="12">
    <w:p w:rsidR="004F4C0A" w:rsidP="001636E0" w14:paraId="29EBAF1F" w14:textId="3553F531">
      <w:pPr>
        <w:pStyle w:val="FootnoteText"/>
        <w:spacing w:after="120"/>
      </w:pPr>
      <w:r>
        <w:rPr>
          <w:rStyle w:val="FootnoteReference"/>
        </w:rPr>
        <w:footnoteRef/>
      </w:r>
      <w:r>
        <w:t xml:space="preserve"> James C. Bonbright, Albert L. Danielsen and David R. Kamerschen, </w:t>
      </w:r>
      <w:r w:rsidRPr="00C01590">
        <w:rPr>
          <w:i/>
          <w:iCs/>
        </w:rPr>
        <w:t>Principles of Public Utility Rates</w:t>
      </w:r>
      <w:r>
        <w:t xml:space="preserve"> (1988) at 33, Public Utilities Reports, Inc. Arlington, Virginia.</w:t>
      </w:r>
      <w:r w:rsidR="0006263A">
        <w:t xml:space="preserve"> </w:t>
      </w:r>
    </w:p>
  </w:footnote>
  <w:footnote w:id="13">
    <w:p w:rsidR="00592B14" w:rsidP="001636E0" w14:paraId="3E6FB44B" w14:textId="77777777">
      <w:pPr>
        <w:pStyle w:val="FootnoteText"/>
        <w:spacing w:after="120"/>
      </w:pPr>
      <w:r>
        <w:rPr>
          <w:rStyle w:val="FootnoteReference"/>
        </w:rPr>
        <w:footnoteRef/>
      </w:r>
      <w:r>
        <w:t xml:space="preserve"> </w:t>
      </w:r>
      <w:r w:rsidRPr="00663C5E">
        <w:rPr>
          <w:i/>
          <w:iCs/>
        </w:rPr>
        <w:t xml:space="preserve">Ohio Midland Light &amp; Power Co. </w:t>
      </w:r>
      <w:r>
        <w:rPr>
          <w:i/>
          <w:iCs/>
        </w:rPr>
        <w:t>v</w:t>
      </w:r>
      <w:r w:rsidRPr="00663C5E">
        <w:rPr>
          <w:i/>
          <w:iCs/>
        </w:rPr>
        <w:t>. Columbus &amp; S. Oh</w:t>
      </w:r>
      <w:r>
        <w:rPr>
          <w:i/>
          <w:iCs/>
        </w:rPr>
        <w:t>i</w:t>
      </w:r>
      <w:r w:rsidRPr="00663C5E">
        <w:rPr>
          <w:i/>
          <w:iCs/>
        </w:rPr>
        <w:t>o Elec. Co</w:t>
      </w:r>
      <w:r>
        <w:t>. 123 N.E.2d 675 (1954).</w:t>
      </w:r>
    </w:p>
  </w:footnote>
  <w:footnote w:id="14">
    <w:p w:rsidR="00E05FD7" w:rsidP="001636E0" w14:paraId="7C839DEC" w14:textId="4D5EE131">
      <w:pPr>
        <w:pStyle w:val="FootnoteText"/>
        <w:spacing w:after="120"/>
      </w:pPr>
      <w:r>
        <w:rPr>
          <w:rStyle w:val="FootnoteReference"/>
        </w:rPr>
        <w:footnoteRef/>
      </w:r>
      <w:r>
        <w:t xml:space="preserve"> R.C. 4905.03; </w:t>
      </w:r>
      <w:r w:rsidRPr="00E05FD7">
        <w:rPr>
          <w:i/>
          <w:iCs/>
        </w:rPr>
        <w:t>See e.g., In re Generation Pipeline LLC</w:t>
      </w:r>
      <w:r>
        <w:t>, Case No. 15-1104-GA-ACE, Finding and Order (Sept</w:t>
      </w:r>
      <w:r w:rsidR="001636E0">
        <w:t>ember</w:t>
      </w:r>
      <w:r>
        <w:t xml:space="preserve"> 23, 2015); </w:t>
      </w:r>
      <w:r w:rsidRPr="00E05FD7">
        <w:rPr>
          <w:i/>
          <w:iCs/>
        </w:rPr>
        <w:t>In re Power Energy Distribution, Inc</w:t>
      </w:r>
      <w:r>
        <w:t>., Case No. 97-746-GA-ATA, Opinion and Order (Sept</w:t>
      </w:r>
      <w:r w:rsidR="001636E0">
        <w:t>ember</w:t>
      </w:r>
      <w:r>
        <w:t xml:space="preserve"> 24, 1998)</w:t>
      </w:r>
      <w:r w:rsidR="00AB13F1">
        <w:t xml:space="preserve"> as cited in </w:t>
      </w:r>
      <w:r w:rsidRPr="008F142A" w:rsidR="00AB13F1">
        <w:rPr>
          <w:i/>
          <w:iCs/>
        </w:rPr>
        <w:t>One Source Energy, LLC for Authority to Operate as an Ohio Natural Gas Company</w:t>
      </w:r>
      <w:r w:rsidR="00AB13F1">
        <w:t>, Second Finding and Order, Case No. 16-1181-GA-ACE (July 31, 2019</w:t>
      </w:r>
      <w:r w:rsidR="008F142A">
        <w:t>)</w:t>
      </w:r>
      <w:r>
        <w:t>.</w:t>
      </w:r>
    </w:p>
  </w:footnote>
  <w:footnote w:id="15">
    <w:p w:rsidR="00646FF5" w:rsidP="001636E0" w14:paraId="1BDAC6FC" w14:textId="6F3FDEC6">
      <w:pPr>
        <w:pStyle w:val="FootnoteText"/>
        <w:spacing w:after="120"/>
      </w:pPr>
      <w:r>
        <w:rPr>
          <w:rStyle w:val="FootnoteReference"/>
        </w:rPr>
        <w:footnoteRef/>
      </w:r>
      <w:r>
        <w:t xml:space="preserve"> R.C. 4929.02(A)(1).</w:t>
      </w:r>
    </w:p>
  </w:footnote>
  <w:footnote w:id="16">
    <w:p w:rsidR="00646FF5" w:rsidP="001636E0" w14:paraId="5A752179" w14:textId="44DBDE92">
      <w:pPr>
        <w:pStyle w:val="FootnoteText"/>
        <w:spacing w:after="120"/>
      </w:pPr>
      <w:r>
        <w:rPr>
          <w:rStyle w:val="FootnoteReference"/>
        </w:rPr>
        <w:footnoteRef/>
      </w:r>
      <w:r>
        <w:t xml:space="preserve"> R.C. 4905.22.</w:t>
      </w:r>
    </w:p>
  </w:footnote>
  <w:footnote w:id="17">
    <w:p w:rsidR="00944E82" w:rsidP="001636E0" w14:paraId="6492A47D" w14:textId="77777777">
      <w:pPr>
        <w:pStyle w:val="FootnoteText"/>
        <w:spacing w:after="120"/>
      </w:pPr>
      <w:r>
        <w:rPr>
          <w:rStyle w:val="FootnoteReference"/>
        </w:rPr>
        <w:footnoteRef/>
      </w:r>
      <w:r>
        <w:t xml:space="preserve"> </w:t>
      </w:r>
      <w:r w:rsidRPr="006F28C8">
        <w:t>Ninth Revised Sheet No. 16</w:t>
      </w:r>
      <w:r>
        <w:t xml:space="preserve"> C</w:t>
      </w:r>
      <w:r w:rsidRPr="006F28C8">
        <w:t xml:space="preserve">olumbia </w:t>
      </w:r>
      <w:r>
        <w:t>G</w:t>
      </w:r>
      <w:r w:rsidRPr="006F28C8">
        <w:t xml:space="preserve">as of </w:t>
      </w:r>
      <w:r>
        <w:t>O</w:t>
      </w:r>
      <w:r w:rsidRPr="006F28C8">
        <w:t xml:space="preserve">hio, </w:t>
      </w:r>
      <w:r>
        <w:t>I</w:t>
      </w:r>
      <w:r w:rsidRPr="006F28C8">
        <w:t xml:space="preserve">nc. </w:t>
      </w:r>
      <w:r>
        <w:t>R</w:t>
      </w:r>
      <w:r w:rsidRPr="006F28C8">
        <w:t xml:space="preserve">ules and </w:t>
      </w:r>
      <w:r>
        <w:t>R</w:t>
      </w:r>
      <w:r w:rsidRPr="006F28C8">
        <w:t xml:space="preserve">egulations </w:t>
      </w:r>
      <w:r>
        <w:t>G</w:t>
      </w:r>
      <w:r w:rsidRPr="006F28C8">
        <w:t xml:space="preserve">overning the </w:t>
      </w:r>
      <w:r>
        <w:t>D</w:t>
      </w:r>
      <w:r w:rsidRPr="006F28C8">
        <w:t xml:space="preserve">istribution and </w:t>
      </w:r>
      <w:r>
        <w:t>S</w:t>
      </w:r>
      <w:r w:rsidRPr="006F28C8">
        <w:t xml:space="preserve">ale of </w:t>
      </w:r>
      <w:r>
        <w:t>G</w:t>
      </w:r>
      <w:r w:rsidRPr="006F28C8">
        <w:t>as</w:t>
      </w:r>
      <w:r>
        <w:t xml:space="preserve"> – Small General Sales Rate.</w:t>
      </w:r>
    </w:p>
  </w:footnote>
  <w:footnote w:id="18">
    <w:p w:rsidR="00944E82" w:rsidP="001636E0" w14:paraId="68BD3024" w14:textId="77777777">
      <w:pPr>
        <w:pStyle w:val="FootnoteText"/>
        <w:spacing w:after="120"/>
      </w:pPr>
      <w:r>
        <w:rPr>
          <w:rStyle w:val="FootnoteReference"/>
        </w:rPr>
        <w:footnoteRef/>
      </w:r>
      <w:r>
        <w:t xml:space="preserve"> Dominion </w:t>
      </w:r>
      <w:r w:rsidRPr="006F28C8">
        <w:t>Sixth Revised Sheet No. GSS-R 1</w:t>
      </w:r>
      <w:r>
        <w:t xml:space="preserve"> </w:t>
      </w:r>
      <w:r w:rsidRPr="006F28C8">
        <w:t>General Sales Service - Residential (GSS-R)</w:t>
      </w:r>
      <w:r>
        <w:t>, at 3.2.</w:t>
      </w:r>
    </w:p>
  </w:footnote>
  <w:footnote w:id="19">
    <w:p w:rsidR="00944E82" w:rsidP="001636E0" w14:paraId="3CECC206" w14:textId="77777777">
      <w:pPr>
        <w:pStyle w:val="FootnoteText"/>
        <w:spacing w:after="120"/>
      </w:pPr>
      <w:r>
        <w:rPr>
          <w:rStyle w:val="FootnoteReference"/>
        </w:rPr>
        <w:footnoteRef/>
      </w:r>
      <w:r>
        <w:t xml:space="preserve"> North Coast’s proposed Rules and Regulations Governing the Distribution and Supply of Natural Gas, Original Sheet No. 37 – Section VI. Rate Schedules – Residential Gas Service.</w:t>
      </w:r>
    </w:p>
  </w:footnote>
  <w:footnote w:id="20">
    <w:p w:rsidR="00944E82" w:rsidP="001636E0" w14:paraId="5945DC81" w14:textId="4BF1E845">
      <w:pPr>
        <w:pStyle w:val="FootnoteText"/>
        <w:spacing w:after="120"/>
      </w:pPr>
      <w:r>
        <w:rPr>
          <w:rStyle w:val="FootnoteReference"/>
        </w:rPr>
        <w:footnoteRef/>
      </w:r>
      <w:r>
        <w:t xml:space="preserve"> </w:t>
      </w:r>
      <w:r w:rsidRPr="001636E0">
        <w:rPr>
          <w:i/>
          <w:iCs/>
        </w:rPr>
        <w:t>Id</w:t>
      </w:r>
      <w:r>
        <w:t>.</w:t>
      </w:r>
    </w:p>
  </w:footnote>
  <w:footnote w:id="21">
    <w:p w:rsidR="00944E82" w:rsidP="001636E0" w14:paraId="682921E5" w14:textId="062E22B7">
      <w:pPr>
        <w:pStyle w:val="FootnoteText"/>
        <w:spacing w:after="120"/>
      </w:pPr>
      <w:r>
        <w:rPr>
          <w:rStyle w:val="FootnoteReference"/>
        </w:rPr>
        <w:footnoteRef/>
      </w:r>
      <w:r>
        <w:t xml:space="preserve"> </w:t>
      </w:r>
      <w:hyperlink r:id="rId1" w:history="1">
        <w:r w:rsidRPr="002C4AF4" w:rsidR="001636E0">
          <w:rPr>
            <w:rStyle w:val="Hyperlink"/>
          </w:rPr>
          <w:t>https://energychoice.ohio.gov/ApplesToApplesComparision.aspx?Category=NaturalGas&amp;TerritoryId=8&amp;RateCode=1</w:t>
        </w:r>
      </w:hyperlink>
      <w:r w:rsidR="001636E0">
        <w:t>.</w:t>
      </w:r>
    </w:p>
  </w:footnote>
  <w:footnote w:id="22">
    <w:p w:rsidR="00944E82" w:rsidRPr="001636E0" w:rsidP="001636E0" w14:paraId="41851DB5" w14:textId="32F68A71">
      <w:pPr>
        <w:pStyle w:val="FootnoteText"/>
        <w:spacing w:after="120"/>
      </w:pPr>
      <w:r>
        <w:rPr>
          <w:rStyle w:val="FootnoteReference"/>
        </w:rPr>
        <w:footnoteRef/>
      </w:r>
      <w:r>
        <w:t xml:space="preserve"> </w:t>
      </w:r>
      <w:hyperlink r:id="rId2" w:history="1">
        <w:r w:rsidRPr="00584A5D">
          <w:rPr>
            <w:rStyle w:val="Hyperlink"/>
          </w:rPr>
          <w:t>https://energychoice.ohio.gov/ApplesToApplesComparision.aspx?Category=NaturalGas&amp;TerritoryId=1&amp;RateCode=1</w:t>
        </w:r>
      </w:hyperlink>
      <w:r w:rsidR="001636E0">
        <w:rPr>
          <w:rStyle w:val="Hyperlink"/>
          <w:u w:val="none"/>
        </w:rPr>
        <w:t>.</w:t>
      </w:r>
    </w:p>
  </w:footnote>
  <w:footnote w:id="23">
    <w:p w:rsidR="007639E5" w:rsidP="007639E5" w14:paraId="1762D75D" w14:textId="77777777">
      <w:pPr>
        <w:pStyle w:val="FootnoteText"/>
      </w:pPr>
      <w:r>
        <w:rPr>
          <w:rStyle w:val="FootnoteReference"/>
        </w:rPr>
        <w:footnoteRef/>
      </w:r>
      <w:r>
        <w:t xml:space="preserve"> Dominion Comments at 1-4. </w:t>
      </w:r>
    </w:p>
  </w:footnote>
  <w:footnote w:id="24">
    <w:p w:rsidR="004F6144" w:rsidRPr="00813988" w:rsidP="001636E0" w14:paraId="597C39C7" w14:textId="739E260A">
      <w:pPr>
        <w:pStyle w:val="FootnoteText"/>
        <w:spacing w:after="120"/>
      </w:pPr>
      <w:r w:rsidRPr="00813988">
        <w:rPr>
          <w:rStyle w:val="FootnoteReference"/>
        </w:rPr>
        <w:footnoteRef/>
      </w:r>
      <w:r w:rsidRPr="00813988">
        <w:t xml:space="preserve"> </w:t>
      </w:r>
      <w:r w:rsidR="00CB7A46">
        <w:t>R.C. 4905.22</w:t>
      </w:r>
      <w:r w:rsidRPr="0081398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E7B05"/>
    <w:multiLevelType w:val="hybridMultilevel"/>
    <w:tmpl w:val="0F7C863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C31BCB"/>
    <w:multiLevelType w:val="hybridMultilevel"/>
    <w:tmpl w:val="77E64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38E6875"/>
    <w:multiLevelType w:val="hybridMultilevel"/>
    <w:tmpl w:val="452875C0"/>
    <w:lvl w:ilvl="0">
      <w:start w:val="1"/>
      <w:numFmt w:val="lowerRoman"/>
      <w:lvlText w:val="(%1)"/>
      <w:lvlJc w:val="left"/>
      <w:pPr>
        <w:ind w:left="2070" w:hanging="72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4">
    <w:nsid w:val="13991976"/>
    <w:multiLevelType w:val="hybridMultilevel"/>
    <w:tmpl w:val="5240DFA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F5C83"/>
    <w:multiLevelType w:val="hybridMultilevel"/>
    <w:tmpl w:val="F9A48C3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296018D"/>
    <w:multiLevelType w:val="hybridMultilevel"/>
    <w:tmpl w:val="4B846E9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39E1EA5"/>
    <w:multiLevelType w:val="hybridMultilevel"/>
    <w:tmpl w:val="F77C11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AD54586"/>
    <w:multiLevelType w:val="hybridMultilevel"/>
    <w:tmpl w:val="5FA260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FF116B"/>
    <w:multiLevelType w:val="hybridMultilevel"/>
    <w:tmpl w:val="FE2EDB8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71221D"/>
    <w:multiLevelType w:val="hybridMultilevel"/>
    <w:tmpl w:val="539C082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50E4E61"/>
    <w:multiLevelType w:val="hybridMultilevel"/>
    <w:tmpl w:val="A8C8B1C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D653E65"/>
    <w:multiLevelType w:val="hybridMultilevel"/>
    <w:tmpl w:val="FABA7B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F9112DE"/>
    <w:multiLevelType w:val="hybridMultilevel"/>
    <w:tmpl w:val="64D47550"/>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73A01F2D"/>
    <w:multiLevelType w:val="hybridMultilevel"/>
    <w:tmpl w:val="F68CF07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3"/>
  </w:num>
  <w:num w:numId="2">
    <w:abstractNumId w:val="11"/>
  </w:num>
  <w:num w:numId="3">
    <w:abstractNumId w:val="17"/>
  </w:num>
  <w:num w:numId="4">
    <w:abstractNumId w:val="15"/>
  </w:num>
  <w:num w:numId="5">
    <w:abstractNumId w:val="2"/>
  </w:num>
  <w:num w:numId="6">
    <w:abstractNumId w:val="19"/>
  </w:num>
  <w:num w:numId="7">
    <w:abstractNumId w:val="4"/>
  </w:num>
  <w:num w:numId="8">
    <w:abstractNumId w:val="0"/>
  </w:num>
  <w:num w:numId="9">
    <w:abstractNumId w:val="9"/>
  </w:num>
  <w:num w:numId="10">
    <w:abstractNumId w:val="12"/>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7"/>
  </w:num>
  <w:num w:numId="16">
    <w:abstractNumId w:val="18"/>
  </w:num>
  <w:num w:numId="17">
    <w:abstractNumId w:val="10"/>
  </w:num>
  <w:num w:numId="18">
    <w:abstractNumId w:val="5"/>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202CF"/>
    <w:rsid w:val="00027C33"/>
    <w:rsid w:val="00031F5B"/>
    <w:rsid w:val="0003317B"/>
    <w:rsid w:val="00047175"/>
    <w:rsid w:val="0006263A"/>
    <w:rsid w:val="00065898"/>
    <w:rsid w:val="00066195"/>
    <w:rsid w:val="00073C2F"/>
    <w:rsid w:val="00080C4C"/>
    <w:rsid w:val="000824B7"/>
    <w:rsid w:val="000B592A"/>
    <w:rsid w:val="000C3FDA"/>
    <w:rsid w:val="000C56A8"/>
    <w:rsid w:val="000D4B17"/>
    <w:rsid w:val="000D6CEE"/>
    <w:rsid w:val="000E544A"/>
    <w:rsid w:val="000E5A69"/>
    <w:rsid w:val="000F73FD"/>
    <w:rsid w:val="0010212E"/>
    <w:rsid w:val="00104EDB"/>
    <w:rsid w:val="00105FD8"/>
    <w:rsid w:val="00125D22"/>
    <w:rsid w:val="0013439E"/>
    <w:rsid w:val="001423BF"/>
    <w:rsid w:val="0014778A"/>
    <w:rsid w:val="001523C5"/>
    <w:rsid w:val="001535F5"/>
    <w:rsid w:val="001574B9"/>
    <w:rsid w:val="001636E0"/>
    <w:rsid w:val="00165416"/>
    <w:rsid w:val="00171D2A"/>
    <w:rsid w:val="001853DF"/>
    <w:rsid w:val="0019610B"/>
    <w:rsid w:val="001974F9"/>
    <w:rsid w:val="00197553"/>
    <w:rsid w:val="001A22A3"/>
    <w:rsid w:val="001A5E69"/>
    <w:rsid w:val="001B257B"/>
    <w:rsid w:val="001B7208"/>
    <w:rsid w:val="001C0D40"/>
    <w:rsid w:val="001C15CE"/>
    <w:rsid w:val="001C1FF1"/>
    <w:rsid w:val="001C27D7"/>
    <w:rsid w:val="001C35B7"/>
    <w:rsid w:val="001C588A"/>
    <w:rsid w:val="001C6FFA"/>
    <w:rsid w:val="001C7F13"/>
    <w:rsid w:val="001D051D"/>
    <w:rsid w:val="001E5EDB"/>
    <w:rsid w:val="001F7E10"/>
    <w:rsid w:val="00200719"/>
    <w:rsid w:val="002046B9"/>
    <w:rsid w:val="002060E8"/>
    <w:rsid w:val="002120F4"/>
    <w:rsid w:val="00216802"/>
    <w:rsid w:val="0023010B"/>
    <w:rsid w:val="00235852"/>
    <w:rsid w:val="00243EC0"/>
    <w:rsid w:val="002444DC"/>
    <w:rsid w:val="00251144"/>
    <w:rsid w:val="002520A7"/>
    <w:rsid w:val="00252528"/>
    <w:rsid w:val="00270C39"/>
    <w:rsid w:val="002712C3"/>
    <w:rsid w:val="00274E86"/>
    <w:rsid w:val="0027520D"/>
    <w:rsid w:val="00283775"/>
    <w:rsid w:val="00283F6A"/>
    <w:rsid w:val="002854C9"/>
    <w:rsid w:val="002863E6"/>
    <w:rsid w:val="00286FDC"/>
    <w:rsid w:val="00287C4E"/>
    <w:rsid w:val="00291FDE"/>
    <w:rsid w:val="00294832"/>
    <w:rsid w:val="002A4912"/>
    <w:rsid w:val="002A4B0F"/>
    <w:rsid w:val="002A72B7"/>
    <w:rsid w:val="002A7842"/>
    <w:rsid w:val="002C0C31"/>
    <w:rsid w:val="002C4AF4"/>
    <w:rsid w:val="002E263F"/>
    <w:rsid w:val="002E596B"/>
    <w:rsid w:val="002F1D12"/>
    <w:rsid w:val="002F7BFA"/>
    <w:rsid w:val="00301222"/>
    <w:rsid w:val="00301A1B"/>
    <w:rsid w:val="00305FB5"/>
    <w:rsid w:val="00322C7A"/>
    <w:rsid w:val="00326B05"/>
    <w:rsid w:val="00336086"/>
    <w:rsid w:val="00344B2D"/>
    <w:rsid w:val="0035151C"/>
    <w:rsid w:val="00354FC3"/>
    <w:rsid w:val="003621E5"/>
    <w:rsid w:val="003661A2"/>
    <w:rsid w:val="003678C5"/>
    <w:rsid w:val="00394DC6"/>
    <w:rsid w:val="003A040B"/>
    <w:rsid w:val="003A2851"/>
    <w:rsid w:val="003C4F84"/>
    <w:rsid w:val="003C5EC0"/>
    <w:rsid w:val="003C6EE6"/>
    <w:rsid w:val="003C7FA0"/>
    <w:rsid w:val="003E3CEA"/>
    <w:rsid w:val="003F418A"/>
    <w:rsid w:val="00407E12"/>
    <w:rsid w:val="0042418F"/>
    <w:rsid w:val="004252C6"/>
    <w:rsid w:val="004277A3"/>
    <w:rsid w:val="00432CF5"/>
    <w:rsid w:val="00457D60"/>
    <w:rsid w:val="00480C21"/>
    <w:rsid w:val="00482C67"/>
    <w:rsid w:val="00482E65"/>
    <w:rsid w:val="004978E3"/>
    <w:rsid w:val="004A370C"/>
    <w:rsid w:val="004B17AF"/>
    <w:rsid w:val="004C3CC6"/>
    <w:rsid w:val="004C735E"/>
    <w:rsid w:val="004D3B18"/>
    <w:rsid w:val="004D4A31"/>
    <w:rsid w:val="004F3524"/>
    <w:rsid w:val="004F4581"/>
    <w:rsid w:val="004F4C0A"/>
    <w:rsid w:val="004F6144"/>
    <w:rsid w:val="00502E37"/>
    <w:rsid w:val="00506443"/>
    <w:rsid w:val="00523978"/>
    <w:rsid w:val="005304BC"/>
    <w:rsid w:val="00531ACF"/>
    <w:rsid w:val="005400EB"/>
    <w:rsid w:val="00562CD3"/>
    <w:rsid w:val="0056318B"/>
    <w:rsid w:val="00567728"/>
    <w:rsid w:val="00581DFA"/>
    <w:rsid w:val="00584A5D"/>
    <w:rsid w:val="00586114"/>
    <w:rsid w:val="00587022"/>
    <w:rsid w:val="00592B14"/>
    <w:rsid w:val="005943B9"/>
    <w:rsid w:val="00595624"/>
    <w:rsid w:val="00596F89"/>
    <w:rsid w:val="005A66D4"/>
    <w:rsid w:val="005A7282"/>
    <w:rsid w:val="005C1F97"/>
    <w:rsid w:val="005C2F75"/>
    <w:rsid w:val="005D3A0F"/>
    <w:rsid w:val="005E0D32"/>
    <w:rsid w:val="005E1431"/>
    <w:rsid w:val="005E3239"/>
    <w:rsid w:val="005F0BAE"/>
    <w:rsid w:val="005F3032"/>
    <w:rsid w:val="005F4E1F"/>
    <w:rsid w:val="00614060"/>
    <w:rsid w:val="00622B6C"/>
    <w:rsid w:val="00622ECB"/>
    <w:rsid w:val="006247F0"/>
    <w:rsid w:val="006329BF"/>
    <w:rsid w:val="00634AEB"/>
    <w:rsid w:val="00640263"/>
    <w:rsid w:val="00641260"/>
    <w:rsid w:val="006435FE"/>
    <w:rsid w:val="00645175"/>
    <w:rsid w:val="00646FF5"/>
    <w:rsid w:val="00655FFB"/>
    <w:rsid w:val="006561ED"/>
    <w:rsid w:val="00663C5E"/>
    <w:rsid w:val="00664759"/>
    <w:rsid w:val="00692E1E"/>
    <w:rsid w:val="00696B42"/>
    <w:rsid w:val="006979CB"/>
    <w:rsid w:val="006A6F12"/>
    <w:rsid w:val="006B4587"/>
    <w:rsid w:val="006B4E43"/>
    <w:rsid w:val="006C25B7"/>
    <w:rsid w:val="006C47F5"/>
    <w:rsid w:val="006C5740"/>
    <w:rsid w:val="006D0C07"/>
    <w:rsid w:val="006D6F9A"/>
    <w:rsid w:val="006E4898"/>
    <w:rsid w:val="006E4C06"/>
    <w:rsid w:val="006E6258"/>
    <w:rsid w:val="006F28C8"/>
    <w:rsid w:val="006F44F2"/>
    <w:rsid w:val="00707824"/>
    <w:rsid w:val="00710E80"/>
    <w:rsid w:val="007152E5"/>
    <w:rsid w:val="0071543D"/>
    <w:rsid w:val="00730A72"/>
    <w:rsid w:val="0073347D"/>
    <w:rsid w:val="00744279"/>
    <w:rsid w:val="00746799"/>
    <w:rsid w:val="0075287D"/>
    <w:rsid w:val="00762A90"/>
    <w:rsid w:val="007639E5"/>
    <w:rsid w:val="00764261"/>
    <w:rsid w:val="00775F9F"/>
    <w:rsid w:val="00776CFA"/>
    <w:rsid w:val="007A455C"/>
    <w:rsid w:val="007A55F4"/>
    <w:rsid w:val="007C4D41"/>
    <w:rsid w:val="007C5FCB"/>
    <w:rsid w:val="007D0FDA"/>
    <w:rsid w:val="007E2CE8"/>
    <w:rsid w:val="007E4497"/>
    <w:rsid w:val="007F11D6"/>
    <w:rsid w:val="007F702E"/>
    <w:rsid w:val="00803B9F"/>
    <w:rsid w:val="00813988"/>
    <w:rsid w:val="00821E23"/>
    <w:rsid w:val="0083068C"/>
    <w:rsid w:val="00834BC8"/>
    <w:rsid w:val="008459D2"/>
    <w:rsid w:val="00846922"/>
    <w:rsid w:val="00846CAB"/>
    <w:rsid w:val="008535F7"/>
    <w:rsid w:val="00856560"/>
    <w:rsid w:val="0086091E"/>
    <w:rsid w:val="008628D2"/>
    <w:rsid w:val="008631FA"/>
    <w:rsid w:val="00876CC9"/>
    <w:rsid w:val="00884ACA"/>
    <w:rsid w:val="008941B4"/>
    <w:rsid w:val="008A4AA4"/>
    <w:rsid w:val="008A6B6E"/>
    <w:rsid w:val="008A6F34"/>
    <w:rsid w:val="008B49BF"/>
    <w:rsid w:val="008C03B7"/>
    <w:rsid w:val="008C5AAF"/>
    <w:rsid w:val="008D4E39"/>
    <w:rsid w:val="008E1011"/>
    <w:rsid w:val="008F142A"/>
    <w:rsid w:val="008F7A9F"/>
    <w:rsid w:val="00900474"/>
    <w:rsid w:val="00905158"/>
    <w:rsid w:val="009051F0"/>
    <w:rsid w:val="00907424"/>
    <w:rsid w:val="00921996"/>
    <w:rsid w:val="00932BC0"/>
    <w:rsid w:val="00934168"/>
    <w:rsid w:val="0093679D"/>
    <w:rsid w:val="00944098"/>
    <w:rsid w:val="00944E82"/>
    <w:rsid w:val="00951A20"/>
    <w:rsid w:val="009529BA"/>
    <w:rsid w:val="009603B1"/>
    <w:rsid w:val="009712E5"/>
    <w:rsid w:val="0099457B"/>
    <w:rsid w:val="009958D4"/>
    <w:rsid w:val="00996063"/>
    <w:rsid w:val="009A192B"/>
    <w:rsid w:val="009C1C83"/>
    <w:rsid w:val="009C59D4"/>
    <w:rsid w:val="009C6BCB"/>
    <w:rsid w:val="009D0397"/>
    <w:rsid w:val="009E2BA7"/>
    <w:rsid w:val="009F21B3"/>
    <w:rsid w:val="009F25ED"/>
    <w:rsid w:val="009F5699"/>
    <w:rsid w:val="009F7C1E"/>
    <w:rsid w:val="00A043F6"/>
    <w:rsid w:val="00A044B5"/>
    <w:rsid w:val="00A105D3"/>
    <w:rsid w:val="00A15915"/>
    <w:rsid w:val="00A21AB4"/>
    <w:rsid w:val="00A22867"/>
    <w:rsid w:val="00A27C8D"/>
    <w:rsid w:val="00A34227"/>
    <w:rsid w:val="00A37821"/>
    <w:rsid w:val="00A43E79"/>
    <w:rsid w:val="00A674C2"/>
    <w:rsid w:val="00A74183"/>
    <w:rsid w:val="00A761E9"/>
    <w:rsid w:val="00A83A56"/>
    <w:rsid w:val="00A869E2"/>
    <w:rsid w:val="00A92138"/>
    <w:rsid w:val="00A9538C"/>
    <w:rsid w:val="00A95F3B"/>
    <w:rsid w:val="00AA32A9"/>
    <w:rsid w:val="00AB13F1"/>
    <w:rsid w:val="00AB3C02"/>
    <w:rsid w:val="00AC35A5"/>
    <w:rsid w:val="00AC4EE1"/>
    <w:rsid w:val="00AC6FFA"/>
    <w:rsid w:val="00AD0649"/>
    <w:rsid w:val="00AD1DFF"/>
    <w:rsid w:val="00AD4A37"/>
    <w:rsid w:val="00AF6425"/>
    <w:rsid w:val="00AF7DB3"/>
    <w:rsid w:val="00B0442E"/>
    <w:rsid w:val="00B123AB"/>
    <w:rsid w:val="00B176CE"/>
    <w:rsid w:val="00B17B36"/>
    <w:rsid w:val="00B544E3"/>
    <w:rsid w:val="00B73F0D"/>
    <w:rsid w:val="00B748A5"/>
    <w:rsid w:val="00B77EB5"/>
    <w:rsid w:val="00B9220A"/>
    <w:rsid w:val="00B931CE"/>
    <w:rsid w:val="00B970F4"/>
    <w:rsid w:val="00BA065A"/>
    <w:rsid w:val="00BA784D"/>
    <w:rsid w:val="00BB4A88"/>
    <w:rsid w:val="00BD0452"/>
    <w:rsid w:val="00BD25C4"/>
    <w:rsid w:val="00BD4C71"/>
    <w:rsid w:val="00BF3C95"/>
    <w:rsid w:val="00BF3C9D"/>
    <w:rsid w:val="00C01590"/>
    <w:rsid w:val="00C12EE4"/>
    <w:rsid w:val="00C14776"/>
    <w:rsid w:val="00C16F2E"/>
    <w:rsid w:val="00C20C0C"/>
    <w:rsid w:val="00C305C7"/>
    <w:rsid w:val="00C33130"/>
    <w:rsid w:val="00C4293E"/>
    <w:rsid w:val="00C44EC6"/>
    <w:rsid w:val="00C46A53"/>
    <w:rsid w:val="00C52FA3"/>
    <w:rsid w:val="00C5437A"/>
    <w:rsid w:val="00C551C3"/>
    <w:rsid w:val="00C709F6"/>
    <w:rsid w:val="00C720B7"/>
    <w:rsid w:val="00C80449"/>
    <w:rsid w:val="00C8407A"/>
    <w:rsid w:val="00CA55A9"/>
    <w:rsid w:val="00CA769F"/>
    <w:rsid w:val="00CB4ACC"/>
    <w:rsid w:val="00CB7A46"/>
    <w:rsid w:val="00CB7DF5"/>
    <w:rsid w:val="00CC22C7"/>
    <w:rsid w:val="00CC43D9"/>
    <w:rsid w:val="00CC7937"/>
    <w:rsid w:val="00CD0E33"/>
    <w:rsid w:val="00CD3199"/>
    <w:rsid w:val="00CD5A15"/>
    <w:rsid w:val="00CE3767"/>
    <w:rsid w:val="00D155A0"/>
    <w:rsid w:val="00D23A0A"/>
    <w:rsid w:val="00D23FA5"/>
    <w:rsid w:val="00D2484C"/>
    <w:rsid w:val="00D27E20"/>
    <w:rsid w:val="00D40A5D"/>
    <w:rsid w:val="00D45CA4"/>
    <w:rsid w:val="00D4603B"/>
    <w:rsid w:val="00D46B43"/>
    <w:rsid w:val="00D53CEE"/>
    <w:rsid w:val="00D67D6F"/>
    <w:rsid w:val="00D72D14"/>
    <w:rsid w:val="00D768BF"/>
    <w:rsid w:val="00D80431"/>
    <w:rsid w:val="00D81005"/>
    <w:rsid w:val="00D9026B"/>
    <w:rsid w:val="00D97FD7"/>
    <w:rsid w:val="00DB30CD"/>
    <w:rsid w:val="00DB60C4"/>
    <w:rsid w:val="00DC7D9E"/>
    <w:rsid w:val="00DD10ED"/>
    <w:rsid w:val="00DF391D"/>
    <w:rsid w:val="00E04AC9"/>
    <w:rsid w:val="00E05FD7"/>
    <w:rsid w:val="00E141B5"/>
    <w:rsid w:val="00E172C9"/>
    <w:rsid w:val="00E254AC"/>
    <w:rsid w:val="00E33F62"/>
    <w:rsid w:val="00E463AA"/>
    <w:rsid w:val="00E47062"/>
    <w:rsid w:val="00E62CDA"/>
    <w:rsid w:val="00E64455"/>
    <w:rsid w:val="00E65FB5"/>
    <w:rsid w:val="00E758E0"/>
    <w:rsid w:val="00E76949"/>
    <w:rsid w:val="00E76CDF"/>
    <w:rsid w:val="00E84BB9"/>
    <w:rsid w:val="00E92712"/>
    <w:rsid w:val="00EA1971"/>
    <w:rsid w:val="00EA22EF"/>
    <w:rsid w:val="00EA3967"/>
    <w:rsid w:val="00EB0570"/>
    <w:rsid w:val="00ED5631"/>
    <w:rsid w:val="00EF43BE"/>
    <w:rsid w:val="00F035E9"/>
    <w:rsid w:val="00F078CE"/>
    <w:rsid w:val="00F11FA7"/>
    <w:rsid w:val="00F14656"/>
    <w:rsid w:val="00F14A5A"/>
    <w:rsid w:val="00F232D9"/>
    <w:rsid w:val="00F259E1"/>
    <w:rsid w:val="00F26631"/>
    <w:rsid w:val="00F37455"/>
    <w:rsid w:val="00F558C3"/>
    <w:rsid w:val="00F649E9"/>
    <w:rsid w:val="00F82A12"/>
    <w:rsid w:val="00F83052"/>
    <w:rsid w:val="00F91EC4"/>
    <w:rsid w:val="00F93337"/>
    <w:rsid w:val="00F968D7"/>
    <w:rsid w:val="00FA3278"/>
    <w:rsid w:val="00FB633E"/>
    <w:rsid w:val="00FC54B6"/>
    <w:rsid w:val="00FD7EB7"/>
    <w:rsid w:val="00FE0158"/>
    <w:rsid w:val="00FE4E71"/>
    <w:rsid w:val="00FE6688"/>
    <w:rsid w:val="00FF1B52"/>
    <w:rsid w:val="00FF2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4"/>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rsid w:val="00595624"/>
    <w:pPr>
      <w:keepNext/>
      <w:tabs>
        <w:tab w:val="left" w:pos="4320"/>
      </w:tabs>
      <w:spacing w:after="240"/>
      <w:ind w:left="1440" w:hanging="720"/>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Pr>
      <w:sz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E47062"/>
    <w:rPr>
      <w:color w:val="605E5C"/>
      <w:shd w:val="clear" w:color="auto" w:fill="E1DFDD"/>
    </w:rPr>
  </w:style>
  <w:style w:type="character" w:customStyle="1" w:styleId="HTMLPreformattedChar">
    <w:name w:val="HTML Preformatted Char"/>
    <w:aliases w:val=" Char Char"/>
    <w:link w:val="HTMLPreformatted"/>
    <w:rsid w:val="008A4AA4"/>
    <w:rPr>
      <w:rFonts w:ascii="Courier New" w:eastAsia="Courier New" w:hAnsi="Courier New" w:cs="Courier New"/>
    </w:rPr>
  </w:style>
  <w:style w:type="character" w:customStyle="1" w:styleId="FooterChar">
    <w:name w:val="Footer Char"/>
    <w:aliases w:val=" Char1 Char"/>
    <w:link w:val="Footer"/>
    <w:uiPriority w:val="99"/>
    <w:rsid w:val="008A4AA4"/>
  </w:style>
  <w:style w:type="character" w:customStyle="1" w:styleId="BodyTextIndent3Char">
    <w:name w:val="Body Text Indent 3 Char"/>
    <w:link w:val="BodyTextIndent3"/>
    <w:rsid w:val="008A4AA4"/>
    <w:rPr>
      <w:sz w:val="24"/>
    </w:rPr>
  </w:style>
  <w:style w:type="character" w:customStyle="1" w:styleId="CommentTextChar">
    <w:name w:val="Comment Text Char"/>
    <w:basedOn w:val="DefaultParagraphFont"/>
    <w:link w:val="CommentText"/>
    <w:uiPriority w:val="99"/>
    <w:semiHidden/>
    <w:rsid w:val="00B17B36"/>
    <w:rPr>
      <w:sz w:val="24"/>
      <w:szCs w:val="24"/>
    </w:rPr>
  </w:style>
  <w:style w:type="character" w:customStyle="1" w:styleId="UnresolvedMention2">
    <w:name w:val="Unresolved Mention2"/>
    <w:basedOn w:val="DefaultParagraphFont"/>
    <w:rsid w:val="00846922"/>
    <w:rPr>
      <w:color w:val="605E5C"/>
      <w:shd w:val="clear" w:color="auto" w:fill="E1DFDD"/>
    </w:rPr>
  </w:style>
  <w:style w:type="paragraph" w:styleId="ListParagraph">
    <w:name w:val="List Paragraph"/>
    <w:basedOn w:val="Normal"/>
    <w:uiPriority w:val="34"/>
    <w:qFormat/>
    <w:rsid w:val="00645175"/>
    <w:pPr>
      <w:ind w:left="720"/>
      <w:contextualSpacing/>
    </w:p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locked/>
    <w:rsid w:val="00655FFB"/>
  </w:style>
  <w:style w:type="paragraph" w:styleId="Revision">
    <w:name w:val="Revision"/>
    <w:hidden/>
    <w:uiPriority w:val="99"/>
    <w:semiHidden/>
    <w:rsid w:val="00D27E20"/>
    <w:rPr>
      <w:sz w:val="24"/>
    </w:rPr>
  </w:style>
  <w:style w:type="paragraph" w:styleId="NoSpacing">
    <w:name w:val="No Spacing"/>
    <w:uiPriority w:val="1"/>
    <w:qFormat/>
    <w:rsid w:val="00944E82"/>
    <w:rPr>
      <w:rFonts w:asciiTheme="minorHAnsi" w:eastAsiaTheme="minorHAnsi" w:hAnsiTheme="minorHAnsi" w:cstheme="minorBidi"/>
      <w:sz w:val="22"/>
      <w:szCs w:val="22"/>
    </w:rPr>
  </w:style>
  <w:style w:type="character" w:customStyle="1" w:styleId="UnresolvedMention3">
    <w:name w:val="Unresolved Mention3"/>
    <w:basedOn w:val="DefaultParagraphFont"/>
    <w:rsid w:val="0016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rner.margard@ohioAGO.gov" TargetMode="External" /><Relationship Id="rId11" Type="http://schemas.openxmlformats.org/officeDocument/2006/relationships/hyperlink" Target="mailto:david.hicks@puco.ohio.gov" TargetMode="External" /><Relationship Id="rId12" Type="http://schemas.openxmlformats.org/officeDocument/2006/relationships/hyperlink" Target="mailto:mjsettineri@vorys.com" TargetMode="External" /><Relationship Id="rId13" Type="http://schemas.openxmlformats.org/officeDocument/2006/relationships/hyperlink" Target="mailto:glpetrucci@vorys.com" TargetMode="External" /><Relationship Id="rId14" Type="http://schemas.openxmlformats.org/officeDocument/2006/relationships/hyperlink" Target="mailto:josephclark@nisource.com" TargetMode="External" /><Relationship Id="rId15" Type="http://schemas.openxmlformats.org/officeDocument/2006/relationships/hyperlink" Target="mailto:johnryan@nisource.com" TargetMode="External" /><Relationship Id="rId16" Type="http://schemas.openxmlformats.org/officeDocument/2006/relationships/hyperlink" Target="mailto:whitt@whitt-sturtevant.com" TargetMode="External" /><Relationship Id="rId17" Type="http://schemas.openxmlformats.org/officeDocument/2006/relationships/hyperlink" Target="mailto:kennedy@whitt-sturtevant.com" TargetMode="External" /><Relationship Id="rId18" Type="http://schemas.openxmlformats.org/officeDocument/2006/relationships/hyperlink" Target="mailto:fykes@whitt-sturtevant.com" TargetMode="External" /><Relationship Id="rId19" Type="http://schemas.openxmlformats.org/officeDocument/2006/relationships/hyperlink" Target="mailto:andrew.j.campbell@dominionenergy.com" TargetMode="Externa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y.botschner.obrien@occ.ohio.gov" TargetMode="External" /><Relationship Id="rId9" Type="http://schemas.openxmlformats.org/officeDocument/2006/relationships/hyperlink" Target="mailto:thomas.shepherd@ohioAG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energychoice.ohio.gov/ApplesToApplesComparision.aspx?Category=NaturalGas&amp;TerritoryId=8&amp;RateCode=1" TargetMode="External" /><Relationship Id="rId2" Type="http://schemas.openxmlformats.org/officeDocument/2006/relationships/hyperlink" Target="https://energychoice.ohio.gov/ApplesToApplesComparision.aspx?Category=NaturalGas&amp;TerritoryId=1&amp;RateCode=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8B2D-C708-4D0B-9612-241A0FC4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North Coast 21-1029 Reply --edits accepted  (00458378.DOCX;1)</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2022-01-18T22:07:56Z</dcterms:created>
  <dcterms:modified xsi:type="dcterms:W3CDTF">2022-01-18T22:07:56Z</dcterms:modified>
</cp:coreProperties>
</file>