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44" w:rsidRPr="002D54AC" w:rsidRDefault="00CB5644" w:rsidP="00CB5644">
      <w:pPr>
        <w:jc w:val="center"/>
        <w:rPr>
          <w:b/>
          <w:sz w:val="26"/>
          <w:szCs w:val="26"/>
        </w:rPr>
      </w:pPr>
      <w:bookmarkStart w:id="0" w:name="_GoBack"/>
      <w:bookmarkEnd w:id="0"/>
      <w:r w:rsidRPr="002D54AC">
        <w:rPr>
          <w:b/>
          <w:sz w:val="26"/>
          <w:szCs w:val="26"/>
        </w:rPr>
        <w:t>BEFORE</w:t>
      </w:r>
    </w:p>
    <w:p w:rsidR="00CB5644" w:rsidRDefault="00CB5644" w:rsidP="00CB5644">
      <w:pPr>
        <w:jc w:val="center"/>
        <w:rPr>
          <w:b/>
          <w:sz w:val="26"/>
          <w:szCs w:val="26"/>
        </w:rPr>
      </w:pPr>
      <w:r w:rsidRPr="002D54AC">
        <w:rPr>
          <w:b/>
          <w:sz w:val="26"/>
          <w:szCs w:val="26"/>
        </w:rPr>
        <w:t>THE PUBLIC UTILITIES COMMISSION OF OHIO</w:t>
      </w:r>
    </w:p>
    <w:p w:rsidR="00E10679" w:rsidRDefault="00E10679" w:rsidP="00CB5644">
      <w:pPr>
        <w:jc w:val="center"/>
        <w:rPr>
          <w:b/>
          <w:sz w:val="26"/>
          <w:szCs w:val="26"/>
        </w:rPr>
      </w:pPr>
    </w:p>
    <w:tbl>
      <w:tblPr>
        <w:tblW w:w="0" w:type="auto"/>
        <w:tblLook w:val="01E0" w:firstRow="1" w:lastRow="1" w:firstColumn="1" w:lastColumn="1" w:noHBand="0" w:noVBand="0"/>
      </w:tblPr>
      <w:tblGrid>
        <w:gridCol w:w="4590"/>
        <w:gridCol w:w="289"/>
        <w:gridCol w:w="4481"/>
      </w:tblGrid>
      <w:tr w:rsidR="00E10679" w:rsidTr="00E10679">
        <w:tc>
          <w:tcPr>
            <w:tcW w:w="4698" w:type="dxa"/>
          </w:tcPr>
          <w:p w:rsidR="00E10679" w:rsidRPr="00221496" w:rsidRDefault="00E10679" w:rsidP="00095AA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In the Matter of </w:t>
            </w:r>
            <w:r w:rsidR="00095AA1">
              <w:rPr>
                <w:rFonts w:ascii="Times New Roman" w:hAnsi="Times New Roman"/>
                <w:sz w:val="26"/>
                <w:szCs w:val="26"/>
              </w:rPr>
              <w:t>the Application of Duke Energy Ohio, Inc. to Adjust its Distribution Decoupling Rider</w:t>
            </w:r>
            <w:r>
              <w:rPr>
                <w:rFonts w:ascii="Times New Roman" w:hAnsi="Times New Roman"/>
                <w:sz w:val="26"/>
                <w:szCs w:val="26"/>
              </w:rPr>
              <w:t>.</w:t>
            </w:r>
          </w:p>
        </w:tc>
        <w:tc>
          <w:tcPr>
            <w:tcW w:w="270" w:type="dxa"/>
          </w:tcPr>
          <w:p w:rsidR="00E10679" w:rsidRPr="00221496" w:rsidRDefault="00E10679" w:rsidP="00E1067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E10679" w:rsidRPr="00221496" w:rsidRDefault="00E10679" w:rsidP="00E1067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E10679" w:rsidRPr="00221496" w:rsidRDefault="00E10679" w:rsidP="00E1067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E10679" w:rsidRPr="00221496" w:rsidRDefault="00E10679" w:rsidP="00095AA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r>
            <w:r w:rsidR="00095AA1">
              <w:rPr>
                <w:rFonts w:ascii="Times New Roman" w:hAnsi="Times New Roman"/>
                <w:sz w:val="26"/>
                <w:szCs w:val="26"/>
              </w:rPr>
              <w:t>11-5905-EL-RDR</w:t>
            </w:r>
          </w:p>
        </w:tc>
      </w:tr>
    </w:tbl>
    <w:p w:rsidR="00E10679" w:rsidRPr="002D54AC" w:rsidRDefault="00E10679" w:rsidP="00CB5644">
      <w:pPr>
        <w:jc w:val="center"/>
        <w:rPr>
          <w:b/>
          <w:sz w:val="26"/>
          <w:szCs w:val="26"/>
        </w:rPr>
      </w:pP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095AA1" w:rsidP="00E10679">
      <w:pPr>
        <w:pStyle w:val="Title"/>
        <w:tabs>
          <w:tab w:val="left" w:pos="9360"/>
        </w:tabs>
        <w:rPr>
          <w:rFonts w:ascii="Times New Roman" w:hAnsi="Times New Roman"/>
          <w:b/>
          <w:sz w:val="32"/>
          <w:szCs w:val="32"/>
        </w:rPr>
      </w:pPr>
      <w:r>
        <w:rPr>
          <w:rFonts w:ascii="Times New Roman" w:hAnsi="Times New Roman"/>
          <w:b/>
          <w:sz w:val="32"/>
          <w:szCs w:val="32"/>
        </w:rPr>
        <w:t>COMMENTS</w:t>
      </w:r>
    </w:p>
    <w:p w:rsidR="00E10679" w:rsidRPr="002D54AC" w:rsidRDefault="00E10679" w:rsidP="00E10679">
      <w:pPr>
        <w:pStyle w:val="PlainText"/>
        <w:jc w:val="center"/>
        <w:outlineLvl w:val="0"/>
        <w:rPr>
          <w:rFonts w:ascii="Times New Roman" w:hAnsi="Times New Roman"/>
          <w:sz w:val="26"/>
          <w:szCs w:val="26"/>
        </w:rPr>
      </w:pPr>
      <w:bookmarkStart w:id="1" w:name="_Toc260125215"/>
      <w:bookmarkStart w:id="2" w:name="_Toc260212955"/>
      <w:r>
        <w:rPr>
          <w:rFonts w:ascii="Times New Roman" w:hAnsi="Times New Roman"/>
          <w:sz w:val="26"/>
          <w:szCs w:val="26"/>
        </w:rPr>
        <w:t xml:space="preserve">SUBMITTED ON BEHALF </w:t>
      </w:r>
      <w:r w:rsidRPr="002D54AC">
        <w:rPr>
          <w:rFonts w:ascii="Times New Roman" w:hAnsi="Times New Roman"/>
          <w:sz w:val="26"/>
          <w:szCs w:val="26"/>
        </w:rPr>
        <w:t xml:space="preserve">OF THE STAFF </w:t>
      </w:r>
      <w:r>
        <w:rPr>
          <w:rFonts w:ascii="Times New Roman" w:hAnsi="Times New Roman"/>
          <w:sz w:val="26"/>
          <w:szCs w:val="26"/>
        </w:rPr>
        <w:t>OF</w:t>
      </w:r>
      <w:bookmarkEnd w:id="1"/>
      <w:bookmarkEnd w:id="2"/>
    </w:p>
    <w:p w:rsidR="00E10679" w:rsidRDefault="00E10679" w:rsidP="00E10679">
      <w:pPr>
        <w:pStyle w:val="PlainText"/>
        <w:jc w:val="center"/>
        <w:outlineLvl w:val="0"/>
        <w:rPr>
          <w:rFonts w:ascii="Times New Roman" w:hAnsi="Times New Roman"/>
          <w:sz w:val="26"/>
          <w:szCs w:val="26"/>
        </w:rPr>
      </w:pPr>
      <w:bookmarkStart w:id="3" w:name="_Toc260125216"/>
      <w:bookmarkStart w:id="4" w:name="_Toc260212956"/>
      <w:r w:rsidRPr="002D54AC">
        <w:rPr>
          <w:rFonts w:ascii="Times New Roman" w:hAnsi="Times New Roman"/>
          <w:sz w:val="26"/>
          <w:szCs w:val="26"/>
        </w:rPr>
        <w:t xml:space="preserve">THE PUBLIC UTILITIES COMMISSION OF </w:t>
      </w:r>
      <w:smartTag w:uri="urn:schemas-microsoft-com:office:smarttags" w:element="place">
        <w:smartTag w:uri="urn:schemas-microsoft-com:office:smarttags" w:element="State">
          <w:r w:rsidRPr="002D54AC">
            <w:rPr>
              <w:rFonts w:ascii="Times New Roman" w:hAnsi="Times New Roman"/>
              <w:sz w:val="26"/>
              <w:szCs w:val="26"/>
            </w:rPr>
            <w:t>OHIO</w:t>
          </w:r>
        </w:smartTag>
      </w:smartTag>
      <w:bookmarkEnd w:id="3"/>
      <w:bookmarkEnd w:id="4"/>
      <w:r w:rsidRPr="002D54AC">
        <w:rPr>
          <w:rFonts w:ascii="Times New Roman" w:hAnsi="Times New Roman"/>
          <w:sz w:val="26"/>
          <w:szCs w:val="26"/>
        </w:rPr>
        <w:t xml:space="preserve"> </w:t>
      </w: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CB5644" w:rsidP="0064436A">
      <w:pPr>
        <w:pStyle w:val="Heading1"/>
      </w:pPr>
      <w:bookmarkStart w:id="5" w:name="_Toc260212957"/>
      <w:r w:rsidRPr="00613023">
        <w:t>INTRODUCTION</w:t>
      </w:r>
      <w:bookmarkEnd w:id="5"/>
    </w:p>
    <w:p w:rsidR="00095AA1" w:rsidRDefault="00095AA1" w:rsidP="00095AA1">
      <w:pPr>
        <w:pStyle w:val="textstyle0"/>
      </w:pPr>
      <w:r>
        <w:tab/>
        <w:t xml:space="preserve">The Commission, in Case No. 11-5905-EL-AIR, authorized the Duke Energy Ohio, Inc. (Company) to initiate a three year pilot program establishing the Distribution Decoupling Rider (DDR) as a rate decoupling mechanism.  The use of </w:t>
      </w:r>
      <w:proofErr w:type="spellStart"/>
      <w:r>
        <w:t>DDR</w:t>
      </w:r>
      <w:proofErr w:type="spellEnd"/>
      <w:r>
        <w:t xml:space="preserve"> should remove revenue</w:t>
      </w:r>
      <w:r w:rsidR="00380419">
        <w:t>-</w:t>
      </w:r>
      <w:r>
        <w:t xml:space="preserve">related disincentives that </w:t>
      </w:r>
      <w:r w:rsidR="00380419">
        <w:t>the Company</w:t>
      </w:r>
      <w:r>
        <w:t xml:space="preserve"> may have to implement energy efficiency programs, while also removing the “lost distribution revenues” that would otherwise potentially be recovered as a part of the Company’s energy efficiency program costs.  The Commission directed </w:t>
      </w:r>
      <w:r w:rsidR="00380419">
        <w:t>the Company</w:t>
      </w:r>
      <w:r>
        <w:t xml:space="preserve"> to establish the DDR at an initial zero dollar level, and then to file annual updates establishing non-zero rates for the rider for three successive calendar years.  The </w:t>
      </w:r>
      <w:r w:rsidR="009C64B2">
        <w:t>p</w:t>
      </w:r>
      <w:r>
        <w:t>ilot will be for the years 2012, 2013 and 2014 with the rider applicable for July 2013 through June 2016.  The rates should be based upon actual observed differences between distribution revenues collected through volumetric charges for each kilowatt-hour sold, and the test year target volumetric distri</w:t>
      </w:r>
      <w:r w:rsidR="004F329E">
        <w:softHyphen/>
      </w:r>
      <w:r>
        <w:t>bution reve</w:t>
      </w:r>
      <w:r w:rsidR="00470559">
        <w:softHyphen/>
      </w:r>
      <w:r>
        <w:t xml:space="preserve">nues established in Case No. 08-0709-EL-AIR.   </w:t>
      </w:r>
    </w:p>
    <w:p w:rsidR="00095AA1" w:rsidRDefault="00095AA1" w:rsidP="00095AA1">
      <w:pPr>
        <w:pStyle w:val="textstyle0"/>
      </w:pPr>
      <w:r>
        <w:lastRenderedPageBreak/>
        <w:tab/>
        <w:t xml:space="preserve">The </w:t>
      </w:r>
      <w:r w:rsidR="00380419">
        <w:t xml:space="preserve">application </w:t>
      </w:r>
      <w:r>
        <w:t xml:space="preserve">filed on February 25, 2015 is the third application to establish non-zero rates.  The filing includes rate calculations and supporting schedules for three rate classes – Residential Class, Rate EH - Optional Rate for Electric Space Heating, and Rate DM - Secondary Distribution Service - Small.  The </w:t>
      </w:r>
      <w:r w:rsidR="00380419">
        <w:t xml:space="preserve">application </w:t>
      </w:r>
      <w:r>
        <w:t xml:space="preserve">filed on February 26, 2013 was the first application to establish non-zero rates and the </w:t>
      </w:r>
      <w:r w:rsidR="00380419">
        <w:t xml:space="preserve">application </w:t>
      </w:r>
      <w:r>
        <w:t>filed on February 26, 2014 was the second application to establish non-zero rates.</w:t>
      </w:r>
    </w:p>
    <w:p w:rsidR="00095AA1" w:rsidRDefault="00095AA1" w:rsidP="00095AA1">
      <w:pPr>
        <w:pStyle w:val="textstyle0"/>
      </w:pPr>
      <w:r>
        <w:tab/>
        <w:t xml:space="preserve">The Commission also directed </w:t>
      </w:r>
      <w:r w:rsidR="00380419">
        <w:t>the Company</w:t>
      </w:r>
      <w:r>
        <w:t xml:space="preserve"> to file a set of metrics to be used for the purpose of evaluating the pilot program.  The Company made such filing, as directed, on November 29, 2012 in Case No. 10-3126-EL-UNC, “Aligning Electric Dis</w:t>
      </w:r>
      <w:r w:rsidR="004F329E">
        <w:softHyphen/>
      </w:r>
      <w:r>
        <w:t xml:space="preserve">tribution Utility Rate Structure.” </w:t>
      </w:r>
    </w:p>
    <w:p w:rsidR="00095AA1" w:rsidRPr="003D46CA" w:rsidRDefault="00095AA1" w:rsidP="00095AA1">
      <w:pPr>
        <w:pStyle w:val="Heading1"/>
      </w:pPr>
      <w:r w:rsidRPr="003D46CA">
        <w:t>Analysis and Recommendations</w:t>
      </w:r>
    </w:p>
    <w:p w:rsidR="00095AA1" w:rsidRDefault="00095AA1" w:rsidP="00095AA1">
      <w:pPr>
        <w:pStyle w:val="textstyle0"/>
      </w:pPr>
      <w:r>
        <w:tab/>
        <w:t xml:space="preserve">Staff reviewed the filing for accuracy and reasonableness.  The rates appear to be accurately calculated using appropriate rate determinants and appropriate methodology.  Staff supports approval of the rates as filed.  </w:t>
      </w:r>
    </w:p>
    <w:p w:rsidR="00095AA1" w:rsidRDefault="00095AA1" w:rsidP="00095AA1">
      <w:pPr>
        <w:pStyle w:val="textstyle0"/>
      </w:pPr>
      <w:r>
        <w:tab/>
        <w:t>With regard to the proposed metrics, Staff is waiting for the Company to file the study of results to draw any conclusions.  It may be useful to make a couple of prelimi</w:t>
      </w:r>
      <w:r w:rsidR="004F329E">
        <w:softHyphen/>
      </w:r>
      <w:r>
        <w:t xml:space="preserve">nary observations.  </w:t>
      </w:r>
    </w:p>
    <w:p w:rsidR="00095AA1" w:rsidRPr="00095AA1" w:rsidRDefault="00095AA1" w:rsidP="00095AA1">
      <w:pPr>
        <w:pStyle w:val="ListParagraph"/>
        <w:numPr>
          <w:ilvl w:val="0"/>
          <w:numId w:val="7"/>
        </w:numPr>
        <w:rPr>
          <w:rFonts w:ascii="Times New Roman" w:hAnsi="Times New Roman" w:cs="Times New Roman"/>
          <w:sz w:val="26"/>
          <w:szCs w:val="26"/>
        </w:rPr>
      </w:pPr>
      <w:r w:rsidRPr="00095AA1">
        <w:rPr>
          <w:rFonts w:ascii="Times New Roman" w:hAnsi="Times New Roman" w:cs="Times New Roman"/>
          <w:sz w:val="26"/>
          <w:szCs w:val="26"/>
        </w:rPr>
        <w:t xml:space="preserve">The DDR rates are as follows.  </w:t>
      </w:r>
      <w:r>
        <w:rPr>
          <w:rFonts w:ascii="Times New Roman" w:hAnsi="Times New Roman" w:cs="Times New Roman"/>
          <w:sz w:val="26"/>
          <w:szCs w:val="26"/>
        </w:rPr>
        <w:br w:type="page"/>
      </w:r>
    </w:p>
    <w:tbl>
      <w:tblPr>
        <w:tblW w:w="4920" w:type="dxa"/>
        <w:jc w:val="center"/>
        <w:tblLook w:val="04A0" w:firstRow="1" w:lastRow="0" w:firstColumn="1" w:lastColumn="0" w:noHBand="0" w:noVBand="1"/>
      </w:tblPr>
      <w:tblGrid>
        <w:gridCol w:w="2162"/>
        <w:gridCol w:w="1281"/>
        <w:gridCol w:w="1477"/>
      </w:tblGrid>
      <w:tr w:rsidR="00095AA1" w:rsidRPr="00095AA1" w:rsidTr="00095AA1">
        <w:trPr>
          <w:trHeight w:val="300"/>
          <w:jc w:val="center"/>
        </w:trPr>
        <w:tc>
          <w:tcPr>
            <w:tcW w:w="4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A1" w:rsidRPr="00095AA1" w:rsidRDefault="00095AA1" w:rsidP="00230A2C">
            <w:pPr>
              <w:jc w:val="center"/>
              <w:rPr>
                <w:color w:val="000000"/>
                <w:sz w:val="26"/>
                <w:szCs w:val="26"/>
              </w:rPr>
            </w:pPr>
            <w:r w:rsidRPr="00095AA1">
              <w:rPr>
                <w:color w:val="000000"/>
                <w:sz w:val="26"/>
                <w:szCs w:val="26"/>
              </w:rPr>
              <w:t>Magnitude of DDR Rates (cents / KWh)</w:t>
            </w:r>
          </w:p>
        </w:tc>
      </w:tr>
      <w:tr w:rsidR="00095AA1" w:rsidRPr="00095AA1" w:rsidTr="00095AA1">
        <w:trPr>
          <w:trHeight w:val="300"/>
          <w:jc w:val="center"/>
        </w:trPr>
        <w:tc>
          <w:tcPr>
            <w:tcW w:w="4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A1" w:rsidRPr="00095AA1" w:rsidRDefault="00095AA1" w:rsidP="00230A2C">
            <w:pPr>
              <w:rPr>
                <w:color w:val="000000"/>
                <w:sz w:val="26"/>
                <w:szCs w:val="26"/>
              </w:rPr>
            </w:pPr>
            <w:r w:rsidRPr="00095AA1">
              <w:rPr>
                <w:color w:val="000000"/>
                <w:sz w:val="26"/>
                <w:szCs w:val="26"/>
              </w:rPr>
              <w:t> </w:t>
            </w:r>
          </w:p>
        </w:tc>
      </w:tr>
      <w:tr w:rsidR="00095AA1" w:rsidRPr="00095AA1" w:rsidTr="00095AA1">
        <w:trPr>
          <w:trHeight w:val="300"/>
          <w:jc w:val="center"/>
        </w:trPr>
        <w:tc>
          <w:tcPr>
            <w:tcW w:w="2162" w:type="dxa"/>
            <w:tcBorders>
              <w:top w:val="nil"/>
              <w:left w:val="single" w:sz="4" w:space="0" w:color="auto"/>
              <w:bottom w:val="single" w:sz="4" w:space="0" w:color="auto"/>
              <w:right w:val="single" w:sz="4" w:space="0" w:color="auto"/>
            </w:tcBorders>
            <w:shd w:val="clear" w:color="auto" w:fill="auto"/>
            <w:noWrap/>
            <w:vAlign w:val="bottom"/>
            <w:hideMark/>
          </w:tcPr>
          <w:p w:rsidR="00095AA1" w:rsidRPr="00095AA1" w:rsidRDefault="00095AA1" w:rsidP="00230A2C">
            <w:pPr>
              <w:jc w:val="center"/>
              <w:rPr>
                <w:color w:val="000000"/>
                <w:sz w:val="26"/>
                <w:szCs w:val="26"/>
              </w:rPr>
            </w:pPr>
            <w:r w:rsidRPr="00095AA1">
              <w:rPr>
                <w:color w:val="000000"/>
                <w:sz w:val="26"/>
                <w:szCs w:val="26"/>
              </w:rPr>
              <w:t>Residential</w:t>
            </w:r>
          </w:p>
        </w:tc>
        <w:tc>
          <w:tcPr>
            <w:tcW w:w="1281" w:type="dxa"/>
            <w:tcBorders>
              <w:top w:val="nil"/>
              <w:left w:val="nil"/>
              <w:bottom w:val="single" w:sz="4" w:space="0" w:color="auto"/>
              <w:right w:val="single" w:sz="4" w:space="0" w:color="auto"/>
            </w:tcBorders>
            <w:shd w:val="clear" w:color="auto" w:fill="auto"/>
            <w:noWrap/>
            <w:vAlign w:val="bottom"/>
            <w:hideMark/>
          </w:tcPr>
          <w:p w:rsidR="00095AA1" w:rsidRPr="00095AA1" w:rsidRDefault="00095AA1" w:rsidP="00230A2C">
            <w:pPr>
              <w:jc w:val="center"/>
              <w:rPr>
                <w:color w:val="000000"/>
                <w:sz w:val="26"/>
                <w:szCs w:val="26"/>
              </w:rPr>
            </w:pPr>
            <w:r w:rsidRPr="00095AA1">
              <w:rPr>
                <w:color w:val="000000"/>
                <w:sz w:val="26"/>
                <w:szCs w:val="26"/>
              </w:rPr>
              <w:t>EH</w:t>
            </w:r>
          </w:p>
        </w:tc>
        <w:tc>
          <w:tcPr>
            <w:tcW w:w="1477" w:type="dxa"/>
            <w:tcBorders>
              <w:top w:val="nil"/>
              <w:left w:val="nil"/>
              <w:bottom w:val="single" w:sz="4" w:space="0" w:color="auto"/>
              <w:right w:val="single" w:sz="4" w:space="0" w:color="auto"/>
            </w:tcBorders>
            <w:shd w:val="clear" w:color="auto" w:fill="auto"/>
            <w:noWrap/>
            <w:vAlign w:val="bottom"/>
            <w:hideMark/>
          </w:tcPr>
          <w:p w:rsidR="00095AA1" w:rsidRPr="00095AA1" w:rsidRDefault="00095AA1" w:rsidP="00230A2C">
            <w:pPr>
              <w:jc w:val="center"/>
              <w:rPr>
                <w:color w:val="000000"/>
                <w:sz w:val="26"/>
                <w:szCs w:val="26"/>
              </w:rPr>
            </w:pPr>
            <w:r w:rsidRPr="00095AA1">
              <w:rPr>
                <w:color w:val="000000"/>
                <w:sz w:val="26"/>
                <w:szCs w:val="26"/>
              </w:rPr>
              <w:t>DM</w:t>
            </w:r>
          </w:p>
        </w:tc>
      </w:tr>
      <w:tr w:rsidR="00095AA1" w:rsidRPr="00095AA1" w:rsidTr="00095AA1">
        <w:trPr>
          <w:trHeight w:val="300"/>
          <w:jc w:val="center"/>
        </w:trPr>
        <w:tc>
          <w:tcPr>
            <w:tcW w:w="2162" w:type="dxa"/>
            <w:tcBorders>
              <w:top w:val="nil"/>
              <w:left w:val="single" w:sz="4" w:space="0" w:color="auto"/>
              <w:bottom w:val="single" w:sz="4" w:space="0" w:color="auto"/>
              <w:right w:val="single" w:sz="4" w:space="0" w:color="auto"/>
            </w:tcBorders>
            <w:shd w:val="clear" w:color="auto" w:fill="auto"/>
            <w:noWrap/>
            <w:vAlign w:val="bottom"/>
            <w:hideMark/>
          </w:tcPr>
          <w:p w:rsidR="00095AA1" w:rsidRPr="00095AA1" w:rsidRDefault="00095AA1" w:rsidP="00230A2C">
            <w:pPr>
              <w:jc w:val="right"/>
              <w:rPr>
                <w:color w:val="000000"/>
                <w:sz w:val="26"/>
                <w:szCs w:val="26"/>
              </w:rPr>
            </w:pPr>
            <w:r w:rsidRPr="00095AA1">
              <w:rPr>
                <w:color w:val="000000"/>
                <w:sz w:val="26"/>
                <w:szCs w:val="26"/>
              </w:rPr>
              <w:t>(0.000854)</w:t>
            </w:r>
          </w:p>
        </w:tc>
        <w:tc>
          <w:tcPr>
            <w:tcW w:w="1281" w:type="dxa"/>
            <w:tcBorders>
              <w:top w:val="nil"/>
              <w:left w:val="nil"/>
              <w:bottom w:val="single" w:sz="4" w:space="0" w:color="auto"/>
              <w:right w:val="single" w:sz="4" w:space="0" w:color="auto"/>
            </w:tcBorders>
            <w:shd w:val="clear" w:color="auto" w:fill="auto"/>
            <w:noWrap/>
            <w:vAlign w:val="bottom"/>
            <w:hideMark/>
          </w:tcPr>
          <w:p w:rsidR="00095AA1" w:rsidRPr="00095AA1" w:rsidRDefault="00095AA1" w:rsidP="00230A2C">
            <w:pPr>
              <w:jc w:val="right"/>
              <w:rPr>
                <w:color w:val="000000"/>
                <w:sz w:val="26"/>
                <w:szCs w:val="26"/>
              </w:rPr>
            </w:pPr>
            <w:r w:rsidRPr="00095AA1">
              <w:rPr>
                <w:color w:val="000000"/>
                <w:sz w:val="26"/>
                <w:szCs w:val="26"/>
              </w:rPr>
              <w:t xml:space="preserve">0.007436 </w:t>
            </w:r>
          </w:p>
        </w:tc>
        <w:tc>
          <w:tcPr>
            <w:tcW w:w="1477" w:type="dxa"/>
            <w:tcBorders>
              <w:top w:val="nil"/>
              <w:left w:val="nil"/>
              <w:bottom w:val="single" w:sz="4" w:space="0" w:color="auto"/>
              <w:right w:val="single" w:sz="4" w:space="0" w:color="auto"/>
            </w:tcBorders>
            <w:shd w:val="clear" w:color="auto" w:fill="auto"/>
            <w:noWrap/>
            <w:vAlign w:val="bottom"/>
            <w:hideMark/>
          </w:tcPr>
          <w:p w:rsidR="00095AA1" w:rsidRPr="00095AA1" w:rsidRDefault="00095AA1" w:rsidP="00230A2C">
            <w:pPr>
              <w:jc w:val="right"/>
              <w:rPr>
                <w:color w:val="000000"/>
                <w:sz w:val="26"/>
                <w:szCs w:val="26"/>
              </w:rPr>
            </w:pPr>
            <w:r w:rsidRPr="00095AA1">
              <w:rPr>
                <w:color w:val="000000"/>
                <w:sz w:val="26"/>
                <w:szCs w:val="26"/>
              </w:rPr>
              <w:t>(0.002310)</w:t>
            </w:r>
          </w:p>
        </w:tc>
      </w:tr>
    </w:tbl>
    <w:p w:rsidR="00095AA1" w:rsidRPr="00095AA1" w:rsidRDefault="00095AA1" w:rsidP="00095AA1">
      <w:pPr>
        <w:rPr>
          <w:sz w:val="26"/>
          <w:szCs w:val="26"/>
        </w:rPr>
      </w:pPr>
    </w:p>
    <w:p w:rsidR="00095AA1" w:rsidRPr="00095AA1" w:rsidRDefault="00095AA1" w:rsidP="00095AA1">
      <w:pPr>
        <w:ind w:left="1800" w:firstLine="360"/>
        <w:rPr>
          <w:sz w:val="26"/>
          <w:szCs w:val="26"/>
        </w:rPr>
      </w:pPr>
    </w:p>
    <w:tbl>
      <w:tblPr>
        <w:tblW w:w="4837" w:type="dxa"/>
        <w:jc w:val="center"/>
        <w:tblLook w:val="04A0" w:firstRow="1" w:lastRow="0" w:firstColumn="1" w:lastColumn="0" w:noHBand="0" w:noVBand="1"/>
      </w:tblPr>
      <w:tblGrid>
        <w:gridCol w:w="2850"/>
        <w:gridCol w:w="919"/>
        <w:gridCol w:w="1068"/>
      </w:tblGrid>
      <w:tr w:rsidR="00095AA1" w:rsidRPr="00095AA1" w:rsidTr="00095AA1">
        <w:trPr>
          <w:trHeight w:val="300"/>
          <w:jc w:val="center"/>
        </w:trPr>
        <w:tc>
          <w:tcPr>
            <w:tcW w:w="4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A1" w:rsidRPr="00095AA1" w:rsidRDefault="00095AA1" w:rsidP="00230A2C">
            <w:pPr>
              <w:jc w:val="center"/>
              <w:rPr>
                <w:color w:val="000000"/>
                <w:sz w:val="26"/>
                <w:szCs w:val="26"/>
              </w:rPr>
            </w:pPr>
            <w:r w:rsidRPr="00095AA1">
              <w:rPr>
                <w:color w:val="000000"/>
                <w:sz w:val="26"/>
                <w:szCs w:val="26"/>
              </w:rPr>
              <w:t>Percent Change from 2014 DDR Rates</w:t>
            </w:r>
          </w:p>
        </w:tc>
      </w:tr>
      <w:tr w:rsidR="00095AA1" w:rsidRPr="00095AA1" w:rsidTr="00095AA1">
        <w:trPr>
          <w:trHeight w:val="300"/>
          <w:jc w:val="center"/>
        </w:trPr>
        <w:tc>
          <w:tcPr>
            <w:tcW w:w="4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A1" w:rsidRPr="00095AA1" w:rsidRDefault="00095AA1" w:rsidP="00230A2C">
            <w:pPr>
              <w:rPr>
                <w:color w:val="000000"/>
                <w:sz w:val="26"/>
                <w:szCs w:val="26"/>
              </w:rPr>
            </w:pPr>
            <w:r w:rsidRPr="00095AA1">
              <w:rPr>
                <w:color w:val="000000"/>
                <w:sz w:val="26"/>
                <w:szCs w:val="26"/>
              </w:rPr>
              <w:t> </w:t>
            </w:r>
          </w:p>
        </w:tc>
      </w:tr>
      <w:tr w:rsidR="00095AA1" w:rsidRPr="00095AA1" w:rsidTr="00095AA1">
        <w:trPr>
          <w:trHeight w:val="30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095AA1" w:rsidRPr="00095AA1" w:rsidRDefault="00095AA1" w:rsidP="00230A2C">
            <w:pPr>
              <w:jc w:val="center"/>
              <w:rPr>
                <w:color w:val="000000"/>
                <w:sz w:val="26"/>
                <w:szCs w:val="26"/>
              </w:rPr>
            </w:pPr>
            <w:r w:rsidRPr="00095AA1">
              <w:rPr>
                <w:color w:val="000000"/>
                <w:sz w:val="26"/>
                <w:szCs w:val="26"/>
              </w:rPr>
              <w:t>Residential</w:t>
            </w:r>
          </w:p>
        </w:tc>
        <w:tc>
          <w:tcPr>
            <w:tcW w:w="919" w:type="dxa"/>
            <w:tcBorders>
              <w:top w:val="nil"/>
              <w:left w:val="nil"/>
              <w:bottom w:val="single" w:sz="4" w:space="0" w:color="auto"/>
              <w:right w:val="single" w:sz="4" w:space="0" w:color="auto"/>
            </w:tcBorders>
            <w:shd w:val="clear" w:color="auto" w:fill="auto"/>
            <w:noWrap/>
            <w:vAlign w:val="bottom"/>
            <w:hideMark/>
          </w:tcPr>
          <w:p w:rsidR="00095AA1" w:rsidRPr="00095AA1" w:rsidRDefault="00095AA1" w:rsidP="00230A2C">
            <w:pPr>
              <w:jc w:val="center"/>
              <w:rPr>
                <w:color w:val="000000"/>
                <w:sz w:val="26"/>
                <w:szCs w:val="26"/>
              </w:rPr>
            </w:pPr>
            <w:r w:rsidRPr="00095AA1">
              <w:rPr>
                <w:color w:val="000000"/>
                <w:sz w:val="26"/>
                <w:szCs w:val="26"/>
              </w:rPr>
              <w:t>EH</w:t>
            </w:r>
          </w:p>
        </w:tc>
        <w:tc>
          <w:tcPr>
            <w:tcW w:w="1068" w:type="dxa"/>
            <w:tcBorders>
              <w:top w:val="nil"/>
              <w:left w:val="nil"/>
              <w:bottom w:val="single" w:sz="4" w:space="0" w:color="auto"/>
              <w:right w:val="single" w:sz="4" w:space="0" w:color="auto"/>
            </w:tcBorders>
            <w:shd w:val="clear" w:color="auto" w:fill="auto"/>
            <w:noWrap/>
            <w:vAlign w:val="bottom"/>
            <w:hideMark/>
          </w:tcPr>
          <w:p w:rsidR="00095AA1" w:rsidRPr="00095AA1" w:rsidRDefault="00095AA1" w:rsidP="00230A2C">
            <w:pPr>
              <w:jc w:val="center"/>
              <w:rPr>
                <w:color w:val="000000"/>
                <w:sz w:val="26"/>
                <w:szCs w:val="26"/>
              </w:rPr>
            </w:pPr>
            <w:r w:rsidRPr="00095AA1">
              <w:rPr>
                <w:color w:val="000000"/>
                <w:sz w:val="26"/>
                <w:szCs w:val="26"/>
              </w:rPr>
              <w:t>DM</w:t>
            </w:r>
          </w:p>
        </w:tc>
      </w:tr>
      <w:tr w:rsidR="00095AA1" w:rsidRPr="00095AA1" w:rsidTr="00095AA1">
        <w:trPr>
          <w:trHeight w:val="300"/>
          <w:jc w:val="center"/>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095AA1" w:rsidRPr="00095AA1" w:rsidRDefault="00095AA1" w:rsidP="00230A2C">
            <w:pPr>
              <w:jc w:val="right"/>
              <w:rPr>
                <w:color w:val="000000"/>
                <w:sz w:val="26"/>
                <w:szCs w:val="26"/>
              </w:rPr>
            </w:pPr>
            <w:r w:rsidRPr="00095AA1">
              <w:rPr>
                <w:color w:val="000000"/>
                <w:sz w:val="26"/>
                <w:szCs w:val="26"/>
              </w:rPr>
              <w:t>-151%</w:t>
            </w:r>
          </w:p>
        </w:tc>
        <w:tc>
          <w:tcPr>
            <w:tcW w:w="919" w:type="dxa"/>
            <w:tcBorders>
              <w:top w:val="nil"/>
              <w:left w:val="nil"/>
              <w:bottom w:val="single" w:sz="4" w:space="0" w:color="auto"/>
              <w:right w:val="single" w:sz="4" w:space="0" w:color="auto"/>
            </w:tcBorders>
            <w:shd w:val="clear" w:color="auto" w:fill="auto"/>
            <w:noWrap/>
            <w:vAlign w:val="bottom"/>
            <w:hideMark/>
          </w:tcPr>
          <w:p w:rsidR="00095AA1" w:rsidRPr="00095AA1" w:rsidRDefault="00095AA1" w:rsidP="00230A2C">
            <w:pPr>
              <w:jc w:val="right"/>
              <w:rPr>
                <w:color w:val="000000"/>
                <w:sz w:val="26"/>
                <w:szCs w:val="26"/>
              </w:rPr>
            </w:pPr>
            <w:r w:rsidRPr="00095AA1">
              <w:rPr>
                <w:color w:val="000000"/>
                <w:sz w:val="26"/>
                <w:szCs w:val="26"/>
              </w:rPr>
              <w:t>10%</w:t>
            </w:r>
          </w:p>
        </w:tc>
        <w:tc>
          <w:tcPr>
            <w:tcW w:w="1068" w:type="dxa"/>
            <w:tcBorders>
              <w:top w:val="nil"/>
              <w:left w:val="nil"/>
              <w:bottom w:val="single" w:sz="4" w:space="0" w:color="auto"/>
              <w:right w:val="single" w:sz="4" w:space="0" w:color="auto"/>
            </w:tcBorders>
            <w:shd w:val="clear" w:color="auto" w:fill="auto"/>
            <w:noWrap/>
            <w:vAlign w:val="bottom"/>
            <w:hideMark/>
          </w:tcPr>
          <w:p w:rsidR="00095AA1" w:rsidRPr="00095AA1" w:rsidRDefault="00095AA1" w:rsidP="00230A2C">
            <w:pPr>
              <w:jc w:val="right"/>
              <w:rPr>
                <w:color w:val="000000"/>
                <w:sz w:val="26"/>
                <w:szCs w:val="26"/>
              </w:rPr>
            </w:pPr>
            <w:r w:rsidRPr="00095AA1">
              <w:rPr>
                <w:color w:val="000000"/>
                <w:sz w:val="26"/>
                <w:szCs w:val="26"/>
              </w:rPr>
              <w:t>-80%</w:t>
            </w:r>
          </w:p>
        </w:tc>
      </w:tr>
    </w:tbl>
    <w:p w:rsidR="00095AA1" w:rsidRDefault="00095AA1" w:rsidP="00095AA1">
      <w:pPr>
        <w:ind w:left="1800" w:firstLine="360"/>
      </w:pPr>
      <w:r>
        <w:tab/>
      </w:r>
    </w:p>
    <w:p w:rsidR="00095AA1" w:rsidRDefault="00095AA1" w:rsidP="00095AA1"/>
    <w:p w:rsidR="00095AA1" w:rsidRPr="00095AA1" w:rsidRDefault="00095AA1" w:rsidP="00095AA1">
      <w:pPr>
        <w:pStyle w:val="ListParagraph"/>
        <w:numPr>
          <w:ilvl w:val="0"/>
          <w:numId w:val="7"/>
        </w:numPr>
        <w:rPr>
          <w:rFonts w:ascii="Times New Roman" w:hAnsi="Times New Roman" w:cs="Times New Roman"/>
          <w:sz w:val="26"/>
          <w:szCs w:val="26"/>
        </w:rPr>
      </w:pPr>
      <w:r w:rsidRPr="00095AA1">
        <w:rPr>
          <w:rFonts w:ascii="Times New Roman" w:hAnsi="Times New Roman" w:cs="Times New Roman"/>
          <w:sz w:val="26"/>
          <w:szCs w:val="26"/>
        </w:rPr>
        <w:t>DDR rates reflect both positive and negative differences between actual monthly volumetric distribution revenues and the targeted volumetric distribution levels; the 2015 annual filing produces credits for two rate classes.</w:t>
      </w:r>
    </w:p>
    <w:p w:rsidR="00095AA1" w:rsidRDefault="00095AA1" w:rsidP="00095AA1">
      <w:pPr>
        <w:pStyle w:val="textstyle0"/>
      </w:pPr>
      <w:r>
        <w:tab/>
        <w:t xml:space="preserve">Further observations and any analysis will benefit from more complete data as the study results are filed this year.  </w:t>
      </w:r>
    </w:p>
    <w:p w:rsidR="00095AA1" w:rsidRDefault="00095AA1" w:rsidP="00095AA1">
      <w:pPr>
        <w:pStyle w:val="textstyle0"/>
      </w:pPr>
      <w:r>
        <w:tab/>
        <w:t>The Commission ordered the Company to formulate a study of the results of the decoupling pilot program to be completed and filed by the conclusion of the third year of the pilot program in Case No 11-5905-EL-RDR</w:t>
      </w:r>
      <w:r w:rsidDel="003E4745">
        <w:t xml:space="preserve"> </w:t>
      </w:r>
      <w:r>
        <w:t>(Case No 11-5905-EL-RDR, 05/30/2012 Finding and Order, paragraph 11).  Staff recommends</w:t>
      </w:r>
      <w:r w:rsidR="003605FF">
        <w:t xml:space="preserve"> to</w:t>
      </w:r>
      <w:r>
        <w:t xml:space="preserve"> the Commission that the Company </w:t>
      </w:r>
      <w:r w:rsidR="003605FF">
        <w:t xml:space="preserve">be </w:t>
      </w:r>
      <w:r>
        <w:t>required to file the results of the study before the DDR rate adjustments go into effect, July 1, 2015.  The Commission should also clarify that the study should com</w:t>
      </w:r>
      <w:r w:rsidR="00470559">
        <w:softHyphen/>
      </w:r>
      <w:r>
        <w:t>pare the distribution revenues received under DDR v</w:t>
      </w:r>
      <w:r w:rsidR="00380419">
        <w:t>ersu</w:t>
      </w:r>
      <w:r>
        <w:t>s the revenues that would have been received absent the DDR.</w:t>
      </w:r>
    </w:p>
    <w:p w:rsidR="00095AA1" w:rsidRDefault="00095AA1" w:rsidP="00095AA1">
      <w:pPr>
        <w:pStyle w:val="textstyle0"/>
      </w:pPr>
      <w:r>
        <w:tab/>
        <w:t xml:space="preserve">For purposes of evaluating the DDR, Staff recommends </w:t>
      </w:r>
      <w:r w:rsidR="009C64B2">
        <w:t xml:space="preserve">that </w:t>
      </w:r>
      <w:r>
        <w:t>the Commission direct the Company to submit a complete analysis of the DDR in terms of how well it achieved the objectives of decoupling distribution revenues from sales volumes, and removing disin</w:t>
      </w:r>
      <w:r w:rsidR="004F329E">
        <w:softHyphen/>
      </w:r>
      <w:r>
        <w:t xml:space="preserve">centives to offer energy efficiency.  This will provide the opportunity for review and comment by Staff, interveners, and the Commission.  </w:t>
      </w:r>
    </w:p>
    <w:p w:rsidR="00095AA1" w:rsidRPr="00B019A2" w:rsidRDefault="00095AA1" w:rsidP="00095AA1"/>
    <w:p w:rsidR="00200A0A" w:rsidRPr="0064436A" w:rsidRDefault="00200A0A" w:rsidP="007A2B5F">
      <w:pPr>
        <w:tabs>
          <w:tab w:val="left" w:pos="9348"/>
        </w:tabs>
        <w:spacing w:line="480" w:lineRule="auto"/>
        <w:ind w:left="5040"/>
        <w:rPr>
          <w:sz w:val="26"/>
          <w:szCs w:val="26"/>
        </w:rPr>
      </w:pPr>
      <w:r w:rsidRPr="0064436A">
        <w:rPr>
          <w:sz w:val="26"/>
          <w:szCs w:val="26"/>
        </w:rPr>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200A0A" w:rsidRPr="0064436A" w:rsidRDefault="00200A0A" w:rsidP="00200A0A">
      <w:pPr>
        <w:tabs>
          <w:tab w:val="left" w:pos="9348"/>
        </w:tabs>
        <w:ind w:left="5040"/>
        <w:rPr>
          <w:sz w:val="26"/>
          <w:szCs w:val="26"/>
        </w:rPr>
      </w:pPr>
    </w:p>
    <w:p w:rsidR="00200A0A" w:rsidRPr="0064436A" w:rsidRDefault="000C2E91" w:rsidP="00200A0A">
      <w:pPr>
        <w:tabs>
          <w:tab w:val="left" w:pos="9348"/>
        </w:tabs>
        <w:ind w:left="5040"/>
        <w:rPr>
          <w:sz w:val="26"/>
          <w:szCs w:val="26"/>
          <w:u w:val="single"/>
        </w:rPr>
      </w:pPr>
      <w:r>
        <w:rPr>
          <w:rFonts w:ascii="AR BERKLEY" w:hAnsi="AR BERKLEY"/>
          <w:sz w:val="32"/>
          <w:szCs w:val="32"/>
          <w:u w:val="single"/>
        </w:rPr>
        <w:t>Ryan P. O’Rourke</w:t>
      </w:r>
      <w:r w:rsidR="00200A0A" w:rsidRPr="0064436A">
        <w:rPr>
          <w:sz w:val="26"/>
          <w:szCs w:val="26"/>
          <w:u w:val="single"/>
        </w:rPr>
        <w:tab/>
      </w:r>
    </w:p>
    <w:p w:rsidR="00E45A7D" w:rsidRPr="0064436A" w:rsidRDefault="00095AA1" w:rsidP="00E45A7D">
      <w:pPr>
        <w:tabs>
          <w:tab w:val="left" w:pos="9348"/>
        </w:tabs>
        <w:ind w:left="5040"/>
        <w:rPr>
          <w:b/>
          <w:sz w:val="26"/>
          <w:szCs w:val="26"/>
        </w:rPr>
      </w:pPr>
      <w:r>
        <w:rPr>
          <w:b/>
          <w:sz w:val="26"/>
          <w:szCs w:val="26"/>
        </w:rPr>
        <w:t>Ryan P. O’Rourke</w:t>
      </w:r>
    </w:p>
    <w:p w:rsidR="00200A0A" w:rsidRPr="0064436A" w:rsidRDefault="00200A0A" w:rsidP="00200A0A">
      <w:pPr>
        <w:tabs>
          <w:tab w:val="left" w:pos="9348"/>
        </w:tabs>
        <w:ind w:left="5040"/>
        <w:rPr>
          <w:sz w:val="26"/>
          <w:szCs w:val="26"/>
        </w:rPr>
      </w:pPr>
      <w:r w:rsidRPr="0064436A">
        <w:rPr>
          <w:sz w:val="26"/>
          <w:szCs w:val="26"/>
        </w:rPr>
        <w:t>Assistant Attorney General</w:t>
      </w:r>
    </w:p>
    <w:p w:rsidR="00200A0A" w:rsidRPr="0064436A" w:rsidRDefault="00200A0A" w:rsidP="00200A0A">
      <w:pPr>
        <w:tabs>
          <w:tab w:val="left" w:pos="9348"/>
        </w:tabs>
        <w:ind w:left="5040"/>
        <w:rPr>
          <w:sz w:val="26"/>
          <w:szCs w:val="26"/>
        </w:rPr>
      </w:pPr>
      <w:r w:rsidRPr="0064436A">
        <w:rPr>
          <w:sz w:val="26"/>
          <w:szCs w:val="26"/>
        </w:rPr>
        <w:t>Public Utilities Section</w:t>
      </w:r>
    </w:p>
    <w:p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200A0A">
      <w:pPr>
        <w:tabs>
          <w:tab w:val="left" w:pos="9348"/>
        </w:tabs>
        <w:ind w:left="5040"/>
        <w:rPr>
          <w:sz w:val="26"/>
          <w:szCs w:val="26"/>
        </w:rPr>
      </w:pPr>
      <w:r w:rsidRPr="0064436A">
        <w:rPr>
          <w:sz w:val="26"/>
          <w:szCs w:val="26"/>
        </w:rPr>
        <w:t>Columbus, OH  43215-3793</w:t>
      </w:r>
    </w:p>
    <w:p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rsidR="008B058D" w:rsidRDefault="00200A0A" w:rsidP="00200A0A">
      <w:pPr>
        <w:tabs>
          <w:tab w:val="left" w:pos="9348"/>
        </w:tabs>
        <w:ind w:left="5040"/>
        <w:rPr>
          <w:sz w:val="26"/>
          <w:szCs w:val="26"/>
        </w:rPr>
      </w:pPr>
      <w:r w:rsidRPr="0064436A">
        <w:rPr>
          <w:sz w:val="26"/>
          <w:szCs w:val="26"/>
        </w:rPr>
        <w:t>614.644.8764 (fax)</w:t>
      </w:r>
    </w:p>
    <w:p w:rsidR="00095AA1" w:rsidRDefault="000C2E91" w:rsidP="00200A0A">
      <w:pPr>
        <w:tabs>
          <w:tab w:val="left" w:pos="9348"/>
        </w:tabs>
        <w:ind w:left="5040"/>
        <w:rPr>
          <w:sz w:val="26"/>
          <w:szCs w:val="26"/>
        </w:rPr>
      </w:pPr>
      <w:hyperlink r:id="rId7" w:history="1">
        <w:r w:rsidR="00095AA1" w:rsidRPr="00E064DC">
          <w:rPr>
            <w:rStyle w:val="Hyperlink"/>
            <w:sz w:val="26"/>
            <w:szCs w:val="26"/>
          </w:rPr>
          <w:t>ryan.orourke@puc.state.oh.us</w:t>
        </w:r>
      </w:hyperlink>
    </w:p>
    <w:p w:rsidR="00095AA1" w:rsidRDefault="00095AA1" w:rsidP="00200A0A">
      <w:pPr>
        <w:tabs>
          <w:tab w:val="left" w:pos="9348"/>
        </w:tabs>
        <w:ind w:left="5040"/>
        <w:rPr>
          <w:sz w:val="26"/>
          <w:szCs w:val="26"/>
        </w:rPr>
      </w:pPr>
    </w:p>
    <w:p w:rsidR="00095AA1" w:rsidRPr="0064436A" w:rsidRDefault="00095AA1" w:rsidP="00E45A7D">
      <w:pPr>
        <w:tabs>
          <w:tab w:val="left" w:pos="9348"/>
        </w:tabs>
        <w:ind w:left="5040"/>
        <w:rPr>
          <w:sz w:val="26"/>
          <w:szCs w:val="26"/>
        </w:rPr>
      </w:pPr>
    </w:p>
    <w:p w:rsidR="00200A0A" w:rsidRPr="0064436A" w:rsidRDefault="00200A0A" w:rsidP="00200A0A">
      <w:pPr>
        <w:tabs>
          <w:tab w:val="left" w:pos="9348"/>
        </w:tabs>
        <w:ind w:left="5040"/>
        <w:rPr>
          <w:b/>
          <w:sz w:val="26"/>
          <w:szCs w:val="26"/>
        </w:rPr>
      </w:pPr>
    </w:p>
    <w:p w:rsidR="00200A0A" w:rsidRPr="00934B92" w:rsidRDefault="00200A0A" w:rsidP="0064436A">
      <w:pPr>
        <w:pStyle w:val="Heading1"/>
      </w:pPr>
      <w:r w:rsidRPr="00955E20">
        <w:br w:type="page"/>
      </w:r>
      <w:bookmarkStart w:id="6" w:name="_Toc205862526"/>
      <w:bookmarkStart w:id="7" w:name="_Toc260212964"/>
      <w:r w:rsidR="00C95499" w:rsidRPr="00934B92">
        <w:rPr>
          <w:caps w:val="0"/>
        </w:rPr>
        <w:t>PROOF OF SERVICE</w:t>
      </w:r>
      <w:bookmarkEnd w:id="6"/>
      <w:bookmarkEnd w:id="7"/>
    </w:p>
    <w:p w:rsidR="00200A0A" w:rsidRPr="00934B92" w:rsidRDefault="0064436A" w:rsidP="006A3730">
      <w:pPr>
        <w:pStyle w:val="textstyle0"/>
      </w:pPr>
      <w:r>
        <w:tab/>
      </w:r>
      <w:r w:rsidR="00200A0A" w:rsidRPr="00934B92">
        <w:t xml:space="preserve">I hereby certify that a true copy of the foregoing </w:t>
      </w:r>
      <w:r w:rsidR="00095AA1">
        <w:rPr>
          <w:b/>
        </w:rPr>
        <w:t>Comments</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was served by regular U.S. mail, postage pre</w:t>
      </w:r>
      <w:r w:rsidR="00200A0A" w:rsidRPr="00934B92">
        <w:softHyphen/>
        <w:t xml:space="preserve">paid, or hand-delivered, upon </w:t>
      </w:r>
      <w:r w:rsidR="00977F01">
        <w:t>the following Parties of Record</w:t>
      </w:r>
      <w:r w:rsidR="00721F2D">
        <w:t xml:space="preserve">, </w:t>
      </w:r>
      <w:r w:rsidR="00200A0A" w:rsidRPr="00934B92">
        <w:t xml:space="preserve">this </w:t>
      </w:r>
      <w:r w:rsidR="00095AA1">
        <w:t>1</w:t>
      </w:r>
      <w:r w:rsidR="00095AA1" w:rsidRPr="00095AA1">
        <w:rPr>
          <w:vertAlign w:val="superscript"/>
        </w:rPr>
        <w:t>st</w:t>
      </w:r>
      <w:r w:rsidR="00095AA1">
        <w:t xml:space="preserve"> </w:t>
      </w:r>
      <w:r w:rsidR="004B6358">
        <w:t>d</w:t>
      </w:r>
      <w:r w:rsidR="00200A0A" w:rsidRPr="00934B92">
        <w:t xml:space="preserve">ay of </w:t>
      </w:r>
      <w:r w:rsidR="00095AA1">
        <w:t>May, 2015</w:t>
      </w:r>
      <w:r w:rsidR="00200A0A" w:rsidRPr="00934B92">
        <w:t>.</w:t>
      </w:r>
    </w:p>
    <w:p w:rsidR="00200A0A" w:rsidRPr="00DF3D54" w:rsidRDefault="00200A0A" w:rsidP="00200A0A">
      <w:pPr>
        <w:spacing w:line="480" w:lineRule="auto"/>
        <w:jc w:val="both"/>
      </w:pPr>
    </w:p>
    <w:p w:rsidR="00200A0A" w:rsidRPr="00DF3D54" w:rsidRDefault="000C2E91" w:rsidP="00200A0A">
      <w:pPr>
        <w:tabs>
          <w:tab w:val="right" w:pos="9360"/>
        </w:tabs>
        <w:ind w:left="4320"/>
        <w:jc w:val="both"/>
        <w:rPr>
          <w:u w:val="single"/>
        </w:rPr>
      </w:pPr>
      <w:r>
        <w:rPr>
          <w:rFonts w:ascii="AR BERKLEY" w:hAnsi="AR BERKLEY"/>
          <w:sz w:val="32"/>
          <w:szCs w:val="32"/>
          <w:u w:val="single"/>
        </w:rPr>
        <w:t>Ryan P. O’Rourke</w:t>
      </w:r>
      <w:r w:rsidR="00200A0A" w:rsidRPr="00DF3D54">
        <w:rPr>
          <w:u w:val="single"/>
        </w:rPr>
        <w:tab/>
      </w:r>
    </w:p>
    <w:p w:rsidR="00200A0A" w:rsidRPr="00DF3D54" w:rsidRDefault="00095AA1" w:rsidP="00200A0A">
      <w:pPr>
        <w:ind w:left="4332"/>
        <w:jc w:val="both"/>
        <w:rPr>
          <w:b/>
          <w:sz w:val="26"/>
          <w:szCs w:val="26"/>
        </w:rPr>
      </w:pPr>
      <w:r>
        <w:rPr>
          <w:b/>
          <w:sz w:val="26"/>
          <w:szCs w:val="26"/>
        </w:rPr>
        <w:t>Ryan P. O’Rourke</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652"/>
        <w:gridCol w:w="4708"/>
      </w:tblGrid>
      <w:tr w:rsidR="00977F01" w:rsidRPr="00D2703A" w:rsidTr="002273AC">
        <w:tc>
          <w:tcPr>
            <w:tcW w:w="4788" w:type="dxa"/>
          </w:tcPr>
          <w:p w:rsidR="00977F01" w:rsidRDefault="00095AA1" w:rsidP="002273AC">
            <w:pPr>
              <w:rPr>
                <w:sz w:val="26"/>
                <w:szCs w:val="26"/>
              </w:rPr>
            </w:pPr>
            <w:r>
              <w:rPr>
                <w:sz w:val="26"/>
                <w:szCs w:val="26"/>
              </w:rPr>
              <w:t>Trent Dougherty</w:t>
            </w:r>
          </w:p>
          <w:p w:rsidR="00095AA1" w:rsidRDefault="00095AA1" w:rsidP="002273AC">
            <w:pPr>
              <w:rPr>
                <w:sz w:val="26"/>
                <w:szCs w:val="26"/>
              </w:rPr>
            </w:pPr>
            <w:r>
              <w:rPr>
                <w:sz w:val="26"/>
                <w:szCs w:val="26"/>
              </w:rPr>
              <w:t>Ohio Environmental Council</w:t>
            </w:r>
          </w:p>
          <w:p w:rsidR="00095AA1" w:rsidRDefault="00095AA1" w:rsidP="002273AC">
            <w:pPr>
              <w:rPr>
                <w:sz w:val="26"/>
                <w:szCs w:val="26"/>
              </w:rPr>
            </w:pPr>
            <w:r>
              <w:rPr>
                <w:sz w:val="26"/>
                <w:szCs w:val="26"/>
              </w:rPr>
              <w:t>1207 Grandview Avenue, Suite 201</w:t>
            </w:r>
          </w:p>
          <w:p w:rsidR="00095AA1" w:rsidRDefault="00095AA1" w:rsidP="002273AC">
            <w:pPr>
              <w:rPr>
                <w:sz w:val="26"/>
                <w:szCs w:val="26"/>
              </w:rPr>
            </w:pPr>
            <w:r>
              <w:rPr>
                <w:sz w:val="26"/>
                <w:szCs w:val="26"/>
              </w:rPr>
              <w:t>Columbus, OH  43212</w:t>
            </w:r>
          </w:p>
          <w:p w:rsidR="00095AA1" w:rsidRDefault="000C2E91" w:rsidP="002273AC">
            <w:pPr>
              <w:rPr>
                <w:sz w:val="26"/>
                <w:szCs w:val="26"/>
              </w:rPr>
            </w:pPr>
            <w:hyperlink r:id="rId8" w:history="1">
              <w:r w:rsidR="00095AA1" w:rsidRPr="00E064DC">
                <w:rPr>
                  <w:rStyle w:val="Hyperlink"/>
                  <w:sz w:val="26"/>
                  <w:szCs w:val="26"/>
                </w:rPr>
                <w:t>trent@theoec.org</w:t>
              </w:r>
            </w:hyperlink>
          </w:p>
          <w:p w:rsidR="00095AA1" w:rsidRDefault="00095AA1" w:rsidP="002273AC">
            <w:pPr>
              <w:rPr>
                <w:sz w:val="26"/>
                <w:szCs w:val="26"/>
              </w:rPr>
            </w:pPr>
          </w:p>
          <w:p w:rsidR="00977F01" w:rsidRDefault="00095AA1" w:rsidP="002273AC">
            <w:pPr>
              <w:rPr>
                <w:sz w:val="26"/>
                <w:szCs w:val="26"/>
              </w:rPr>
            </w:pPr>
            <w:r>
              <w:rPr>
                <w:sz w:val="26"/>
                <w:szCs w:val="26"/>
              </w:rPr>
              <w:t>Joe Serio</w:t>
            </w:r>
          </w:p>
          <w:p w:rsidR="00977F01" w:rsidRDefault="00977F01" w:rsidP="002273AC">
            <w:pPr>
              <w:rPr>
                <w:sz w:val="26"/>
                <w:szCs w:val="26"/>
              </w:rPr>
            </w:pPr>
            <w:r>
              <w:rPr>
                <w:sz w:val="26"/>
                <w:szCs w:val="26"/>
              </w:rPr>
              <w:t>Assistant Consumers’ Counsel</w:t>
            </w:r>
          </w:p>
          <w:p w:rsidR="00977F01" w:rsidRDefault="00977F01" w:rsidP="002273AC">
            <w:pPr>
              <w:rPr>
                <w:sz w:val="26"/>
                <w:szCs w:val="26"/>
              </w:rPr>
            </w:pPr>
            <w:r>
              <w:rPr>
                <w:sz w:val="26"/>
                <w:szCs w:val="26"/>
              </w:rPr>
              <w:t>Office of the Ohio Consumers’ Counsel</w:t>
            </w:r>
          </w:p>
          <w:p w:rsidR="00977F01" w:rsidRDefault="00977F01" w:rsidP="002273AC">
            <w:pPr>
              <w:rPr>
                <w:sz w:val="26"/>
                <w:szCs w:val="26"/>
              </w:rPr>
            </w:pPr>
            <w:r>
              <w:rPr>
                <w:sz w:val="26"/>
                <w:szCs w:val="26"/>
              </w:rPr>
              <w:t>10 West Broad Street</w:t>
            </w:r>
          </w:p>
          <w:p w:rsidR="00977F01" w:rsidRDefault="00977F01" w:rsidP="002273AC">
            <w:pPr>
              <w:rPr>
                <w:sz w:val="26"/>
                <w:szCs w:val="26"/>
              </w:rPr>
            </w:pPr>
            <w:r>
              <w:rPr>
                <w:sz w:val="26"/>
                <w:szCs w:val="26"/>
              </w:rPr>
              <w:t>Suite 1800</w:t>
            </w:r>
          </w:p>
          <w:p w:rsidR="00977F01" w:rsidRDefault="00977F01" w:rsidP="002273AC">
            <w:pPr>
              <w:rPr>
                <w:sz w:val="26"/>
                <w:szCs w:val="26"/>
              </w:rPr>
            </w:pPr>
            <w:r>
              <w:rPr>
                <w:sz w:val="26"/>
                <w:szCs w:val="26"/>
              </w:rPr>
              <w:t>Columbus, OH  43215</w:t>
            </w:r>
          </w:p>
          <w:p w:rsidR="00977F01" w:rsidRPr="00221496" w:rsidRDefault="000C2E91" w:rsidP="002273AC">
            <w:pPr>
              <w:rPr>
                <w:sz w:val="26"/>
                <w:szCs w:val="26"/>
              </w:rPr>
            </w:pPr>
            <w:hyperlink r:id="rId9" w:history="1">
              <w:r w:rsidR="00095AA1" w:rsidRPr="00E064DC">
                <w:rPr>
                  <w:rStyle w:val="Hyperlink"/>
                  <w:sz w:val="26"/>
                  <w:szCs w:val="26"/>
                </w:rPr>
                <w:t>serio@occ.state.oh.us</w:t>
              </w:r>
            </w:hyperlink>
          </w:p>
        </w:tc>
        <w:tc>
          <w:tcPr>
            <w:tcW w:w="4788" w:type="dxa"/>
          </w:tcPr>
          <w:p w:rsidR="00977F01" w:rsidRDefault="00977F01" w:rsidP="002273AC">
            <w:pPr>
              <w:rPr>
                <w:sz w:val="26"/>
                <w:szCs w:val="26"/>
              </w:rPr>
            </w:pPr>
            <w:r>
              <w:rPr>
                <w:sz w:val="26"/>
                <w:szCs w:val="26"/>
              </w:rPr>
              <w:t>Colleen L. Mooney</w:t>
            </w:r>
          </w:p>
          <w:p w:rsidR="00977F01" w:rsidRDefault="00095AA1" w:rsidP="002273AC">
            <w:pPr>
              <w:ind w:left="720" w:hanging="720"/>
              <w:rPr>
                <w:sz w:val="26"/>
                <w:szCs w:val="26"/>
              </w:rPr>
            </w:pPr>
            <w:r>
              <w:rPr>
                <w:sz w:val="26"/>
                <w:szCs w:val="26"/>
              </w:rPr>
              <w:t>231 West Lima Street</w:t>
            </w:r>
          </w:p>
          <w:p w:rsidR="00095AA1" w:rsidRPr="00F70EF6" w:rsidRDefault="00095AA1" w:rsidP="002273AC">
            <w:pPr>
              <w:ind w:left="720" w:hanging="720"/>
              <w:rPr>
                <w:sz w:val="26"/>
                <w:szCs w:val="26"/>
              </w:rPr>
            </w:pPr>
            <w:r>
              <w:rPr>
                <w:sz w:val="26"/>
                <w:szCs w:val="26"/>
              </w:rPr>
              <w:t>Findlay, OH  45840</w:t>
            </w:r>
          </w:p>
          <w:p w:rsidR="00977F01" w:rsidRPr="00F70EF6" w:rsidRDefault="000C2E91" w:rsidP="002273AC">
            <w:pPr>
              <w:ind w:left="720" w:hanging="720"/>
              <w:rPr>
                <w:sz w:val="26"/>
                <w:szCs w:val="26"/>
              </w:rPr>
            </w:pPr>
            <w:hyperlink r:id="rId10" w:history="1">
              <w:r w:rsidR="00095AA1" w:rsidRPr="00E064DC">
                <w:rPr>
                  <w:rStyle w:val="Hyperlink"/>
                  <w:sz w:val="26"/>
                  <w:szCs w:val="26"/>
                </w:rPr>
                <w:t>cmooney@ohiopartners.org</w:t>
              </w:r>
            </w:hyperlink>
          </w:p>
          <w:p w:rsidR="00977F01" w:rsidRDefault="00977F01" w:rsidP="002273AC">
            <w:pPr>
              <w:rPr>
                <w:sz w:val="26"/>
                <w:szCs w:val="26"/>
              </w:rPr>
            </w:pPr>
          </w:p>
          <w:p w:rsidR="00095AA1" w:rsidRDefault="00095AA1" w:rsidP="002273AC">
            <w:pPr>
              <w:rPr>
                <w:sz w:val="26"/>
                <w:szCs w:val="26"/>
              </w:rPr>
            </w:pPr>
            <w:r>
              <w:rPr>
                <w:sz w:val="26"/>
                <w:szCs w:val="26"/>
              </w:rPr>
              <w:t>Elizabeth H. Watts</w:t>
            </w:r>
          </w:p>
          <w:p w:rsidR="00095AA1" w:rsidRDefault="00095AA1" w:rsidP="002273AC">
            <w:pPr>
              <w:rPr>
                <w:sz w:val="26"/>
                <w:szCs w:val="26"/>
              </w:rPr>
            </w:pPr>
            <w:r>
              <w:rPr>
                <w:sz w:val="26"/>
                <w:szCs w:val="26"/>
              </w:rPr>
              <w:t>Duke Energy Ohio</w:t>
            </w:r>
          </w:p>
          <w:p w:rsidR="00095AA1" w:rsidRDefault="00095AA1" w:rsidP="002273AC">
            <w:pPr>
              <w:rPr>
                <w:sz w:val="26"/>
                <w:szCs w:val="26"/>
              </w:rPr>
            </w:pPr>
            <w:r>
              <w:rPr>
                <w:sz w:val="26"/>
                <w:szCs w:val="26"/>
              </w:rPr>
              <w:t>155 East Broad Street, 21</w:t>
            </w:r>
            <w:r w:rsidRPr="00095AA1">
              <w:rPr>
                <w:sz w:val="26"/>
                <w:szCs w:val="26"/>
                <w:vertAlign w:val="superscript"/>
              </w:rPr>
              <w:t>st</w:t>
            </w:r>
            <w:r>
              <w:rPr>
                <w:sz w:val="26"/>
                <w:szCs w:val="26"/>
              </w:rPr>
              <w:t xml:space="preserve"> Floor</w:t>
            </w:r>
          </w:p>
          <w:p w:rsidR="00095AA1" w:rsidRDefault="00095AA1" w:rsidP="002273AC">
            <w:pPr>
              <w:rPr>
                <w:sz w:val="26"/>
                <w:szCs w:val="26"/>
              </w:rPr>
            </w:pPr>
            <w:r>
              <w:rPr>
                <w:sz w:val="26"/>
                <w:szCs w:val="26"/>
              </w:rPr>
              <w:t>Columbus, OH  43215</w:t>
            </w:r>
          </w:p>
          <w:p w:rsidR="00095AA1" w:rsidRDefault="000C2E91" w:rsidP="002273AC">
            <w:pPr>
              <w:rPr>
                <w:sz w:val="26"/>
                <w:szCs w:val="26"/>
              </w:rPr>
            </w:pPr>
            <w:hyperlink r:id="rId11" w:history="1">
              <w:r w:rsidR="00095AA1" w:rsidRPr="00E064DC">
                <w:rPr>
                  <w:rStyle w:val="Hyperlink"/>
                  <w:sz w:val="26"/>
                  <w:szCs w:val="26"/>
                </w:rPr>
                <w:t>elizabeth.watts@duke-energy.com</w:t>
              </w:r>
            </w:hyperlink>
          </w:p>
          <w:p w:rsidR="00095AA1" w:rsidRDefault="00095AA1" w:rsidP="002273AC">
            <w:pPr>
              <w:rPr>
                <w:sz w:val="26"/>
                <w:szCs w:val="26"/>
              </w:rPr>
            </w:pPr>
          </w:p>
          <w:p w:rsidR="00095AA1" w:rsidRDefault="00095AA1" w:rsidP="002273AC">
            <w:pPr>
              <w:rPr>
                <w:sz w:val="26"/>
                <w:szCs w:val="26"/>
              </w:rPr>
            </w:pPr>
            <w:r>
              <w:rPr>
                <w:sz w:val="26"/>
                <w:szCs w:val="26"/>
              </w:rPr>
              <w:t>Christopher J. Allwein</w:t>
            </w:r>
          </w:p>
          <w:p w:rsidR="00095AA1" w:rsidRDefault="00095AA1" w:rsidP="002273AC">
            <w:pPr>
              <w:rPr>
                <w:sz w:val="26"/>
                <w:szCs w:val="26"/>
              </w:rPr>
            </w:pPr>
            <w:r>
              <w:rPr>
                <w:sz w:val="26"/>
                <w:szCs w:val="26"/>
              </w:rPr>
              <w:t>Williams Allwein &amp; Moser</w:t>
            </w:r>
          </w:p>
          <w:p w:rsidR="00095AA1" w:rsidRDefault="00095AA1" w:rsidP="002273AC">
            <w:pPr>
              <w:rPr>
                <w:sz w:val="26"/>
                <w:szCs w:val="26"/>
              </w:rPr>
            </w:pPr>
            <w:r>
              <w:rPr>
                <w:sz w:val="26"/>
                <w:szCs w:val="26"/>
              </w:rPr>
              <w:t>1500 West Third Avenue, Suite 330</w:t>
            </w:r>
          </w:p>
          <w:p w:rsidR="00095AA1" w:rsidRDefault="00095AA1" w:rsidP="002273AC">
            <w:pPr>
              <w:rPr>
                <w:sz w:val="26"/>
                <w:szCs w:val="26"/>
              </w:rPr>
            </w:pPr>
            <w:r>
              <w:rPr>
                <w:sz w:val="26"/>
                <w:szCs w:val="26"/>
              </w:rPr>
              <w:t>Columbus, OH  43212</w:t>
            </w:r>
          </w:p>
          <w:p w:rsidR="00095AA1" w:rsidRDefault="000C2E91" w:rsidP="002273AC">
            <w:pPr>
              <w:rPr>
                <w:sz w:val="26"/>
                <w:szCs w:val="26"/>
              </w:rPr>
            </w:pPr>
            <w:hyperlink r:id="rId12" w:history="1">
              <w:r w:rsidR="00095AA1" w:rsidRPr="00E064DC">
                <w:rPr>
                  <w:rStyle w:val="Hyperlink"/>
                  <w:sz w:val="26"/>
                  <w:szCs w:val="26"/>
                </w:rPr>
                <w:t>callwein@wamenergylaw.com</w:t>
              </w:r>
            </w:hyperlink>
          </w:p>
          <w:p w:rsidR="00095AA1" w:rsidRPr="00221496" w:rsidRDefault="00095AA1" w:rsidP="002273AC">
            <w:pPr>
              <w:rPr>
                <w:sz w:val="26"/>
                <w:szCs w:val="26"/>
              </w:rPr>
            </w:pPr>
          </w:p>
        </w:tc>
      </w:tr>
    </w:tbl>
    <w:p w:rsidR="00977F01" w:rsidRPr="00DF3D54" w:rsidRDefault="00977F01" w:rsidP="00200A0A">
      <w:pPr>
        <w:ind w:left="4332"/>
        <w:jc w:val="both"/>
        <w:rPr>
          <w:sz w:val="26"/>
          <w:szCs w:val="26"/>
        </w:rPr>
      </w:pPr>
    </w:p>
    <w:sectPr w:rsidR="00977F01" w:rsidRPr="00DF3D54" w:rsidSect="003B12DD">
      <w:footerReference w:type="defaul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4D" w:rsidRDefault="005F114D" w:rsidP="008866FC">
      <w:pPr>
        <w:pStyle w:val="Title"/>
      </w:pPr>
      <w:r>
        <w:separator/>
      </w:r>
    </w:p>
  </w:endnote>
  <w:endnote w:type="continuationSeparator" w:id="0">
    <w:p w:rsidR="005F114D" w:rsidRDefault="005F114D"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0C2E91">
      <w:rPr>
        <w:rStyle w:val="PageNumber"/>
        <w:noProof/>
        <w:sz w:val="24"/>
        <w:szCs w:val="24"/>
      </w:rPr>
      <w:t>4</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4D" w:rsidRDefault="005F114D" w:rsidP="00663D6A">
      <w:pPr>
        <w:pStyle w:val="Title"/>
        <w:jc w:val="left"/>
      </w:pPr>
      <w:r>
        <w:separator/>
      </w:r>
    </w:p>
  </w:footnote>
  <w:footnote w:type="continuationSeparator" w:id="0">
    <w:p w:rsidR="005F114D" w:rsidRDefault="005F114D" w:rsidP="008866FC">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2A6A90"/>
    <w:multiLevelType w:val="hybridMultilevel"/>
    <w:tmpl w:val="D534C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A1"/>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5AA1"/>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2E91"/>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4FE"/>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5EE"/>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5FF"/>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417"/>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041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559"/>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9E"/>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14D"/>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9AC"/>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B2"/>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2F02"/>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2E"/>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37FFA78-E573-42B9-974A-F4BCB9F1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ListParagraph">
    <w:name w:val="List Paragraph"/>
    <w:basedOn w:val="Normal"/>
    <w:uiPriority w:val="34"/>
    <w:qFormat/>
    <w:rsid w:val="00095AA1"/>
    <w:pPr>
      <w:spacing w:after="200" w:line="276" w:lineRule="auto"/>
      <w:ind w:left="720"/>
      <w:contextualSpacing/>
    </w:pPr>
    <w:rPr>
      <w:rFonts w:ascii="Arial" w:eastAsia="Calibri"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nt@theoe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an.orourke@puc.state.oh.us" TargetMode="External"/><Relationship Id="rId12" Type="http://schemas.openxmlformats.org/officeDocument/2006/relationships/hyperlink" Target="mailto:callwein@wamenergy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watts@duke-energ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mooney@ohiopartners.org" TargetMode="External"/><Relationship Id="rId4" Type="http://schemas.openxmlformats.org/officeDocument/2006/relationships/webSettings" Target="webSettings.xml"/><Relationship Id="rId9" Type="http://schemas.openxmlformats.org/officeDocument/2006/relationships/hyperlink" Target="mailto:serio@occ.state.oh.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Pleading.dotx</Template>
  <TotalTime>2</TotalTime>
  <Pages>5</Pages>
  <Words>810</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5740</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3</cp:revision>
  <cp:lastPrinted>2015-05-01T12:40:00Z</cp:lastPrinted>
  <dcterms:created xsi:type="dcterms:W3CDTF">2015-05-01T12:40:00Z</dcterms:created>
  <dcterms:modified xsi:type="dcterms:W3CDTF">2015-05-01T12:41:00Z</dcterms:modified>
</cp:coreProperties>
</file>