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14:paraId="7176D2C6" w14:textId="77777777">
        <w:trPr>
          <w:trHeight w:val="873"/>
          <w:jc w:val="center"/>
        </w:trPr>
        <w:tc>
          <w:tcPr>
            <w:tcW w:w="4739" w:type="dxa"/>
          </w:tcPr>
          <w:p w14:paraId="614A7EEA" w14:textId="4A7C929C" w:rsidR="00BE3B88" w:rsidRDefault="00C81C96" w:rsidP="00BE3B88">
            <w:pPr>
              <w:spacing w:after="0" w:line="240" w:lineRule="auto"/>
              <w:rPr>
                <w:rFonts w:ascii="Arial" w:hAnsi="Arial" w:cs="Arial"/>
                <w:sz w:val="24"/>
                <w:szCs w:val="24"/>
              </w:rPr>
            </w:pPr>
            <w:r w:rsidRPr="00C81C96">
              <w:rPr>
                <w:rFonts w:ascii="Arial" w:hAnsi="Arial" w:cs="Arial"/>
                <w:sz w:val="24"/>
                <w:szCs w:val="24"/>
              </w:rPr>
              <w:t xml:space="preserve">In the Matter of the Application of Duke Energy Ohio, Inc. for an Increase in Electric Distribution Rates. </w:t>
            </w:r>
          </w:p>
          <w:p w14:paraId="7AECBC24" w14:textId="77777777" w:rsidR="00C81C96" w:rsidRDefault="00C81C96" w:rsidP="00BE3B88">
            <w:pPr>
              <w:spacing w:after="0" w:line="240" w:lineRule="auto"/>
              <w:rPr>
                <w:rFonts w:ascii="Arial" w:hAnsi="Arial" w:cs="Arial"/>
                <w:sz w:val="24"/>
                <w:szCs w:val="24"/>
              </w:rPr>
            </w:pPr>
          </w:p>
          <w:p w14:paraId="79BB3CED" w14:textId="3EAEC575" w:rsidR="00C81C96" w:rsidRDefault="00C81C96" w:rsidP="00BE3B88">
            <w:pPr>
              <w:autoSpaceDE w:val="0"/>
              <w:autoSpaceDN w:val="0"/>
              <w:adjustRightInd w:val="0"/>
              <w:spacing w:after="0" w:line="240" w:lineRule="auto"/>
              <w:rPr>
                <w:rFonts w:ascii="Arial" w:hAnsi="Arial" w:cs="Arial"/>
                <w:sz w:val="24"/>
                <w:szCs w:val="24"/>
              </w:rPr>
            </w:pPr>
            <w:r w:rsidRPr="00C81C96">
              <w:rPr>
                <w:rFonts w:ascii="Arial" w:hAnsi="Arial" w:cs="Arial"/>
                <w:sz w:val="24"/>
                <w:szCs w:val="24"/>
              </w:rPr>
              <w:t>In the Matter of</w:t>
            </w:r>
            <w:r w:rsidR="00ED1193">
              <w:rPr>
                <w:rFonts w:ascii="Arial" w:hAnsi="Arial" w:cs="Arial"/>
                <w:sz w:val="24"/>
                <w:szCs w:val="24"/>
              </w:rPr>
              <w:t xml:space="preserve"> the</w:t>
            </w:r>
            <w:r w:rsidRPr="00C81C96">
              <w:rPr>
                <w:rFonts w:ascii="Arial" w:hAnsi="Arial" w:cs="Arial"/>
                <w:sz w:val="24"/>
                <w:szCs w:val="24"/>
              </w:rPr>
              <w:t xml:space="preserve"> Application of Duke Energy Ohio, Inc. for Tariff Approval.</w:t>
            </w:r>
          </w:p>
          <w:p w14:paraId="3F31B33D" w14:textId="77777777" w:rsidR="00C81C96" w:rsidRDefault="00C81C96" w:rsidP="00BE3B88">
            <w:pPr>
              <w:autoSpaceDE w:val="0"/>
              <w:autoSpaceDN w:val="0"/>
              <w:adjustRightInd w:val="0"/>
              <w:spacing w:after="0" w:line="240" w:lineRule="auto"/>
              <w:rPr>
                <w:rFonts w:ascii="Arial" w:hAnsi="Arial" w:cs="Arial"/>
                <w:sz w:val="24"/>
                <w:szCs w:val="24"/>
              </w:rPr>
            </w:pPr>
          </w:p>
          <w:p w14:paraId="7176D2BB" w14:textId="59727397" w:rsidR="00BE3B88" w:rsidRPr="009D71F6" w:rsidRDefault="00C81C96" w:rsidP="00BE3B88">
            <w:pPr>
              <w:autoSpaceDE w:val="0"/>
              <w:autoSpaceDN w:val="0"/>
              <w:adjustRightInd w:val="0"/>
              <w:spacing w:after="0" w:line="240" w:lineRule="auto"/>
              <w:rPr>
                <w:rFonts w:ascii="Arial" w:hAnsi="Arial" w:cs="Arial"/>
                <w:sz w:val="24"/>
                <w:szCs w:val="24"/>
              </w:rPr>
            </w:pPr>
            <w:r w:rsidRPr="00C81C96">
              <w:rPr>
                <w:rFonts w:ascii="Arial" w:hAnsi="Arial" w:cs="Arial"/>
                <w:sz w:val="24"/>
                <w:szCs w:val="24"/>
              </w:rPr>
              <w:t xml:space="preserve">In the Matter of the Application of Duke Energy Ohio, Inc. for Approval to Change Accounting Methods. </w:t>
            </w:r>
          </w:p>
        </w:tc>
        <w:tc>
          <w:tcPr>
            <w:tcW w:w="630" w:type="dxa"/>
          </w:tcPr>
          <w:p w14:paraId="7EA031CF"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2A3CAC2"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0A66F49"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C081232" w14:textId="07CABFF1" w:rsidR="00BE3B88" w:rsidRDefault="00BE3B88" w:rsidP="00BE3B88">
            <w:pPr>
              <w:widowControl w:val="0"/>
              <w:spacing w:after="0" w:line="240" w:lineRule="auto"/>
              <w:jc w:val="center"/>
              <w:rPr>
                <w:rFonts w:ascii="Arial" w:hAnsi="Arial" w:cs="Arial"/>
                <w:sz w:val="24"/>
                <w:szCs w:val="24"/>
              </w:rPr>
            </w:pPr>
          </w:p>
          <w:p w14:paraId="6CAED75C"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0A88E467"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40AF002F" w14:textId="77777777" w:rsidR="00BE3B88" w:rsidRDefault="00BE3B88" w:rsidP="00BE3B88">
            <w:pPr>
              <w:widowControl w:val="0"/>
              <w:spacing w:after="0" w:line="240" w:lineRule="auto"/>
              <w:jc w:val="center"/>
              <w:rPr>
                <w:rFonts w:ascii="Arial" w:hAnsi="Arial" w:cs="Arial"/>
                <w:sz w:val="24"/>
                <w:szCs w:val="24"/>
              </w:rPr>
            </w:pPr>
          </w:p>
          <w:p w14:paraId="14A6F0D4"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6371C21D" w14:textId="77777777"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6931FE09" w14:textId="3DEB93EF" w:rsidR="00BE3B88" w:rsidRDefault="00BE3B88" w:rsidP="00BE3B88">
            <w:pPr>
              <w:widowControl w:val="0"/>
              <w:spacing w:after="0" w:line="240" w:lineRule="auto"/>
              <w:jc w:val="center"/>
              <w:rPr>
                <w:rFonts w:ascii="Arial" w:hAnsi="Arial" w:cs="Arial"/>
                <w:sz w:val="24"/>
                <w:szCs w:val="24"/>
              </w:rPr>
            </w:pPr>
            <w:r>
              <w:rPr>
                <w:rFonts w:ascii="Arial" w:hAnsi="Arial" w:cs="Arial"/>
                <w:sz w:val="24"/>
                <w:szCs w:val="24"/>
              </w:rPr>
              <w:t>)</w:t>
            </w:r>
          </w:p>
          <w:p w14:paraId="7176D2C0" w14:textId="0824C251" w:rsidR="00BE3B88" w:rsidRPr="009D71F6" w:rsidRDefault="00BE3B88" w:rsidP="00BE3B88">
            <w:pPr>
              <w:widowControl w:val="0"/>
              <w:spacing w:after="0" w:line="240" w:lineRule="auto"/>
              <w:rPr>
                <w:rFonts w:ascii="Arial" w:hAnsi="Arial" w:cs="Arial"/>
                <w:sz w:val="24"/>
                <w:szCs w:val="24"/>
              </w:rPr>
            </w:pPr>
          </w:p>
        </w:tc>
        <w:tc>
          <w:tcPr>
            <w:tcW w:w="3928" w:type="dxa"/>
          </w:tcPr>
          <w:p w14:paraId="42D51B68" w14:textId="77777777" w:rsidR="00BE3B88" w:rsidRPr="00561663" w:rsidRDefault="00BE3B88" w:rsidP="00BE3B88">
            <w:pPr>
              <w:widowControl w:val="0"/>
              <w:spacing w:after="0" w:line="240" w:lineRule="auto"/>
              <w:rPr>
                <w:rFonts w:ascii="Arial" w:hAnsi="Arial" w:cs="Arial"/>
                <w:sz w:val="24"/>
                <w:szCs w:val="24"/>
              </w:rPr>
            </w:pPr>
          </w:p>
          <w:p w14:paraId="448D9CF2" w14:textId="161C3BF1"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17-32-EL-AIR</w:t>
            </w:r>
          </w:p>
          <w:p w14:paraId="1A019161" w14:textId="77777777" w:rsidR="00BE3B88" w:rsidRDefault="00BE3B88" w:rsidP="00BE3B88">
            <w:pPr>
              <w:widowControl w:val="0"/>
              <w:spacing w:after="0" w:line="240" w:lineRule="auto"/>
              <w:rPr>
                <w:rFonts w:ascii="Arial" w:hAnsi="Arial" w:cs="Arial"/>
                <w:sz w:val="24"/>
                <w:szCs w:val="24"/>
              </w:rPr>
            </w:pPr>
          </w:p>
          <w:p w14:paraId="4932E571" w14:textId="77777777" w:rsidR="00BE3B88" w:rsidRDefault="00BE3B88" w:rsidP="00BE3B88">
            <w:pPr>
              <w:widowControl w:val="0"/>
              <w:spacing w:after="0" w:line="240" w:lineRule="auto"/>
              <w:rPr>
                <w:rFonts w:ascii="Arial" w:hAnsi="Arial" w:cs="Arial"/>
                <w:sz w:val="24"/>
                <w:szCs w:val="24"/>
              </w:rPr>
            </w:pPr>
          </w:p>
          <w:p w14:paraId="08F742BC" w14:textId="7A5DE749"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17-33-EL-ATA</w:t>
            </w:r>
          </w:p>
          <w:p w14:paraId="40990A86" w14:textId="77777777" w:rsidR="00BE3B88" w:rsidRDefault="00BE3B88" w:rsidP="00BE3B88">
            <w:pPr>
              <w:widowControl w:val="0"/>
              <w:spacing w:after="0" w:line="240" w:lineRule="auto"/>
              <w:rPr>
                <w:rFonts w:ascii="Arial" w:hAnsi="Arial" w:cs="Arial"/>
                <w:sz w:val="24"/>
                <w:szCs w:val="24"/>
              </w:rPr>
            </w:pPr>
          </w:p>
          <w:p w14:paraId="4A3594CA" w14:textId="77777777" w:rsidR="00BE3B88" w:rsidRDefault="00BE3B88" w:rsidP="00BE3B88">
            <w:pPr>
              <w:widowControl w:val="0"/>
              <w:spacing w:after="0" w:line="240" w:lineRule="auto"/>
              <w:rPr>
                <w:rFonts w:ascii="Arial" w:hAnsi="Arial" w:cs="Arial"/>
                <w:sz w:val="24"/>
                <w:szCs w:val="24"/>
              </w:rPr>
            </w:pPr>
          </w:p>
          <w:p w14:paraId="0499E89F" w14:textId="77777777" w:rsidR="00BE3B88" w:rsidRDefault="00BE3B88" w:rsidP="00BE3B88">
            <w:pPr>
              <w:widowControl w:val="0"/>
              <w:spacing w:after="0" w:line="240" w:lineRule="auto"/>
              <w:rPr>
                <w:rFonts w:ascii="Arial" w:hAnsi="Arial" w:cs="Arial"/>
                <w:sz w:val="24"/>
                <w:szCs w:val="24"/>
              </w:rPr>
            </w:pPr>
          </w:p>
          <w:p w14:paraId="1F7DCA12" w14:textId="28FAC2A1" w:rsidR="00BE3B88" w:rsidRPr="00561663" w:rsidRDefault="00BE3B88" w:rsidP="00BE3B88">
            <w:pPr>
              <w:widowControl w:val="0"/>
              <w:spacing w:after="0" w:line="240" w:lineRule="auto"/>
              <w:rPr>
                <w:rFonts w:ascii="Arial" w:hAnsi="Arial" w:cs="Arial"/>
                <w:sz w:val="24"/>
                <w:szCs w:val="24"/>
              </w:rPr>
            </w:pPr>
            <w:r>
              <w:rPr>
                <w:rFonts w:ascii="Arial" w:hAnsi="Arial" w:cs="Arial"/>
                <w:sz w:val="24"/>
                <w:szCs w:val="24"/>
              </w:rPr>
              <w:t xml:space="preserve">Case No. </w:t>
            </w:r>
            <w:r w:rsidR="00C81C96">
              <w:rPr>
                <w:rFonts w:ascii="Arial" w:hAnsi="Arial" w:cs="Arial"/>
                <w:sz w:val="24"/>
                <w:szCs w:val="24"/>
              </w:rPr>
              <w:t>17-34-EL-AAM</w:t>
            </w:r>
          </w:p>
          <w:p w14:paraId="7176D2C5" w14:textId="518A5469" w:rsidR="00BE3B88" w:rsidRPr="009D71F6" w:rsidRDefault="00BE3B88" w:rsidP="00BE3B88">
            <w:pPr>
              <w:widowControl w:val="0"/>
              <w:spacing w:after="0" w:line="240" w:lineRule="auto"/>
              <w:rPr>
                <w:rFonts w:ascii="Arial" w:hAnsi="Arial" w:cs="Arial"/>
                <w:sz w:val="24"/>
                <w:szCs w:val="24"/>
              </w:rPr>
            </w:pPr>
          </w:p>
        </w:tc>
      </w:tr>
    </w:tbl>
    <w:p w14:paraId="7176D2C7" w14:textId="4CA8FA59" w:rsidR="00545F29" w:rsidRPr="009D71F6" w:rsidRDefault="00545F29">
      <w:pPr>
        <w:widowControl w:val="0"/>
        <w:pBdr>
          <w:bottom w:val="single" w:sz="12" w:space="0" w:color="auto"/>
        </w:pBdr>
        <w:spacing w:after="0" w:line="240" w:lineRule="auto"/>
        <w:rPr>
          <w:rFonts w:ascii="Arial" w:hAnsi="Arial" w:cs="Arial"/>
          <w:sz w:val="24"/>
          <w:szCs w:val="24"/>
        </w:rPr>
      </w:pPr>
    </w:p>
    <w:p w14:paraId="6E0DCC2E" w14:textId="77777777" w:rsidR="00280A2E" w:rsidRDefault="00280A2E" w:rsidP="00280A2E">
      <w:pPr>
        <w:widowControl w:val="0"/>
        <w:spacing w:after="0" w:line="240" w:lineRule="auto"/>
        <w:jc w:val="center"/>
        <w:rPr>
          <w:rFonts w:ascii="Arial" w:hAnsi="Arial" w:cs="Arial"/>
          <w:b/>
          <w:bCs/>
          <w:sz w:val="24"/>
          <w:szCs w:val="24"/>
        </w:rPr>
      </w:pPr>
    </w:p>
    <w:p w14:paraId="7176D2CA" w14:textId="382A14C2" w:rsidR="00545F29" w:rsidRPr="009D71F6" w:rsidRDefault="001507E5" w:rsidP="00280A2E">
      <w:pPr>
        <w:widowControl w:val="0"/>
        <w:spacing w:after="0" w:line="240" w:lineRule="auto"/>
        <w:jc w:val="center"/>
        <w:rPr>
          <w:rFonts w:ascii="Arial" w:hAnsi="Arial" w:cs="Arial"/>
          <w:b/>
          <w:bCs/>
          <w:sz w:val="24"/>
          <w:szCs w:val="24"/>
        </w:rPr>
      </w:pPr>
      <w:r>
        <w:rPr>
          <w:rFonts w:ascii="Arial" w:hAnsi="Arial" w:cs="Arial"/>
          <w:b/>
          <w:bCs/>
          <w:sz w:val="24"/>
          <w:szCs w:val="24"/>
        </w:rPr>
        <w:t>MEMORANDUM CONTRA MOTION TO STRIKE OBJECTIONS</w:t>
      </w:r>
      <w:r w:rsidR="00166A2D">
        <w:rPr>
          <w:rFonts w:ascii="Arial" w:hAnsi="Arial" w:cs="Arial"/>
          <w:b/>
          <w:bCs/>
          <w:sz w:val="24"/>
          <w:szCs w:val="24"/>
        </w:rPr>
        <w:t xml:space="preserve"> OF INTERSTATE GAS SUPPLY, INC.</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A75F7D">
      <w:pPr>
        <w:autoSpaceDE w:val="0"/>
        <w:autoSpaceDN w:val="0"/>
        <w:adjustRightInd w:val="0"/>
        <w:spacing w:after="120" w:line="480" w:lineRule="auto"/>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A0CBADF" w14:textId="77777777" w:rsidR="006E5083" w:rsidRDefault="006E5083" w:rsidP="00BE3B88">
      <w:pPr>
        <w:spacing w:after="0" w:line="240" w:lineRule="auto"/>
        <w:ind w:left="5040"/>
        <w:rPr>
          <w:rFonts w:ascii="Arial" w:hAnsi="Arial" w:cs="Arial"/>
          <w:sz w:val="24"/>
          <w:szCs w:val="24"/>
        </w:rPr>
      </w:pPr>
    </w:p>
    <w:p w14:paraId="5569FB0B" w14:textId="77777777" w:rsidR="006E5083" w:rsidRDefault="006E5083" w:rsidP="00BE3B88">
      <w:pPr>
        <w:spacing w:after="0" w:line="240" w:lineRule="auto"/>
        <w:ind w:left="5040"/>
        <w:rPr>
          <w:rFonts w:ascii="Arial" w:hAnsi="Arial" w:cs="Arial"/>
          <w:sz w:val="24"/>
          <w:szCs w:val="24"/>
        </w:rPr>
      </w:pPr>
    </w:p>
    <w:p w14:paraId="5DD0A7F1" w14:textId="77777777" w:rsidR="006E5083" w:rsidRDefault="006E5083" w:rsidP="00BE3B88">
      <w:pPr>
        <w:spacing w:after="0" w:line="240" w:lineRule="auto"/>
        <w:ind w:left="5040"/>
        <w:rPr>
          <w:rFonts w:ascii="Arial" w:hAnsi="Arial" w:cs="Arial"/>
          <w:sz w:val="24"/>
          <w:szCs w:val="24"/>
        </w:rPr>
      </w:pPr>
    </w:p>
    <w:p w14:paraId="28C7A550" w14:textId="77777777" w:rsidR="006E5083" w:rsidRDefault="006E5083" w:rsidP="00BE3B88">
      <w:pPr>
        <w:spacing w:after="0" w:line="240" w:lineRule="auto"/>
        <w:ind w:left="5040"/>
        <w:rPr>
          <w:rFonts w:ascii="Arial" w:hAnsi="Arial" w:cs="Arial"/>
          <w:sz w:val="24"/>
          <w:szCs w:val="24"/>
        </w:rPr>
      </w:pPr>
    </w:p>
    <w:p w14:paraId="0E1DC2F6" w14:textId="77777777" w:rsidR="006E5083" w:rsidRDefault="006E5083" w:rsidP="00BE3B88">
      <w:pPr>
        <w:spacing w:after="0" w:line="240" w:lineRule="auto"/>
        <w:ind w:left="5040"/>
        <w:rPr>
          <w:rFonts w:ascii="Arial" w:hAnsi="Arial" w:cs="Arial"/>
          <w:sz w:val="24"/>
          <w:szCs w:val="24"/>
        </w:rPr>
      </w:pPr>
    </w:p>
    <w:p w14:paraId="26CD0321" w14:textId="77777777" w:rsidR="006E5083" w:rsidRDefault="006E5083" w:rsidP="00BE3B88">
      <w:pPr>
        <w:spacing w:after="0" w:line="240" w:lineRule="auto"/>
        <w:ind w:left="5040"/>
        <w:rPr>
          <w:rFonts w:ascii="Arial" w:hAnsi="Arial" w:cs="Arial"/>
          <w:sz w:val="24"/>
          <w:szCs w:val="24"/>
        </w:rPr>
      </w:pPr>
    </w:p>
    <w:p w14:paraId="1EA6EDBB" w14:textId="77777777" w:rsidR="006E5083" w:rsidRPr="00C51B26" w:rsidRDefault="006E5083" w:rsidP="00C51B26">
      <w:pPr>
        <w:spacing w:after="0" w:line="240" w:lineRule="auto"/>
        <w:rPr>
          <w:rFonts w:ascii="Arial" w:hAnsi="Arial" w:cs="Arial"/>
          <w:sz w:val="24"/>
          <w:szCs w:val="24"/>
        </w:rPr>
      </w:pPr>
    </w:p>
    <w:p w14:paraId="63222642" w14:textId="77777777" w:rsidR="00BE3B88" w:rsidRDefault="00BE3B88" w:rsidP="00BE3B88">
      <w:pPr>
        <w:spacing w:after="0" w:line="240" w:lineRule="auto"/>
        <w:ind w:left="5040"/>
        <w:rPr>
          <w:rFonts w:ascii="Arial" w:hAnsi="Arial" w:cs="Arial"/>
          <w:sz w:val="24"/>
          <w:szCs w:val="24"/>
        </w:rPr>
      </w:pPr>
      <w:r w:rsidRPr="00C51B26">
        <w:rPr>
          <w:rFonts w:ascii="Arial" w:hAnsi="Arial" w:cs="Arial"/>
          <w:sz w:val="24"/>
          <w:szCs w:val="24"/>
        </w:rPr>
        <w:t>Joseph Oliker (0086088)</w:t>
      </w:r>
    </w:p>
    <w:p w14:paraId="4534E81F" w14:textId="6025E603" w:rsidR="00C51B26" w:rsidRPr="00C51B26" w:rsidRDefault="00C51B26" w:rsidP="00BE3B88">
      <w:pPr>
        <w:spacing w:after="0" w:line="240" w:lineRule="auto"/>
        <w:ind w:left="5040"/>
        <w:rPr>
          <w:rFonts w:ascii="Arial" w:hAnsi="Arial" w:cs="Arial"/>
          <w:sz w:val="24"/>
          <w:szCs w:val="24"/>
        </w:rPr>
      </w:pPr>
      <w:r>
        <w:rPr>
          <w:rFonts w:ascii="Arial" w:hAnsi="Arial" w:cs="Arial"/>
          <w:sz w:val="24"/>
          <w:szCs w:val="24"/>
        </w:rPr>
        <w:t xml:space="preserve">Counsel of Record </w:t>
      </w:r>
    </w:p>
    <w:p w14:paraId="3022AE22" w14:textId="77777777" w:rsidR="00BE3B88" w:rsidRPr="00C51B26" w:rsidRDefault="00BE3B88" w:rsidP="00BE3B88">
      <w:pPr>
        <w:spacing w:after="0" w:line="240" w:lineRule="auto"/>
        <w:ind w:left="5040"/>
        <w:rPr>
          <w:rStyle w:val="Hyperlink"/>
          <w:rFonts w:ascii="Arial" w:hAnsi="Arial" w:cs="Arial"/>
          <w:color w:val="auto"/>
          <w:sz w:val="24"/>
          <w:szCs w:val="24"/>
          <w:u w:val="none"/>
        </w:rPr>
      </w:pPr>
      <w:r w:rsidRPr="00C51B26">
        <w:rPr>
          <w:rFonts w:ascii="Arial" w:hAnsi="Arial" w:cs="Arial"/>
          <w:sz w:val="24"/>
          <w:szCs w:val="24"/>
        </w:rPr>
        <w:t xml:space="preserve">Email: </w:t>
      </w:r>
      <w:hyperlink r:id="rId8" w:history="1">
        <w:r w:rsidRPr="00C51B26">
          <w:rPr>
            <w:rStyle w:val="Hyperlink"/>
            <w:rFonts w:ascii="Arial" w:hAnsi="Arial" w:cs="Arial"/>
            <w:color w:val="auto"/>
            <w:sz w:val="24"/>
            <w:szCs w:val="24"/>
            <w:u w:val="none"/>
          </w:rPr>
          <w:t>joliker@igsenergy.com</w:t>
        </w:r>
      </w:hyperlink>
    </w:p>
    <w:p w14:paraId="581AACB6" w14:textId="20AA87E6" w:rsidR="00C51B26" w:rsidRPr="00C51B26" w:rsidRDefault="00C51B26" w:rsidP="00BE3B88">
      <w:pPr>
        <w:spacing w:after="0" w:line="240" w:lineRule="auto"/>
        <w:ind w:left="5040"/>
        <w:rPr>
          <w:rStyle w:val="Hyperlink"/>
          <w:rFonts w:ascii="Arial" w:hAnsi="Arial" w:cs="Arial"/>
          <w:color w:val="auto"/>
          <w:sz w:val="24"/>
          <w:szCs w:val="24"/>
          <w:u w:val="none"/>
        </w:rPr>
      </w:pPr>
      <w:r w:rsidRPr="00C51B26">
        <w:rPr>
          <w:rStyle w:val="Hyperlink"/>
          <w:rFonts w:ascii="Arial" w:hAnsi="Arial" w:cs="Arial"/>
          <w:color w:val="auto"/>
          <w:sz w:val="24"/>
          <w:szCs w:val="24"/>
          <w:u w:val="none"/>
        </w:rPr>
        <w:t>Michael Nugent</w:t>
      </w:r>
    </w:p>
    <w:p w14:paraId="1260A51A" w14:textId="28F5FC20" w:rsidR="00C51B26" w:rsidRPr="00C51B26" w:rsidRDefault="00C51B26" w:rsidP="00BE3B88">
      <w:pPr>
        <w:spacing w:after="0" w:line="240" w:lineRule="auto"/>
        <w:ind w:left="5040"/>
        <w:rPr>
          <w:rFonts w:ascii="Arial" w:hAnsi="Arial" w:cs="Arial"/>
          <w:sz w:val="24"/>
          <w:szCs w:val="24"/>
        </w:rPr>
      </w:pPr>
      <w:r>
        <w:rPr>
          <w:rStyle w:val="Hyperlink"/>
          <w:rFonts w:ascii="Arial" w:hAnsi="Arial" w:cs="Arial"/>
          <w:color w:val="auto"/>
          <w:sz w:val="24"/>
          <w:szCs w:val="24"/>
          <w:u w:val="none"/>
        </w:rPr>
        <w:t xml:space="preserve">Email:  </w:t>
      </w:r>
      <w:r w:rsidRPr="00C51B26">
        <w:rPr>
          <w:rStyle w:val="Hyperlink"/>
          <w:rFonts w:ascii="Arial" w:hAnsi="Arial" w:cs="Arial"/>
          <w:color w:val="auto"/>
          <w:sz w:val="24"/>
          <w:szCs w:val="24"/>
          <w:u w:val="none"/>
        </w:rPr>
        <w:t>Mnugent@igsenergy.com</w:t>
      </w:r>
    </w:p>
    <w:p w14:paraId="521612E5" w14:textId="77777777"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IGS Energy</w:t>
      </w:r>
    </w:p>
    <w:p w14:paraId="33DFBB8D" w14:textId="77777777"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6100 Emerald Parkway</w:t>
      </w:r>
    </w:p>
    <w:p w14:paraId="292ADA54" w14:textId="77777777"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Dublin, Ohio 43016</w:t>
      </w:r>
    </w:p>
    <w:p w14:paraId="6C0694A4" w14:textId="77777777" w:rsidR="00BE3B88" w:rsidRDefault="00BE3B88" w:rsidP="00BE3B88">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53814665" w14:textId="77777777" w:rsidR="00BE3B88" w:rsidRDefault="00BE3B88" w:rsidP="00BE3B88">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21768369" w14:textId="77777777" w:rsidR="00BE3B88" w:rsidRDefault="00BE3B88" w:rsidP="00BE3B88">
      <w:pPr>
        <w:spacing w:after="0" w:line="240" w:lineRule="auto"/>
        <w:ind w:left="5040"/>
        <w:rPr>
          <w:rFonts w:ascii="Arial" w:hAnsi="Arial" w:cs="Arial"/>
          <w:sz w:val="24"/>
          <w:szCs w:val="24"/>
        </w:rPr>
      </w:pPr>
    </w:p>
    <w:p w14:paraId="29245C49" w14:textId="52EA654E" w:rsidR="00237730" w:rsidRDefault="00BE3B88" w:rsidP="00C51B26">
      <w:pPr>
        <w:spacing w:after="0" w:line="240" w:lineRule="auto"/>
        <w:ind w:left="5040"/>
        <w:rPr>
          <w:rFonts w:ascii="Arial" w:hAnsi="Arial" w:cs="Arial"/>
          <w:b/>
          <w:i/>
          <w:sz w:val="24"/>
          <w:szCs w:val="24"/>
        </w:rPr>
      </w:pPr>
      <w:r>
        <w:rPr>
          <w:rFonts w:ascii="Arial" w:hAnsi="Arial" w:cs="Arial"/>
          <w:b/>
          <w:i/>
          <w:sz w:val="24"/>
          <w:szCs w:val="24"/>
        </w:rPr>
        <w:t>Attorney</w:t>
      </w:r>
      <w:r w:rsidR="00C51B26">
        <w:rPr>
          <w:rFonts w:ascii="Arial" w:hAnsi="Arial" w:cs="Arial"/>
          <w:b/>
          <w:i/>
          <w:sz w:val="24"/>
          <w:szCs w:val="24"/>
        </w:rPr>
        <w:t>s</w:t>
      </w:r>
      <w:r>
        <w:rPr>
          <w:rFonts w:ascii="Arial" w:hAnsi="Arial" w:cs="Arial"/>
          <w:b/>
          <w:i/>
          <w:sz w:val="24"/>
          <w:szCs w:val="24"/>
        </w:rPr>
        <w:t xml:space="preserve"> for IGS Energy</w:t>
      </w:r>
    </w:p>
    <w:p w14:paraId="6499D885" w14:textId="7119B195" w:rsidR="00BE3B88" w:rsidRDefault="006C1C40" w:rsidP="006E5083">
      <w:pPr>
        <w:spacing w:after="0" w:line="240" w:lineRule="auto"/>
        <w:rPr>
          <w:rFonts w:ascii="Arial" w:hAnsi="Arial" w:cs="Arial"/>
          <w:b/>
          <w:sz w:val="24"/>
          <w:szCs w:val="24"/>
        </w:rPr>
      </w:pPr>
      <w:r>
        <w:rPr>
          <w:rFonts w:ascii="Arial" w:hAnsi="Arial" w:cs="Arial"/>
          <w:b/>
          <w:sz w:val="24"/>
          <w:szCs w:val="24"/>
        </w:rPr>
        <w:t>November 1</w:t>
      </w:r>
      <w:r w:rsidR="00127783">
        <w:rPr>
          <w:rFonts w:ascii="Arial" w:hAnsi="Arial" w:cs="Arial"/>
          <w:b/>
          <w:sz w:val="24"/>
          <w:szCs w:val="24"/>
        </w:rPr>
        <w:t>3</w:t>
      </w:r>
      <w:r w:rsidR="001507E5">
        <w:rPr>
          <w:rFonts w:ascii="Arial" w:hAnsi="Arial" w:cs="Arial"/>
          <w:b/>
          <w:sz w:val="24"/>
          <w:szCs w:val="24"/>
        </w:rPr>
        <w:t>, 2017</w:t>
      </w:r>
    </w:p>
    <w:p w14:paraId="74F15C99" w14:textId="77777777" w:rsidR="008148E8" w:rsidRDefault="008148E8" w:rsidP="00237730">
      <w:pPr>
        <w:pStyle w:val="Title"/>
        <w:widowControl w:val="0"/>
        <w:rPr>
          <w:rFonts w:ascii="Arial" w:hAnsi="Arial" w:cs="Arial"/>
          <w:szCs w:val="24"/>
        </w:rPr>
      </w:pPr>
    </w:p>
    <w:p w14:paraId="6C2ADBD3" w14:textId="71B2D70F" w:rsidR="00237730" w:rsidRPr="009D71F6" w:rsidRDefault="00237730" w:rsidP="00237730">
      <w:pPr>
        <w:pStyle w:val="Title"/>
        <w:widowControl w:val="0"/>
        <w:rPr>
          <w:rFonts w:ascii="Arial" w:hAnsi="Arial" w:cs="Arial"/>
          <w:szCs w:val="24"/>
        </w:rPr>
      </w:pPr>
      <w:r w:rsidRPr="009D71F6">
        <w:rPr>
          <w:rFonts w:ascii="Arial" w:hAnsi="Arial" w:cs="Arial"/>
          <w:szCs w:val="24"/>
        </w:rPr>
        <w:t>BEFORE</w:t>
      </w:r>
    </w:p>
    <w:p w14:paraId="43401F05"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C81C96" w:rsidRPr="009D71F6" w14:paraId="7097BB97" w14:textId="77777777" w:rsidTr="0055339D">
        <w:trPr>
          <w:trHeight w:val="873"/>
          <w:jc w:val="center"/>
        </w:trPr>
        <w:tc>
          <w:tcPr>
            <w:tcW w:w="4739" w:type="dxa"/>
          </w:tcPr>
          <w:p w14:paraId="712B0739" w14:textId="77777777" w:rsidR="00C81C96" w:rsidRDefault="00C81C96" w:rsidP="00C81C96">
            <w:pPr>
              <w:spacing w:after="0" w:line="240" w:lineRule="auto"/>
              <w:rPr>
                <w:rFonts w:ascii="Arial" w:hAnsi="Arial" w:cs="Arial"/>
                <w:sz w:val="24"/>
                <w:szCs w:val="24"/>
              </w:rPr>
            </w:pPr>
            <w:r w:rsidRPr="00C81C96">
              <w:rPr>
                <w:rFonts w:ascii="Arial" w:hAnsi="Arial" w:cs="Arial"/>
                <w:sz w:val="24"/>
                <w:szCs w:val="24"/>
              </w:rPr>
              <w:t xml:space="preserve">In the Matter of the Application of Duke Energy Ohio, Inc. for an Increase in Electric Distribution Rates. </w:t>
            </w:r>
          </w:p>
          <w:p w14:paraId="1AC1068D" w14:textId="77777777" w:rsidR="00C81C96" w:rsidRDefault="00C81C96" w:rsidP="00C81C96">
            <w:pPr>
              <w:spacing w:after="0" w:line="240" w:lineRule="auto"/>
              <w:rPr>
                <w:rFonts w:ascii="Arial" w:hAnsi="Arial" w:cs="Arial"/>
                <w:sz w:val="24"/>
                <w:szCs w:val="24"/>
              </w:rPr>
            </w:pPr>
          </w:p>
          <w:p w14:paraId="7A2517FA" w14:textId="2C09081D" w:rsidR="00C81C96" w:rsidRDefault="00C81C96" w:rsidP="00C81C96">
            <w:pPr>
              <w:autoSpaceDE w:val="0"/>
              <w:autoSpaceDN w:val="0"/>
              <w:adjustRightInd w:val="0"/>
              <w:spacing w:after="0" w:line="240" w:lineRule="auto"/>
              <w:rPr>
                <w:rFonts w:ascii="Arial" w:hAnsi="Arial" w:cs="Arial"/>
                <w:sz w:val="24"/>
                <w:szCs w:val="24"/>
              </w:rPr>
            </w:pPr>
            <w:r w:rsidRPr="00C81C96">
              <w:rPr>
                <w:rFonts w:ascii="Arial" w:hAnsi="Arial" w:cs="Arial"/>
                <w:sz w:val="24"/>
                <w:szCs w:val="24"/>
              </w:rPr>
              <w:t>In the Matter of</w:t>
            </w:r>
            <w:r>
              <w:rPr>
                <w:rFonts w:ascii="Arial" w:hAnsi="Arial" w:cs="Arial"/>
                <w:sz w:val="24"/>
                <w:szCs w:val="24"/>
              </w:rPr>
              <w:t xml:space="preserve"> the</w:t>
            </w:r>
            <w:r w:rsidRPr="00C81C96">
              <w:rPr>
                <w:rFonts w:ascii="Arial" w:hAnsi="Arial" w:cs="Arial"/>
                <w:sz w:val="24"/>
                <w:szCs w:val="24"/>
              </w:rPr>
              <w:t xml:space="preserve"> Application of Duke Energy Ohio, Inc. for Tariff Approval.</w:t>
            </w:r>
          </w:p>
          <w:p w14:paraId="7C15B9F8" w14:textId="77777777" w:rsidR="00C81C96" w:rsidRDefault="00C81C96" w:rsidP="00C81C96">
            <w:pPr>
              <w:autoSpaceDE w:val="0"/>
              <w:autoSpaceDN w:val="0"/>
              <w:adjustRightInd w:val="0"/>
              <w:spacing w:after="0" w:line="240" w:lineRule="auto"/>
              <w:rPr>
                <w:rFonts w:ascii="Arial" w:hAnsi="Arial" w:cs="Arial"/>
                <w:sz w:val="24"/>
                <w:szCs w:val="24"/>
              </w:rPr>
            </w:pPr>
          </w:p>
          <w:p w14:paraId="4F7A1708" w14:textId="688C4B83" w:rsidR="00C81C96" w:rsidRPr="009D71F6" w:rsidRDefault="00C81C96" w:rsidP="00C81C96">
            <w:pPr>
              <w:widowControl w:val="0"/>
              <w:spacing w:after="0" w:line="240" w:lineRule="auto"/>
              <w:rPr>
                <w:rFonts w:ascii="Arial" w:hAnsi="Arial" w:cs="Arial"/>
                <w:sz w:val="24"/>
                <w:szCs w:val="24"/>
              </w:rPr>
            </w:pPr>
            <w:r w:rsidRPr="00C81C96">
              <w:rPr>
                <w:rFonts w:ascii="Arial" w:hAnsi="Arial" w:cs="Arial"/>
                <w:sz w:val="24"/>
                <w:szCs w:val="24"/>
              </w:rPr>
              <w:t xml:space="preserve">In the Matter of the Application of Duke Energy Ohio, Inc. for Approval to Change Accounting Methods. </w:t>
            </w:r>
          </w:p>
        </w:tc>
        <w:tc>
          <w:tcPr>
            <w:tcW w:w="630" w:type="dxa"/>
          </w:tcPr>
          <w:p w14:paraId="6939DA7F" w14:textId="77777777" w:rsidR="00C81C96" w:rsidRPr="00561663" w:rsidRDefault="00C81C96" w:rsidP="00C81C96">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B802847" w14:textId="77777777" w:rsidR="00C81C96" w:rsidRPr="00561663" w:rsidRDefault="00C81C96" w:rsidP="00C81C96">
            <w:pPr>
              <w:widowControl w:val="0"/>
              <w:spacing w:after="0" w:line="240" w:lineRule="auto"/>
              <w:jc w:val="center"/>
              <w:rPr>
                <w:rFonts w:ascii="Arial" w:hAnsi="Arial" w:cs="Arial"/>
                <w:sz w:val="24"/>
                <w:szCs w:val="24"/>
              </w:rPr>
            </w:pPr>
            <w:r w:rsidRPr="00561663">
              <w:rPr>
                <w:rFonts w:ascii="Arial" w:hAnsi="Arial" w:cs="Arial"/>
                <w:sz w:val="24"/>
                <w:szCs w:val="24"/>
              </w:rPr>
              <w:t>)</w:t>
            </w:r>
          </w:p>
          <w:p w14:paraId="2E962C72" w14:textId="77777777" w:rsidR="00C81C96" w:rsidRPr="00561663" w:rsidRDefault="00C81C96" w:rsidP="00C81C96">
            <w:pPr>
              <w:widowControl w:val="0"/>
              <w:spacing w:after="0" w:line="240" w:lineRule="auto"/>
              <w:jc w:val="center"/>
              <w:rPr>
                <w:rFonts w:ascii="Arial" w:hAnsi="Arial" w:cs="Arial"/>
                <w:sz w:val="24"/>
                <w:szCs w:val="24"/>
              </w:rPr>
            </w:pPr>
            <w:r w:rsidRPr="00561663">
              <w:rPr>
                <w:rFonts w:ascii="Arial" w:hAnsi="Arial" w:cs="Arial"/>
                <w:sz w:val="24"/>
                <w:szCs w:val="24"/>
              </w:rPr>
              <w:t>)</w:t>
            </w:r>
          </w:p>
          <w:p w14:paraId="5233E69B" w14:textId="77777777" w:rsidR="00C81C96" w:rsidRDefault="00C81C96" w:rsidP="00C81C96">
            <w:pPr>
              <w:widowControl w:val="0"/>
              <w:spacing w:after="0" w:line="240" w:lineRule="auto"/>
              <w:jc w:val="center"/>
              <w:rPr>
                <w:rFonts w:ascii="Arial" w:hAnsi="Arial" w:cs="Arial"/>
                <w:sz w:val="24"/>
                <w:szCs w:val="24"/>
              </w:rPr>
            </w:pPr>
          </w:p>
          <w:p w14:paraId="2C22B64E"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4AB89AB0"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27132F4D" w14:textId="77777777" w:rsidR="00C81C96" w:rsidRDefault="00C81C96" w:rsidP="00C81C96">
            <w:pPr>
              <w:widowControl w:val="0"/>
              <w:spacing w:after="0" w:line="240" w:lineRule="auto"/>
              <w:jc w:val="center"/>
              <w:rPr>
                <w:rFonts w:ascii="Arial" w:hAnsi="Arial" w:cs="Arial"/>
                <w:sz w:val="24"/>
                <w:szCs w:val="24"/>
              </w:rPr>
            </w:pPr>
          </w:p>
          <w:p w14:paraId="260A5CE3"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769A47FA"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17C84805" w14:textId="77777777" w:rsidR="00C81C96" w:rsidRDefault="00C81C96" w:rsidP="00C81C96">
            <w:pPr>
              <w:widowControl w:val="0"/>
              <w:spacing w:after="0" w:line="240" w:lineRule="auto"/>
              <w:jc w:val="center"/>
              <w:rPr>
                <w:rFonts w:ascii="Arial" w:hAnsi="Arial" w:cs="Arial"/>
                <w:sz w:val="24"/>
                <w:szCs w:val="24"/>
              </w:rPr>
            </w:pPr>
            <w:r>
              <w:rPr>
                <w:rFonts w:ascii="Arial" w:hAnsi="Arial" w:cs="Arial"/>
                <w:sz w:val="24"/>
                <w:szCs w:val="24"/>
              </w:rPr>
              <w:t>)</w:t>
            </w:r>
          </w:p>
          <w:p w14:paraId="38CC3C19" w14:textId="378E4C29" w:rsidR="00C81C96" w:rsidRPr="009D71F6" w:rsidRDefault="00C81C96" w:rsidP="00C81C96">
            <w:pPr>
              <w:widowControl w:val="0"/>
              <w:spacing w:after="0" w:line="240" w:lineRule="auto"/>
              <w:jc w:val="center"/>
              <w:rPr>
                <w:rFonts w:ascii="Arial" w:hAnsi="Arial" w:cs="Arial"/>
                <w:sz w:val="24"/>
                <w:szCs w:val="24"/>
              </w:rPr>
            </w:pPr>
          </w:p>
        </w:tc>
        <w:tc>
          <w:tcPr>
            <w:tcW w:w="3928" w:type="dxa"/>
          </w:tcPr>
          <w:p w14:paraId="797FA794" w14:textId="77777777" w:rsidR="00C81C96" w:rsidRPr="00561663" w:rsidRDefault="00C81C96" w:rsidP="00C81C96">
            <w:pPr>
              <w:widowControl w:val="0"/>
              <w:spacing w:after="0" w:line="240" w:lineRule="auto"/>
              <w:rPr>
                <w:rFonts w:ascii="Arial" w:hAnsi="Arial" w:cs="Arial"/>
                <w:sz w:val="24"/>
                <w:szCs w:val="24"/>
              </w:rPr>
            </w:pPr>
          </w:p>
          <w:p w14:paraId="314CC8B6" w14:textId="77777777"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17-32-EL-AIR</w:t>
            </w:r>
          </w:p>
          <w:p w14:paraId="69BCAFFA" w14:textId="77777777" w:rsidR="00C81C96" w:rsidRDefault="00C81C96" w:rsidP="00C81C96">
            <w:pPr>
              <w:widowControl w:val="0"/>
              <w:spacing w:after="0" w:line="240" w:lineRule="auto"/>
              <w:rPr>
                <w:rFonts w:ascii="Arial" w:hAnsi="Arial" w:cs="Arial"/>
                <w:sz w:val="24"/>
                <w:szCs w:val="24"/>
              </w:rPr>
            </w:pPr>
          </w:p>
          <w:p w14:paraId="06B7FD10" w14:textId="77777777" w:rsidR="00C81C96" w:rsidRDefault="00C81C96" w:rsidP="00C81C96">
            <w:pPr>
              <w:widowControl w:val="0"/>
              <w:spacing w:after="0" w:line="240" w:lineRule="auto"/>
              <w:rPr>
                <w:rFonts w:ascii="Arial" w:hAnsi="Arial" w:cs="Arial"/>
                <w:sz w:val="24"/>
                <w:szCs w:val="24"/>
              </w:rPr>
            </w:pPr>
          </w:p>
          <w:p w14:paraId="5B741039" w14:textId="77777777"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17-33-EL-ATA</w:t>
            </w:r>
          </w:p>
          <w:p w14:paraId="0E9F4A81" w14:textId="77777777" w:rsidR="00C81C96" w:rsidRDefault="00C81C96" w:rsidP="00C81C96">
            <w:pPr>
              <w:widowControl w:val="0"/>
              <w:spacing w:after="0" w:line="240" w:lineRule="auto"/>
              <w:rPr>
                <w:rFonts w:ascii="Arial" w:hAnsi="Arial" w:cs="Arial"/>
                <w:sz w:val="24"/>
                <w:szCs w:val="24"/>
              </w:rPr>
            </w:pPr>
          </w:p>
          <w:p w14:paraId="0FF9EAA4" w14:textId="77777777" w:rsidR="00C81C96" w:rsidRDefault="00C81C96" w:rsidP="00C81C96">
            <w:pPr>
              <w:widowControl w:val="0"/>
              <w:spacing w:after="0" w:line="240" w:lineRule="auto"/>
              <w:rPr>
                <w:rFonts w:ascii="Arial" w:hAnsi="Arial" w:cs="Arial"/>
                <w:sz w:val="24"/>
                <w:szCs w:val="24"/>
              </w:rPr>
            </w:pPr>
          </w:p>
          <w:p w14:paraId="01AB5CC4" w14:textId="77777777" w:rsidR="00C81C96" w:rsidRDefault="00C81C96" w:rsidP="00C81C96">
            <w:pPr>
              <w:widowControl w:val="0"/>
              <w:spacing w:after="0" w:line="240" w:lineRule="auto"/>
              <w:rPr>
                <w:rFonts w:ascii="Arial" w:hAnsi="Arial" w:cs="Arial"/>
                <w:sz w:val="24"/>
                <w:szCs w:val="24"/>
              </w:rPr>
            </w:pPr>
          </w:p>
          <w:p w14:paraId="26126DBF" w14:textId="77777777" w:rsidR="00C81C96" w:rsidRPr="00561663" w:rsidRDefault="00C81C96" w:rsidP="00C81C96">
            <w:pPr>
              <w:widowControl w:val="0"/>
              <w:spacing w:after="0" w:line="240" w:lineRule="auto"/>
              <w:rPr>
                <w:rFonts w:ascii="Arial" w:hAnsi="Arial" w:cs="Arial"/>
                <w:sz w:val="24"/>
                <w:szCs w:val="24"/>
              </w:rPr>
            </w:pPr>
            <w:r>
              <w:rPr>
                <w:rFonts w:ascii="Arial" w:hAnsi="Arial" w:cs="Arial"/>
                <w:sz w:val="24"/>
                <w:szCs w:val="24"/>
              </w:rPr>
              <w:t>Case No. 17-34-EL-AAM</w:t>
            </w:r>
          </w:p>
          <w:p w14:paraId="0B4852A8" w14:textId="0F629CE6" w:rsidR="00C81C96" w:rsidRPr="009D71F6" w:rsidRDefault="00C81C96" w:rsidP="00C81C96">
            <w:pPr>
              <w:widowControl w:val="0"/>
              <w:spacing w:after="0" w:line="240" w:lineRule="auto"/>
              <w:rPr>
                <w:rFonts w:ascii="Arial" w:hAnsi="Arial" w:cs="Arial"/>
                <w:sz w:val="24"/>
                <w:szCs w:val="24"/>
              </w:rPr>
            </w:pPr>
          </w:p>
        </w:tc>
      </w:tr>
    </w:tbl>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637F2CFF" w14:textId="01B88B42" w:rsidR="001507E5" w:rsidRDefault="001507E5" w:rsidP="001507E5">
      <w:pPr>
        <w:widowControl w:val="0"/>
        <w:spacing w:after="0" w:line="240" w:lineRule="auto"/>
        <w:rPr>
          <w:rFonts w:ascii="Arial" w:hAnsi="Arial" w:cs="Arial"/>
          <w:b/>
          <w:bCs/>
          <w:sz w:val="24"/>
          <w:szCs w:val="24"/>
        </w:rPr>
      </w:pPr>
    </w:p>
    <w:p w14:paraId="20EE0FC6" w14:textId="1F14921D" w:rsidR="001507E5" w:rsidRPr="009D71F6" w:rsidRDefault="001507E5" w:rsidP="001507E5">
      <w:pPr>
        <w:widowControl w:val="0"/>
        <w:spacing w:after="0" w:line="240" w:lineRule="auto"/>
        <w:jc w:val="center"/>
        <w:rPr>
          <w:rFonts w:ascii="Arial" w:hAnsi="Arial" w:cs="Arial"/>
          <w:b/>
          <w:bCs/>
          <w:sz w:val="24"/>
          <w:szCs w:val="24"/>
        </w:rPr>
      </w:pPr>
      <w:r>
        <w:rPr>
          <w:rFonts w:ascii="Arial" w:hAnsi="Arial" w:cs="Arial"/>
          <w:b/>
          <w:bCs/>
          <w:sz w:val="24"/>
          <w:szCs w:val="24"/>
        </w:rPr>
        <w:t>MEMORANDUM CONTRA MOTION TO STRIKE OBJECTIONS</w:t>
      </w:r>
      <w:r w:rsidR="009D15D9">
        <w:rPr>
          <w:rFonts w:ascii="Arial" w:hAnsi="Arial" w:cs="Arial"/>
          <w:b/>
          <w:bCs/>
          <w:sz w:val="24"/>
          <w:szCs w:val="24"/>
        </w:rPr>
        <w:t xml:space="preserve"> OF INTERSTATE GAS SUPPLY, INC.</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6D49FB03" w14:textId="5E30CB86" w:rsidR="00785F0D" w:rsidRPr="00785F0D" w:rsidRDefault="00785F0D" w:rsidP="00785F0D">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INTRODUCTION</w:t>
      </w:r>
    </w:p>
    <w:p w14:paraId="6C21F1B7" w14:textId="272B9103" w:rsidR="00DB4B79" w:rsidRDefault="00ED277E" w:rsidP="005B5CA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Pursuant to OAC 4901-1-28(B) and R.C. 4909.19, IGS filed objections to the </w:t>
      </w:r>
      <w:r w:rsidR="00665B61">
        <w:rPr>
          <w:rFonts w:ascii="Arial" w:hAnsi="Arial" w:cs="Arial"/>
          <w:sz w:val="24"/>
          <w:szCs w:val="24"/>
        </w:rPr>
        <w:t>Staff</w:t>
      </w:r>
      <w:r w:rsidR="00665B61" w:rsidRPr="00665B61">
        <w:rPr>
          <w:rFonts w:ascii="Arial" w:hAnsi="Arial" w:cs="Arial"/>
          <w:sz w:val="24"/>
          <w:szCs w:val="24"/>
        </w:rPr>
        <w:t xml:space="preserve"> Report of Investigation </w:t>
      </w:r>
      <w:r w:rsidR="0054191F">
        <w:rPr>
          <w:rFonts w:ascii="Arial" w:hAnsi="Arial" w:cs="Arial"/>
          <w:sz w:val="24"/>
          <w:szCs w:val="24"/>
        </w:rPr>
        <w:t>(“Staff Report”) relating</w:t>
      </w:r>
      <w:r w:rsidR="00665B61">
        <w:rPr>
          <w:rFonts w:ascii="Arial" w:hAnsi="Arial" w:cs="Arial"/>
          <w:sz w:val="24"/>
          <w:szCs w:val="24"/>
        </w:rPr>
        <w:t xml:space="preserve"> Duke Energy Ohio, Inc</w:t>
      </w:r>
      <w:r w:rsidR="00295125">
        <w:rPr>
          <w:rFonts w:ascii="Arial" w:hAnsi="Arial" w:cs="Arial"/>
          <w:sz w:val="24"/>
          <w:szCs w:val="24"/>
        </w:rPr>
        <w:t>.</w:t>
      </w:r>
      <w:r w:rsidR="00665B61">
        <w:rPr>
          <w:rFonts w:ascii="Arial" w:hAnsi="Arial" w:cs="Arial"/>
          <w:sz w:val="24"/>
          <w:szCs w:val="24"/>
        </w:rPr>
        <w:t xml:space="preserve">’s (“Duke”) </w:t>
      </w:r>
      <w:r w:rsidR="00DB4B79">
        <w:rPr>
          <w:rFonts w:ascii="Arial" w:hAnsi="Arial" w:cs="Arial"/>
          <w:sz w:val="24"/>
          <w:szCs w:val="24"/>
        </w:rPr>
        <w:t xml:space="preserve">application to increase its </w:t>
      </w:r>
      <w:r w:rsidR="006D25E7">
        <w:rPr>
          <w:rFonts w:ascii="Arial" w:hAnsi="Arial" w:cs="Arial"/>
          <w:sz w:val="24"/>
          <w:szCs w:val="24"/>
        </w:rPr>
        <w:t xml:space="preserve">base </w:t>
      </w:r>
      <w:r w:rsidR="00DB4B79">
        <w:rPr>
          <w:rFonts w:ascii="Arial" w:hAnsi="Arial" w:cs="Arial"/>
          <w:sz w:val="24"/>
          <w:szCs w:val="24"/>
        </w:rPr>
        <w:t>distribution rates.</w:t>
      </w:r>
      <w:r w:rsidR="00DB4B79">
        <w:rPr>
          <w:rStyle w:val="FootnoteReference"/>
          <w:rFonts w:ascii="Arial" w:hAnsi="Arial" w:cs="Arial"/>
          <w:sz w:val="24"/>
          <w:szCs w:val="24"/>
        </w:rPr>
        <w:footnoteReference w:id="1"/>
      </w:r>
      <w:r w:rsidR="00DB4B79">
        <w:rPr>
          <w:rFonts w:ascii="Arial" w:hAnsi="Arial" w:cs="Arial"/>
          <w:sz w:val="24"/>
          <w:szCs w:val="24"/>
        </w:rPr>
        <w:t xml:space="preserve">  </w:t>
      </w:r>
      <w:r w:rsidR="00665B61">
        <w:rPr>
          <w:rFonts w:ascii="Arial" w:hAnsi="Arial" w:cs="Arial"/>
          <w:sz w:val="24"/>
          <w:szCs w:val="24"/>
        </w:rPr>
        <w:t>Among other things</w:t>
      </w:r>
      <w:r w:rsidR="00DB4B79">
        <w:rPr>
          <w:rFonts w:ascii="Arial" w:hAnsi="Arial" w:cs="Arial"/>
          <w:sz w:val="24"/>
          <w:szCs w:val="24"/>
        </w:rPr>
        <w:t xml:space="preserve">, </w:t>
      </w:r>
      <w:r w:rsidR="00C63BA4">
        <w:rPr>
          <w:rFonts w:ascii="Arial" w:hAnsi="Arial" w:cs="Arial"/>
          <w:sz w:val="24"/>
          <w:szCs w:val="24"/>
        </w:rPr>
        <w:t>Interstate Gas Supply, Inc. (“</w:t>
      </w:r>
      <w:r w:rsidR="00DB4B79">
        <w:rPr>
          <w:rFonts w:ascii="Arial" w:hAnsi="Arial" w:cs="Arial"/>
          <w:sz w:val="24"/>
          <w:szCs w:val="24"/>
        </w:rPr>
        <w:t>IGS</w:t>
      </w:r>
      <w:r w:rsidR="00C63BA4">
        <w:rPr>
          <w:rFonts w:ascii="Arial" w:hAnsi="Arial" w:cs="Arial"/>
          <w:sz w:val="24"/>
          <w:szCs w:val="24"/>
        </w:rPr>
        <w:t>”)</w:t>
      </w:r>
      <w:r w:rsidR="00DB4B79">
        <w:rPr>
          <w:rFonts w:ascii="Arial" w:hAnsi="Arial" w:cs="Arial"/>
          <w:sz w:val="24"/>
          <w:szCs w:val="24"/>
        </w:rPr>
        <w:t xml:space="preserve"> </w:t>
      </w:r>
      <w:r w:rsidR="00665B61">
        <w:rPr>
          <w:rFonts w:ascii="Arial" w:hAnsi="Arial" w:cs="Arial"/>
          <w:sz w:val="24"/>
          <w:szCs w:val="24"/>
        </w:rPr>
        <w:t>objected to the</w:t>
      </w:r>
      <w:r w:rsidR="00DB4B79">
        <w:rPr>
          <w:rFonts w:ascii="Arial" w:hAnsi="Arial" w:cs="Arial"/>
          <w:sz w:val="24"/>
          <w:szCs w:val="24"/>
        </w:rPr>
        <w:t xml:space="preserve"> Staff Report’s failure to provide a comprehensive evaluation </w:t>
      </w:r>
      <w:r w:rsidR="00DB4B79" w:rsidRPr="00665B61">
        <w:rPr>
          <w:rFonts w:ascii="Arial" w:hAnsi="Arial" w:cs="Arial"/>
          <w:sz w:val="24"/>
          <w:szCs w:val="24"/>
        </w:rPr>
        <w:t>of all matters</w:t>
      </w:r>
      <w:r w:rsidR="00DB4B79">
        <w:rPr>
          <w:rFonts w:ascii="Arial" w:hAnsi="Arial" w:cs="Arial"/>
          <w:sz w:val="24"/>
          <w:szCs w:val="24"/>
        </w:rPr>
        <w:t xml:space="preserve"> and issues related to Duke’s proposed customer information system (“CIS”).</w:t>
      </w:r>
      <w:r w:rsidR="00DB4B79">
        <w:rPr>
          <w:rStyle w:val="FootnoteReference"/>
          <w:rFonts w:ascii="Arial" w:hAnsi="Arial" w:cs="Arial"/>
          <w:sz w:val="24"/>
          <w:szCs w:val="24"/>
        </w:rPr>
        <w:footnoteReference w:id="2"/>
      </w:r>
      <w:r w:rsidR="006D25E7">
        <w:rPr>
          <w:rFonts w:ascii="Arial" w:hAnsi="Arial" w:cs="Arial"/>
          <w:sz w:val="24"/>
          <w:szCs w:val="24"/>
        </w:rPr>
        <w:t xml:space="preserve">  </w:t>
      </w:r>
      <w:r w:rsidR="00394379">
        <w:rPr>
          <w:rFonts w:ascii="Arial" w:hAnsi="Arial" w:cs="Arial"/>
          <w:sz w:val="24"/>
          <w:szCs w:val="24"/>
        </w:rPr>
        <w:t>In support</w:t>
      </w:r>
      <w:r w:rsidR="006D25E7">
        <w:rPr>
          <w:rFonts w:ascii="Arial" w:hAnsi="Arial" w:cs="Arial"/>
          <w:sz w:val="24"/>
          <w:szCs w:val="24"/>
        </w:rPr>
        <w:t xml:space="preserve"> of its objection</w:t>
      </w:r>
      <w:r w:rsidR="0054191F">
        <w:rPr>
          <w:rFonts w:ascii="Arial" w:hAnsi="Arial" w:cs="Arial"/>
          <w:sz w:val="24"/>
          <w:szCs w:val="24"/>
        </w:rPr>
        <w:t>s</w:t>
      </w:r>
      <w:r w:rsidR="006D25E7">
        <w:rPr>
          <w:rFonts w:ascii="Arial" w:hAnsi="Arial" w:cs="Arial"/>
          <w:sz w:val="24"/>
          <w:szCs w:val="24"/>
        </w:rPr>
        <w:t xml:space="preserve">, IGS specifically referenced </w:t>
      </w:r>
      <w:r w:rsidR="00421792">
        <w:rPr>
          <w:rFonts w:ascii="Arial" w:hAnsi="Arial" w:cs="Arial"/>
          <w:sz w:val="24"/>
          <w:szCs w:val="24"/>
        </w:rPr>
        <w:t>the Staff Report’s failure to discuss how, and at what cost, Duke’s proposed CIS would transmit interval data to CRES providers</w:t>
      </w:r>
      <w:r w:rsidR="00394379">
        <w:rPr>
          <w:rFonts w:ascii="Arial" w:hAnsi="Arial" w:cs="Arial"/>
          <w:sz w:val="24"/>
          <w:szCs w:val="24"/>
        </w:rPr>
        <w:t xml:space="preserve">; as well as the Report’s failure to recommend that Duke calculate customer peak load contributions, energy usage, and network service peak load </w:t>
      </w:r>
      <w:r w:rsidR="00394379">
        <w:rPr>
          <w:rFonts w:ascii="Arial" w:hAnsi="Arial" w:cs="Arial"/>
          <w:sz w:val="24"/>
          <w:szCs w:val="24"/>
        </w:rPr>
        <w:lastRenderedPageBreak/>
        <w:t>contributions for purposes of calculating CRES provider wholesale settlement statements</w:t>
      </w:r>
      <w:r w:rsidR="008D33F3">
        <w:rPr>
          <w:rFonts w:ascii="Arial" w:hAnsi="Arial" w:cs="Arial"/>
          <w:sz w:val="24"/>
          <w:szCs w:val="24"/>
        </w:rPr>
        <w:t>; as well as the failure to address billing functionality</w:t>
      </w:r>
      <w:r w:rsidR="00394379">
        <w:rPr>
          <w:rFonts w:ascii="Arial" w:hAnsi="Arial" w:cs="Arial"/>
          <w:sz w:val="24"/>
          <w:szCs w:val="24"/>
        </w:rPr>
        <w:t xml:space="preserve"> under the proposed CIS.</w:t>
      </w:r>
      <w:r w:rsidR="00394379">
        <w:rPr>
          <w:rStyle w:val="FootnoteReference"/>
          <w:rFonts w:ascii="Arial" w:hAnsi="Arial" w:cs="Arial"/>
          <w:sz w:val="24"/>
          <w:szCs w:val="24"/>
        </w:rPr>
        <w:footnoteReference w:id="3"/>
      </w:r>
      <w:r w:rsidR="00421792">
        <w:rPr>
          <w:rFonts w:ascii="Arial" w:hAnsi="Arial" w:cs="Arial"/>
          <w:sz w:val="24"/>
          <w:szCs w:val="24"/>
        </w:rPr>
        <w:t xml:space="preserve"> </w:t>
      </w:r>
    </w:p>
    <w:p w14:paraId="5DDC8537" w14:textId="01559F3C" w:rsidR="008A6CA9" w:rsidRPr="009D71F6" w:rsidRDefault="00DB4B79" w:rsidP="00796AD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w:t>
      </w:r>
      <w:r w:rsidR="002F1329">
        <w:rPr>
          <w:rFonts w:ascii="Arial" w:hAnsi="Arial" w:cs="Arial"/>
          <w:sz w:val="24"/>
          <w:szCs w:val="24"/>
        </w:rPr>
        <w:t>November 6</w:t>
      </w:r>
      <w:r w:rsidR="0070041F">
        <w:rPr>
          <w:rFonts w:ascii="Arial" w:hAnsi="Arial" w:cs="Arial"/>
          <w:sz w:val="24"/>
          <w:szCs w:val="24"/>
        </w:rPr>
        <w:t>, 2017, t</w:t>
      </w:r>
      <w:r w:rsidR="002F1329">
        <w:rPr>
          <w:rFonts w:ascii="Arial" w:hAnsi="Arial" w:cs="Arial"/>
          <w:sz w:val="24"/>
          <w:szCs w:val="24"/>
        </w:rPr>
        <w:t xml:space="preserve">he </w:t>
      </w:r>
      <w:r w:rsidR="00554C89">
        <w:rPr>
          <w:rFonts w:ascii="Arial" w:hAnsi="Arial" w:cs="Arial"/>
          <w:sz w:val="24"/>
          <w:szCs w:val="24"/>
        </w:rPr>
        <w:t>Office of Ohio Consumers’ Counsel (“</w:t>
      </w:r>
      <w:r w:rsidR="00976674">
        <w:rPr>
          <w:rFonts w:ascii="Arial" w:hAnsi="Arial" w:cs="Arial"/>
          <w:sz w:val="24"/>
          <w:szCs w:val="24"/>
        </w:rPr>
        <w:t>OCC</w:t>
      </w:r>
      <w:r w:rsidR="00554C89">
        <w:rPr>
          <w:rFonts w:ascii="Arial" w:hAnsi="Arial" w:cs="Arial"/>
          <w:sz w:val="24"/>
          <w:szCs w:val="24"/>
        </w:rPr>
        <w:t>”)</w:t>
      </w:r>
      <w:r w:rsidR="007C0F96">
        <w:rPr>
          <w:rFonts w:ascii="Arial" w:hAnsi="Arial" w:cs="Arial"/>
          <w:sz w:val="24"/>
          <w:szCs w:val="24"/>
        </w:rPr>
        <w:t xml:space="preserve"> filed a motion to strike </w:t>
      </w:r>
      <w:r w:rsidR="00976674">
        <w:rPr>
          <w:rFonts w:ascii="Arial" w:hAnsi="Arial" w:cs="Arial"/>
          <w:sz w:val="24"/>
          <w:szCs w:val="24"/>
        </w:rPr>
        <w:t>IGS’</w:t>
      </w:r>
      <w:r w:rsidR="0054191F">
        <w:rPr>
          <w:rFonts w:ascii="Arial" w:hAnsi="Arial" w:cs="Arial"/>
          <w:sz w:val="24"/>
          <w:szCs w:val="24"/>
        </w:rPr>
        <w:t>s</w:t>
      </w:r>
      <w:r w:rsidR="00976674">
        <w:rPr>
          <w:rFonts w:ascii="Arial" w:hAnsi="Arial" w:cs="Arial"/>
          <w:sz w:val="24"/>
          <w:szCs w:val="24"/>
        </w:rPr>
        <w:t xml:space="preserve"> </w:t>
      </w:r>
      <w:r w:rsidR="00554C89">
        <w:rPr>
          <w:rFonts w:ascii="Arial" w:hAnsi="Arial" w:cs="Arial"/>
          <w:sz w:val="24"/>
          <w:szCs w:val="24"/>
        </w:rPr>
        <w:t>objection</w:t>
      </w:r>
      <w:r w:rsidR="0054191F">
        <w:rPr>
          <w:rFonts w:ascii="Arial" w:hAnsi="Arial" w:cs="Arial"/>
          <w:sz w:val="24"/>
          <w:szCs w:val="24"/>
        </w:rPr>
        <w:t>s</w:t>
      </w:r>
      <w:r w:rsidR="00976674">
        <w:rPr>
          <w:rFonts w:ascii="Arial" w:hAnsi="Arial" w:cs="Arial"/>
          <w:sz w:val="24"/>
          <w:szCs w:val="24"/>
        </w:rPr>
        <w:t>.</w:t>
      </w:r>
      <w:r w:rsidR="00614A5D">
        <w:rPr>
          <w:rStyle w:val="FootnoteReference"/>
          <w:rFonts w:ascii="Arial" w:hAnsi="Arial" w:cs="Arial"/>
          <w:sz w:val="24"/>
          <w:szCs w:val="24"/>
        </w:rPr>
        <w:footnoteReference w:id="4"/>
      </w:r>
      <w:r w:rsidR="00976674">
        <w:rPr>
          <w:rFonts w:ascii="Arial" w:hAnsi="Arial" w:cs="Arial"/>
          <w:sz w:val="24"/>
          <w:szCs w:val="24"/>
        </w:rPr>
        <w:t xml:space="preserve">  </w:t>
      </w:r>
      <w:r w:rsidR="00127783">
        <w:rPr>
          <w:rFonts w:ascii="Arial" w:hAnsi="Arial" w:cs="Arial"/>
          <w:sz w:val="24"/>
          <w:szCs w:val="24"/>
        </w:rPr>
        <w:t xml:space="preserve">Because </w:t>
      </w:r>
      <w:r w:rsidR="00BA162D">
        <w:rPr>
          <w:rFonts w:ascii="Arial" w:hAnsi="Arial" w:cs="Arial"/>
          <w:sz w:val="24"/>
          <w:szCs w:val="24"/>
        </w:rPr>
        <w:t xml:space="preserve">Duke incurred no expenses related to </w:t>
      </w:r>
      <w:r w:rsidR="00127783">
        <w:rPr>
          <w:rFonts w:ascii="Arial" w:hAnsi="Arial" w:cs="Arial"/>
          <w:sz w:val="24"/>
          <w:szCs w:val="24"/>
        </w:rPr>
        <w:t xml:space="preserve">the </w:t>
      </w:r>
      <w:r w:rsidR="006D25E7">
        <w:rPr>
          <w:rFonts w:ascii="Arial" w:hAnsi="Arial" w:cs="Arial"/>
          <w:sz w:val="24"/>
          <w:szCs w:val="24"/>
        </w:rPr>
        <w:t>CIS</w:t>
      </w:r>
      <w:r w:rsidR="009D6A6E">
        <w:rPr>
          <w:rFonts w:ascii="Arial" w:hAnsi="Arial" w:cs="Arial"/>
          <w:sz w:val="24"/>
          <w:szCs w:val="24"/>
        </w:rPr>
        <w:t xml:space="preserve"> in </w:t>
      </w:r>
      <w:r w:rsidR="00127783">
        <w:rPr>
          <w:rFonts w:ascii="Arial" w:hAnsi="Arial" w:cs="Arial"/>
          <w:sz w:val="24"/>
          <w:szCs w:val="24"/>
        </w:rPr>
        <w:t>the Test Year,</w:t>
      </w:r>
      <w:r w:rsidR="00127783" w:rsidRPr="00127783">
        <w:rPr>
          <w:rFonts w:ascii="Arial" w:hAnsi="Arial" w:cs="Arial"/>
          <w:sz w:val="24"/>
          <w:szCs w:val="24"/>
        </w:rPr>
        <w:t xml:space="preserve"> </w:t>
      </w:r>
      <w:r w:rsidR="00127783">
        <w:rPr>
          <w:rFonts w:ascii="Arial" w:hAnsi="Arial" w:cs="Arial"/>
          <w:sz w:val="24"/>
          <w:szCs w:val="24"/>
        </w:rPr>
        <w:t xml:space="preserve">OCC alleges that </w:t>
      </w:r>
      <w:r w:rsidR="009D6A6E">
        <w:rPr>
          <w:rFonts w:ascii="Arial" w:hAnsi="Arial" w:cs="Arial"/>
          <w:sz w:val="24"/>
          <w:szCs w:val="24"/>
        </w:rPr>
        <w:t>issues related to the CIS</w:t>
      </w:r>
      <w:r w:rsidR="001A127E">
        <w:rPr>
          <w:rFonts w:ascii="Arial" w:hAnsi="Arial" w:cs="Arial"/>
          <w:sz w:val="24"/>
          <w:szCs w:val="24"/>
        </w:rPr>
        <w:t xml:space="preserve"> </w:t>
      </w:r>
      <w:r w:rsidR="006D25E7">
        <w:rPr>
          <w:rFonts w:ascii="Arial" w:hAnsi="Arial" w:cs="Arial"/>
          <w:sz w:val="24"/>
          <w:szCs w:val="24"/>
        </w:rPr>
        <w:t>cannot be addressed in a base rate case under</w:t>
      </w:r>
      <w:r w:rsidR="008C40A6">
        <w:rPr>
          <w:rFonts w:ascii="Arial" w:hAnsi="Arial" w:cs="Arial"/>
          <w:sz w:val="24"/>
          <w:szCs w:val="24"/>
        </w:rPr>
        <w:t xml:space="preserve"> Ohio law</w:t>
      </w:r>
      <w:r w:rsidR="001A127E">
        <w:rPr>
          <w:rFonts w:ascii="Arial" w:hAnsi="Arial" w:cs="Arial"/>
          <w:sz w:val="24"/>
          <w:szCs w:val="24"/>
        </w:rPr>
        <w:t>.</w:t>
      </w:r>
      <w:r w:rsidR="00DB2C1F">
        <w:rPr>
          <w:rStyle w:val="FootnoteReference"/>
          <w:rFonts w:ascii="Arial" w:hAnsi="Arial" w:cs="Arial"/>
          <w:sz w:val="24"/>
          <w:szCs w:val="24"/>
        </w:rPr>
        <w:footnoteReference w:id="5"/>
      </w:r>
      <w:r w:rsidR="00914144">
        <w:rPr>
          <w:rFonts w:ascii="Arial" w:hAnsi="Arial" w:cs="Arial"/>
          <w:sz w:val="24"/>
          <w:szCs w:val="24"/>
        </w:rPr>
        <w:t xml:space="preserve"> </w:t>
      </w:r>
      <w:r w:rsidR="008D33F3">
        <w:rPr>
          <w:rFonts w:ascii="Arial" w:hAnsi="Arial" w:cs="Arial"/>
          <w:sz w:val="24"/>
          <w:szCs w:val="24"/>
        </w:rPr>
        <w:t xml:space="preserve"> </w:t>
      </w:r>
      <w:r w:rsidR="009D6A6E">
        <w:rPr>
          <w:rFonts w:ascii="Arial" w:hAnsi="Arial" w:cs="Arial"/>
          <w:sz w:val="24"/>
          <w:szCs w:val="24"/>
        </w:rPr>
        <w:t>OCC’s motion should be denied for two simple reasons:  It seeks to inappropriately prejudge the merits of IGS’s objection</w:t>
      </w:r>
      <w:r w:rsidR="008D33F3">
        <w:rPr>
          <w:rFonts w:ascii="Arial" w:hAnsi="Arial" w:cs="Arial"/>
          <w:sz w:val="24"/>
          <w:szCs w:val="24"/>
        </w:rPr>
        <w:t>s</w:t>
      </w:r>
      <w:r w:rsidR="009D6A6E">
        <w:rPr>
          <w:rFonts w:ascii="Arial" w:hAnsi="Arial" w:cs="Arial"/>
          <w:sz w:val="24"/>
          <w:szCs w:val="24"/>
        </w:rPr>
        <w:t>, and it contradicts OCC’s own request to resolve issues relate</w:t>
      </w:r>
      <w:r w:rsidR="00BD74EA">
        <w:rPr>
          <w:rFonts w:ascii="Arial" w:hAnsi="Arial" w:cs="Arial"/>
          <w:sz w:val="24"/>
          <w:szCs w:val="24"/>
        </w:rPr>
        <w:t>d</w:t>
      </w:r>
      <w:r w:rsidR="009D6A6E">
        <w:rPr>
          <w:rFonts w:ascii="Arial" w:hAnsi="Arial" w:cs="Arial"/>
          <w:sz w:val="24"/>
          <w:szCs w:val="24"/>
        </w:rPr>
        <w:t xml:space="preserve"> to the CIS in this case.</w:t>
      </w:r>
    </w:p>
    <w:p w14:paraId="6FEF77E1" w14:textId="09DE6F57" w:rsidR="008A6CA9" w:rsidRDefault="008A6CA9" w:rsidP="008A6CA9">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ARGUMENT</w:t>
      </w:r>
    </w:p>
    <w:p w14:paraId="356221D7" w14:textId="3B09E435" w:rsidR="008A6CA9" w:rsidRDefault="00295125" w:rsidP="002610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The OCC moves to strike </w:t>
      </w:r>
      <w:r w:rsidR="00D60915">
        <w:rPr>
          <w:rFonts w:ascii="Arial" w:hAnsi="Arial" w:cs="Arial"/>
          <w:sz w:val="24"/>
          <w:szCs w:val="24"/>
        </w:rPr>
        <w:t>objection E.</w:t>
      </w:r>
      <w:r w:rsidR="002610E3">
        <w:rPr>
          <w:rFonts w:ascii="Arial" w:hAnsi="Arial" w:cs="Arial"/>
          <w:sz w:val="24"/>
          <w:szCs w:val="24"/>
        </w:rPr>
        <w:t>1</w:t>
      </w:r>
      <w:r>
        <w:rPr>
          <w:rFonts w:ascii="Arial" w:hAnsi="Arial" w:cs="Arial"/>
          <w:sz w:val="24"/>
          <w:szCs w:val="24"/>
        </w:rPr>
        <w:t xml:space="preserve"> and E.2, which state</w:t>
      </w:r>
      <w:r w:rsidR="002610E3">
        <w:rPr>
          <w:rFonts w:ascii="Arial" w:hAnsi="Arial" w:cs="Arial"/>
          <w:sz w:val="24"/>
          <w:szCs w:val="24"/>
        </w:rPr>
        <w:t xml:space="preserve"> that </w:t>
      </w:r>
      <w:r w:rsidR="007A7F57">
        <w:rPr>
          <w:rFonts w:ascii="Arial" w:hAnsi="Arial" w:cs="Arial"/>
          <w:sz w:val="24"/>
          <w:szCs w:val="24"/>
        </w:rPr>
        <w:t>the Staff</w:t>
      </w:r>
      <w:r w:rsidR="005F44B7">
        <w:rPr>
          <w:rFonts w:ascii="Arial" w:hAnsi="Arial" w:cs="Arial"/>
          <w:sz w:val="24"/>
          <w:szCs w:val="24"/>
        </w:rPr>
        <w:t xml:space="preserve"> Report</w:t>
      </w:r>
      <w:r w:rsidR="003D6622">
        <w:rPr>
          <w:rFonts w:ascii="Arial" w:hAnsi="Arial" w:cs="Arial"/>
          <w:sz w:val="24"/>
          <w:szCs w:val="24"/>
        </w:rPr>
        <w:t xml:space="preserve"> </w:t>
      </w:r>
      <w:r w:rsidR="00580F3D">
        <w:rPr>
          <w:rFonts w:ascii="Arial" w:hAnsi="Arial" w:cs="Arial"/>
          <w:sz w:val="24"/>
          <w:szCs w:val="24"/>
        </w:rPr>
        <w:t>failed to provide a comprehensive evaluation of</w:t>
      </w:r>
      <w:r w:rsidR="00580F3D" w:rsidRPr="00295125">
        <w:rPr>
          <w:rFonts w:ascii="Arial" w:hAnsi="Arial" w:cs="Arial"/>
          <w:sz w:val="24"/>
          <w:szCs w:val="24"/>
        </w:rPr>
        <w:t xml:space="preserve"> all</w:t>
      </w:r>
      <w:r w:rsidR="00580F3D">
        <w:rPr>
          <w:rFonts w:ascii="Arial" w:hAnsi="Arial" w:cs="Arial"/>
          <w:sz w:val="24"/>
          <w:szCs w:val="24"/>
        </w:rPr>
        <w:t xml:space="preserve"> matters and issues related to Duke’s proposed CIS</w:t>
      </w:r>
      <w:r>
        <w:rPr>
          <w:rFonts w:ascii="Arial" w:hAnsi="Arial" w:cs="Arial"/>
          <w:sz w:val="24"/>
          <w:szCs w:val="24"/>
        </w:rPr>
        <w:t xml:space="preserve"> upgrade</w:t>
      </w:r>
      <w:r w:rsidR="00580F3D">
        <w:rPr>
          <w:rFonts w:ascii="Arial" w:hAnsi="Arial" w:cs="Arial"/>
          <w:sz w:val="24"/>
          <w:szCs w:val="24"/>
        </w:rPr>
        <w:t>.</w:t>
      </w:r>
      <w:r w:rsidR="00580F3D">
        <w:rPr>
          <w:rStyle w:val="FootnoteReference"/>
          <w:rFonts w:ascii="Arial" w:hAnsi="Arial" w:cs="Arial"/>
          <w:sz w:val="24"/>
          <w:szCs w:val="24"/>
        </w:rPr>
        <w:footnoteReference w:id="6"/>
      </w:r>
      <w:r w:rsidR="00580F3D">
        <w:rPr>
          <w:rFonts w:ascii="Arial" w:hAnsi="Arial" w:cs="Arial"/>
          <w:sz w:val="24"/>
          <w:szCs w:val="24"/>
        </w:rPr>
        <w:t xml:space="preserve">  </w:t>
      </w:r>
      <w:r w:rsidR="00914144">
        <w:rPr>
          <w:rFonts w:ascii="Arial" w:hAnsi="Arial" w:cs="Arial"/>
          <w:sz w:val="24"/>
          <w:szCs w:val="24"/>
        </w:rPr>
        <w:t xml:space="preserve">OCC argues </w:t>
      </w:r>
      <w:r>
        <w:rPr>
          <w:rFonts w:ascii="Arial" w:hAnsi="Arial" w:cs="Arial"/>
          <w:sz w:val="24"/>
          <w:szCs w:val="24"/>
        </w:rPr>
        <w:t>that since the Staff Report</w:t>
      </w:r>
      <w:r w:rsidR="007A1112">
        <w:rPr>
          <w:rFonts w:ascii="Arial" w:hAnsi="Arial" w:cs="Arial"/>
          <w:sz w:val="24"/>
          <w:szCs w:val="24"/>
        </w:rPr>
        <w:t xml:space="preserve"> found that Duke </w:t>
      </w:r>
      <w:r>
        <w:rPr>
          <w:rFonts w:ascii="Arial" w:hAnsi="Arial" w:cs="Arial"/>
          <w:sz w:val="24"/>
          <w:szCs w:val="24"/>
        </w:rPr>
        <w:t>failed to incur any CIS-related expense during the Test Y</w:t>
      </w:r>
      <w:r w:rsidR="007A1112">
        <w:rPr>
          <w:rFonts w:ascii="Arial" w:hAnsi="Arial" w:cs="Arial"/>
          <w:sz w:val="24"/>
          <w:szCs w:val="24"/>
        </w:rPr>
        <w:t>ear, the proposed upgrades are entirely forward-looking and should therefore be excluded from the base rate case.</w:t>
      </w:r>
      <w:r w:rsidR="007A1112">
        <w:rPr>
          <w:rStyle w:val="FootnoteReference"/>
          <w:rFonts w:ascii="Arial" w:hAnsi="Arial" w:cs="Arial"/>
          <w:sz w:val="24"/>
          <w:szCs w:val="24"/>
        </w:rPr>
        <w:footnoteReference w:id="7"/>
      </w:r>
      <w:r w:rsidR="007A1112">
        <w:rPr>
          <w:rFonts w:ascii="Arial" w:hAnsi="Arial" w:cs="Arial"/>
          <w:sz w:val="24"/>
          <w:szCs w:val="24"/>
        </w:rPr>
        <w:t xml:space="preserve">  OCC asserts that pursuant to R.C. 4909.15(C)(1</w:t>
      </w:r>
      <w:r w:rsidR="00CE5079">
        <w:rPr>
          <w:rFonts w:ascii="Arial" w:hAnsi="Arial" w:cs="Arial"/>
          <w:sz w:val="24"/>
          <w:szCs w:val="24"/>
        </w:rPr>
        <w:t>)</w:t>
      </w:r>
      <w:r w:rsidR="00F97A8C">
        <w:rPr>
          <w:rFonts w:ascii="Arial" w:hAnsi="Arial" w:cs="Arial"/>
          <w:sz w:val="24"/>
          <w:szCs w:val="24"/>
        </w:rPr>
        <w:t>,</w:t>
      </w:r>
      <w:r w:rsidR="004D2533">
        <w:rPr>
          <w:rFonts w:ascii="Arial" w:hAnsi="Arial" w:cs="Arial"/>
          <w:sz w:val="24"/>
          <w:szCs w:val="24"/>
        </w:rPr>
        <w:t xml:space="preserve"> </w:t>
      </w:r>
      <w:r w:rsidR="009D39EE">
        <w:rPr>
          <w:rFonts w:ascii="Arial" w:hAnsi="Arial" w:cs="Arial"/>
          <w:sz w:val="24"/>
          <w:szCs w:val="24"/>
        </w:rPr>
        <w:t>a determination of</w:t>
      </w:r>
      <w:r w:rsidR="004D2533">
        <w:rPr>
          <w:rFonts w:ascii="Arial" w:hAnsi="Arial" w:cs="Arial"/>
          <w:sz w:val="24"/>
          <w:szCs w:val="24"/>
        </w:rPr>
        <w:t xml:space="preserve"> </w:t>
      </w:r>
      <w:r w:rsidR="00F97A8C">
        <w:rPr>
          <w:rFonts w:ascii="Arial" w:hAnsi="Arial" w:cs="Arial"/>
          <w:sz w:val="24"/>
          <w:szCs w:val="24"/>
        </w:rPr>
        <w:t xml:space="preserve">revenues and expenses associated with </w:t>
      </w:r>
      <w:r w:rsidR="00A834D8">
        <w:rPr>
          <w:rFonts w:ascii="Arial" w:hAnsi="Arial" w:cs="Arial"/>
          <w:sz w:val="24"/>
          <w:szCs w:val="24"/>
        </w:rPr>
        <w:t xml:space="preserve">the proposed </w:t>
      </w:r>
      <w:r w:rsidR="004D2533">
        <w:rPr>
          <w:rFonts w:ascii="Arial" w:hAnsi="Arial" w:cs="Arial"/>
          <w:sz w:val="24"/>
          <w:szCs w:val="24"/>
        </w:rPr>
        <w:t xml:space="preserve">CIS upgrades </w:t>
      </w:r>
      <w:r w:rsidR="009D39EE">
        <w:rPr>
          <w:rFonts w:ascii="Arial" w:hAnsi="Arial" w:cs="Arial"/>
          <w:sz w:val="24"/>
          <w:szCs w:val="24"/>
        </w:rPr>
        <w:t>is appropriate</w:t>
      </w:r>
      <w:r w:rsidR="00F97A8C">
        <w:rPr>
          <w:rFonts w:ascii="Arial" w:hAnsi="Arial" w:cs="Arial"/>
          <w:sz w:val="24"/>
          <w:szCs w:val="24"/>
        </w:rPr>
        <w:t xml:space="preserve"> in a base rate </w:t>
      </w:r>
      <w:r w:rsidR="00A834D8">
        <w:rPr>
          <w:rFonts w:ascii="Arial" w:hAnsi="Arial" w:cs="Arial"/>
          <w:sz w:val="24"/>
          <w:szCs w:val="24"/>
        </w:rPr>
        <w:t>proceeding</w:t>
      </w:r>
      <w:r w:rsidR="00F97A8C">
        <w:rPr>
          <w:rFonts w:ascii="Arial" w:hAnsi="Arial" w:cs="Arial"/>
          <w:sz w:val="24"/>
          <w:szCs w:val="24"/>
        </w:rPr>
        <w:t xml:space="preserve"> </w:t>
      </w:r>
      <w:r w:rsidR="000E0403">
        <w:rPr>
          <w:rFonts w:ascii="Arial" w:hAnsi="Arial" w:cs="Arial"/>
          <w:sz w:val="24"/>
          <w:szCs w:val="24"/>
        </w:rPr>
        <w:t xml:space="preserve">only </w:t>
      </w:r>
      <w:r w:rsidR="000E0403">
        <w:rPr>
          <w:rFonts w:ascii="Arial" w:hAnsi="Arial" w:cs="Arial"/>
          <w:sz w:val="24"/>
          <w:szCs w:val="24"/>
        </w:rPr>
        <w:lastRenderedPageBreak/>
        <w:t>in situations where</w:t>
      </w:r>
      <w:r w:rsidR="00F97A8C">
        <w:rPr>
          <w:rFonts w:ascii="Arial" w:hAnsi="Arial" w:cs="Arial"/>
          <w:sz w:val="24"/>
          <w:szCs w:val="24"/>
        </w:rPr>
        <w:t xml:space="preserve"> </w:t>
      </w:r>
      <w:r w:rsidR="000E0403">
        <w:rPr>
          <w:rFonts w:ascii="Arial" w:hAnsi="Arial" w:cs="Arial"/>
          <w:sz w:val="24"/>
          <w:szCs w:val="24"/>
        </w:rPr>
        <w:t>the</w:t>
      </w:r>
      <w:r w:rsidR="00F97A8C">
        <w:rPr>
          <w:rFonts w:ascii="Arial" w:hAnsi="Arial" w:cs="Arial"/>
          <w:sz w:val="24"/>
          <w:szCs w:val="24"/>
        </w:rPr>
        <w:t xml:space="preserve"> ex</w:t>
      </w:r>
      <w:r>
        <w:rPr>
          <w:rFonts w:ascii="Arial" w:hAnsi="Arial" w:cs="Arial"/>
          <w:sz w:val="24"/>
          <w:szCs w:val="24"/>
        </w:rPr>
        <w:t>penses are incurred during the Test Y</w:t>
      </w:r>
      <w:r w:rsidR="00F97A8C">
        <w:rPr>
          <w:rFonts w:ascii="Arial" w:hAnsi="Arial" w:cs="Arial"/>
          <w:sz w:val="24"/>
          <w:szCs w:val="24"/>
        </w:rPr>
        <w:t>ear.</w:t>
      </w:r>
      <w:r w:rsidR="00CE5079">
        <w:rPr>
          <w:rStyle w:val="FootnoteReference"/>
          <w:rFonts w:ascii="Arial" w:hAnsi="Arial" w:cs="Arial"/>
          <w:sz w:val="24"/>
          <w:szCs w:val="24"/>
        </w:rPr>
        <w:footnoteReference w:id="8"/>
      </w:r>
      <w:r w:rsidR="006406C1">
        <w:rPr>
          <w:rFonts w:ascii="Arial" w:hAnsi="Arial" w:cs="Arial"/>
          <w:sz w:val="24"/>
          <w:szCs w:val="24"/>
        </w:rPr>
        <w:t xml:space="preserve">  </w:t>
      </w:r>
      <w:r w:rsidR="00B80141">
        <w:rPr>
          <w:rFonts w:ascii="Arial" w:hAnsi="Arial" w:cs="Arial"/>
          <w:sz w:val="24"/>
          <w:szCs w:val="24"/>
        </w:rPr>
        <w:t>On that basis</w:t>
      </w:r>
      <w:r w:rsidR="006406C1">
        <w:rPr>
          <w:rFonts w:ascii="Arial" w:hAnsi="Arial" w:cs="Arial"/>
          <w:sz w:val="24"/>
          <w:szCs w:val="24"/>
        </w:rPr>
        <w:t>, OCC moves to strike IGS’</w:t>
      </w:r>
      <w:r w:rsidR="0054191F">
        <w:rPr>
          <w:rFonts w:ascii="Arial" w:hAnsi="Arial" w:cs="Arial"/>
          <w:sz w:val="24"/>
          <w:szCs w:val="24"/>
        </w:rPr>
        <w:t>s</w:t>
      </w:r>
      <w:r w:rsidR="006406C1">
        <w:rPr>
          <w:rFonts w:ascii="Arial" w:hAnsi="Arial" w:cs="Arial"/>
          <w:sz w:val="24"/>
          <w:szCs w:val="24"/>
        </w:rPr>
        <w:t xml:space="preserve"> objection</w:t>
      </w:r>
      <w:r w:rsidR="0054191F">
        <w:rPr>
          <w:rFonts w:ascii="Arial" w:hAnsi="Arial" w:cs="Arial"/>
          <w:sz w:val="24"/>
          <w:szCs w:val="24"/>
        </w:rPr>
        <w:t>s</w:t>
      </w:r>
      <w:r w:rsidR="006406C1">
        <w:rPr>
          <w:rFonts w:ascii="Arial" w:hAnsi="Arial" w:cs="Arial"/>
          <w:sz w:val="24"/>
          <w:szCs w:val="24"/>
        </w:rPr>
        <w:t xml:space="preserve"> E.1 </w:t>
      </w:r>
      <w:r w:rsidR="0054191F">
        <w:rPr>
          <w:rFonts w:ascii="Arial" w:hAnsi="Arial" w:cs="Arial"/>
          <w:sz w:val="24"/>
          <w:szCs w:val="24"/>
        </w:rPr>
        <w:t xml:space="preserve">and E.2., </w:t>
      </w:r>
      <w:r w:rsidR="00A834D8">
        <w:rPr>
          <w:rFonts w:ascii="Arial" w:hAnsi="Arial" w:cs="Arial"/>
          <w:sz w:val="24"/>
          <w:szCs w:val="24"/>
        </w:rPr>
        <w:t>asserting that</w:t>
      </w:r>
      <w:r w:rsidR="00DC699C">
        <w:rPr>
          <w:rFonts w:ascii="Arial" w:hAnsi="Arial" w:cs="Arial"/>
          <w:sz w:val="24"/>
          <w:szCs w:val="24"/>
        </w:rPr>
        <w:t xml:space="preserve"> </w:t>
      </w:r>
      <w:r w:rsidR="00BF020B">
        <w:rPr>
          <w:rFonts w:ascii="Arial" w:hAnsi="Arial" w:cs="Arial"/>
          <w:sz w:val="24"/>
          <w:szCs w:val="24"/>
        </w:rPr>
        <w:t>the objection</w:t>
      </w:r>
      <w:r w:rsidR="0054191F">
        <w:rPr>
          <w:rFonts w:ascii="Arial" w:hAnsi="Arial" w:cs="Arial"/>
          <w:sz w:val="24"/>
          <w:szCs w:val="24"/>
        </w:rPr>
        <w:t>s are</w:t>
      </w:r>
      <w:r w:rsidR="00DC699C">
        <w:rPr>
          <w:rFonts w:ascii="Arial" w:hAnsi="Arial" w:cs="Arial"/>
          <w:sz w:val="24"/>
          <w:szCs w:val="24"/>
        </w:rPr>
        <w:t xml:space="preserve"> not legally cognizable.</w:t>
      </w:r>
    </w:p>
    <w:p w14:paraId="5AC51884" w14:textId="178EB82F" w:rsidR="00C70E4A" w:rsidRDefault="009562B3" w:rsidP="002610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R.C. 4909.19(C) requires the Staff Report to “</w:t>
      </w:r>
      <w:r w:rsidRPr="009562B3">
        <w:rPr>
          <w:rFonts w:ascii="Arial" w:hAnsi="Arial" w:cs="Arial"/>
          <w:sz w:val="24"/>
          <w:szCs w:val="24"/>
        </w:rPr>
        <w:t>cause an investigation to be made of the facts set forth in said application and the exhibits attached thereto, and of the matters connected therewith.</w:t>
      </w:r>
      <w:r>
        <w:rPr>
          <w:rFonts w:ascii="Arial" w:hAnsi="Arial" w:cs="Arial"/>
          <w:sz w:val="24"/>
          <w:szCs w:val="24"/>
        </w:rPr>
        <w:t xml:space="preserve">”  </w:t>
      </w:r>
      <w:r w:rsidR="00FB38D5">
        <w:rPr>
          <w:rFonts w:ascii="Arial" w:hAnsi="Arial" w:cs="Arial"/>
          <w:sz w:val="24"/>
          <w:szCs w:val="24"/>
        </w:rPr>
        <w:t>Pursuant to OAC 4901-1-28(B), objections “may relate to the findings, conclusions or recommendations contained in the [staff] report, or to the failure of the report to address one or more specific items.”</w:t>
      </w:r>
      <w:r w:rsidR="00C70E4A">
        <w:rPr>
          <w:rFonts w:ascii="Arial" w:hAnsi="Arial" w:cs="Arial"/>
          <w:sz w:val="24"/>
          <w:szCs w:val="24"/>
        </w:rPr>
        <w:t xml:space="preserve"> </w:t>
      </w:r>
      <w:r>
        <w:rPr>
          <w:rFonts w:ascii="Arial" w:hAnsi="Arial" w:cs="Arial"/>
          <w:sz w:val="24"/>
          <w:szCs w:val="24"/>
        </w:rPr>
        <w:t xml:space="preserve">Indeed, </w:t>
      </w:r>
      <w:r w:rsidR="00BD74EA">
        <w:rPr>
          <w:rFonts w:ascii="Arial" w:hAnsi="Arial" w:cs="Arial"/>
          <w:sz w:val="24"/>
          <w:szCs w:val="24"/>
        </w:rPr>
        <w:t>o</w:t>
      </w:r>
      <w:r w:rsidR="00FB38D5">
        <w:rPr>
          <w:rFonts w:ascii="Arial" w:hAnsi="Arial" w:cs="Arial"/>
          <w:sz w:val="24"/>
          <w:szCs w:val="24"/>
        </w:rPr>
        <w:t>bjections “must be specific,”</w:t>
      </w:r>
      <w:r w:rsidR="00F26BDE">
        <w:rPr>
          <w:rFonts w:ascii="Arial" w:hAnsi="Arial" w:cs="Arial"/>
          <w:sz w:val="24"/>
          <w:szCs w:val="24"/>
        </w:rPr>
        <w:t xml:space="preserve"> and any objections that fail to meet this requirement may be stricken.</w:t>
      </w:r>
      <w:r w:rsidR="00C70E4A">
        <w:rPr>
          <w:rStyle w:val="FootnoteReference"/>
          <w:rFonts w:ascii="Arial" w:hAnsi="Arial" w:cs="Arial"/>
          <w:sz w:val="24"/>
          <w:szCs w:val="24"/>
        </w:rPr>
        <w:footnoteReference w:id="9"/>
      </w:r>
      <w:r w:rsidR="00F26BDE">
        <w:rPr>
          <w:rFonts w:ascii="Arial" w:hAnsi="Arial" w:cs="Arial"/>
          <w:sz w:val="24"/>
          <w:szCs w:val="24"/>
        </w:rPr>
        <w:t xml:space="preserve">  </w:t>
      </w:r>
      <w:r w:rsidR="00173D7E">
        <w:rPr>
          <w:rFonts w:ascii="Arial" w:hAnsi="Arial" w:cs="Arial"/>
          <w:sz w:val="24"/>
          <w:szCs w:val="24"/>
        </w:rPr>
        <w:t>In addition, OAC 4901-1-28(C) states that the purpose of objections is to frame the issues in the proceedings.</w:t>
      </w:r>
      <w:r w:rsidR="00017A97">
        <w:rPr>
          <w:rFonts w:ascii="Arial" w:hAnsi="Arial" w:cs="Arial"/>
          <w:sz w:val="24"/>
          <w:szCs w:val="24"/>
        </w:rPr>
        <w:t xml:space="preserve">  </w:t>
      </w:r>
    </w:p>
    <w:p w14:paraId="428A480B" w14:textId="2C30A31E" w:rsidR="00C70E4A" w:rsidRDefault="00032BAE" w:rsidP="002610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More </w:t>
      </w:r>
      <w:r w:rsidR="0071088A">
        <w:rPr>
          <w:rFonts w:ascii="Arial" w:hAnsi="Arial" w:cs="Arial"/>
          <w:sz w:val="24"/>
          <w:szCs w:val="24"/>
        </w:rPr>
        <w:t>importantly</w:t>
      </w:r>
      <w:r>
        <w:rPr>
          <w:rFonts w:ascii="Arial" w:hAnsi="Arial" w:cs="Arial"/>
          <w:sz w:val="24"/>
          <w:szCs w:val="24"/>
        </w:rPr>
        <w:t>, t</w:t>
      </w:r>
      <w:r w:rsidR="00C70E4A">
        <w:rPr>
          <w:rFonts w:ascii="Arial" w:hAnsi="Arial" w:cs="Arial"/>
          <w:sz w:val="24"/>
          <w:szCs w:val="24"/>
        </w:rPr>
        <w:t xml:space="preserve">his Commission has previously </w:t>
      </w:r>
      <w:r w:rsidR="00F243BB">
        <w:rPr>
          <w:rFonts w:ascii="Arial" w:hAnsi="Arial" w:cs="Arial"/>
          <w:sz w:val="24"/>
          <w:szCs w:val="24"/>
        </w:rPr>
        <w:t>held</w:t>
      </w:r>
      <w:r w:rsidR="00C70E4A">
        <w:rPr>
          <w:rFonts w:ascii="Arial" w:hAnsi="Arial" w:cs="Arial"/>
          <w:sz w:val="24"/>
          <w:szCs w:val="24"/>
        </w:rPr>
        <w:t xml:space="preserve"> that </w:t>
      </w:r>
      <w:r>
        <w:rPr>
          <w:rFonts w:ascii="Arial" w:hAnsi="Arial" w:cs="Arial"/>
          <w:sz w:val="24"/>
          <w:szCs w:val="24"/>
        </w:rPr>
        <w:t>“[w]hether or not [objections] are based on accurate representations of fact, and whether or not they are appropriate considerations in the setting of rates, is irrelevant to the question of whether they should be stricken.”</w:t>
      </w:r>
      <w:r>
        <w:rPr>
          <w:rStyle w:val="FootnoteReference"/>
          <w:rFonts w:ascii="Arial" w:hAnsi="Arial" w:cs="Arial"/>
          <w:sz w:val="24"/>
          <w:szCs w:val="24"/>
        </w:rPr>
        <w:footnoteReference w:id="10"/>
      </w:r>
      <w:r w:rsidR="00F243BB">
        <w:rPr>
          <w:rFonts w:ascii="Arial" w:hAnsi="Arial" w:cs="Arial"/>
          <w:sz w:val="24"/>
          <w:szCs w:val="24"/>
        </w:rPr>
        <w:t xml:space="preserve">  </w:t>
      </w:r>
      <w:r w:rsidR="00017A97">
        <w:rPr>
          <w:rFonts w:ascii="Arial" w:hAnsi="Arial" w:cs="Arial"/>
          <w:sz w:val="24"/>
          <w:szCs w:val="24"/>
        </w:rPr>
        <w:t>In the Commission’s view, “[t]he intrinsic merit, or lack of merit, of any particular objection must be dealt with following the evidentiary hearing on the matter, not by striking it prior to that time.”</w:t>
      </w:r>
      <w:r w:rsidR="00017A97">
        <w:rPr>
          <w:rStyle w:val="FootnoteReference"/>
          <w:rFonts w:ascii="Arial" w:hAnsi="Arial" w:cs="Arial"/>
          <w:sz w:val="24"/>
          <w:szCs w:val="24"/>
        </w:rPr>
        <w:footnoteReference w:id="11"/>
      </w:r>
      <w:r w:rsidR="00F243BB">
        <w:rPr>
          <w:rFonts w:ascii="Arial" w:hAnsi="Arial" w:cs="Arial"/>
          <w:sz w:val="24"/>
          <w:szCs w:val="24"/>
        </w:rPr>
        <w:t xml:space="preserve">  </w:t>
      </w:r>
      <w:r w:rsidR="00244AA3">
        <w:rPr>
          <w:rFonts w:ascii="Arial" w:hAnsi="Arial" w:cs="Arial"/>
          <w:sz w:val="24"/>
          <w:szCs w:val="24"/>
        </w:rPr>
        <w:t>The question of whether an objection is sup</w:t>
      </w:r>
      <w:r w:rsidR="0054191F">
        <w:rPr>
          <w:rFonts w:ascii="Arial" w:hAnsi="Arial" w:cs="Arial"/>
          <w:sz w:val="24"/>
          <w:szCs w:val="24"/>
        </w:rPr>
        <w:t xml:space="preserve">portable or legal is irrelevant.  </w:t>
      </w:r>
      <w:r w:rsidR="00E802C2">
        <w:rPr>
          <w:rFonts w:ascii="Arial" w:hAnsi="Arial" w:cs="Arial"/>
          <w:sz w:val="24"/>
          <w:szCs w:val="24"/>
        </w:rPr>
        <w:t>Accordingly,</w:t>
      </w:r>
      <w:r w:rsidR="00593487">
        <w:rPr>
          <w:rFonts w:ascii="Arial" w:hAnsi="Arial" w:cs="Arial"/>
          <w:sz w:val="24"/>
          <w:szCs w:val="24"/>
        </w:rPr>
        <w:t xml:space="preserve"> objections </w:t>
      </w:r>
      <w:r w:rsidR="004E70B2">
        <w:rPr>
          <w:rFonts w:ascii="Arial" w:hAnsi="Arial" w:cs="Arial"/>
          <w:sz w:val="24"/>
          <w:szCs w:val="24"/>
        </w:rPr>
        <w:t xml:space="preserve">shall withstand a motion to </w:t>
      </w:r>
      <w:r w:rsidR="004E70B2">
        <w:rPr>
          <w:rFonts w:ascii="Arial" w:hAnsi="Arial" w:cs="Arial"/>
          <w:sz w:val="24"/>
          <w:szCs w:val="24"/>
        </w:rPr>
        <w:lastRenderedPageBreak/>
        <w:t>strike so long as</w:t>
      </w:r>
      <w:r w:rsidR="00593487">
        <w:rPr>
          <w:rFonts w:ascii="Arial" w:hAnsi="Arial" w:cs="Arial"/>
          <w:sz w:val="24"/>
          <w:szCs w:val="24"/>
        </w:rPr>
        <w:t xml:space="preserve"> </w:t>
      </w:r>
      <w:r w:rsidR="004E70B2">
        <w:rPr>
          <w:rFonts w:ascii="Arial" w:hAnsi="Arial" w:cs="Arial"/>
          <w:sz w:val="24"/>
          <w:szCs w:val="24"/>
        </w:rPr>
        <w:t>they</w:t>
      </w:r>
      <w:r w:rsidR="00F2285A">
        <w:rPr>
          <w:rFonts w:ascii="Arial" w:hAnsi="Arial" w:cs="Arial"/>
          <w:sz w:val="24"/>
          <w:szCs w:val="24"/>
        </w:rPr>
        <w:t xml:space="preserve"> relate to the findings, conclusions, or recommendations in a staff report</w:t>
      </w:r>
      <w:r w:rsidR="00593487">
        <w:rPr>
          <w:rFonts w:ascii="Arial" w:hAnsi="Arial" w:cs="Arial"/>
          <w:sz w:val="24"/>
          <w:szCs w:val="24"/>
        </w:rPr>
        <w:t xml:space="preserve">, or relate to the failure of the staff report to address </w:t>
      </w:r>
      <w:r w:rsidR="004E70B2">
        <w:rPr>
          <w:rFonts w:ascii="Arial" w:hAnsi="Arial" w:cs="Arial"/>
          <w:sz w:val="24"/>
          <w:szCs w:val="24"/>
        </w:rPr>
        <w:t>certain</w:t>
      </w:r>
      <w:r w:rsidR="00593487">
        <w:rPr>
          <w:rFonts w:ascii="Arial" w:hAnsi="Arial" w:cs="Arial"/>
          <w:sz w:val="24"/>
          <w:szCs w:val="24"/>
        </w:rPr>
        <w:t xml:space="preserve"> items, and </w:t>
      </w:r>
      <w:r w:rsidR="00332D28">
        <w:rPr>
          <w:rFonts w:ascii="Arial" w:hAnsi="Arial" w:cs="Arial"/>
          <w:sz w:val="24"/>
          <w:szCs w:val="24"/>
        </w:rPr>
        <w:t>are</w:t>
      </w:r>
      <w:r w:rsidR="00593487">
        <w:rPr>
          <w:rFonts w:ascii="Arial" w:hAnsi="Arial" w:cs="Arial"/>
          <w:sz w:val="24"/>
          <w:szCs w:val="24"/>
        </w:rPr>
        <w:t xml:space="preserve"> specific.</w:t>
      </w:r>
    </w:p>
    <w:p w14:paraId="630BD351" w14:textId="12782E14" w:rsidR="00E802C2" w:rsidRDefault="00E802C2" w:rsidP="002610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Despite this clear legal standard, OCC’s Motion briefs its argument on the merits of IGS’</w:t>
      </w:r>
      <w:r w:rsidR="0054191F">
        <w:rPr>
          <w:rFonts w:ascii="Arial" w:hAnsi="Arial" w:cs="Arial"/>
          <w:sz w:val="24"/>
          <w:szCs w:val="24"/>
        </w:rPr>
        <w:t>s</w:t>
      </w:r>
      <w:r>
        <w:rPr>
          <w:rFonts w:ascii="Arial" w:hAnsi="Arial" w:cs="Arial"/>
          <w:sz w:val="24"/>
          <w:szCs w:val="24"/>
        </w:rPr>
        <w:t xml:space="preserve"> objection and, therefore,</w:t>
      </w:r>
      <w:r w:rsidR="0054191F">
        <w:rPr>
          <w:rFonts w:ascii="Arial" w:hAnsi="Arial" w:cs="Arial"/>
          <w:sz w:val="24"/>
          <w:szCs w:val="24"/>
        </w:rPr>
        <w:t xml:space="preserve"> the Motion should be denied</w:t>
      </w:r>
      <w:r>
        <w:rPr>
          <w:rFonts w:ascii="Arial" w:hAnsi="Arial" w:cs="Arial"/>
          <w:sz w:val="24"/>
          <w:szCs w:val="24"/>
        </w:rPr>
        <w:t xml:space="preserve">.  </w:t>
      </w:r>
      <w:r w:rsidR="00E834BE">
        <w:rPr>
          <w:rFonts w:ascii="Arial" w:hAnsi="Arial" w:cs="Arial"/>
          <w:sz w:val="24"/>
          <w:szCs w:val="24"/>
        </w:rPr>
        <w:t xml:space="preserve">OCC neither asserts that the objection lacks specificity nor that it is </w:t>
      </w:r>
      <w:r w:rsidR="00A834D8">
        <w:rPr>
          <w:rFonts w:ascii="Arial" w:hAnsi="Arial" w:cs="Arial"/>
          <w:sz w:val="24"/>
          <w:szCs w:val="24"/>
        </w:rPr>
        <w:t xml:space="preserve">unrelated to the Staff Report.  </w:t>
      </w:r>
      <w:r w:rsidR="0054191F">
        <w:rPr>
          <w:rFonts w:ascii="Arial" w:hAnsi="Arial" w:cs="Arial"/>
          <w:sz w:val="24"/>
          <w:szCs w:val="24"/>
        </w:rPr>
        <w:t>O</w:t>
      </w:r>
      <w:r>
        <w:rPr>
          <w:rFonts w:ascii="Arial" w:hAnsi="Arial" w:cs="Arial"/>
          <w:sz w:val="24"/>
          <w:szCs w:val="24"/>
        </w:rPr>
        <w:t>bjection</w:t>
      </w:r>
      <w:r w:rsidR="0054191F">
        <w:rPr>
          <w:rFonts w:ascii="Arial" w:hAnsi="Arial" w:cs="Arial"/>
          <w:sz w:val="24"/>
          <w:szCs w:val="24"/>
        </w:rPr>
        <w:t>s</w:t>
      </w:r>
      <w:r>
        <w:rPr>
          <w:rFonts w:ascii="Arial" w:hAnsi="Arial" w:cs="Arial"/>
          <w:sz w:val="24"/>
          <w:szCs w:val="24"/>
        </w:rPr>
        <w:t xml:space="preserve"> E.1</w:t>
      </w:r>
      <w:r w:rsidR="0087388C">
        <w:rPr>
          <w:rFonts w:ascii="Arial" w:hAnsi="Arial" w:cs="Arial"/>
          <w:sz w:val="24"/>
          <w:szCs w:val="24"/>
        </w:rPr>
        <w:t xml:space="preserve"> </w:t>
      </w:r>
      <w:r w:rsidR="0054191F">
        <w:rPr>
          <w:rFonts w:ascii="Arial" w:hAnsi="Arial" w:cs="Arial"/>
          <w:sz w:val="24"/>
          <w:szCs w:val="24"/>
        </w:rPr>
        <w:t xml:space="preserve">and E.2. relate directly </w:t>
      </w:r>
      <w:r w:rsidR="00E834BE">
        <w:rPr>
          <w:rFonts w:ascii="Arial" w:hAnsi="Arial" w:cs="Arial"/>
          <w:sz w:val="24"/>
          <w:szCs w:val="24"/>
        </w:rPr>
        <w:t>to the St</w:t>
      </w:r>
      <w:r w:rsidR="008D33F3">
        <w:rPr>
          <w:rFonts w:ascii="Arial" w:hAnsi="Arial" w:cs="Arial"/>
          <w:sz w:val="24"/>
          <w:szCs w:val="24"/>
        </w:rPr>
        <w:t>aff Report’s failure to address</w:t>
      </w:r>
      <w:r w:rsidR="009562B3">
        <w:rPr>
          <w:rFonts w:ascii="Arial" w:hAnsi="Arial" w:cs="Arial"/>
          <w:sz w:val="24"/>
          <w:szCs w:val="24"/>
        </w:rPr>
        <w:t xml:space="preserve"> material issue</w:t>
      </w:r>
      <w:r w:rsidR="008D33F3">
        <w:rPr>
          <w:rFonts w:ascii="Arial" w:hAnsi="Arial" w:cs="Arial"/>
          <w:sz w:val="24"/>
          <w:szCs w:val="24"/>
        </w:rPr>
        <w:t>s</w:t>
      </w:r>
      <w:r w:rsidR="009562B3">
        <w:rPr>
          <w:rFonts w:ascii="Arial" w:hAnsi="Arial" w:cs="Arial"/>
          <w:sz w:val="24"/>
          <w:szCs w:val="24"/>
        </w:rPr>
        <w:t xml:space="preserve"> put into play by the applicant in its request to</w:t>
      </w:r>
      <w:r w:rsidR="008D33F3">
        <w:rPr>
          <w:rFonts w:ascii="Arial" w:hAnsi="Arial" w:cs="Arial"/>
          <w:sz w:val="24"/>
          <w:szCs w:val="24"/>
        </w:rPr>
        <w:t xml:space="preserve"> incur expenses and collect revenues to</w:t>
      </w:r>
      <w:r w:rsidR="009562B3">
        <w:rPr>
          <w:rFonts w:ascii="Arial" w:hAnsi="Arial" w:cs="Arial"/>
          <w:sz w:val="24"/>
          <w:szCs w:val="24"/>
        </w:rPr>
        <w:t xml:space="preserve"> upgrade the CIS.  </w:t>
      </w:r>
      <w:r w:rsidR="001A327D">
        <w:rPr>
          <w:rFonts w:ascii="Arial" w:hAnsi="Arial" w:cs="Arial"/>
          <w:sz w:val="24"/>
          <w:szCs w:val="24"/>
        </w:rPr>
        <w:t xml:space="preserve">The objection </w:t>
      </w:r>
      <w:r w:rsidR="00A834D8">
        <w:rPr>
          <w:rFonts w:ascii="Arial" w:hAnsi="Arial" w:cs="Arial"/>
          <w:sz w:val="24"/>
          <w:szCs w:val="24"/>
        </w:rPr>
        <w:t>frames the issue(s) in this proceeding by citing</w:t>
      </w:r>
      <w:r w:rsidR="001A327D">
        <w:rPr>
          <w:rFonts w:ascii="Arial" w:hAnsi="Arial" w:cs="Arial"/>
          <w:sz w:val="24"/>
          <w:szCs w:val="24"/>
        </w:rPr>
        <w:t xml:space="preserve"> the Staff Report’s failure to </w:t>
      </w:r>
      <w:r w:rsidR="0054191F">
        <w:rPr>
          <w:rFonts w:ascii="Arial" w:hAnsi="Arial" w:cs="Arial"/>
          <w:sz w:val="24"/>
          <w:szCs w:val="24"/>
        </w:rPr>
        <w:t>address critical issues, such as billing functionality,</w:t>
      </w:r>
      <w:r w:rsidR="009562B3">
        <w:rPr>
          <w:rFonts w:ascii="Arial" w:hAnsi="Arial" w:cs="Arial"/>
          <w:sz w:val="24"/>
          <w:szCs w:val="24"/>
        </w:rPr>
        <w:t xml:space="preserve"> the manner in which </w:t>
      </w:r>
      <w:r w:rsidR="001A327D">
        <w:rPr>
          <w:rFonts w:ascii="Arial" w:hAnsi="Arial" w:cs="Arial"/>
          <w:sz w:val="24"/>
          <w:szCs w:val="24"/>
        </w:rPr>
        <w:t>Duke calculate</w:t>
      </w:r>
      <w:r w:rsidR="009562B3">
        <w:rPr>
          <w:rFonts w:ascii="Arial" w:hAnsi="Arial" w:cs="Arial"/>
          <w:sz w:val="24"/>
          <w:szCs w:val="24"/>
        </w:rPr>
        <w:t>s</w:t>
      </w:r>
      <w:r w:rsidR="001A327D">
        <w:rPr>
          <w:rFonts w:ascii="Arial" w:hAnsi="Arial" w:cs="Arial"/>
          <w:sz w:val="24"/>
          <w:szCs w:val="24"/>
        </w:rPr>
        <w:t xml:space="preserve"> customer peak load contributions, energy usage, and network service peak load contributions for purposes of calculating CRES provider wholesale settlement statements under the proposed CIS</w:t>
      </w:r>
      <w:r w:rsidR="00F845D4">
        <w:rPr>
          <w:rFonts w:ascii="Arial" w:hAnsi="Arial" w:cs="Arial"/>
          <w:sz w:val="24"/>
          <w:szCs w:val="24"/>
        </w:rPr>
        <w:t>, as well as</w:t>
      </w:r>
      <w:r w:rsidR="009562B3" w:rsidRPr="009562B3">
        <w:t xml:space="preserve"> </w:t>
      </w:r>
      <w:r w:rsidR="009562B3" w:rsidRPr="009562B3">
        <w:rPr>
          <w:rFonts w:ascii="Arial" w:hAnsi="Arial" w:cs="Arial"/>
          <w:sz w:val="24"/>
          <w:szCs w:val="24"/>
        </w:rPr>
        <w:t>how, and at what cost, the proposed CIS will transmit in</w:t>
      </w:r>
      <w:r w:rsidR="00F845D4">
        <w:rPr>
          <w:rFonts w:ascii="Arial" w:hAnsi="Arial" w:cs="Arial"/>
          <w:sz w:val="24"/>
          <w:szCs w:val="24"/>
        </w:rPr>
        <w:t xml:space="preserve">terval data to CRES providers.  </w:t>
      </w:r>
      <w:r w:rsidR="0087388C">
        <w:rPr>
          <w:rFonts w:ascii="Arial" w:hAnsi="Arial" w:cs="Arial"/>
          <w:sz w:val="24"/>
          <w:szCs w:val="24"/>
        </w:rPr>
        <w:t xml:space="preserve">Accordingly, </w:t>
      </w:r>
      <w:r w:rsidR="0054191F">
        <w:rPr>
          <w:rFonts w:ascii="Arial" w:hAnsi="Arial" w:cs="Arial"/>
          <w:sz w:val="24"/>
          <w:szCs w:val="24"/>
        </w:rPr>
        <w:t>OCC’s Motion to Strike</w:t>
      </w:r>
      <w:r w:rsidR="00AA5352">
        <w:rPr>
          <w:rFonts w:ascii="Arial" w:hAnsi="Arial" w:cs="Arial"/>
          <w:sz w:val="24"/>
          <w:szCs w:val="24"/>
        </w:rPr>
        <w:t xml:space="preserve"> should be denied.</w:t>
      </w:r>
      <w:r w:rsidR="00E834BE">
        <w:rPr>
          <w:rFonts w:ascii="Arial" w:hAnsi="Arial" w:cs="Arial"/>
          <w:sz w:val="24"/>
          <w:szCs w:val="24"/>
        </w:rPr>
        <w:t xml:space="preserve"> </w:t>
      </w:r>
    </w:p>
    <w:p w14:paraId="3DC17711" w14:textId="629ABC36" w:rsidR="00E46AFA" w:rsidRDefault="00B80141" w:rsidP="00E46AF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OCC further claims that</w:t>
      </w:r>
      <w:r w:rsidR="00965D61">
        <w:rPr>
          <w:rFonts w:ascii="Arial" w:hAnsi="Arial" w:cs="Arial"/>
          <w:sz w:val="24"/>
          <w:szCs w:val="24"/>
        </w:rPr>
        <w:t xml:space="preserve"> issues related to Duke’s CIS “would more properly be addressed in oth</w:t>
      </w:r>
      <w:r w:rsidR="008E20CA">
        <w:rPr>
          <w:rFonts w:ascii="Arial" w:hAnsi="Arial" w:cs="Arial"/>
          <w:sz w:val="24"/>
          <w:szCs w:val="24"/>
        </w:rPr>
        <w:t>er pending cases before the PUCO . . . .</w:t>
      </w:r>
      <w:r w:rsidR="00965D61">
        <w:rPr>
          <w:rFonts w:ascii="Arial" w:hAnsi="Arial" w:cs="Arial"/>
          <w:sz w:val="24"/>
          <w:szCs w:val="24"/>
        </w:rPr>
        <w:t>”</w:t>
      </w:r>
      <w:r w:rsidR="00965D61">
        <w:rPr>
          <w:rStyle w:val="FootnoteReference"/>
          <w:rFonts w:ascii="Arial" w:hAnsi="Arial" w:cs="Arial"/>
          <w:sz w:val="24"/>
          <w:szCs w:val="24"/>
        </w:rPr>
        <w:footnoteReference w:id="12"/>
      </w:r>
      <w:r w:rsidR="00762110">
        <w:rPr>
          <w:rFonts w:ascii="Arial" w:hAnsi="Arial" w:cs="Arial"/>
          <w:sz w:val="24"/>
          <w:szCs w:val="24"/>
        </w:rPr>
        <w:t xml:space="preserve">  </w:t>
      </w:r>
      <w:r w:rsidR="0013316D">
        <w:rPr>
          <w:rFonts w:ascii="Arial" w:hAnsi="Arial" w:cs="Arial"/>
          <w:sz w:val="24"/>
          <w:szCs w:val="24"/>
        </w:rPr>
        <w:t xml:space="preserve">Inexplicably, OCC’s </w:t>
      </w:r>
      <w:r w:rsidR="000134CC">
        <w:rPr>
          <w:rFonts w:ascii="Arial" w:hAnsi="Arial" w:cs="Arial"/>
          <w:sz w:val="24"/>
          <w:szCs w:val="24"/>
        </w:rPr>
        <w:t>forum-based argument represents</w:t>
      </w:r>
      <w:r w:rsidR="0013316D">
        <w:rPr>
          <w:rFonts w:ascii="Arial" w:hAnsi="Arial" w:cs="Arial"/>
          <w:sz w:val="24"/>
          <w:szCs w:val="24"/>
        </w:rPr>
        <w:t xml:space="preserve"> an about-face from </w:t>
      </w:r>
      <w:r w:rsidR="00762110">
        <w:rPr>
          <w:rFonts w:ascii="Arial" w:hAnsi="Arial" w:cs="Arial"/>
          <w:sz w:val="24"/>
          <w:szCs w:val="24"/>
        </w:rPr>
        <w:t>a joint motion</w:t>
      </w:r>
      <w:r w:rsidR="000134CC">
        <w:rPr>
          <w:rFonts w:ascii="Arial" w:hAnsi="Arial" w:cs="Arial"/>
          <w:sz w:val="24"/>
          <w:szCs w:val="24"/>
        </w:rPr>
        <w:t xml:space="preserve"> it filed earlier this year</w:t>
      </w:r>
      <w:r w:rsidR="00762110">
        <w:rPr>
          <w:rFonts w:ascii="Arial" w:hAnsi="Arial" w:cs="Arial"/>
          <w:sz w:val="24"/>
          <w:szCs w:val="24"/>
        </w:rPr>
        <w:t xml:space="preserve"> </w:t>
      </w:r>
      <w:r w:rsidR="00C3637A">
        <w:rPr>
          <w:rFonts w:ascii="Arial" w:hAnsi="Arial" w:cs="Arial"/>
          <w:sz w:val="24"/>
          <w:szCs w:val="24"/>
        </w:rPr>
        <w:t>specifically recommending that the Commission stay the procedural</w:t>
      </w:r>
      <w:r w:rsidR="00762110">
        <w:rPr>
          <w:rFonts w:ascii="Arial" w:hAnsi="Arial" w:cs="Arial"/>
          <w:sz w:val="24"/>
          <w:szCs w:val="24"/>
        </w:rPr>
        <w:t xml:space="preserve"> schedule in </w:t>
      </w:r>
      <w:r>
        <w:rPr>
          <w:rFonts w:ascii="Arial" w:hAnsi="Arial" w:cs="Arial"/>
          <w:sz w:val="24"/>
          <w:szCs w:val="24"/>
        </w:rPr>
        <w:t>Duke’s</w:t>
      </w:r>
      <w:r w:rsidR="008B5076">
        <w:rPr>
          <w:rFonts w:ascii="Arial" w:hAnsi="Arial" w:cs="Arial"/>
          <w:sz w:val="24"/>
          <w:szCs w:val="24"/>
        </w:rPr>
        <w:t xml:space="preserve"> tariff application</w:t>
      </w:r>
      <w:r w:rsidR="00762110">
        <w:rPr>
          <w:rFonts w:ascii="Arial" w:hAnsi="Arial" w:cs="Arial"/>
          <w:sz w:val="24"/>
          <w:szCs w:val="24"/>
        </w:rPr>
        <w:t xml:space="preserve"> </w:t>
      </w:r>
      <w:r w:rsidR="000130CE">
        <w:rPr>
          <w:rFonts w:ascii="Arial" w:hAnsi="Arial" w:cs="Arial"/>
          <w:sz w:val="24"/>
          <w:szCs w:val="24"/>
        </w:rPr>
        <w:t xml:space="preserve">case </w:t>
      </w:r>
      <w:r w:rsidR="00893213">
        <w:rPr>
          <w:rFonts w:ascii="Arial" w:hAnsi="Arial" w:cs="Arial"/>
          <w:sz w:val="24"/>
          <w:szCs w:val="24"/>
        </w:rPr>
        <w:t>so that</w:t>
      </w:r>
      <w:r w:rsidR="000134CC">
        <w:rPr>
          <w:rFonts w:ascii="Arial" w:hAnsi="Arial" w:cs="Arial"/>
          <w:sz w:val="24"/>
          <w:szCs w:val="24"/>
        </w:rPr>
        <w:t xml:space="preserve"> matters related to Duke’s CIS</w:t>
      </w:r>
      <w:r w:rsidR="00C3637A">
        <w:rPr>
          <w:rFonts w:ascii="Arial" w:hAnsi="Arial" w:cs="Arial"/>
          <w:sz w:val="24"/>
          <w:szCs w:val="24"/>
        </w:rPr>
        <w:t xml:space="preserve"> </w:t>
      </w:r>
      <w:r w:rsidR="00893213">
        <w:rPr>
          <w:rFonts w:ascii="Arial" w:hAnsi="Arial" w:cs="Arial"/>
          <w:sz w:val="24"/>
          <w:szCs w:val="24"/>
        </w:rPr>
        <w:t>would be more properly</w:t>
      </w:r>
      <w:r w:rsidR="000134CC">
        <w:rPr>
          <w:rFonts w:ascii="Arial" w:hAnsi="Arial" w:cs="Arial"/>
          <w:sz w:val="24"/>
          <w:szCs w:val="24"/>
        </w:rPr>
        <w:t xml:space="preserve"> </w:t>
      </w:r>
      <w:r w:rsidR="00893213">
        <w:rPr>
          <w:rFonts w:ascii="Arial" w:hAnsi="Arial" w:cs="Arial"/>
          <w:sz w:val="24"/>
          <w:szCs w:val="24"/>
        </w:rPr>
        <w:t>“</w:t>
      </w:r>
      <w:r w:rsidR="000134CC">
        <w:rPr>
          <w:rFonts w:ascii="Arial" w:hAnsi="Arial" w:cs="Arial"/>
          <w:sz w:val="24"/>
          <w:szCs w:val="24"/>
        </w:rPr>
        <w:t xml:space="preserve">dealt in a </w:t>
      </w:r>
      <w:r w:rsidR="000134CC" w:rsidRPr="00B80141">
        <w:rPr>
          <w:rFonts w:ascii="Arial" w:hAnsi="Arial" w:cs="Arial"/>
          <w:sz w:val="24"/>
          <w:szCs w:val="24"/>
        </w:rPr>
        <w:t>rate increase proceeding.”</w:t>
      </w:r>
      <w:r w:rsidR="008B5076" w:rsidRPr="00B80141">
        <w:rPr>
          <w:rStyle w:val="FootnoteReference"/>
          <w:rFonts w:ascii="Arial" w:hAnsi="Arial" w:cs="Arial"/>
          <w:sz w:val="24"/>
          <w:szCs w:val="24"/>
        </w:rPr>
        <w:footnoteReference w:id="13"/>
      </w:r>
      <w:r w:rsidR="00E46AFA" w:rsidRPr="00B80141">
        <w:rPr>
          <w:rFonts w:ascii="Arial" w:hAnsi="Arial" w:cs="Arial"/>
          <w:sz w:val="24"/>
          <w:szCs w:val="24"/>
        </w:rPr>
        <w:t xml:space="preserve">  OCC’s argument is improper</w:t>
      </w:r>
      <w:r>
        <w:rPr>
          <w:rFonts w:ascii="Arial" w:hAnsi="Arial" w:cs="Arial"/>
          <w:sz w:val="24"/>
          <w:szCs w:val="24"/>
        </w:rPr>
        <w:t>,</w:t>
      </w:r>
      <w:r w:rsidR="00E46AFA" w:rsidRPr="00B80141">
        <w:rPr>
          <w:rFonts w:ascii="Arial" w:hAnsi="Arial" w:cs="Arial"/>
          <w:sz w:val="24"/>
          <w:szCs w:val="24"/>
        </w:rPr>
        <w:t xml:space="preserve"> given that</w:t>
      </w:r>
      <w:r w:rsidRPr="00B80141">
        <w:rPr>
          <w:rFonts w:ascii="Arial" w:hAnsi="Arial" w:cs="Arial"/>
          <w:sz w:val="24"/>
          <w:szCs w:val="24"/>
        </w:rPr>
        <w:t xml:space="preserve"> at the </w:t>
      </w:r>
      <w:r>
        <w:rPr>
          <w:rFonts w:ascii="Arial" w:hAnsi="Arial" w:cs="Arial"/>
          <w:sz w:val="24"/>
          <w:szCs w:val="24"/>
        </w:rPr>
        <w:t xml:space="preserve">time it </w:t>
      </w:r>
      <w:r w:rsidRPr="00B80141">
        <w:rPr>
          <w:rFonts w:ascii="Arial" w:hAnsi="Arial" w:cs="Arial"/>
          <w:sz w:val="24"/>
          <w:szCs w:val="24"/>
        </w:rPr>
        <w:t xml:space="preserve">filed the joint motion in the </w:t>
      </w:r>
      <w:r w:rsidRPr="00B80141">
        <w:rPr>
          <w:rFonts w:ascii="Arial" w:hAnsi="Arial" w:cs="Arial"/>
          <w:i/>
          <w:sz w:val="24"/>
          <w:szCs w:val="24"/>
        </w:rPr>
        <w:t>CEUD Case</w:t>
      </w:r>
      <w:r>
        <w:rPr>
          <w:rFonts w:ascii="Arial" w:hAnsi="Arial" w:cs="Arial"/>
          <w:sz w:val="24"/>
          <w:szCs w:val="24"/>
        </w:rPr>
        <w:t xml:space="preserve">, it was fully aware </w:t>
      </w:r>
      <w:r w:rsidR="00E46AFA">
        <w:rPr>
          <w:rFonts w:ascii="Arial" w:hAnsi="Arial" w:cs="Arial"/>
          <w:sz w:val="24"/>
          <w:szCs w:val="24"/>
        </w:rPr>
        <w:t>that Duke did not incur CIS-</w:t>
      </w:r>
      <w:r w:rsidR="00E46AFA">
        <w:rPr>
          <w:rFonts w:ascii="Arial" w:hAnsi="Arial" w:cs="Arial"/>
          <w:sz w:val="24"/>
          <w:szCs w:val="24"/>
        </w:rPr>
        <w:lastRenderedPageBreak/>
        <w:t>related expenses during the test year.</w:t>
      </w:r>
      <w:r w:rsidR="00C3637A">
        <w:rPr>
          <w:rFonts w:ascii="Arial" w:hAnsi="Arial" w:cs="Arial"/>
          <w:sz w:val="24"/>
          <w:szCs w:val="24"/>
        </w:rPr>
        <w:t xml:space="preserve">  Indeed, the testimony of Retha Hunsicker on which OCC relies in its Motion to demonstrate that Duke incurred </w:t>
      </w:r>
      <w:r w:rsidR="008D33F3">
        <w:rPr>
          <w:rFonts w:ascii="Arial" w:hAnsi="Arial" w:cs="Arial"/>
          <w:sz w:val="24"/>
          <w:szCs w:val="24"/>
        </w:rPr>
        <w:t>no CIS-related expenses in the Test Y</w:t>
      </w:r>
      <w:r w:rsidR="00C3637A">
        <w:rPr>
          <w:rFonts w:ascii="Arial" w:hAnsi="Arial" w:cs="Arial"/>
          <w:sz w:val="24"/>
          <w:szCs w:val="24"/>
        </w:rPr>
        <w:t>ear</w:t>
      </w:r>
      <w:r w:rsidR="00C3637A">
        <w:rPr>
          <w:rStyle w:val="FootnoteReference"/>
          <w:rFonts w:ascii="Arial" w:hAnsi="Arial" w:cs="Arial"/>
          <w:sz w:val="24"/>
          <w:szCs w:val="24"/>
        </w:rPr>
        <w:footnoteReference w:id="14"/>
      </w:r>
      <w:r w:rsidR="00C3637A">
        <w:rPr>
          <w:rFonts w:ascii="Arial" w:hAnsi="Arial" w:cs="Arial"/>
          <w:sz w:val="24"/>
          <w:szCs w:val="24"/>
        </w:rPr>
        <w:t xml:space="preserve"> was publicly available when OCC urged the Commission to resolve CIS-related issues in this case.</w:t>
      </w:r>
      <w:r w:rsidR="00C3637A">
        <w:rPr>
          <w:rStyle w:val="FootnoteReference"/>
          <w:rFonts w:ascii="Arial" w:hAnsi="Arial" w:cs="Arial"/>
          <w:sz w:val="24"/>
          <w:szCs w:val="24"/>
        </w:rPr>
        <w:footnoteReference w:id="15"/>
      </w:r>
    </w:p>
    <w:p w14:paraId="5AAD72DA" w14:textId="5F072D68" w:rsidR="0091455E" w:rsidRPr="00232C93" w:rsidRDefault="00942FF9" w:rsidP="0091455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Now OCC attempts to </w:t>
      </w:r>
      <w:r w:rsidR="004A51B4">
        <w:rPr>
          <w:rFonts w:ascii="Arial" w:hAnsi="Arial" w:cs="Arial"/>
          <w:sz w:val="24"/>
          <w:szCs w:val="24"/>
        </w:rPr>
        <w:t>delay</w:t>
      </w:r>
      <w:r>
        <w:rPr>
          <w:rFonts w:ascii="Arial" w:hAnsi="Arial" w:cs="Arial"/>
          <w:sz w:val="24"/>
          <w:szCs w:val="24"/>
        </w:rPr>
        <w:t xml:space="preserve"> the discussion of Duke’s CIS</w:t>
      </w:r>
      <w:r w:rsidR="004A51B4">
        <w:rPr>
          <w:rFonts w:ascii="Arial" w:hAnsi="Arial" w:cs="Arial"/>
          <w:sz w:val="24"/>
          <w:szCs w:val="24"/>
        </w:rPr>
        <w:t xml:space="preserve"> by shifting the forum</w:t>
      </w:r>
      <w:r w:rsidR="00B80141">
        <w:rPr>
          <w:rFonts w:ascii="Arial" w:hAnsi="Arial" w:cs="Arial"/>
          <w:sz w:val="24"/>
          <w:szCs w:val="24"/>
        </w:rPr>
        <w:t xml:space="preserve"> back to the </w:t>
      </w:r>
      <w:r w:rsidR="00B80141" w:rsidRPr="00B80141">
        <w:rPr>
          <w:rFonts w:ascii="Arial" w:hAnsi="Arial" w:cs="Arial"/>
          <w:i/>
          <w:sz w:val="24"/>
          <w:szCs w:val="24"/>
        </w:rPr>
        <w:t>CEUD C</w:t>
      </w:r>
      <w:r w:rsidRPr="00B80141">
        <w:rPr>
          <w:rFonts w:ascii="Arial" w:hAnsi="Arial" w:cs="Arial"/>
          <w:i/>
          <w:sz w:val="24"/>
          <w:szCs w:val="24"/>
        </w:rPr>
        <w:t>ase</w:t>
      </w:r>
      <w:r w:rsidR="004A51B4">
        <w:rPr>
          <w:rFonts w:ascii="Arial" w:hAnsi="Arial" w:cs="Arial"/>
          <w:sz w:val="24"/>
          <w:szCs w:val="24"/>
        </w:rPr>
        <w:t>.</w:t>
      </w:r>
      <w:r w:rsidR="0091455E">
        <w:rPr>
          <w:rFonts w:ascii="Arial" w:hAnsi="Arial" w:cs="Arial"/>
          <w:sz w:val="24"/>
          <w:szCs w:val="24"/>
        </w:rPr>
        <w:t xml:space="preserve">  Recognizing that its ploy is likely to be perceived as nothing but thinly veiled gamesmanship, </w:t>
      </w:r>
      <w:r w:rsidR="004A51B4">
        <w:rPr>
          <w:rFonts w:ascii="Arial" w:hAnsi="Arial" w:cs="Arial"/>
          <w:sz w:val="24"/>
          <w:szCs w:val="24"/>
        </w:rPr>
        <w:t>OCC attempts to support its argument by claiming</w:t>
      </w:r>
      <w:r>
        <w:rPr>
          <w:rFonts w:ascii="Arial" w:hAnsi="Arial" w:cs="Arial"/>
          <w:sz w:val="24"/>
          <w:szCs w:val="24"/>
        </w:rPr>
        <w:t xml:space="preserve"> that </w:t>
      </w:r>
      <w:r w:rsidR="004A51B4">
        <w:rPr>
          <w:rFonts w:ascii="Arial" w:hAnsi="Arial" w:cs="Arial"/>
          <w:sz w:val="24"/>
          <w:szCs w:val="24"/>
        </w:rPr>
        <w:t>nowhere</w:t>
      </w:r>
      <w:r>
        <w:rPr>
          <w:rFonts w:ascii="Arial" w:hAnsi="Arial" w:cs="Arial"/>
          <w:sz w:val="24"/>
          <w:szCs w:val="24"/>
        </w:rPr>
        <w:t xml:space="preserve"> did its motion “suggest that the entirety of the </w:t>
      </w:r>
      <w:r w:rsidR="00B80141">
        <w:rPr>
          <w:rFonts w:ascii="Arial" w:hAnsi="Arial" w:cs="Arial"/>
          <w:i/>
          <w:sz w:val="24"/>
          <w:szCs w:val="24"/>
        </w:rPr>
        <w:t>CEUD C</w:t>
      </w:r>
      <w:r w:rsidRPr="00B80141">
        <w:rPr>
          <w:rFonts w:ascii="Arial" w:hAnsi="Arial" w:cs="Arial"/>
          <w:i/>
          <w:sz w:val="24"/>
          <w:szCs w:val="24"/>
        </w:rPr>
        <w:t>ase</w:t>
      </w:r>
      <w:r>
        <w:rPr>
          <w:rFonts w:ascii="Arial" w:hAnsi="Arial" w:cs="Arial"/>
          <w:sz w:val="24"/>
          <w:szCs w:val="24"/>
        </w:rPr>
        <w:t xml:space="preserve"> would be litigated </w:t>
      </w:r>
      <w:r w:rsidRPr="00232C93">
        <w:rPr>
          <w:rFonts w:ascii="Arial" w:hAnsi="Arial" w:cs="Arial"/>
          <w:sz w:val="24"/>
          <w:szCs w:val="24"/>
        </w:rPr>
        <w:t>through the base rate case . . . .”</w:t>
      </w:r>
      <w:r w:rsidRPr="00232C93">
        <w:rPr>
          <w:rStyle w:val="FootnoteReference"/>
          <w:rFonts w:ascii="Arial" w:hAnsi="Arial" w:cs="Arial"/>
          <w:sz w:val="24"/>
          <w:szCs w:val="24"/>
        </w:rPr>
        <w:footnoteReference w:id="16"/>
      </w:r>
      <w:r w:rsidR="0091455E" w:rsidRPr="00232C93">
        <w:rPr>
          <w:rFonts w:ascii="Arial" w:hAnsi="Arial" w:cs="Arial"/>
          <w:sz w:val="24"/>
          <w:szCs w:val="24"/>
        </w:rPr>
        <w:t xml:space="preserve">  </w:t>
      </w:r>
      <w:r w:rsidR="00B80141">
        <w:rPr>
          <w:rFonts w:ascii="Arial" w:hAnsi="Arial" w:cs="Arial"/>
          <w:sz w:val="24"/>
          <w:szCs w:val="24"/>
        </w:rPr>
        <w:t xml:space="preserve">But </w:t>
      </w:r>
      <w:r w:rsidR="0091455E" w:rsidRPr="00232C93">
        <w:rPr>
          <w:rFonts w:ascii="Arial" w:hAnsi="Arial" w:cs="Arial"/>
          <w:sz w:val="24"/>
          <w:szCs w:val="24"/>
        </w:rPr>
        <w:t>OCC’</w:t>
      </w:r>
      <w:r w:rsidR="00232C93" w:rsidRPr="00232C93">
        <w:rPr>
          <w:rFonts w:ascii="Arial" w:hAnsi="Arial" w:cs="Arial"/>
          <w:sz w:val="24"/>
          <w:szCs w:val="24"/>
        </w:rPr>
        <w:t>s motion in that case</w:t>
      </w:r>
      <w:r w:rsidR="0091455E" w:rsidRPr="00232C93">
        <w:rPr>
          <w:rFonts w:ascii="Arial" w:hAnsi="Arial" w:cs="Arial"/>
          <w:sz w:val="24"/>
          <w:szCs w:val="24"/>
        </w:rPr>
        <w:t xml:space="preserve"> speak</w:t>
      </w:r>
      <w:r w:rsidR="00B80141">
        <w:rPr>
          <w:rFonts w:ascii="Arial" w:hAnsi="Arial" w:cs="Arial"/>
          <w:sz w:val="24"/>
          <w:szCs w:val="24"/>
        </w:rPr>
        <w:t>s</w:t>
      </w:r>
      <w:r w:rsidR="0091455E" w:rsidRPr="00232C93">
        <w:rPr>
          <w:rFonts w:ascii="Arial" w:hAnsi="Arial" w:cs="Arial"/>
          <w:sz w:val="24"/>
          <w:szCs w:val="24"/>
        </w:rPr>
        <w:t xml:space="preserve"> for itself:</w:t>
      </w:r>
    </w:p>
    <w:p w14:paraId="23820420" w14:textId="2A76993E" w:rsidR="0091455E" w:rsidRPr="00232C93" w:rsidRDefault="0091455E" w:rsidP="0091455E">
      <w:pPr>
        <w:autoSpaceDE w:val="0"/>
        <w:autoSpaceDN w:val="0"/>
        <w:adjustRightInd w:val="0"/>
        <w:spacing w:after="120" w:line="240" w:lineRule="auto"/>
        <w:ind w:left="720" w:right="720" w:firstLine="720"/>
        <w:jc w:val="both"/>
        <w:rPr>
          <w:rFonts w:ascii="Arial" w:hAnsi="Arial" w:cs="Arial"/>
          <w:sz w:val="24"/>
          <w:szCs w:val="24"/>
        </w:rPr>
      </w:pPr>
      <w:r w:rsidRPr="00232C93">
        <w:rPr>
          <w:rFonts w:ascii="Arial" w:hAnsi="Arial" w:cs="Arial"/>
          <w:sz w:val="24"/>
          <w:szCs w:val="24"/>
        </w:rPr>
        <w:t xml:space="preserve">On April 26, 2017, Duke filed testimony in this case [the CEUD Case]. </w:t>
      </w:r>
      <w:r w:rsidRPr="00232C93">
        <w:rPr>
          <w:rFonts w:ascii="Arial" w:hAnsi="Arial" w:cs="Arial"/>
          <w:i/>
          <w:sz w:val="24"/>
          <w:szCs w:val="24"/>
        </w:rPr>
        <w:t>Duke's testimony purported to answer only one of the PUCO's four questions from the December 15, 2015 Entry</w:t>
      </w:r>
      <w:r w:rsidRPr="00232C93">
        <w:rPr>
          <w:rFonts w:ascii="Arial" w:hAnsi="Arial" w:cs="Arial"/>
          <w:b/>
          <w:i/>
          <w:sz w:val="24"/>
          <w:szCs w:val="24"/>
        </w:rPr>
        <w:t>. With respect to the other three (what type of customer data should be provided to marketers, the costs of providing this data, and the timeframe for providing this data</w:t>
      </w:r>
      <w:r w:rsidRPr="00232C93">
        <w:rPr>
          <w:rFonts w:ascii="Arial" w:hAnsi="Arial" w:cs="Arial"/>
          <w:sz w:val="24"/>
          <w:szCs w:val="24"/>
        </w:rPr>
        <w:t>), Duke simply referred to testimony in the Duke Rate Case.</w:t>
      </w:r>
    </w:p>
    <w:p w14:paraId="22E1A1B0" w14:textId="6249A5A7" w:rsidR="0091455E" w:rsidRPr="00232C93" w:rsidRDefault="0091455E" w:rsidP="0091455E">
      <w:pPr>
        <w:autoSpaceDE w:val="0"/>
        <w:autoSpaceDN w:val="0"/>
        <w:adjustRightInd w:val="0"/>
        <w:spacing w:after="120" w:line="240" w:lineRule="auto"/>
        <w:ind w:left="720" w:right="720" w:firstLine="720"/>
        <w:jc w:val="both"/>
        <w:rPr>
          <w:rFonts w:ascii="Arial" w:hAnsi="Arial" w:cs="Arial"/>
          <w:sz w:val="24"/>
          <w:szCs w:val="24"/>
        </w:rPr>
      </w:pPr>
      <w:r w:rsidRPr="00232C93">
        <w:rPr>
          <w:rFonts w:ascii="Arial" w:hAnsi="Arial" w:cs="Arial"/>
          <w:sz w:val="24"/>
          <w:szCs w:val="24"/>
        </w:rPr>
        <w:t xml:space="preserve">As the Attorney Examiner acknowledged, there are very complex and detailed issues raised in this proceeding.  In the electric distribution rate case Duke is seeking approval of mechanisms to collect costs from customers for system changes necessary to enable customer usage data to be provided to marketers. </w:t>
      </w:r>
      <w:r w:rsidRPr="00232C93">
        <w:rPr>
          <w:rFonts w:ascii="Arial" w:hAnsi="Arial" w:cs="Arial"/>
          <w:i/>
          <w:sz w:val="24"/>
          <w:szCs w:val="24"/>
        </w:rPr>
        <w:t>The rate case, according to Duke “will enable parties to fully evaluate, on a holistic level, the current system and appropriate modifications,” while the “present proceeding does not allow such an opportunity.</w:t>
      </w:r>
      <w:r w:rsidRPr="00232C93">
        <w:rPr>
          <w:rFonts w:ascii="Arial" w:hAnsi="Arial" w:cs="Arial"/>
          <w:sz w:val="24"/>
          <w:szCs w:val="24"/>
        </w:rPr>
        <w:t>”</w:t>
      </w:r>
      <w:r w:rsidR="00232C93" w:rsidRPr="00232C93">
        <w:rPr>
          <w:rStyle w:val="FootnoteReference"/>
          <w:rFonts w:ascii="Arial" w:hAnsi="Arial" w:cs="Arial"/>
          <w:sz w:val="24"/>
          <w:szCs w:val="24"/>
        </w:rPr>
        <w:footnoteReference w:id="17"/>
      </w:r>
    </w:p>
    <w:p w14:paraId="1533D34B" w14:textId="4F6A7C4D" w:rsidR="0091455E" w:rsidRPr="00232C93" w:rsidRDefault="00232C93" w:rsidP="00232C93">
      <w:pPr>
        <w:autoSpaceDE w:val="0"/>
        <w:autoSpaceDN w:val="0"/>
        <w:adjustRightInd w:val="0"/>
        <w:spacing w:after="120" w:line="240" w:lineRule="auto"/>
        <w:ind w:left="3600" w:right="720" w:firstLine="720"/>
        <w:jc w:val="both"/>
        <w:rPr>
          <w:rFonts w:ascii="Arial" w:hAnsi="Arial" w:cs="Arial"/>
          <w:sz w:val="24"/>
          <w:szCs w:val="24"/>
        </w:rPr>
      </w:pPr>
      <w:r w:rsidRPr="00232C93">
        <w:rPr>
          <w:rFonts w:ascii="Arial" w:hAnsi="Arial" w:cs="Arial"/>
          <w:sz w:val="24"/>
          <w:szCs w:val="24"/>
        </w:rPr>
        <w:t>****</w:t>
      </w:r>
    </w:p>
    <w:p w14:paraId="0A67AD26" w14:textId="466A372A" w:rsidR="00232C93" w:rsidRDefault="00232C93" w:rsidP="00232C93">
      <w:pPr>
        <w:autoSpaceDE w:val="0"/>
        <w:autoSpaceDN w:val="0"/>
        <w:adjustRightInd w:val="0"/>
        <w:spacing w:after="120" w:line="240" w:lineRule="auto"/>
        <w:ind w:left="720" w:right="720" w:firstLine="720"/>
        <w:jc w:val="both"/>
        <w:rPr>
          <w:rFonts w:ascii="Arial" w:hAnsi="Arial" w:cs="Arial"/>
          <w:sz w:val="24"/>
          <w:szCs w:val="24"/>
        </w:rPr>
      </w:pPr>
      <w:r w:rsidRPr="00232C93">
        <w:rPr>
          <w:rFonts w:ascii="Arial" w:hAnsi="Arial" w:cs="Arial"/>
          <w:b/>
          <w:i/>
          <w:sz w:val="24"/>
          <w:szCs w:val="24"/>
        </w:rPr>
        <w:lastRenderedPageBreak/>
        <w:t>Now that Duke has filed</w:t>
      </w:r>
      <w:bookmarkStart w:id="0" w:name="_GoBack"/>
      <w:bookmarkEnd w:id="0"/>
      <w:r w:rsidRPr="00232C93">
        <w:rPr>
          <w:rFonts w:ascii="Arial" w:hAnsi="Arial" w:cs="Arial"/>
          <w:b/>
          <w:i/>
          <w:sz w:val="24"/>
          <w:szCs w:val="24"/>
        </w:rPr>
        <w:t xml:space="preserve"> its testimony in both the Duke Rate Case and in this Case, it is clear that many of the issues raised in this case will ultimately need to be resolved in the rate case</w:t>
      </w:r>
      <w:r w:rsidRPr="00EA59D3">
        <w:rPr>
          <w:rFonts w:ascii="Arial" w:hAnsi="Arial" w:cs="Arial"/>
          <w:i/>
          <w:sz w:val="24"/>
          <w:szCs w:val="24"/>
        </w:rPr>
        <w:t>.</w:t>
      </w:r>
      <w:r w:rsidRPr="00EA59D3">
        <w:rPr>
          <w:rStyle w:val="FootnoteReference"/>
          <w:rFonts w:ascii="Arial" w:hAnsi="Arial" w:cs="Arial"/>
          <w:i/>
          <w:sz w:val="24"/>
          <w:szCs w:val="24"/>
        </w:rPr>
        <w:footnoteReference w:id="18"/>
      </w:r>
    </w:p>
    <w:p w14:paraId="0D533E9B" w14:textId="5887D060" w:rsidR="00D33E10" w:rsidRDefault="00232C93" w:rsidP="00232C93">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In light of these statements, </w:t>
      </w:r>
      <w:r w:rsidRPr="00232C93">
        <w:rPr>
          <w:rFonts w:ascii="Arial" w:hAnsi="Arial" w:cs="Arial"/>
          <w:sz w:val="24"/>
          <w:szCs w:val="24"/>
        </w:rPr>
        <w:t xml:space="preserve">is </w:t>
      </w:r>
      <w:r>
        <w:rPr>
          <w:rFonts w:ascii="Arial" w:hAnsi="Arial" w:cs="Arial"/>
          <w:sz w:val="24"/>
          <w:szCs w:val="24"/>
        </w:rPr>
        <w:t>clear</w:t>
      </w:r>
      <w:r w:rsidRPr="00232C93">
        <w:rPr>
          <w:rFonts w:ascii="Arial" w:hAnsi="Arial" w:cs="Arial"/>
          <w:sz w:val="24"/>
          <w:szCs w:val="24"/>
        </w:rPr>
        <w:t xml:space="preserve"> that OCC sought to delegate to this fo</w:t>
      </w:r>
      <w:r w:rsidR="00B80141">
        <w:rPr>
          <w:rFonts w:ascii="Arial" w:hAnsi="Arial" w:cs="Arial"/>
          <w:sz w:val="24"/>
          <w:szCs w:val="24"/>
        </w:rPr>
        <w:t>rum the issues addressed in IGS’s objections</w:t>
      </w:r>
      <w:r w:rsidRPr="00232C93">
        <w:rPr>
          <w:rFonts w:ascii="Arial" w:hAnsi="Arial" w:cs="Arial"/>
          <w:sz w:val="24"/>
          <w:szCs w:val="24"/>
        </w:rPr>
        <w:t>.</w:t>
      </w:r>
      <w:r w:rsidR="00D33E10">
        <w:rPr>
          <w:rFonts w:ascii="Arial" w:hAnsi="Arial" w:cs="Arial"/>
          <w:sz w:val="24"/>
          <w:szCs w:val="24"/>
        </w:rPr>
        <w:t xml:space="preserve">  </w:t>
      </w:r>
    </w:p>
    <w:p w14:paraId="0EA16275" w14:textId="653360F8" w:rsidR="00762110" w:rsidRDefault="00232C93" w:rsidP="00D33E10">
      <w:pPr>
        <w:autoSpaceDE w:val="0"/>
        <w:autoSpaceDN w:val="0"/>
        <w:adjustRightInd w:val="0"/>
        <w:spacing w:after="120" w:line="480" w:lineRule="auto"/>
        <w:ind w:firstLine="720"/>
        <w:jc w:val="both"/>
        <w:rPr>
          <w:rFonts w:ascii="Arial" w:hAnsi="Arial" w:cs="Arial"/>
          <w:sz w:val="24"/>
          <w:szCs w:val="24"/>
        </w:rPr>
      </w:pPr>
      <w:r w:rsidRPr="00232C93">
        <w:rPr>
          <w:rFonts w:ascii="Arial" w:hAnsi="Arial" w:cs="Arial"/>
          <w:sz w:val="24"/>
          <w:szCs w:val="24"/>
        </w:rPr>
        <w:t>T</w:t>
      </w:r>
      <w:r w:rsidR="009726CF" w:rsidRPr="00232C93">
        <w:rPr>
          <w:rFonts w:ascii="Arial" w:hAnsi="Arial" w:cs="Arial"/>
          <w:sz w:val="24"/>
          <w:szCs w:val="24"/>
        </w:rPr>
        <w:t>o avoid undue delay and to facilitate administrative</w:t>
      </w:r>
      <w:r w:rsidR="00AE57B1" w:rsidRPr="00232C93">
        <w:rPr>
          <w:rFonts w:ascii="Arial" w:hAnsi="Arial" w:cs="Arial"/>
          <w:sz w:val="24"/>
          <w:szCs w:val="24"/>
        </w:rPr>
        <w:t xml:space="preserve"> efficiency, the Commission </w:t>
      </w:r>
      <w:r w:rsidR="00A61B99" w:rsidRPr="00232C93">
        <w:rPr>
          <w:rFonts w:ascii="Arial" w:hAnsi="Arial" w:cs="Arial"/>
          <w:sz w:val="24"/>
          <w:szCs w:val="24"/>
        </w:rPr>
        <w:t xml:space="preserve">should </w:t>
      </w:r>
      <w:r w:rsidR="00D33E10">
        <w:rPr>
          <w:rFonts w:ascii="Arial" w:hAnsi="Arial" w:cs="Arial"/>
          <w:sz w:val="24"/>
          <w:szCs w:val="24"/>
        </w:rPr>
        <w:t>holistically evaluate Duke’s CIS proposal and issues related thereto</w:t>
      </w:r>
      <w:r w:rsidR="00AE57B1" w:rsidRPr="00232C93">
        <w:rPr>
          <w:rFonts w:ascii="Arial" w:hAnsi="Arial" w:cs="Arial"/>
          <w:sz w:val="24"/>
          <w:szCs w:val="24"/>
        </w:rPr>
        <w:t xml:space="preserve"> in the </w:t>
      </w:r>
      <w:r w:rsidR="007F1373" w:rsidRPr="00232C93">
        <w:rPr>
          <w:rFonts w:ascii="Arial" w:hAnsi="Arial" w:cs="Arial"/>
          <w:sz w:val="24"/>
          <w:szCs w:val="24"/>
        </w:rPr>
        <w:t xml:space="preserve">current </w:t>
      </w:r>
      <w:r w:rsidR="00AE57B1" w:rsidRPr="00232C93">
        <w:rPr>
          <w:rFonts w:ascii="Arial" w:hAnsi="Arial" w:cs="Arial"/>
          <w:sz w:val="24"/>
          <w:szCs w:val="24"/>
        </w:rPr>
        <w:t>case</w:t>
      </w:r>
      <w:r w:rsidR="00F70ACF" w:rsidRPr="00232C93">
        <w:rPr>
          <w:rFonts w:ascii="Arial" w:hAnsi="Arial" w:cs="Arial"/>
          <w:sz w:val="24"/>
          <w:szCs w:val="24"/>
        </w:rPr>
        <w:t>.  Indeed, Duke has already filed its testimony describing the proposed CIS in the base distribution rate case.</w:t>
      </w:r>
      <w:r w:rsidR="00313FE5" w:rsidRPr="00232C93">
        <w:rPr>
          <w:rFonts w:ascii="Arial" w:hAnsi="Arial" w:cs="Arial"/>
          <w:sz w:val="24"/>
          <w:szCs w:val="24"/>
        </w:rPr>
        <w:t xml:space="preserve"> </w:t>
      </w:r>
      <w:r w:rsidR="00364832" w:rsidRPr="00232C93">
        <w:rPr>
          <w:rFonts w:ascii="Arial" w:hAnsi="Arial" w:cs="Arial"/>
          <w:sz w:val="24"/>
          <w:szCs w:val="24"/>
        </w:rPr>
        <w:t>The scope and functionality of the proposed C</w:t>
      </w:r>
      <w:r w:rsidR="00D33E10">
        <w:rPr>
          <w:rFonts w:ascii="Arial" w:hAnsi="Arial" w:cs="Arial"/>
          <w:sz w:val="24"/>
          <w:szCs w:val="24"/>
        </w:rPr>
        <w:t>IS is also outlined in the</w:t>
      </w:r>
      <w:r w:rsidR="001513A6" w:rsidRPr="00232C93">
        <w:rPr>
          <w:rFonts w:ascii="Arial" w:hAnsi="Arial" w:cs="Arial"/>
          <w:sz w:val="24"/>
          <w:szCs w:val="24"/>
        </w:rPr>
        <w:t xml:space="preserve"> proceeding</w:t>
      </w:r>
      <w:r w:rsidR="007F1373" w:rsidRPr="00232C93">
        <w:rPr>
          <w:rFonts w:ascii="Arial" w:hAnsi="Arial" w:cs="Arial"/>
          <w:sz w:val="24"/>
          <w:szCs w:val="24"/>
        </w:rPr>
        <w:t>.</w:t>
      </w:r>
      <w:r w:rsidR="00335A4A" w:rsidRPr="00232C93">
        <w:rPr>
          <w:rFonts w:ascii="Arial" w:hAnsi="Arial" w:cs="Arial"/>
          <w:sz w:val="24"/>
          <w:szCs w:val="24"/>
        </w:rPr>
        <w:t xml:space="preserve">  Accordingly, the Commission should find that Duke’s base rate case is the appropriate forum to litigate matters related to the CIS, </w:t>
      </w:r>
      <w:r w:rsidR="00364832" w:rsidRPr="00232C93">
        <w:rPr>
          <w:rFonts w:ascii="Arial" w:hAnsi="Arial" w:cs="Arial"/>
          <w:sz w:val="24"/>
          <w:szCs w:val="24"/>
        </w:rPr>
        <w:t>just as OCC originally proposed</w:t>
      </w:r>
      <w:r w:rsidR="00335A4A" w:rsidRPr="00232C93">
        <w:rPr>
          <w:rFonts w:ascii="Arial" w:hAnsi="Arial" w:cs="Arial"/>
          <w:sz w:val="24"/>
          <w:szCs w:val="24"/>
        </w:rPr>
        <w:t>.</w:t>
      </w:r>
    </w:p>
    <w:p w14:paraId="5B06FA9B" w14:textId="6F81F3B8" w:rsidR="00232C93" w:rsidRPr="00232C93" w:rsidRDefault="00232C93" w:rsidP="00232C93">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r>
      <w:r w:rsidR="008D33F3">
        <w:rPr>
          <w:rFonts w:ascii="Arial" w:hAnsi="Arial" w:cs="Arial"/>
          <w:sz w:val="24"/>
          <w:szCs w:val="24"/>
        </w:rPr>
        <w:t>Finally, and in the alternative, t</w:t>
      </w:r>
      <w:r>
        <w:rPr>
          <w:rFonts w:ascii="Arial" w:hAnsi="Arial" w:cs="Arial"/>
          <w:sz w:val="24"/>
          <w:szCs w:val="24"/>
        </w:rPr>
        <w:t>o the extent that the Commission grants any porti</w:t>
      </w:r>
      <w:r w:rsidR="00B80141">
        <w:rPr>
          <w:rFonts w:ascii="Arial" w:hAnsi="Arial" w:cs="Arial"/>
          <w:sz w:val="24"/>
          <w:szCs w:val="24"/>
        </w:rPr>
        <w:t>on of OCC’s M</w:t>
      </w:r>
      <w:r>
        <w:rPr>
          <w:rFonts w:ascii="Arial" w:hAnsi="Arial" w:cs="Arial"/>
          <w:sz w:val="24"/>
          <w:szCs w:val="24"/>
        </w:rPr>
        <w:t>otion</w:t>
      </w:r>
      <w:r w:rsidR="00B80141">
        <w:rPr>
          <w:rFonts w:ascii="Arial" w:hAnsi="Arial" w:cs="Arial"/>
          <w:sz w:val="24"/>
          <w:szCs w:val="24"/>
        </w:rPr>
        <w:t xml:space="preserve"> to Strike</w:t>
      </w:r>
      <w:r>
        <w:rPr>
          <w:rFonts w:ascii="Arial" w:hAnsi="Arial" w:cs="Arial"/>
          <w:sz w:val="24"/>
          <w:szCs w:val="24"/>
        </w:rPr>
        <w:t xml:space="preserve">, IGS urges the Commission to immediately lift the stay in the </w:t>
      </w:r>
      <w:r w:rsidRPr="00B80141">
        <w:rPr>
          <w:rFonts w:ascii="Arial" w:hAnsi="Arial" w:cs="Arial"/>
          <w:i/>
          <w:sz w:val="24"/>
          <w:szCs w:val="24"/>
        </w:rPr>
        <w:t>CEUD case</w:t>
      </w:r>
      <w:r w:rsidR="00B80141">
        <w:rPr>
          <w:rFonts w:ascii="Arial" w:hAnsi="Arial" w:cs="Arial"/>
          <w:sz w:val="24"/>
          <w:szCs w:val="24"/>
        </w:rPr>
        <w:t>.</w:t>
      </w:r>
      <w:r w:rsidR="008D33F3">
        <w:rPr>
          <w:rFonts w:ascii="Arial" w:hAnsi="Arial" w:cs="Arial"/>
          <w:sz w:val="24"/>
          <w:szCs w:val="24"/>
        </w:rPr>
        <w:t xml:space="preserve">  </w:t>
      </w:r>
    </w:p>
    <w:p w14:paraId="540EC59F" w14:textId="19C513D2" w:rsidR="00FA7136" w:rsidRPr="00232C93" w:rsidRDefault="00FA7136" w:rsidP="00FA7136">
      <w:pPr>
        <w:pStyle w:val="ListParagraph"/>
        <w:numPr>
          <w:ilvl w:val="0"/>
          <w:numId w:val="8"/>
        </w:numPr>
        <w:autoSpaceDE w:val="0"/>
        <w:autoSpaceDN w:val="0"/>
        <w:adjustRightInd w:val="0"/>
        <w:spacing w:after="120" w:line="480" w:lineRule="auto"/>
        <w:jc w:val="both"/>
        <w:rPr>
          <w:rFonts w:ascii="Arial" w:hAnsi="Arial" w:cs="Arial"/>
          <w:b/>
          <w:sz w:val="24"/>
          <w:szCs w:val="24"/>
        </w:rPr>
      </w:pPr>
      <w:r w:rsidRPr="00232C93">
        <w:rPr>
          <w:rFonts w:ascii="Arial" w:hAnsi="Arial" w:cs="Arial"/>
          <w:b/>
          <w:sz w:val="24"/>
          <w:szCs w:val="24"/>
        </w:rPr>
        <w:t>CONCLUSION</w:t>
      </w:r>
    </w:p>
    <w:p w14:paraId="7CFB4867" w14:textId="5605300D" w:rsidR="00FC4227" w:rsidRDefault="00FC4227" w:rsidP="0029512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As discussed, objections shall withstand a motion to strike so long as they relate to the findings, conclusions, or recommendations in a staff report, or relate to the failure of the staff report to address certain items, and are specific.  IGS’</w:t>
      </w:r>
      <w:r w:rsidR="00B80141">
        <w:rPr>
          <w:rFonts w:ascii="Arial" w:hAnsi="Arial" w:cs="Arial"/>
          <w:sz w:val="24"/>
          <w:szCs w:val="24"/>
        </w:rPr>
        <w:t>s</w:t>
      </w:r>
      <w:r>
        <w:rPr>
          <w:rFonts w:ascii="Arial" w:hAnsi="Arial" w:cs="Arial"/>
          <w:sz w:val="24"/>
          <w:szCs w:val="24"/>
        </w:rPr>
        <w:t xml:space="preserve"> objection</w:t>
      </w:r>
      <w:r w:rsidR="00B80141">
        <w:rPr>
          <w:rFonts w:ascii="Arial" w:hAnsi="Arial" w:cs="Arial"/>
          <w:sz w:val="24"/>
          <w:szCs w:val="24"/>
        </w:rPr>
        <w:t>s are specific and relate</w:t>
      </w:r>
      <w:r>
        <w:rPr>
          <w:rFonts w:ascii="Arial" w:hAnsi="Arial" w:cs="Arial"/>
          <w:sz w:val="24"/>
          <w:szCs w:val="24"/>
        </w:rPr>
        <w:t xml:space="preserve"> to the Staff Report’s failure to provide a comprehensive evaluation of all matters and issues related to Duke’s proposed CIS.  IGS</w:t>
      </w:r>
      <w:r w:rsidR="00B80141">
        <w:rPr>
          <w:rFonts w:ascii="Arial" w:hAnsi="Arial" w:cs="Arial"/>
          <w:sz w:val="24"/>
          <w:szCs w:val="24"/>
        </w:rPr>
        <w:t>’s objections frame</w:t>
      </w:r>
      <w:r>
        <w:rPr>
          <w:rFonts w:ascii="Arial" w:hAnsi="Arial" w:cs="Arial"/>
          <w:sz w:val="24"/>
          <w:szCs w:val="24"/>
        </w:rPr>
        <w:t xml:space="preserve"> the issues associated with the CIS that are essential for consideration in this case.  Litigating matters related to </w:t>
      </w:r>
      <w:r>
        <w:rPr>
          <w:rFonts w:ascii="Arial" w:hAnsi="Arial" w:cs="Arial"/>
          <w:sz w:val="24"/>
          <w:szCs w:val="24"/>
        </w:rPr>
        <w:lastRenderedPageBreak/>
        <w:t>the CIS in the base rate case rather than the CEUD as OCC now proposes will also avoid a duplication of effort and facilitate administrative efficiency.  Based on the foregoing, OCC’s Motion to Strike should be denied.</w:t>
      </w:r>
    </w:p>
    <w:p w14:paraId="7176D2F7"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Default="00545F29">
      <w:pPr>
        <w:spacing w:after="0" w:line="240" w:lineRule="auto"/>
        <w:ind w:left="5040"/>
        <w:rPr>
          <w:rFonts w:ascii="Arial" w:eastAsia="Calibri" w:hAnsi="Arial" w:cs="Arial"/>
          <w:sz w:val="24"/>
          <w:szCs w:val="24"/>
          <w:u w:val="single"/>
        </w:rPr>
      </w:pPr>
    </w:p>
    <w:p w14:paraId="79CA8D10" w14:textId="77777777" w:rsidR="009B3BB3" w:rsidRPr="00D65A08" w:rsidRDefault="009B3BB3" w:rsidP="009B3BB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6A929A71"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Joseph Oliker (0086088)</w:t>
      </w:r>
    </w:p>
    <w:p w14:paraId="153BD62B"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 xml:space="preserve">Email: </w:t>
      </w:r>
      <w:hyperlink r:id="rId9" w:history="1">
        <w:r w:rsidRPr="00526ADC">
          <w:rPr>
            <w:rStyle w:val="Hyperlink"/>
            <w:rFonts w:ascii="Arial" w:hAnsi="Arial" w:cs="Arial"/>
            <w:color w:val="auto"/>
            <w:sz w:val="24"/>
            <w:szCs w:val="24"/>
            <w:u w:val="none"/>
          </w:rPr>
          <w:t>joliker@igsenergy.com</w:t>
        </w:r>
      </w:hyperlink>
    </w:p>
    <w:p w14:paraId="3393DF6D"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Counsel of Record</w:t>
      </w:r>
    </w:p>
    <w:p w14:paraId="796D46E9" w14:textId="52F12F6D" w:rsidR="00526ADC" w:rsidRPr="00526ADC" w:rsidRDefault="00526ADC" w:rsidP="009B3BB3">
      <w:pPr>
        <w:spacing w:after="0" w:line="240" w:lineRule="auto"/>
        <w:ind w:left="5040"/>
        <w:rPr>
          <w:rFonts w:ascii="Arial" w:hAnsi="Arial" w:cs="Arial"/>
          <w:sz w:val="24"/>
          <w:szCs w:val="24"/>
        </w:rPr>
      </w:pPr>
      <w:r w:rsidRPr="00526ADC">
        <w:rPr>
          <w:rFonts w:ascii="Arial" w:hAnsi="Arial" w:cs="Arial"/>
          <w:sz w:val="24"/>
          <w:szCs w:val="24"/>
        </w:rPr>
        <w:t>Michael Nugent</w:t>
      </w:r>
    </w:p>
    <w:p w14:paraId="704645D0" w14:textId="09B553F9" w:rsidR="00526ADC" w:rsidRPr="00526ADC" w:rsidRDefault="00526ADC" w:rsidP="009B3BB3">
      <w:pPr>
        <w:spacing w:after="0" w:line="240" w:lineRule="auto"/>
        <w:ind w:left="5040"/>
        <w:rPr>
          <w:rFonts w:ascii="Arial" w:hAnsi="Arial" w:cs="Arial"/>
          <w:sz w:val="24"/>
          <w:szCs w:val="24"/>
        </w:rPr>
      </w:pPr>
      <w:r w:rsidRPr="00526ADC">
        <w:rPr>
          <w:rFonts w:ascii="Arial" w:hAnsi="Arial" w:cs="Arial"/>
          <w:sz w:val="24"/>
          <w:szCs w:val="24"/>
        </w:rPr>
        <w:t>Mnugent@igsenergy.com</w:t>
      </w:r>
    </w:p>
    <w:p w14:paraId="4AEF2E17"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IGS Energy</w:t>
      </w:r>
    </w:p>
    <w:p w14:paraId="54C80BDC"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6100 Emerald Parkway</w:t>
      </w:r>
    </w:p>
    <w:p w14:paraId="197BD928"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Dublin, Ohio 43016</w:t>
      </w:r>
    </w:p>
    <w:p w14:paraId="3F468C07"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1076C0BD" w14:textId="77777777"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7176D306" w14:textId="77777777" w:rsidR="00545F29" w:rsidRDefault="00545F29">
      <w:pPr>
        <w:spacing w:after="0" w:line="240" w:lineRule="auto"/>
        <w:ind w:left="5040"/>
        <w:rPr>
          <w:rFonts w:ascii="Arial" w:hAnsi="Arial" w:cs="Arial"/>
          <w:sz w:val="24"/>
          <w:szCs w:val="24"/>
        </w:rPr>
      </w:pPr>
    </w:p>
    <w:p w14:paraId="7176D308" w14:textId="0C63361A" w:rsidR="00545F29" w:rsidRPr="00237730" w:rsidRDefault="00E9019F" w:rsidP="00237730">
      <w:pPr>
        <w:spacing w:after="0" w:line="240" w:lineRule="auto"/>
        <w:ind w:left="5040"/>
        <w:rPr>
          <w:rFonts w:ascii="Arial" w:hAnsi="Arial" w:cs="Arial"/>
          <w:b/>
          <w:i/>
          <w:sz w:val="24"/>
          <w:szCs w:val="24"/>
        </w:rPr>
      </w:pPr>
      <w:r>
        <w:rPr>
          <w:rFonts w:ascii="Arial" w:hAnsi="Arial" w:cs="Arial"/>
          <w:b/>
          <w:i/>
          <w:sz w:val="24"/>
          <w:szCs w:val="24"/>
        </w:rPr>
        <w:t>Attorney</w:t>
      </w:r>
      <w:r w:rsidR="00526ADC">
        <w:rPr>
          <w:rFonts w:ascii="Arial" w:hAnsi="Arial" w:cs="Arial"/>
          <w:b/>
          <w:i/>
          <w:sz w:val="24"/>
          <w:szCs w:val="24"/>
        </w:rPr>
        <w:t>s</w:t>
      </w:r>
      <w:r w:rsidR="0056270F">
        <w:rPr>
          <w:rFonts w:ascii="Arial" w:hAnsi="Arial" w:cs="Arial"/>
          <w:b/>
          <w:i/>
          <w:sz w:val="24"/>
          <w:szCs w:val="24"/>
        </w:rPr>
        <w:t xml:space="preserve"> for </w:t>
      </w:r>
      <w:r w:rsidR="00237730">
        <w:rPr>
          <w:rFonts w:ascii="Arial" w:hAnsi="Arial" w:cs="Arial"/>
          <w:b/>
          <w:i/>
          <w:sz w:val="24"/>
          <w:szCs w:val="24"/>
        </w:rPr>
        <w:t>IGS Energy</w:t>
      </w: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420BB400" w:rsidR="00545F29" w:rsidRPr="009D71F6" w:rsidRDefault="0056270F" w:rsidP="008A2C5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4B7E09">
        <w:rPr>
          <w:rFonts w:ascii="Arial" w:eastAsia="Calibri" w:hAnsi="Arial" w:cs="Arial"/>
          <w:sz w:val="24"/>
          <w:szCs w:val="24"/>
        </w:rPr>
        <w:t xml:space="preserve"> </w:t>
      </w:r>
      <w:r w:rsidR="00166A2D">
        <w:rPr>
          <w:rFonts w:ascii="Arial" w:eastAsia="Calibri" w:hAnsi="Arial" w:cs="Arial"/>
          <w:i/>
          <w:sz w:val="24"/>
          <w:szCs w:val="24"/>
        </w:rPr>
        <w:t>Memorandum Contra Motion to Strike Objections</w:t>
      </w:r>
      <w:r w:rsidR="004B7E09">
        <w:rPr>
          <w:rFonts w:ascii="Arial" w:eastAsia="Calibri" w:hAnsi="Arial" w:cs="Arial"/>
          <w:i/>
          <w:sz w:val="24"/>
          <w:szCs w:val="24"/>
        </w:rPr>
        <w:t xml:space="preserve"> of</w:t>
      </w:r>
      <w:r w:rsidR="008A2C5B">
        <w:rPr>
          <w:rFonts w:ascii="Arial" w:eastAsia="Calibri" w:hAnsi="Arial" w:cs="Arial"/>
          <w:sz w:val="24"/>
          <w:szCs w:val="24"/>
        </w:rPr>
        <w:t xml:space="preserve"> </w:t>
      </w:r>
      <w:r w:rsidR="006E5083">
        <w:rPr>
          <w:rFonts w:ascii="Arial" w:eastAsia="Calibri" w:hAnsi="Arial" w:cs="Arial"/>
          <w:i/>
          <w:sz w:val="24"/>
          <w:szCs w:val="24"/>
        </w:rPr>
        <w:t>Interstate Gas Supply, Inc.</w:t>
      </w:r>
      <w:r w:rsidR="006E5083">
        <w:rPr>
          <w:rFonts w:ascii="Arial" w:eastAsia="Calibri" w:hAnsi="Arial" w:cs="Arial"/>
          <w:sz w:val="24"/>
          <w:szCs w:val="24"/>
        </w:rPr>
        <w:t xml:space="preserve"> </w:t>
      </w:r>
      <w:r w:rsidR="008A2C5B" w:rsidRPr="008A2C5B">
        <w:rPr>
          <w:rFonts w:ascii="Arial" w:eastAsia="Calibri" w:hAnsi="Arial" w:cs="Arial"/>
          <w:sz w:val="24"/>
          <w:szCs w:val="24"/>
        </w:rPr>
        <w:t>was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166A2D">
        <w:rPr>
          <w:rFonts w:ascii="Arial" w:eastAsia="Calibri" w:hAnsi="Arial" w:cs="Arial"/>
          <w:sz w:val="24"/>
          <w:szCs w:val="24"/>
        </w:rPr>
        <w:t xml:space="preserve">ion of Ohio </w:t>
      </w:r>
      <w:r w:rsidR="00295125">
        <w:rPr>
          <w:rFonts w:ascii="Arial" w:eastAsia="Calibri" w:hAnsi="Arial" w:cs="Arial"/>
          <w:sz w:val="24"/>
          <w:szCs w:val="24"/>
        </w:rPr>
        <w:t xml:space="preserve">and served </w:t>
      </w:r>
      <w:r w:rsidR="00166A2D">
        <w:rPr>
          <w:rFonts w:ascii="Arial" w:eastAsia="Calibri" w:hAnsi="Arial" w:cs="Arial"/>
          <w:sz w:val="24"/>
          <w:szCs w:val="24"/>
        </w:rPr>
        <w:t>this 13</w:t>
      </w:r>
      <w:r w:rsidR="00ED1193">
        <w:rPr>
          <w:rFonts w:ascii="Arial" w:eastAsia="Calibri" w:hAnsi="Arial" w:cs="Arial"/>
          <w:sz w:val="24"/>
          <w:szCs w:val="24"/>
          <w:vertAlign w:val="superscript"/>
        </w:rPr>
        <w:t>th</w:t>
      </w:r>
      <w:r w:rsidR="006E5083">
        <w:rPr>
          <w:rFonts w:ascii="Arial" w:eastAsia="Calibri" w:hAnsi="Arial" w:cs="Arial"/>
          <w:sz w:val="24"/>
          <w:szCs w:val="24"/>
        </w:rPr>
        <w:t xml:space="preserve"> day of </w:t>
      </w:r>
      <w:r w:rsidR="00166A2D">
        <w:rPr>
          <w:rFonts w:ascii="Arial" w:eastAsia="Calibri" w:hAnsi="Arial" w:cs="Arial"/>
          <w:sz w:val="24"/>
          <w:szCs w:val="24"/>
        </w:rPr>
        <w:t>November</w:t>
      </w:r>
      <w:r w:rsidR="00ED1193">
        <w:rPr>
          <w:rFonts w:ascii="Arial" w:eastAsia="Calibri" w:hAnsi="Arial" w:cs="Arial"/>
          <w:sz w:val="24"/>
          <w:szCs w:val="24"/>
        </w:rPr>
        <w:t xml:space="preserve"> 2017</w:t>
      </w:r>
      <w:r w:rsidR="00295125">
        <w:rPr>
          <w:rFonts w:ascii="Arial" w:eastAsia="Calibri" w:hAnsi="Arial" w:cs="Arial"/>
          <w:sz w:val="24"/>
          <w:szCs w:val="24"/>
        </w:rPr>
        <w:t xml:space="preserve"> via electronic mail upon the following:</w:t>
      </w:r>
    </w:p>
    <w:p w14:paraId="7176D30F" w14:textId="77777777" w:rsidR="00545F29" w:rsidRPr="00060C1F" w:rsidRDefault="00545F29">
      <w:pPr>
        <w:spacing w:after="0" w:line="240" w:lineRule="auto"/>
        <w:jc w:val="both"/>
        <w:rPr>
          <w:rFonts w:ascii="Arial" w:eastAsia="Arial" w:hAnsi="Arial" w:cs="Arial"/>
          <w:sz w:val="24"/>
          <w:szCs w:val="24"/>
        </w:rPr>
      </w:pPr>
    </w:p>
    <w:p w14:paraId="6FCF01CA" w14:textId="77777777" w:rsidR="00B270B3" w:rsidRPr="00060C1F" w:rsidRDefault="00B270B3" w:rsidP="00B270B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714"/>
        <w:gridCol w:w="4636"/>
      </w:tblGrid>
      <w:tr w:rsidR="00005033" w:rsidRPr="00060C1F" w14:paraId="498F860B" w14:textId="77777777" w:rsidTr="00005033">
        <w:tc>
          <w:tcPr>
            <w:tcW w:w="4714" w:type="dxa"/>
          </w:tcPr>
          <w:p w14:paraId="54372CF0" w14:textId="77777777" w:rsidR="00005033" w:rsidRPr="00005033" w:rsidRDefault="00005033" w:rsidP="00005033">
            <w:pPr>
              <w:rPr>
                <w:rFonts w:ascii="Arial" w:hAnsi="Arial" w:cs="Arial"/>
                <w:sz w:val="24"/>
                <w:szCs w:val="24"/>
              </w:rPr>
            </w:pPr>
            <w:r w:rsidRPr="00005033">
              <w:rPr>
                <w:rFonts w:ascii="Arial" w:hAnsi="Arial" w:cs="Arial"/>
                <w:sz w:val="24"/>
                <w:szCs w:val="24"/>
              </w:rPr>
              <w:t xml:space="preserve">amy.spiller@duke-energy.com jeanne.kinger@duke-energy.com elizabeth.watts@duke-energy.com rocco.d’ascenzo@duke-energy.com mkurtz@bkllawfirm.com jkylercohn@bkllawfirm.com fdarr@mwncmh.com mpritchard@mwncmh.com cmooney@ohiopartners.org </w:t>
            </w:r>
          </w:p>
          <w:p w14:paraId="63C3C468" w14:textId="77777777" w:rsidR="00005033" w:rsidRPr="00005033" w:rsidRDefault="00EA59D3" w:rsidP="00005033">
            <w:pPr>
              <w:rPr>
                <w:rFonts w:ascii="Arial" w:hAnsi="Arial" w:cs="Arial"/>
                <w:sz w:val="24"/>
                <w:szCs w:val="24"/>
              </w:rPr>
            </w:pPr>
            <w:hyperlink r:id="rId10" w:history="1">
              <w:r w:rsidR="00005033" w:rsidRPr="00005033">
                <w:rPr>
                  <w:rFonts w:ascii="Arial" w:hAnsi="Arial" w:cs="Arial"/>
                  <w:sz w:val="24"/>
                  <w:szCs w:val="24"/>
                </w:rPr>
                <w:t>mfleisher@elpc.org</w:t>
              </w:r>
            </w:hyperlink>
            <w:r w:rsidR="00005033" w:rsidRPr="00005033">
              <w:rPr>
                <w:rFonts w:ascii="Arial" w:hAnsi="Arial" w:cs="Arial"/>
                <w:sz w:val="24"/>
                <w:szCs w:val="24"/>
              </w:rPr>
              <w:t xml:space="preserve"> </w:t>
            </w:r>
          </w:p>
          <w:p w14:paraId="6852C616" w14:textId="77777777" w:rsidR="00005033" w:rsidRPr="00005033" w:rsidRDefault="00EA59D3" w:rsidP="00005033">
            <w:pPr>
              <w:rPr>
                <w:rFonts w:ascii="Arial" w:hAnsi="Arial" w:cs="Arial"/>
                <w:sz w:val="24"/>
                <w:szCs w:val="24"/>
              </w:rPr>
            </w:pPr>
            <w:hyperlink r:id="rId11" w:history="1">
              <w:r w:rsidR="00005033" w:rsidRPr="00005033">
                <w:rPr>
                  <w:rFonts w:ascii="Arial" w:hAnsi="Arial" w:cs="Arial"/>
                  <w:sz w:val="24"/>
                  <w:szCs w:val="24"/>
                </w:rPr>
                <w:t>paul@carpenterlipps.com</w:t>
              </w:r>
            </w:hyperlink>
          </w:p>
          <w:p w14:paraId="4A8620F1" w14:textId="77777777" w:rsidR="00005033" w:rsidRPr="00005033" w:rsidRDefault="00EA59D3" w:rsidP="00005033">
            <w:pPr>
              <w:rPr>
                <w:rFonts w:ascii="Arial" w:hAnsi="Arial" w:cs="Arial"/>
                <w:sz w:val="24"/>
                <w:szCs w:val="24"/>
              </w:rPr>
            </w:pPr>
            <w:hyperlink r:id="rId12" w:history="1">
              <w:r w:rsidR="00005033" w:rsidRPr="00005033">
                <w:rPr>
                  <w:rStyle w:val="Hyperlink"/>
                  <w:rFonts w:ascii="Arial" w:hAnsi="Arial" w:cs="Arial"/>
                  <w:color w:val="auto"/>
                  <w:sz w:val="24"/>
                  <w:szCs w:val="24"/>
                  <w:u w:val="none"/>
                </w:rPr>
                <w:t>William.Michael@occ.ohio.gov</w:t>
              </w:r>
            </w:hyperlink>
          </w:p>
          <w:p w14:paraId="16AAAD6C" w14:textId="77777777" w:rsidR="00005033" w:rsidRPr="00005033" w:rsidRDefault="00EA59D3" w:rsidP="00005033">
            <w:pPr>
              <w:rPr>
                <w:rFonts w:ascii="Arial" w:hAnsi="Arial" w:cs="Arial"/>
                <w:sz w:val="24"/>
                <w:szCs w:val="24"/>
              </w:rPr>
            </w:pPr>
            <w:hyperlink r:id="rId13" w:history="1">
              <w:r w:rsidR="00005033" w:rsidRPr="00005033">
                <w:rPr>
                  <w:rStyle w:val="Hyperlink"/>
                  <w:rFonts w:ascii="Arial" w:hAnsi="Arial" w:cs="Arial"/>
                  <w:color w:val="auto"/>
                  <w:sz w:val="24"/>
                  <w:szCs w:val="24"/>
                  <w:u w:val="none"/>
                </w:rPr>
                <w:t>Christopher.Healey@occ.ohio.gov</w:t>
              </w:r>
            </w:hyperlink>
          </w:p>
          <w:p w14:paraId="2CCBC2FB" w14:textId="77777777" w:rsidR="00005033" w:rsidRPr="00005033" w:rsidRDefault="00EA59D3" w:rsidP="00005033">
            <w:pPr>
              <w:rPr>
                <w:rFonts w:ascii="Arial" w:hAnsi="Arial" w:cs="Arial"/>
                <w:sz w:val="24"/>
                <w:szCs w:val="24"/>
              </w:rPr>
            </w:pPr>
            <w:hyperlink r:id="rId14" w:history="1">
              <w:r w:rsidR="00005033" w:rsidRPr="00005033">
                <w:rPr>
                  <w:rStyle w:val="Hyperlink"/>
                  <w:rFonts w:ascii="Arial" w:hAnsi="Arial" w:cs="Arial"/>
                  <w:color w:val="auto"/>
                  <w:sz w:val="24"/>
                  <w:szCs w:val="24"/>
                  <w:u w:val="none"/>
                </w:rPr>
                <w:t>daltman@environlaw.com</w:t>
              </w:r>
            </w:hyperlink>
          </w:p>
          <w:p w14:paraId="2003DA3F" w14:textId="77777777" w:rsidR="00005033" w:rsidRPr="00005033" w:rsidRDefault="00EA59D3" w:rsidP="00005033">
            <w:pPr>
              <w:rPr>
                <w:rFonts w:ascii="Arial" w:hAnsi="Arial" w:cs="Arial"/>
                <w:sz w:val="24"/>
                <w:szCs w:val="24"/>
              </w:rPr>
            </w:pPr>
            <w:hyperlink r:id="rId15" w:history="1">
              <w:r w:rsidR="00005033" w:rsidRPr="00005033">
                <w:rPr>
                  <w:rStyle w:val="Hyperlink"/>
                  <w:rFonts w:ascii="Arial" w:hAnsi="Arial" w:cs="Arial"/>
                  <w:color w:val="auto"/>
                  <w:sz w:val="24"/>
                  <w:szCs w:val="24"/>
                  <w:u w:val="none"/>
                </w:rPr>
                <w:t>jnewman@environlaw.com</w:t>
              </w:r>
            </w:hyperlink>
          </w:p>
          <w:p w14:paraId="4ED86C2A" w14:textId="77777777" w:rsidR="00005033" w:rsidRPr="00D77989" w:rsidRDefault="00005033" w:rsidP="00005033">
            <w:pPr>
              <w:rPr>
                <w:rFonts w:ascii="Arial" w:hAnsi="Arial" w:cs="Arial"/>
                <w:sz w:val="24"/>
                <w:szCs w:val="24"/>
              </w:rPr>
            </w:pPr>
            <w:r w:rsidRPr="00005033">
              <w:rPr>
                <w:rFonts w:ascii="Arial" w:hAnsi="Arial" w:cs="Arial"/>
                <w:sz w:val="24"/>
                <w:szCs w:val="24"/>
              </w:rPr>
              <w:t>jweber</w:t>
            </w:r>
            <w:r w:rsidRPr="00D77989">
              <w:rPr>
                <w:rFonts w:ascii="Arial" w:hAnsi="Arial" w:cs="Arial"/>
                <w:sz w:val="24"/>
                <w:szCs w:val="24"/>
              </w:rPr>
              <w:t>@environlaw.com</w:t>
            </w:r>
          </w:p>
          <w:p w14:paraId="1B1E4E30" w14:textId="706B9FD9" w:rsidR="00005033" w:rsidRPr="00D77989" w:rsidRDefault="00EA59D3" w:rsidP="00005033">
            <w:pPr>
              <w:rPr>
                <w:rFonts w:ascii="Arial" w:hAnsi="Arial" w:cs="Arial"/>
                <w:sz w:val="24"/>
                <w:szCs w:val="24"/>
              </w:rPr>
            </w:pPr>
            <w:hyperlink r:id="rId16" w:history="1">
              <w:r w:rsidR="00D77989" w:rsidRPr="00D77989">
                <w:rPr>
                  <w:rStyle w:val="Hyperlink"/>
                  <w:rFonts w:ascii="Arial" w:hAnsi="Arial" w:cs="Arial"/>
                  <w:color w:val="auto"/>
                  <w:sz w:val="24"/>
                  <w:szCs w:val="24"/>
                  <w:u w:val="none"/>
                </w:rPr>
                <w:t>swilliams@nrdc.org</w:t>
              </w:r>
            </w:hyperlink>
          </w:p>
          <w:p w14:paraId="0BA9736B" w14:textId="2E9B91E5" w:rsidR="00D77989" w:rsidRPr="00005033" w:rsidRDefault="00D77989" w:rsidP="00005033">
            <w:pPr>
              <w:rPr>
                <w:rFonts w:ascii="Arial" w:hAnsi="Arial" w:cs="Arial"/>
                <w:sz w:val="24"/>
                <w:szCs w:val="24"/>
              </w:rPr>
            </w:pPr>
            <w:r w:rsidRPr="00D77989">
              <w:rPr>
                <w:rFonts w:ascii="Arial" w:hAnsi="Arial" w:cs="Arial"/>
                <w:sz w:val="24"/>
                <w:szCs w:val="24"/>
              </w:rPr>
              <w:t>mjsettineri@vorys.com</w:t>
            </w:r>
          </w:p>
        </w:tc>
        <w:tc>
          <w:tcPr>
            <w:tcW w:w="4636" w:type="dxa"/>
          </w:tcPr>
          <w:p w14:paraId="2E45BE6C" w14:textId="77777777" w:rsidR="00005033" w:rsidRPr="00005033" w:rsidRDefault="00005033" w:rsidP="00005033">
            <w:pPr>
              <w:rPr>
                <w:rFonts w:ascii="Arial" w:hAnsi="Arial" w:cs="Arial"/>
                <w:sz w:val="24"/>
                <w:szCs w:val="24"/>
              </w:rPr>
            </w:pPr>
            <w:r w:rsidRPr="00005033">
              <w:rPr>
                <w:rFonts w:ascii="Arial" w:hAnsi="Arial" w:cs="Arial"/>
                <w:sz w:val="24"/>
                <w:szCs w:val="24"/>
              </w:rPr>
              <w:t xml:space="preserve">whitt@whitt-sturtevant.com </w:t>
            </w:r>
          </w:p>
          <w:p w14:paraId="44A70C00" w14:textId="77777777" w:rsidR="00005033" w:rsidRPr="00005033" w:rsidRDefault="00EA59D3" w:rsidP="00005033">
            <w:pPr>
              <w:rPr>
                <w:rFonts w:ascii="Arial" w:hAnsi="Arial" w:cs="Arial"/>
                <w:sz w:val="24"/>
                <w:szCs w:val="24"/>
              </w:rPr>
            </w:pPr>
            <w:hyperlink r:id="rId17" w:history="1">
              <w:r w:rsidR="00005033" w:rsidRPr="00005033">
                <w:rPr>
                  <w:rFonts w:ascii="Arial" w:hAnsi="Arial" w:cs="Arial"/>
                  <w:sz w:val="24"/>
                  <w:szCs w:val="24"/>
                </w:rPr>
                <w:t>campbell@whitt-sturtevant.com</w:t>
              </w:r>
            </w:hyperlink>
            <w:r w:rsidR="00005033" w:rsidRPr="00005033">
              <w:rPr>
                <w:rFonts w:ascii="Arial" w:hAnsi="Arial" w:cs="Arial"/>
                <w:sz w:val="24"/>
                <w:szCs w:val="24"/>
              </w:rPr>
              <w:t xml:space="preserve"> </w:t>
            </w:r>
          </w:p>
          <w:p w14:paraId="578442E0" w14:textId="77777777" w:rsidR="00005033" w:rsidRPr="00005033" w:rsidRDefault="00EA59D3" w:rsidP="00005033">
            <w:pPr>
              <w:rPr>
                <w:rFonts w:ascii="Arial" w:hAnsi="Arial" w:cs="Arial"/>
                <w:sz w:val="24"/>
                <w:szCs w:val="24"/>
              </w:rPr>
            </w:pPr>
            <w:hyperlink r:id="rId18" w:history="1">
              <w:r w:rsidR="00005033" w:rsidRPr="00005033">
                <w:rPr>
                  <w:rFonts w:ascii="Arial" w:hAnsi="Arial" w:cs="Arial"/>
                  <w:sz w:val="24"/>
                  <w:szCs w:val="24"/>
                </w:rPr>
                <w:t>glover@whitt-sturtevant.com</w:t>
              </w:r>
            </w:hyperlink>
          </w:p>
          <w:p w14:paraId="08067447" w14:textId="77777777" w:rsidR="00005033" w:rsidRPr="00005033" w:rsidRDefault="00EA59D3" w:rsidP="00005033">
            <w:pPr>
              <w:rPr>
                <w:rFonts w:ascii="Arial" w:hAnsi="Arial" w:cs="Arial"/>
                <w:sz w:val="24"/>
                <w:szCs w:val="24"/>
              </w:rPr>
            </w:pPr>
            <w:hyperlink r:id="rId19" w:history="1">
              <w:r w:rsidR="00005033" w:rsidRPr="00005033">
                <w:rPr>
                  <w:rFonts w:ascii="Arial" w:hAnsi="Arial" w:cs="Arial"/>
                  <w:sz w:val="24"/>
                  <w:szCs w:val="24"/>
                </w:rPr>
                <w:t>tdougherty@theoec.org</w:t>
              </w:r>
            </w:hyperlink>
            <w:r w:rsidR="00005033" w:rsidRPr="00005033">
              <w:rPr>
                <w:rFonts w:ascii="Arial" w:hAnsi="Arial" w:cs="Arial"/>
                <w:sz w:val="24"/>
                <w:szCs w:val="24"/>
              </w:rPr>
              <w:t xml:space="preserve"> </w:t>
            </w:r>
          </w:p>
          <w:p w14:paraId="7AA786A8" w14:textId="77777777" w:rsidR="00005033" w:rsidRPr="00005033" w:rsidRDefault="00005033" w:rsidP="00005033">
            <w:pPr>
              <w:rPr>
                <w:rFonts w:ascii="Arial" w:hAnsi="Arial" w:cs="Arial"/>
                <w:sz w:val="24"/>
                <w:szCs w:val="24"/>
              </w:rPr>
            </w:pPr>
            <w:r w:rsidRPr="00005033">
              <w:rPr>
                <w:rFonts w:ascii="Arial" w:hAnsi="Arial" w:cs="Arial"/>
                <w:sz w:val="24"/>
                <w:szCs w:val="24"/>
              </w:rPr>
              <w:t xml:space="preserve">eakhbari@bricker.com rick.sites@ohiohospitals.org </w:t>
            </w:r>
            <w:hyperlink r:id="rId20" w:history="1">
              <w:r w:rsidRPr="00005033">
                <w:rPr>
                  <w:rFonts w:ascii="Arial" w:hAnsi="Arial" w:cs="Arial"/>
                  <w:sz w:val="24"/>
                  <w:szCs w:val="24"/>
                </w:rPr>
                <w:t>dborchers@bricker.com</w:t>
              </w:r>
            </w:hyperlink>
            <w:r w:rsidRPr="00005033">
              <w:rPr>
                <w:rFonts w:ascii="Arial" w:hAnsi="Arial" w:cs="Arial"/>
                <w:sz w:val="24"/>
                <w:szCs w:val="24"/>
              </w:rPr>
              <w:t xml:space="preserve"> </w:t>
            </w:r>
          </w:p>
          <w:p w14:paraId="07E5C416" w14:textId="77777777" w:rsidR="00005033" w:rsidRPr="00005033" w:rsidRDefault="00EA59D3" w:rsidP="00005033">
            <w:pPr>
              <w:rPr>
                <w:rFonts w:ascii="Arial" w:hAnsi="Arial" w:cs="Arial"/>
                <w:sz w:val="24"/>
                <w:szCs w:val="24"/>
              </w:rPr>
            </w:pPr>
            <w:hyperlink r:id="rId21" w:history="1">
              <w:r w:rsidR="00005033" w:rsidRPr="00005033">
                <w:rPr>
                  <w:rFonts w:ascii="Arial" w:hAnsi="Arial" w:cs="Arial"/>
                  <w:sz w:val="24"/>
                  <w:szCs w:val="24"/>
                </w:rPr>
                <w:t>dparram@bricker.com</w:t>
              </w:r>
            </w:hyperlink>
            <w:r w:rsidR="00005033" w:rsidRPr="00005033">
              <w:rPr>
                <w:rFonts w:ascii="Arial" w:hAnsi="Arial" w:cs="Arial"/>
                <w:sz w:val="24"/>
                <w:szCs w:val="24"/>
              </w:rPr>
              <w:t xml:space="preserve"> </w:t>
            </w:r>
          </w:p>
          <w:p w14:paraId="14A02695" w14:textId="77777777" w:rsidR="00005033" w:rsidRPr="00005033" w:rsidRDefault="00005033" w:rsidP="00005033">
            <w:pPr>
              <w:rPr>
                <w:rFonts w:ascii="Arial" w:hAnsi="Arial" w:cs="Arial"/>
                <w:sz w:val="24"/>
                <w:szCs w:val="24"/>
              </w:rPr>
            </w:pPr>
            <w:r w:rsidRPr="00005033">
              <w:rPr>
                <w:rFonts w:ascii="Arial" w:hAnsi="Arial" w:cs="Arial"/>
                <w:sz w:val="24"/>
                <w:szCs w:val="24"/>
              </w:rPr>
              <w:t xml:space="preserve">mdortch@kravitzllc.com </w:t>
            </w:r>
            <w:hyperlink r:id="rId22" w:history="1">
              <w:r w:rsidRPr="00005033">
                <w:rPr>
                  <w:rStyle w:val="Hyperlink"/>
                  <w:rFonts w:ascii="Arial" w:hAnsi="Arial" w:cs="Arial"/>
                  <w:color w:val="auto"/>
                  <w:sz w:val="24"/>
                  <w:szCs w:val="24"/>
                  <w:u w:val="none"/>
                </w:rPr>
                <w:t>dboehm@bkllawfirm.com</w:t>
              </w:r>
            </w:hyperlink>
          </w:p>
          <w:p w14:paraId="5EF4EA82" w14:textId="77777777" w:rsidR="00005033" w:rsidRPr="00005033" w:rsidRDefault="00005033" w:rsidP="00005033">
            <w:pPr>
              <w:rPr>
                <w:rFonts w:ascii="Arial" w:hAnsi="Arial" w:cs="Arial"/>
                <w:sz w:val="24"/>
                <w:szCs w:val="24"/>
              </w:rPr>
            </w:pPr>
            <w:r w:rsidRPr="00005033">
              <w:rPr>
                <w:rFonts w:ascii="Arial" w:hAnsi="Arial" w:cs="Arial"/>
                <w:sz w:val="24"/>
                <w:szCs w:val="24"/>
              </w:rPr>
              <w:t xml:space="preserve">kboehm@bkllawfirm.com bojko@carpenterlipps.com perko@carpenterlipps.com </w:t>
            </w:r>
            <w:hyperlink r:id="rId23" w:history="1">
              <w:r w:rsidRPr="00005033">
                <w:rPr>
                  <w:rFonts w:ascii="Arial" w:hAnsi="Arial" w:cs="Arial"/>
                  <w:sz w:val="24"/>
                  <w:szCs w:val="24"/>
                </w:rPr>
                <w:t>mleppla@theoec.org</w:t>
              </w:r>
            </w:hyperlink>
          </w:p>
          <w:p w14:paraId="74D568E5" w14:textId="77777777" w:rsidR="00005033" w:rsidRPr="00005033" w:rsidRDefault="00005033" w:rsidP="00005033">
            <w:pPr>
              <w:rPr>
                <w:rFonts w:ascii="Arial" w:hAnsi="Arial" w:cs="Arial"/>
                <w:sz w:val="24"/>
                <w:szCs w:val="24"/>
              </w:rPr>
            </w:pPr>
            <w:r w:rsidRPr="00005033">
              <w:rPr>
                <w:rFonts w:ascii="Arial" w:hAnsi="Arial" w:cs="Arial"/>
                <w:sz w:val="24"/>
                <w:szCs w:val="24"/>
              </w:rPr>
              <w:t>steven.beeler@ohioattorneygeneral.gov</w:t>
            </w:r>
          </w:p>
          <w:p w14:paraId="3A261A12" w14:textId="77777777" w:rsidR="00005033" w:rsidRPr="00005033" w:rsidRDefault="00005033" w:rsidP="00005033">
            <w:pPr>
              <w:rPr>
                <w:rFonts w:ascii="Arial" w:hAnsi="Arial" w:cs="Arial"/>
                <w:sz w:val="24"/>
                <w:szCs w:val="24"/>
              </w:rPr>
            </w:pPr>
            <w:r w:rsidRPr="00005033">
              <w:rPr>
                <w:rFonts w:ascii="Arial" w:hAnsi="Arial" w:cs="Arial"/>
                <w:sz w:val="24"/>
                <w:szCs w:val="24"/>
              </w:rPr>
              <w:t>robert.eubanks@ohioattorneygeneral.gov</w:t>
            </w:r>
          </w:p>
          <w:p w14:paraId="4FB8CBA4" w14:textId="56655893" w:rsidR="00005033" w:rsidRPr="00D77989" w:rsidRDefault="00EA59D3" w:rsidP="00005033">
            <w:pPr>
              <w:rPr>
                <w:rFonts w:ascii="Arial" w:hAnsi="Arial" w:cs="Arial"/>
                <w:sz w:val="24"/>
                <w:szCs w:val="24"/>
              </w:rPr>
            </w:pPr>
            <w:hyperlink r:id="rId24" w:history="1">
              <w:r w:rsidR="00D77989" w:rsidRPr="00D77989">
                <w:rPr>
                  <w:rStyle w:val="Hyperlink"/>
                  <w:rFonts w:ascii="Arial" w:hAnsi="Arial" w:cs="Arial"/>
                  <w:color w:val="auto"/>
                  <w:sz w:val="24"/>
                  <w:szCs w:val="24"/>
                  <w:u w:val="none"/>
                </w:rPr>
                <w:t>glpetrucci@vorys.com</w:t>
              </w:r>
            </w:hyperlink>
          </w:p>
          <w:p w14:paraId="7EBD91CE" w14:textId="62E58B4F" w:rsidR="00D77989" w:rsidRPr="00005033" w:rsidRDefault="00D77989" w:rsidP="00005033">
            <w:pPr>
              <w:rPr>
                <w:rFonts w:ascii="Arial" w:hAnsi="Arial" w:cs="Arial"/>
                <w:sz w:val="24"/>
                <w:szCs w:val="24"/>
              </w:rPr>
            </w:pPr>
          </w:p>
        </w:tc>
      </w:tr>
    </w:tbl>
    <w:p w14:paraId="23337FA1" w14:textId="77777777" w:rsidR="008A2C5B" w:rsidRPr="00060C1F" w:rsidRDefault="008A2C5B" w:rsidP="008A2C5B">
      <w:pPr>
        <w:spacing w:after="0" w:line="240" w:lineRule="auto"/>
        <w:ind w:left="5040" w:firstLine="720"/>
        <w:rPr>
          <w:rFonts w:ascii="Arial" w:eastAsia="Arial" w:hAnsi="Arial" w:cs="Arial"/>
          <w:i/>
          <w:sz w:val="24"/>
          <w:szCs w:val="24"/>
        </w:rPr>
      </w:pPr>
    </w:p>
    <w:p w14:paraId="65B7DFCE" w14:textId="6C27526E" w:rsidR="006E5083" w:rsidRPr="00FB7409" w:rsidRDefault="00FB7409" w:rsidP="006E5083">
      <w:pPr>
        <w:spacing w:after="0" w:line="240" w:lineRule="auto"/>
        <w:ind w:left="5040"/>
        <w:rPr>
          <w:rFonts w:ascii="Arial" w:eastAsia="Calibri" w:hAnsi="Arial" w:cs="Arial"/>
          <w:sz w:val="24"/>
          <w:szCs w:val="24"/>
          <w:u w:val="single"/>
        </w:rPr>
      </w:pPr>
      <w:r w:rsidRPr="00FB7409">
        <w:rPr>
          <w:rFonts w:ascii="Arial" w:eastAsia="Arial" w:hAnsi="Arial" w:cs="Arial"/>
          <w:i/>
          <w:sz w:val="24"/>
          <w:szCs w:val="24"/>
          <w:u w:val="single"/>
        </w:rPr>
        <w:t>/s/ Joseph Oliker</w:t>
      </w:r>
    </w:p>
    <w:p w14:paraId="7176D312" w14:textId="5A11D0F4" w:rsidR="00545F29" w:rsidRPr="00060C1F" w:rsidRDefault="006E5083" w:rsidP="006E5083">
      <w:pPr>
        <w:spacing w:after="0" w:line="240" w:lineRule="auto"/>
        <w:ind w:left="4320" w:firstLine="720"/>
        <w:rPr>
          <w:rFonts w:ascii="Arial" w:hAnsi="Arial" w:cs="Arial"/>
          <w:sz w:val="24"/>
          <w:szCs w:val="24"/>
        </w:rPr>
      </w:pPr>
      <w:r w:rsidRPr="00060C1F">
        <w:rPr>
          <w:rFonts w:ascii="Arial" w:hAnsi="Arial" w:cs="Arial"/>
          <w:sz w:val="24"/>
          <w:szCs w:val="24"/>
        </w:rPr>
        <w:t>Joseph Oliker</w:t>
      </w:r>
    </w:p>
    <w:sectPr w:rsidR="00545F29" w:rsidRPr="00060C1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4B46" w14:textId="77777777" w:rsidR="003E170D" w:rsidRDefault="003E170D">
      <w:pPr>
        <w:spacing w:after="0" w:line="240" w:lineRule="auto"/>
      </w:pPr>
      <w:r>
        <w:separator/>
      </w:r>
    </w:p>
  </w:endnote>
  <w:endnote w:type="continuationSeparator" w:id="0">
    <w:p w14:paraId="7AA054D5" w14:textId="77777777" w:rsidR="003E170D" w:rsidRDefault="003E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9DF6" w14:textId="77777777" w:rsidR="00E51F60" w:rsidRDefault="00E51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rPr>
        <w:rFonts w:ascii="Arial" w:hAnsi="Arial" w:cs="Arial"/>
        <w:sz w:val="20"/>
        <w:szCs w:val="20"/>
      </w:rPr>
    </w:sdtEndPr>
    <w:sdtContent>
      <w:p w14:paraId="7176D32E" w14:textId="7879EB9B" w:rsidR="00CE654B" w:rsidRPr="00127783" w:rsidRDefault="00CE654B">
        <w:pPr>
          <w:pStyle w:val="Footer"/>
          <w:jc w:val="center"/>
          <w:rPr>
            <w:rFonts w:ascii="Arial" w:hAnsi="Arial" w:cs="Arial"/>
            <w:sz w:val="20"/>
            <w:szCs w:val="20"/>
          </w:rPr>
        </w:pPr>
        <w:r w:rsidRPr="00127783">
          <w:rPr>
            <w:rFonts w:ascii="Arial" w:hAnsi="Arial" w:cs="Arial"/>
            <w:sz w:val="20"/>
            <w:szCs w:val="20"/>
          </w:rPr>
          <w:fldChar w:fldCharType="begin"/>
        </w:r>
        <w:r w:rsidRPr="00127783">
          <w:rPr>
            <w:rFonts w:ascii="Arial" w:hAnsi="Arial" w:cs="Arial"/>
            <w:sz w:val="20"/>
            <w:szCs w:val="20"/>
          </w:rPr>
          <w:instrText xml:space="preserve"> PAGE   \* MERGEFORMAT </w:instrText>
        </w:r>
        <w:r w:rsidRPr="00127783">
          <w:rPr>
            <w:rFonts w:ascii="Arial" w:hAnsi="Arial" w:cs="Arial"/>
            <w:sz w:val="20"/>
            <w:szCs w:val="20"/>
          </w:rPr>
          <w:fldChar w:fldCharType="separate"/>
        </w:r>
        <w:r w:rsidR="00EA59D3">
          <w:rPr>
            <w:rFonts w:ascii="Arial" w:hAnsi="Arial" w:cs="Arial"/>
            <w:noProof/>
            <w:sz w:val="20"/>
            <w:szCs w:val="20"/>
          </w:rPr>
          <w:t>9</w:t>
        </w:r>
        <w:r w:rsidRPr="00127783">
          <w:rPr>
            <w:rFonts w:ascii="Arial" w:hAnsi="Arial" w:cs="Arial"/>
            <w:noProof/>
            <w:sz w:val="20"/>
            <w:szCs w:val="20"/>
          </w:rPr>
          <w:fldChar w:fldCharType="end"/>
        </w:r>
      </w:p>
    </w:sdtContent>
  </w:sdt>
  <w:p w14:paraId="7176D32F" w14:textId="77777777" w:rsidR="00CE654B" w:rsidRDefault="00CE6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0582" w14:textId="77777777" w:rsidR="00E51F60" w:rsidRDefault="00E5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D176A" w14:textId="77777777" w:rsidR="003E170D" w:rsidRDefault="003E170D">
      <w:pPr>
        <w:spacing w:after="0" w:line="240" w:lineRule="auto"/>
      </w:pPr>
      <w:r>
        <w:separator/>
      </w:r>
    </w:p>
  </w:footnote>
  <w:footnote w:type="continuationSeparator" w:id="0">
    <w:p w14:paraId="7CA28F96" w14:textId="77777777" w:rsidR="003E170D" w:rsidRDefault="003E170D">
      <w:pPr>
        <w:spacing w:after="0" w:line="240" w:lineRule="auto"/>
      </w:pPr>
      <w:r>
        <w:continuationSeparator/>
      </w:r>
    </w:p>
  </w:footnote>
  <w:footnote w:id="1">
    <w:p w14:paraId="019B762F" w14:textId="458AB1F6" w:rsidR="00DB4B79" w:rsidRPr="00BD74EA" w:rsidRDefault="00DB4B79" w:rsidP="00F845D4">
      <w:pPr>
        <w:pStyle w:val="FootnoteText"/>
        <w:jc w:val="both"/>
        <w:rPr>
          <w:rFonts w:ascii="Arial" w:hAnsi="Arial" w:cs="Arial"/>
        </w:rPr>
      </w:pPr>
      <w:r w:rsidRPr="00127783">
        <w:rPr>
          <w:rStyle w:val="FootnoteReference"/>
          <w:rFonts w:ascii="Arial" w:hAnsi="Arial" w:cs="Arial"/>
        </w:rPr>
        <w:footnoteRef/>
      </w:r>
      <w:r w:rsidRPr="00127783">
        <w:rPr>
          <w:rFonts w:ascii="Arial" w:hAnsi="Arial" w:cs="Arial"/>
        </w:rPr>
        <w:t xml:space="preserve"> </w:t>
      </w:r>
      <w:r w:rsidRPr="00BD74EA">
        <w:rPr>
          <w:rFonts w:ascii="Arial" w:hAnsi="Arial" w:cs="Arial"/>
        </w:rPr>
        <w:t xml:space="preserve">Objections to Staff Report of Investigation and Summary of Major Issues </w:t>
      </w:r>
      <w:r w:rsidR="00D33E10" w:rsidRPr="00BD74EA">
        <w:rPr>
          <w:rFonts w:ascii="Arial" w:hAnsi="Arial" w:cs="Arial"/>
        </w:rPr>
        <w:t>of Interstate Gas Supply, Inc. (Oct.</w:t>
      </w:r>
      <w:r w:rsidRPr="00C0210F">
        <w:rPr>
          <w:rFonts w:ascii="Arial" w:hAnsi="Arial" w:cs="Arial"/>
        </w:rPr>
        <w:t xml:space="preserve"> 26, 2017</w:t>
      </w:r>
      <w:r w:rsidR="00D33E10" w:rsidRPr="00AB3645">
        <w:rPr>
          <w:rFonts w:ascii="Arial" w:hAnsi="Arial" w:cs="Arial"/>
        </w:rPr>
        <w:t>) (hereinafter “IGS Objections”).</w:t>
      </w:r>
    </w:p>
    <w:p w14:paraId="49B10CEB" w14:textId="77777777" w:rsidR="00D33E10" w:rsidRPr="00BD74EA" w:rsidRDefault="00D33E10" w:rsidP="00F845D4">
      <w:pPr>
        <w:pStyle w:val="FootnoteText"/>
        <w:jc w:val="both"/>
        <w:rPr>
          <w:rFonts w:ascii="Arial" w:hAnsi="Arial" w:cs="Arial"/>
        </w:rPr>
      </w:pPr>
    </w:p>
  </w:footnote>
  <w:footnote w:id="2">
    <w:p w14:paraId="7CE9B509" w14:textId="444EF2FD" w:rsidR="00DB4B79" w:rsidRPr="00D33E10" w:rsidRDefault="00DB4B79" w:rsidP="00F845D4">
      <w:pPr>
        <w:pStyle w:val="FootnoteText"/>
        <w:jc w:val="both"/>
        <w:rPr>
          <w:rFonts w:ascii="Arial" w:hAnsi="Arial" w:cs="Arial"/>
        </w:rPr>
      </w:pPr>
      <w:r w:rsidRPr="00BD74EA">
        <w:rPr>
          <w:rStyle w:val="FootnoteReference"/>
          <w:rFonts w:ascii="Arial" w:hAnsi="Arial" w:cs="Arial"/>
        </w:rPr>
        <w:footnoteRef/>
      </w:r>
      <w:r w:rsidRPr="00BD74EA">
        <w:rPr>
          <w:rFonts w:ascii="Arial" w:hAnsi="Arial" w:cs="Arial"/>
        </w:rPr>
        <w:t xml:space="preserve"> </w:t>
      </w:r>
      <w:r w:rsidRPr="00BD74EA">
        <w:rPr>
          <w:rFonts w:ascii="Arial" w:hAnsi="Arial" w:cs="Arial"/>
          <w:i/>
        </w:rPr>
        <w:t>Id</w:t>
      </w:r>
      <w:r w:rsidRPr="00BD74EA">
        <w:rPr>
          <w:rFonts w:ascii="Arial" w:hAnsi="Arial" w:cs="Arial"/>
        </w:rPr>
        <w:t xml:space="preserve">. </w:t>
      </w:r>
      <w:r w:rsidR="00DB2C1F" w:rsidRPr="00BD74EA">
        <w:rPr>
          <w:rFonts w:ascii="Arial" w:hAnsi="Arial" w:cs="Arial"/>
        </w:rPr>
        <w:t>at</w:t>
      </w:r>
      <w:r w:rsidRPr="00BD74EA">
        <w:rPr>
          <w:rFonts w:ascii="Arial" w:hAnsi="Arial" w:cs="Arial"/>
        </w:rPr>
        <w:t xml:space="preserve"> 12</w:t>
      </w:r>
      <w:r w:rsidR="00850402" w:rsidRPr="00BD74EA">
        <w:rPr>
          <w:rFonts w:ascii="Arial" w:hAnsi="Arial" w:cs="Arial"/>
        </w:rPr>
        <w:t>-16</w:t>
      </w:r>
      <w:r w:rsidR="0054191F">
        <w:rPr>
          <w:rFonts w:ascii="Arial" w:hAnsi="Arial" w:cs="Arial"/>
        </w:rPr>
        <w:t xml:space="preserve"> (Objections E.1. and E.2.)</w:t>
      </w:r>
      <w:r w:rsidR="00D33E10" w:rsidRPr="00BD74EA">
        <w:rPr>
          <w:rFonts w:ascii="Arial" w:hAnsi="Arial" w:cs="Arial"/>
        </w:rPr>
        <w:t>.</w:t>
      </w:r>
    </w:p>
  </w:footnote>
  <w:footnote w:id="3">
    <w:p w14:paraId="218E1DB5" w14:textId="35713466" w:rsidR="00D33E10" w:rsidRDefault="00394379"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Pr="00D33E10">
        <w:rPr>
          <w:rFonts w:ascii="Arial" w:hAnsi="Arial" w:cs="Arial"/>
          <w:i/>
        </w:rPr>
        <w:t>Id</w:t>
      </w:r>
      <w:r w:rsidRPr="00D33E10">
        <w:rPr>
          <w:rFonts w:ascii="Arial" w:hAnsi="Arial" w:cs="Arial"/>
        </w:rPr>
        <w:t>. at 13-16</w:t>
      </w:r>
      <w:r w:rsidR="00D33E10">
        <w:rPr>
          <w:rFonts w:ascii="Arial" w:hAnsi="Arial" w:cs="Arial"/>
        </w:rPr>
        <w:t>.</w:t>
      </w:r>
      <w:r w:rsidR="000130CE">
        <w:rPr>
          <w:rFonts w:ascii="Arial" w:hAnsi="Arial" w:cs="Arial"/>
        </w:rPr>
        <w:t xml:space="preserve">  R.C. 4909.19(C) requires the Staff Report to conduct an “</w:t>
      </w:r>
      <w:r w:rsidR="000130CE" w:rsidRPr="000130CE">
        <w:rPr>
          <w:rFonts w:ascii="Arial" w:hAnsi="Arial" w:cs="Arial"/>
        </w:rPr>
        <w:t>investigation to be made of the facts set forth in said application and the exhibits attached thereto, and of the matters connected therewith.</w:t>
      </w:r>
      <w:r w:rsidR="000130CE">
        <w:rPr>
          <w:rFonts w:ascii="Arial" w:hAnsi="Arial" w:cs="Arial"/>
        </w:rPr>
        <w:t>”  IGS Objection</w:t>
      </w:r>
      <w:r w:rsidR="0054191F">
        <w:rPr>
          <w:rFonts w:ascii="Arial" w:hAnsi="Arial" w:cs="Arial"/>
        </w:rPr>
        <w:t>s</w:t>
      </w:r>
      <w:r w:rsidR="000130CE">
        <w:rPr>
          <w:rFonts w:ascii="Arial" w:hAnsi="Arial" w:cs="Arial"/>
        </w:rPr>
        <w:t xml:space="preserve"> E.1</w:t>
      </w:r>
      <w:r w:rsidR="0054191F">
        <w:rPr>
          <w:rFonts w:ascii="Arial" w:hAnsi="Arial" w:cs="Arial"/>
        </w:rPr>
        <w:t>. and E.2. relate</w:t>
      </w:r>
      <w:r w:rsidR="000130CE">
        <w:rPr>
          <w:rFonts w:ascii="Arial" w:hAnsi="Arial" w:cs="Arial"/>
        </w:rPr>
        <w:t xml:space="preserve"> to the Staff Report’s failure to adhere to these requirements.</w:t>
      </w:r>
    </w:p>
    <w:p w14:paraId="13974FBB" w14:textId="77777777" w:rsidR="000130CE" w:rsidRPr="00D33E10" w:rsidRDefault="000130CE" w:rsidP="00F845D4">
      <w:pPr>
        <w:pStyle w:val="FootnoteText"/>
        <w:jc w:val="both"/>
        <w:rPr>
          <w:rFonts w:ascii="Arial" w:hAnsi="Arial" w:cs="Arial"/>
        </w:rPr>
      </w:pPr>
    </w:p>
  </w:footnote>
  <w:footnote w:id="4">
    <w:p w14:paraId="4316A111" w14:textId="4C3FA67B" w:rsidR="00614A5D" w:rsidRDefault="00614A5D"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Motion to Strike</w:t>
      </w:r>
      <w:r w:rsidR="0070041F" w:rsidRPr="00D33E10">
        <w:rPr>
          <w:rFonts w:ascii="Arial" w:hAnsi="Arial" w:cs="Arial"/>
        </w:rPr>
        <w:t xml:space="preserve"> Objections to the PUCO Staff’</w:t>
      </w:r>
      <w:r w:rsidR="00580F3D" w:rsidRPr="00D33E10">
        <w:rPr>
          <w:rFonts w:ascii="Arial" w:hAnsi="Arial" w:cs="Arial"/>
        </w:rPr>
        <w:t>s Report of Investigation b</w:t>
      </w:r>
      <w:r w:rsidR="00A73E37" w:rsidRPr="00D33E10">
        <w:rPr>
          <w:rFonts w:ascii="Arial" w:hAnsi="Arial" w:cs="Arial"/>
        </w:rPr>
        <w:t>y The Office o</w:t>
      </w:r>
      <w:r w:rsidR="00D33E10">
        <w:rPr>
          <w:rFonts w:ascii="Arial" w:hAnsi="Arial" w:cs="Arial"/>
        </w:rPr>
        <w:t>f The Ohio Consumers’ Counsel (Nov.</w:t>
      </w:r>
      <w:r w:rsidR="0070041F" w:rsidRPr="00D33E10">
        <w:rPr>
          <w:rFonts w:ascii="Arial" w:hAnsi="Arial" w:cs="Arial"/>
        </w:rPr>
        <w:t xml:space="preserve"> 6, 2017</w:t>
      </w:r>
      <w:r w:rsidR="00D33E10">
        <w:rPr>
          <w:rFonts w:ascii="Arial" w:hAnsi="Arial" w:cs="Arial"/>
        </w:rPr>
        <w:t>) (hereinafter “Motion to Strike”).</w:t>
      </w:r>
      <w:r w:rsidR="0054191F">
        <w:rPr>
          <w:rFonts w:ascii="Arial" w:hAnsi="Arial" w:cs="Arial"/>
        </w:rPr>
        <w:t xml:space="preserve">  Although OCC does not articulate with specificity the portions of IGS’s Objections that it seeks to strike (OCC does not identify objection E.2, identifying only page 13),this memorandum contra responds as if OCC moved to strike E.1. and E.2, given that both objections addressed upgrades to the CIS.</w:t>
      </w:r>
    </w:p>
    <w:p w14:paraId="409D93F2" w14:textId="77777777" w:rsidR="00D33E10" w:rsidRPr="00D33E10" w:rsidRDefault="00D33E10" w:rsidP="00F845D4">
      <w:pPr>
        <w:pStyle w:val="FootnoteText"/>
        <w:jc w:val="both"/>
        <w:rPr>
          <w:rFonts w:ascii="Arial" w:hAnsi="Arial" w:cs="Arial"/>
        </w:rPr>
      </w:pPr>
    </w:p>
  </w:footnote>
  <w:footnote w:id="5">
    <w:p w14:paraId="792B4749" w14:textId="302871EB" w:rsidR="00DB2C1F" w:rsidRDefault="00DB2C1F"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Pr="00D33E10">
        <w:rPr>
          <w:rFonts w:ascii="Arial" w:hAnsi="Arial" w:cs="Arial"/>
          <w:i/>
        </w:rPr>
        <w:t>Id</w:t>
      </w:r>
      <w:r w:rsidR="00D33E10">
        <w:rPr>
          <w:rFonts w:ascii="Arial" w:hAnsi="Arial" w:cs="Arial"/>
        </w:rPr>
        <w:t>. a</w:t>
      </w:r>
      <w:r w:rsidRPr="00D33E10">
        <w:rPr>
          <w:rFonts w:ascii="Arial" w:hAnsi="Arial" w:cs="Arial"/>
        </w:rPr>
        <w:t>t 4</w:t>
      </w:r>
      <w:r w:rsidR="00D33E10">
        <w:rPr>
          <w:rFonts w:ascii="Arial" w:hAnsi="Arial" w:cs="Arial"/>
        </w:rPr>
        <w:t>.</w:t>
      </w:r>
    </w:p>
    <w:p w14:paraId="01FF4F47" w14:textId="77777777" w:rsidR="00D33E10" w:rsidRPr="00D33E10" w:rsidRDefault="00D33E10" w:rsidP="00F845D4">
      <w:pPr>
        <w:pStyle w:val="FootnoteText"/>
        <w:jc w:val="both"/>
        <w:rPr>
          <w:rFonts w:ascii="Arial" w:hAnsi="Arial" w:cs="Arial"/>
        </w:rPr>
      </w:pPr>
    </w:p>
  </w:footnote>
  <w:footnote w:id="6">
    <w:p w14:paraId="40C5CD72" w14:textId="55B1CE1E" w:rsidR="00580F3D" w:rsidRDefault="00580F3D"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00D33E10">
        <w:rPr>
          <w:rFonts w:ascii="Arial" w:hAnsi="Arial" w:cs="Arial"/>
        </w:rPr>
        <w:t xml:space="preserve">IGS Objections at </w:t>
      </w:r>
      <w:r w:rsidRPr="00D33E10">
        <w:rPr>
          <w:rFonts w:ascii="Arial" w:hAnsi="Arial" w:cs="Arial"/>
        </w:rPr>
        <w:t>12</w:t>
      </w:r>
      <w:r w:rsidR="00D33E10">
        <w:rPr>
          <w:rFonts w:ascii="Arial" w:hAnsi="Arial" w:cs="Arial"/>
        </w:rPr>
        <w:t>.</w:t>
      </w:r>
    </w:p>
    <w:p w14:paraId="1AA719B8" w14:textId="77777777" w:rsidR="00D33E10" w:rsidRPr="00D33E10" w:rsidRDefault="00D33E10" w:rsidP="00F845D4">
      <w:pPr>
        <w:pStyle w:val="FootnoteText"/>
        <w:jc w:val="both"/>
        <w:rPr>
          <w:rFonts w:ascii="Arial" w:hAnsi="Arial" w:cs="Arial"/>
        </w:rPr>
      </w:pPr>
    </w:p>
  </w:footnote>
  <w:footnote w:id="7">
    <w:p w14:paraId="0A148733" w14:textId="652519AE" w:rsidR="007A1112" w:rsidRPr="00D33E10" w:rsidRDefault="007A1112"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Motion to Strike</w:t>
      </w:r>
      <w:r w:rsidR="00D33E10">
        <w:rPr>
          <w:rFonts w:ascii="Arial" w:hAnsi="Arial" w:cs="Arial"/>
        </w:rPr>
        <w:t xml:space="preserve"> </w:t>
      </w:r>
      <w:r w:rsidRPr="00D33E10">
        <w:rPr>
          <w:rFonts w:ascii="Arial" w:hAnsi="Arial" w:cs="Arial"/>
        </w:rPr>
        <w:t>at 2</w:t>
      </w:r>
      <w:r w:rsidR="00D33E10">
        <w:rPr>
          <w:rFonts w:ascii="Arial" w:hAnsi="Arial" w:cs="Arial"/>
        </w:rPr>
        <w:t>.</w:t>
      </w:r>
    </w:p>
  </w:footnote>
  <w:footnote w:id="8">
    <w:p w14:paraId="7570DAA7" w14:textId="5B37ADBA" w:rsidR="00CE5079" w:rsidRDefault="00CE5079"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Pr="00D33E10">
        <w:rPr>
          <w:rFonts w:ascii="Arial" w:hAnsi="Arial" w:cs="Arial"/>
          <w:i/>
        </w:rPr>
        <w:t>Id</w:t>
      </w:r>
      <w:r w:rsidRPr="00D33E10">
        <w:rPr>
          <w:rFonts w:ascii="Arial" w:hAnsi="Arial" w:cs="Arial"/>
        </w:rPr>
        <w:t>. at 8</w:t>
      </w:r>
      <w:r w:rsidR="00251945">
        <w:rPr>
          <w:rFonts w:ascii="Arial" w:hAnsi="Arial" w:cs="Arial"/>
        </w:rPr>
        <w:t>.</w:t>
      </w:r>
    </w:p>
    <w:p w14:paraId="339AF863" w14:textId="77777777" w:rsidR="00251945" w:rsidRPr="00D33E10" w:rsidRDefault="00251945" w:rsidP="00F845D4">
      <w:pPr>
        <w:pStyle w:val="FootnoteText"/>
        <w:jc w:val="both"/>
        <w:rPr>
          <w:rFonts w:ascii="Arial" w:hAnsi="Arial" w:cs="Arial"/>
        </w:rPr>
      </w:pPr>
    </w:p>
  </w:footnote>
  <w:footnote w:id="9">
    <w:p w14:paraId="095176E1" w14:textId="3A2A0C8A" w:rsidR="00C70E4A" w:rsidRDefault="00C70E4A"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Pr="00D33E10">
        <w:rPr>
          <w:rFonts w:ascii="Arial" w:hAnsi="Arial" w:cs="Arial"/>
          <w:i/>
        </w:rPr>
        <w:t>Id</w:t>
      </w:r>
      <w:r w:rsidRPr="00D33E10">
        <w:rPr>
          <w:rFonts w:ascii="Arial" w:hAnsi="Arial" w:cs="Arial"/>
        </w:rPr>
        <w:t>.</w:t>
      </w:r>
    </w:p>
    <w:p w14:paraId="0210A884" w14:textId="77777777" w:rsidR="00251945" w:rsidRPr="00D33E10" w:rsidRDefault="00251945" w:rsidP="00F845D4">
      <w:pPr>
        <w:pStyle w:val="FootnoteText"/>
        <w:jc w:val="both"/>
        <w:rPr>
          <w:rFonts w:ascii="Arial" w:hAnsi="Arial" w:cs="Arial"/>
        </w:rPr>
      </w:pPr>
    </w:p>
  </w:footnote>
  <w:footnote w:id="10">
    <w:p w14:paraId="2681237E" w14:textId="0190191C" w:rsidR="00032BAE" w:rsidRPr="000130CE" w:rsidRDefault="00032BAE"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Pr="00D33E10">
        <w:rPr>
          <w:rFonts w:ascii="Arial" w:hAnsi="Arial" w:cs="Arial"/>
          <w:i/>
        </w:rPr>
        <w:t>In the Matter of the Application of Water and Sewer LLC for an Increase in Rates and Charges</w:t>
      </w:r>
      <w:r w:rsidRPr="00D33E10">
        <w:rPr>
          <w:rFonts w:ascii="Arial" w:hAnsi="Arial" w:cs="Arial"/>
        </w:rPr>
        <w:t>, Case No. 03-318-WS-AIR</w:t>
      </w:r>
      <w:r w:rsidR="000130CE">
        <w:rPr>
          <w:rFonts w:ascii="Arial" w:hAnsi="Arial" w:cs="Arial"/>
        </w:rPr>
        <w:t xml:space="preserve">, Entry </w:t>
      </w:r>
      <w:r w:rsidR="00F243BB" w:rsidRPr="00D33E10">
        <w:rPr>
          <w:rFonts w:ascii="Arial" w:hAnsi="Arial" w:cs="Arial"/>
        </w:rPr>
        <w:t xml:space="preserve">at </w:t>
      </w:r>
      <w:r w:rsidR="00251945">
        <w:rPr>
          <w:rFonts w:ascii="Arial" w:hAnsi="Arial" w:cs="Arial"/>
        </w:rPr>
        <w:t>2</w:t>
      </w:r>
      <w:r w:rsidR="000130CE">
        <w:rPr>
          <w:rFonts w:ascii="Arial" w:hAnsi="Arial" w:cs="Arial"/>
        </w:rPr>
        <w:t xml:space="preserve"> (Nov. 10, 2003) (hereinafter “</w:t>
      </w:r>
      <w:r w:rsidR="000130CE">
        <w:rPr>
          <w:rFonts w:ascii="Arial" w:hAnsi="Arial" w:cs="Arial"/>
          <w:i/>
        </w:rPr>
        <w:t>Water and Sewer LLC</w:t>
      </w:r>
      <w:r w:rsidR="000130CE">
        <w:rPr>
          <w:rFonts w:ascii="Arial" w:hAnsi="Arial" w:cs="Arial"/>
        </w:rPr>
        <w:t>”)</w:t>
      </w:r>
      <w:r w:rsidR="00251945">
        <w:rPr>
          <w:rFonts w:ascii="Arial" w:hAnsi="Arial" w:cs="Arial"/>
        </w:rPr>
        <w:t xml:space="preserve">.  </w:t>
      </w:r>
      <w:r w:rsidR="00251945">
        <w:rPr>
          <w:rFonts w:ascii="Arial" w:hAnsi="Arial" w:cs="Arial"/>
          <w:i/>
        </w:rPr>
        <w:t xml:space="preserve">See also </w:t>
      </w:r>
      <w:r w:rsidR="00251945" w:rsidRPr="00251945">
        <w:rPr>
          <w:rFonts w:ascii="Arial" w:hAnsi="Arial" w:cs="Arial"/>
          <w:i/>
        </w:rPr>
        <w:t>Industrial Energy Consumers v. Pub. Util. Comm</w:t>
      </w:r>
      <w:r w:rsidR="00251945" w:rsidRPr="000130CE">
        <w:rPr>
          <w:rFonts w:ascii="Arial" w:hAnsi="Arial" w:cs="Arial"/>
        </w:rPr>
        <w:t xml:space="preserve">., 63 Ohio St. 3d 551, </w:t>
      </w:r>
      <w:r w:rsidR="00251945">
        <w:rPr>
          <w:rFonts w:ascii="Arial" w:hAnsi="Arial" w:cs="Arial"/>
        </w:rPr>
        <w:t>554 (</w:t>
      </w:r>
      <w:r w:rsidR="000130CE">
        <w:rPr>
          <w:rFonts w:ascii="Arial" w:hAnsi="Arial" w:cs="Arial"/>
        </w:rPr>
        <w:t>1992).</w:t>
      </w:r>
      <w:r w:rsidR="000130CE" w:rsidRPr="000130CE">
        <w:t xml:space="preserve"> </w:t>
      </w:r>
    </w:p>
    <w:p w14:paraId="41D89285" w14:textId="77777777" w:rsidR="00251945" w:rsidRPr="00251945" w:rsidRDefault="00251945" w:rsidP="00F845D4">
      <w:pPr>
        <w:pStyle w:val="FootnoteText"/>
        <w:jc w:val="both"/>
        <w:rPr>
          <w:rFonts w:ascii="Arial" w:hAnsi="Arial" w:cs="Arial"/>
        </w:rPr>
      </w:pPr>
    </w:p>
  </w:footnote>
  <w:footnote w:id="11">
    <w:p w14:paraId="1BC83337" w14:textId="140FB762" w:rsidR="00017A97" w:rsidRPr="00D33E10" w:rsidRDefault="00017A97"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000130CE">
        <w:rPr>
          <w:rFonts w:ascii="Arial" w:hAnsi="Arial" w:cs="Arial"/>
          <w:i/>
        </w:rPr>
        <w:t>Water and Sewer LLC</w:t>
      </w:r>
      <w:r w:rsidR="000130CE">
        <w:rPr>
          <w:rFonts w:ascii="Arial" w:hAnsi="Arial" w:cs="Arial"/>
        </w:rPr>
        <w:t xml:space="preserve">, Entry </w:t>
      </w:r>
      <w:r w:rsidRPr="00D33E10">
        <w:rPr>
          <w:rFonts w:ascii="Arial" w:hAnsi="Arial" w:cs="Arial"/>
        </w:rPr>
        <w:t>at 3</w:t>
      </w:r>
      <w:r w:rsidR="000130CE">
        <w:rPr>
          <w:rFonts w:ascii="Arial" w:hAnsi="Arial" w:cs="Arial"/>
        </w:rPr>
        <w:t xml:space="preserve"> (Nov. 10, 2003).</w:t>
      </w:r>
    </w:p>
  </w:footnote>
  <w:footnote w:id="12">
    <w:p w14:paraId="57C64C75" w14:textId="435AABE8" w:rsidR="00965D61" w:rsidRDefault="00965D61" w:rsidP="00F845D4">
      <w:pPr>
        <w:pStyle w:val="FootnoteText"/>
        <w:jc w:val="both"/>
        <w:rPr>
          <w:rFonts w:ascii="Arial" w:hAnsi="Arial" w:cs="Arial"/>
        </w:rPr>
      </w:pPr>
      <w:r w:rsidRPr="00D33E10">
        <w:rPr>
          <w:rStyle w:val="FootnoteReference"/>
          <w:rFonts w:ascii="Arial" w:hAnsi="Arial" w:cs="Arial"/>
        </w:rPr>
        <w:footnoteRef/>
      </w:r>
      <w:r w:rsidR="000130CE">
        <w:rPr>
          <w:rFonts w:ascii="Arial" w:hAnsi="Arial" w:cs="Arial"/>
        </w:rPr>
        <w:t xml:space="preserve"> Motion to Strike </w:t>
      </w:r>
      <w:r w:rsidRPr="00D33E10">
        <w:rPr>
          <w:rFonts w:ascii="Arial" w:hAnsi="Arial" w:cs="Arial"/>
        </w:rPr>
        <w:t>at 3</w:t>
      </w:r>
      <w:r w:rsidR="000130CE">
        <w:rPr>
          <w:rFonts w:ascii="Arial" w:hAnsi="Arial" w:cs="Arial"/>
        </w:rPr>
        <w:t>.</w:t>
      </w:r>
    </w:p>
    <w:p w14:paraId="60554C3D" w14:textId="77777777" w:rsidR="000130CE" w:rsidRPr="00D33E10" w:rsidRDefault="000130CE" w:rsidP="00F845D4">
      <w:pPr>
        <w:pStyle w:val="FootnoteText"/>
        <w:jc w:val="both"/>
        <w:rPr>
          <w:rFonts w:ascii="Arial" w:hAnsi="Arial" w:cs="Arial"/>
        </w:rPr>
      </w:pPr>
    </w:p>
  </w:footnote>
  <w:footnote w:id="13">
    <w:p w14:paraId="70F2C769" w14:textId="1B978A23" w:rsidR="008B5076" w:rsidRPr="000130CE" w:rsidRDefault="008B5076" w:rsidP="00F845D4">
      <w:pPr>
        <w:pStyle w:val="FootnoteText"/>
        <w:jc w:val="both"/>
        <w:rPr>
          <w:rFonts w:ascii="Arial" w:hAnsi="Arial" w:cs="Arial"/>
          <w:i/>
        </w:rPr>
      </w:pPr>
      <w:r w:rsidRPr="00D33E10">
        <w:rPr>
          <w:rStyle w:val="FootnoteReference"/>
          <w:rFonts w:ascii="Arial" w:hAnsi="Arial" w:cs="Arial"/>
        </w:rPr>
        <w:footnoteRef/>
      </w:r>
      <w:r w:rsidRPr="00D33E10">
        <w:rPr>
          <w:rFonts w:ascii="Arial" w:hAnsi="Arial" w:cs="Arial"/>
        </w:rPr>
        <w:t xml:space="preserve"> </w:t>
      </w:r>
      <w:r w:rsidRPr="00D33E10">
        <w:rPr>
          <w:rFonts w:ascii="Arial" w:hAnsi="Arial" w:cs="Arial"/>
          <w:i/>
        </w:rPr>
        <w:t>See</w:t>
      </w:r>
      <w:r w:rsidR="000130CE" w:rsidRPr="000130CE">
        <w:t xml:space="preserve"> </w:t>
      </w:r>
      <w:r w:rsidR="000130CE" w:rsidRPr="000130CE">
        <w:rPr>
          <w:rFonts w:ascii="Arial" w:hAnsi="Arial" w:cs="Arial"/>
          <w:i/>
        </w:rPr>
        <w:t>In the Ma</w:t>
      </w:r>
      <w:r w:rsidR="000130CE">
        <w:rPr>
          <w:rFonts w:ascii="Arial" w:hAnsi="Arial" w:cs="Arial"/>
          <w:i/>
        </w:rPr>
        <w:t xml:space="preserve">tter of the Application of Duke </w:t>
      </w:r>
      <w:r w:rsidR="000130CE" w:rsidRPr="000130CE">
        <w:rPr>
          <w:rFonts w:ascii="Arial" w:hAnsi="Arial" w:cs="Arial"/>
          <w:i/>
        </w:rPr>
        <w:t>Energy</w:t>
      </w:r>
      <w:r w:rsidR="000130CE">
        <w:rPr>
          <w:rFonts w:ascii="Arial" w:hAnsi="Arial" w:cs="Arial"/>
          <w:i/>
        </w:rPr>
        <w:t xml:space="preserve"> Ohio, Inc. for Tariff Approval </w:t>
      </w:r>
      <w:r w:rsidR="000130CE" w:rsidRPr="000130CE">
        <w:rPr>
          <w:rFonts w:ascii="Arial" w:hAnsi="Arial" w:cs="Arial"/>
          <w:i/>
        </w:rPr>
        <w:t>Regarding Customer Energy Usage Da</w:t>
      </w:r>
      <w:r w:rsidR="000130CE">
        <w:rPr>
          <w:rFonts w:ascii="Arial" w:hAnsi="Arial" w:cs="Arial"/>
          <w:i/>
        </w:rPr>
        <w:t>ta</w:t>
      </w:r>
      <w:r w:rsidR="000130CE">
        <w:rPr>
          <w:rFonts w:ascii="Arial" w:hAnsi="Arial" w:cs="Arial"/>
        </w:rPr>
        <w:t>,</w:t>
      </w:r>
      <w:r w:rsidR="009562B3" w:rsidRPr="009562B3">
        <w:t xml:space="preserve"> </w:t>
      </w:r>
      <w:r w:rsidR="009562B3" w:rsidRPr="009562B3">
        <w:rPr>
          <w:rFonts w:ascii="Arial" w:hAnsi="Arial" w:cs="Arial"/>
        </w:rPr>
        <w:t>Case No. 14-2209-EL-ATA</w:t>
      </w:r>
      <w:r w:rsidR="009562B3">
        <w:rPr>
          <w:rFonts w:ascii="Arial" w:hAnsi="Arial" w:cs="Arial"/>
        </w:rPr>
        <w:t>,</w:t>
      </w:r>
      <w:r w:rsidRPr="00D33E10">
        <w:rPr>
          <w:rFonts w:ascii="Arial" w:hAnsi="Arial" w:cs="Arial"/>
          <w:i/>
        </w:rPr>
        <w:t xml:space="preserve"> </w:t>
      </w:r>
      <w:r w:rsidRPr="000130CE">
        <w:rPr>
          <w:rFonts w:ascii="Arial" w:hAnsi="Arial" w:cs="Arial"/>
        </w:rPr>
        <w:t>Motion to Hold the Case in Abeyance and Request for Expedited Review by the Office of the Ohio Consumers’ Counsel and Ohio Partners for Affordable Energy</w:t>
      </w:r>
      <w:r w:rsidRPr="00D33E10">
        <w:rPr>
          <w:rFonts w:ascii="Arial" w:hAnsi="Arial" w:cs="Arial"/>
        </w:rPr>
        <w:t xml:space="preserve"> at 3</w:t>
      </w:r>
      <w:r w:rsidR="009562B3">
        <w:rPr>
          <w:rFonts w:ascii="Arial" w:hAnsi="Arial" w:cs="Arial"/>
        </w:rPr>
        <w:t xml:space="preserve"> (May 3, 2017) (hereinafter referred to as “</w:t>
      </w:r>
      <w:r w:rsidR="0054191F">
        <w:rPr>
          <w:rFonts w:ascii="Arial" w:hAnsi="Arial" w:cs="Arial"/>
          <w:i/>
        </w:rPr>
        <w:t>CEUD Case</w:t>
      </w:r>
      <w:r w:rsidR="0054191F">
        <w:rPr>
          <w:rFonts w:ascii="Arial" w:hAnsi="Arial" w:cs="Arial"/>
        </w:rPr>
        <w:t>”</w:t>
      </w:r>
      <w:r w:rsidR="0054191F">
        <w:rPr>
          <w:rFonts w:ascii="Arial" w:hAnsi="Arial" w:cs="Arial"/>
          <w:i/>
        </w:rPr>
        <w:t xml:space="preserve"> </w:t>
      </w:r>
      <w:r w:rsidR="009562B3">
        <w:rPr>
          <w:rFonts w:ascii="Arial" w:hAnsi="Arial" w:cs="Arial"/>
        </w:rPr>
        <w:t xml:space="preserve">and </w:t>
      </w:r>
      <w:r w:rsidR="000130CE">
        <w:rPr>
          <w:rFonts w:ascii="Arial" w:hAnsi="Arial" w:cs="Arial"/>
        </w:rPr>
        <w:t>“Motion to Hold in Abeyance”)</w:t>
      </w:r>
      <w:r w:rsidRPr="00D33E10">
        <w:rPr>
          <w:rFonts w:ascii="Arial" w:hAnsi="Arial" w:cs="Arial"/>
        </w:rPr>
        <w:t>.</w:t>
      </w:r>
    </w:p>
  </w:footnote>
  <w:footnote w:id="14">
    <w:p w14:paraId="7D485413" w14:textId="2164A7D3" w:rsidR="00C3637A" w:rsidRDefault="00C3637A"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Motion to Strike at Footnote 9.</w:t>
      </w:r>
    </w:p>
    <w:p w14:paraId="0A8E9FF0" w14:textId="77777777" w:rsidR="009562B3" w:rsidRPr="00D33E10" w:rsidRDefault="009562B3" w:rsidP="00F845D4">
      <w:pPr>
        <w:pStyle w:val="FootnoteText"/>
        <w:jc w:val="both"/>
        <w:rPr>
          <w:rFonts w:ascii="Arial" w:hAnsi="Arial" w:cs="Arial"/>
        </w:rPr>
      </w:pPr>
    </w:p>
  </w:footnote>
  <w:footnote w:id="15">
    <w:p w14:paraId="1CA2562D" w14:textId="7C9716D3" w:rsidR="00C3637A" w:rsidRDefault="00C3637A"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Witness Hunsicker’s testimony was available for over two months when OCC requested that the</w:t>
      </w:r>
      <w:r w:rsidR="009562B3">
        <w:rPr>
          <w:rFonts w:ascii="Arial" w:hAnsi="Arial" w:cs="Arial"/>
        </w:rPr>
        <w:t xml:space="preserve"> </w:t>
      </w:r>
      <w:r w:rsidR="009562B3" w:rsidRPr="00127783">
        <w:rPr>
          <w:rFonts w:ascii="Arial" w:hAnsi="Arial" w:cs="Arial"/>
        </w:rPr>
        <w:t xml:space="preserve">Commission delay the </w:t>
      </w:r>
      <w:r w:rsidR="00B80141">
        <w:rPr>
          <w:rFonts w:ascii="Arial" w:hAnsi="Arial" w:cs="Arial"/>
          <w:i/>
        </w:rPr>
        <w:t>CEUD Case</w:t>
      </w:r>
      <w:r w:rsidR="009562B3" w:rsidRPr="00127783">
        <w:rPr>
          <w:rFonts w:ascii="Arial" w:hAnsi="Arial" w:cs="Arial"/>
        </w:rPr>
        <w:t>.</w:t>
      </w:r>
    </w:p>
    <w:p w14:paraId="2611CC41" w14:textId="77777777" w:rsidR="009562B3" w:rsidRPr="009562B3" w:rsidRDefault="009562B3" w:rsidP="00F845D4">
      <w:pPr>
        <w:pStyle w:val="FootnoteText"/>
        <w:jc w:val="both"/>
        <w:rPr>
          <w:rFonts w:ascii="Arial" w:hAnsi="Arial" w:cs="Arial"/>
        </w:rPr>
      </w:pPr>
    </w:p>
  </w:footnote>
  <w:footnote w:id="16">
    <w:p w14:paraId="09843EEF" w14:textId="78821CCF" w:rsidR="00942FF9" w:rsidRDefault="00942FF9"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Motion to Strike at 4</w:t>
      </w:r>
      <w:r w:rsidR="009562B3">
        <w:rPr>
          <w:rFonts w:ascii="Arial" w:hAnsi="Arial" w:cs="Arial"/>
        </w:rPr>
        <w:t>.</w:t>
      </w:r>
    </w:p>
    <w:p w14:paraId="3E770EDD" w14:textId="77777777" w:rsidR="009562B3" w:rsidRPr="00D33E10" w:rsidRDefault="009562B3" w:rsidP="00F845D4">
      <w:pPr>
        <w:pStyle w:val="FootnoteText"/>
        <w:jc w:val="both"/>
        <w:rPr>
          <w:rFonts w:ascii="Arial" w:hAnsi="Arial" w:cs="Arial"/>
        </w:rPr>
      </w:pPr>
    </w:p>
  </w:footnote>
  <w:footnote w:id="17">
    <w:p w14:paraId="3E64D687" w14:textId="329317FD" w:rsidR="00232C93" w:rsidRDefault="00232C93"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00B80141">
        <w:rPr>
          <w:rFonts w:ascii="Arial" w:hAnsi="Arial" w:cs="Arial"/>
          <w:i/>
        </w:rPr>
        <w:t>CEUD</w:t>
      </w:r>
      <w:r w:rsidR="009562B3">
        <w:rPr>
          <w:rFonts w:ascii="Arial" w:hAnsi="Arial" w:cs="Arial"/>
          <w:i/>
        </w:rPr>
        <w:t xml:space="preserve"> </w:t>
      </w:r>
      <w:r w:rsidR="009562B3" w:rsidRPr="009562B3">
        <w:rPr>
          <w:rFonts w:ascii="Arial" w:hAnsi="Arial" w:cs="Arial"/>
        </w:rPr>
        <w:t>Case</w:t>
      </w:r>
      <w:r w:rsidR="009562B3">
        <w:rPr>
          <w:rFonts w:ascii="Arial" w:hAnsi="Arial" w:cs="Arial"/>
        </w:rPr>
        <w:t xml:space="preserve">, </w:t>
      </w:r>
      <w:r w:rsidRPr="00D33E10">
        <w:rPr>
          <w:rFonts w:ascii="Arial" w:hAnsi="Arial" w:cs="Arial"/>
        </w:rPr>
        <w:t>Motion to Hold in Abeyance at 2 (emphasis added).</w:t>
      </w:r>
    </w:p>
    <w:p w14:paraId="1EC662C6" w14:textId="77777777" w:rsidR="009562B3" w:rsidRPr="00D33E10" w:rsidRDefault="009562B3" w:rsidP="00F845D4">
      <w:pPr>
        <w:pStyle w:val="FootnoteText"/>
        <w:jc w:val="both"/>
        <w:rPr>
          <w:rFonts w:ascii="Arial" w:hAnsi="Arial" w:cs="Arial"/>
        </w:rPr>
      </w:pPr>
    </w:p>
  </w:footnote>
  <w:footnote w:id="18">
    <w:p w14:paraId="182985A1" w14:textId="060A8AAB" w:rsidR="00232C93" w:rsidRPr="00D33E10" w:rsidRDefault="00232C93" w:rsidP="00F845D4">
      <w:pPr>
        <w:pStyle w:val="FootnoteText"/>
        <w:jc w:val="both"/>
        <w:rPr>
          <w:rFonts w:ascii="Arial" w:hAnsi="Arial" w:cs="Arial"/>
        </w:rPr>
      </w:pPr>
      <w:r w:rsidRPr="00D33E10">
        <w:rPr>
          <w:rStyle w:val="FootnoteReference"/>
          <w:rFonts w:ascii="Arial" w:hAnsi="Arial" w:cs="Arial"/>
        </w:rPr>
        <w:footnoteRef/>
      </w:r>
      <w:r w:rsidRPr="00D33E10">
        <w:rPr>
          <w:rFonts w:ascii="Arial" w:hAnsi="Arial" w:cs="Arial"/>
        </w:rPr>
        <w:t xml:space="preserve"> </w:t>
      </w:r>
      <w:r w:rsidR="009562B3">
        <w:rPr>
          <w:rFonts w:ascii="Arial" w:hAnsi="Arial" w:cs="Arial"/>
          <w:i/>
        </w:rPr>
        <w:t xml:space="preserve">Id. </w:t>
      </w:r>
      <w:r w:rsidRPr="00D33E10">
        <w:rPr>
          <w:rFonts w:ascii="Arial" w:hAnsi="Arial" w:cs="Arial"/>
        </w:rPr>
        <w:t>at 3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F07D" w14:textId="77777777" w:rsidR="00E51F60" w:rsidRDefault="00E51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F4C1" w14:textId="77777777" w:rsidR="00E51F60" w:rsidRDefault="00E51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CE654B" w:rsidRDefault="00CE654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62E7"/>
    <w:multiLevelType w:val="hybridMultilevel"/>
    <w:tmpl w:val="FB24402E"/>
    <w:lvl w:ilvl="0" w:tplc="02364310">
      <w:start w:val="1"/>
      <w:numFmt w:val="decimal"/>
      <w:lvlText w:val="(%1)"/>
      <w:lvlJc w:val="left"/>
      <w:pPr>
        <w:ind w:left="117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A667C"/>
    <w:multiLevelType w:val="hybridMultilevel"/>
    <w:tmpl w:val="40B6E02E"/>
    <w:lvl w:ilvl="0" w:tplc="79AE7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9601D"/>
    <w:multiLevelType w:val="hybridMultilevel"/>
    <w:tmpl w:val="725CD0FA"/>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02FE9"/>
    <w:multiLevelType w:val="hybridMultilevel"/>
    <w:tmpl w:val="546AD14C"/>
    <w:lvl w:ilvl="0" w:tplc="2708E3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AA67BD"/>
    <w:multiLevelType w:val="hybridMultilevel"/>
    <w:tmpl w:val="0F545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F7371B"/>
    <w:multiLevelType w:val="hybridMultilevel"/>
    <w:tmpl w:val="CC0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34FD3"/>
    <w:multiLevelType w:val="hybridMultilevel"/>
    <w:tmpl w:val="9162E3BA"/>
    <w:lvl w:ilvl="0" w:tplc="D1B46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5776"/>
    <w:multiLevelType w:val="hybridMultilevel"/>
    <w:tmpl w:val="D3062A22"/>
    <w:lvl w:ilvl="0" w:tplc="1D14F1B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55EA9"/>
    <w:multiLevelType w:val="hybridMultilevel"/>
    <w:tmpl w:val="9B0E09D6"/>
    <w:lvl w:ilvl="0" w:tplc="D5A471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3"/>
  </w:num>
  <w:num w:numId="4">
    <w:abstractNumId w:val="9"/>
  </w:num>
  <w:num w:numId="5">
    <w:abstractNumId w:val="5"/>
  </w:num>
  <w:num w:numId="6">
    <w:abstractNumId w:val="10"/>
  </w:num>
  <w:num w:numId="7">
    <w:abstractNumId w:val="3"/>
  </w:num>
  <w:num w:numId="8">
    <w:abstractNumId w:val="14"/>
  </w:num>
  <w:num w:numId="9">
    <w:abstractNumId w:val="15"/>
  </w:num>
  <w:num w:numId="10">
    <w:abstractNumId w:val="2"/>
  </w:num>
  <w:num w:numId="11">
    <w:abstractNumId w:val="7"/>
  </w:num>
  <w:num w:numId="12">
    <w:abstractNumId w:val="6"/>
  </w:num>
  <w:num w:numId="13">
    <w:abstractNumId w:val="11"/>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4E6B"/>
    <w:rsid w:val="00005033"/>
    <w:rsid w:val="000054B4"/>
    <w:rsid w:val="000130CE"/>
    <w:rsid w:val="000134CC"/>
    <w:rsid w:val="000176D8"/>
    <w:rsid w:val="00017A97"/>
    <w:rsid w:val="00032BAE"/>
    <w:rsid w:val="00042B87"/>
    <w:rsid w:val="000469CF"/>
    <w:rsid w:val="00054ADC"/>
    <w:rsid w:val="00060C1F"/>
    <w:rsid w:val="00065307"/>
    <w:rsid w:val="00091A13"/>
    <w:rsid w:val="000A045F"/>
    <w:rsid w:val="000B223F"/>
    <w:rsid w:val="000B5141"/>
    <w:rsid w:val="000B5246"/>
    <w:rsid w:val="000B70E5"/>
    <w:rsid w:val="000D2057"/>
    <w:rsid w:val="000E0403"/>
    <w:rsid w:val="000F00CC"/>
    <w:rsid w:val="001144C4"/>
    <w:rsid w:val="00121836"/>
    <w:rsid w:val="001267D8"/>
    <w:rsid w:val="00127783"/>
    <w:rsid w:val="0013316D"/>
    <w:rsid w:val="001507E5"/>
    <w:rsid w:val="001513A6"/>
    <w:rsid w:val="001660D6"/>
    <w:rsid w:val="00166A2D"/>
    <w:rsid w:val="0017028D"/>
    <w:rsid w:val="001704AC"/>
    <w:rsid w:val="00173D7E"/>
    <w:rsid w:val="001A127E"/>
    <w:rsid w:val="001A327D"/>
    <w:rsid w:val="001A61A9"/>
    <w:rsid w:val="001B1912"/>
    <w:rsid w:val="001E7587"/>
    <w:rsid w:val="00227C04"/>
    <w:rsid w:val="00231B62"/>
    <w:rsid w:val="00232C93"/>
    <w:rsid w:val="00237730"/>
    <w:rsid w:val="002410B3"/>
    <w:rsid w:val="00244AA3"/>
    <w:rsid w:val="00251945"/>
    <w:rsid w:val="0025719F"/>
    <w:rsid w:val="0026046D"/>
    <w:rsid w:val="002610E3"/>
    <w:rsid w:val="00280A2E"/>
    <w:rsid w:val="00295125"/>
    <w:rsid w:val="002E2896"/>
    <w:rsid w:val="002F05DC"/>
    <w:rsid w:val="002F1329"/>
    <w:rsid w:val="003005D8"/>
    <w:rsid w:val="0030156F"/>
    <w:rsid w:val="00307D81"/>
    <w:rsid w:val="00313FE5"/>
    <w:rsid w:val="00314A32"/>
    <w:rsid w:val="00332D28"/>
    <w:rsid w:val="00335A4A"/>
    <w:rsid w:val="00347D69"/>
    <w:rsid w:val="00355B90"/>
    <w:rsid w:val="00360E99"/>
    <w:rsid w:val="00364832"/>
    <w:rsid w:val="00394379"/>
    <w:rsid w:val="003963BC"/>
    <w:rsid w:val="003A08BA"/>
    <w:rsid w:val="003A51CC"/>
    <w:rsid w:val="003A7774"/>
    <w:rsid w:val="003D01DA"/>
    <w:rsid w:val="003D1EB6"/>
    <w:rsid w:val="003D6622"/>
    <w:rsid w:val="003E170D"/>
    <w:rsid w:val="0040267C"/>
    <w:rsid w:val="00405979"/>
    <w:rsid w:val="00413918"/>
    <w:rsid w:val="00413EE0"/>
    <w:rsid w:val="00421792"/>
    <w:rsid w:val="004417DE"/>
    <w:rsid w:val="00446914"/>
    <w:rsid w:val="00474257"/>
    <w:rsid w:val="00483963"/>
    <w:rsid w:val="00486FF1"/>
    <w:rsid w:val="00492AD6"/>
    <w:rsid w:val="004A51B4"/>
    <w:rsid w:val="004B061E"/>
    <w:rsid w:val="004B7E09"/>
    <w:rsid w:val="004D2533"/>
    <w:rsid w:val="004D5629"/>
    <w:rsid w:val="004D5FAA"/>
    <w:rsid w:val="004D65EC"/>
    <w:rsid w:val="004E70B2"/>
    <w:rsid w:val="004F0D2F"/>
    <w:rsid w:val="004F2E86"/>
    <w:rsid w:val="005139B4"/>
    <w:rsid w:val="0052310A"/>
    <w:rsid w:val="00526ADC"/>
    <w:rsid w:val="0054191F"/>
    <w:rsid w:val="00542A3B"/>
    <w:rsid w:val="00544336"/>
    <w:rsid w:val="00545F29"/>
    <w:rsid w:val="00550FBC"/>
    <w:rsid w:val="00551BAD"/>
    <w:rsid w:val="0055339D"/>
    <w:rsid w:val="00554C89"/>
    <w:rsid w:val="0056270F"/>
    <w:rsid w:val="00571CC0"/>
    <w:rsid w:val="00577375"/>
    <w:rsid w:val="0057737B"/>
    <w:rsid w:val="005809B7"/>
    <w:rsid w:val="00580F3D"/>
    <w:rsid w:val="00587FD5"/>
    <w:rsid w:val="00593487"/>
    <w:rsid w:val="005948BC"/>
    <w:rsid w:val="005A0BD9"/>
    <w:rsid w:val="005B34D0"/>
    <w:rsid w:val="005B37CC"/>
    <w:rsid w:val="005B5CAF"/>
    <w:rsid w:val="005B63F0"/>
    <w:rsid w:val="005E5012"/>
    <w:rsid w:val="005F25EB"/>
    <w:rsid w:val="005F3574"/>
    <w:rsid w:val="005F44B7"/>
    <w:rsid w:val="00613140"/>
    <w:rsid w:val="0061450C"/>
    <w:rsid w:val="00614A5D"/>
    <w:rsid w:val="00623213"/>
    <w:rsid w:val="00630DDE"/>
    <w:rsid w:val="006406C1"/>
    <w:rsid w:val="00643FB2"/>
    <w:rsid w:val="00645F8B"/>
    <w:rsid w:val="00665B61"/>
    <w:rsid w:val="006860E6"/>
    <w:rsid w:val="006930E8"/>
    <w:rsid w:val="006C1C40"/>
    <w:rsid w:val="006C4EEB"/>
    <w:rsid w:val="006D25E7"/>
    <w:rsid w:val="006E5083"/>
    <w:rsid w:val="00700210"/>
    <w:rsid w:val="0070041F"/>
    <w:rsid w:val="0071088A"/>
    <w:rsid w:val="007171AA"/>
    <w:rsid w:val="007233DD"/>
    <w:rsid w:val="00734998"/>
    <w:rsid w:val="00762110"/>
    <w:rsid w:val="00785B62"/>
    <w:rsid w:val="00785F0D"/>
    <w:rsid w:val="0078764E"/>
    <w:rsid w:val="00795C25"/>
    <w:rsid w:val="00796ADC"/>
    <w:rsid w:val="007A0222"/>
    <w:rsid w:val="007A1112"/>
    <w:rsid w:val="007A5C5A"/>
    <w:rsid w:val="007A7F57"/>
    <w:rsid w:val="007B3399"/>
    <w:rsid w:val="007B7D38"/>
    <w:rsid w:val="007C0F96"/>
    <w:rsid w:val="007C4910"/>
    <w:rsid w:val="007D11D2"/>
    <w:rsid w:val="007D2210"/>
    <w:rsid w:val="007F1373"/>
    <w:rsid w:val="008044DE"/>
    <w:rsid w:val="00813BFB"/>
    <w:rsid w:val="008148E8"/>
    <w:rsid w:val="0082422E"/>
    <w:rsid w:val="00824A9B"/>
    <w:rsid w:val="0082522C"/>
    <w:rsid w:val="00831E75"/>
    <w:rsid w:val="00832866"/>
    <w:rsid w:val="008361FD"/>
    <w:rsid w:val="00850402"/>
    <w:rsid w:val="00861A12"/>
    <w:rsid w:val="0087388C"/>
    <w:rsid w:val="00887174"/>
    <w:rsid w:val="00893213"/>
    <w:rsid w:val="00897C15"/>
    <w:rsid w:val="008A1275"/>
    <w:rsid w:val="008A2C5B"/>
    <w:rsid w:val="008A46BC"/>
    <w:rsid w:val="008A6CA9"/>
    <w:rsid w:val="008B14A1"/>
    <w:rsid w:val="008B2E8D"/>
    <w:rsid w:val="008B5076"/>
    <w:rsid w:val="008C1FD0"/>
    <w:rsid w:val="008C40A6"/>
    <w:rsid w:val="008C45A7"/>
    <w:rsid w:val="008C7097"/>
    <w:rsid w:val="008D33F3"/>
    <w:rsid w:val="008E20CA"/>
    <w:rsid w:val="00914144"/>
    <w:rsid w:val="0091455E"/>
    <w:rsid w:val="00942FF9"/>
    <w:rsid w:val="00946BC1"/>
    <w:rsid w:val="00953619"/>
    <w:rsid w:val="00955F86"/>
    <w:rsid w:val="009562B3"/>
    <w:rsid w:val="00961ABF"/>
    <w:rsid w:val="009631C9"/>
    <w:rsid w:val="00965D61"/>
    <w:rsid w:val="009726CF"/>
    <w:rsid w:val="00972956"/>
    <w:rsid w:val="00976674"/>
    <w:rsid w:val="00976CF5"/>
    <w:rsid w:val="0098338B"/>
    <w:rsid w:val="00983BD2"/>
    <w:rsid w:val="0098755F"/>
    <w:rsid w:val="009B3BB3"/>
    <w:rsid w:val="009B4EBD"/>
    <w:rsid w:val="009B71AA"/>
    <w:rsid w:val="009D15D9"/>
    <w:rsid w:val="009D1C4B"/>
    <w:rsid w:val="009D39EE"/>
    <w:rsid w:val="009D40E0"/>
    <w:rsid w:val="009D5434"/>
    <w:rsid w:val="009D6A6E"/>
    <w:rsid w:val="009D71F6"/>
    <w:rsid w:val="009F4632"/>
    <w:rsid w:val="009F6674"/>
    <w:rsid w:val="00A067A6"/>
    <w:rsid w:val="00A2549D"/>
    <w:rsid w:val="00A25C42"/>
    <w:rsid w:val="00A32433"/>
    <w:rsid w:val="00A61B99"/>
    <w:rsid w:val="00A71E20"/>
    <w:rsid w:val="00A73E37"/>
    <w:rsid w:val="00A75711"/>
    <w:rsid w:val="00A75F7D"/>
    <w:rsid w:val="00A834D8"/>
    <w:rsid w:val="00A91BE0"/>
    <w:rsid w:val="00A940AD"/>
    <w:rsid w:val="00AA4D15"/>
    <w:rsid w:val="00AA5352"/>
    <w:rsid w:val="00AA75B4"/>
    <w:rsid w:val="00AB3645"/>
    <w:rsid w:val="00AC1CAA"/>
    <w:rsid w:val="00AD5E1E"/>
    <w:rsid w:val="00AE1FDC"/>
    <w:rsid w:val="00AE57B1"/>
    <w:rsid w:val="00AE71A9"/>
    <w:rsid w:val="00AF7730"/>
    <w:rsid w:val="00B270B3"/>
    <w:rsid w:val="00B368F6"/>
    <w:rsid w:val="00B552D9"/>
    <w:rsid w:val="00B66363"/>
    <w:rsid w:val="00B727CC"/>
    <w:rsid w:val="00B80141"/>
    <w:rsid w:val="00B8090E"/>
    <w:rsid w:val="00B82DA1"/>
    <w:rsid w:val="00B91B4E"/>
    <w:rsid w:val="00B92A76"/>
    <w:rsid w:val="00BA162D"/>
    <w:rsid w:val="00BA6835"/>
    <w:rsid w:val="00BB088F"/>
    <w:rsid w:val="00BD74EA"/>
    <w:rsid w:val="00BE366E"/>
    <w:rsid w:val="00BE3B88"/>
    <w:rsid w:val="00BF020B"/>
    <w:rsid w:val="00BF3E58"/>
    <w:rsid w:val="00BF505A"/>
    <w:rsid w:val="00C0210F"/>
    <w:rsid w:val="00C02EFC"/>
    <w:rsid w:val="00C20F96"/>
    <w:rsid w:val="00C3637A"/>
    <w:rsid w:val="00C37789"/>
    <w:rsid w:val="00C51B26"/>
    <w:rsid w:val="00C63BA4"/>
    <w:rsid w:val="00C70E4A"/>
    <w:rsid w:val="00C81C96"/>
    <w:rsid w:val="00C84BD1"/>
    <w:rsid w:val="00C91B0D"/>
    <w:rsid w:val="00CA6E41"/>
    <w:rsid w:val="00CD1784"/>
    <w:rsid w:val="00CE5079"/>
    <w:rsid w:val="00CE654B"/>
    <w:rsid w:val="00D13280"/>
    <w:rsid w:val="00D32605"/>
    <w:rsid w:val="00D33E10"/>
    <w:rsid w:val="00D357A3"/>
    <w:rsid w:val="00D51948"/>
    <w:rsid w:val="00D57E21"/>
    <w:rsid w:val="00D60915"/>
    <w:rsid w:val="00D77989"/>
    <w:rsid w:val="00D86DE5"/>
    <w:rsid w:val="00D926B6"/>
    <w:rsid w:val="00DA5950"/>
    <w:rsid w:val="00DA59AA"/>
    <w:rsid w:val="00DA7931"/>
    <w:rsid w:val="00DB2C1F"/>
    <w:rsid w:val="00DB4B79"/>
    <w:rsid w:val="00DC699C"/>
    <w:rsid w:val="00DD2A51"/>
    <w:rsid w:val="00DE4973"/>
    <w:rsid w:val="00E04E5F"/>
    <w:rsid w:val="00E214E9"/>
    <w:rsid w:val="00E405C1"/>
    <w:rsid w:val="00E46AFA"/>
    <w:rsid w:val="00E508F1"/>
    <w:rsid w:val="00E51F60"/>
    <w:rsid w:val="00E55133"/>
    <w:rsid w:val="00E67980"/>
    <w:rsid w:val="00E802C2"/>
    <w:rsid w:val="00E834BE"/>
    <w:rsid w:val="00E866C3"/>
    <w:rsid w:val="00E86999"/>
    <w:rsid w:val="00E9019F"/>
    <w:rsid w:val="00E9359B"/>
    <w:rsid w:val="00E93D1C"/>
    <w:rsid w:val="00EA0431"/>
    <w:rsid w:val="00EA0C60"/>
    <w:rsid w:val="00EA59D3"/>
    <w:rsid w:val="00EC019F"/>
    <w:rsid w:val="00ED1193"/>
    <w:rsid w:val="00ED277E"/>
    <w:rsid w:val="00EE0C04"/>
    <w:rsid w:val="00F10F9B"/>
    <w:rsid w:val="00F111C7"/>
    <w:rsid w:val="00F2285A"/>
    <w:rsid w:val="00F22F39"/>
    <w:rsid w:val="00F24087"/>
    <w:rsid w:val="00F243BB"/>
    <w:rsid w:val="00F26BDE"/>
    <w:rsid w:val="00F5720A"/>
    <w:rsid w:val="00F70ACF"/>
    <w:rsid w:val="00F828DC"/>
    <w:rsid w:val="00F845D4"/>
    <w:rsid w:val="00F96AFB"/>
    <w:rsid w:val="00F97A8C"/>
    <w:rsid w:val="00FA2C78"/>
    <w:rsid w:val="00FA4A29"/>
    <w:rsid w:val="00FA7136"/>
    <w:rsid w:val="00FB34B7"/>
    <w:rsid w:val="00FB38D5"/>
    <w:rsid w:val="00FB7409"/>
    <w:rsid w:val="00FC22EE"/>
    <w:rsid w:val="00FC4227"/>
    <w:rsid w:val="00FE0D23"/>
    <w:rsid w:val="00FE125F"/>
    <w:rsid w:val="00FE2DE0"/>
    <w:rsid w:val="00FE5EB4"/>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
    <w:name w:val="Body Text"/>
    <w:basedOn w:val="Normal"/>
    <w:link w:val="BodyTextChar"/>
    <w:uiPriority w:val="99"/>
    <w:semiHidden/>
    <w:unhideWhenUsed/>
    <w:rsid w:val="00824A9B"/>
    <w:pPr>
      <w:spacing w:after="120"/>
    </w:pPr>
  </w:style>
  <w:style w:type="character" w:customStyle="1" w:styleId="BodyTextChar">
    <w:name w:val="Body Text Char"/>
    <w:basedOn w:val="DefaultParagraphFont"/>
    <w:link w:val="BodyText"/>
    <w:uiPriority w:val="99"/>
    <w:semiHidden/>
    <w:rsid w:val="00824A9B"/>
  </w:style>
  <w:style w:type="paragraph" w:customStyle="1" w:styleId="Level1">
    <w:name w:val="Level 1"/>
    <w:basedOn w:val="TOC1"/>
    <w:link w:val="Level1Char"/>
    <w:qFormat/>
    <w:rsid w:val="005948BC"/>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5948BC"/>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5948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356734965">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893542688">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133842048">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976880053">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4624084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Christopher.Healey@occ.ohio.gov" TargetMode="External"/><Relationship Id="rId18" Type="http://schemas.openxmlformats.org/officeDocument/2006/relationships/hyperlink" Target="mailto:glover@whitt-sturtevant.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parram@bricker.com" TargetMode="External"/><Relationship Id="rId7" Type="http://schemas.openxmlformats.org/officeDocument/2006/relationships/endnotes" Target="endnotes.xml"/><Relationship Id="rId12" Type="http://schemas.openxmlformats.org/officeDocument/2006/relationships/hyperlink" Target="mailto:William.Michael@occ.ohio.gov" TargetMode="External"/><Relationship Id="rId17" Type="http://schemas.openxmlformats.org/officeDocument/2006/relationships/hyperlink" Target="mailto:campbell@whitt-sturtevant.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williams@nrdc.org" TargetMode="External"/><Relationship Id="rId20" Type="http://schemas.openxmlformats.org/officeDocument/2006/relationships/hyperlink" Target="mailto:dborchers@bricker.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carpenterlipps.com" TargetMode="External"/><Relationship Id="rId24" Type="http://schemas.openxmlformats.org/officeDocument/2006/relationships/hyperlink" Target="mailto:glpetrucci@vory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newman@environlaw.com" TargetMode="External"/><Relationship Id="rId23" Type="http://schemas.openxmlformats.org/officeDocument/2006/relationships/hyperlink" Target="mailto:mleppla@theoec.org" TargetMode="External"/><Relationship Id="rId28" Type="http://schemas.openxmlformats.org/officeDocument/2006/relationships/footer" Target="footer2.xml"/><Relationship Id="rId10" Type="http://schemas.openxmlformats.org/officeDocument/2006/relationships/hyperlink" Target="mailto:mfleisher@elpc.org" TargetMode="External"/><Relationship Id="rId19" Type="http://schemas.openxmlformats.org/officeDocument/2006/relationships/hyperlink" Target="mailto:tdougherty@theoec.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yperlink" Target="mailto:daltman@environlaw.com" TargetMode="External"/><Relationship Id="rId22" Type="http://schemas.openxmlformats.org/officeDocument/2006/relationships/hyperlink" Target="mailto:dboehm@bkllawfirm.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4CFA-976D-4670-8D7A-89AC44F7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1852</Words>
  <Characters>10520</Characters>
  <Application>Microsoft Office Word</Application>
  <DocSecurity>0</DocSecurity>
  <Lines>300</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2017-11-13T22:00:00Z</dcterms:created>
  <dcterms:modified xsi:type="dcterms:W3CDTF">2017-11-13T22:03:00Z</dcterms:modified>
</cp:coreProperties>
</file>