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D1" w:rsidRDefault="00EB02D1" w:rsidP="00EB02D1">
      <w:pPr>
        <w:pStyle w:val="HTMLPreformatted"/>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BEFORE</w:t>
      </w:r>
    </w:p>
    <w:p w:rsidR="00EB02D1" w:rsidRDefault="00EB02D1" w:rsidP="00EB02D1">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THE PUBLIC UTILITIES COMMISSION OF OHIO</w:t>
      </w:r>
    </w:p>
    <w:p w:rsidR="005F3267" w:rsidRDefault="005F3267" w:rsidP="005F3267">
      <w:pPr>
        <w:pStyle w:val="HTMLPreformatted"/>
        <w:ind w:firstLine="720"/>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5F3267" w:rsidTr="00E332DE">
        <w:trPr>
          <w:trHeight w:val="807"/>
        </w:trPr>
        <w:tc>
          <w:tcPr>
            <w:tcW w:w="4332" w:type="dxa"/>
            <w:shd w:val="clear" w:color="auto" w:fill="auto"/>
          </w:tcPr>
          <w:p w:rsidR="005F3267" w:rsidRPr="00E27849" w:rsidRDefault="005F3267" w:rsidP="00E332DE">
            <w:pPr>
              <w:pStyle w:val="HTMLPreformatted"/>
              <w:rPr>
                <w:rFonts w:ascii="Times New Roman" w:hAnsi="Times New Roman"/>
                <w:sz w:val="24"/>
                <w:szCs w:val="24"/>
              </w:rPr>
            </w:pPr>
            <w:r w:rsidRPr="00E27849">
              <w:rPr>
                <w:rFonts w:ascii="Times New Roman" w:hAnsi="Times New Roman" w:cs="Times New Roman"/>
                <w:sz w:val="24"/>
                <w:szCs w:val="24"/>
              </w:rPr>
              <w:t xml:space="preserve">In the Matter of the </w:t>
            </w:r>
            <w:r w:rsidR="00AD7B8A">
              <w:rPr>
                <w:rFonts w:ascii="Times New Roman" w:hAnsi="Times New Roman" w:cs="Times New Roman"/>
                <w:sz w:val="24"/>
                <w:szCs w:val="24"/>
              </w:rPr>
              <w:t xml:space="preserve">Review of the </w:t>
            </w:r>
            <w:r w:rsidRPr="00E27849">
              <w:rPr>
                <w:rFonts w:ascii="Times New Roman" w:hAnsi="Times New Roman" w:cs="Times New Roman"/>
                <w:sz w:val="24"/>
                <w:szCs w:val="24"/>
              </w:rPr>
              <w:t xml:space="preserve">Distribution  Investment Rider Contained in the Tariffs of Ohio Power Company. </w:t>
            </w:r>
          </w:p>
        </w:tc>
        <w:tc>
          <w:tcPr>
            <w:tcW w:w="360" w:type="dxa"/>
            <w:shd w:val="clear" w:color="auto" w:fill="auto"/>
          </w:tcPr>
          <w:p w:rsidR="005F3267" w:rsidRPr="00E27849" w:rsidRDefault="005F3267" w:rsidP="00E332DE">
            <w:pPr>
              <w:pStyle w:val="HTMLPreformatted"/>
              <w:rPr>
                <w:rFonts w:ascii="Times New Roman" w:hAnsi="Times New Roman"/>
                <w:sz w:val="24"/>
              </w:rPr>
            </w:pPr>
            <w:r w:rsidRPr="00E27849">
              <w:rPr>
                <w:rFonts w:ascii="Times New Roman" w:hAnsi="Times New Roman"/>
                <w:sz w:val="24"/>
              </w:rPr>
              <w:t>)</w:t>
            </w:r>
          </w:p>
          <w:p w:rsidR="005F3267" w:rsidRPr="00E27849" w:rsidRDefault="005F3267" w:rsidP="00E332DE">
            <w:pPr>
              <w:pStyle w:val="HTMLPreformatted"/>
              <w:rPr>
                <w:rFonts w:ascii="Times New Roman" w:hAnsi="Times New Roman"/>
                <w:sz w:val="24"/>
              </w:rPr>
            </w:pPr>
            <w:r w:rsidRPr="00E27849">
              <w:rPr>
                <w:rFonts w:ascii="Times New Roman" w:hAnsi="Times New Roman"/>
                <w:sz w:val="24"/>
              </w:rPr>
              <w:t>)</w:t>
            </w:r>
          </w:p>
          <w:p w:rsidR="005F3267" w:rsidRPr="00E27849" w:rsidRDefault="005F3267" w:rsidP="00E332DE">
            <w:pPr>
              <w:pStyle w:val="HTMLPreformatted"/>
              <w:rPr>
                <w:rFonts w:ascii="Times New Roman" w:hAnsi="Times New Roman"/>
                <w:sz w:val="24"/>
              </w:rPr>
            </w:pPr>
            <w:r w:rsidRPr="00E27849">
              <w:rPr>
                <w:rFonts w:ascii="Times New Roman" w:hAnsi="Times New Roman"/>
                <w:sz w:val="24"/>
              </w:rPr>
              <w:t>)</w:t>
            </w:r>
          </w:p>
        </w:tc>
        <w:tc>
          <w:tcPr>
            <w:tcW w:w="4400" w:type="dxa"/>
            <w:shd w:val="clear" w:color="auto" w:fill="auto"/>
          </w:tcPr>
          <w:p w:rsidR="005F3267" w:rsidRPr="00E27849" w:rsidRDefault="005F3267" w:rsidP="00E332DE">
            <w:pPr>
              <w:pStyle w:val="HTMLPreformatted"/>
              <w:rPr>
                <w:rFonts w:ascii="Times New Roman" w:hAnsi="Times New Roman"/>
                <w:sz w:val="24"/>
              </w:rPr>
            </w:pPr>
          </w:p>
          <w:p w:rsidR="005F3267" w:rsidRPr="00E27849" w:rsidRDefault="005F3267" w:rsidP="00E332DE">
            <w:pPr>
              <w:pStyle w:val="HTMLPreformatted"/>
              <w:rPr>
                <w:rFonts w:ascii="Times New Roman" w:hAnsi="Times New Roman"/>
                <w:sz w:val="24"/>
              </w:rPr>
            </w:pPr>
            <w:r w:rsidRPr="00E27849">
              <w:rPr>
                <w:rFonts w:ascii="Times New Roman" w:hAnsi="Times New Roman"/>
                <w:sz w:val="24"/>
              </w:rPr>
              <w:t xml:space="preserve">Case No. </w:t>
            </w:r>
            <w:r w:rsidR="007B7A4D">
              <w:rPr>
                <w:rFonts w:ascii="Times New Roman" w:hAnsi="Times New Roman"/>
                <w:sz w:val="24"/>
              </w:rPr>
              <w:t>13-</w:t>
            </w:r>
            <w:r w:rsidRPr="00E27849">
              <w:rPr>
                <w:rFonts w:ascii="Times New Roman" w:hAnsi="Times New Roman"/>
                <w:sz w:val="24"/>
              </w:rPr>
              <w:t>419-EL-RDR</w:t>
            </w:r>
          </w:p>
          <w:p w:rsidR="005F3267" w:rsidRPr="00E27849" w:rsidRDefault="005F3267" w:rsidP="00E332DE">
            <w:pPr>
              <w:pStyle w:val="HTMLPreformatted"/>
              <w:rPr>
                <w:rFonts w:ascii="Times New Roman" w:hAnsi="Times New Roman"/>
                <w:sz w:val="24"/>
              </w:rPr>
            </w:pPr>
          </w:p>
        </w:tc>
      </w:tr>
    </w:tbl>
    <w:p w:rsidR="00EB02D1" w:rsidRDefault="00EB02D1" w:rsidP="00EB02D1">
      <w:pPr>
        <w:pBdr>
          <w:bottom w:val="single" w:sz="12" w:space="1" w:color="auto"/>
        </w:pBdr>
      </w:pPr>
    </w:p>
    <w:p w:rsidR="00EB02D1" w:rsidRDefault="00EB02D1" w:rsidP="00EB02D1"/>
    <w:p w:rsidR="005F3267" w:rsidRDefault="00EB02D1" w:rsidP="005F3267">
      <w:pPr>
        <w:jc w:val="center"/>
        <w:rPr>
          <w:b/>
          <w:bCs/>
        </w:rPr>
      </w:pPr>
      <w:r>
        <w:rPr>
          <w:b/>
          <w:bCs/>
        </w:rPr>
        <w:t>COMMENTS</w:t>
      </w:r>
      <w:r w:rsidR="00C04040" w:rsidRPr="00C04040">
        <w:rPr>
          <w:b/>
          <w:bCs/>
        </w:rPr>
        <w:t xml:space="preserve"> </w:t>
      </w:r>
    </w:p>
    <w:p w:rsidR="00EB02D1" w:rsidRDefault="00EB02D1" w:rsidP="00EB02D1">
      <w:pPr>
        <w:jc w:val="center"/>
        <w:rPr>
          <w:b/>
          <w:bCs/>
        </w:rPr>
      </w:pPr>
      <w:r>
        <w:rPr>
          <w:b/>
          <w:bCs/>
        </w:rPr>
        <w:t>BY</w:t>
      </w:r>
    </w:p>
    <w:p w:rsidR="00EB02D1" w:rsidRDefault="00EB02D1" w:rsidP="00EB02D1">
      <w:pPr>
        <w:jc w:val="center"/>
        <w:rPr>
          <w:b/>
          <w:bCs/>
        </w:rPr>
      </w:pPr>
      <w:r>
        <w:rPr>
          <w:b/>
          <w:bCs/>
        </w:rPr>
        <w:t>THE OFFICE OF THE OHIO CONSUMERS’ COUNSEL</w:t>
      </w:r>
    </w:p>
    <w:p w:rsidR="00EB02D1" w:rsidRDefault="00EB02D1" w:rsidP="00EB02D1">
      <w:pPr>
        <w:pBdr>
          <w:bottom w:val="single" w:sz="12" w:space="1" w:color="auto"/>
        </w:pBdr>
        <w:jc w:val="center"/>
        <w:rPr>
          <w:b/>
          <w:bCs/>
        </w:rPr>
      </w:pPr>
    </w:p>
    <w:p w:rsidR="00EB02D1" w:rsidRDefault="00EB02D1" w:rsidP="00EB02D1"/>
    <w:p w:rsidR="00EB02D1" w:rsidRDefault="00EB02D1">
      <w:pPr>
        <w:pStyle w:val="HTMLPreformatted"/>
        <w:jc w:val="center"/>
        <w:rPr>
          <w:rFonts w:ascii="Times New Roman" w:hAnsi="Times New Roman" w:cs="Times New Roman"/>
          <w:b/>
          <w:bCs/>
          <w:sz w:val="24"/>
          <w:szCs w:val="24"/>
        </w:rPr>
      </w:pPr>
    </w:p>
    <w:p w:rsidR="00EB02D1" w:rsidRDefault="00EB02D1">
      <w:pPr>
        <w:pStyle w:val="HTMLPreformatted"/>
        <w:jc w:val="center"/>
        <w:rPr>
          <w:rFonts w:ascii="Times New Roman" w:hAnsi="Times New Roman" w:cs="Times New Roman"/>
          <w:b/>
          <w:bCs/>
          <w:sz w:val="24"/>
          <w:szCs w:val="24"/>
        </w:rPr>
      </w:pPr>
    </w:p>
    <w:p w:rsidR="00EB02D1" w:rsidRDefault="00EB02D1">
      <w:pPr>
        <w:pStyle w:val="HTMLPreformatted"/>
        <w:jc w:val="center"/>
        <w:rPr>
          <w:rFonts w:ascii="Times New Roman" w:hAnsi="Times New Roman" w:cs="Times New Roman"/>
          <w:b/>
          <w:bCs/>
          <w:sz w:val="24"/>
          <w:szCs w:val="24"/>
        </w:rPr>
      </w:pPr>
    </w:p>
    <w:p w:rsidR="00EB02D1" w:rsidRDefault="00EB02D1">
      <w:pPr>
        <w:pStyle w:val="HTMLPreformatted"/>
        <w:jc w:val="center"/>
        <w:rPr>
          <w:rFonts w:ascii="Times New Roman" w:hAnsi="Times New Roman" w:cs="Times New Roman"/>
          <w:b/>
          <w:bCs/>
          <w:sz w:val="24"/>
          <w:szCs w:val="24"/>
        </w:rPr>
      </w:pPr>
    </w:p>
    <w:p w:rsidR="005F3267" w:rsidRDefault="005F3267"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5F3267" w:rsidRDefault="005F3267"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5F3267" w:rsidRDefault="005F3267"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5F3267" w:rsidRDefault="005F3267"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EB02D1" w:rsidRDefault="00EB02D1" w:rsidP="00EB02D1">
      <w:pPr>
        <w:pStyle w:val="InsideAddress"/>
        <w:tabs>
          <w:tab w:val="left" w:pos="4230"/>
          <w:tab w:val="left" w:pos="4320"/>
        </w:tabs>
        <w:autoSpaceDE w:val="0"/>
        <w:autoSpaceDN w:val="0"/>
        <w:adjustRightInd w:val="0"/>
        <w:ind w:left="4320"/>
        <w:rPr>
          <w:rFonts w:ascii="Times New Roman" w:hAnsi="Times New Roman" w:cs="Times New Roman"/>
        </w:rPr>
      </w:pPr>
      <w:r>
        <w:rPr>
          <w:rFonts w:ascii="Times New Roman" w:hAnsi="Times New Roman" w:cs="Times New Roman"/>
        </w:rPr>
        <w:t>BRUCE J. WESTON</w:t>
      </w:r>
    </w:p>
    <w:p w:rsidR="00EB02D1" w:rsidRDefault="00EB02D1" w:rsidP="00EB02D1">
      <w:pPr>
        <w:pStyle w:val="Footer"/>
        <w:tabs>
          <w:tab w:val="clear" w:pos="4320"/>
          <w:tab w:val="clear" w:pos="8640"/>
        </w:tabs>
        <w:autoSpaceDE w:val="0"/>
        <w:autoSpaceDN w:val="0"/>
        <w:adjustRightInd w:val="0"/>
        <w:ind w:left="4320"/>
      </w:pPr>
      <w:r>
        <w:t>OHIO CONSUMERS’ COUNSEL</w:t>
      </w:r>
    </w:p>
    <w:p w:rsidR="00EB02D1" w:rsidRDefault="00EB02D1" w:rsidP="00EB02D1">
      <w:pPr>
        <w:tabs>
          <w:tab w:val="left" w:pos="4230"/>
          <w:tab w:val="left" w:pos="4320"/>
        </w:tabs>
        <w:ind w:left="4320"/>
      </w:pPr>
    </w:p>
    <w:p w:rsidR="005F3267" w:rsidRDefault="005F3267" w:rsidP="005F3267">
      <w:pPr>
        <w:tabs>
          <w:tab w:val="left" w:pos="4320"/>
        </w:tabs>
      </w:pPr>
      <w:r>
        <w:tab/>
        <w:t>Joseph P. Serio, Counsel of Record</w:t>
      </w:r>
    </w:p>
    <w:p w:rsidR="005F3267" w:rsidRDefault="005F3267" w:rsidP="005F3267">
      <w:pPr>
        <w:tabs>
          <w:tab w:val="left" w:pos="4320"/>
        </w:tabs>
      </w:pPr>
      <w:r>
        <w:tab/>
        <w:t>Michael J. Schuler</w:t>
      </w:r>
    </w:p>
    <w:p w:rsidR="005F3267" w:rsidRDefault="005F3267" w:rsidP="005F3267">
      <w:pPr>
        <w:tabs>
          <w:tab w:val="left" w:pos="4320"/>
        </w:tabs>
      </w:pPr>
      <w:r>
        <w:tab/>
        <w:t>Assistant Consumers’ Counsel</w:t>
      </w:r>
    </w:p>
    <w:p w:rsidR="005F3267" w:rsidRDefault="005F3267" w:rsidP="00CD0DA6">
      <w:pPr>
        <w:pStyle w:val="Heading1"/>
      </w:pPr>
      <w:r>
        <w:tab/>
      </w:r>
    </w:p>
    <w:p w:rsidR="005F3267" w:rsidRPr="005F3267" w:rsidRDefault="005F3267" w:rsidP="005F3267">
      <w:pPr>
        <w:ind w:left="4320"/>
        <w:rPr>
          <w:b/>
        </w:rPr>
      </w:pPr>
      <w:r w:rsidRPr="005F3267">
        <w:rPr>
          <w:b/>
        </w:rPr>
        <w:t>Office of the Ohio Consumers’ Counsel</w:t>
      </w:r>
    </w:p>
    <w:p w:rsidR="005F3267" w:rsidRPr="005F3267" w:rsidRDefault="005F3267" w:rsidP="005F3267">
      <w:pPr>
        <w:ind w:left="4320"/>
      </w:pPr>
      <w:r w:rsidRPr="005F3267">
        <w:t>10 West Broad Street, Suite 1800</w:t>
      </w:r>
    </w:p>
    <w:p w:rsidR="005F3267" w:rsidRPr="005F3267" w:rsidRDefault="005F3267" w:rsidP="005F3267">
      <w:pPr>
        <w:ind w:left="4320"/>
      </w:pPr>
      <w:r w:rsidRPr="005F3267">
        <w:t>Columbus, Ohio 43215-3485</w:t>
      </w:r>
    </w:p>
    <w:p w:rsidR="005F3267" w:rsidRDefault="005F3267" w:rsidP="005F3267">
      <w:pPr>
        <w:autoSpaceDE w:val="0"/>
        <w:autoSpaceDN w:val="0"/>
        <w:adjustRightInd w:val="0"/>
        <w:ind w:left="3600" w:firstLine="720"/>
      </w:pPr>
      <w:r>
        <w:t>Telephone: Direct – 614-466-9565 (Serio)</w:t>
      </w:r>
    </w:p>
    <w:p w:rsidR="005F3267" w:rsidRDefault="005F3267" w:rsidP="005F3267">
      <w:pPr>
        <w:autoSpaceDE w:val="0"/>
        <w:autoSpaceDN w:val="0"/>
        <w:adjustRightInd w:val="0"/>
        <w:ind w:left="3600" w:firstLine="720"/>
      </w:pPr>
      <w:r>
        <w:t>Telephone: Direct – 614-466-9547 (Schuler)</w:t>
      </w:r>
    </w:p>
    <w:p w:rsidR="005F3267" w:rsidRDefault="005F3267" w:rsidP="005F3267">
      <w:r>
        <w:tab/>
      </w:r>
      <w:r>
        <w:tab/>
      </w:r>
      <w:r>
        <w:tab/>
      </w:r>
      <w:r>
        <w:tab/>
      </w:r>
      <w:r>
        <w:tab/>
      </w:r>
      <w:r>
        <w:tab/>
      </w:r>
      <w:r w:rsidRPr="00AF79F6">
        <w:t>serio@occ.state.oh.us</w:t>
      </w:r>
    </w:p>
    <w:p w:rsidR="005F3267" w:rsidRDefault="00150BB7" w:rsidP="00133647">
      <w:pPr>
        <w:rPr>
          <w:rStyle w:val="Hyperlink"/>
        </w:rPr>
      </w:pPr>
      <w:r>
        <w:tab/>
      </w:r>
      <w:r>
        <w:tab/>
      </w:r>
      <w:r w:rsidR="00133647">
        <w:tab/>
      </w:r>
      <w:r w:rsidR="00133647">
        <w:tab/>
      </w:r>
      <w:r w:rsidR="00133647">
        <w:tab/>
      </w:r>
      <w:r w:rsidR="00133647">
        <w:tab/>
      </w:r>
      <w:r w:rsidR="005F3267" w:rsidRPr="00AF79F6">
        <w:t>schuler@occ.state.oh.us</w:t>
      </w:r>
    </w:p>
    <w:p w:rsidR="00D67064" w:rsidRPr="00150BB7" w:rsidRDefault="00D67064" w:rsidP="00133647">
      <w:pPr>
        <w:rPr>
          <w:rStyle w:val="Hyperlink"/>
          <w:color w:val="auto"/>
          <w:u w:val="none"/>
        </w:rPr>
      </w:pPr>
    </w:p>
    <w:p w:rsidR="00150BB7" w:rsidRDefault="00150BB7" w:rsidP="00133647">
      <w:pPr>
        <w:rPr>
          <w:rStyle w:val="Hyperlink"/>
          <w:color w:val="auto"/>
          <w:u w:val="none"/>
        </w:rPr>
      </w:pPr>
    </w:p>
    <w:p w:rsidR="00150BB7" w:rsidRDefault="00150BB7" w:rsidP="00133647">
      <w:pPr>
        <w:rPr>
          <w:rStyle w:val="Hyperlink"/>
          <w:color w:val="auto"/>
          <w:u w:val="none"/>
        </w:rPr>
      </w:pPr>
    </w:p>
    <w:p w:rsidR="00150BB7" w:rsidRPr="00150BB7" w:rsidRDefault="00150BB7" w:rsidP="00133647">
      <w:pPr>
        <w:rPr>
          <w:rStyle w:val="Hyperlink"/>
          <w:color w:val="auto"/>
          <w:u w:val="none"/>
        </w:rPr>
      </w:pPr>
    </w:p>
    <w:p w:rsidR="00150BB7" w:rsidRPr="00150BB7" w:rsidRDefault="00150BB7" w:rsidP="00133647">
      <w:pPr>
        <w:rPr>
          <w:rStyle w:val="Hyperlink"/>
          <w:b/>
          <w:color w:val="auto"/>
          <w:u w:val="none"/>
        </w:rPr>
      </w:pPr>
      <w:r w:rsidRPr="00150BB7">
        <w:rPr>
          <w:rStyle w:val="Hyperlink"/>
          <w:b/>
          <w:color w:val="auto"/>
          <w:u w:val="none"/>
        </w:rPr>
        <w:t>August 2, 2013</w:t>
      </w:r>
    </w:p>
    <w:p w:rsidR="00D67064" w:rsidRDefault="00D67064" w:rsidP="00133647"/>
    <w:p w:rsidR="00D932A4" w:rsidRDefault="00D932A4" w:rsidP="005F3267">
      <w:pPr>
        <w:sectPr w:rsidR="00D932A4" w:rsidSect="008F46E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fmt="lowerRoman" w:start="1"/>
          <w:cols w:space="720"/>
          <w:docGrid w:linePitch="360"/>
        </w:sectPr>
      </w:pPr>
    </w:p>
    <w:p w:rsidR="00EB02D1" w:rsidRDefault="00EB02D1" w:rsidP="00EB02D1">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 OF CONTENTS</w:t>
      </w:r>
    </w:p>
    <w:p w:rsidR="00EB02D1" w:rsidRDefault="00EB02D1" w:rsidP="00EB02D1">
      <w:pPr>
        <w:pStyle w:val="HTMLPreformatted"/>
        <w:rPr>
          <w:rFonts w:ascii="Times New Roman" w:hAnsi="Times New Roman" w:cs="Times New Roman"/>
          <w:b/>
          <w:bCs/>
          <w:sz w:val="24"/>
          <w:szCs w:val="24"/>
        </w:rPr>
      </w:pPr>
    </w:p>
    <w:p w:rsidR="00EB02D1" w:rsidRPr="00150BB7" w:rsidRDefault="00EB02D1" w:rsidP="00150BB7">
      <w:pPr>
        <w:pStyle w:val="HTMLPreformatted"/>
        <w:jc w:val="right"/>
        <w:rPr>
          <w:rFonts w:ascii="Times New Roman" w:hAnsi="Times New Roman" w:cs="Times New Roman"/>
          <w:b/>
          <w:bCs/>
          <w:sz w:val="24"/>
          <w:szCs w:val="24"/>
          <w:u w:val="single"/>
        </w:rPr>
      </w:pPr>
      <w:r w:rsidRPr="00150BB7">
        <w:rPr>
          <w:rFonts w:ascii="Times New Roman" w:hAnsi="Times New Roman" w:cs="Times New Roman"/>
          <w:b/>
          <w:bCs/>
          <w:sz w:val="24"/>
          <w:szCs w:val="24"/>
          <w:u w:val="single"/>
        </w:rPr>
        <w:t>P</w:t>
      </w:r>
      <w:r w:rsidR="00150BB7" w:rsidRPr="00150BB7">
        <w:rPr>
          <w:rFonts w:ascii="Times New Roman" w:hAnsi="Times New Roman" w:cs="Times New Roman"/>
          <w:b/>
          <w:bCs/>
          <w:sz w:val="24"/>
          <w:szCs w:val="24"/>
          <w:u w:val="single"/>
        </w:rPr>
        <w:t>age</w:t>
      </w:r>
    </w:p>
    <w:p w:rsidR="004315CC" w:rsidRDefault="004315CC" w:rsidP="00EB02D1">
      <w:pPr>
        <w:pStyle w:val="HTMLPreformatted"/>
        <w:rPr>
          <w:rFonts w:ascii="Times New Roman" w:hAnsi="Times New Roman" w:cs="Times New Roman"/>
          <w:b/>
          <w:bCs/>
          <w:sz w:val="24"/>
          <w:szCs w:val="24"/>
        </w:rPr>
      </w:pPr>
    </w:p>
    <w:p w:rsidR="00C6025C" w:rsidRPr="00C6025C" w:rsidRDefault="00C6025C" w:rsidP="00C6025C">
      <w:pPr>
        <w:pStyle w:val="TOC1"/>
        <w:ind w:right="720"/>
        <w:rPr>
          <w:rFonts w:ascii="Calibri" w:eastAsia="MS Mincho" w:hAnsi="Calibri"/>
          <w:caps w:val="0"/>
          <w:noProof/>
          <w:sz w:val="22"/>
          <w:szCs w:val="22"/>
        </w:rPr>
      </w:pPr>
      <w:r>
        <w:fldChar w:fldCharType="begin"/>
      </w:r>
      <w:r>
        <w:instrText xml:space="preserve"> TOC \o "1-3" \h \z \u </w:instrText>
      </w:r>
      <w:r>
        <w:fldChar w:fldCharType="separate"/>
      </w:r>
      <w:hyperlink w:anchor="_Toc363221508" w:history="1">
        <w:r w:rsidRPr="00820BF5">
          <w:rPr>
            <w:rStyle w:val="Hyperlink"/>
            <w:noProof/>
          </w:rPr>
          <w:t>i.</w:t>
        </w:r>
        <w:r w:rsidRPr="00C6025C">
          <w:rPr>
            <w:rFonts w:ascii="Calibri" w:eastAsia="MS Mincho" w:hAnsi="Calibri"/>
            <w:caps w:val="0"/>
            <w:noProof/>
            <w:sz w:val="22"/>
            <w:szCs w:val="22"/>
          </w:rPr>
          <w:tab/>
        </w:r>
        <w:r w:rsidRPr="00820BF5">
          <w:rPr>
            <w:rStyle w:val="Hyperlink"/>
            <w:noProof/>
          </w:rPr>
          <w:t>INTRODUCTION</w:t>
        </w:r>
        <w:r>
          <w:rPr>
            <w:noProof/>
            <w:webHidden/>
          </w:rPr>
          <w:tab/>
        </w:r>
        <w:r>
          <w:rPr>
            <w:noProof/>
            <w:webHidden/>
          </w:rPr>
          <w:fldChar w:fldCharType="begin"/>
        </w:r>
        <w:r>
          <w:rPr>
            <w:noProof/>
            <w:webHidden/>
          </w:rPr>
          <w:instrText xml:space="preserve"> PAGEREF _Toc363221508 \h </w:instrText>
        </w:r>
        <w:r>
          <w:rPr>
            <w:noProof/>
            <w:webHidden/>
          </w:rPr>
        </w:r>
        <w:r>
          <w:rPr>
            <w:noProof/>
            <w:webHidden/>
          </w:rPr>
          <w:fldChar w:fldCharType="separate"/>
        </w:r>
        <w:r w:rsidR="00AF79F6">
          <w:rPr>
            <w:noProof/>
            <w:webHidden/>
          </w:rPr>
          <w:t>1</w:t>
        </w:r>
        <w:r>
          <w:rPr>
            <w:noProof/>
            <w:webHidden/>
          </w:rPr>
          <w:fldChar w:fldCharType="end"/>
        </w:r>
      </w:hyperlink>
    </w:p>
    <w:p w:rsidR="00C6025C" w:rsidRPr="00C6025C" w:rsidRDefault="00AC5A74" w:rsidP="00C6025C">
      <w:pPr>
        <w:pStyle w:val="TOC1"/>
        <w:ind w:right="720"/>
        <w:rPr>
          <w:rFonts w:ascii="Calibri" w:eastAsia="MS Mincho" w:hAnsi="Calibri"/>
          <w:caps w:val="0"/>
          <w:noProof/>
          <w:sz w:val="22"/>
          <w:szCs w:val="22"/>
        </w:rPr>
      </w:pPr>
      <w:hyperlink w:anchor="_Toc363221509" w:history="1">
        <w:r w:rsidR="00C6025C" w:rsidRPr="00820BF5">
          <w:rPr>
            <w:rStyle w:val="Hyperlink"/>
            <w:noProof/>
          </w:rPr>
          <w:t>II.</w:t>
        </w:r>
        <w:r w:rsidR="00C6025C" w:rsidRPr="00C6025C">
          <w:rPr>
            <w:rFonts w:ascii="Calibri" w:eastAsia="MS Mincho" w:hAnsi="Calibri"/>
            <w:caps w:val="0"/>
            <w:noProof/>
            <w:sz w:val="22"/>
            <w:szCs w:val="22"/>
          </w:rPr>
          <w:tab/>
        </w:r>
        <w:r w:rsidR="00C6025C" w:rsidRPr="00820BF5">
          <w:rPr>
            <w:rStyle w:val="Hyperlink"/>
            <w:noProof/>
          </w:rPr>
          <w:t>COMMENTS</w:t>
        </w:r>
        <w:r w:rsidR="00C6025C">
          <w:rPr>
            <w:noProof/>
            <w:webHidden/>
          </w:rPr>
          <w:tab/>
        </w:r>
        <w:r w:rsidR="00C6025C">
          <w:rPr>
            <w:noProof/>
            <w:webHidden/>
          </w:rPr>
          <w:fldChar w:fldCharType="begin"/>
        </w:r>
        <w:r w:rsidR="00C6025C">
          <w:rPr>
            <w:noProof/>
            <w:webHidden/>
          </w:rPr>
          <w:instrText xml:space="preserve"> PAGEREF _Toc363221509 \h </w:instrText>
        </w:r>
        <w:r w:rsidR="00C6025C">
          <w:rPr>
            <w:noProof/>
            <w:webHidden/>
          </w:rPr>
        </w:r>
        <w:r w:rsidR="00C6025C">
          <w:rPr>
            <w:noProof/>
            <w:webHidden/>
          </w:rPr>
          <w:fldChar w:fldCharType="separate"/>
        </w:r>
        <w:r w:rsidR="00AF79F6">
          <w:rPr>
            <w:noProof/>
            <w:webHidden/>
          </w:rPr>
          <w:t>3</w:t>
        </w:r>
        <w:r w:rsidR="00C6025C">
          <w:rPr>
            <w:noProof/>
            <w:webHidden/>
          </w:rPr>
          <w:fldChar w:fldCharType="end"/>
        </w:r>
      </w:hyperlink>
    </w:p>
    <w:p w:rsidR="00C6025C" w:rsidRPr="00C6025C" w:rsidRDefault="00AC5A74" w:rsidP="00C6025C">
      <w:pPr>
        <w:pStyle w:val="TOC2"/>
        <w:tabs>
          <w:tab w:val="left" w:pos="1440"/>
        </w:tabs>
        <w:ind w:right="720"/>
        <w:rPr>
          <w:rFonts w:ascii="Calibri" w:eastAsia="MS Mincho" w:hAnsi="Calibri"/>
          <w:noProof/>
          <w:sz w:val="22"/>
          <w:szCs w:val="22"/>
        </w:rPr>
      </w:pPr>
      <w:hyperlink w:anchor="_Toc363221510" w:history="1">
        <w:r w:rsidR="00C6025C" w:rsidRPr="00820BF5">
          <w:rPr>
            <w:rStyle w:val="Hyperlink"/>
            <w:noProof/>
          </w:rPr>
          <w:t>A.</w:t>
        </w:r>
        <w:r w:rsidR="00C6025C" w:rsidRPr="00C6025C">
          <w:rPr>
            <w:rFonts w:ascii="Calibri" w:eastAsia="MS Mincho" w:hAnsi="Calibri"/>
            <w:noProof/>
            <w:sz w:val="22"/>
            <w:szCs w:val="22"/>
          </w:rPr>
          <w:tab/>
        </w:r>
        <w:r w:rsidR="00C6025C" w:rsidRPr="00820BF5">
          <w:rPr>
            <w:rStyle w:val="Hyperlink"/>
            <w:noProof/>
          </w:rPr>
          <w:t>The PUCO Staff’s Comments On Its Review Of Ohio Power Company’s 2012 Progress In Implementing Distribution Infrastructure Programs Are Inadequate And Fail To Address The Quantifiable Reliability Improvements That The Commission Mandated in the Electric Security Plan Proceeding.</w:t>
        </w:r>
        <w:r w:rsidR="00C6025C">
          <w:rPr>
            <w:noProof/>
            <w:webHidden/>
          </w:rPr>
          <w:tab/>
        </w:r>
        <w:r w:rsidR="00C6025C">
          <w:rPr>
            <w:noProof/>
            <w:webHidden/>
          </w:rPr>
          <w:fldChar w:fldCharType="begin"/>
        </w:r>
        <w:r w:rsidR="00C6025C">
          <w:rPr>
            <w:noProof/>
            <w:webHidden/>
          </w:rPr>
          <w:instrText xml:space="preserve"> PAGEREF _Toc363221510 \h </w:instrText>
        </w:r>
        <w:r w:rsidR="00C6025C">
          <w:rPr>
            <w:noProof/>
            <w:webHidden/>
          </w:rPr>
        </w:r>
        <w:r w:rsidR="00C6025C">
          <w:rPr>
            <w:noProof/>
            <w:webHidden/>
          </w:rPr>
          <w:fldChar w:fldCharType="separate"/>
        </w:r>
        <w:r w:rsidR="00AF79F6">
          <w:rPr>
            <w:noProof/>
            <w:webHidden/>
          </w:rPr>
          <w:t>3</w:t>
        </w:r>
        <w:r w:rsidR="00C6025C">
          <w:rPr>
            <w:noProof/>
            <w:webHidden/>
          </w:rPr>
          <w:fldChar w:fldCharType="end"/>
        </w:r>
      </w:hyperlink>
    </w:p>
    <w:p w:rsidR="00C6025C" w:rsidRPr="00C6025C" w:rsidRDefault="00AC5A74" w:rsidP="00C6025C">
      <w:pPr>
        <w:pStyle w:val="TOC2"/>
        <w:tabs>
          <w:tab w:val="left" w:pos="1440"/>
        </w:tabs>
        <w:ind w:right="720"/>
        <w:rPr>
          <w:rFonts w:ascii="Calibri" w:eastAsia="MS Mincho" w:hAnsi="Calibri"/>
          <w:noProof/>
          <w:sz w:val="22"/>
          <w:szCs w:val="22"/>
        </w:rPr>
      </w:pPr>
      <w:hyperlink w:anchor="_Toc363221511" w:history="1">
        <w:r w:rsidR="00C6025C" w:rsidRPr="00820BF5">
          <w:rPr>
            <w:rStyle w:val="Hyperlink"/>
            <w:noProof/>
          </w:rPr>
          <w:t>B.</w:t>
        </w:r>
        <w:r w:rsidR="00C6025C" w:rsidRPr="00C6025C">
          <w:rPr>
            <w:rFonts w:ascii="Calibri" w:eastAsia="MS Mincho" w:hAnsi="Calibri"/>
            <w:noProof/>
            <w:sz w:val="22"/>
            <w:szCs w:val="22"/>
          </w:rPr>
          <w:tab/>
        </w:r>
        <w:r w:rsidR="00C6025C" w:rsidRPr="00820BF5">
          <w:rPr>
            <w:rStyle w:val="Hyperlink"/>
            <w:noProof/>
          </w:rPr>
          <w:t>Comments on the Audit Report</w:t>
        </w:r>
        <w:r w:rsidR="00C6025C">
          <w:rPr>
            <w:noProof/>
            <w:webHidden/>
          </w:rPr>
          <w:tab/>
        </w:r>
        <w:r w:rsidR="00C6025C">
          <w:rPr>
            <w:noProof/>
            <w:webHidden/>
          </w:rPr>
          <w:fldChar w:fldCharType="begin"/>
        </w:r>
        <w:r w:rsidR="00C6025C">
          <w:rPr>
            <w:noProof/>
            <w:webHidden/>
          </w:rPr>
          <w:instrText xml:space="preserve"> PAGEREF _Toc363221511 \h </w:instrText>
        </w:r>
        <w:r w:rsidR="00C6025C">
          <w:rPr>
            <w:noProof/>
            <w:webHidden/>
          </w:rPr>
        </w:r>
        <w:r w:rsidR="00C6025C">
          <w:rPr>
            <w:noProof/>
            <w:webHidden/>
          </w:rPr>
          <w:fldChar w:fldCharType="separate"/>
        </w:r>
        <w:r w:rsidR="00AF79F6">
          <w:rPr>
            <w:noProof/>
            <w:webHidden/>
          </w:rPr>
          <w:t>6</w:t>
        </w:r>
        <w:r w:rsidR="00C6025C">
          <w:rPr>
            <w:noProof/>
            <w:webHidden/>
          </w:rPr>
          <w:fldChar w:fldCharType="end"/>
        </w:r>
      </w:hyperlink>
    </w:p>
    <w:p w:rsidR="00C6025C" w:rsidRPr="00C6025C" w:rsidRDefault="00AC5A74" w:rsidP="00C6025C">
      <w:pPr>
        <w:pStyle w:val="TOC3"/>
        <w:tabs>
          <w:tab w:val="left" w:pos="2160"/>
        </w:tabs>
        <w:ind w:right="720"/>
        <w:rPr>
          <w:rFonts w:ascii="Calibri" w:eastAsia="MS Mincho" w:hAnsi="Calibri"/>
          <w:noProof/>
          <w:sz w:val="22"/>
          <w:szCs w:val="22"/>
        </w:rPr>
      </w:pPr>
      <w:hyperlink w:anchor="_Toc363221512" w:history="1">
        <w:r w:rsidR="00C6025C" w:rsidRPr="00820BF5">
          <w:rPr>
            <w:rStyle w:val="Hyperlink"/>
            <w:noProof/>
          </w:rPr>
          <w:t>1.</w:t>
        </w:r>
        <w:r w:rsidR="00C6025C" w:rsidRPr="00C6025C">
          <w:rPr>
            <w:rFonts w:ascii="Calibri" w:eastAsia="MS Mincho" w:hAnsi="Calibri"/>
            <w:noProof/>
            <w:sz w:val="22"/>
            <w:szCs w:val="22"/>
          </w:rPr>
          <w:tab/>
        </w:r>
        <w:r w:rsidR="00C6025C" w:rsidRPr="00820BF5">
          <w:rPr>
            <w:rStyle w:val="Hyperlink"/>
            <w:noProof/>
          </w:rPr>
          <w:t>Net plant in service should exclude non-jurisdictional plant.</w:t>
        </w:r>
        <w:r w:rsidR="00C6025C">
          <w:rPr>
            <w:noProof/>
            <w:webHidden/>
          </w:rPr>
          <w:tab/>
        </w:r>
        <w:r w:rsidR="00C6025C">
          <w:rPr>
            <w:noProof/>
            <w:webHidden/>
          </w:rPr>
          <w:fldChar w:fldCharType="begin"/>
        </w:r>
        <w:r w:rsidR="00C6025C">
          <w:rPr>
            <w:noProof/>
            <w:webHidden/>
          </w:rPr>
          <w:instrText xml:space="preserve"> PAGEREF _Toc363221512 \h </w:instrText>
        </w:r>
        <w:r w:rsidR="00C6025C">
          <w:rPr>
            <w:noProof/>
            <w:webHidden/>
          </w:rPr>
        </w:r>
        <w:r w:rsidR="00C6025C">
          <w:rPr>
            <w:noProof/>
            <w:webHidden/>
          </w:rPr>
          <w:fldChar w:fldCharType="separate"/>
        </w:r>
        <w:r w:rsidR="00AF79F6">
          <w:rPr>
            <w:noProof/>
            <w:webHidden/>
          </w:rPr>
          <w:t>7</w:t>
        </w:r>
        <w:r w:rsidR="00C6025C">
          <w:rPr>
            <w:noProof/>
            <w:webHidden/>
          </w:rPr>
          <w:fldChar w:fldCharType="end"/>
        </w:r>
      </w:hyperlink>
    </w:p>
    <w:p w:rsidR="00C6025C" w:rsidRPr="00C6025C" w:rsidRDefault="00AC5A74" w:rsidP="00C6025C">
      <w:pPr>
        <w:pStyle w:val="TOC3"/>
        <w:tabs>
          <w:tab w:val="left" w:pos="2160"/>
        </w:tabs>
        <w:ind w:right="720"/>
        <w:rPr>
          <w:rFonts w:ascii="Calibri" w:eastAsia="MS Mincho" w:hAnsi="Calibri"/>
          <w:noProof/>
          <w:sz w:val="22"/>
          <w:szCs w:val="22"/>
        </w:rPr>
      </w:pPr>
      <w:hyperlink w:anchor="_Toc363221513" w:history="1">
        <w:r w:rsidR="00C6025C" w:rsidRPr="00820BF5">
          <w:rPr>
            <w:rStyle w:val="Hyperlink"/>
            <w:noProof/>
          </w:rPr>
          <w:t>2.</w:t>
        </w:r>
        <w:r w:rsidR="00C6025C" w:rsidRPr="00C6025C">
          <w:rPr>
            <w:rFonts w:ascii="Calibri" w:eastAsia="MS Mincho" w:hAnsi="Calibri"/>
            <w:noProof/>
            <w:sz w:val="22"/>
            <w:szCs w:val="22"/>
          </w:rPr>
          <w:tab/>
        </w:r>
        <w:r w:rsidR="00C6025C" w:rsidRPr="00820BF5">
          <w:rPr>
            <w:rStyle w:val="Hyperlink"/>
            <w:noProof/>
          </w:rPr>
          <w:t>$15,788,966 should be used for the amount of gridSMART net plant for the 1st Quarter of the 2012 DIR revenue requirement calculation.</w:t>
        </w:r>
        <w:r w:rsidR="00C6025C">
          <w:rPr>
            <w:noProof/>
            <w:webHidden/>
          </w:rPr>
          <w:tab/>
        </w:r>
        <w:r w:rsidR="00C6025C">
          <w:rPr>
            <w:noProof/>
            <w:webHidden/>
          </w:rPr>
          <w:fldChar w:fldCharType="begin"/>
        </w:r>
        <w:r w:rsidR="00C6025C">
          <w:rPr>
            <w:noProof/>
            <w:webHidden/>
          </w:rPr>
          <w:instrText xml:space="preserve"> PAGEREF _Toc363221513 \h </w:instrText>
        </w:r>
        <w:r w:rsidR="00C6025C">
          <w:rPr>
            <w:noProof/>
            <w:webHidden/>
          </w:rPr>
        </w:r>
        <w:r w:rsidR="00C6025C">
          <w:rPr>
            <w:noProof/>
            <w:webHidden/>
          </w:rPr>
          <w:fldChar w:fldCharType="separate"/>
        </w:r>
        <w:r w:rsidR="00AF79F6">
          <w:rPr>
            <w:noProof/>
            <w:webHidden/>
          </w:rPr>
          <w:t>8</w:t>
        </w:r>
        <w:r w:rsidR="00C6025C">
          <w:rPr>
            <w:noProof/>
            <w:webHidden/>
          </w:rPr>
          <w:fldChar w:fldCharType="end"/>
        </w:r>
      </w:hyperlink>
    </w:p>
    <w:p w:rsidR="00C6025C" w:rsidRPr="00C6025C" w:rsidRDefault="00AC5A74" w:rsidP="00C6025C">
      <w:pPr>
        <w:pStyle w:val="TOC3"/>
        <w:tabs>
          <w:tab w:val="left" w:pos="2160"/>
        </w:tabs>
        <w:ind w:right="720"/>
        <w:rPr>
          <w:rFonts w:ascii="Calibri" w:eastAsia="MS Mincho" w:hAnsi="Calibri"/>
          <w:noProof/>
          <w:sz w:val="22"/>
          <w:szCs w:val="22"/>
        </w:rPr>
      </w:pPr>
      <w:hyperlink w:anchor="_Toc363221514" w:history="1">
        <w:r w:rsidR="00C6025C" w:rsidRPr="00820BF5">
          <w:rPr>
            <w:rStyle w:val="Hyperlink"/>
            <w:noProof/>
          </w:rPr>
          <w:t>3.</w:t>
        </w:r>
        <w:r w:rsidR="00C6025C" w:rsidRPr="00C6025C">
          <w:rPr>
            <w:rFonts w:ascii="Calibri" w:eastAsia="MS Mincho" w:hAnsi="Calibri"/>
            <w:noProof/>
            <w:sz w:val="22"/>
            <w:szCs w:val="22"/>
          </w:rPr>
          <w:tab/>
        </w:r>
        <w:r w:rsidR="00C6025C" w:rsidRPr="00820BF5">
          <w:rPr>
            <w:rStyle w:val="Hyperlink"/>
            <w:noProof/>
          </w:rPr>
          <w:t>All gridSMART spending that is collected from customers through the gridSMART rider must be excluded from the DIR rider.</w:t>
        </w:r>
        <w:r w:rsidR="00C6025C">
          <w:rPr>
            <w:noProof/>
            <w:webHidden/>
          </w:rPr>
          <w:tab/>
        </w:r>
        <w:r w:rsidR="00C6025C">
          <w:rPr>
            <w:noProof/>
            <w:webHidden/>
          </w:rPr>
          <w:fldChar w:fldCharType="begin"/>
        </w:r>
        <w:r w:rsidR="00C6025C">
          <w:rPr>
            <w:noProof/>
            <w:webHidden/>
          </w:rPr>
          <w:instrText xml:space="preserve"> PAGEREF _Toc363221514 \h </w:instrText>
        </w:r>
        <w:r w:rsidR="00C6025C">
          <w:rPr>
            <w:noProof/>
            <w:webHidden/>
          </w:rPr>
        </w:r>
        <w:r w:rsidR="00C6025C">
          <w:rPr>
            <w:noProof/>
            <w:webHidden/>
          </w:rPr>
          <w:fldChar w:fldCharType="separate"/>
        </w:r>
        <w:r w:rsidR="00AF79F6">
          <w:rPr>
            <w:noProof/>
            <w:webHidden/>
          </w:rPr>
          <w:t>8</w:t>
        </w:r>
        <w:r w:rsidR="00C6025C">
          <w:rPr>
            <w:noProof/>
            <w:webHidden/>
          </w:rPr>
          <w:fldChar w:fldCharType="end"/>
        </w:r>
      </w:hyperlink>
    </w:p>
    <w:p w:rsidR="00C6025C" w:rsidRPr="00C6025C" w:rsidRDefault="00AC5A74" w:rsidP="00C6025C">
      <w:pPr>
        <w:pStyle w:val="TOC3"/>
        <w:tabs>
          <w:tab w:val="left" w:pos="2160"/>
        </w:tabs>
        <w:ind w:right="720"/>
        <w:rPr>
          <w:rFonts w:ascii="Calibri" w:eastAsia="MS Mincho" w:hAnsi="Calibri"/>
          <w:noProof/>
          <w:sz w:val="22"/>
          <w:szCs w:val="22"/>
        </w:rPr>
      </w:pPr>
      <w:hyperlink w:anchor="_Toc363221515" w:history="1">
        <w:r w:rsidR="00C6025C" w:rsidRPr="00820BF5">
          <w:rPr>
            <w:rStyle w:val="Hyperlink"/>
            <w:noProof/>
          </w:rPr>
          <w:t>4.</w:t>
        </w:r>
        <w:r w:rsidR="00C6025C" w:rsidRPr="00C6025C">
          <w:rPr>
            <w:rFonts w:ascii="Calibri" w:eastAsia="MS Mincho" w:hAnsi="Calibri"/>
            <w:noProof/>
            <w:sz w:val="22"/>
            <w:szCs w:val="22"/>
          </w:rPr>
          <w:tab/>
        </w:r>
        <w:r w:rsidR="00C6025C" w:rsidRPr="00820BF5">
          <w:rPr>
            <w:rStyle w:val="Hyperlink"/>
            <w:noProof/>
          </w:rPr>
          <w:t xml:space="preserve"> Net plant in service should include $21,513,289 for the amount of Veg. Mgmt. net plant for the 1st Quarter of 2012 DIR revenue requirement calculation.</w:t>
        </w:r>
        <w:r w:rsidR="00C6025C">
          <w:rPr>
            <w:noProof/>
            <w:webHidden/>
          </w:rPr>
          <w:tab/>
        </w:r>
        <w:r w:rsidR="00C6025C">
          <w:rPr>
            <w:noProof/>
            <w:webHidden/>
          </w:rPr>
          <w:fldChar w:fldCharType="begin"/>
        </w:r>
        <w:r w:rsidR="00C6025C">
          <w:rPr>
            <w:noProof/>
            <w:webHidden/>
          </w:rPr>
          <w:instrText xml:space="preserve"> PAGEREF _Toc363221515 \h </w:instrText>
        </w:r>
        <w:r w:rsidR="00C6025C">
          <w:rPr>
            <w:noProof/>
            <w:webHidden/>
          </w:rPr>
        </w:r>
        <w:r w:rsidR="00C6025C">
          <w:rPr>
            <w:noProof/>
            <w:webHidden/>
          </w:rPr>
          <w:fldChar w:fldCharType="separate"/>
        </w:r>
        <w:r w:rsidR="00AF79F6">
          <w:rPr>
            <w:noProof/>
            <w:webHidden/>
          </w:rPr>
          <w:t>9</w:t>
        </w:r>
        <w:r w:rsidR="00C6025C">
          <w:rPr>
            <w:noProof/>
            <w:webHidden/>
          </w:rPr>
          <w:fldChar w:fldCharType="end"/>
        </w:r>
      </w:hyperlink>
    </w:p>
    <w:p w:rsidR="00C6025C" w:rsidRPr="00C6025C" w:rsidRDefault="00AC5A74" w:rsidP="00C6025C">
      <w:pPr>
        <w:pStyle w:val="TOC3"/>
        <w:tabs>
          <w:tab w:val="left" w:pos="2160"/>
        </w:tabs>
        <w:ind w:right="720"/>
        <w:rPr>
          <w:rFonts w:ascii="Calibri" w:eastAsia="MS Mincho" w:hAnsi="Calibri"/>
          <w:noProof/>
          <w:sz w:val="22"/>
          <w:szCs w:val="22"/>
        </w:rPr>
      </w:pPr>
      <w:hyperlink w:anchor="_Toc363221516" w:history="1">
        <w:r w:rsidR="00C6025C" w:rsidRPr="00820BF5">
          <w:rPr>
            <w:rStyle w:val="Hyperlink"/>
            <w:noProof/>
          </w:rPr>
          <w:t>5.</w:t>
        </w:r>
        <w:r w:rsidR="00C6025C" w:rsidRPr="00C6025C">
          <w:rPr>
            <w:rFonts w:ascii="Calibri" w:eastAsia="MS Mincho" w:hAnsi="Calibri"/>
            <w:noProof/>
            <w:sz w:val="22"/>
            <w:szCs w:val="22"/>
          </w:rPr>
          <w:tab/>
        </w:r>
        <w:r w:rsidR="00C6025C" w:rsidRPr="00820BF5">
          <w:rPr>
            <w:rStyle w:val="Hyperlink"/>
            <w:noProof/>
          </w:rPr>
          <w:t>Net plant in service should exclude $283,000 for land held for future use that was disallowed in the last distribution rate case.</w:t>
        </w:r>
        <w:r w:rsidR="00C6025C">
          <w:rPr>
            <w:noProof/>
            <w:webHidden/>
          </w:rPr>
          <w:tab/>
        </w:r>
        <w:r w:rsidR="00C6025C">
          <w:rPr>
            <w:noProof/>
            <w:webHidden/>
          </w:rPr>
          <w:fldChar w:fldCharType="begin"/>
        </w:r>
        <w:r w:rsidR="00C6025C">
          <w:rPr>
            <w:noProof/>
            <w:webHidden/>
          </w:rPr>
          <w:instrText xml:space="preserve"> PAGEREF _Toc363221516 \h </w:instrText>
        </w:r>
        <w:r w:rsidR="00C6025C">
          <w:rPr>
            <w:noProof/>
            <w:webHidden/>
          </w:rPr>
        </w:r>
        <w:r w:rsidR="00C6025C">
          <w:rPr>
            <w:noProof/>
            <w:webHidden/>
          </w:rPr>
          <w:fldChar w:fldCharType="separate"/>
        </w:r>
        <w:r w:rsidR="00AF79F6">
          <w:rPr>
            <w:noProof/>
            <w:webHidden/>
          </w:rPr>
          <w:t>10</w:t>
        </w:r>
        <w:r w:rsidR="00C6025C">
          <w:rPr>
            <w:noProof/>
            <w:webHidden/>
          </w:rPr>
          <w:fldChar w:fldCharType="end"/>
        </w:r>
      </w:hyperlink>
    </w:p>
    <w:p w:rsidR="00C6025C" w:rsidRPr="00C6025C" w:rsidRDefault="00AC5A74" w:rsidP="00C6025C">
      <w:pPr>
        <w:pStyle w:val="TOC3"/>
        <w:tabs>
          <w:tab w:val="left" w:pos="2160"/>
        </w:tabs>
        <w:ind w:right="720"/>
        <w:rPr>
          <w:rFonts w:ascii="Calibri" w:eastAsia="MS Mincho" w:hAnsi="Calibri"/>
          <w:noProof/>
          <w:sz w:val="22"/>
          <w:szCs w:val="22"/>
        </w:rPr>
      </w:pPr>
      <w:hyperlink w:anchor="_Toc363221517" w:history="1">
        <w:r w:rsidR="00C6025C" w:rsidRPr="00820BF5">
          <w:rPr>
            <w:rStyle w:val="Hyperlink"/>
            <w:noProof/>
          </w:rPr>
          <w:t>6.</w:t>
        </w:r>
        <w:r w:rsidR="00C6025C" w:rsidRPr="00C6025C">
          <w:rPr>
            <w:rFonts w:ascii="Calibri" w:eastAsia="MS Mincho" w:hAnsi="Calibri"/>
            <w:noProof/>
            <w:sz w:val="22"/>
            <w:szCs w:val="22"/>
          </w:rPr>
          <w:tab/>
        </w:r>
        <w:r w:rsidR="00C6025C" w:rsidRPr="00820BF5">
          <w:rPr>
            <w:rStyle w:val="Hyperlink"/>
            <w:noProof/>
          </w:rPr>
          <w:t>The carrying charge rate should exclude the Commercial Activity Tax (CAT) to prevent double recovery.</w:t>
        </w:r>
        <w:r w:rsidR="00C6025C">
          <w:rPr>
            <w:noProof/>
            <w:webHidden/>
          </w:rPr>
          <w:tab/>
        </w:r>
        <w:r w:rsidR="00C6025C">
          <w:rPr>
            <w:noProof/>
            <w:webHidden/>
          </w:rPr>
          <w:fldChar w:fldCharType="begin"/>
        </w:r>
        <w:r w:rsidR="00C6025C">
          <w:rPr>
            <w:noProof/>
            <w:webHidden/>
          </w:rPr>
          <w:instrText xml:space="preserve"> PAGEREF _Toc363221517 \h </w:instrText>
        </w:r>
        <w:r w:rsidR="00C6025C">
          <w:rPr>
            <w:noProof/>
            <w:webHidden/>
          </w:rPr>
        </w:r>
        <w:r w:rsidR="00C6025C">
          <w:rPr>
            <w:noProof/>
            <w:webHidden/>
          </w:rPr>
          <w:fldChar w:fldCharType="separate"/>
        </w:r>
        <w:r w:rsidR="00AF79F6">
          <w:rPr>
            <w:noProof/>
            <w:webHidden/>
          </w:rPr>
          <w:t>10</w:t>
        </w:r>
        <w:r w:rsidR="00C6025C">
          <w:rPr>
            <w:noProof/>
            <w:webHidden/>
          </w:rPr>
          <w:fldChar w:fldCharType="end"/>
        </w:r>
      </w:hyperlink>
    </w:p>
    <w:p w:rsidR="00C6025C" w:rsidRPr="00C6025C" w:rsidRDefault="00AC5A74" w:rsidP="00C6025C">
      <w:pPr>
        <w:pStyle w:val="TOC3"/>
        <w:tabs>
          <w:tab w:val="left" w:pos="2160"/>
        </w:tabs>
        <w:ind w:right="720"/>
        <w:rPr>
          <w:rFonts w:ascii="Calibri" w:eastAsia="MS Mincho" w:hAnsi="Calibri"/>
          <w:noProof/>
          <w:sz w:val="22"/>
          <w:szCs w:val="22"/>
        </w:rPr>
      </w:pPr>
      <w:hyperlink w:anchor="_Toc363221518" w:history="1">
        <w:r w:rsidR="00C6025C" w:rsidRPr="00820BF5">
          <w:rPr>
            <w:rStyle w:val="Hyperlink"/>
            <w:noProof/>
          </w:rPr>
          <w:t>7.</w:t>
        </w:r>
        <w:r w:rsidR="00C6025C" w:rsidRPr="00C6025C">
          <w:rPr>
            <w:rFonts w:ascii="Calibri" w:eastAsia="MS Mincho" w:hAnsi="Calibri"/>
            <w:noProof/>
            <w:sz w:val="22"/>
            <w:szCs w:val="22"/>
          </w:rPr>
          <w:tab/>
        </w:r>
        <w:r w:rsidR="00C6025C" w:rsidRPr="00820BF5">
          <w:rPr>
            <w:rStyle w:val="Hyperlink"/>
            <w:noProof/>
          </w:rPr>
          <w:t>The carrying charge rate should not include the uncollectible accounts expense.</w:t>
        </w:r>
        <w:r w:rsidR="00C6025C">
          <w:rPr>
            <w:noProof/>
            <w:webHidden/>
          </w:rPr>
          <w:tab/>
        </w:r>
        <w:r w:rsidR="00C6025C">
          <w:rPr>
            <w:noProof/>
            <w:webHidden/>
          </w:rPr>
          <w:fldChar w:fldCharType="begin"/>
        </w:r>
        <w:r w:rsidR="00C6025C">
          <w:rPr>
            <w:noProof/>
            <w:webHidden/>
          </w:rPr>
          <w:instrText xml:space="preserve"> PAGEREF _Toc363221518 \h </w:instrText>
        </w:r>
        <w:r w:rsidR="00C6025C">
          <w:rPr>
            <w:noProof/>
            <w:webHidden/>
          </w:rPr>
        </w:r>
        <w:r w:rsidR="00C6025C">
          <w:rPr>
            <w:noProof/>
            <w:webHidden/>
          </w:rPr>
          <w:fldChar w:fldCharType="separate"/>
        </w:r>
        <w:r w:rsidR="00AF79F6">
          <w:rPr>
            <w:noProof/>
            <w:webHidden/>
          </w:rPr>
          <w:t>11</w:t>
        </w:r>
        <w:r w:rsidR="00C6025C">
          <w:rPr>
            <w:noProof/>
            <w:webHidden/>
          </w:rPr>
          <w:fldChar w:fldCharType="end"/>
        </w:r>
      </w:hyperlink>
    </w:p>
    <w:p w:rsidR="00C6025C" w:rsidRPr="00C6025C" w:rsidRDefault="00AC5A74" w:rsidP="00C6025C">
      <w:pPr>
        <w:pStyle w:val="TOC3"/>
        <w:tabs>
          <w:tab w:val="left" w:pos="2160"/>
        </w:tabs>
        <w:ind w:right="720"/>
        <w:rPr>
          <w:rFonts w:ascii="Calibri" w:eastAsia="MS Mincho" w:hAnsi="Calibri"/>
          <w:noProof/>
          <w:sz w:val="22"/>
          <w:szCs w:val="22"/>
        </w:rPr>
      </w:pPr>
      <w:hyperlink w:anchor="_Toc363221519" w:history="1">
        <w:r w:rsidR="00C6025C" w:rsidRPr="00820BF5">
          <w:rPr>
            <w:rStyle w:val="Hyperlink"/>
            <w:noProof/>
          </w:rPr>
          <w:t>8.</w:t>
        </w:r>
        <w:r w:rsidR="00C6025C" w:rsidRPr="00C6025C">
          <w:rPr>
            <w:rFonts w:ascii="Calibri" w:eastAsia="MS Mincho" w:hAnsi="Calibri"/>
            <w:noProof/>
            <w:sz w:val="22"/>
            <w:szCs w:val="22"/>
          </w:rPr>
          <w:tab/>
        </w:r>
        <w:r w:rsidR="00C6025C" w:rsidRPr="00820BF5">
          <w:rPr>
            <w:rStyle w:val="Hyperlink"/>
            <w:noProof/>
          </w:rPr>
          <w:t>The weighted average cost of capital should be used to compute the carrying charge rate.</w:t>
        </w:r>
        <w:r w:rsidR="00C6025C">
          <w:rPr>
            <w:noProof/>
            <w:webHidden/>
          </w:rPr>
          <w:tab/>
        </w:r>
        <w:r w:rsidR="00C6025C">
          <w:rPr>
            <w:noProof/>
            <w:webHidden/>
          </w:rPr>
          <w:fldChar w:fldCharType="begin"/>
        </w:r>
        <w:r w:rsidR="00C6025C">
          <w:rPr>
            <w:noProof/>
            <w:webHidden/>
          </w:rPr>
          <w:instrText xml:space="preserve"> PAGEREF _Toc363221519 \h </w:instrText>
        </w:r>
        <w:r w:rsidR="00C6025C">
          <w:rPr>
            <w:noProof/>
            <w:webHidden/>
          </w:rPr>
        </w:r>
        <w:r w:rsidR="00C6025C">
          <w:rPr>
            <w:noProof/>
            <w:webHidden/>
          </w:rPr>
          <w:fldChar w:fldCharType="separate"/>
        </w:r>
        <w:r w:rsidR="00AF79F6">
          <w:rPr>
            <w:noProof/>
            <w:webHidden/>
          </w:rPr>
          <w:t>11</w:t>
        </w:r>
        <w:r w:rsidR="00C6025C">
          <w:rPr>
            <w:noProof/>
            <w:webHidden/>
          </w:rPr>
          <w:fldChar w:fldCharType="end"/>
        </w:r>
      </w:hyperlink>
    </w:p>
    <w:p w:rsidR="00C6025C" w:rsidRPr="00C6025C" w:rsidRDefault="00AC5A74" w:rsidP="00C6025C">
      <w:pPr>
        <w:pStyle w:val="TOC3"/>
        <w:tabs>
          <w:tab w:val="left" w:pos="2160"/>
        </w:tabs>
        <w:ind w:right="720"/>
        <w:rPr>
          <w:rFonts w:ascii="Calibri" w:eastAsia="MS Mincho" w:hAnsi="Calibri"/>
          <w:noProof/>
          <w:sz w:val="22"/>
          <w:szCs w:val="22"/>
        </w:rPr>
      </w:pPr>
      <w:hyperlink w:anchor="_Toc363221520" w:history="1">
        <w:r w:rsidR="00C6025C" w:rsidRPr="00820BF5">
          <w:rPr>
            <w:rStyle w:val="Hyperlink"/>
            <w:noProof/>
          </w:rPr>
          <w:t>9.</w:t>
        </w:r>
        <w:r w:rsidR="00C6025C" w:rsidRPr="00C6025C">
          <w:rPr>
            <w:rFonts w:ascii="Calibri" w:eastAsia="MS Mincho" w:hAnsi="Calibri"/>
            <w:noProof/>
            <w:sz w:val="22"/>
            <w:szCs w:val="22"/>
          </w:rPr>
          <w:tab/>
        </w:r>
        <w:r w:rsidR="00C6025C" w:rsidRPr="00820BF5">
          <w:rPr>
            <w:rStyle w:val="Hyperlink"/>
            <w:noProof/>
          </w:rPr>
          <w:t>The Over/Under revenue recovery calculation should reflect OCC’s adjustments.</w:t>
        </w:r>
        <w:r w:rsidR="00C6025C">
          <w:rPr>
            <w:noProof/>
            <w:webHidden/>
          </w:rPr>
          <w:tab/>
        </w:r>
        <w:r w:rsidR="00C6025C">
          <w:rPr>
            <w:noProof/>
            <w:webHidden/>
          </w:rPr>
          <w:fldChar w:fldCharType="begin"/>
        </w:r>
        <w:r w:rsidR="00C6025C">
          <w:rPr>
            <w:noProof/>
            <w:webHidden/>
          </w:rPr>
          <w:instrText xml:space="preserve"> PAGEREF _Toc363221520 \h </w:instrText>
        </w:r>
        <w:r w:rsidR="00C6025C">
          <w:rPr>
            <w:noProof/>
            <w:webHidden/>
          </w:rPr>
        </w:r>
        <w:r w:rsidR="00C6025C">
          <w:rPr>
            <w:noProof/>
            <w:webHidden/>
          </w:rPr>
          <w:fldChar w:fldCharType="separate"/>
        </w:r>
        <w:r w:rsidR="00AF79F6">
          <w:rPr>
            <w:noProof/>
            <w:webHidden/>
          </w:rPr>
          <w:t>11</w:t>
        </w:r>
        <w:r w:rsidR="00C6025C">
          <w:rPr>
            <w:noProof/>
            <w:webHidden/>
          </w:rPr>
          <w:fldChar w:fldCharType="end"/>
        </w:r>
      </w:hyperlink>
    </w:p>
    <w:p w:rsidR="00150BB7" w:rsidRDefault="00AC5A74" w:rsidP="00725975">
      <w:pPr>
        <w:pStyle w:val="TOC1"/>
        <w:ind w:right="720"/>
        <w:rPr>
          <w:b/>
          <w:bCs/>
        </w:rPr>
      </w:pPr>
      <w:hyperlink w:anchor="_Toc363221521" w:history="1">
        <w:r w:rsidR="00C6025C" w:rsidRPr="00820BF5">
          <w:rPr>
            <w:rStyle w:val="Hyperlink"/>
            <w:noProof/>
          </w:rPr>
          <w:t>III.</w:t>
        </w:r>
        <w:r w:rsidR="00C6025C" w:rsidRPr="00C6025C">
          <w:rPr>
            <w:rFonts w:ascii="Calibri" w:eastAsia="MS Mincho" w:hAnsi="Calibri"/>
            <w:caps w:val="0"/>
            <w:noProof/>
            <w:sz w:val="22"/>
            <w:szCs w:val="22"/>
          </w:rPr>
          <w:tab/>
        </w:r>
        <w:r w:rsidR="00C6025C" w:rsidRPr="00820BF5">
          <w:rPr>
            <w:rStyle w:val="Hyperlink"/>
            <w:noProof/>
          </w:rPr>
          <w:t>CONCLUSION</w:t>
        </w:r>
        <w:r w:rsidR="00C6025C">
          <w:rPr>
            <w:noProof/>
            <w:webHidden/>
          </w:rPr>
          <w:tab/>
        </w:r>
        <w:r w:rsidR="00C6025C">
          <w:rPr>
            <w:noProof/>
            <w:webHidden/>
          </w:rPr>
          <w:fldChar w:fldCharType="begin"/>
        </w:r>
        <w:r w:rsidR="00C6025C">
          <w:rPr>
            <w:noProof/>
            <w:webHidden/>
          </w:rPr>
          <w:instrText xml:space="preserve"> PAGEREF _Toc363221521 \h </w:instrText>
        </w:r>
        <w:r w:rsidR="00C6025C">
          <w:rPr>
            <w:noProof/>
            <w:webHidden/>
          </w:rPr>
        </w:r>
        <w:r w:rsidR="00C6025C">
          <w:rPr>
            <w:noProof/>
            <w:webHidden/>
          </w:rPr>
          <w:fldChar w:fldCharType="separate"/>
        </w:r>
        <w:r w:rsidR="00AF79F6">
          <w:rPr>
            <w:noProof/>
            <w:webHidden/>
          </w:rPr>
          <w:t>13</w:t>
        </w:r>
        <w:r w:rsidR="00C6025C">
          <w:rPr>
            <w:noProof/>
            <w:webHidden/>
          </w:rPr>
          <w:fldChar w:fldCharType="end"/>
        </w:r>
      </w:hyperlink>
      <w:r w:rsidR="00C6025C">
        <w:rPr>
          <w:b/>
          <w:bCs/>
          <w:noProof/>
        </w:rPr>
        <w:fldChar w:fldCharType="end"/>
      </w:r>
    </w:p>
    <w:p w:rsidR="00133647" w:rsidRPr="00133647" w:rsidRDefault="00133647" w:rsidP="00133647">
      <w:pPr>
        <w:sectPr w:rsidR="00133647" w:rsidRPr="00133647" w:rsidSect="008F46E9">
          <w:headerReference w:type="even" r:id="rId14"/>
          <w:headerReference w:type="default" r:id="rId15"/>
          <w:footerReference w:type="default" r:id="rId16"/>
          <w:headerReference w:type="first" r:id="rId17"/>
          <w:pgSz w:w="12240" w:h="15840"/>
          <w:pgMar w:top="1440" w:right="1800" w:bottom="1440" w:left="1800" w:header="720" w:footer="720" w:gutter="0"/>
          <w:pgNumType w:fmt="lowerRoman" w:start="1"/>
          <w:cols w:space="720"/>
          <w:docGrid w:linePitch="360"/>
        </w:sectPr>
      </w:pPr>
    </w:p>
    <w:p w:rsidR="002E2AAC" w:rsidRDefault="002E2AAC">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lastRenderedPageBreak/>
        <w:t>BEFORE</w:t>
      </w:r>
    </w:p>
    <w:p w:rsidR="002E2AAC" w:rsidRDefault="002E2AAC">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THE PUBLIC UTILITIES COMMISSION OF OHIO</w:t>
      </w:r>
    </w:p>
    <w:p w:rsidR="005F3267" w:rsidRDefault="005F3267" w:rsidP="005F3267">
      <w:pPr>
        <w:pStyle w:val="HTMLPreformatted"/>
        <w:ind w:firstLine="720"/>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5F3267" w:rsidTr="00E332DE">
        <w:trPr>
          <w:trHeight w:val="807"/>
        </w:trPr>
        <w:tc>
          <w:tcPr>
            <w:tcW w:w="4332" w:type="dxa"/>
            <w:shd w:val="clear" w:color="auto" w:fill="auto"/>
          </w:tcPr>
          <w:p w:rsidR="005F3267" w:rsidRPr="00E27849" w:rsidRDefault="005F3267" w:rsidP="00E332DE">
            <w:pPr>
              <w:pStyle w:val="HTMLPreformatted"/>
              <w:rPr>
                <w:rFonts w:ascii="Times New Roman" w:hAnsi="Times New Roman"/>
                <w:sz w:val="24"/>
                <w:szCs w:val="24"/>
              </w:rPr>
            </w:pPr>
            <w:r w:rsidRPr="00E27849">
              <w:rPr>
                <w:rFonts w:ascii="Times New Roman" w:hAnsi="Times New Roman" w:cs="Times New Roman"/>
                <w:sz w:val="24"/>
                <w:szCs w:val="24"/>
              </w:rPr>
              <w:t xml:space="preserve">In the Matter of the </w:t>
            </w:r>
            <w:r w:rsidR="00AD7B8A">
              <w:rPr>
                <w:rFonts w:ascii="Times New Roman" w:hAnsi="Times New Roman" w:cs="Times New Roman"/>
                <w:sz w:val="24"/>
                <w:szCs w:val="24"/>
              </w:rPr>
              <w:t xml:space="preserve">Review of the </w:t>
            </w:r>
            <w:r w:rsidRPr="00E27849">
              <w:rPr>
                <w:rFonts w:ascii="Times New Roman" w:hAnsi="Times New Roman" w:cs="Times New Roman"/>
                <w:sz w:val="24"/>
                <w:szCs w:val="24"/>
              </w:rPr>
              <w:t xml:space="preserve">Distribution  Investment Rider Contained in the Tariffs of Ohio Power Company. </w:t>
            </w:r>
          </w:p>
        </w:tc>
        <w:tc>
          <w:tcPr>
            <w:tcW w:w="360" w:type="dxa"/>
            <w:shd w:val="clear" w:color="auto" w:fill="auto"/>
          </w:tcPr>
          <w:p w:rsidR="005F3267" w:rsidRPr="00E27849" w:rsidRDefault="005F3267" w:rsidP="00E332DE">
            <w:pPr>
              <w:pStyle w:val="HTMLPreformatted"/>
              <w:rPr>
                <w:rFonts w:ascii="Times New Roman" w:hAnsi="Times New Roman"/>
                <w:sz w:val="24"/>
              </w:rPr>
            </w:pPr>
            <w:r w:rsidRPr="00E27849">
              <w:rPr>
                <w:rFonts w:ascii="Times New Roman" w:hAnsi="Times New Roman"/>
                <w:sz w:val="24"/>
              </w:rPr>
              <w:t>)</w:t>
            </w:r>
          </w:p>
          <w:p w:rsidR="005F3267" w:rsidRPr="00E27849" w:rsidRDefault="005F3267" w:rsidP="00E332DE">
            <w:pPr>
              <w:pStyle w:val="HTMLPreformatted"/>
              <w:rPr>
                <w:rFonts w:ascii="Times New Roman" w:hAnsi="Times New Roman"/>
                <w:sz w:val="24"/>
              </w:rPr>
            </w:pPr>
            <w:r w:rsidRPr="00E27849">
              <w:rPr>
                <w:rFonts w:ascii="Times New Roman" w:hAnsi="Times New Roman"/>
                <w:sz w:val="24"/>
              </w:rPr>
              <w:t>)</w:t>
            </w:r>
          </w:p>
          <w:p w:rsidR="005F3267" w:rsidRPr="00E27849" w:rsidRDefault="005F3267" w:rsidP="00E332DE">
            <w:pPr>
              <w:pStyle w:val="HTMLPreformatted"/>
              <w:rPr>
                <w:rFonts w:ascii="Times New Roman" w:hAnsi="Times New Roman"/>
                <w:sz w:val="24"/>
              </w:rPr>
            </w:pPr>
            <w:r w:rsidRPr="00E27849">
              <w:rPr>
                <w:rFonts w:ascii="Times New Roman" w:hAnsi="Times New Roman"/>
                <w:sz w:val="24"/>
              </w:rPr>
              <w:t>)</w:t>
            </w:r>
          </w:p>
        </w:tc>
        <w:tc>
          <w:tcPr>
            <w:tcW w:w="4400" w:type="dxa"/>
            <w:shd w:val="clear" w:color="auto" w:fill="auto"/>
          </w:tcPr>
          <w:p w:rsidR="005F3267" w:rsidRPr="00E27849" w:rsidRDefault="005F3267" w:rsidP="00E332DE">
            <w:pPr>
              <w:pStyle w:val="HTMLPreformatted"/>
              <w:rPr>
                <w:rFonts w:ascii="Times New Roman" w:hAnsi="Times New Roman"/>
                <w:sz w:val="24"/>
              </w:rPr>
            </w:pPr>
          </w:p>
          <w:p w:rsidR="005F3267" w:rsidRPr="00E27849" w:rsidRDefault="005F3267" w:rsidP="00E332DE">
            <w:pPr>
              <w:pStyle w:val="HTMLPreformatted"/>
              <w:rPr>
                <w:rFonts w:ascii="Times New Roman" w:hAnsi="Times New Roman"/>
                <w:sz w:val="24"/>
              </w:rPr>
            </w:pPr>
            <w:r w:rsidRPr="00E27849">
              <w:rPr>
                <w:rFonts w:ascii="Times New Roman" w:hAnsi="Times New Roman"/>
                <w:sz w:val="24"/>
              </w:rPr>
              <w:t>Case No. 13-0419-EL-RDR</w:t>
            </w:r>
          </w:p>
          <w:p w:rsidR="005F3267" w:rsidRPr="00E27849" w:rsidRDefault="005F3267" w:rsidP="00E332DE">
            <w:pPr>
              <w:pStyle w:val="HTMLPreformatted"/>
              <w:rPr>
                <w:rFonts w:ascii="Times New Roman" w:hAnsi="Times New Roman"/>
                <w:sz w:val="24"/>
              </w:rPr>
            </w:pPr>
          </w:p>
        </w:tc>
      </w:tr>
    </w:tbl>
    <w:p w:rsidR="002E2AAC" w:rsidRDefault="002E2AAC">
      <w:pPr>
        <w:pBdr>
          <w:bottom w:val="single" w:sz="12" w:space="1" w:color="auto"/>
        </w:pBdr>
      </w:pPr>
    </w:p>
    <w:p w:rsidR="002E2AAC" w:rsidRDefault="002E2AAC"/>
    <w:p w:rsidR="002E2AAC" w:rsidRDefault="002E2AAC">
      <w:pPr>
        <w:jc w:val="center"/>
        <w:rPr>
          <w:b/>
          <w:bCs/>
        </w:rPr>
      </w:pPr>
      <w:r>
        <w:rPr>
          <w:b/>
          <w:bCs/>
        </w:rPr>
        <w:t>COMMENTS</w:t>
      </w:r>
    </w:p>
    <w:p w:rsidR="002E2AAC" w:rsidRDefault="002E2AAC">
      <w:pPr>
        <w:jc w:val="center"/>
        <w:rPr>
          <w:b/>
          <w:bCs/>
        </w:rPr>
      </w:pPr>
      <w:r>
        <w:rPr>
          <w:b/>
          <w:bCs/>
        </w:rPr>
        <w:t>BY</w:t>
      </w:r>
    </w:p>
    <w:p w:rsidR="002E2AAC" w:rsidRDefault="002E2AAC">
      <w:pPr>
        <w:jc w:val="center"/>
        <w:rPr>
          <w:b/>
          <w:bCs/>
        </w:rPr>
      </w:pPr>
      <w:r>
        <w:rPr>
          <w:b/>
          <w:bCs/>
        </w:rPr>
        <w:t>THE OFFICE OF THE OHIO CONSUMERS’ COUNSEL</w:t>
      </w:r>
    </w:p>
    <w:p w:rsidR="002E2AAC" w:rsidRDefault="002E2AAC">
      <w:pPr>
        <w:pBdr>
          <w:bottom w:val="single" w:sz="12" w:space="1" w:color="auto"/>
        </w:pBdr>
        <w:jc w:val="center"/>
        <w:rPr>
          <w:b/>
          <w:bCs/>
        </w:rPr>
      </w:pPr>
    </w:p>
    <w:p w:rsidR="002E2AAC" w:rsidRDefault="002E2AAC"/>
    <w:p w:rsidR="009721C3" w:rsidRPr="00D67064" w:rsidRDefault="00CD0DA6" w:rsidP="00D67064">
      <w:pPr>
        <w:pStyle w:val="Heading1"/>
      </w:pPr>
      <w:bookmarkStart w:id="1" w:name="_Toc363054041"/>
      <w:bookmarkStart w:id="2" w:name="_Toc363221508"/>
      <w:r w:rsidRPr="00D67064">
        <w:t>i.</w:t>
      </w:r>
      <w:r w:rsidRPr="00D67064">
        <w:tab/>
      </w:r>
      <w:r w:rsidR="009721C3" w:rsidRPr="00D67064">
        <w:t>INTRODUCTION</w:t>
      </w:r>
      <w:bookmarkEnd w:id="1"/>
      <w:bookmarkEnd w:id="2"/>
    </w:p>
    <w:p w:rsidR="00C70834" w:rsidRDefault="00AD7B8A" w:rsidP="00C70834">
      <w:pPr>
        <w:spacing w:line="480" w:lineRule="auto"/>
        <w:ind w:firstLine="720"/>
      </w:pPr>
      <w:r>
        <w:t xml:space="preserve">This case involves a review of the Distribution Investment Rider (“DIR”) which allows Columbus Southern Power Company and Ohio Power Company (jointly “AEP Ohio” or “the Utility”) to charge its 1.2 million residential customers for infrastructure investments that improve service reliability.  The DIR involves millions of dollars in costs that AEP Ohio </w:t>
      </w:r>
      <w:r w:rsidR="00620F78">
        <w:t>wants approval</w:t>
      </w:r>
      <w:r>
        <w:t xml:space="preserve"> to charge it</w:t>
      </w:r>
      <w:r w:rsidR="00620F78">
        <w:t xml:space="preserve">s </w:t>
      </w:r>
      <w:r>
        <w:t xml:space="preserve">customers.  </w:t>
      </w:r>
    </w:p>
    <w:p w:rsidR="00C70834" w:rsidRDefault="0003664D" w:rsidP="0003664D">
      <w:pPr>
        <w:spacing w:line="480" w:lineRule="auto"/>
        <w:ind w:firstLine="720"/>
      </w:pPr>
      <w:r w:rsidRPr="00E17E5E">
        <w:t>This case rises out of the PUCO</w:t>
      </w:r>
      <w:r>
        <w:t>’s</w:t>
      </w:r>
      <w:r w:rsidRPr="00E17E5E">
        <w:t xml:space="preserve"> approval of AEP Ohio</w:t>
      </w:r>
      <w:r>
        <w:t>’s</w:t>
      </w:r>
      <w:r w:rsidRPr="00E17E5E">
        <w:t xml:space="preserve"> electric security plan (“ESP”), which established the DIR</w:t>
      </w:r>
      <w:r w:rsidR="00725975">
        <w:t>.</w:t>
      </w:r>
      <w:r w:rsidRPr="00E17E5E">
        <w:rPr>
          <w:rStyle w:val="FootnoteReference"/>
        </w:rPr>
        <w:footnoteReference w:id="2"/>
      </w:r>
      <w:r w:rsidRPr="00E17E5E">
        <w:t xml:space="preserve">  </w:t>
      </w:r>
      <w:r w:rsidR="00E91F6C">
        <w:t>Specifically, t</w:t>
      </w:r>
      <w:r w:rsidRPr="00E17E5E">
        <w:t>he DIR allows AEP Ohio to charge customers for a certain amount of capital costs associated with distributio</w:t>
      </w:r>
      <w:r w:rsidR="00E91F6C">
        <w:t>n infrastructure improvements that</w:t>
      </w:r>
      <w:r w:rsidRPr="00E17E5E">
        <w:t xml:space="preserve"> create a more reliable electric distribution system.</w:t>
      </w:r>
      <w:r w:rsidRPr="00E17E5E">
        <w:rPr>
          <w:rStyle w:val="FootnoteReference"/>
        </w:rPr>
        <w:footnoteReference w:id="3"/>
      </w:r>
      <w:r w:rsidRPr="00E17E5E">
        <w:t xml:space="preserve">  The DIR is then subject to annual review for accounting accuracy, prudency, and compliance with the DIR plan.</w:t>
      </w:r>
      <w:r w:rsidRPr="00E17E5E">
        <w:rPr>
          <w:rStyle w:val="FootnoteReference"/>
        </w:rPr>
        <w:footnoteReference w:id="4"/>
      </w:r>
      <w:r w:rsidRPr="00E17E5E">
        <w:t xml:space="preserve">  </w:t>
      </w:r>
    </w:p>
    <w:p w:rsidR="0003664D" w:rsidRPr="00E17E5E" w:rsidRDefault="00C70834" w:rsidP="0003664D">
      <w:pPr>
        <w:spacing w:line="480" w:lineRule="auto"/>
        <w:ind w:firstLine="720"/>
      </w:pPr>
      <w:r w:rsidRPr="000473B7">
        <w:lastRenderedPageBreak/>
        <w:t>In the ESP</w:t>
      </w:r>
      <w:r>
        <w:t xml:space="preserve"> case</w:t>
      </w:r>
      <w:r w:rsidRPr="000473B7">
        <w:t xml:space="preserve">, out of which the DIR </w:t>
      </w:r>
      <w:r>
        <w:t xml:space="preserve">was born, AEP Ohio </w:t>
      </w:r>
      <w:r w:rsidRPr="000A1252">
        <w:t xml:space="preserve"> was </w:t>
      </w:r>
      <w:r>
        <w:t>un</w:t>
      </w:r>
      <w:r w:rsidRPr="000A1252">
        <w:t xml:space="preserve">able </w:t>
      </w:r>
      <w:r>
        <w:t>and/</w:t>
      </w:r>
      <w:r w:rsidRPr="000A1252">
        <w:t xml:space="preserve">or </w:t>
      </w:r>
      <w:r>
        <w:t>un</w:t>
      </w:r>
      <w:r w:rsidRPr="000A1252">
        <w:t>willing to provide</w:t>
      </w:r>
      <w:r>
        <w:t xml:space="preserve"> detail</w:t>
      </w:r>
      <w:r w:rsidRPr="000A1252">
        <w:t xml:space="preserve"> </w:t>
      </w:r>
      <w:r>
        <w:t>regarding</w:t>
      </w:r>
      <w:r w:rsidRPr="000A1252">
        <w:t xml:space="preserve"> how customers would obtain a benefit in service quality </w:t>
      </w:r>
      <w:r>
        <w:t>through the Utility’s</w:t>
      </w:r>
      <w:r w:rsidRPr="000A1252">
        <w:t xml:space="preserve"> expedited recovery of distribution investment costs.</w:t>
      </w:r>
      <w:r w:rsidRPr="000A1252">
        <w:rPr>
          <w:rStyle w:val="FootnoteReference"/>
        </w:rPr>
        <w:footnoteReference w:id="5"/>
      </w:r>
      <w:r w:rsidRPr="000A1252">
        <w:t xml:space="preserve">  </w:t>
      </w:r>
      <w:r>
        <w:t>As a result, the PUCO</w:t>
      </w:r>
      <w:r w:rsidRPr="000A1252">
        <w:t xml:space="preserve"> explicitly required the </w:t>
      </w:r>
      <w:r w:rsidR="004C43BC">
        <w:t>Utility</w:t>
      </w:r>
      <w:r w:rsidRPr="000A1252">
        <w:t xml:space="preserve"> and </w:t>
      </w:r>
      <w:r w:rsidR="00D67064">
        <w:t xml:space="preserve">the PUCO </w:t>
      </w:r>
      <w:r w:rsidRPr="000A1252">
        <w:t xml:space="preserve">Staff </w:t>
      </w:r>
      <w:r w:rsidRPr="000A1252">
        <w:rPr>
          <w:b/>
        </w:rPr>
        <w:t>to quantify reliability improvements that are expected</w:t>
      </w:r>
      <w:r w:rsidRPr="000A1252">
        <w:t xml:space="preserve"> as a result of the DIR funding.</w:t>
      </w:r>
      <w:r>
        <w:rPr>
          <w:rStyle w:val="FootnoteReference"/>
        </w:rPr>
        <w:footnoteReference w:id="6"/>
      </w:r>
      <w:r w:rsidRPr="000A1252">
        <w:t xml:space="preserve"> </w:t>
      </w:r>
      <w:r>
        <w:t xml:space="preserve"> </w:t>
      </w:r>
      <w:r w:rsidRPr="000A1252">
        <w:t xml:space="preserve">Furthermore, the Commission explicitly required the </w:t>
      </w:r>
      <w:r w:rsidR="004C43BC">
        <w:t>Utility</w:t>
      </w:r>
      <w:r w:rsidRPr="000A1252">
        <w:t xml:space="preserve"> and </w:t>
      </w:r>
      <w:r w:rsidR="00D67064">
        <w:t xml:space="preserve">the PUCO </w:t>
      </w:r>
      <w:r w:rsidRPr="000A1252">
        <w:t xml:space="preserve">Staff to focus DIR spending on where it will have the </w:t>
      </w:r>
      <w:r w:rsidRPr="000A1252">
        <w:rPr>
          <w:b/>
        </w:rPr>
        <w:t>greatest impact on maintaining and improving reliability</w:t>
      </w:r>
      <w:r w:rsidRPr="000A1252">
        <w:t>.</w:t>
      </w:r>
      <w:r>
        <w:rPr>
          <w:rStyle w:val="FootnoteReference"/>
        </w:rPr>
        <w:footnoteReference w:id="7"/>
      </w:r>
      <w:r w:rsidRPr="000A1252">
        <w:t xml:space="preserve">  </w:t>
      </w:r>
    </w:p>
    <w:p w:rsidR="009B6E2A" w:rsidRDefault="009721C3" w:rsidP="009721C3">
      <w:pPr>
        <w:spacing w:line="480" w:lineRule="auto"/>
        <w:ind w:firstLine="720"/>
      </w:pPr>
      <w:r w:rsidRPr="00E17E5E">
        <w:t>The Office of the Ohio Consumer’s Counsel (“OCC”) files these Comments</w:t>
      </w:r>
      <w:r w:rsidR="00620F78">
        <w:rPr>
          <w:rStyle w:val="FootnoteReference"/>
        </w:rPr>
        <w:footnoteReference w:id="8"/>
      </w:r>
      <w:r w:rsidRPr="00E17E5E">
        <w:t xml:space="preserve"> to address the audit of the DIR and </w:t>
      </w:r>
      <w:r w:rsidR="009C1DF9">
        <w:t xml:space="preserve">to </w:t>
      </w:r>
      <w:r w:rsidRPr="00E17E5E">
        <w:t>propose</w:t>
      </w:r>
      <w:r w:rsidR="004B506F">
        <w:t xml:space="preserve"> </w:t>
      </w:r>
      <w:r w:rsidRPr="00E17E5E">
        <w:t>additional adjustments that the Public Utilities Commission of Ohio (“PUCO”</w:t>
      </w:r>
      <w:r w:rsidR="001245A2">
        <w:t xml:space="preserve"> or “Commission”</w:t>
      </w:r>
      <w:r w:rsidRPr="00E17E5E">
        <w:t xml:space="preserve">) should </w:t>
      </w:r>
      <w:r w:rsidR="00D67064">
        <w:t>adopt</w:t>
      </w:r>
      <w:r w:rsidR="00E074CD">
        <w:t xml:space="preserve"> in this case</w:t>
      </w:r>
      <w:r w:rsidRPr="00E17E5E">
        <w:t xml:space="preserve">.  OCC supports many of </w:t>
      </w:r>
      <w:r w:rsidR="00670C7D">
        <w:t xml:space="preserve">the </w:t>
      </w:r>
      <w:r w:rsidRPr="00E17E5E">
        <w:t>recommendations outlined in the Compliance Audit of the 2012 Distribution Investment Rider (DIR) of Columbus Southern Power and Ohio Power Company, d/b/a AEP Ohio (“Final Audit Report”)</w:t>
      </w:r>
      <w:r w:rsidR="00AD7B8A">
        <w:t>.  The Final Audit Report was</w:t>
      </w:r>
      <w:r w:rsidRPr="00E17E5E">
        <w:t xml:space="preserve"> filed by Blue Ridge Consulting Services, Inc. (“Blue Ridge” or “Auditor”) </w:t>
      </w:r>
      <w:r w:rsidR="00E074CD">
        <w:t xml:space="preserve">on June 20, 2013 </w:t>
      </w:r>
      <w:r w:rsidRPr="00E17E5E">
        <w:t xml:space="preserve">and </w:t>
      </w:r>
      <w:r w:rsidR="00AD7B8A">
        <w:t xml:space="preserve">is </w:t>
      </w:r>
      <w:r w:rsidRPr="00E17E5E">
        <w:t xml:space="preserve">supported by the PUCO Staff. </w:t>
      </w:r>
      <w:r w:rsidR="009B6E2A">
        <w:t xml:space="preserve"> </w:t>
      </w:r>
      <w:r w:rsidRPr="00E17E5E">
        <w:t xml:space="preserve"> </w:t>
      </w:r>
      <w:r w:rsidR="001D209E">
        <w:t xml:space="preserve">In addition, </w:t>
      </w:r>
      <w:r w:rsidR="0003664D">
        <w:t>the PUCO should adopt the</w:t>
      </w:r>
      <w:r w:rsidR="001D209E">
        <w:t xml:space="preserve"> additional recommendations</w:t>
      </w:r>
      <w:r w:rsidR="0003664D">
        <w:t xml:space="preserve"> outlined below to protect AEP Ohio’s customers from </w:t>
      </w:r>
      <w:r w:rsidR="00E91F6C">
        <w:t xml:space="preserve">costs that were not </w:t>
      </w:r>
      <w:r w:rsidR="0003664D">
        <w:t>prudent</w:t>
      </w:r>
      <w:r w:rsidR="00E91F6C">
        <w:t>ly incurred</w:t>
      </w:r>
      <w:r w:rsidR="0003664D">
        <w:t>.</w:t>
      </w:r>
      <w:r w:rsidRPr="00E17E5E">
        <w:t xml:space="preserve"> </w:t>
      </w:r>
    </w:p>
    <w:p w:rsidR="00CD0DA6" w:rsidRPr="00E17E5E" w:rsidRDefault="00CD0DA6" w:rsidP="00CD0DA6">
      <w:pPr>
        <w:ind w:firstLine="720"/>
      </w:pPr>
    </w:p>
    <w:p w:rsidR="00670C7D" w:rsidRDefault="00670C7D" w:rsidP="004B506F">
      <w:pPr>
        <w:spacing w:line="480" w:lineRule="auto"/>
      </w:pPr>
    </w:p>
    <w:p w:rsidR="00CE58D9" w:rsidRDefault="00CE58D9" w:rsidP="00D67064">
      <w:pPr>
        <w:pStyle w:val="Heading1"/>
      </w:pPr>
      <w:bookmarkStart w:id="3" w:name="_Toc360095628"/>
      <w:bookmarkStart w:id="4" w:name="_Toc361064840"/>
      <w:bookmarkStart w:id="5" w:name="_Toc363054043"/>
      <w:bookmarkStart w:id="6" w:name="_Toc363221509"/>
      <w:r>
        <w:t>II.</w:t>
      </w:r>
      <w:r>
        <w:tab/>
      </w:r>
      <w:r w:rsidR="002E2AAC">
        <w:t>COMMENTS</w:t>
      </w:r>
      <w:bookmarkEnd w:id="3"/>
      <w:bookmarkEnd w:id="4"/>
      <w:bookmarkEnd w:id="5"/>
      <w:bookmarkEnd w:id="6"/>
    </w:p>
    <w:p w:rsidR="00800250" w:rsidRPr="00A83ABE" w:rsidRDefault="00CD0DA6" w:rsidP="00CD0DA6">
      <w:pPr>
        <w:pStyle w:val="Heading2"/>
      </w:pPr>
      <w:bookmarkStart w:id="7" w:name="_Toc363054044"/>
      <w:bookmarkStart w:id="8" w:name="_Toc363221510"/>
      <w:r>
        <w:t>A.</w:t>
      </w:r>
      <w:r>
        <w:tab/>
      </w:r>
      <w:r w:rsidR="00CE58D9" w:rsidRPr="000A1252">
        <w:t xml:space="preserve">The </w:t>
      </w:r>
      <w:r w:rsidR="0003664D">
        <w:t xml:space="preserve">PUCO Staff’s </w:t>
      </w:r>
      <w:r w:rsidR="00CE58D9" w:rsidRPr="000A1252">
        <w:t xml:space="preserve">Comments </w:t>
      </w:r>
      <w:r w:rsidR="00E91F6C">
        <w:t xml:space="preserve">On Its </w:t>
      </w:r>
      <w:r w:rsidR="00CE58D9" w:rsidRPr="000A1252">
        <w:t xml:space="preserve">Review </w:t>
      </w:r>
      <w:r w:rsidRPr="000A1252">
        <w:t xml:space="preserve">Of </w:t>
      </w:r>
      <w:r w:rsidR="00CE58D9" w:rsidRPr="000A1252">
        <w:t>Ohio</w:t>
      </w:r>
      <w:r w:rsidR="00E91F6C">
        <w:t xml:space="preserve"> Power Company</w:t>
      </w:r>
      <w:r w:rsidR="00CE58D9" w:rsidRPr="000A1252">
        <w:t xml:space="preserve">’s </w:t>
      </w:r>
      <w:r w:rsidR="00E91F6C">
        <w:t xml:space="preserve">2012 </w:t>
      </w:r>
      <w:r w:rsidR="00CE58D9" w:rsidRPr="000A1252">
        <w:t xml:space="preserve">Progress </w:t>
      </w:r>
      <w:r w:rsidRPr="000A1252">
        <w:t xml:space="preserve">In </w:t>
      </w:r>
      <w:r w:rsidR="00CE58D9" w:rsidRPr="000A1252">
        <w:t xml:space="preserve">Implementing Distribution Infrastructure Programs </w:t>
      </w:r>
      <w:r>
        <w:t>Are</w:t>
      </w:r>
      <w:r w:rsidRPr="000A1252">
        <w:t xml:space="preserve"> </w:t>
      </w:r>
      <w:r w:rsidR="00CE58D9" w:rsidRPr="000A1252">
        <w:t xml:space="preserve">Inadequate </w:t>
      </w:r>
      <w:r w:rsidRPr="000A1252">
        <w:t xml:space="preserve">And </w:t>
      </w:r>
      <w:r w:rsidR="00CE58D9" w:rsidRPr="000A1252">
        <w:t xml:space="preserve">Fail </w:t>
      </w:r>
      <w:r w:rsidRPr="000A1252">
        <w:t xml:space="preserve">To </w:t>
      </w:r>
      <w:r w:rsidR="00CE58D9" w:rsidRPr="000A1252">
        <w:t xml:space="preserve">Address </w:t>
      </w:r>
      <w:r w:rsidRPr="000A1252">
        <w:t xml:space="preserve">The </w:t>
      </w:r>
      <w:r w:rsidR="00CE58D9" w:rsidRPr="000A1252">
        <w:t xml:space="preserve">Quantifiable Reliability Improvements </w:t>
      </w:r>
      <w:r w:rsidRPr="000A1252">
        <w:t xml:space="preserve">That The </w:t>
      </w:r>
      <w:r w:rsidR="00CE58D9" w:rsidRPr="000A1252">
        <w:t xml:space="preserve">Commission </w:t>
      </w:r>
      <w:r w:rsidR="00D67064">
        <w:t>Mandated in the Electric Security Plan Proceeding</w:t>
      </w:r>
      <w:r>
        <w:t>.</w:t>
      </w:r>
      <w:bookmarkEnd w:id="7"/>
      <w:bookmarkEnd w:id="8"/>
    </w:p>
    <w:p w:rsidR="00D10159" w:rsidRDefault="001243CE" w:rsidP="00800250">
      <w:pPr>
        <w:spacing w:line="480" w:lineRule="auto"/>
        <w:ind w:firstLine="720"/>
      </w:pPr>
      <w:r>
        <w:t xml:space="preserve">The PUCO </w:t>
      </w:r>
      <w:r w:rsidR="006167F3">
        <w:t xml:space="preserve">should </w:t>
      </w:r>
      <w:r w:rsidRPr="00431DD6">
        <w:t>require</w:t>
      </w:r>
      <w:r>
        <w:t xml:space="preserve"> the PUCO Staff to conduct a more detailed review of AEP Ohio’s proactive efforts to increase the reliability of its distribution infrastructure.  </w:t>
      </w:r>
      <w:r w:rsidR="00800250">
        <w:t xml:space="preserve">On June 20, 2013, the PUCO Staff filed Comments that set forth the Staff’s review of Ohio Power Company’s 2012 Progress Implementing Distribution Infrastructure Programs.  In those Comments, the </w:t>
      </w:r>
      <w:r w:rsidR="00E91F6C">
        <w:t xml:space="preserve">PUCO </w:t>
      </w:r>
      <w:r w:rsidR="00800250">
        <w:t>Staff concluded that, “AEP Ohio met expectations for increasing 2012 proactive/reliability DIR expenditures over comparable expenditures in the prior three years.”</w:t>
      </w:r>
      <w:r w:rsidR="00800250">
        <w:rPr>
          <w:rStyle w:val="FootnoteReference"/>
        </w:rPr>
        <w:footnoteReference w:id="9"/>
      </w:r>
      <w:r w:rsidR="00800250">
        <w:t xml:space="preserve">  </w:t>
      </w:r>
      <w:r w:rsidR="00BB0CBC">
        <w:t>However, i</w:t>
      </w:r>
      <w:r w:rsidR="00800250">
        <w:t xml:space="preserve">n reaching this conclusion, the </w:t>
      </w:r>
      <w:r w:rsidR="00345214">
        <w:t xml:space="preserve">PUCO </w:t>
      </w:r>
      <w:r w:rsidR="00800250">
        <w:t>Staff merely compared the dollar amounts of investments designated “proactive/</w:t>
      </w:r>
    </w:p>
    <w:p w:rsidR="00C74CAF" w:rsidRDefault="00800250" w:rsidP="00D10159">
      <w:pPr>
        <w:spacing w:line="480" w:lineRule="auto"/>
      </w:pPr>
      <w:r>
        <w:t>reliability” to the total amount of DIR expenditures.</w:t>
      </w:r>
      <w:r>
        <w:rPr>
          <w:rStyle w:val="FootnoteReference"/>
        </w:rPr>
        <w:footnoteReference w:id="10"/>
      </w:r>
      <w:r>
        <w:t xml:space="preserve">  </w:t>
      </w:r>
      <w:r w:rsidR="00345214">
        <w:t xml:space="preserve">There is no indication </w:t>
      </w:r>
      <w:r w:rsidR="00C74CAF">
        <w:t xml:space="preserve">(in the PUCO Staff’s Comments) </w:t>
      </w:r>
      <w:r w:rsidR="00345214">
        <w:t xml:space="preserve">that the PUCO </w:t>
      </w:r>
      <w:r>
        <w:t>Staff did any detailed review or analysis of the expenditures in order to ensure that the spending and programs were consistent with the intent of the DIR Program -- to improve service reliability</w:t>
      </w:r>
      <w:r w:rsidR="00670C7D">
        <w:t>.</w:t>
      </w:r>
      <w:r w:rsidR="00C74CAF">
        <w:t xml:space="preserve"> </w:t>
      </w:r>
      <w:r w:rsidR="00BB0CBC">
        <w:t>Instead,</w:t>
      </w:r>
      <w:r w:rsidR="00AF52C9">
        <w:t xml:space="preserve"> an</w:t>
      </w:r>
      <w:r>
        <w:t xml:space="preserve"> in-depth review and analysis</w:t>
      </w:r>
      <w:r w:rsidR="00C74CAF">
        <w:t xml:space="preserve"> of the expenditures included in the DIR is</w:t>
      </w:r>
      <w:r>
        <w:t xml:space="preserve"> necessary to ensure that </w:t>
      </w:r>
      <w:r w:rsidR="00AF52C9">
        <w:t>those expenditures</w:t>
      </w:r>
      <w:r w:rsidR="001243CE">
        <w:t xml:space="preserve"> had a quantifiable benefit and that </w:t>
      </w:r>
      <w:r w:rsidR="001243CE" w:rsidRPr="000A1252">
        <w:t xml:space="preserve">DIR spending </w:t>
      </w:r>
      <w:r w:rsidR="001243CE">
        <w:t xml:space="preserve">was focused </w:t>
      </w:r>
      <w:r w:rsidR="001243CE" w:rsidRPr="000A1252">
        <w:t xml:space="preserve">on </w:t>
      </w:r>
      <w:r w:rsidR="001243CE">
        <w:t>areas that had</w:t>
      </w:r>
      <w:r w:rsidR="001243CE" w:rsidRPr="000A1252">
        <w:t xml:space="preserve"> the </w:t>
      </w:r>
      <w:r w:rsidR="001243CE" w:rsidRPr="00E4155B">
        <w:t>greatest impact on maintaining and improving reliability</w:t>
      </w:r>
      <w:r w:rsidR="001243CE">
        <w:rPr>
          <w:b/>
        </w:rPr>
        <w:t xml:space="preserve"> </w:t>
      </w:r>
      <w:r w:rsidR="00C74CAF">
        <w:t xml:space="preserve">as outlined by </w:t>
      </w:r>
      <w:r>
        <w:t>the PUCO in the ESP Opinion and Order</w:t>
      </w:r>
      <w:r w:rsidR="00C74CAF">
        <w:t>.</w:t>
      </w:r>
      <w:r>
        <w:rPr>
          <w:rStyle w:val="FootnoteReference"/>
        </w:rPr>
        <w:footnoteReference w:id="11"/>
      </w:r>
      <w:r w:rsidR="00F0252C">
        <w:t xml:space="preserve"> </w:t>
      </w:r>
    </w:p>
    <w:p w:rsidR="00800250" w:rsidRPr="000A1252" w:rsidRDefault="00670C7D" w:rsidP="00800250">
      <w:pPr>
        <w:spacing w:line="480" w:lineRule="auto"/>
        <w:ind w:firstLine="720"/>
      </w:pPr>
      <w:r>
        <w:t>The PUCO Staff filed C</w:t>
      </w:r>
      <w:r w:rsidR="00800250" w:rsidRPr="000A1252">
        <w:t xml:space="preserve">omments regarding </w:t>
      </w:r>
      <w:r w:rsidR="00800250">
        <w:t>its review of the</w:t>
      </w:r>
      <w:r w:rsidR="00800250" w:rsidRPr="000A1252">
        <w:t xml:space="preserve"> 2012 DIR expenditures to </w:t>
      </w:r>
      <w:r w:rsidR="00800250">
        <w:t>“</w:t>
      </w:r>
      <w:r w:rsidR="00800250" w:rsidRPr="00346598">
        <w:t>determine whether AEP Ohio is spending more on proactive infrastructure programs and those that are expected to have a positive impact on reliability.</w:t>
      </w:r>
      <w:r w:rsidR="00800250">
        <w:t>”</w:t>
      </w:r>
      <w:r w:rsidR="00800250" w:rsidRPr="00346598">
        <w:rPr>
          <w:rStyle w:val="FootnoteReference"/>
        </w:rPr>
        <w:footnoteReference w:id="12"/>
      </w:r>
      <w:r w:rsidR="00800250" w:rsidRPr="000A1252">
        <w:rPr>
          <w:i/>
        </w:rPr>
        <w:t xml:space="preserve"> </w:t>
      </w:r>
      <w:r w:rsidR="00D10159">
        <w:rPr>
          <w:i/>
        </w:rPr>
        <w:t xml:space="preserve"> </w:t>
      </w:r>
      <w:r w:rsidR="00800250" w:rsidRPr="000A1252">
        <w:t xml:space="preserve">But neither of these requirements </w:t>
      </w:r>
      <w:r w:rsidR="00431DD6">
        <w:t>were</w:t>
      </w:r>
      <w:r w:rsidR="00431DD6" w:rsidRPr="000A1252">
        <w:t xml:space="preserve"> </w:t>
      </w:r>
      <w:r w:rsidR="00800250" w:rsidRPr="000A1252">
        <w:t xml:space="preserve">addressed by the </w:t>
      </w:r>
      <w:r w:rsidR="00800250">
        <w:t xml:space="preserve">PUCO Staff in its review of the </w:t>
      </w:r>
      <w:r w:rsidR="00800250" w:rsidRPr="000A1252">
        <w:t xml:space="preserve">2012 </w:t>
      </w:r>
      <w:r w:rsidR="00800250">
        <w:t xml:space="preserve">DIR </w:t>
      </w:r>
      <w:r w:rsidR="00800250" w:rsidRPr="000A1252">
        <w:t>program.</w:t>
      </w:r>
    </w:p>
    <w:p w:rsidR="00736782" w:rsidRDefault="00800250" w:rsidP="00800250">
      <w:pPr>
        <w:spacing w:line="480" w:lineRule="auto"/>
        <w:ind w:firstLine="720"/>
      </w:pPr>
      <w:r>
        <w:t>For example, the PUCO Staff found that AEP Ohio only invested $148,486,000; yet</w:t>
      </w:r>
      <w:r w:rsidR="00670C7D">
        <w:t>,</w:t>
      </w:r>
      <w:r>
        <w:t xml:space="preserve"> AEP Ohio’s</w:t>
      </w:r>
      <w:r w:rsidRPr="00A102C1">
        <w:t xml:space="preserve"> 201</w:t>
      </w:r>
      <w:r>
        <w:t>2 Annual System Improvement Plan</w:t>
      </w:r>
      <w:r w:rsidRPr="00A102C1">
        <w:rPr>
          <w:rStyle w:val="FootnoteReference"/>
        </w:rPr>
        <w:footnoteReference w:id="13"/>
      </w:r>
      <w:r w:rsidRPr="00A102C1">
        <w:t xml:space="preserve"> </w:t>
      </w:r>
      <w:r>
        <w:t>reflected</w:t>
      </w:r>
      <w:r w:rsidRPr="00A102C1">
        <w:t xml:space="preserve"> </w:t>
      </w:r>
      <w:r>
        <w:t xml:space="preserve">budget of over </w:t>
      </w:r>
      <w:r w:rsidRPr="00A102C1">
        <w:t xml:space="preserve">$206 million </w:t>
      </w:r>
      <w:r>
        <w:t>in distribution capital expenditures for reliability specific investments in 2012.</w:t>
      </w:r>
      <w:r w:rsidR="003B659A" w:rsidRPr="00A102C1">
        <w:rPr>
          <w:rStyle w:val="FootnoteReference"/>
        </w:rPr>
        <w:footnoteReference w:id="14"/>
      </w:r>
      <w:r>
        <w:t xml:space="preserve">  Therefore, under </w:t>
      </w:r>
      <w:r w:rsidR="001243CE">
        <w:t xml:space="preserve">the PUCO </w:t>
      </w:r>
      <w:r>
        <w:t>Staff’s analysis, AEP Ohio underspent by approximately 27% the amount it budgeted for reliability</w:t>
      </w:r>
      <w:r w:rsidR="003B659A">
        <w:t xml:space="preserve"> specific capital investments.  B</w:t>
      </w:r>
      <w:r>
        <w:t xml:space="preserve">ut </w:t>
      </w:r>
      <w:r w:rsidR="00736782">
        <w:t xml:space="preserve">the PUCO </w:t>
      </w:r>
      <w:r>
        <w:t xml:space="preserve">Staff provided no detailed explanation of how it reached that calculation.  </w:t>
      </w:r>
    </w:p>
    <w:p w:rsidR="00922A33" w:rsidRDefault="00800250" w:rsidP="00800250">
      <w:pPr>
        <w:spacing w:line="480" w:lineRule="auto"/>
        <w:ind w:firstLine="720"/>
      </w:pPr>
      <w:r>
        <w:t xml:space="preserve">Moreover, </w:t>
      </w:r>
      <w:r w:rsidR="00736782">
        <w:t xml:space="preserve">the PUCO </w:t>
      </w:r>
      <w:r>
        <w:t xml:space="preserve">Staff found that out of that $148,486,000, AEP Ohio only spent approximately $37 million in </w:t>
      </w:r>
      <w:r w:rsidRPr="003079E1">
        <w:rPr>
          <w:b/>
        </w:rPr>
        <w:t>proactive</w:t>
      </w:r>
      <w:r w:rsidR="001C093A">
        <w:t>/reliability or</w:t>
      </w:r>
      <w:r>
        <w:t xml:space="preserve"> approximately 25% of the total investment in reliability.</w:t>
      </w:r>
      <w:r>
        <w:rPr>
          <w:rStyle w:val="FootnoteReference"/>
        </w:rPr>
        <w:footnoteReference w:id="15"/>
      </w:r>
      <w:r>
        <w:t xml:space="preserve">  </w:t>
      </w:r>
      <w:r w:rsidR="00D67064">
        <w:t>And</w:t>
      </w:r>
      <w:r>
        <w:t xml:space="preserve"> </w:t>
      </w:r>
      <w:r w:rsidR="00736782">
        <w:t xml:space="preserve">the PUCO </w:t>
      </w:r>
      <w:r>
        <w:t>Staff did not specifically identify the distribution investments that it considered “proactive.”  In fact</w:t>
      </w:r>
      <w:r w:rsidR="004B455E">
        <w:t xml:space="preserve">, PUCO </w:t>
      </w:r>
      <w:r>
        <w:t>Staff’s Comments make no mention of whether</w:t>
      </w:r>
      <w:r w:rsidRPr="000A1252">
        <w:t xml:space="preserve"> </w:t>
      </w:r>
      <w:r>
        <w:t xml:space="preserve">any </w:t>
      </w:r>
      <w:r w:rsidR="00736782">
        <w:t xml:space="preserve">of the </w:t>
      </w:r>
      <w:r>
        <w:t>DIR</w:t>
      </w:r>
      <w:r w:rsidRPr="000A1252">
        <w:t xml:space="preserve"> investments are expected to contribute to </w:t>
      </w:r>
      <w:r w:rsidR="001C093A">
        <w:t xml:space="preserve">quantifiable </w:t>
      </w:r>
      <w:r w:rsidRPr="000A1252">
        <w:t xml:space="preserve">improved </w:t>
      </w:r>
      <w:r w:rsidR="00D10159" w:rsidRPr="000A1252">
        <w:t>reliability</w:t>
      </w:r>
      <w:r w:rsidRPr="000A1252">
        <w:t xml:space="preserve"> or </w:t>
      </w:r>
      <w:r>
        <w:t xml:space="preserve">more importantly </w:t>
      </w:r>
      <w:r w:rsidRPr="000A1252">
        <w:t xml:space="preserve">if </w:t>
      </w:r>
      <w:r>
        <w:t xml:space="preserve">the </w:t>
      </w:r>
      <w:r w:rsidRPr="000A1252">
        <w:t>investment</w:t>
      </w:r>
      <w:r>
        <w:t xml:space="preserve">s actually </w:t>
      </w:r>
      <w:r w:rsidRPr="00A102C1">
        <w:t>resulted in improved reliability.</w:t>
      </w:r>
      <w:r w:rsidRPr="00A102C1">
        <w:rPr>
          <w:rStyle w:val="FootnoteReference"/>
        </w:rPr>
        <w:footnoteReference w:id="16"/>
      </w:r>
      <w:r>
        <w:t xml:space="preserve"> </w:t>
      </w:r>
    </w:p>
    <w:p w:rsidR="00800250" w:rsidRPr="000A1252" w:rsidRDefault="00800250" w:rsidP="00800250">
      <w:pPr>
        <w:spacing w:line="480" w:lineRule="auto"/>
        <w:ind w:firstLine="720"/>
      </w:pPr>
      <w:r>
        <w:t xml:space="preserve">Because there is no affirmative demonstration that the DIR spending is proactively improving service reliability in a quantifiable manner, the DIR recovery should be limited to the 25% that </w:t>
      </w:r>
      <w:r w:rsidR="00736782">
        <w:t xml:space="preserve">the PUCO </w:t>
      </w:r>
      <w:r>
        <w:t xml:space="preserve">Staff identified.  </w:t>
      </w:r>
      <w:r w:rsidRPr="000A1252">
        <w:t xml:space="preserve">Without more detailed information, the </w:t>
      </w:r>
      <w:r w:rsidR="00736782">
        <w:t>PUCO</w:t>
      </w:r>
      <w:r w:rsidRPr="000A1252">
        <w:t xml:space="preserve"> cannot </w:t>
      </w:r>
      <w:r w:rsidR="00D67064">
        <w:t>conclude</w:t>
      </w:r>
      <w:r w:rsidRPr="000A1252">
        <w:t xml:space="preserve"> that </w:t>
      </w:r>
      <w:r w:rsidR="00D67064">
        <w:t xml:space="preserve">the other 75% of </w:t>
      </w:r>
      <w:r>
        <w:t>AEP Ohio’s investments under the</w:t>
      </w:r>
      <w:r w:rsidRPr="000A1252">
        <w:t xml:space="preserve"> </w:t>
      </w:r>
      <w:r>
        <w:t>DIR</w:t>
      </w:r>
      <w:r w:rsidRPr="000A1252">
        <w:t xml:space="preserve"> </w:t>
      </w:r>
      <w:r>
        <w:t xml:space="preserve">are </w:t>
      </w:r>
      <w:r w:rsidRPr="000A1252">
        <w:t xml:space="preserve">proactively improving reliability.  </w:t>
      </w:r>
      <w:r>
        <w:t>To the contrary, A</w:t>
      </w:r>
      <w:r w:rsidRPr="000A1252">
        <w:t>EP Ohio</w:t>
      </w:r>
      <w:r>
        <w:t xml:space="preserve"> has failed to comply with the mandated </w:t>
      </w:r>
      <w:r w:rsidRPr="000A1252">
        <w:t xml:space="preserve">reliability performance standards </w:t>
      </w:r>
      <w:r>
        <w:t xml:space="preserve">for </w:t>
      </w:r>
      <w:r w:rsidRPr="000A1252">
        <w:t>two years in a row</w:t>
      </w:r>
      <w:r>
        <w:t xml:space="preserve"> -- the two years since the DIR was approved.</w:t>
      </w:r>
      <w:r>
        <w:rPr>
          <w:rStyle w:val="FootnoteReference"/>
        </w:rPr>
        <w:footnoteReference w:id="17"/>
      </w:r>
      <w:r>
        <w:t xml:space="preserve">  Instead, the PUCO should direct the </w:t>
      </w:r>
      <w:r w:rsidR="00F809DA">
        <w:t xml:space="preserve">PUCO </w:t>
      </w:r>
      <w:r>
        <w:t xml:space="preserve">Staff </w:t>
      </w:r>
      <w:r w:rsidR="006167F3">
        <w:t xml:space="preserve">and AEP Ohio </w:t>
      </w:r>
      <w:r>
        <w:t>to conduct an analysis similar to what it is required to conduct for the 2013 DIR Work Plan</w:t>
      </w:r>
      <w:r w:rsidR="00F809DA">
        <w:t xml:space="preserve"> as explained below</w:t>
      </w:r>
      <w:r w:rsidR="004B506F">
        <w:t>.</w:t>
      </w:r>
    </w:p>
    <w:p w:rsidR="00800250" w:rsidRPr="000A1252" w:rsidRDefault="00800250" w:rsidP="00800250">
      <w:pPr>
        <w:spacing w:line="480" w:lineRule="auto"/>
        <w:ind w:firstLine="720"/>
      </w:pPr>
      <w:r>
        <w:t>As part of its 2013 DIR Work Plan</w:t>
      </w:r>
      <w:r w:rsidRPr="000A1252">
        <w:t xml:space="preserve">, </w:t>
      </w:r>
      <w:r>
        <w:t xml:space="preserve">AEP Ohio provided very little detail regarding the twenty-seven different programs valued at approximately $187 million and </w:t>
      </w:r>
      <w:r w:rsidR="00D67064">
        <w:t xml:space="preserve">provided </w:t>
      </w:r>
      <w:r>
        <w:t>no specific projections of the reliability improvements that could be expected.</w:t>
      </w:r>
      <w:r>
        <w:rPr>
          <w:rStyle w:val="FootnoteReference"/>
        </w:rPr>
        <w:footnoteReference w:id="18"/>
      </w:r>
      <w:r>
        <w:t xml:space="preserve">  The PUCO found that AEP Ohio’s </w:t>
      </w:r>
      <w:r w:rsidRPr="000A1252">
        <w:t>2013 DIR Work Plan</w:t>
      </w:r>
      <w:r>
        <w:t xml:space="preserve"> contained insufficient detail because it “</w:t>
      </w:r>
      <w:r w:rsidRPr="000A1252">
        <w:t>does not quantify, for many of the components, the reliability improvements that are expected to occur through the DIR investments, nor does it address the issue of double recovery or demonstrate that DIR spending levels will exceed AEP Ohio’s capital spending levels in recent years.</w:t>
      </w:r>
      <w:r>
        <w:t>”</w:t>
      </w:r>
      <w:r w:rsidRPr="000A1252">
        <w:rPr>
          <w:rStyle w:val="FootnoteReference"/>
        </w:rPr>
        <w:footnoteReference w:id="19"/>
      </w:r>
      <w:r>
        <w:t xml:space="preserve">  </w:t>
      </w:r>
      <w:r w:rsidRPr="000A1252">
        <w:t xml:space="preserve">To address the inadequacy of </w:t>
      </w:r>
      <w:r>
        <w:t>AEP Ohio’s</w:t>
      </w:r>
      <w:r w:rsidRPr="000A1252">
        <w:t xml:space="preserve"> 2013 DIR Work Plan, the </w:t>
      </w:r>
      <w:r w:rsidR="00F809DA">
        <w:t>PUCO</w:t>
      </w:r>
      <w:r w:rsidRPr="000A1252">
        <w:t xml:space="preserve"> directed </w:t>
      </w:r>
      <w:r>
        <w:t>AEP Ohio to:</w:t>
      </w:r>
    </w:p>
    <w:p w:rsidR="00800250" w:rsidRDefault="00800250" w:rsidP="00CD0DA6">
      <w:pPr>
        <w:autoSpaceDE w:val="0"/>
        <w:autoSpaceDN w:val="0"/>
        <w:adjustRightInd w:val="0"/>
        <w:ind w:left="1440" w:right="720"/>
      </w:pPr>
      <w:r w:rsidRPr="000A1252">
        <w:t>quantify actual reliability improvements achieved for any program that is expected to reduce the frequency and/or duration of outages. For any program that is expected to maintain reliability, AEP Ohio is directed to quantify the outages avoided by implementation of the DIR plan in 2013. AEP Ohio shall provide this information to Staff in writing by February 28, 2014.</w:t>
      </w:r>
      <w:r w:rsidRPr="000A1252">
        <w:rPr>
          <w:rStyle w:val="FootnoteReference"/>
        </w:rPr>
        <w:footnoteReference w:id="20"/>
      </w:r>
    </w:p>
    <w:p w:rsidR="00800250" w:rsidRDefault="00800250" w:rsidP="00800250">
      <w:pPr>
        <w:autoSpaceDE w:val="0"/>
        <w:autoSpaceDN w:val="0"/>
        <w:adjustRightInd w:val="0"/>
      </w:pPr>
    </w:p>
    <w:p w:rsidR="00800250" w:rsidRDefault="00800250" w:rsidP="00800250">
      <w:pPr>
        <w:autoSpaceDE w:val="0"/>
        <w:autoSpaceDN w:val="0"/>
        <w:adjustRightInd w:val="0"/>
        <w:spacing w:line="480" w:lineRule="auto"/>
        <w:ind w:firstLine="720"/>
      </w:pPr>
      <w:r>
        <w:t xml:space="preserve">The PUCO Staff’s review </w:t>
      </w:r>
      <w:r w:rsidR="00F809DA">
        <w:t xml:space="preserve">and treatment of the </w:t>
      </w:r>
      <w:r w:rsidR="006167F3">
        <w:t xml:space="preserve">DIR investments, requested in this proceeding, </w:t>
      </w:r>
      <w:r>
        <w:t>should be no different than what the PUCO requires for the 2013 review</w:t>
      </w:r>
      <w:r w:rsidR="006167F3">
        <w:t xml:space="preserve"> as described </w:t>
      </w:r>
      <w:r w:rsidR="00D13362">
        <w:t>in Finding and Order quoted in the preceding paragraph</w:t>
      </w:r>
      <w:r>
        <w:t xml:space="preserve">.  The </w:t>
      </w:r>
      <w:r w:rsidR="00F809DA">
        <w:t>PUCO</w:t>
      </w:r>
      <w:r>
        <w:t xml:space="preserve"> should require AEP Ohio to file a report within 30 days of an Order from this case that quantifies the reliability improvements that occurred </w:t>
      </w:r>
      <w:r w:rsidR="006167F3">
        <w:t>as a result of this</w:t>
      </w:r>
      <w:r>
        <w:t xml:space="preserve"> DIR</w:t>
      </w:r>
      <w:r w:rsidR="006167F3">
        <w:t xml:space="preserve"> proceeding</w:t>
      </w:r>
      <w:r>
        <w:t xml:space="preserve">.  Furthermore, the Commission should require the </w:t>
      </w:r>
      <w:r w:rsidR="00F809DA">
        <w:t xml:space="preserve">PUCO </w:t>
      </w:r>
      <w:r>
        <w:t>Staff to identify each “proactive reliability” program and to describe how the program contributes to improved reliability to assist in tracking progress on a going forward basis.</w:t>
      </w:r>
    </w:p>
    <w:p w:rsidR="00CE58D9" w:rsidRDefault="00CD0DA6" w:rsidP="00CD0DA6">
      <w:pPr>
        <w:pStyle w:val="Heading2"/>
      </w:pPr>
      <w:bookmarkStart w:id="9" w:name="_Toc363054045"/>
      <w:bookmarkStart w:id="10" w:name="_Toc363221511"/>
      <w:r>
        <w:t>B.</w:t>
      </w:r>
      <w:r>
        <w:tab/>
      </w:r>
      <w:r w:rsidR="00CE58D9" w:rsidRPr="00CE58D9">
        <w:t>Comments on the Audit Report</w:t>
      </w:r>
      <w:bookmarkEnd w:id="9"/>
      <w:bookmarkEnd w:id="10"/>
    </w:p>
    <w:p w:rsidR="00E4155B" w:rsidRDefault="00025CFB" w:rsidP="00025CFB">
      <w:pPr>
        <w:spacing w:line="480" w:lineRule="auto"/>
        <w:ind w:firstLine="720"/>
      </w:pPr>
      <w:r>
        <w:t xml:space="preserve">As explained in more detail below, </w:t>
      </w:r>
      <w:r w:rsidRPr="00E17E5E">
        <w:t>OCC supports Blue Ridge’s recommendations</w:t>
      </w:r>
      <w:r w:rsidR="009C35CC">
        <w:t xml:space="preserve">. </w:t>
      </w:r>
      <w:r w:rsidRPr="00E17E5E">
        <w:t xml:space="preserve"> </w:t>
      </w:r>
      <w:r>
        <w:t xml:space="preserve">However, </w:t>
      </w:r>
      <w:r w:rsidR="00601AA2">
        <w:t>as explained further below, the recommendations in the Blue Ride Audit Report do</w:t>
      </w:r>
      <w:r w:rsidR="009C35CC">
        <w:t xml:space="preserve"> not go far enough to protect AEP Ohio’s customers.  For example, there should be </w:t>
      </w:r>
      <w:r>
        <w:t>an allocation between jurisdictional and non-jurisdictional plant</w:t>
      </w:r>
      <w:r w:rsidRPr="00E17E5E">
        <w:t>, the amount of first quarter gridSMART expenses</w:t>
      </w:r>
      <w:r w:rsidR="009C35CC">
        <w:t xml:space="preserve"> should be corrected</w:t>
      </w:r>
      <w:r>
        <w:t>,</w:t>
      </w:r>
      <w:r w:rsidRPr="00E17E5E">
        <w:t xml:space="preserve"> and </w:t>
      </w:r>
      <w:r w:rsidR="009C35CC">
        <w:t xml:space="preserve">there should be </w:t>
      </w:r>
      <w:r>
        <w:t xml:space="preserve">an exclusion for </w:t>
      </w:r>
      <w:r w:rsidRPr="00E17E5E">
        <w:t xml:space="preserve">land held </w:t>
      </w:r>
      <w:r>
        <w:t>for future use</w:t>
      </w:r>
      <w:r w:rsidRPr="00E17E5E">
        <w:t xml:space="preserve"> from net plant.  </w:t>
      </w:r>
      <w:r w:rsidR="007674A1">
        <w:t>C</w:t>
      </w:r>
      <w:r w:rsidRPr="00E17E5E">
        <w:t xml:space="preserve">ommercial activities tax and uncollectibles should be removed from the </w:t>
      </w:r>
      <w:r>
        <w:t xml:space="preserve">proposed </w:t>
      </w:r>
      <w:r w:rsidRPr="00E17E5E">
        <w:t>carrying charge rate</w:t>
      </w:r>
      <w:r w:rsidR="009C35CC">
        <w:t xml:space="preserve"> so that customers do not pay twice for those amounts</w:t>
      </w:r>
      <w:r w:rsidRPr="00E17E5E">
        <w:t xml:space="preserve">.  </w:t>
      </w:r>
      <w:r w:rsidR="007674A1">
        <w:t>The PUCO should establish</w:t>
      </w:r>
      <w:r>
        <w:t xml:space="preserve"> an over/under revenue tracker in order to true up DIR recoveries from one year to the next.</w:t>
      </w:r>
    </w:p>
    <w:p w:rsidR="00025CFB" w:rsidRDefault="00845B24" w:rsidP="00025CFB">
      <w:pPr>
        <w:spacing w:line="480" w:lineRule="auto"/>
        <w:ind w:firstLine="720"/>
      </w:pPr>
      <w:r>
        <w:t>OCC also recommends that</w:t>
      </w:r>
      <w:r w:rsidR="00025CFB">
        <w:t xml:space="preserve"> only 25% of the 2012 distribution plant additions</w:t>
      </w:r>
      <w:r w:rsidR="00BB0CBC">
        <w:t xml:space="preserve"> should</w:t>
      </w:r>
      <w:r w:rsidR="00025CFB">
        <w:t xml:space="preserve"> be included in the DIR for cost recovery in this case because the Utility failed to demonstrate that the DIR expenditures will actually improve reliability in a quantifiable manner as required by the PUCO Order establishing the DIR mechanism.</w:t>
      </w:r>
      <w:r w:rsidR="00025CFB">
        <w:rPr>
          <w:rStyle w:val="FootnoteReference"/>
        </w:rPr>
        <w:footnoteReference w:id="21"/>
      </w:r>
      <w:r w:rsidR="00025CFB">
        <w:t xml:space="preserve">  </w:t>
      </w:r>
      <w:r w:rsidR="00D67064">
        <w:t>Some of t</w:t>
      </w:r>
      <w:r w:rsidR="00025CFB">
        <w:t xml:space="preserve">he remaining 75% of those costs </w:t>
      </w:r>
      <w:r w:rsidR="00D67064">
        <w:t>c</w:t>
      </w:r>
      <w:r w:rsidR="00025CFB">
        <w:t>ould be recovered through a distribution rate case</w:t>
      </w:r>
      <w:r w:rsidR="00D67064">
        <w:t xml:space="preserve"> if any of those costs are found to be prudent, just and reasonable</w:t>
      </w:r>
      <w:r w:rsidR="00025CFB">
        <w:t xml:space="preserve">.  </w:t>
      </w:r>
      <w:r w:rsidR="00025CFB" w:rsidRPr="00E17E5E">
        <w:t xml:space="preserve">Finally, </w:t>
      </w:r>
      <w:r w:rsidR="007674A1">
        <w:t xml:space="preserve">the PUCO should require its </w:t>
      </w:r>
      <w:r w:rsidR="00025CFB" w:rsidRPr="00E17E5E">
        <w:t xml:space="preserve">Staff </w:t>
      </w:r>
      <w:r w:rsidR="007674A1">
        <w:t xml:space="preserve">to </w:t>
      </w:r>
      <w:r w:rsidR="00025CFB" w:rsidRPr="00E17E5E">
        <w:t xml:space="preserve">conduct a more thorough review </w:t>
      </w:r>
      <w:r w:rsidR="009D2A02">
        <w:t xml:space="preserve">of the reliability investments </w:t>
      </w:r>
      <w:r w:rsidR="00A566EC">
        <w:t>that AEP Ohio is seeking to recover</w:t>
      </w:r>
      <w:r w:rsidR="009D2A02">
        <w:t xml:space="preserve"> in this proceeding</w:t>
      </w:r>
      <w:r w:rsidR="00025CFB" w:rsidRPr="00E17E5E">
        <w:t>.</w:t>
      </w:r>
    </w:p>
    <w:p w:rsidR="00193C56" w:rsidRPr="00193C56" w:rsidRDefault="00C37E43" w:rsidP="00CD0DA6">
      <w:pPr>
        <w:pStyle w:val="Heading3"/>
      </w:pPr>
      <w:bookmarkStart w:id="11" w:name="_Toc363054046"/>
      <w:bookmarkStart w:id="12" w:name="_Toc363221512"/>
      <w:r>
        <w:t>1.</w:t>
      </w:r>
      <w:r>
        <w:tab/>
        <w:t>Net plant in service should</w:t>
      </w:r>
      <w:r w:rsidR="00193C56" w:rsidRPr="00193C56">
        <w:t xml:space="preserve"> exclude non-jurisdictional plant.</w:t>
      </w:r>
      <w:bookmarkEnd w:id="11"/>
      <w:bookmarkEnd w:id="12"/>
      <w:r w:rsidR="001245A2">
        <w:t xml:space="preserve"> </w:t>
      </w:r>
    </w:p>
    <w:p w:rsidR="00D10159" w:rsidRDefault="00896979" w:rsidP="004B506F">
      <w:pPr>
        <w:spacing w:line="480" w:lineRule="auto"/>
        <w:ind w:firstLine="720"/>
      </w:pPr>
      <w:r>
        <w:t xml:space="preserve"> A review</w:t>
      </w:r>
      <w:r w:rsidR="00193C56" w:rsidRPr="00193C56">
        <w:t> </w:t>
      </w:r>
      <w:r>
        <w:t xml:space="preserve">of AEP Ohio’s most recent base rate case (Case No. </w:t>
      </w:r>
      <w:r w:rsidR="004B506F">
        <w:t>11-352-</w:t>
      </w:r>
      <w:r>
        <w:t>EL-AIR) indicates that</w:t>
      </w:r>
      <w:r w:rsidR="00193C56" w:rsidRPr="00193C56">
        <w:t xml:space="preserve"> some of Ohio Power</w:t>
      </w:r>
      <w:r>
        <w:t>’s plant was</w:t>
      </w:r>
      <w:r w:rsidR="00193C56" w:rsidRPr="00193C56">
        <w:t xml:space="preserve"> allocated to non-jurisdictional customers.</w:t>
      </w:r>
      <w:r w:rsidR="00601AA2">
        <w:rPr>
          <w:rStyle w:val="FootnoteReference"/>
        </w:rPr>
        <w:footnoteReference w:id="22"/>
      </w:r>
      <w:r w:rsidR="004B506F">
        <w:t xml:space="preserve"> </w:t>
      </w:r>
      <w:r w:rsidR="00601AA2">
        <w:t xml:space="preserve"> </w:t>
      </w:r>
      <w:r w:rsidR="00670C7D">
        <w:t>Ohio Power C</w:t>
      </w:r>
      <w:r w:rsidR="004B506F">
        <w:t>om</w:t>
      </w:r>
      <w:r w:rsidR="00670C7D">
        <w:t>pany and Staff Report Schedules</w:t>
      </w:r>
      <w:r w:rsidR="009C1DF9">
        <w:t xml:space="preserve"> B-2 show that </w:t>
      </w:r>
      <w:r w:rsidR="004B506F">
        <w:t>99.90</w:t>
      </w:r>
      <w:r w:rsidR="00670C7D">
        <w:t>%</w:t>
      </w:r>
      <w:r w:rsidR="004B506F">
        <w:t xml:space="preserve"> of distribution plant is a</w:t>
      </w:r>
      <w:r w:rsidR="00670C7D">
        <w:t>llocated to Ohio jurisdictional</w:t>
      </w:r>
      <w:r>
        <w:t>.</w:t>
      </w:r>
      <w:r>
        <w:rPr>
          <w:rStyle w:val="FootnoteReference"/>
        </w:rPr>
        <w:footnoteReference w:id="23"/>
      </w:r>
      <w:r w:rsidR="009C1DF9">
        <w:t xml:space="preserve"> </w:t>
      </w:r>
      <w:r w:rsidR="00193C56" w:rsidRPr="00193C56">
        <w:t xml:space="preserve"> </w:t>
      </w:r>
      <w:r w:rsidR="00193C56">
        <w:t xml:space="preserve"> </w:t>
      </w:r>
      <w:r w:rsidR="00193C56" w:rsidRPr="00193C56">
        <w:t xml:space="preserve">However, AEP </w:t>
      </w:r>
      <w:r w:rsidR="00E332DE">
        <w:t xml:space="preserve">Ohio </w:t>
      </w:r>
      <w:r w:rsidR="00193C56" w:rsidRPr="00193C56">
        <w:t>computes DIR net plant by subtracting the Staff</w:t>
      </w:r>
      <w:r w:rsidR="00F07B87">
        <w:t>’</w:t>
      </w:r>
      <w:r w:rsidR="00193C56" w:rsidRPr="00193C56">
        <w:t>s adjusted jurisdictional</w:t>
      </w:r>
      <w:r w:rsidR="004B506F">
        <w:t xml:space="preserve"> net</w:t>
      </w:r>
      <w:r w:rsidR="00193C56" w:rsidRPr="00193C56">
        <w:t xml:space="preserve"> plant (</w:t>
      </w:r>
      <w:r w:rsidR="00E332DE">
        <w:t>$</w:t>
      </w:r>
      <w:r w:rsidR="004B506F">
        <w:t>2,092,752,000</w:t>
      </w:r>
      <w:r w:rsidR="00193C56" w:rsidRPr="00193C56">
        <w:t xml:space="preserve">) </w:t>
      </w:r>
    </w:p>
    <w:p w:rsidR="00BC193A" w:rsidRDefault="00D10159" w:rsidP="00D10159">
      <w:pPr>
        <w:spacing w:line="480" w:lineRule="auto"/>
      </w:pPr>
      <w:r>
        <w:br w:type="page"/>
      </w:r>
      <w:r w:rsidR="00193C56" w:rsidRPr="00193C56">
        <w:t>f</w:t>
      </w:r>
      <w:r w:rsidR="00E332DE">
        <w:t>r</w:t>
      </w:r>
      <w:r w:rsidR="00193C56" w:rsidRPr="00193C56">
        <w:t xml:space="preserve">om total </w:t>
      </w:r>
      <w:r w:rsidR="00F07B87">
        <w:t>Utility</w:t>
      </w:r>
      <w:r w:rsidR="00193C56" w:rsidRPr="00193C56">
        <w:t> net plant for each of 2012 quarterly filings.</w:t>
      </w:r>
      <w:r w:rsidR="00E332DE">
        <w:rPr>
          <w:rStyle w:val="FootnoteReference"/>
        </w:rPr>
        <w:footnoteReference w:id="24"/>
      </w:r>
      <w:r w:rsidR="00193C56" w:rsidRPr="00193C56">
        <w:t xml:space="preserve"> </w:t>
      </w:r>
      <w:r w:rsidR="00E332DE">
        <w:t xml:space="preserve"> </w:t>
      </w:r>
      <w:r w:rsidR="00193C56" w:rsidRPr="00193C56">
        <w:t xml:space="preserve">The </w:t>
      </w:r>
      <w:r w:rsidR="00E332DE">
        <w:t xml:space="preserve">Utility </w:t>
      </w:r>
      <w:r w:rsidR="00193C56" w:rsidRPr="00193C56">
        <w:t xml:space="preserve">calculation allows the recovery of non-jurisdictional plant in the DIR revenue requirement.  </w:t>
      </w:r>
      <w:r w:rsidR="00601AA2">
        <w:t>Accordingly</w:t>
      </w:r>
      <w:r w:rsidR="00193C56" w:rsidRPr="00193C56">
        <w:t xml:space="preserve">, </w:t>
      </w:r>
      <w:r w:rsidR="00601AA2">
        <w:t xml:space="preserve">all </w:t>
      </w:r>
      <w:r w:rsidR="00193C56" w:rsidRPr="00193C56">
        <w:t xml:space="preserve">non-jurisdictional net plant </w:t>
      </w:r>
      <w:r w:rsidR="00601AA2">
        <w:t xml:space="preserve">should </w:t>
      </w:r>
      <w:r w:rsidR="00193C56" w:rsidRPr="00193C56">
        <w:t>be</w:t>
      </w:r>
      <w:r w:rsidR="00193C56">
        <w:t xml:space="preserve"> excluded from the calculation </w:t>
      </w:r>
      <w:r w:rsidR="00896979">
        <w:t>of </w:t>
      </w:r>
      <w:r w:rsidR="00193C56" w:rsidRPr="00193C56">
        <w:t>DIR revenue requirement in this proceeding.</w:t>
      </w:r>
      <w:r w:rsidR="00193C56">
        <w:t xml:space="preserve"> </w:t>
      </w:r>
      <w:r w:rsidR="00193C56" w:rsidRPr="00193C56">
        <w:t xml:space="preserve"> </w:t>
      </w:r>
      <w:r w:rsidR="00BB0CBC">
        <w:t>The impact of OCC’s recommendation is set forth on a</w:t>
      </w:r>
      <w:r w:rsidR="00E332DE">
        <w:t xml:space="preserve">ttached </w:t>
      </w:r>
      <w:r w:rsidR="00193C56" w:rsidRPr="00193C56">
        <w:t>Schedule 2</w:t>
      </w:r>
      <w:r w:rsidR="000834AB">
        <w:t>,</w:t>
      </w:r>
      <w:r w:rsidR="00E332DE">
        <w:t xml:space="preserve"> </w:t>
      </w:r>
      <w:r w:rsidR="00BB0CBC">
        <w:t>which shows</w:t>
      </w:r>
      <w:r w:rsidR="00193C56" w:rsidRPr="00193C56">
        <w:t xml:space="preserve"> the calculation of </w:t>
      </w:r>
      <w:r w:rsidR="00BB0CBC">
        <w:t xml:space="preserve">the </w:t>
      </w:r>
      <w:r w:rsidR="00193C56" w:rsidRPr="00193C56">
        <w:t xml:space="preserve">jurisdictional plant-in-service allocation factor </w:t>
      </w:r>
      <w:r w:rsidR="00E332DE">
        <w:t xml:space="preserve">that should be used.  Attached </w:t>
      </w:r>
      <w:r w:rsidR="00193C56" w:rsidRPr="00193C56">
        <w:t xml:space="preserve">Schedule 3 </w:t>
      </w:r>
      <w:r w:rsidR="00E332DE">
        <w:t xml:space="preserve">sets </w:t>
      </w:r>
      <w:r w:rsidR="00193C56" w:rsidRPr="00193C56">
        <w:t>for</w:t>
      </w:r>
      <w:r w:rsidR="00E332DE">
        <w:t>th</w:t>
      </w:r>
      <w:r w:rsidR="00193C56" w:rsidRPr="00193C56">
        <w:t xml:space="preserve"> the calculation of jurisdictional depreciation reserve allocation factor.</w:t>
      </w:r>
    </w:p>
    <w:p w:rsidR="00193C56" w:rsidRPr="001245A2" w:rsidRDefault="00193C56" w:rsidP="00CD0DA6">
      <w:pPr>
        <w:pStyle w:val="Heading3"/>
      </w:pPr>
      <w:bookmarkStart w:id="13" w:name="_Toc363054047"/>
      <w:bookmarkStart w:id="14" w:name="_Toc363221513"/>
      <w:r w:rsidRPr="001245A2">
        <w:t>2.</w:t>
      </w:r>
      <w:r w:rsidRPr="001245A2">
        <w:tab/>
      </w:r>
      <w:r w:rsidR="000834AB">
        <w:t>$15,788,</w:t>
      </w:r>
      <w:r w:rsidR="00FB012E">
        <w:t>966 should be used for the</w:t>
      </w:r>
      <w:r w:rsidRPr="001245A2">
        <w:t xml:space="preserve"> amount of gridSMART net plant </w:t>
      </w:r>
      <w:r w:rsidR="00FB012E">
        <w:t xml:space="preserve">for </w:t>
      </w:r>
      <w:r w:rsidR="00B860E3">
        <w:t>the</w:t>
      </w:r>
      <w:r w:rsidR="00F37CC9">
        <w:t xml:space="preserve"> </w:t>
      </w:r>
      <w:r w:rsidRPr="001245A2">
        <w:t xml:space="preserve">1st Quarter of </w:t>
      </w:r>
      <w:r w:rsidR="00FB012E">
        <w:t xml:space="preserve">the </w:t>
      </w:r>
      <w:r w:rsidRPr="001245A2">
        <w:t>2012 DIR revenue requirement calculation.</w:t>
      </w:r>
      <w:bookmarkEnd w:id="13"/>
      <w:bookmarkEnd w:id="14"/>
    </w:p>
    <w:p w:rsidR="00CD0DA6" w:rsidRDefault="00193C56" w:rsidP="000834AB">
      <w:pPr>
        <w:spacing w:line="480" w:lineRule="auto"/>
      </w:pPr>
      <w:r w:rsidRPr="00193C56">
        <w:t> </w:t>
      </w:r>
      <w:r w:rsidR="00CD0DA6">
        <w:tab/>
      </w:r>
      <w:r w:rsidRPr="00193C56">
        <w:t>AEP</w:t>
      </w:r>
      <w:r w:rsidR="00E332DE">
        <w:t xml:space="preserve"> Ohio’s initial</w:t>
      </w:r>
      <w:r w:rsidRPr="00193C56">
        <w:t xml:space="preserve"> DIR </w:t>
      </w:r>
      <w:r w:rsidR="00E332DE">
        <w:t xml:space="preserve">filing </w:t>
      </w:r>
      <w:r w:rsidRPr="00193C56">
        <w:t>included a</w:t>
      </w:r>
      <w:r w:rsidR="00E332DE">
        <w:t xml:space="preserve">n incorrect </w:t>
      </w:r>
      <w:r w:rsidRPr="00193C56">
        <w:t>amount for gridSMART net plant of $7,909,386</w:t>
      </w:r>
      <w:r w:rsidR="00D67064">
        <w:t>.</w:t>
      </w:r>
      <w:r w:rsidR="00F07B87">
        <w:rPr>
          <w:rStyle w:val="FootnoteReference"/>
        </w:rPr>
        <w:footnoteReference w:id="25"/>
      </w:r>
      <w:r w:rsidRPr="00193C56">
        <w:t xml:space="preserve"> </w:t>
      </w:r>
      <w:r w:rsidR="00D67064">
        <w:t xml:space="preserve"> The use of this incorrect amount overstates </w:t>
      </w:r>
      <w:r w:rsidRPr="00193C56">
        <w:t xml:space="preserve">the DIR revenue requirement for the first quarter. </w:t>
      </w:r>
      <w:r w:rsidR="00E332DE">
        <w:t xml:space="preserve"> </w:t>
      </w:r>
      <w:r w:rsidR="00601AA2">
        <w:t>T</w:t>
      </w:r>
      <w:r w:rsidRPr="00193C56">
        <w:t>he corrected amount of gridSMART net plant of $15,788,966</w:t>
      </w:r>
      <w:r w:rsidR="00F07B87">
        <w:rPr>
          <w:rStyle w:val="FootnoteReference"/>
        </w:rPr>
        <w:footnoteReference w:id="26"/>
      </w:r>
      <w:r w:rsidRPr="00193C56">
        <w:t xml:space="preserve"> </w:t>
      </w:r>
      <w:r w:rsidR="00601AA2">
        <w:t xml:space="preserve">should </w:t>
      </w:r>
      <w:r w:rsidRPr="00193C56">
        <w:t>be used in the calculation of the DIR revenue requirement</w:t>
      </w:r>
      <w:r w:rsidR="00E332DE">
        <w:t xml:space="preserve"> as set forth in attached </w:t>
      </w:r>
      <w:r w:rsidRPr="00193C56">
        <w:t>Schedule 1</w:t>
      </w:r>
      <w:r w:rsidR="00E332DE">
        <w:t>.</w:t>
      </w:r>
    </w:p>
    <w:p w:rsidR="00193C56" w:rsidRPr="00CD1223" w:rsidRDefault="00193C56" w:rsidP="00670C7D">
      <w:pPr>
        <w:pStyle w:val="Heading3"/>
      </w:pPr>
      <w:bookmarkStart w:id="15" w:name="_Toc363054048"/>
      <w:bookmarkStart w:id="16" w:name="_Toc363221514"/>
      <w:r w:rsidRPr="00CD1223">
        <w:t>3.</w:t>
      </w:r>
      <w:r w:rsidRPr="00CD1223">
        <w:tab/>
      </w:r>
      <w:r w:rsidR="001555E1">
        <w:t>All gridSMART spending that is collected from customers through the gridSMART rider must be excluded from the DIR rider.</w:t>
      </w:r>
      <w:bookmarkEnd w:id="15"/>
      <w:bookmarkEnd w:id="16"/>
    </w:p>
    <w:p w:rsidR="00193C56" w:rsidRDefault="00193C56" w:rsidP="00CD0DA6">
      <w:pPr>
        <w:spacing w:line="480" w:lineRule="auto"/>
      </w:pPr>
      <w:r w:rsidRPr="00193C56">
        <w:t> </w:t>
      </w:r>
      <w:r w:rsidR="00CD0DA6">
        <w:tab/>
      </w:r>
      <w:r w:rsidR="00BC193A">
        <w:t>In the ESP Order, the PUCO indicated that any gridSMART spending that is recovered through the gridSMART Rider should be excluded from recovery in the DIR rider.</w:t>
      </w:r>
      <w:r w:rsidR="00BC193A">
        <w:rPr>
          <w:rStyle w:val="FootnoteReference"/>
        </w:rPr>
        <w:footnoteReference w:id="27"/>
      </w:r>
      <w:r w:rsidR="00BC193A">
        <w:t xml:space="preserve">  Blue Ridge noted that at some point in time, it expected AEP Ohio to book the $46.6 -$47.3 million to plant in service.  At that time, Blue Ridge recommended that the Utility reconcile the difference between </w:t>
      </w:r>
      <w:r w:rsidR="00670C7D">
        <w:t xml:space="preserve">the </w:t>
      </w:r>
      <w:r w:rsidR="00BC193A">
        <w:t>actual amount spent/reimbursed by the Department of Energy and the amount excluded from the DIR.</w:t>
      </w:r>
      <w:r w:rsidR="00BC193A">
        <w:rPr>
          <w:rStyle w:val="FootnoteReference"/>
        </w:rPr>
        <w:footnoteReference w:id="28"/>
      </w:r>
      <w:r w:rsidR="009C1DF9">
        <w:t xml:space="preserve">  </w:t>
      </w:r>
      <w:r w:rsidR="00E332DE">
        <w:t>OCC</w:t>
      </w:r>
      <w:r w:rsidRPr="00E332DE">
        <w:t xml:space="preserve"> agree</w:t>
      </w:r>
      <w:r w:rsidR="00E332DE">
        <w:t>s</w:t>
      </w:r>
      <w:r w:rsidRPr="00E332DE">
        <w:t xml:space="preserve"> with</w:t>
      </w:r>
      <w:r w:rsidR="00E332DE">
        <w:t xml:space="preserve"> </w:t>
      </w:r>
      <w:r w:rsidR="00670C7D">
        <w:t>Blue Ridge</w:t>
      </w:r>
      <w:r w:rsidR="00F71860">
        <w:t>’s</w:t>
      </w:r>
      <w:r w:rsidR="00670C7D">
        <w:t xml:space="preserve"> recommendation</w:t>
      </w:r>
      <w:r w:rsidR="001555E1">
        <w:t>. Additionally</w:t>
      </w:r>
      <w:r w:rsidR="00F71860">
        <w:t>, the PUCO should require</w:t>
      </w:r>
      <w:r w:rsidRPr="00E332DE">
        <w:t xml:space="preserve"> AEP</w:t>
      </w:r>
      <w:r w:rsidR="00A15D0E">
        <w:t xml:space="preserve"> Ohio</w:t>
      </w:r>
      <w:r w:rsidRPr="00E332DE">
        <w:t xml:space="preserve"> </w:t>
      </w:r>
      <w:r w:rsidR="00F71860">
        <w:t>to</w:t>
      </w:r>
      <w:r w:rsidRPr="00E332DE">
        <w:t xml:space="preserve"> reconcil</w:t>
      </w:r>
      <w:r w:rsidR="004B455E">
        <w:t>e</w:t>
      </w:r>
      <w:r w:rsidRPr="00E332DE">
        <w:t> its next DIR filing to reflect the proper amount of girdSMART plant to be excluded from the DIR.</w:t>
      </w:r>
    </w:p>
    <w:p w:rsidR="00670C7D" w:rsidRPr="00193C56" w:rsidRDefault="00193C56" w:rsidP="00CD0DA6">
      <w:pPr>
        <w:spacing w:line="480" w:lineRule="auto"/>
      </w:pPr>
      <w:r w:rsidRPr="00193C56">
        <w:t> </w:t>
      </w:r>
      <w:r w:rsidR="00CD0DA6">
        <w:tab/>
      </w:r>
      <w:r w:rsidR="001555E1">
        <w:t>Furthermore,</w:t>
      </w:r>
      <w:r w:rsidRPr="00193C56">
        <w:t xml:space="preserve"> Blue Ridge </w:t>
      </w:r>
      <w:r w:rsidR="00A15D0E">
        <w:t>noted</w:t>
      </w:r>
      <w:r w:rsidR="00800250">
        <w:t> that</w:t>
      </w:r>
      <w:r w:rsidR="00670C7D">
        <w:t xml:space="preserve"> FERC Account 37016 was charged</w:t>
      </w:r>
      <w:r w:rsidRPr="00193C56">
        <w:t xml:space="preserve"> $15.2 million </w:t>
      </w:r>
      <w:r w:rsidR="00800250">
        <w:t>for</w:t>
      </w:r>
      <w:r w:rsidRPr="00193C56">
        <w:t xml:space="preserve"> AMI meters</w:t>
      </w:r>
      <w:r w:rsidR="00A15D0E">
        <w:t>.</w:t>
      </w:r>
      <w:r w:rsidR="00A15D0E">
        <w:rPr>
          <w:rStyle w:val="FootnoteReference"/>
        </w:rPr>
        <w:footnoteReference w:id="29"/>
      </w:r>
      <w:r w:rsidR="00A15D0E">
        <w:t xml:space="preserve">  </w:t>
      </w:r>
      <w:r w:rsidR="00800250">
        <w:t>Blue Ridge was unable to conclude that all gridSMART meters had been excluded from the DIR.</w:t>
      </w:r>
      <w:r w:rsidR="00800250">
        <w:rPr>
          <w:rStyle w:val="FootnoteReference"/>
        </w:rPr>
        <w:footnoteReference w:id="30"/>
      </w:r>
      <w:r w:rsidR="00800250">
        <w:t xml:space="preserve">  </w:t>
      </w:r>
      <w:r w:rsidRPr="00193C56">
        <w:t xml:space="preserve"> </w:t>
      </w:r>
      <w:r w:rsidR="00800250">
        <w:t xml:space="preserve">As a result, </w:t>
      </w:r>
      <w:r w:rsidR="00A15D0E">
        <w:t>Blue Ridge</w:t>
      </w:r>
      <w:r w:rsidRPr="00193C56">
        <w:t xml:space="preserve"> recommend</w:t>
      </w:r>
      <w:r w:rsidR="00A15D0E">
        <w:t>ed</w:t>
      </w:r>
      <w:r w:rsidRPr="00193C56">
        <w:t xml:space="preserve"> that AEP </w:t>
      </w:r>
      <w:r w:rsidR="00A15D0E">
        <w:t xml:space="preserve">Ohio </w:t>
      </w:r>
      <w:r w:rsidRPr="00193C56">
        <w:t xml:space="preserve">address this concern and identify the </w:t>
      </w:r>
      <w:r w:rsidR="00A15D0E">
        <w:t xml:space="preserve">correct </w:t>
      </w:r>
      <w:r w:rsidR="00670C7D">
        <w:t>amount of g</w:t>
      </w:r>
      <w:r w:rsidRPr="00193C56">
        <w:t>r</w:t>
      </w:r>
      <w:r w:rsidR="00670C7D">
        <w:t>i</w:t>
      </w:r>
      <w:r w:rsidRPr="00193C56">
        <w:t>dSMART to be excluded</w:t>
      </w:r>
      <w:r w:rsidR="00A15D0E">
        <w:t xml:space="preserve"> in order to avoid any double recovery</w:t>
      </w:r>
      <w:r w:rsidRPr="00193C56">
        <w:t>.</w:t>
      </w:r>
      <w:r w:rsidR="00800250">
        <w:rPr>
          <w:rStyle w:val="FootnoteReference"/>
        </w:rPr>
        <w:footnoteReference w:id="31"/>
      </w:r>
      <w:r w:rsidR="00A15D0E">
        <w:t xml:space="preserve">  </w:t>
      </w:r>
      <w:r w:rsidR="001555E1">
        <w:t>The PUCO should require the protections necessary to ensure that all gridSMART spending that is recovered through the gridSMART Rider is excluded from the DIR.</w:t>
      </w:r>
    </w:p>
    <w:p w:rsidR="002A7D0A" w:rsidRPr="008F7450" w:rsidRDefault="001555E1" w:rsidP="00CD0DA6">
      <w:pPr>
        <w:pStyle w:val="Heading3"/>
      </w:pPr>
      <w:bookmarkStart w:id="17" w:name="_Toc363054050"/>
      <w:bookmarkStart w:id="18" w:name="_Toc363221515"/>
      <w:r>
        <w:t>4</w:t>
      </w:r>
      <w:r w:rsidR="00193C56" w:rsidRPr="00A15D0E">
        <w:t>.</w:t>
      </w:r>
      <w:r w:rsidR="00193C56" w:rsidRPr="00A15D0E">
        <w:tab/>
      </w:r>
      <w:r w:rsidR="002A7D0A" w:rsidRPr="008F7450">
        <w:t xml:space="preserve"> Net plant in service </w:t>
      </w:r>
      <w:r w:rsidR="002A7D0A">
        <w:t>should</w:t>
      </w:r>
      <w:r w:rsidR="002A7D0A" w:rsidRPr="008F7450">
        <w:t xml:space="preserve"> </w:t>
      </w:r>
      <w:r w:rsidR="002A7D0A">
        <w:t>in</w:t>
      </w:r>
      <w:r w:rsidR="002A7D0A" w:rsidRPr="008F7450">
        <w:t>clude </w:t>
      </w:r>
      <w:r w:rsidR="0060224A" w:rsidRPr="008F7450">
        <w:t>$21,513,289</w:t>
      </w:r>
      <w:r w:rsidR="0060224A">
        <w:t xml:space="preserve"> for the</w:t>
      </w:r>
      <w:r w:rsidR="002A7D0A" w:rsidRPr="008F7450">
        <w:t xml:space="preserve"> amount of Veg</w:t>
      </w:r>
      <w:r w:rsidR="009C1DF9">
        <w:t>.</w:t>
      </w:r>
      <w:r w:rsidR="002A7D0A" w:rsidRPr="008F7450">
        <w:t xml:space="preserve"> </w:t>
      </w:r>
      <w:r w:rsidR="00722A40" w:rsidRPr="008F7450">
        <w:t>Mgmt</w:t>
      </w:r>
      <w:r w:rsidR="009C1DF9">
        <w:t>.</w:t>
      </w:r>
      <w:r w:rsidR="002A7D0A" w:rsidRPr="008F7450">
        <w:t xml:space="preserve"> net plant for the 1st Quarter of 2012 DIR revenue requirement calculation.</w:t>
      </w:r>
      <w:bookmarkEnd w:id="17"/>
      <w:bookmarkEnd w:id="18"/>
      <w:r w:rsidR="002A7D0A" w:rsidRPr="008F7450">
        <w:t xml:space="preserve"> </w:t>
      </w:r>
    </w:p>
    <w:p w:rsidR="00670C7D" w:rsidRDefault="002A7D0A" w:rsidP="00CD0DA6">
      <w:pPr>
        <w:spacing w:line="480" w:lineRule="auto"/>
      </w:pPr>
      <w:r w:rsidRPr="008F7450">
        <w:t> </w:t>
      </w:r>
      <w:r w:rsidR="00CD0DA6">
        <w:tab/>
      </w:r>
      <w:r w:rsidRPr="008F7450">
        <w:t xml:space="preserve">AEP </w:t>
      </w:r>
      <w:r>
        <w:t>Ohio’s initial DIR</w:t>
      </w:r>
      <w:r w:rsidR="001C093A">
        <w:t xml:space="preserve"> filing </w:t>
      </w:r>
      <w:r w:rsidRPr="008F7450">
        <w:t>included a</w:t>
      </w:r>
      <w:r>
        <w:t>n incorrect</w:t>
      </w:r>
      <w:r w:rsidRPr="008F7450">
        <w:t xml:space="preserve"> amount for Veg</w:t>
      </w:r>
      <w:r w:rsidR="009C1DF9">
        <w:t>.</w:t>
      </w:r>
      <w:r w:rsidRPr="008F7450">
        <w:t xml:space="preserve"> Mgmt</w:t>
      </w:r>
      <w:r w:rsidR="009C1DF9">
        <w:t>.</w:t>
      </w:r>
      <w:r w:rsidRPr="008F7450">
        <w:t xml:space="preserve"> net plant of $13,897,570</w:t>
      </w:r>
      <w:r w:rsidR="00D67064">
        <w:t>.</w:t>
      </w:r>
      <w:r>
        <w:rPr>
          <w:rStyle w:val="FootnoteReference"/>
        </w:rPr>
        <w:footnoteReference w:id="32"/>
      </w:r>
      <w:r w:rsidRPr="008F7450">
        <w:t xml:space="preserve"> </w:t>
      </w:r>
      <w:r w:rsidR="00D67064">
        <w:t xml:space="preserve"> The use of this incorrect amount overstates </w:t>
      </w:r>
      <w:r w:rsidRPr="008F7450">
        <w:t xml:space="preserve">the DIR revenue requirement for the first quarter. </w:t>
      </w:r>
      <w:r>
        <w:t xml:space="preserve"> </w:t>
      </w:r>
      <w:r w:rsidRPr="008F7450">
        <w:t xml:space="preserve"> </w:t>
      </w:r>
      <w:r w:rsidR="0060224A">
        <w:t>T</w:t>
      </w:r>
      <w:r w:rsidRPr="008F7450">
        <w:t>he corrected amount of Veg</w:t>
      </w:r>
      <w:r w:rsidR="009C1DF9">
        <w:t>.</w:t>
      </w:r>
      <w:r w:rsidRPr="008F7450">
        <w:t xml:space="preserve"> Mgmt</w:t>
      </w:r>
      <w:r w:rsidR="009C1DF9">
        <w:t>.</w:t>
      </w:r>
      <w:r w:rsidRPr="008F7450">
        <w:t> net plant of $21,513,289</w:t>
      </w:r>
      <w:r w:rsidR="009B6E2A">
        <w:rPr>
          <w:rStyle w:val="FootnoteReference"/>
        </w:rPr>
        <w:footnoteReference w:id="33"/>
      </w:r>
      <w:r w:rsidR="00670C7D">
        <w:t xml:space="preserve"> </w:t>
      </w:r>
      <w:r w:rsidR="0060224A">
        <w:t xml:space="preserve">should </w:t>
      </w:r>
      <w:r w:rsidR="00670C7D">
        <w:t>be used in calculating</w:t>
      </w:r>
      <w:r w:rsidR="007D18FF">
        <w:t xml:space="preserve"> the DIR revenue requirement.</w:t>
      </w:r>
    </w:p>
    <w:p w:rsidR="00193C56" w:rsidRPr="00A15D0E" w:rsidRDefault="005B78AF" w:rsidP="00CD0DA6">
      <w:pPr>
        <w:pStyle w:val="Heading3"/>
      </w:pPr>
      <w:bookmarkStart w:id="19" w:name="_Toc363054051"/>
      <w:bookmarkStart w:id="20" w:name="_Toc363221516"/>
      <w:r>
        <w:t>5</w:t>
      </w:r>
      <w:r w:rsidR="00193C56" w:rsidRPr="00A15D0E">
        <w:t>.</w:t>
      </w:r>
      <w:r w:rsidR="00193C56" w:rsidRPr="00A15D0E">
        <w:tab/>
        <w:t xml:space="preserve">Net plant in service </w:t>
      </w:r>
      <w:r w:rsidR="00A15D0E">
        <w:t>should</w:t>
      </w:r>
      <w:r w:rsidR="00193C56" w:rsidRPr="00A15D0E">
        <w:t xml:space="preserve"> exclude $283,000 </w:t>
      </w:r>
      <w:r w:rsidR="00A15D0E">
        <w:t xml:space="preserve">for </w:t>
      </w:r>
      <w:r w:rsidR="00193C56" w:rsidRPr="00A15D0E">
        <w:t>land held for future use that was disallowed in the last distribution rate case.</w:t>
      </w:r>
      <w:bookmarkEnd w:id="19"/>
      <w:bookmarkEnd w:id="20"/>
      <w:r w:rsidR="00193C56" w:rsidRPr="00A15D0E">
        <w:t>  </w:t>
      </w:r>
    </w:p>
    <w:p w:rsidR="00193C56" w:rsidRPr="00193C56" w:rsidRDefault="00CD0DA6" w:rsidP="00CD0DA6">
      <w:pPr>
        <w:spacing w:line="480" w:lineRule="auto"/>
      </w:pPr>
      <w:r>
        <w:tab/>
      </w:r>
      <w:r w:rsidR="00193C56" w:rsidRPr="00193C56">
        <w:t>AEP</w:t>
      </w:r>
      <w:r w:rsidR="00A15D0E">
        <w:t xml:space="preserve"> Ohio’s</w:t>
      </w:r>
      <w:r w:rsidR="00193C56" w:rsidRPr="00193C56">
        <w:t xml:space="preserve"> computation of the DIR plant included land</w:t>
      </w:r>
      <w:r w:rsidR="00A15D0E">
        <w:rPr>
          <w:rStyle w:val="FootnoteReference"/>
        </w:rPr>
        <w:footnoteReference w:id="34"/>
      </w:r>
      <w:r w:rsidR="00193C56" w:rsidRPr="00193C56">
        <w:t xml:space="preserve"> that was disallowed in the </w:t>
      </w:r>
      <w:r w:rsidR="00A15D0E">
        <w:t xml:space="preserve">Utility’s most recent </w:t>
      </w:r>
      <w:r w:rsidR="00193C56" w:rsidRPr="00193C56">
        <w:t xml:space="preserve">distribution </w:t>
      </w:r>
      <w:r w:rsidR="00A15D0E">
        <w:t xml:space="preserve">rate </w:t>
      </w:r>
      <w:r w:rsidR="00193C56" w:rsidRPr="00193C56">
        <w:t>case.</w:t>
      </w:r>
      <w:r w:rsidR="00A15D0E">
        <w:rPr>
          <w:rStyle w:val="FootnoteReference"/>
        </w:rPr>
        <w:footnoteReference w:id="35"/>
      </w:r>
      <w:r w:rsidR="00193C56">
        <w:t xml:space="preserve"> </w:t>
      </w:r>
      <w:r w:rsidR="00193C56" w:rsidRPr="00193C56">
        <w:t xml:space="preserve"> </w:t>
      </w:r>
      <w:r w:rsidR="00C92919">
        <w:t xml:space="preserve">Inasmuch as the PUCO has </w:t>
      </w:r>
      <w:r w:rsidR="00722A40">
        <w:t>already</w:t>
      </w:r>
      <w:r w:rsidR="00C92919">
        <w:t xml:space="preserve"> determined that this land should not be included for cost recovery in a rate case, it should not be included as part of the D</w:t>
      </w:r>
      <w:r w:rsidR="002A7D0A">
        <w:t>I</w:t>
      </w:r>
      <w:r w:rsidR="00C92919">
        <w:t xml:space="preserve">R recovery.  </w:t>
      </w:r>
      <w:r w:rsidR="005B78AF">
        <w:t>T</w:t>
      </w:r>
      <w:r w:rsidR="00193C56" w:rsidRPr="00193C56">
        <w:t xml:space="preserve">he </w:t>
      </w:r>
      <w:r w:rsidR="005B78AF">
        <w:t xml:space="preserve">PUCO </w:t>
      </w:r>
      <w:r w:rsidR="00193C56" w:rsidRPr="00193C56">
        <w:t>Staff's recommend</w:t>
      </w:r>
      <w:r w:rsidR="009C1DF9">
        <w:t>ed</w:t>
      </w:r>
      <w:r w:rsidR="00193C56" w:rsidRPr="00193C56">
        <w:t xml:space="preserve"> land exclusion </w:t>
      </w:r>
      <w:r w:rsidR="005B78AF">
        <w:t xml:space="preserve">should </w:t>
      </w:r>
      <w:r w:rsidR="00193C56" w:rsidRPr="00193C56">
        <w:t>be reflected in the calculation of DIR revenue requirement</w:t>
      </w:r>
      <w:r w:rsidR="00C92919">
        <w:t xml:space="preserve"> as set forth in attached </w:t>
      </w:r>
      <w:r w:rsidR="00193C56" w:rsidRPr="00193C56">
        <w:t>Schedule 2.</w:t>
      </w:r>
    </w:p>
    <w:p w:rsidR="00193C56" w:rsidRPr="00C92919" w:rsidRDefault="008454F1" w:rsidP="00CD0DA6">
      <w:pPr>
        <w:pStyle w:val="Heading3"/>
      </w:pPr>
      <w:bookmarkStart w:id="21" w:name="_Toc363054052"/>
      <w:bookmarkStart w:id="22" w:name="_Toc363221517"/>
      <w:r>
        <w:t>6</w:t>
      </w:r>
      <w:r w:rsidR="00C92919" w:rsidRPr="00C92919">
        <w:t>.</w:t>
      </w:r>
      <w:r w:rsidR="00193C56" w:rsidRPr="00C92919">
        <w:tab/>
      </w:r>
      <w:r w:rsidR="00C92919">
        <w:t>The c</w:t>
      </w:r>
      <w:r w:rsidR="00193C56" w:rsidRPr="00C92919">
        <w:t xml:space="preserve">arrying charge rate </w:t>
      </w:r>
      <w:r w:rsidR="00C92919">
        <w:t>should</w:t>
      </w:r>
      <w:r w:rsidR="00193C56" w:rsidRPr="00C92919">
        <w:t xml:space="preserve"> </w:t>
      </w:r>
      <w:r w:rsidR="001C5C13">
        <w:t xml:space="preserve">exclude </w:t>
      </w:r>
      <w:r w:rsidR="00193C56" w:rsidRPr="00C92919">
        <w:t>the Commercial Activity Tax (CAT)</w:t>
      </w:r>
      <w:r w:rsidR="004A5A9D">
        <w:t xml:space="preserve"> to prevent double recovery</w:t>
      </w:r>
      <w:r w:rsidR="00193C56" w:rsidRPr="00C92919">
        <w:t>.</w:t>
      </w:r>
      <w:bookmarkEnd w:id="21"/>
      <w:bookmarkEnd w:id="22"/>
    </w:p>
    <w:p w:rsidR="009C1DF9" w:rsidRPr="00193C56" w:rsidRDefault="00CD0DA6" w:rsidP="00CD0DA6">
      <w:pPr>
        <w:spacing w:line="480" w:lineRule="auto"/>
      </w:pPr>
      <w:r>
        <w:tab/>
      </w:r>
      <w:r w:rsidR="002A7D0A">
        <w:t xml:space="preserve">In calculating the carrying charge for the DIR, AEP Ohio included four components:  </w:t>
      </w:r>
      <w:r w:rsidR="00B7557A">
        <w:t>pretax weighted average cost of capital; weighted average property tax expense; Commercial Activity Tax (“CAT”) and depreciation rate</w:t>
      </w:r>
      <w:r w:rsidR="002A7D0A">
        <w:t>.</w:t>
      </w:r>
      <w:r w:rsidR="002A7D0A">
        <w:rPr>
          <w:rStyle w:val="FootnoteReference"/>
        </w:rPr>
        <w:footnoteReference w:id="36"/>
      </w:r>
      <w:r w:rsidR="00C92919">
        <w:t xml:space="preserve"> </w:t>
      </w:r>
      <w:r w:rsidR="002A7D0A">
        <w:t xml:space="preserve"> However, </w:t>
      </w:r>
      <w:r w:rsidR="00193C56">
        <w:t>AEP</w:t>
      </w:r>
      <w:r w:rsidR="00C92919">
        <w:t xml:space="preserve"> Ohio’</w:t>
      </w:r>
      <w:r w:rsidR="00193C56">
        <w:t>s computation of </w:t>
      </w:r>
      <w:r w:rsidR="00193C56" w:rsidRPr="00193C56">
        <w:t>its carrying charge rate of 20.59% includes</w:t>
      </w:r>
      <w:r w:rsidR="00B7557A">
        <w:t xml:space="preserve"> </w:t>
      </w:r>
      <w:r w:rsidR="00193C56" w:rsidRPr="00193C56">
        <w:t>the CAT</w:t>
      </w:r>
      <w:r w:rsidR="002A7D0A">
        <w:t xml:space="preserve">, which was previously imbedded </w:t>
      </w:r>
      <w:r w:rsidR="00B7557A">
        <w:t>in the rate, thus causing a double recovery of the CAT</w:t>
      </w:r>
      <w:r w:rsidR="00193C56" w:rsidRPr="00193C56">
        <w:t>.</w:t>
      </w:r>
      <w:r w:rsidR="00C92919">
        <w:t xml:space="preserve"> </w:t>
      </w:r>
      <w:r w:rsidR="00193C56" w:rsidRPr="00193C56">
        <w:t xml:space="preserve"> </w:t>
      </w:r>
      <w:r w:rsidR="00D105E3">
        <w:t>AEP Ohio should be prohibited from twice collecting carrying charges (on the amount of CAT) from its customers.  Accordingly, t</w:t>
      </w:r>
      <w:r w:rsidR="00193C56" w:rsidRPr="00193C56">
        <w:t xml:space="preserve">he </w:t>
      </w:r>
      <w:r w:rsidR="00D105E3">
        <w:t xml:space="preserve">CAT should be excluded from the calculation of the carrying charge rate for the DIR </w:t>
      </w:r>
      <w:r w:rsidR="00C92919">
        <w:t xml:space="preserve">as set forth in attached </w:t>
      </w:r>
      <w:r w:rsidR="009C1DF9">
        <w:t>Schedule 4.</w:t>
      </w:r>
    </w:p>
    <w:p w:rsidR="00193C56" w:rsidRPr="00C92919" w:rsidRDefault="008454F1" w:rsidP="00CD0DA6">
      <w:pPr>
        <w:pStyle w:val="Heading3"/>
      </w:pPr>
      <w:bookmarkStart w:id="23" w:name="_Toc363054053"/>
      <w:bookmarkStart w:id="24" w:name="_Toc363221518"/>
      <w:r>
        <w:t>7</w:t>
      </w:r>
      <w:r w:rsidR="00C92919" w:rsidRPr="00C92919">
        <w:t>.</w:t>
      </w:r>
      <w:r w:rsidR="00193C56" w:rsidRPr="00C92919">
        <w:tab/>
      </w:r>
      <w:r w:rsidR="00C92919">
        <w:t>The c</w:t>
      </w:r>
      <w:r w:rsidR="00193C56" w:rsidRPr="00C92919">
        <w:t xml:space="preserve">arrying charge rate </w:t>
      </w:r>
      <w:r w:rsidR="00C92919">
        <w:t>should</w:t>
      </w:r>
      <w:r w:rsidR="00193C56" w:rsidRPr="00C92919">
        <w:t xml:space="preserve"> </w:t>
      </w:r>
      <w:r>
        <w:t>not include</w:t>
      </w:r>
      <w:r w:rsidR="00193C56" w:rsidRPr="00C92919">
        <w:t xml:space="preserve"> </w:t>
      </w:r>
      <w:r>
        <w:t xml:space="preserve">the </w:t>
      </w:r>
      <w:r w:rsidR="00193C56" w:rsidRPr="00C92919">
        <w:t>uncollectible accounts expense.</w:t>
      </w:r>
      <w:bookmarkEnd w:id="23"/>
      <w:bookmarkEnd w:id="24"/>
    </w:p>
    <w:p w:rsidR="00193C56" w:rsidRPr="00193C56" w:rsidRDefault="00CD0DA6" w:rsidP="00CD0DA6">
      <w:pPr>
        <w:spacing w:line="480" w:lineRule="auto"/>
      </w:pPr>
      <w:r>
        <w:tab/>
      </w:r>
      <w:r w:rsidR="00193C56" w:rsidRPr="00193C56">
        <w:t>AEP</w:t>
      </w:r>
      <w:r w:rsidR="00C92919">
        <w:t xml:space="preserve"> Ohio’</w:t>
      </w:r>
      <w:r w:rsidR="00193C56" w:rsidRPr="00193C56">
        <w:t>s computation of </w:t>
      </w:r>
      <w:r w:rsidR="00B7557A">
        <w:t xml:space="preserve">the </w:t>
      </w:r>
      <w:r w:rsidR="009C1DF9">
        <w:t>carrying charge rate of 20.59% </w:t>
      </w:r>
      <w:r w:rsidR="00B7557A">
        <w:t xml:space="preserve">also </w:t>
      </w:r>
      <w:r w:rsidR="00193C56" w:rsidRPr="00193C56">
        <w:t xml:space="preserve">includes a recovery of the uncollectible accounts expense that was not approved for </w:t>
      </w:r>
      <w:r w:rsidR="00D67064">
        <w:t>collection from customers</w:t>
      </w:r>
      <w:r w:rsidR="00193C56" w:rsidRPr="00193C56">
        <w:t xml:space="preserve"> by the </w:t>
      </w:r>
      <w:r w:rsidR="008454F1">
        <w:t>PUCO</w:t>
      </w:r>
      <w:r w:rsidR="00193C56" w:rsidRPr="00193C56">
        <w:t xml:space="preserve">. </w:t>
      </w:r>
      <w:r w:rsidR="00193C56">
        <w:t xml:space="preserve"> </w:t>
      </w:r>
      <w:r w:rsidR="00B7557A">
        <w:t>A review of the ESP Opinion and Order indicates that that there was no authorization to include the uncollectible account in the calculation of carrying costs.</w:t>
      </w:r>
      <w:r w:rsidR="00B7557A">
        <w:rPr>
          <w:rStyle w:val="FootnoteReference"/>
        </w:rPr>
        <w:footnoteReference w:id="37"/>
      </w:r>
      <w:r w:rsidR="00B7557A">
        <w:t xml:space="preserve">  Accordingly, </w:t>
      </w:r>
      <w:r w:rsidR="00193C56" w:rsidRPr="00193C56">
        <w:t>the uncollectible accounts expense</w:t>
      </w:r>
      <w:r w:rsidR="00C92919">
        <w:t xml:space="preserve"> </w:t>
      </w:r>
      <w:r w:rsidR="008454F1">
        <w:t xml:space="preserve">should be excluded </w:t>
      </w:r>
      <w:r w:rsidR="00C92919">
        <w:t xml:space="preserve">as set forth in attached </w:t>
      </w:r>
      <w:r w:rsidR="00193C56" w:rsidRPr="00193C56">
        <w:t>Schedule 4. </w:t>
      </w:r>
    </w:p>
    <w:p w:rsidR="00193C56" w:rsidRDefault="008454F1" w:rsidP="00CD0DA6">
      <w:pPr>
        <w:pStyle w:val="Heading3"/>
      </w:pPr>
      <w:bookmarkStart w:id="25" w:name="_Toc363054054"/>
      <w:bookmarkStart w:id="26" w:name="_Toc363221519"/>
      <w:r>
        <w:t>8</w:t>
      </w:r>
      <w:r w:rsidR="00C92919" w:rsidRPr="00C92919">
        <w:t>.</w:t>
      </w:r>
      <w:r w:rsidR="00193C56" w:rsidRPr="00C92919">
        <w:tab/>
      </w:r>
      <w:r w:rsidR="00C92919">
        <w:t>T</w:t>
      </w:r>
      <w:r w:rsidR="00193C56" w:rsidRPr="00C92919">
        <w:t xml:space="preserve">he weighted average cost of capital </w:t>
      </w:r>
      <w:r w:rsidR="00CA5C49">
        <w:t>should be used to compute the carrying charge rate</w:t>
      </w:r>
      <w:r w:rsidR="00193C56" w:rsidRPr="00C92919">
        <w:t>.</w:t>
      </w:r>
      <w:bookmarkEnd w:id="25"/>
      <w:bookmarkEnd w:id="26"/>
      <w:r w:rsidR="00193C56" w:rsidRPr="00193C56">
        <w:t xml:space="preserve">  </w:t>
      </w:r>
    </w:p>
    <w:p w:rsidR="009C1DF9" w:rsidRPr="00C92919" w:rsidRDefault="0004209B" w:rsidP="001C5C13">
      <w:pPr>
        <w:spacing w:line="480" w:lineRule="auto"/>
        <w:ind w:firstLine="720"/>
      </w:pPr>
      <w:r>
        <w:t> </w:t>
      </w:r>
      <w:r w:rsidR="00C92919">
        <w:t xml:space="preserve">As part of the audit, </w:t>
      </w:r>
      <w:r w:rsidR="00193C56" w:rsidRPr="00C92919">
        <w:t xml:space="preserve">Blue Ridge </w:t>
      </w:r>
      <w:r w:rsidR="00C92919">
        <w:t xml:space="preserve">recommended </w:t>
      </w:r>
      <w:r w:rsidR="00193C56" w:rsidRPr="00C92919">
        <w:t>that the weighted average cost of capital be used to compute the carrying charge rate.</w:t>
      </w:r>
      <w:r w:rsidR="00C92919">
        <w:rPr>
          <w:rStyle w:val="FootnoteReference"/>
        </w:rPr>
        <w:footnoteReference w:id="38"/>
      </w:r>
      <w:r>
        <w:t xml:space="preserve">  </w:t>
      </w:r>
      <w:r w:rsidR="00193C56" w:rsidRPr="00C92919">
        <w:t xml:space="preserve"> </w:t>
      </w:r>
      <w:r w:rsidR="00C92919">
        <w:t>OCC</w:t>
      </w:r>
      <w:r w:rsidR="00193C56" w:rsidRPr="00C92919">
        <w:t xml:space="preserve"> </w:t>
      </w:r>
      <w:r>
        <w:t>agrees with the Blue Ridge</w:t>
      </w:r>
      <w:r w:rsidR="00CA5C49">
        <w:t xml:space="preserve">. The PUCO should authorize </w:t>
      </w:r>
      <w:r w:rsidR="00193C56" w:rsidRPr="00C92919">
        <w:t xml:space="preserve">a carrying charge rate of 20.28% for </w:t>
      </w:r>
      <w:r w:rsidR="009A567F">
        <w:t xml:space="preserve">the </w:t>
      </w:r>
      <w:r w:rsidR="00193C56" w:rsidRPr="00C92919">
        <w:t>DIR revenue requirement calculation</w:t>
      </w:r>
      <w:r w:rsidR="00C92919">
        <w:t xml:space="preserve"> as set forth in attached </w:t>
      </w:r>
      <w:r w:rsidR="00193C56" w:rsidRPr="00C92919">
        <w:t>Schedule 4.</w:t>
      </w:r>
    </w:p>
    <w:p w:rsidR="008F7450" w:rsidRDefault="009A567F" w:rsidP="00CD0DA6">
      <w:pPr>
        <w:pStyle w:val="Heading3"/>
      </w:pPr>
      <w:bookmarkStart w:id="27" w:name="_Toc363054055"/>
      <w:bookmarkStart w:id="28" w:name="_Toc363221520"/>
      <w:r>
        <w:t>9</w:t>
      </w:r>
      <w:r w:rsidR="00C92919" w:rsidRPr="008F7450">
        <w:t>.</w:t>
      </w:r>
      <w:r w:rsidR="00193C56" w:rsidRPr="008F7450">
        <w:tab/>
      </w:r>
      <w:r w:rsidR="008F7450">
        <w:t xml:space="preserve">The </w:t>
      </w:r>
      <w:r w:rsidR="00193C56" w:rsidRPr="008F7450">
        <w:t xml:space="preserve">Over/Under revenue recovery calculation </w:t>
      </w:r>
      <w:r w:rsidR="008F7450">
        <w:t>should</w:t>
      </w:r>
      <w:r w:rsidR="00193C56" w:rsidRPr="008F7450">
        <w:t xml:space="preserve"> reflect </w:t>
      </w:r>
      <w:r w:rsidR="00426169">
        <w:t xml:space="preserve">OCC’s </w:t>
      </w:r>
      <w:r w:rsidR="00193C56" w:rsidRPr="008F7450">
        <w:t>adjustments.</w:t>
      </w:r>
      <w:bookmarkEnd w:id="27"/>
      <w:bookmarkEnd w:id="28"/>
      <w:r w:rsidR="00193C56" w:rsidRPr="008F7450">
        <w:t> </w:t>
      </w:r>
    </w:p>
    <w:p w:rsidR="00426169" w:rsidRDefault="008F7450" w:rsidP="00E4155B">
      <w:pPr>
        <w:spacing w:line="480" w:lineRule="auto"/>
      </w:pPr>
      <w:r>
        <w:tab/>
        <w:t>Blue Ridge recommended that an over/under revenue adjustment be included as part of review of the DIR program in 2013.</w:t>
      </w:r>
      <w:r>
        <w:rPr>
          <w:rStyle w:val="FootnoteReference"/>
        </w:rPr>
        <w:footnoteReference w:id="39"/>
      </w:r>
      <w:r>
        <w:t xml:space="preserve">  </w:t>
      </w:r>
      <w:r w:rsidR="00193C56" w:rsidRPr="008F7450">
        <w:t xml:space="preserve">AEP </w:t>
      </w:r>
      <w:r>
        <w:t xml:space="preserve">Ohio </w:t>
      </w:r>
      <w:r w:rsidR="00193C56" w:rsidRPr="008F7450">
        <w:t>computes over/under revenue recovery by calculating a total DIR revenue requirement for each month and divid</w:t>
      </w:r>
      <w:r>
        <w:t>ing</w:t>
      </w:r>
      <w:r w:rsidR="00193C56" w:rsidRPr="008F7450">
        <w:t xml:space="preserve"> it by twelve and </w:t>
      </w:r>
      <w:r>
        <w:t xml:space="preserve">then </w:t>
      </w:r>
      <w:r w:rsidR="00193C56" w:rsidRPr="008F7450">
        <w:t>compar</w:t>
      </w:r>
      <w:r>
        <w:t>ing</w:t>
      </w:r>
      <w:r w:rsidR="00193C56" w:rsidRPr="008F7450">
        <w:t xml:space="preserve"> </w:t>
      </w:r>
      <w:r>
        <w:t xml:space="preserve">that amount </w:t>
      </w:r>
      <w:r w:rsidR="00193C56" w:rsidRPr="008F7450">
        <w:t>to the actual DIR revenue billed.</w:t>
      </w:r>
      <w:r>
        <w:rPr>
          <w:rStyle w:val="FootnoteReference"/>
        </w:rPr>
        <w:footnoteReference w:id="40"/>
      </w:r>
      <w:r w:rsidR="00193C56" w:rsidRPr="008F7450">
        <w:t xml:space="preserve">  I</w:t>
      </w:r>
      <w:r w:rsidR="009C1DF9">
        <w:t>t</w:t>
      </w:r>
      <w:r>
        <w:t xml:space="preserve"> </w:t>
      </w:r>
      <w:r w:rsidR="00193C56" w:rsidRPr="008F7450">
        <w:t>is unknown how AEP</w:t>
      </w:r>
      <w:r w:rsidR="009C1DF9">
        <w:t xml:space="preserve"> Ohio calculated the</w:t>
      </w:r>
      <w:r w:rsidR="00193C56" w:rsidRPr="008F7450">
        <w:t> total </w:t>
      </w:r>
      <w:r w:rsidR="00880B9D">
        <w:t xml:space="preserve">DIR </w:t>
      </w:r>
      <w:r w:rsidR="00193C56" w:rsidRPr="008F7450">
        <w:t>revenue requirement a</w:t>
      </w:r>
      <w:r w:rsidR="009C1DF9">
        <w:t xml:space="preserve">mount.  </w:t>
      </w:r>
      <w:r w:rsidR="00193C56" w:rsidRPr="008F7450">
        <w:t xml:space="preserve">AEP </w:t>
      </w:r>
      <w:r>
        <w:t xml:space="preserve">Ohio </w:t>
      </w:r>
      <w:r w:rsidR="00193C56" w:rsidRPr="008F7450">
        <w:t>did not provide any supporting work papers to show the basis of its monthly revenue requirement amount.  Also the amount of the total monthly revenue requirement amount</w:t>
      </w:r>
      <w:r>
        <w:t>s</w:t>
      </w:r>
      <w:r w:rsidR="00193C56" w:rsidRPr="008F7450">
        <w:t> v</w:t>
      </w:r>
      <w:r>
        <w:t>a</w:t>
      </w:r>
      <w:r w:rsidR="00193C56" w:rsidRPr="008F7450">
        <w:t>ry each month and do not match with AEP</w:t>
      </w:r>
      <w:r>
        <w:t xml:space="preserve"> Ohio</w:t>
      </w:r>
      <w:r w:rsidR="00193C56" w:rsidRPr="008F7450">
        <w:t xml:space="preserve"> DIR revenue requirement amount</w:t>
      </w:r>
      <w:r>
        <w:t>s</w:t>
      </w:r>
      <w:r w:rsidR="00193C56" w:rsidRPr="008F7450">
        <w:t xml:space="preserve"> include</w:t>
      </w:r>
      <w:r>
        <w:t>d</w:t>
      </w:r>
      <w:r w:rsidR="00193C56" w:rsidRPr="008F7450">
        <w:t xml:space="preserve"> in </w:t>
      </w:r>
      <w:r>
        <w:t>the Utility’s</w:t>
      </w:r>
      <w:r w:rsidR="00193C56" w:rsidRPr="008F7450">
        <w:t xml:space="preserve"> DIR quarterly filing. </w:t>
      </w:r>
    </w:p>
    <w:p w:rsidR="00CD0DA6" w:rsidRDefault="00426169" w:rsidP="00FD75A4">
      <w:pPr>
        <w:spacing w:line="480" w:lineRule="auto"/>
        <w:ind w:firstLine="720"/>
      </w:pPr>
      <w:r>
        <w:t xml:space="preserve">In order to protect AEP Ohio’s customers from unreasonable charges, </w:t>
      </w:r>
      <w:r w:rsidR="00193C56" w:rsidRPr="008F7450">
        <w:t xml:space="preserve">the over/under revenue recovery calculation </w:t>
      </w:r>
      <w:r w:rsidR="00880B9D">
        <w:t xml:space="preserve">should </w:t>
      </w:r>
      <w:r w:rsidR="00193C56" w:rsidRPr="008F7450">
        <w:t>be based on the revenue requirement approved for each quarter and the actual DIR revenue billed</w:t>
      </w:r>
      <w:r w:rsidR="009C1DF9">
        <w:t xml:space="preserve"> as set forth in attached</w:t>
      </w:r>
      <w:r w:rsidR="00193C56" w:rsidRPr="008F7450">
        <w:t xml:space="preserve"> Schedule 5. </w:t>
      </w:r>
      <w:r>
        <w:t xml:space="preserve"> Additionally, </w:t>
      </w:r>
      <w:r w:rsidR="008F7450">
        <w:t>OCC</w:t>
      </w:r>
      <w:r w:rsidR="00193C56" w:rsidRPr="008F7450">
        <w:t xml:space="preserve"> also agree</w:t>
      </w:r>
      <w:r w:rsidR="008F7450">
        <w:t>s</w:t>
      </w:r>
      <w:r w:rsidR="00193C56" w:rsidRPr="008F7450">
        <w:t xml:space="preserve"> with </w:t>
      </w:r>
      <w:r w:rsidR="008F7450">
        <w:t xml:space="preserve">the </w:t>
      </w:r>
      <w:r w:rsidR="00193C56" w:rsidRPr="008F7450">
        <w:t xml:space="preserve">Blue Ridge </w:t>
      </w:r>
      <w:r w:rsidR="008F7450">
        <w:t xml:space="preserve">recommendation </w:t>
      </w:r>
      <w:r w:rsidR="00193C56" w:rsidRPr="008F7450">
        <w:t xml:space="preserve">that a tracker for over/under recovery should be done </w:t>
      </w:r>
      <w:r w:rsidR="008F7450">
        <w:t>annually</w:t>
      </w:r>
      <w:r w:rsidR="00193C56" w:rsidRPr="008F7450">
        <w:t xml:space="preserve"> to reconcile </w:t>
      </w:r>
      <w:r w:rsidR="008F7450">
        <w:t>the difference</w:t>
      </w:r>
      <w:r w:rsidR="009B6E2A">
        <w:t xml:space="preserve"> </w:t>
      </w:r>
      <w:r w:rsidR="00193C56" w:rsidRPr="008F7450">
        <w:t>between the DIR approved revenue requirement and the actual DIR revenue billed.  </w:t>
      </w:r>
      <w:r w:rsidR="008F7450">
        <w:t>OCC</w:t>
      </w:r>
      <w:r w:rsidR="00193C56" w:rsidRPr="008F7450">
        <w:t xml:space="preserve"> recommend</w:t>
      </w:r>
      <w:r w:rsidR="008F7450">
        <w:t>s</w:t>
      </w:r>
      <w:r w:rsidR="00193C56" w:rsidRPr="008F7450">
        <w:t xml:space="preserve"> that a true-up adjustment should be </w:t>
      </w:r>
      <w:r w:rsidR="008F7450">
        <w:t>included</w:t>
      </w:r>
      <w:r w:rsidR="00193C56" w:rsidRPr="008F7450">
        <w:t xml:space="preserve"> in the AEP July 1, 2013 DIR filing that will be effective on September 1, 2013 to reflect a true-up adjustment and the impact of the </w:t>
      </w:r>
      <w:r w:rsidR="00F97125">
        <w:t>adjustments</w:t>
      </w:r>
      <w:r w:rsidR="008F7450">
        <w:t xml:space="preserve"> included in these Comments</w:t>
      </w:r>
      <w:r w:rsidR="00193C56" w:rsidRPr="008F7450">
        <w:t xml:space="preserve">.  </w:t>
      </w:r>
      <w:r w:rsidR="00F97125">
        <w:t>T</w:t>
      </w:r>
      <w:r w:rsidR="009C1DF9">
        <w:t>he</w:t>
      </w:r>
      <w:r w:rsidR="00193C56" w:rsidRPr="00193C56">
        <w:rPr>
          <w:color w:val="FF0000"/>
        </w:rPr>
        <w:t xml:space="preserve"> </w:t>
      </w:r>
      <w:r w:rsidR="00193C56" w:rsidRPr="008F7450">
        <w:t>requested DIR rate of 12.22994%</w:t>
      </w:r>
      <w:r w:rsidR="009C1DF9">
        <w:t>,</w:t>
      </w:r>
      <w:r w:rsidR="00193C56" w:rsidRPr="008F7450">
        <w:t xml:space="preserve"> included in </w:t>
      </w:r>
      <w:r w:rsidR="00586011">
        <w:t xml:space="preserve">the </w:t>
      </w:r>
      <w:r w:rsidR="00193C56" w:rsidRPr="008F7450">
        <w:t>July 1, 2013 DIR filing</w:t>
      </w:r>
      <w:r w:rsidR="009C1DF9">
        <w:t>,</w:t>
      </w:r>
      <w:r w:rsidR="00586011">
        <w:rPr>
          <w:rStyle w:val="FootnoteReference"/>
        </w:rPr>
        <w:footnoteReference w:id="41"/>
      </w:r>
      <w:r w:rsidR="00193C56" w:rsidRPr="008F7450">
        <w:t xml:space="preserve"> </w:t>
      </w:r>
      <w:r w:rsidR="00F97125">
        <w:t xml:space="preserve">should </w:t>
      </w:r>
      <w:r w:rsidR="00193C56" w:rsidRPr="008F7450">
        <w:t xml:space="preserve">be adjusted </w:t>
      </w:r>
      <w:r w:rsidR="0004209B">
        <w:t xml:space="preserve">down </w:t>
      </w:r>
      <w:r w:rsidR="00193C56" w:rsidRPr="008F7450">
        <w:t>to reflect the recommendation made by Blue Ridge and OCC</w:t>
      </w:r>
      <w:r w:rsidR="008F7450">
        <w:t xml:space="preserve"> as set forth in attached</w:t>
      </w:r>
      <w:r w:rsidR="00193C56" w:rsidRPr="008F7450">
        <w:t xml:space="preserve"> Schedule 1 for a tentative calculation of </w:t>
      </w:r>
      <w:r w:rsidR="008F7450">
        <w:t xml:space="preserve">a </w:t>
      </w:r>
      <w:r w:rsidR="00193C56" w:rsidRPr="008F7450">
        <w:t>DIR rate of 11.</w:t>
      </w:r>
      <w:r w:rsidR="0004209B">
        <w:t>23457</w:t>
      </w:r>
      <w:r w:rsidR="00193C56" w:rsidRPr="008F7450">
        <w:t>% to be effective September 1, 2013</w:t>
      </w:r>
      <w:r w:rsidR="001C093A">
        <w:t>.  The</w:t>
      </w:r>
      <w:r w:rsidR="0004209B">
        <w:t xml:space="preserve"> DIR rate of 11.23457 % reflects an</w:t>
      </w:r>
      <w:r w:rsidR="00E4155B">
        <w:t xml:space="preserve"> estimated</w:t>
      </w:r>
      <w:r w:rsidR="0004209B">
        <w:t xml:space="preserve"> over-recovery of $196,566 that needs to be offset </w:t>
      </w:r>
      <w:r w:rsidR="00880B9D">
        <w:t xml:space="preserve">in </w:t>
      </w:r>
      <w:r w:rsidR="0004209B">
        <w:t>the July 1, 2013 DIR Revenue Requirement request in order to prevent an over</w:t>
      </w:r>
      <w:r w:rsidR="00D67064">
        <w:t>-</w:t>
      </w:r>
      <w:r w:rsidR="0004209B">
        <w:t>collection</w:t>
      </w:r>
      <w:r w:rsidR="00F97125">
        <w:t xml:space="preserve"> from AEP Ohio’s customers</w:t>
      </w:r>
      <w:r w:rsidR="0004209B">
        <w:t xml:space="preserve">.  </w:t>
      </w:r>
      <w:r w:rsidR="004B455E">
        <w:t>OCC recommends that the estimated $196,566 be updated to reflect the actual DIR revenues billed through August 2012.</w:t>
      </w:r>
    </w:p>
    <w:p w:rsidR="00246913" w:rsidRPr="008F7450" w:rsidRDefault="00246913" w:rsidP="00246913">
      <w:pPr>
        <w:ind w:firstLine="720"/>
      </w:pPr>
    </w:p>
    <w:p w:rsidR="002E2AAC" w:rsidRDefault="008E3445" w:rsidP="00CD0DA6">
      <w:pPr>
        <w:pStyle w:val="Heading1"/>
      </w:pPr>
      <w:bookmarkStart w:id="29" w:name="_Toc360095632"/>
      <w:bookmarkStart w:id="30" w:name="_Toc361064859"/>
      <w:bookmarkStart w:id="31" w:name="_Toc363054056"/>
      <w:bookmarkStart w:id="32" w:name="_Toc363221521"/>
      <w:r>
        <w:t>I</w:t>
      </w:r>
      <w:r w:rsidR="00FD75A4">
        <w:t>II</w:t>
      </w:r>
      <w:r>
        <w:t>.</w:t>
      </w:r>
      <w:r>
        <w:tab/>
      </w:r>
      <w:r w:rsidR="002E2AAC">
        <w:t>CONCLUSION</w:t>
      </w:r>
      <w:bookmarkEnd w:id="29"/>
      <w:bookmarkEnd w:id="30"/>
      <w:bookmarkEnd w:id="31"/>
      <w:bookmarkEnd w:id="32"/>
    </w:p>
    <w:p w:rsidR="00025CFB" w:rsidRDefault="00FA3196" w:rsidP="002657CF">
      <w:pPr>
        <w:spacing w:line="480" w:lineRule="auto"/>
        <w:ind w:firstLine="720"/>
      </w:pPr>
      <w:r>
        <w:t xml:space="preserve">OCC appreciates the opportunity to provide these Comments in order to assist the PUCO in its annual review of AEP Ohio’s DIR.  The PUCO’s adoption </w:t>
      </w:r>
      <w:r w:rsidR="00FD75A4">
        <w:t xml:space="preserve">of </w:t>
      </w:r>
      <w:r w:rsidR="00025CFB" w:rsidRPr="009C1DF9">
        <w:t>the recommendations set forth in the Blue Ridge Audit Report as well as the additional recommendations proposed by OCC</w:t>
      </w:r>
      <w:r>
        <w:t xml:space="preserve"> are necessary to protect AEP Ohio’s customers from unreasonable charges.  Additionally, AEP Ohio customers should not be required to pay for infrastructure that does not </w:t>
      </w:r>
      <w:r w:rsidRPr="00E17E5E">
        <w:t>create a more reliable electric distribution system</w:t>
      </w:r>
      <w:r>
        <w:t>.</w:t>
      </w:r>
      <w:r w:rsidR="00BB6C69">
        <w:t xml:space="preserve"> For these reasons, a more detailed review of AEP Ohio’s proactive efforts to increase the reliability of its distribution infrastructure is warranted.  </w:t>
      </w:r>
    </w:p>
    <w:p w:rsidR="002E2AAC" w:rsidRDefault="002E2AAC" w:rsidP="00025CFB">
      <w:pPr>
        <w:spacing w:line="480" w:lineRule="auto"/>
        <w:ind w:left="3600" w:firstLine="720"/>
      </w:pPr>
      <w:r>
        <w:t>Respectfully submitted,</w:t>
      </w:r>
    </w:p>
    <w:p w:rsidR="002E2AAC" w:rsidRDefault="002E2AAC">
      <w:pPr>
        <w:pStyle w:val="InsideAddress"/>
        <w:tabs>
          <w:tab w:val="left" w:pos="4230"/>
          <w:tab w:val="left" w:pos="4320"/>
        </w:tabs>
        <w:autoSpaceDE w:val="0"/>
        <w:autoSpaceDN w:val="0"/>
        <w:adjustRightInd w:val="0"/>
        <w:ind w:left="4320"/>
        <w:rPr>
          <w:rFonts w:ascii="Times New Roman" w:hAnsi="Times New Roman" w:cs="Times New Roman"/>
        </w:rPr>
      </w:pPr>
    </w:p>
    <w:p w:rsidR="005F3267" w:rsidRDefault="005F3267" w:rsidP="005F3267">
      <w:pPr>
        <w:pStyle w:val="InsideAddress"/>
        <w:tabs>
          <w:tab w:val="left" w:pos="4230"/>
          <w:tab w:val="left" w:pos="4320"/>
        </w:tabs>
        <w:autoSpaceDE w:val="0"/>
        <w:autoSpaceDN w:val="0"/>
        <w:adjustRightInd w:val="0"/>
        <w:ind w:left="4320"/>
        <w:rPr>
          <w:rFonts w:ascii="Times New Roman" w:hAnsi="Times New Roman" w:cs="Times New Roman"/>
        </w:rPr>
      </w:pPr>
      <w:r>
        <w:rPr>
          <w:rFonts w:ascii="Times New Roman" w:hAnsi="Times New Roman" w:cs="Times New Roman"/>
        </w:rPr>
        <w:t>BRUCE J. WESTON</w:t>
      </w:r>
    </w:p>
    <w:p w:rsidR="005F3267" w:rsidRDefault="005F3267" w:rsidP="005F3267">
      <w:pPr>
        <w:pStyle w:val="Footer"/>
        <w:tabs>
          <w:tab w:val="clear" w:pos="4320"/>
          <w:tab w:val="clear" w:pos="8640"/>
        </w:tabs>
        <w:autoSpaceDE w:val="0"/>
        <w:autoSpaceDN w:val="0"/>
        <w:adjustRightInd w:val="0"/>
        <w:ind w:left="4320"/>
      </w:pPr>
      <w:r>
        <w:t>OHIO CONSUMERS’ COUNSEL</w:t>
      </w:r>
    </w:p>
    <w:p w:rsidR="005F3267" w:rsidRDefault="005F3267" w:rsidP="005F3267">
      <w:pPr>
        <w:tabs>
          <w:tab w:val="left" w:pos="4230"/>
          <w:tab w:val="left" w:pos="4320"/>
        </w:tabs>
        <w:ind w:left="4320"/>
      </w:pPr>
    </w:p>
    <w:p w:rsidR="005F3267" w:rsidRDefault="005F3267" w:rsidP="005F3267">
      <w:pPr>
        <w:tabs>
          <w:tab w:val="left" w:pos="4320"/>
        </w:tabs>
      </w:pPr>
      <w:r>
        <w:tab/>
      </w:r>
      <w:r>
        <w:rPr>
          <w:i/>
          <w:u w:val="single"/>
        </w:rPr>
        <w:t>/s/ Joseph P. Serio</w:t>
      </w:r>
      <w:r>
        <w:t>_______________</w:t>
      </w:r>
    </w:p>
    <w:p w:rsidR="005F3267" w:rsidRDefault="005F3267" w:rsidP="005F3267">
      <w:pPr>
        <w:tabs>
          <w:tab w:val="left" w:pos="4320"/>
        </w:tabs>
      </w:pPr>
      <w:r>
        <w:tab/>
        <w:t>Joseph P. Serio, Counsel of Record</w:t>
      </w:r>
    </w:p>
    <w:p w:rsidR="005F3267" w:rsidRDefault="005F3267" w:rsidP="005F3267">
      <w:pPr>
        <w:tabs>
          <w:tab w:val="left" w:pos="4320"/>
        </w:tabs>
      </w:pPr>
      <w:r>
        <w:tab/>
        <w:t>Michael J. Schuler</w:t>
      </w:r>
    </w:p>
    <w:p w:rsidR="005F3267" w:rsidRDefault="005F3267" w:rsidP="005F3267">
      <w:pPr>
        <w:tabs>
          <w:tab w:val="left" w:pos="4320"/>
        </w:tabs>
      </w:pPr>
      <w:r>
        <w:tab/>
        <w:t>Assistant Consumers’ Counsel</w:t>
      </w:r>
    </w:p>
    <w:p w:rsidR="005F3267" w:rsidRDefault="005F3267" w:rsidP="00CD0DA6">
      <w:pPr>
        <w:pStyle w:val="Heading1"/>
      </w:pPr>
    </w:p>
    <w:p w:rsidR="005F3267" w:rsidRPr="005F3267" w:rsidRDefault="005F3267" w:rsidP="005F3267">
      <w:pPr>
        <w:ind w:left="4320"/>
        <w:rPr>
          <w:b/>
        </w:rPr>
      </w:pPr>
      <w:r w:rsidRPr="005F3267">
        <w:rPr>
          <w:b/>
        </w:rPr>
        <w:t>Office of the Ohio Consumers’ Counsel</w:t>
      </w:r>
    </w:p>
    <w:p w:rsidR="005F3267" w:rsidRPr="005F3267" w:rsidRDefault="005F3267" w:rsidP="005F3267">
      <w:pPr>
        <w:ind w:left="4320"/>
      </w:pPr>
      <w:r w:rsidRPr="005F3267">
        <w:t>10 West Broad Street, Suite 1800</w:t>
      </w:r>
    </w:p>
    <w:p w:rsidR="005F3267" w:rsidRPr="005F3267" w:rsidRDefault="005F3267" w:rsidP="005F3267">
      <w:pPr>
        <w:ind w:left="4320"/>
      </w:pPr>
      <w:r w:rsidRPr="005F3267">
        <w:t>Columbus, Ohio 43215-3485</w:t>
      </w:r>
    </w:p>
    <w:p w:rsidR="005F3267" w:rsidRDefault="005F3267" w:rsidP="005F3267">
      <w:pPr>
        <w:autoSpaceDE w:val="0"/>
        <w:autoSpaceDN w:val="0"/>
        <w:adjustRightInd w:val="0"/>
        <w:ind w:left="3600" w:firstLine="720"/>
      </w:pPr>
      <w:r>
        <w:t>Telephone: Direct – 614-466-9565 (Serio)</w:t>
      </w:r>
    </w:p>
    <w:p w:rsidR="005F3267" w:rsidRDefault="005F3267" w:rsidP="005F3267">
      <w:pPr>
        <w:autoSpaceDE w:val="0"/>
        <w:autoSpaceDN w:val="0"/>
        <w:adjustRightInd w:val="0"/>
        <w:ind w:left="3600" w:firstLine="720"/>
      </w:pPr>
      <w:r>
        <w:t>Telephone: Direct – 614-466-9547 (Schuler)</w:t>
      </w:r>
    </w:p>
    <w:p w:rsidR="005F3267" w:rsidRDefault="005F3267" w:rsidP="005F3267">
      <w:r>
        <w:tab/>
      </w:r>
      <w:r>
        <w:tab/>
      </w:r>
      <w:r>
        <w:tab/>
      </w:r>
      <w:r>
        <w:tab/>
      </w:r>
      <w:r>
        <w:tab/>
      </w:r>
      <w:r>
        <w:tab/>
      </w:r>
      <w:r w:rsidRPr="00AF79F6">
        <w:t>serio@occ.state.oh.us</w:t>
      </w:r>
    </w:p>
    <w:p w:rsidR="005F3267" w:rsidRDefault="005F3267" w:rsidP="005F3267">
      <w:pPr>
        <w:ind w:left="4320"/>
      </w:pPr>
      <w:r w:rsidRPr="00AF79F6">
        <w:t>schuler@occ.state.oh.us</w:t>
      </w:r>
    </w:p>
    <w:p w:rsidR="00D932A4" w:rsidRDefault="00D932A4">
      <w:pPr>
        <w:ind w:left="4320"/>
      </w:pPr>
    </w:p>
    <w:p w:rsidR="002E2AAC" w:rsidRDefault="002E2AAC">
      <w:pPr>
        <w:ind w:left="4320"/>
      </w:pPr>
    </w:p>
    <w:p w:rsidR="002E2AAC" w:rsidRDefault="002E2AAC"/>
    <w:p w:rsidR="002E2AAC" w:rsidRDefault="002E2AAC">
      <w:pPr>
        <w:jc w:val="center"/>
        <w:rPr>
          <w:b/>
          <w:bCs/>
          <w:u w:val="single"/>
        </w:rPr>
      </w:pPr>
      <w:r>
        <w:br w:type="page"/>
      </w:r>
      <w:r>
        <w:rPr>
          <w:b/>
          <w:bCs/>
          <w:u w:val="single"/>
        </w:rPr>
        <w:t>CERTIFICATE OF SERVICE</w:t>
      </w:r>
    </w:p>
    <w:p w:rsidR="002E2AAC" w:rsidRDefault="002E2AAC">
      <w:pPr>
        <w:jc w:val="center"/>
        <w:rPr>
          <w:b/>
          <w:bCs/>
          <w:u w:val="single"/>
        </w:rPr>
      </w:pPr>
    </w:p>
    <w:p w:rsidR="002E2AAC" w:rsidRDefault="002E2AAC" w:rsidP="004315CC">
      <w:pPr>
        <w:spacing w:line="480" w:lineRule="auto"/>
        <w:ind w:right="24"/>
        <w:rPr>
          <w:b/>
          <w:bCs/>
          <w:u w:val="single"/>
        </w:rPr>
      </w:pPr>
      <w:r>
        <w:tab/>
        <w:t xml:space="preserve">The undersigned hereby certifies that a true and correct copy of the foregoing Comments have been served upon the below-named persons via electronic service this </w:t>
      </w:r>
      <w:r w:rsidR="00133647">
        <w:t>2nd</w:t>
      </w:r>
      <w:r w:rsidR="00A34DEA">
        <w:t xml:space="preserve"> day of </w:t>
      </w:r>
      <w:r w:rsidR="00133647">
        <w:t>August</w:t>
      </w:r>
      <w:r w:rsidRPr="006B2A9B">
        <w:t>,</w:t>
      </w:r>
      <w:r>
        <w:t xml:space="preserve"> 2013.</w:t>
      </w:r>
    </w:p>
    <w:p w:rsidR="002E2AAC" w:rsidRDefault="002E2AAC">
      <w:pPr>
        <w:ind w:left="4320"/>
        <w:rPr>
          <w:i/>
          <w:iCs/>
          <w:u w:val="single"/>
        </w:rPr>
      </w:pPr>
      <w:r>
        <w:rPr>
          <w:i/>
          <w:iCs/>
          <w:u w:val="single"/>
        </w:rPr>
        <w:t xml:space="preserve">/s/ </w:t>
      </w:r>
      <w:r w:rsidR="00133647">
        <w:rPr>
          <w:i/>
          <w:iCs/>
          <w:u w:val="single"/>
        </w:rPr>
        <w:t>Joseph P. Serio</w:t>
      </w:r>
      <w:r>
        <w:rPr>
          <w:i/>
          <w:iCs/>
          <w:u w:val="single"/>
        </w:rPr>
        <w:tab/>
      </w:r>
      <w:r>
        <w:rPr>
          <w:i/>
          <w:iCs/>
          <w:u w:val="single"/>
        </w:rPr>
        <w:tab/>
      </w:r>
    </w:p>
    <w:p w:rsidR="002E2AAC" w:rsidRDefault="002E2AAC">
      <w:r>
        <w:tab/>
      </w:r>
      <w:r>
        <w:tab/>
      </w:r>
      <w:r>
        <w:tab/>
      </w:r>
      <w:r>
        <w:tab/>
      </w:r>
      <w:r>
        <w:tab/>
      </w:r>
      <w:r>
        <w:tab/>
      </w:r>
      <w:r w:rsidR="00133647">
        <w:t>Joseph P. Serio</w:t>
      </w:r>
    </w:p>
    <w:p w:rsidR="002E2AAC" w:rsidRDefault="002E2AAC">
      <w:r>
        <w:tab/>
      </w:r>
      <w:r>
        <w:tab/>
      </w:r>
      <w:r>
        <w:tab/>
      </w:r>
      <w:r>
        <w:tab/>
      </w:r>
      <w:r>
        <w:tab/>
      </w:r>
      <w:r>
        <w:tab/>
        <w:t>Assistant Consumers’ Counsel</w:t>
      </w:r>
    </w:p>
    <w:p w:rsidR="002E2AAC" w:rsidRDefault="002E2AAC">
      <w:pPr>
        <w:tabs>
          <w:tab w:val="left" w:pos="4320"/>
        </w:tabs>
        <w:jc w:val="center"/>
        <w:rPr>
          <w:b/>
          <w:bCs/>
          <w:u w:val="single"/>
        </w:rPr>
      </w:pPr>
    </w:p>
    <w:p w:rsidR="00133647" w:rsidRDefault="00133647" w:rsidP="00133647">
      <w:pPr>
        <w:pStyle w:val="CommentText"/>
        <w:jc w:val="center"/>
        <w:rPr>
          <w:b/>
          <w:u w:val="single"/>
        </w:rPr>
      </w:pPr>
      <w:r>
        <w:rPr>
          <w:b/>
          <w:u w:val="single"/>
        </w:rPr>
        <w:t>SERVICE LIST</w:t>
      </w:r>
    </w:p>
    <w:p w:rsidR="00133647" w:rsidRDefault="00133647" w:rsidP="00133647">
      <w:pPr>
        <w:pStyle w:val="BodyText"/>
        <w:rPr>
          <w:b/>
          <w:bCs/>
        </w:rPr>
      </w:pPr>
    </w:p>
    <w:tbl>
      <w:tblPr>
        <w:tblW w:w="0" w:type="auto"/>
        <w:tblLook w:val="01E0" w:firstRow="1" w:lastRow="1" w:firstColumn="1" w:lastColumn="1" w:noHBand="0" w:noVBand="0"/>
      </w:tblPr>
      <w:tblGrid>
        <w:gridCol w:w="4428"/>
        <w:gridCol w:w="4428"/>
      </w:tblGrid>
      <w:tr w:rsidR="00133647" w:rsidRPr="00E27849" w:rsidTr="00E332DE">
        <w:tc>
          <w:tcPr>
            <w:tcW w:w="4428" w:type="dxa"/>
            <w:shd w:val="clear" w:color="auto" w:fill="auto"/>
          </w:tcPr>
          <w:p w:rsidR="00133647" w:rsidRPr="00E27849" w:rsidRDefault="00133647" w:rsidP="00E332DE">
            <w:pPr>
              <w:autoSpaceDE w:val="0"/>
              <w:autoSpaceDN w:val="0"/>
              <w:adjustRightInd w:val="0"/>
              <w:rPr>
                <w:bCs/>
              </w:rPr>
            </w:pPr>
            <w:r>
              <w:rPr>
                <w:bCs/>
              </w:rPr>
              <w:t>Thomas McNamee</w:t>
            </w:r>
          </w:p>
          <w:p w:rsidR="00133647" w:rsidRPr="00E27849" w:rsidRDefault="00133647" w:rsidP="00E332DE">
            <w:pPr>
              <w:autoSpaceDE w:val="0"/>
              <w:autoSpaceDN w:val="0"/>
              <w:adjustRightInd w:val="0"/>
              <w:rPr>
                <w:bCs/>
              </w:rPr>
            </w:pPr>
            <w:r w:rsidRPr="00E27849">
              <w:rPr>
                <w:bCs/>
              </w:rPr>
              <w:t>Public Utilities Commission of Ohio</w:t>
            </w:r>
          </w:p>
          <w:p w:rsidR="00133647" w:rsidRPr="00E27849" w:rsidRDefault="00133647" w:rsidP="00E332DE">
            <w:pPr>
              <w:autoSpaceDE w:val="0"/>
              <w:autoSpaceDN w:val="0"/>
              <w:adjustRightInd w:val="0"/>
              <w:rPr>
                <w:bCs/>
              </w:rPr>
            </w:pPr>
            <w:r w:rsidRPr="00E27849">
              <w:rPr>
                <w:bCs/>
              </w:rPr>
              <w:t>180 E. Broad St., 6</w:t>
            </w:r>
            <w:r w:rsidRPr="00E27849">
              <w:rPr>
                <w:bCs/>
                <w:vertAlign w:val="superscript"/>
              </w:rPr>
              <w:t>th</w:t>
            </w:r>
            <w:r w:rsidRPr="00E27849">
              <w:rPr>
                <w:bCs/>
              </w:rPr>
              <w:t xml:space="preserve"> St.</w:t>
            </w:r>
          </w:p>
          <w:p w:rsidR="00133647" w:rsidRDefault="00133647" w:rsidP="00E332DE">
            <w:pPr>
              <w:autoSpaceDE w:val="0"/>
              <w:autoSpaceDN w:val="0"/>
              <w:adjustRightInd w:val="0"/>
              <w:rPr>
                <w:bCs/>
              </w:rPr>
            </w:pPr>
            <w:r w:rsidRPr="00E27849">
              <w:rPr>
                <w:bCs/>
              </w:rPr>
              <w:t>Columbus, OH 43215</w:t>
            </w:r>
          </w:p>
          <w:p w:rsidR="00BE6DA5" w:rsidRDefault="00BE6DA5" w:rsidP="00E332DE">
            <w:pPr>
              <w:autoSpaceDE w:val="0"/>
              <w:autoSpaceDN w:val="0"/>
              <w:adjustRightInd w:val="0"/>
              <w:rPr>
                <w:bCs/>
              </w:rPr>
            </w:pPr>
            <w:r w:rsidRPr="00AF79F6">
              <w:rPr>
                <w:bCs/>
              </w:rPr>
              <w:t>Thomas.mcnamee@puc.state.oh.us</w:t>
            </w:r>
          </w:p>
          <w:p w:rsidR="00BE6DA5" w:rsidRPr="00E27849" w:rsidRDefault="00BE6DA5" w:rsidP="00E332DE">
            <w:pPr>
              <w:autoSpaceDE w:val="0"/>
              <w:autoSpaceDN w:val="0"/>
              <w:adjustRightInd w:val="0"/>
              <w:rPr>
                <w:bCs/>
              </w:rPr>
            </w:pPr>
          </w:p>
          <w:p w:rsidR="00133647" w:rsidRPr="00E27849" w:rsidRDefault="00133647" w:rsidP="00BE6DA5">
            <w:pPr>
              <w:autoSpaceDE w:val="0"/>
              <w:autoSpaceDN w:val="0"/>
              <w:adjustRightInd w:val="0"/>
              <w:rPr>
                <w:bCs/>
              </w:rPr>
            </w:pPr>
          </w:p>
        </w:tc>
        <w:tc>
          <w:tcPr>
            <w:tcW w:w="4428" w:type="dxa"/>
            <w:shd w:val="clear" w:color="auto" w:fill="auto"/>
          </w:tcPr>
          <w:p w:rsidR="00133647" w:rsidRPr="00E27849" w:rsidRDefault="00133647" w:rsidP="00E332DE">
            <w:pPr>
              <w:tabs>
                <w:tab w:val="left" w:pos="-720"/>
              </w:tabs>
              <w:suppressAutoHyphens/>
              <w:spacing w:line="240" w:lineRule="atLeast"/>
              <w:ind w:right="-108"/>
              <w:rPr>
                <w:color w:val="000000"/>
              </w:rPr>
            </w:pPr>
            <w:r w:rsidRPr="00E27849">
              <w:rPr>
                <w:color w:val="000000"/>
              </w:rPr>
              <w:t>Steve Nourse</w:t>
            </w:r>
          </w:p>
          <w:p w:rsidR="00133647" w:rsidRPr="00E27849" w:rsidRDefault="00133647" w:rsidP="00E332DE">
            <w:pPr>
              <w:tabs>
                <w:tab w:val="left" w:pos="-720"/>
              </w:tabs>
              <w:suppressAutoHyphens/>
              <w:ind w:right="-108"/>
              <w:rPr>
                <w:color w:val="000000"/>
              </w:rPr>
            </w:pPr>
            <w:r w:rsidRPr="00E27849">
              <w:rPr>
                <w:color w:val="000000"/>
              </w:rPr>
              <w:t>AEP Service Corp.</w:t>
            </w:r>
            <w:r w:rsidRPr="00E27849">
              <w:rPr>
                <w:color w:val="000000"/>
              </w:rPr>
              <w:br/>
              <w:t>1 Riverside Plaza, 29</w:t>
            </w:r>
            <w:r w:rsidRPr="00E27849">
              <w:rPr>
                <w:color w:val="000000"/>
                <w:vertAlign w:val="superscript"/>
              </w:rPr>
              <w:t>th</w:t>
            </w:r>
            <w:r w:rsidRPr="00E27849">
              <w:rPr>
                <w:color w:val="000000"/>
              </w:rPr>
              <w:t xml:space="preserve"> Floor</w:t>
            </w:r>
            <w:r w:rsidRPr="00E27849">
              <w:rPr>
                <w:color w:val="000000"/>
              </w:rPr>
              <w:br/>
              <w:t>Columbus, OH 43215</w:t>
            </w:r>
          </w:p>
          <w:p w:rsidR="00133647" w:rsidRPr="00E27849" w:rsidRDefault="00133647" w:rsidP="00BE6DA5">
            <w:pPr>
              <w:tabs>
                <w:tab w:val="left" w:pos="-720"/>
              </w:tabs>
              <w:suppressAutoHyphens/>
              <w:ind w:right="-108"/>
              <w:rPr>
                <w:bCs/>
              </w:rPr>
            </w:pPr>
            <w:r w:rsidRPr="00AF79F6">
              <w:t>stnourse@aep.com</w:t>
            </w:r>
          </w:p>
        </w:tc>
      </w:tr>
    </w:tbl>
    <w:p w:rsidR="00133647" w:rsidRDefault="00133647" w:rsidP="00133647">
      <w:pPr>
        <w:pStyle w:val="BodyText"/>
        <w:rPr>
          <w:b/>
          <w:bCs/>
        </w:rPr>
      </w:pPr>
    </w:p>
    <w:p w:rsidR="008F46E9" w:rsidRDefault="00BE6DA5" w:rsidP="004315CC">
      <w:pPr>
        <w:jc w:val="both"/>
      </w:pPr>
      <w:r>
        <w:t>AEs:</w:t>
      </w:r>
      <w:r>
        <w:tab/>
      </w:r>
      <w:r w:rsidRPr="00AF79F6">
        <w:t>Sarah.parrot@puc.state.oh.us</w:t>
      </w:r>
    </w:p>
    <w:p w:rsidR="00BE6DA5" w:rsidRDefault="00BE6DA5" w:rsidP="004315CC">
      <w:pPr>
        <w:jc w:val="both"/>
      </w:pPr>
      <w:r>
        <w:tab/>
      </w:r>
      <w:r w:rsidRPr="00AF79F6">
        <w:t>Jonathan.tauber@puc.state.oh.us</w:t>
      </w:r>
    </w:p>
    <w:p w:rsidR="00BE6DA5" w:rsidRDefault="00BE6DA5" w:rsidP="004315CC">
      <w:pPr>
        <w:jc w:val="both"/>
      </w:pPr>
    </w:p>
    <w:sectPr w:rsidR="00BE6DA5" w:rsidSect="00D932A4">
      <w:headerReference w:type="even" r:id="rId18"/>
      <w:headerReference w:type="default" r:id="rId19"/>
      <w:headerReference w:type="first" r:id="rId2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1F" w:rsidRDefault="003E631F">
      <w:r>
        <w:separator/>
      </w:r>
    </w:p>
  </w:endnote>
  <w:endnote w:type="continuationSeparator" w:id="0">
    <w:p w:rsidR="003E631F" w:rsidRDefault="003E631F">
      <w:r>
        <w:continuationSeparator/>
      </w:r>
    </w:p>
  </w:endnote>
  <w:endnote w:type="continuationNotice" w:id="1">
    <w:p w:rsidR="003E631F" w:rsidRDefault="003E6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F6" w:rsidRDefault="00AF7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F6" w:rsidRDefault="00AF79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F6" w:rsidRDefault="00AF79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1C" w:rsidRDefault="00E0141C">
    <w:pPr>
      <w:pStyle w:val="Footer"/>
      <w:jc w:val="center"/>
    </w:pPr>
    <w:r>
      <w:fldChar w:fldCharType="begin"/>
    </w:r>
    <w:r>
      <w:instrText xml:space="preserve"> PAGE   \* MERGEFORMAT </w:instrText>
    </w:r>
    <w:r>
      <w:fldChar w:fldCharType="separate"/>
    </w:r>
    <w:r w:rsidR="00AC5A74">
      <w:rPr>
        <w:noProof/>
      </w:rPr>
      <w:t>i</w:t>
    </w:r>
    <w:r>
      <w:rPr>
        <w:noProof/>
      </w:rPr>
      <w:fldChar w:fldCharType="end"/>
    </w:r>
  </w:p>
  <w:p w:rsidR="00E0141C" w:rsidRDefault="00E01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1F" w:rsidRDefault="003E631F">
      <w:r>
        <w:separator/>
      </w:r>
    </w:p>
  </w:footnote>
  <w:footnote w:type="continuationSeparator" w:id="0">
    <w:p w:rsidR="003E631F" w:rsidRDefault="003E631F">
      <w:r>
        <w:continuationSeparator/>
      </w:r>
    </w:p>
  </w:footnote>
  <w:footnote w:type="continuationNotice" w:id="1">
    <w:p w:rsidR="003E631F" w:rsidRDefault="003E631F"/>
  </w:footnote>
  <w:footnote w:id="2">
    <w:p w:rsidR="0003664D" w:rsidRPr="00471D55" w:rsidRDefault="0003664D" w:rsidP="003D73E8">
      <w:pPr>
        <w:pStyle w:val="FootnoteText"/>
      </w:pPr>
      <w:r w:rsidRPr="00471D55">
        <w:rPr>
          <w:rStyle w:val="FootnoteReference"/>
        </w:rPr>
        <w:footnoteRef/>
      </w:r>
      <w:r w:rsidRPr="00471D55">
        <w:t xml:space="preserve"> </w:t>
      </w:r>
      <w:r w:rsidRPr="004C43BC">
        <w:rPr>
          <w:i/>
        </w:rPr>
        <w:t>In the Matter of the Applications of Ohio Power Company for Authority to Establish a Standard Service Offers Pursuant to Section 4928.143, Revised Code, in the Form of an Electric Security Plan</w:t>
      </w:r>
      <w:r w:rsidR="004C43BC">
        <w:t xml:space="preserve"> (“</w:t>
      </w:r>
      <w:r w:rsidR="004C43BC" w:rsidRPr="004C43BC">
        <w:rPr>
          <w:i/>
        </w:rPr>
        <w:t>ESP II</w:t>
      </w:r>
      <w:r w:rsidR="004C43BC">
        <w:t>”)</w:t>
      </w:r>
      <w:r w:rsidRPr="00471D55">
        <w:t>, Case No. 11-346-EL-SSO, Opinion and Order at 47 (Aug</w:t>
      </w:r>
      <w:r>
        <w:t>ust</w:t>
      </w:r>
      <w:r w:rsidRPr="00471D55">
        <w:t xml:space="preserve"> 8, 2012).</w:t>
      </w:r>
    </w:p>
  </w:footnote>
  <w:footnote w:id="3">
    <w:p w:rsidR="0003664D" w:rsidRPr="00471D55" w:rsidRDefault="0003664D" w:rsidP="003D73E8">
      <w:pPr>
        <w:pStyle w:val="FootnoteText"/>
      </w:pPr>
      <w:r w:rsidRPr="00471D55">
        <w:rPr>
          <w:rStyle w:val="FootnoteReference"/>
        </w:rPr>
        <w:footnoteRef/>
      </w:r>
      <w:r w:rsidRPr="00471D55">
        <w:t xml:space="preserve"> Id. at 42.</w:t>
      </w:r>
    </w:p>
  </w:footnote>
  <w:footnote w:id="4">
    <w:p w:rsidR="0003664D" w:rsidRPr="00471D55" w:rsidRDefault="0003664D" w:rsidP="003D73E8">
      <w:pPr>
        <w:pStyle w:val="FootnoteText"/>
      </w:pPr>
      <w:r w:rsidRPr="00471D55">
        <w:rPr>
          <w:rStyle w:val="FootnoteReference"/>
        </w:rPr>
        <w:footnoteRef/>
      </w:r>
      <w:r w:rsidRPr="00471D55">
        <w:t xml:space="preserve"> Id. at 47.</w:t>
      </w:r>
    </w:p>
  </w:footnote>
  <w:footnote w:id="5">
    <w:p w:rsidR="00C70834" w:rsidRPr="00DE4D0B" w:rsidRDefault="00C70834" w:rsidP="00C70834">
      <w:pPr>
        <w:autoSpaceDE w:val="0"/>
        <w:autoSpaceDN w:val="0"/>
        <w:adjustRightInd w:val="0"/>
        <w:spacing w:after="120"/>
        <w:rPr>
          <w:sz w:val="20"/>
          <w:szCs w:val="20"/>
        </w:rPr>
      </w:pPr>
      <w:r w:rsidRPr="00DE4D0B">
        <w:rPr>
          <w:rStyle w:val="FootnoteReference"/>
          <w:sz w:val="20"/>
          <w:szCs w:val="20"/>
        </w:rPr>
        <w:footnoteRef/>
      </w:r>
      <w:r w:rsidRPr="00DE4D0B">
        <w:rPr>
          <w:sz w:val="20"/>
          <w:szCs w:val="20"/>
        </w:rPr>
        <w:t xml:space="preserve"> </w:t>
      </w:r>
      <w:r w:rsidR="004C43BC">
        <w:rPr>
          <w:sz w:val="20"/>
          <w:szCs w:val="20"/>
        </w:rPr>
        <w:t>Id.</w:t>
      </w:r>
      <w:r w:rsidRPr="00DE4D0B">
        <w:rPr>
          <w:sz w:val="20"/>
          <w:szCs w:val="20"/>
        </w:rPr>
        <w:t xml:space="preserve"> at 44. </w:t>
      </w:r>
    </w:p>
  </w:footnote>
  <w:footnote w:id="6">
    <w:p w:rsidR="00C70834" w:rsidRPr="00DE4D0B" w:rsidRDefault="00C70834" w:rsidP="003D73E8">
      <w:pPr>
        <w:pStyle w:val="FootnoteText"/>
      </w:pPr>
      <w:r w:rsidRPr="00DE4D0B">
        <w:rPr>
          <w:rStyle w:val="FootnoteReference"/>
        </w:rPr>
        <w:footnoteRef/>
      </w:r>
      <w:r w:rsidRPr="00DE4D0B">
        <w:t xml:space="preserve"> Id</w:t>
      </w:r>
      <w:r>
        <w:t>.</w:t>
      </w:r>
      <w:r w:rsidRPr="00DE4D0B">
        <w:t xml:space="preserve"> at 47 (Emphasis added).</w:t>
      </w:r>
    </w:p>
  </w:footnote>
  <w:footnote w:id="7">
    <w:p w:rsidR="00C70834" w:rsidRPr="00DE4D0B" w:rsidRDefault="00C70834" w:rsidP="003D73E8">
      <w:pPr>
        <w:pStyle w:val="FootnoteText"/>
      </w:pPr>
      <w:r w:rsidRPr="00DE4D0B">
        <w:rPr>
          <w:rStyle w:val="FootnoteReference"/>
        </w:rPr>
        <w:footnoteRef/>
      </w:r>
      <w:r w:rsidRPr="00DE4D0B">
        <w:t xml:space="preserve"> Id. (Emphasis added).  </w:t>
      </w:r>
    </w:p>
  </w:footnote>
  <w:footnote w:id="8">
    <w:p w:rsidR="00620F78" w:rsidRDefault="00620F78" w:rsidP="003D73E8">
      <w:pPr>
        <w:pStyle w:val="FootnoteText"/>
      </w:pPr>
      <w:r>
        <w:rPr>
          <w:rStyle w:val="FootnoteReference"/>
        </w:rPr>
        <w:footnoteRef/>
      </w:r>
      <w:r>
        <w:t xml:space="preserve"> </w:t>
      </w:r>
      <w:r w:rsidRPr="00E17E5E">
        <w:t>AEP Ohio and other intervenors are permitted to file initial comments by August 2, 2013 and reply comments by August 16, 2013.</w:t>
      </w:r>
      <w:r>
        <w:t xml:space="preserve">  </w:t>
      </w:r>
      <w:r w:rsidRPr="00471D55">
        <w:t>Entry at 2 (June 26, 2013)</w:t>
      </w:r>
      <w:r>
        <w:t>.</w:t>
      </w:r>
    </w:p>
  </w:footnote>
  <w:footnote w:id="9">
    <w:p w:rsidR="00E0141C" w:rsidRDefault="00E0141C" w:rsidP="003D73E8">
      <w:pPr>
        <w:pStyle w:val="FootnoteText"/>
      </w:pPr>
      <w:r>
        <w:rPr>
          <w:rStyle w:val="FootnoteReference"/>
        </w:rPr>
        <w:footnoteRef/>
      </w:r>
      <w:r>
        <w:t xml:space="preserve"> </w:t>
      </w:r>
      <w:r w:rsidR="003B659A">
        <w:t>Comments Submitted on Behalf of the Staff of The Public Utilities Commission of Ohio – Review of Ohio Power Company’s 2012 Progress Implementing Distribution Infrastructure Programs (“</w:t>
      </w:r>
      <w:r>
        <w:t>PUCO Staff Reliability Comments</w:t>
      </w:r>
      <w:r w:rsidR="003B659A">
        <w:t>”)</w:t>
      </w:r>
      <w:r>
        <w:t xml:space="preserve"> at 7 (June 20, 2013). </w:t>
      </w:r>
    </w:p>
  </w:footnote>
  <w:footnote w:id="10">
    <w:p w:rsidR="00E0141C" w:rsidRDefault="00E0141C" w:rsidP="003D73E8">
      <w:pPr>
        <w:pStyle w:val="FootnoteText"/>
      </w:pPr>
      <w:r>
        <w:rPr>
          <w:rStyle w:val="FootnoteReference"/>
        </w:rPr>
        <w:footnoteRef/>
      </w:r>
      <w:r>
        <w:t xml:space="preserve"> </w:t>
      </w:r>
      <w:r w:rsidR="003B659A">
        <w:t>Id.</w:t>
      </w:r>
      <w:r>
        <w:t xml:space="preserve"> at 7.</w:t>
      </w:r>
    </w:p>
  </w:footnote>
  <w:footnote w:id="11">
    <w:p w:rsidR="00E0141C" w:rsidRDefault="00E0141C" w:rsidP="003D73E8">
      <w:pPr>
        <w:pStyle w:val="FootnoteText"/>
      </w:pPr>
      <w:r>
        <w:rPr>
          <w:rStyle w:val="FootnoteReference"/>
        </w:rPr>
        <w:footnoteRef/>
      </w:r>
      <w:r>
        <w:t xml:space="preserve"> </w:t>
      </w:r>
      <w:r w:rsidR="002B3FD2" w:rsidRPr="002B3FD2">
        <w:rPr>
          <w:i/>
        </w:rPr>
        <w:t>ESP II</w:t>
      </w:r>
      <w:r w:rsidR="002B3FD2">
        <w:t xml:space="preserve">, </w:t>
      </w:r>
      <w:r w:rsidR="00BB0CBC" w:rsidRPr="002B3FD2">
        <w:t>Case</w:t>
      </w:r>
      <w:r w:rsidR="00BB0CBC">
        <w:t xml:space="preserve"> No. 11-346-EL-SSO, Opinion</w:t>
      </w:r>
      <w:r w:rsidR="002B3FD2">
        <w:t xml:space="preserve"> and Order at 47; </w:t>
      </w:r>
      <w:r w:rsidR="00BB0CBC">
        <w:t>Entry on Rehearing at 47 (January 30, 2013).</w:t>
      </w:r>
    </w:p>
  </w:footnote>
  <w:footnote w:id="12">
    <w:p w:rsidR="00E0141C" w:rsidRPr="00DE4D0B" w:rsidRDefault="00E0141C" w:rsidP="003D73E8">
      <w:pPr>
        <w:pStyle w:val="FootnoteText"/>
      </w:pPr>
      <w:r w:rsidRPr="00DE4D0B">
        <w:rPr>
          <w:rStyle w:val="FootnoteReference"/>
        </w:rPr>
        <w:footnoteRef/>
      </w:r>
      <w:r w:rsidRPr="00DE4D0B">
        <w:t xml:space="preserve"> PUCO Staff Reliability Comments at 2.</w:t>
      </w:r>
    </w:p>
  </w:footnote>
  <w:footnote w:id="13">
    <w:p w:rsidR="00E0141C" w:rsidRPr="00DE4D0B" w:rsidRDefault="00E0141C" w:rsidP="003D73E8">
      <w:pPr>
        <w:pStyle w:val="FootnoteText"/>
      </w:pPr>
      <w:r w:rsidRPr="00DE4D0B">
        <w:rPr>
          <w:rStyle w:val="FootnoteReference"/>
        </w:rPr>
        <w:footnoteRef/>
      </w:r>
      <w:r w:rsidRPr="00DE4D0B">
        <w:t xml:space="preserve"> Ohio Adm. Code 4901:1-10-26(B)(3)(d)</w:t>
      </w:r>
      <w:r>
        <w:t>.</w:t>
      </w:r>
    </w:p>
  </w:footnote>
  <w:footnote w:id="14">
    <w:p w:rsidR="003B659A" w:rsidRPr="00DE4D0B" w:rsidRDefault="003B659A" w:rsidP="003B659A">
      <w:pPr>
        <w:autoSpaceDE w:val="0"/>
        <w:autoSpaceDN w:val="0"/>
        <w:adjustRightInd w:val="0"/>
        <w:spacing w:after="120"/>
        <w:rPr>
          <w:sz w:val="20"/>
          <w:szCs w:val="20"/>
        </w:rPr>
      </w:pPr>
      <w:r w:rsidRPr="00DE4D0B">
        <w:rPr>
          <w:rStyle w:val="FootnoteReference"/>
          <w:sz w:val="20"/>
          <w:szCs w:val="20"/>
        </w:rPr>
        <w:footnoteRef/>
      </w:r>
      <w:r w:rsidRPr="00DE4D0B">
        <w:rPr>
          <w:sz w:val="20"/>
          <w:szCs w:val="20"/>
        </w:rPr>
        <w:t xml:space="preserve"> </w:t>
      </w:r>
      <w:r w:rsidRPr="00B8392A">
        <w:rPr>
          <w:i/>
          <w:sz w:val="20"/>
          <w:szCs w:val="20"/>
        </w:rPr>
        <w:t>In the Matter of the Annual Report of Ohio Power Company Pursuant to Rule 26 of the Electric Service and Safety Standards, Ohio Administrative Code 4901:1-10-26</w:t>
      </w:r>
      <w:r w:rsidRPr="00DE4D0B">
        <w:rPr>
          <w:sz w:val="20"/>
          <w:szCs w:val="20"/>
        </w:rPr>
        <w:t xml:space="preserve">, Case </w:t>
      </w:r>
      <w:r>
        <w:rPr>
          <w:sz w:val="20"/>
          <w:szCs w:val="20"/>
        </w:rPr>
        <w:t xml:space="preserve">No. </w:t>
      </w:r>
      <w:r w:rsidRPr="00DE4D0B">
        <w:rPr>
          <w:sz w:val="20"/>
          <w:szCs w:val="20"/>
        </w:rPr>
        <w:t xml:space="preserve">13-996-EL-ESS, Annual Investment Report </w:t>
      </w:r>
      <w:r>
        <w:rPr>
          <w:sz w:val="20"/>
          <w:szCs w:val="20"/>
        </w:rPr>
        <w:t>at</w:t>
      </w:r>
      <w:r w:rsidRPr="00DE4D0B">
        <w:rPr>
          <w:sz w:val="20"/>
          <w:szCs w:val="20"/>
        </w:rPr>
        <w:t xml:space="preserve"> 57 (March 28, 2013)</w:t>
      </w:r>
      <w:r>
        <w:rPr>
          <w:sz w:val="20"/>
          <w:szCs w:val="20"/>
        </w:rPr>
        <w:t>.</w:t>
      </w:r>
    </w:p>
  </w:footnote>
  <w:footnote w:id="15">
    <w:p w:rsidR="00E0141C" w:rsidRPr="00DE4D0B" w:rsidRDefault="00E0141C" w:rsidP="003D73E8">
      <w:pPr>
        <w:pStyle w:val="FootnoteText"/>
      </w:pPr>
      <w:r w:rsidRPr="00DE4D0B">
        <w:rPr>
          <w:rStyle w:val="FootnoteReference"/>
        </w:rPr>
        <w:footnoteRef/>
      </w:r>
      <w:r w:rsidRPr="00DE4D0B">
        <w:t xml:space="preserve"> </w:t>
      </w:r>
      <w:r w:rsidR="004B3003">
        <w:t>PUCO Staff Reliability Comments</w:t>
      </w:r>
      <w:r w:rsidRPr="00DE4D0B">
        <w:t xml:space="preserve"> at 3</w:t>
      </w:r>
      <w:r>
        <w:t xml:space="preserve"> (Emphasis added)</w:t>
      </w:r>
      <w:r w:rsidRPr="00DE4D0B">
        <w:t>.</w:t>
      </w:r>
    </w:p>
  </w:footnote>
  <w:footnote w:id="16">
    <w:p w:rsidR="00E0141C" w:rsidRPr="00DE4D0B" w:rsidRDefault="00E0141C" w:rsidP="003D73E8">
      <w:pPr>
        <w:pStyle w:val="FootnoteText"/>
      </w:pPr>
      <w:r w:rsidRPr="00DE4D0B">
        <w:rPr>
          <w:rStyle w:val="FootnoteReference"/>
        </w:rPr>
        <w:footnoteRef/>
      </w:r>
      <w:r w:rsidRPr="00DE4D0B">
        <w:t xml:space="preserve"> </w:t>
      </w:r>
      <w:r w:rsidRPr="00DE4D0B">
        <w:rPr>
          <w:i/>
        </w:rPr>
        <w:t>See generally,</w:t>
      </w:r>
      <w:r w:rsidRPr="00DE4D0B">
        <w:t xml:space="preserve"> </w:t>
      </w:r>
      <w:r w:rsidR="004B3003">
        <w:t>Id.</w:t>
      </w:r>
    </w:p>
  </w:footnote>
  <w:footnote w:id="17">
    <w:p w:rsidR="00E0141C" w:rsidRPr="00DE4D0B" w:rsidRDefault="00E0141C" w:rsidP="003D73E8">
      <w:pPr>
        <w:pStyle w:val="FootnoteText"/>
      </w:pPr>
      <w:r w:rsidRPr="007013D1">
        <w:rPr>
          <w:rStyle w:val="FootnoteReference"/>
        </w:rPr>
        <w:footnoteRef/>
      </w:r>
      <w:r w:rsidRPr="00DE4D0B">
        <w:t xml:space="preserve"> </w:t>
      </w:r>
      <w:r w:rsidR="007013D1" w:rsidRPr="002B3FD2">
        <w:rPr>
          <w:i/>
        </w:rPr>
        <w:t>In the Matter of the Annual Report of [sic] Pursuant to Rule 10 of the Electric Service and Safety Standards, Ohio Administrative Code 4901:1-10-10</w:t>
      </w:r>
      <w:r w:rsidR="007013D1">
        <w:t xml:space="preserve">, Annual Report of the Columbus Southern Power Company at 2 (April 9, 2012); </w:t>
      </w:r>
      <w:r w:rsidR="007013D1" w:rsidRPr="002B3FD2">
        <w:rPr>
          <w:i/>
        </w:rPr>
        <w:t>In the Matter of the Annual Report of [sic] Pursuant to Rule 10 of the Electric Service and Safety Standards, Ohio Administrative Code 4901:1-10-10</w:t>
      </w:r>
      <w:r w:rsidR="007013D1">
        <w:t>, Annual Report of the Columbus Southern Power Company at 2 (April 1, 2013).</w:t>
      </w:r>
    </w:p>
  </w:footnote>
  <w:footnote w:id="18">
    <w:p w:rsidR="00E0141C" w:rsidRPr="00DE4D0B" w:rsidRDefault="00E0141C" w:rsidP="003D73E8">
      <w:pPr>
        <w:pStyle w:val="FootnoteText"/>
      </w:pPr>
      <w:r w:rsidRPr="00DE4D0B">
        <w:rPr>
          <w:rStyle w:val="FootnoteReference"/>
        </w:rPr>
        <w:footnoteRef/>
      </w:r>
      <w:r w:rsidRPr="00DE4D0B">
        <w:t xml:space="preserve"> </w:t>
      </w:r>
      <w:r w:rsidRPr="00872914">
        <w:rPr>
          <w:i/>
        </w:rPr>
        <w:t>In the Matter of the Commission’s Review of the Ohio Power Company’s Distribution Investment Rider Work Plan Resulting from Commission Case No. 11-346-EL-SSO et al.</w:t>
      </w:r>
      <w:r w:rsidRPr="00DE4D0B">
        <w:t xml:space="preserve">, Case </w:t>
      </w:r>
      <w:r>
        <w:t xml:space="preserve">No. </w:t>
      </w:r>
      <w:r w:rsidRPr="00DE4D0B">
        <w:t>12-3129-EL-UNC, OCC Initial Comments at 13-14 (January 18, 2013).</w:t>
      </w:r>
    </w:p>
  </w:footnote>
  <w:footnote w:id="19">
    <w:p w:rsidR="00E0141C" w:rsidRPr="00DE4D0B" w:rsidRDefault="00E0141C" w:rsidP="003D73E8">
      <w:pPr>
        <w:pStyle w:val="FootnoteText"/>
      </w:pPr>
      <w:r w:rsidRPr="00DE4D0B">
        <w:rPr>
          <w:rStyle w:val="FootnoteReference"/>
        </w:rPr>
        <w:footnoteRef/>
      </w:r>
      <w:r w:rsidRPr="00DE4D0B">
        <w:t xml:space="preserve"> In the Matter of the Commission’s Review of the Ohio Power Company’s Distribution Investment Rider Work Plan Resulting from Commission Case No. 11-346-EL-SSO et al., Case </w:t>
      </w:r>
      <w:r>
        <w:t xml:space="preserve">No. </w:t>
      </w:r>
      <w:r w:rsidRPr="00DE4D0B">
        <w:t>12-3129-EL-UNC, Commission Finding and Order at 10 (May 29, 2013).</w:t>
      </w:r>
    </w:p>
  </w:footnote>
  <w:footnote w:id="20">
    <w:p w:rsidR="00E0141C" w:rsidRDefault="00E0141C" w:rsidP="003D73E8">
      <w:pPr>
        <w:pStyle w:val="FootnoteText"/>
      </w:pPr>
      <w:r w:rsidRPr="00DE4D0B">
        <w:rPr>
          <w:rStyle w:val="FootnoteReference"/>
        </w:rPr>
        <w:footnoteRef/>
      </w:r>
      <w:r w:rsidRPr="00DE4D0B">
        <w:t xml:space="preserve"> Id. at 11-12.</w:t>
      </w:r>
    </w:p>
  </w:footnote>
  <w:footnote w:id="21">
    <w:p w:rsidR="00025CFB" w:rsidRDefault="00025CFB" w:rsidP="003D73E8">
      <w:pPr>
        <w:pStyle w:val="FootnoteText"/>
      </w:pPr>
      <w:r w:rsidRPr="00845B24">
        <w:rPr>
          <w:rStyle w:val="FootnoteReference"/>
        </w:rPr>
        <w:footnoteRef/>
      </w:r>
      <w:r w:rsidRPr="00845B24">
        <w:t xml:space="preserve"> </w:t>
      </w:r>
      <w:r w:rsidR="00872914" w:rsidRPr="00872914">
        <w:rPr>
          <w:i/>
        </w:rPr>
        <w:t>ESP II</w:t>
      </w:r>
      <w:r w:rsidR="00872914">
        <w:t xml:space="preserve">, </w:t>
      </w:r>
      <w:r w:rsidR="004B455E" w:rsidRPr="00845B24">
        <w:t>Case No. 11-346-El-SSO, Opinion and Order at 47.</w:t>
      </w:r>
    </w:p>
  </w:footnote>
  <w:footnote w:id="22">
    <w:p w:rsidR="00601AA2" w:rsidRDefault="00601AA2" w:rsidP="003D73E8">
      <w:pPr>
        <w:pStyle w:val="FootnoteText"/>
      </w:pPr>
      <w:r>
        <w:rPr>
          <w:rStyle w:val="FootnoteReference"/>
        </w:rPr>
        <w:footnoteRef/>
      </w:r>
      <w:r>
        <w:t xml:space="preserve"> </w:t>
      </w:r>
      <w:r w:rsidR="00872914">
        <w:rPr>
          <w:i/>
        </w:rPr>
        <w:t xml:space="preserve">In the Matter of the Application of Columbus Southern Power Company, Individually and, if Their Proposed Merger is Approved, as a Merged Company (collectively, AEP Ohio) for an Increase in Electric Distribution </w:t>
      </w:r>
      <w:r w:rsidR="00872914" w:rsidRPr="00872914">
        <w:rPr>
          <w:i/>
        </w:rPr>
        <w:t>Rates</w:t>
      </w:r>
      <w:r w:rsidR="00872914">
        <w:rPr>
          <w:i/>
        </w:rPr>
        <w:t xml:space="preserve"> </w:t>
      </w:r>
      <w:r w:rsidR="00872914">
        <w:t>(“</w:t>
      </w:r>
      <w:r w:rsidR="00872914">
        <w:rPr>
          <w:i/>
        </w:rPr>
        <w:t>AEP Ohio Rate Case</w:t>
      </w:r>
      <w:r w:rsidR="00872914">
        <w:t xml:space="preserve">”), </w:t>
      </w:r>
      <w:r w:rsidR="00E907F2" w:rsidRPr="00872914">
        <w:t>Case</w:t>
      </w:r>
      <w:r w:rsidR="00E907F2">
        <w:t xml:space="preserve"> No. 11-352-EL-AIR, Ohio Power Company Schedule B-2, Staff Report Schedule B-2.</w:t>
      </w:r>
    </w:p>
  </w:footnote>
  <w:footnote w:id="23">
    <w:p w:rsidR="00E0141C" w:rsidRDefault="00E0141C" w:rsidP="003D73E8">
      <w:pPr>
        <w:pStyle w:val="FootnoteText"/>
      </w:pPr>
      <w:r>
        <w:rPr>
          <w:rStyle w:val="FootnoteReference"/>
        </w:rPr>
        <w:footnoteRef/>
      </w:r>
      <w:r w:rsidR="00E907F2">
        <w:t xml:space="preserve"> Id</w:t>
      </w:r>
      <w:r>
        <w:t>.</w:t>
      </w:r>
    </w:p>
  </w:footnote>
  <w:footnote w:id="24">
    <w:p w:rsidR="00E0141C" w:rsidRDefault="00E0141C" w:rsidP="003D73E8">
      <w:pPr>
        <w:pStyle w:val="FootnoteText"/>
      </w:pPr>
      <w:r w:rsidRPr="00D24040">
        <w:rPr>
          <w:rStyle w:val="FootnoteReference"/>
        </w:rPr>
        <w:footnoteRef/>
      </w:r>
      <w:r w:rsidRPr="00D24040">
        <w:t xml:space="preserve"> </w:t>
      </w:r>
      <w:r w:rsidR="00226144" w:rsidRPr="00226144">
        <w:rPr>
          <w:i/>
        </w:rPr>
        <w:t>ESP II</w:t>
      </w:r>
      <w:r w:rsidR="00226144">
        <w:t xml:space="preserve">, Case No. 11-346-EL-SSO, </w:t>
      </w:r>
      <w:r w:rsidR="003D73E8">
        <w:t>AEP Ohio 1</w:t>
      </w:r>
      <w:r w:rsidR="003D73E8" w:rsidRPr="003D73E8">
        <w:rPr>
          <w:vertAlign w:val="superscript"/>
        </w:rPr>
        <w:t>st</w:t>
      </w:r>
      <w:r w:rsidR="00990E18">
        <w:t xml:space="preserve"> Quarterly Filing</w:t>
      </w:r>
      <w:r w:rsidR="00586011">
        <w:t xml:space="preserve"> 2012</w:t>
      </w:r>
      <w:r w:rsidR="00990E18">
        <w:t xml:space="preserve">; </w:t>
      </w:r>
      <w:r w:rsidR="00052C15" w:rsidRPr="00990E18">
        <w:rPr>
          <w:i/>
        </w:rPr>
        <w:t>In</w:t>
      </w:r>
      <w:r w:rsidR="00052C15" w:rsidRPr="00D24040">
        <w:rPr>
          <w:i/>
        </w:rPr>
        <w:t xml:space="preserve"> the Matter of the Application of Ohio Power Company to Update its Distribution Investment Rider</w:t>
      </w:r>
      <w:r w:rsidR="00052C15" w:rsidRPr="00D24040">
        <w:t>, Case No. 12-2627-EL-RDR, 2</w:t>
      </w:r>
      <w:r w:rsidR="00052C15" w:rsidRPr="00D24040">
        <w:rPr>
          <w:vertAlign w:val="superscript"/>
        </w:rPr>
        <w:t>nd</w:t>
      </w:r>
      <w:r w:rsidR="00052C15" w:rsidRPr="00D24040">
        <w:t xml:space="preserve"> Quarterly Filing </w:t>
      </w:r>
      <w:r w:rsidR="00586011">
        <w:t xml:space="preserve">2012 </w:t>
      </w:r>
      <w:r w:rsidR="00052C15" w:rsidRPr="00D24040">
        <w:t>(Nov. 16, 2012); 3</w:t>
      </w:r>
      <w:r w:rsidR="00052C15" w:rsidRPr="00D24040">
        <w:rPr>
          <w:vertAlign w:val="superscript"/>
        </w:rPr>
        <w:t>rd</w:t>
      </w:r>
      <w:r w:rsidR="00052C15" w:rsidRPr="00D24040">
        <w:t xml:space="preserve"> Quarterly Filing </w:t>
      </w:r>
      <w:r w:rsidR="00586011">
        <w:t xml:space="preserve">2012 </w:t>
      </w:r>
      <w:r w:rsidR="00052C15" w:rsidRPr="00D24040">
        <w:t>(December 21, 2012); 4</w:t>
      </w:r>
      <w:r w:rsidR="00052C15" w:rsidRPr="00D24040">
        <w:rPr>
          <w:vertAlign w:val="superscript"/>
        </w:rPr>
        <w:t>th</w:t>
      </w:r>
      <w:r w:rsidR="00052C15" w:rsidRPr="00D24040">
        <w:t xml:space="preserve"> </w:t>
      </w:r>
      <w:r w:rsidR="00990E18">
        <w:t xml:space="preserve">Quarterly Filing </w:t>
      </w:r>
      <w:r w:rsidR="00586011">
        <w:t xml:space="preserve">2012 </w:t>
      </w:r>
      <w:r w:rsidR="00990E18">
        <w:t>(May 21, 2013) (collectively Attachment 1).</w:t>
      </w:r>
    </w:p>
  </w:footnote>
  <w:footnote w:id="25">
    <w:p w:rsidR="00E0141C" w:rsidRPr="003D73E8" w:rsidRDefault="00E0141C" w:rsidP="003D73E8">
      <w:pPr>
        <w:pStyle w:val="FootnoteText"/>
      </w:pPr>
      <w:r w:rsidRPr="003D73E8">
        <w:rPr>
          <w:rStyle w:val="FootnoteReference"/>
        </w:rPr>
        <w:footnoteRef/>
      </w:r>
      <w:r w:rsidRPr="003D73E8">
        <w:t xml:space="preserve"> </w:t>
      </w:r>
      <w:r w:rsidR="003D73E8" w:rsidRPr="003D73E8">
        <w:t xml:space="preserve">AEP Ohio </w:t>
      </w:r>
      <w:r w:rsidR="00D24040" w:rsidRPr="003D73E8">
        <w:t>1</w:t>
      </w:r>
      <w:r w:rsidR="00D24040" w:rsidRPr="003D73E8">
        <w:rPr>
          <w:vertAlign w:val="superscript"/>
        </w:rPr>
        <w:t>st</w:t>
      </w:r>
      <w:r w:rsidR="00D24040" w:rsidRPr="003D73E8">
        <w:t xml:space="preserve"> Quarterly Filing</w:t>
      </w:r>
      <w:r w:rsidR="00990E18">
        <w:t xml:space="preserve"> </w:t>
      </w:r>
      <w:r w:rsidR="00586011">
        <w:t xml:space="preserve">2012 </w:t>
      </w:r>
      <w:r w:rsidR="00990E18">
        <w:t>(Attachment 1)</w:t>
      </w:r>
      <w:r w:rsidR="00D24040" w:rsidRPr="003D73E8">
        <w:t>.</w:t>
      </w:r>
    </w:p>
  </w:footnote>
  <w:footnote w:id="26">
    <w:p w:rsidR="00E0141C" w:rsidRDefault="00E0141C" w:rsidP="003D73E8">
      <w:pPr>
        <w:pStyle w:val="FootnoteText"/>
      </w:pPr>
      <w:r>
        <w:rPr>
          <w:rStyle w:val="FootnoteReference"/>
        </w:rPr>
        <w:footnoteRef/>
      </w:r>
      <w:r>
        <w:t xml:space="preserve"> </w:t>
      </w:r>
      <w:r w:rsidRPr="000834AB">
        <w:rPr>
          <w:i/>
        </w:rPr>
        <w:t>See</w:t>
      </w:r>
      <w:r>
        <w:t xml:space="preserve"> </w:t>
      </w:r>
      <w:r w:rsidR="004A5A9D">
        <w:t xml:space="preserve">Response to OCC Interrogatory No. 1-009 (Attachment </w:t>
      </w:r>
      <w:r w:rsidR="003D73E8">
        <w:t>2</w:t>
      </w:r>
      <w:r w:rsidR="004A5A9D">
        <w:t>).</w:t>
      </w:r>
    </w:p>
  </w:footnote>
  <w:footnote w:id="27">
    <w:p w:rsidR="00E0141C" w:rsidRDefault="00E0141C" w:rsidP="003D73E8">
      <w:pPr>
        <w:pStyle w:val="FootnoteText"/>
      </w:pPr>
      <w:r w:rsidRPr="000834AB">
        <w:rPr>
          <w:rStyle w:val="FootnoteReference"/>
        </w:rPr>
        <w:footnoteRef/>
      </w:r>
      <w:r w:rsidRPr="000834AB">
        <w:t xml:space="preserve"> </w:t>
      </w:r>
      <w:r w:rsidR="00F37CC9">
        <w:rPr>
          <w:i/>
        </w:rPr>
        <w:t>ESP II</w:t>
      </w:r>
      <w:r w:rsidR="00990E18">
        <w:t xml:space="preserve">, </w:t>
      </w:r>
      <w:r w:rsidR="004B455E" w:rsidRPr="000834AB">
        <w:t>Case No. 11-346-El-SSO, Opinion and Order at 46.</w:t>
      </w:r>
    </w:p>
  </w:footnote>
  <w:footnote w:id="28">
    <w:p w:rsidR="00E0141C" w:rsidRDefault="00E0141C" w:rsidP="003D73E8">
      <w:pPr>
        <w:pStyle w:val="FootnoteText"/>
      </w:pPr>
      <w:r>
        <w:rPr>
          <w:rStyle w:val="FootnoteReference"/>
        </w:rPr>
        <w:footnoteRef/>
      </w:r>
      <w:r>
        <w:t xml:space="preserve"> Blue Ridge Au</w:t>
      </w:r>
      <w:r w:rsidR="00F37CC9">
        <w:t>dit Report at 39</w:t>
      </w:r>
      <w:r>
        <w:t xml:space="preserve">. </w:t>
      </w:r>
    </w:p>
  </w:footnote>
  <w:footnote w:id="29">
    <w:p w:rsidR="00E0141C" w:rsidRDefault="00E0141C" w:rsidP="003D73E8">
      <w:pPr>
        <w:pStyle w:val="FootnoteText"/>
      </w:pPr>
      <w:r>
        <w:rPr>
          <w:rStyle w:val="FootnoteReference"/>
        </w:rPr>
        <w:footnoteRef/>
      </w:r>
      <w:r w:rsidR="00CD4337">
        <w:t xml:space="preserve"> Id.at 40</w:t>
      </w:r>
      <w:r>
        <w:t xml:space="preserve">. </w:t>
      </w:r>
    </w:p>
  </w:footnote>
  <w:footnote w:id="30">
    <w:p w:rsidR="00E0141C" w:rsidRDefault="00E0141C" w:rsidP="003D73E8">
      <w:pPr>
        <w:pStyle w:val="FootnoteText"/>
      </w:pPr>
      <w:r>
        <w:rPr>
          <w:rStyle w:val="FootnoteReference"/>
        </w:rPr>
        <w:footnoteRef/>
      </w:r>
      <w:r>
        <w:t xml:space="preserve"> </w:t>
      </w:r>
      <w:r w:rsidR="00CD4337">
        <w:t>Id</w:t>
      </w:r>
      <w:r>
        <w:t xml:space="preserve">. </w:t>
      </w:r>
    </w:p>
  </w:footnote>
  <w:footnote w:id="31">
    <w:p w:rsidR="00E0141C" w:rsidRDefault="00E0141C" w:rsidP="003D73E8">
      <w:pPr>
        <w:pStyle w:val="FootnoteText"/>
      </w:pPr>
      <w:r>
        <w:rPr>
          <w:rStyle w:val="FootnoteReference"/>
        </w:rPr>
        <w:footnoteRef/>
      </w:r>
      <w:r w:rsidR="00CD4337">
        <w:t xml:space="preserve"> Id. at 41</w:t>
      </w:r>
      <w:r>
        <w:t xml:space="preserve">. </w:t>
      </w:r>
    </w:p>
  </w:footnote>
  <w:footnote w:id="32">
    <w:p w:rsidR="00E0141C" w:rsidRDefault="00E0141C" w:rsidP="003D73E8">
      <w:pPr>
        <w:pStyle w:val="FootnoteText"/>
      </w:pPr>
      <w:r w:rsidRPr="003D73E8">
        <w:rPr>
          <w:rStyle w:val="FootnoteReference"/>
        </w:rPr>
        <w:footnoteRef/>
      </w:r>
      <w:r w:rsidR="003D73E8" w:rsidRPr="003D73E8">
        <w:t xml:space="preserve"> AEP Ohio</w:t>
      </w:r>
      <w:r w:rsidRPr="003D73E8">
        <w:t xml:space="preserve"> 1</w:t>
      </w:r>
      <w:r w:rsidRPr="003D73E8">
        <w:rPr>
          <w:vertAlign w:val="superscript"/>
        </w:rPr>
        <w:t>st</w:t>
      </w:r>
      <w:r w:rsidR="003D73E8" w:rsidRPr="003D73E8">
        <w:t xml:space="preserve"> Quarter Filing</w:t>
      </w:r>
      <w:r w:rsidR="00586011">
        <w:t xml:space="preserve"> 2012</w:t>
      </w:r>
      <w:r w:rsidR="00F37CC9">
        <w:t xml:space="preserve"> (Attachment 1)</w:t>
      </w:r>
      <w:r w:rsidRPr="003D73E8">
        <w:t>.</w:t>
      </w:r>
      <w:r>
        <w:t xml:space="preserve"> </w:t>
      </w:r>
    </w:p>
  </w:footnote>
  <w:footnote w:id="33">
    <w:p w:rsidR="00E0141C" w:rsidRDefault="00E0141C" w:rsidP="003D73E8">
      <w:pPr>
        <w:pStyle w:val="FootnoteText"/>
      </w:pPr>
      <w:r>
        <w:rPr>
          <w:rStyle w:val="FootnoteReference"/>
        </w:rPr>
        <w:footnoteRef/>
      </w:r>
      <w:r>
        <w:t xml:space="preserve"> </w:t>
      </w:r>
      <w:r w:rsidRPr="00F37CC9">
        <w:rPr>
          <w:i/>
        </w:rPr>
        <w:t>See</w:t>
      </w:r>
      <w:r w:rsidR="00F37CC9">
        <w:t>,</w:t>
      </w:r>
      <w:r w:rsidR="00586011">
        <w:t xml:space="preserve"> R</w:t>
      </w:r>
      <w:r>
        <w:t xml:space="preserve">esponse to OCC Interrogatory No. 1-010 (Attachment </w:t>
      </w:r>
      <w:r w:rsidR="003D73E8">
        <w:t>3</w:t>
      </w:r>
      <w:r>
        <w:t xml:space="preserve">). </w:t>
      </w:r>
    </w:p>
  </w:footnote>
  <w:footnote w:id="34">
    <w:p w:rsidR="00E0141C" w:rsidRDefault="00E0141C" w:rsidP="003D73E8">
      <w:pPr>
        <w:pStyle w:val="FootnoteText"/>
      </w:pPr>
      <w:r w:rsidRPr="003D73E8">
        <w:rPr>
          <w:rStyle w:val="FootnoteReference"/>
        </w:rPr>
        <w:footnoteRef/>
      </w:r>
      <w:r w:rsidRPr="003D73E8">
        <w:t xml:space="preserve"> </w:t>
      </w:r>
      <w:r w:rsidR="003D73E8" w:rsidRPr="003D73E8">
        <w:t>AEP Ohio 1</w:t>
      </w:r>
      <w:r w:rsidR="003D73E8" w:rsidRPr="003D73E8">
        <w:rPr>
          <w:vertAlign w:val="superscript"/>
        </w:rPr>
        <w:t>st</w:t>
      </w:r>
      <w:r w:rsidR="003D73E8" w:rsidRPr="003D73E8">
        <w:t xml:space="preserve"> Quarter Filing</w:t>
      </w:r>
      <w:r w:rsidR="00570033">
        <w:t xml:space="preserve"> </w:t>
      </w:r>
      <w:r w:rsidR="00586011">
        <w:t xml:space="preserve">2012 </w:t>
      </w:r>
      <w:r w:rsidR="00570033">
        <w:t>(Attachment 1)</w:t>
      </w:r>
      <w:r w:rsidR="003D73E8">
        <w:t>.</w:t>
      </w:r>
    </w:p>
  </w:footnote>
  <w:footnote w:id="35">
    <w:p w:rsidR="00E0141C" w:rsidRPr="003D1B9E" w:rsidRDefault="00E0141C" w:rsidP="003D73E8">
      <w:pPr>
        <w:pStyle w:val="FootnoteText"/>
      </w:pPr>
      <w:r w:rsidRPr="00570033">
        <w:rPr>
          <w:rStyle w:val="FootnoteReference"/>
        </w:rPr>
        <w:footnoteRef/>
      </w:r>
      <w:r w:rsidRPr="00570033">
        <w:t xml:space="preserve"> </w:t>
      </w:r>
      <w:r w:rsidR="003D1B9E">
        <w:rPr>
          <w:i/>
        </w:rPr>
        <w:t xml:space="preserve">See </w:t>
      </w:r>
      <w:r w:rsidR="003D1B9E" w:rsidRPr="003D1B9E">
        <w:rPr>
          <w:i/>
        </w:rPr>
        <w:t>generally</w:t>
      </w:r>
      <w:r w:rsidR="003D1B9E">
        <w:t xml:space="preserve">, </w:t>
      </w:r>
      <w:r w:rsidR="00570033" w:rsidRPr="003D1B9E">
        <w:rPr>
          <w:i/>
        </w:rPr>
        <w:t>AEP Ohio Rate Case</w:t>
      </w:r>
      <w:r w:rsidR="00570033" w:rsidRPr="00570033">
        <w:t xml:space="preserve">, </w:t>
      </w:r>
      <w:r w:rsidRPr="00570033">
        <w:t>Case No. 11-35</w:t>
      </w:r>
      <w:r w:rsidR="00570033" w:rsidRPr="00570033">
        <w:t>2-EL-AIR</w:t>
      </w:r>
      <w:r w:rsidR="00570033">
        <w:t xml:space="preserve">, </w:t>
      </w:r>
      <w:r w:rsidR="003D1B9E">
        <w:t xml:space="preserve">Opinion and Order </w:t>
      </w:r>
      <w:r w:rsidR="00570033">
        <w:t xml:space="preserve">at </w:t>
      </w:r>
      <w:r w:rsidR="003D1B9E">
        <w:t xml:space="preserve">5-6, 10 </w:t>
      </w:r>
      <w:r w:rsidR="003D1B9E">
        <w:rPr>
          <w:i/>
        </w:rPr>
        <w:t>see also</w:t>
      </w:r>
      <w:r w:rsidR="003D1B9E">
        <w:t xml:space="preserve">, </w:t>
      </w:r>
      <w:r w:rsidR="003D1B9E" w:rsidRPr="003D1B9E">
        <w:rPr>
          <w:i/>
        </w:rPr>
        <w:t>AEP Ohio Rate Case</w:t>
      </w:r>
      <w:r w:rsidR="003D1B9E">
        <w:t xml:space="preserve">, Case No. 11-352-EL-AIR, </w:t>
      </w:r>
      <w:r w:rsidR="00D14401">
        <w:t xml:space="preserve">Joint </w:t>
      </w:r>
      <w:r w:rsidR="003D1B9E">
        <w:t xml:space="preserve">Stipulation and Recommendation </w:t>
      </w:r>
      <w:r w:rsidR="00D14401">
        <w:t>(November 23, 2011)</w:t>
      </w:r>
      <w:r w:rsidR="003D1B9E">
        <w:t xml:space="preserve">; </w:t>
      </w:r>
      <w:r w:rsidR="003D1B9E">
        <w:rPr>
          <w:i/>
        </w:rPr>
        <w:t>see also</w:t>
      </w:r>
      <w:r w:rsidR="003D1B9E">
        <w:t xml:space="preserve">, </w:t>
      </w:r>
      <w:r w:rsidR="003D1B9E" w:rsidRPr="003D1B9E">
        <w:rPr>
          <w:i/>
        </w:rPr>
        <w:t>AEP Ohio Rate Case</w:t>
      </w:r>
      <w:r w:rsidR="003D1B9E">
        <w:t>, Case No. 11-352-EL-AIR, A Report by the Staff of the Public Utilities Commission of Ohio at</w:t>
      </w:r>
      <w:r w:rsidR="00D14401">
        <w:t xml:space="preserve"> Schedule B-2.2</w:t>
      </w:r>
      <w:r w:rsidR="003D1B9E">
        <w:t xml:space="preserve"> (September 15, 2011).</w:t>
      </w:r>
    </w:p>
  </w:footnote>
  <w:footnote w:id="36">
    <w:p w:rsidR="00E0141C" w:rsidRDefault="00E0141C" w:rsidP="003D73E8">
      <w:pPr>
        <w:pStyle w:val="FootnoteText"/>
      </w:pPr>
      <w:r>
        <w:rPr>
          <w:rStyle w:val="FootnoteReference"/>
        </w:rPr>
        <w:footnoteRef/>
      </w:r>
      <w:r>
        <w:t xml:space="preserve"> Blue Ridge Au</w:t>
      </w:r>
      <w:r w:rsidR="00570033">
        <w:t>dit Report at 42</w:t>
      </w:r>
      <w:r>
        <w:t xml:space="preserve">; </w:t>
      </w:r>
      <w:r w:rsidR="00365851">
        <w:t>AEP Response Data Request 1-027.</w:t>
      </w:r>
    </w:p>
  </w:footnote>
  <w:footnote w:id="37">
    <w:p w:rsidR="00E0141C" w:rsidRDefault="00E0141C" w:rsidP="003D73E8">
      <w:pPr>
        <w:pStyle w:val="FootnoteText"/>
      </w:pPr>
      <w:r w:rsidRPr="001C5C13">
        <w:rPr>
          <w:rStyle w:val="FootnoteReference"/>
        </w:rPr>
        <w:footnoteRef/>
      </w:r>
      <w:r w:rsidRPr="001C5C13">
        <w:t xml:space="preserve"> </w:t>
      </w:r>
      <w:r w:rsidR="0065371D" w:rsidRPr="0065371D">
        <w:rPr>
          <w:i/>
        </w:rPr>
        <w:t>ESP II</w:t>
      </w:r>
      <w:r w:rsidR="0065371D">
        <w:t xml:space="preserve">, </w:t>
      </w:r>
      <w:r w:rsidR="004B455E" w:rsidRPr="001C5C13">
        <w:t>Case No. 11-346-EL-SSO</w:t>
      </w:r>
      <w:r w:rsidR="00D10159">
        <w:t>,</w:t>
      </w:r>
      <w:r w:rsidR="004B455E" w:rsidRPr="001C5C13">
        <w:t xml:space="preserve"> Opinion </w:t>
      </w:r>
      <w:r w:rsidR="0065371D">
        <w:t>and Order at 42</w:t>
      </w:r>
      <w:r w:rsidR="004B455E" w:rsidRPr="001C5C13">
        <w:t>.</w:t>
      </w:r>
    </w:p>
  </w:footnote>
  <w:footnote w:id="38">
    <w:p w:rsidR="00E0141C" w:rsidRDefault="00E0141C" w:rsidP="003D73E8">
      <w:pPr>
        <w:pStyle w:val="FootnoteText"/>
      </w:pPr>
      <w:r>
        <w:rPr>
          <w:rStyle w:val="FootnoteReference"/>
        </w:rPr>
        <w:footnoteRef/>
      </w:r>
      <w:r>
        <w:t xml:space="preserve"> Blue Ridge Audit</w:t>
      </w:r>
      <w:r w:rsidR="0065371D">
        <w:t xml:space="preserve"> Report at 43-44</w:t>
      </w:r>
      <w:r>
        <w:t xml:space="preserve">. </w:t>
      </w:r>
    </w:p>
  </w:footnote>
  <w:footnote w:id="39">
    <w:p w:rsidR="00E0141C" w:rsidRDefault="00E0141C" w:rsidP="003D73E8">
      <w:pPr>
        <w:pStyle w:val="FootnoteText"/>
      </w:pPr>
      <w:r>
        <w:rPr>
          <w:rStyle w:val="FootnoteReference"/>
        </w:rPr>
        <w:footnoteRef/>
      </w:r>
      <w:r w:rsidR="0065371D">
        <w:t xml:space="preserve"> Id. </w:t>
      </w:r>
      <w:r>
        <w:t xml:space="preserve">at 45-46. </w:t>
      </w:r>
    </w:p>
  </w:footnote>
  <w:footnote w:id="40">
    <w:p w:rsidR="00E0141C" w:rsidRDefault="00E0141C" w:rsidP="003D73E8">
      <w:pPr>
        <w:pStyle w:val="FootnoteText"/>
      </w:pPr>
      <w:r w:rsidRPr="003D73E8">
        <w:rPr>
          <w:rStyle w:val="FootnoteReference"/>
        </w:rPr>
        <w:footnoteRef/>
      </w:r>
      <w:r w:rsidRPr="003D73E8">
        <w:t xml:space="preserve"> </w:t>
      </w:r>
      <w:r w:rsidR="003D73E8" w:rsidRPr="003D73E8">
        <w:t>AEP Ohio 1</w:t>
      </w:r>
      <w:r w:rsidR="003D73E8" w:rsidRPr="003D73E8">
        <w:rPr>
          <w:vertAlign w:val="superscript"/>
        </w:rPr>
        <w:t>st</w:t>
      </w:r>
      <w:r w:rsidR="003D73E8" w:rsidRPr="003D73E8">
        <w:t xml:space="preserve"> Quarter Filing</w:t>
      </w:r>
      <w:r w:rsidR="00586011">
        <w:t xml:space="preserve"> 2012</w:t>
      </w:r>
      <w:r w:rsidR="003D73E8" w:rsidRPr="003D73E8">
        <w:t>;</w:t>
      </w:r>
      <w:r w:rsidR="003D73E8" w:rsidRPr="00D24040">
        <w:t xml:space="preserve"> 2</w:t>
      </w:r>
      <w:r w:rsidR="003D73E8" w:rsidRPr="00D24040">
        <w:rPr>
          <w:vertAlign w:val="superscript"/>
        </w:rPr>
        <w:t>nd</w:t>
      </w:r>
      <w:r w:rsidR="00197C9C">
        <w:t xml:space="preserve"> Quarterly Filing</w:t>
      </w:r>
      <w:r w:rsidR="00586011">
        <w:t xml:space="preserve"> 2012</w:t>
      </w:r>
      <w:r w:rsidR="003D73E8" w:rsidRPr="00D24040">
        <w:t>; 3</w:t>
      </w:r>
      <w:r w:rsidR="003D73E8" w:rsidRPr="00D24040">
        <w:rPr>
          <w:vertAlign w:val="superscript"/>
        </w:rPr>
        <w:t>rd</w:t>
      </w:r>
      <w:r w:rsidR="003D73E8" w:rsidRPr="00D24040">
        <w:t xml:space="preserve"> Quarterly Filing</w:t>
      </w:r>
      <w:r w:rsidR="00586011">
        <w:t xml:space="preserve"> 2012</w:t>
      </w:r>
      <w:r w:rsidR="003D73E8" w:rsidRPr="00D24040">
        <w:t>; 4</w:t>
      </w:r>
      <w:r w:rsidR="003D73E8" w:rsidRPr="00D24040">
        <w:rPr>
          <w:vertAlign w:val="superscript"/>
        </w:rPr>
        <w:t>th</w:t>
      </w:r>
      <w:r w:rsidR="003D73E8" w:rsidRPr="00D24040">
        <w:t xml:space="preserve"> </w:t>
      </w:r>
      <w:r w:rsidR="00197C9C">
        <w:t xml:space="preserve">Quarterly Filing </w:t>
      </w:r>
      <w:r w:rsidR="00586011">
        <w:t xml:space="preserve">2012 </w:t>
      </w:r>
      <w:r w:rsidR="00197C9C">
        <w:t>(collectively Attachment 1).</w:t>
      </w:r>
    </w:p>
  </w:footnote>
  <w:footnote w:id="41">
    <w:p w:rsidR="00586011" w:rsidRDefault="00586011">
      <w:pPr>
        <w:pStyle w:val="FootnoteText"/>
      </w:pPr>
      <w:r>
        <w:rPr>
          <w:rStyle w:val="FootnoteReference"/>
        </w:rPr>
        <w:footnoteRef/>
      </w:r>
      <w:r>
        <w:t xml:space="preserve"> </w:t>
      </w:r>
      <w:r w:rsidRPr="00990E18">
        <w:rPr>
          <w:i/>
        </w:rPr>
        <w:t>In</w:t>
      </w:r>
      <w:r w:rsidRPr="00D24040">
        <w:rPr>
          <w:i/>
        </w:rPr>
        <w:t xml:space="preserve"> the Matter of the Application of Ohio Power Company to Update its Distribution Investment Rider</w:t>
      </w:r>
      <w:r w:rsidRPr="00D24040">
        <w:t xml:space="preserve">, Case No. 12-2627-EL-RDR, </w:t>
      </w:r>
      <w:r>
        <w:t>1</w:t>
      </w:r>
      <w:r w:rsidRPr="00586011">
        <w:rPr>
          <w:vertAlign w:val="superscript"/>
        </w:rPr>
        <w:t>st</w:t>
      </w:r>
      <w:r w:rsidRPr="00D24040">
        <w:t xml:space="preserve"> Quarterly Filing</w:t>
      </w:r>
      <w:r>
        <w:t xml:space="preserve"> 2013 (July 1, 2013) (Attachment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F6" w:rsidRDefault="00AF7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F6" w:rsidRDefault="00AF79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F6" w:rsidRDefault="00AF79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EB" w:rsidRDefault="00CE6C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1C" w:rsidRDefault="00E0141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EB" w:rsidRDefault="00CE6CE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1C" w:rsidRDefault="00E0141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1C" w:rsidRDefault="00E0141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1C" w:rsidRDefault="00E01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9E48F0"/>
    <w:lvl w:ilvl="0">
      <w:start w:val="1"/>
      <w:numFmt w:val="decimal"/>
      <w:lvlText w:val="%1."/>
      <w:lvlJc w:val="left"/>
      <w:pPr>
        <w:tabs>
          <w:tab w:val="num" w:pos="1800"/>
        </w:tabs>
        <w:ind w:left="1800" w:hanging="360"/>
      </w:pPr>
    </w:lvl>
  </w:abstractNum>
  <w:abstractNum w:abstractNumId="1">
    <w:nsid w:val="FFFFFF7D"/>
    <w:multiLevelType w:val="singleLevel"/>
    <w:tmpl w:val="0ED8E70E"/>
    <w:lvl w:ilvl="0">
      <w:start w:val="1"/>
      <w:numFmt w:val="decimal"/>
      <w:lvlText w:val="%1."/>
      <w:lvlJc w:val="left"/>
      <w:pPr>
        <w:tabs>
          <w:tab w:val="num" w:pos="1440"/>
        </w:tabs>
        <w:ind w:left="1440" w:hanging="360"/>
      </w:pPr>
    </w:lvl>
  </w:abstractNum>
  <w:abstractNum w:abstractNumId="2">
    <w:nsid w:val="FFFFFF7E"/>
    <w:multiLevelType w:val="singleLevel"/>
    <w:tmpl w:val="9DDC7B00"/>
    <w:lvl w:ilvl="0">
      <w:start w:val="1"/>
      <w:numFmt w:val="decimal"/>
      <w:lvlText w:val="%1."/>
      <w:lvlJc w:val="left"/>
      <w:pPr>
        <w:tabs>
          <w:tab w:val="num" w:pos="1080"/>
        </w:tabs>
        <w:ind w:left="1080" w:hanging="360"/>
      </w:pPr>
    </w:lvl>
  </w:abstractNum>
  <w:abstractNum w:abstractNumId="3">
    <w:nsid w:val="FFFFFF7F"/>
    <w:multiLevelType w:val="singleLevel"/>
    <w:tmpl w:val="869A5762"/>
    <w:lvl w:ilvl="0">
      <w:start w:val="1"/>
      <w:numFmt w:val="decimal"/>
      <w:lvlText w:val="%1."/>
      <w:lvlJc w:val="left"/>
      <w:pPr>
        <w:tabs>
          <w:tab w:val="num" w:pos="720"/>
        </w:tabs>
        <w:ind w:left="720" w:hanging="360"/>
      </w:pPr>
    </w:lvl>
  </w:abstractNum>
  <w:abstractNum w:abstractNumId="4">
    <w:nsid w:val="FFFFFF80"/>
    <w:multiLevelType w:val="singleLevel"/>
    <w:tmpl w:val="285CCA6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9046326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B5A8D2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B60A3D2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D300544E"/>
    <w:lvl w:ilvl="0">
      <w:start w:val="1"/>
      <w:numFmt w:val="decimal"/>
      <w:lvlText w:val="%1."/>
      <w:lvlJc w:val="left"/>
      <w:pPr>
        <w:tabs>
          <w:tab w:val="num" w:pos="360"/>
        </w:tabs>
        <w:ind w:left="360" w:hanging="360"/>
      </w:pPr>
    </w:lvl>
  </w:abstractNum>
  <w:abstractNum w:abstractNumId="9">
    <w:nsid w:val="FFFFFF89"/>
    <w:multiLevelType w:val="singleLevel"/>
    <w:tmpl w:val="157813C4"/>
    <w:lvl w:ilvl="0">
      <w:start w:val="1"/>
      <w:numFmt w:val="bullet"/>
      <w:lvlText w:val=""/>
      <w:lvlJc w:val="left"/>
      <w:pPr>
        <w:tabs>
          <w:tab w:val="num" w:pos="360"/>
        </w:tabs>
        <w:ind w:left="360" w:hanging="360"/>
      </w:pPr>
      <w:rPr>
        <w:rFonts w:ascii="Symbol" w:hAnsi="Symbol" w:cs="Symbol" w:hint="default"/>
      </w:rPr>
    </w:lvl>
  </w:abstractNum>
  <w:abstractNum w:abstractNumId="10">
    <w:nsid w:val="141A6D92"/>
    <w:multiLevelType w:val="hybridMultilevel"/>
    <w:tmpl w:val="E4309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976EB"/>
    <w:multiLevelType w:val="hybridMultilevel"/>
    <w:tmpl w:val="08D2BB5A"/>
    <w:lvl w:ilvl="0" w:tplc="0EE85750">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17BD61A5"/>
    <w:multiLevelType w:val="hybridMultilevel"/>
    <w:tmpl w:val="DD50F2F2"/>
    <w:lvl w:ilvl="0" w:tplc="0409000F">
      <w:start w:val="1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42F632B"/>
    <w:multiLevelType w:val="hybridMultilevel"/>
    <w:tmpl w:val="510E0E50"/>
    <w:lvl w:ilvl="0" w:tplc="B2947B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3103229"/>
    <w:multiLevelType w:val="hybridMultilevel"/>
    <w:tmpl w:val="2B6AC8D8"/>
    <w:lvl w:ilvl="0" w:tplc="32B4907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D18F1"/>
    <w:multiLevelType w:val="hybridMultilevel"/>
    <w:tmpl w:val="531CE366"/>
    <w:lvl w:ilvl="0" w:tplc="BE740AA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5D5D2B"/>
    <w:multiLevelType w:val="hybridMultilevel"/>
    <w:tmpl w:val="E66C7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3E47AD5"/>
    <w:multiLevelType w:val="hybridMultilevel"/>
    <w:tmpl w:val="532667FA"/>
    <w:lvl w:ilvl="0" w:tplc="D5665E34">
      <w:start w:val="3"/>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E95525"/>
    <w:multiLevelType w:val="hybridMultilevel"/>
    <w:tmpl w:val="5CFCBE40"/>
    <w:lvl w:ilvl="0" w:tplc="35F668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A4247"/>
    <w:multiLevelType w:val="hybridMultilevel"/>
    <w:tmpl w:val="DA08E7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754F37A3"/>
    <w:multiLevelType w:val="hybridMultilevel"/>
    <w:tmpl w:val="0D2CA488"/>
    <w:lvl w:ilvl="0" w:tplc="39280236">
      <w:start w:val="1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75C14830"/>
    <w:multiLevelType w:val="hybridMultilevel"/>
    <w:tmpl w:val="0F4C4ECA"/>
    <w:lvl w:ilvl="0" w:tplc="1F78B8FA">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A3A57C7"/>
    <w:multiLevelType w:val="hybridMultilevel"/>
    <w:tmpl w:val="94C2643C"/>
    <w:lvl w:ilvl="0" w:tplc="0F3E1D8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8A31BC"/>
    <w:multiLevelType w:val="hybridMultilevel"/>
    <w:tmpl w:val="42807C8E"/>
    <w:lvl w:ilvl="0" w:tplc="04090015">
      <w:start w:val="1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1"/>
  </w:num>
  <w:num w:numId="14">
    <w:abstractNumId w:val="12"/>
  </w:num>
  <w:num w:numId="15">
    <w:abstractNumId w:val="20"/>
  </w:num>
  <w:num w:numId="16">
    <w:abstractNumId w:val="23"/>
  </w:num>
  <w:num w:numId="17">
    <w:abstractNumId w:val="21"/>
  </w:num>
  <w:num w:numId="18">
    <w:abstractNumId w:val="19"/>
  </w:num>
  <w:num w:numId="19">
    <w:abstractNumId w:val="15"/>
  </w:num>
  <w:num w:numId="20">
    <w:abstractNumId w:val="17"/>
  </w:num>
  <w:num w:numId="21">
    <w:abstractNumId w:val="14"/>
  </w:num>
  <w:num w:numId="22">
    <w:abstractNumId w:val="2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CB8"/>
    <w:rsid w:val="000023A0"/>
    <w:rsid w:val="00002F59"/>
    <w:rsid w:val="00003DE7"/>
    <w:rsid w:val="000146D9"/>
    <w:rsid w:val="0001479A"/>
    <w:rsid w:val="000239A6"/>
    <w:rsid w:val="00025CFB"/>
    <w:rsid w:val="0003664D"/>
    <w:rsid w:val="0004209B"/>
    <w:rsid w:val="000501CC"/>
    <w:rsid w:val="00052C15"/>
    <w:rsid w:val="00066191"/>
    <w:rsid w:val="00067186"/>
    <w:rsid w:val="00070750"/>
    <w:rsid w:val="0007286A"/>
    <w:rsid w:val="00073651"/>
    <w:rsid w:val="00073880"/>
    <w:rsid w:val="00080059"/>
    <w:rsid w:val="000834AB"/>
    <w:rsid w:val="00086270"/>
    <w:rsid w:val="00087590"/>
    <w:rsid w:val="00090414"/>
    <w:rsid w:val="000938CF"/>
    <w:rsid w:val="000A1A39"/>
    <w:rsid w:val="000A2FCA"/>
    <w:rsid w:val="000A7D7F"/>
    <w:rsid w:val="000B1E4E"/>
    <w:rsid w:val="000B2A89"/>
    <w:rsid w:val="000C2583"/>
    <w:rsid w:val="000C409C"/>
    <w:rsid w:val="000C6CBB"/>
    <w:rsid w:val="000D49A2"/>
    <w:rsid w:val="000D562D"/>
    <w:rsid w:val="000F5267"/>
    <w:rsid w:val="001061CC"/>
    <w:rsid w:val="00107F02"/>
    <w:rsid w:val="001243CE"/>
    <w:rsid w:val="001245A2"/>
    <w:rsid w:val="00124D03"/>
    <w:rsid w:val="00131C9B"/>
    <w:rsid w:val="00133647"/>
    <w:rsid w:val="00136E56"/>
    <w:rsid w:val="00150BB7"/>
    <w:rsid w:val="001555E1"/>
    <w:rsid w:val="00171679"/>
    <w:rsid w:val="00177600"/>
    <w:rsid w:val="00183300"/>
    <w:rsid w:val="00187A92"/>
    <w:rsid w:val="00190554"/>
    <w:rsid w:val="00190E00"/>
    <w:rsid w:val="00193C56"/>
    <w:rsid w:val="00197C9C"/>
    <w:rsid w:val="00197CB8"/>
    <w:rsid w:val="001A0851"/>
    <w:rsid w:val="001A23AF"/>
    <w:rsid w:val="001A5A5E"/>
    <w:rsid w:val="001C085C"/>
    <w:rsid w:val="001C093A"/>
    <w:rsid w:val="001C2D8A"/>
    <w:rsid w:val="001C3D36"/>
    <w:rsid w:val="001C5C13"/>
    <w:rsid w:val="001C5F5C"/>
    <w:rsid w:val="001D209E"/>
    <w:rsid w:val="001D5B8F"/>
    <w:rsid w:val="001E58BE"/>
    <w:rsid w:val="001E5A99"/>
    <w:rsid w:val="001F63B4"/>
    <w:rsid w:val="002074EC"/>
    <w:rsid w:val="00212291"/>
    <w:rsid w:val="00216C46"/>
    <w:rsid w:val="0022104B"/>
    <w:rsid w:val="00222CF0"/>
    <w:rsid w:val="00225AE3"/>
    <w:rsid w:val="00226144"/>
    <w:rsid w:val="00230EB0"/>
    <w:rsid w:val="0023274E"/>
    <w:rsid w:val="002419ED"/>
    <w:rsid w:val="002459FF"/>
    <w:rsid w:val="00246913"/>
    <w:rsid w:val="00250F0E"/>
    <w:rsid w:val="0025234E"/>
    <w:rsid w:val="002628FC"/>
    <w:rsid w:val="002636F5"/>
    <w:rsid w:val="002657CF"/>
    <w:rsid w:val="00267E31"/>
    <w:rsid w:val="002723B4"/>
    <w:rsid w:val="00274F94"/>
    <w:rsid w:val="002823DF"/>
    <w:rsid w:val="002A62DA"/>
    <w:rsid w:val="002A7D0A"/>
    <w:rsid w:val="002A7EAE"/>
    <w:rsid w:val="002B3FD2"/>
    <w:rsid w:val="002E0524"/>
    <w:rsid w:val="002E2903"/>
    <w:rsid w:val="002E2AAC"/>
    <w:rsid w:val="002E2AD5"/>
    <w:rsid w:val="002F4918"/>
    <w:rsid w:val="002F769A"/>
    <w:rsid w:val="00303C0F"/>
    <w:rsid w:val="003116DE"/>
    <w:rsid w:val="00311E0A"/>
    <w:rsid w:val="00313426"/>
    <w:rsid w:val="00315A4A"/>
    <w:rsid w:val="00317274"/>
    <w:rsid w:val="0033573F"/>
    <w:rsid w:val="00336CD7"/>
    <w:rsid w:val="00343F66"/>
    <w:rsid w:val="00345214"/>
    <w:rsid w:val="00362ED9"/>
    <w:rsid w:val="003645EF"/>
    <w:rsid w:val="00365851"/>
    <w:rsid w:val="00367620"/>
    <w:rsid w:val="00373EF1"/>
    <w:rsid w:val="00390389"/>
    <w:rsid w:val="00391A2A"/>
    <w:rsid w:val="00397E86"/>
    <w:rsid w:val="003A00DF"/>
    <w:rsid w:val="003A4B2B"/>
    <w:rsid w:val="003A67CB"/>
    <w:rsid w:val="003B26F1"/>
    <w:rsid w:val="003B2CF6"/>
    <w:rsid w:val="003B659A"/>
    <w:rsid w:val="003C03AD"/>
    <w:rsid w:val="003C2A7F"/>
    <w:rsid w:val="003C4B75"/>
    <w:rsid w:val="003C52B2"/>
    <w:rsid w:val="003D1B9E"/>
    <w:rsid w:val="003D599D"/>
    <w:rsid w:val="003D6EC0"/>
    <w:rsid w:val="003D73E8"/>
    <w:rsid w:val="003D7FE8"/>
    <w:rsid w:val="003E0A58"/>
    <w:rsid w:val="003E278D"/>
    <w:rsid w:val="003E631F"/>
    <w:rsid w:val="003F23F0"/>
    <w:rsid w:val="0040065E"/>
    <w:rsid w:val="00402746"/>
    <w:rsid w:val="00411472"/>
    <w:rsid w:val="0041361E"/>
    <w:rsid w:val="00415B66"/>
    <w:rsid w:val="00420CBA"/>
    <w:rsid w:val="00426169"/>
    <w:rsid w:val="00426489"/>
    <w:rsid w:val="004315CC"/>
    <w:rsid w:val="00431DD6"/>
    <w:rsid w:val="0043686E"/>
    <w:rsid w:val="00437681"/>
    <w:rsid w:val="00454021"/>
    <w:rsid w:val="00455A83"/>
    <w:rsid w:val="00463DE3"/>
    <w:rsid w:val="00465F7D"/>
    <w:rsid w:val="00466686"/>
    <w:rsid w:val="0047439E"/>
    <w:rsid w:val="00483C4F"/>
    <w:rsid w:val="00486290"/>
    <w:rsid w:val="004878E0"/>
    <w:rsid w:val="00492D2D"/>
    <w:rsid w:val="00494FAE"/>
    <w:rsid w:val="004A2048"/>
    <w:rsid w:val="004A5A9D"/>
    <w:rsid w:val="004B3003"/>
    <w:rsid w:val="004B321F"/>
    <w:rsid w:val="004B326C"/>
    <w:rsid w:val="004B455E"/>
    <w:rsid w:val="004B4FD3"/>
    <w:rsid w:val="004B506F"/>
    <w:rsid w:val="004B6918"/>
    <w:rsid w:val="004B6A0E"/>
    <w:rsid w:val="004B7420"/>
    <w:rsid w:val="004C43BC"/>
    <w:rsid w:val="004C514A"/>
    <w:rsid w:val="004C721A"/>
    <w:rsid w:val="004C7352"/>
    <w:rsid w:val="004D3C42"/>
    <w:rsid w:val="004D44CD"/>
    <w:rsid w:val="004D5DC4"/>
    <w:rsid w:val="004D658A"/>
    <w:rsid w:val="004F7507"/>
    <w:rsid w:val="00501558"/>
    <w:rsid w:val="0050718B"/>
    <w:rsid w:val="00514DBE"/>
    <w:rsid w:val="005177D9"/>
    <w:rsid w:val="005341A3"/>
    <w:rsid w:val="00535FC2"/>
    <w:rsid w:val="005412E1"/>
    <w:rsid w:val="00543E20"/>
    <w:rsid w:val="00545463"/>
    <w:rsid w:val="005471D7"/>
    <w:rsid w:val="00552954"/>
    <w:rsid w:val="0055703A"/>
    <w:rsid w:val="00566DF9"/>
    <w:rsid w:val="00570033"/>
    <w:rsid w:val="005829A6"/>
    <w:rsid w:val="005846DE"/>
    <w:rsid w:val="00586011"/>
    <w:rsid w:val="0059611E"/>
    <w:rsid w:val="00597AC9"/>
    <w:rsid w:val="005A32C6"/>
    <w:rsid w:val="005A5469"/>
    <w:rsid w:val="005B6EE1"/>
    <w:rsid w:val="005B773C"/>
    <w:rsid w:val="005B78AF"/>
    <w:rsid w:val="005C6E68"/>
    <w:rsid w:val="005D13EF"/>
    <w:rsid w:val="005E3713"/>
    <w:rsid w:val="005E4BFF"/>
    <w:rsid w:val="005E4CDB"/>
    <w:rsid w:val="005F0AA0"/>
    <w:rsid w:val="005F3267"/>
    <w:rsid w:val="005F5D17"/>
    <w:rsid w:val="005F78B4"/>
    <w:rsid w:val="00601AA2"/>
    <w:rsid w:val="0060224A"/>
    <w:rsid w:val="00612AAE"/>
    <w:rsid w:val="006148A3"/>
    <w:rsid w:val="006167F3"/>
    <w:rsid w:val="00616B76"/>
    <w:rsid w:val="00620C2D"/>
    <w:rsid w:val="00620F78"/>
    <w:rsid w:val="00622FC2"/>
    <w:rsid w:val="00626B8F"/>
    <w:rsid w:val="006404EA"/>
    <w:rsid w:val="00646BA7"/>
    <w:rsid w:val="0065371D"/>
    <w:rsid w:val="00656C28"/>
    <w:rsid w:val="00670C7D"/>
    <w:rsid w:val="006727D7"/>
    <w:rsid w:val="00687C58"/>
    <w:rsid w:val="00690C68"/>
    <w:rsid w:val="00692210"/>
    <w:rsid w:val="00696A73"/>
    <w:rsid w:val="006A74FE"/>
    <w:rsid w:val="006B02A9"/>
    <w:rsid w:val="006B2A9B"/>
    <w:rsid w:val="006B2B93"/>
    <w:rsid w:val="006B2D80"/>
    <w:rsid w:val="006C011B"/>
    <w:rsid w:val="006C3D9A"/>
    <w:rsid w:val="006C6863"/>
    <w:rsid w:val="006D344F"/>
    <w:rsid w:val="006D4902"/>
    <w:rsid w:val="006D7DD2"/>
    <w:rsid w:val="006E1ACF"/>
    <w:rsid w:val="006E256D"/>
    <w:rsid w:val="006E60CF"/>
    <w:rsid w:val="007013D1"/>
    <w:rsid w:val="007014EB"/>
    <w:rsid w:val="007122ED"/>
    <w:rsid w:val="007138E2"/>
    <w:rsid w:val="00714905"/>
    <w:rsid w:val="00715D0B"/>
    <w:rsid w:val="007212AA"/>
    <w:rsid w:val="00722A40"/>
    <w:rsid w:val="007241CA"/>
    <w:rsid w:val="00725975"/>
    <w:rsid w:val="00727E49"/>
    <w:rsid w:val="00736782"/>
    <w:rsid w:val="0073752E"/>
    <w:rsid w:val="00737E95"/>
    <w:rsid w:val="007470DD"/>
    <w:rsid w:val="007603E8"/>
    <w:rsid w:val="007674A1"/>
    <w:rsid w:val="00773450"/>
    <w:rsid w:val="00773F93"/>
    <w:rsid w:val="00781C7F"/>
    <w:rsid w:val="007843F1"/>
    <w:rsid w:val="007928CB"/>
    <w:rsid w:val="007957B6"/>
    <w:rsid w:val="0079670A"/>
    <w:rsid w:val="007A3953"/>
    <w:rsid w:val="007A43C4"/>
    <w:rsid w:val="007B04A2"/>
    <w:rsid w:val="007B7A4D"/>
    <w:rsid w:val="007D18FF"/>
    <w:rsid w:val="007D232D"/>
    <w:rsid w:val="007E0316"/>
    <w:rsid w:val="007E2302"/>
    <w:rsid w:val="007E65EB"/>
    <w:rsid w:val="007F2DAD"/>
    <w:rsid w:val="007F3BFE"/>
    <w:rsid w:val="007F58EA"/>
    <w:rsid w:val="007F7256"/>
    <w:rsid w:val="00800250"/>
    <w:rsid w:val="00805661"/>
    <w:rsid w:val="00807C86"/>
    <w:rsid w:val="00817DD2"/>
    <w:rsid w:val="00821FC3"/>
    <w:rsid w:val="0083640D"/>
    <w:rsid w:val="00844FE5"/>
    <w:rsid w:val="008454F1"/>
    <w:rsid w:val="00845AE4"/>
    <w:rsid w:val="00845B24"/>
    <w:rsid w:val="00854EFB"/>
    <w:rsid w:val="00870937"/>
    <w:rsid w:val="00872914"/>
    <w:rsid w:val="00874E8A"/>
    <w:rsid w:val="00880B9D"/>
    <w:rsid w:val="008835D3"/>
    <w:rsid w:val="0089300D"/>
    <w:rsid w:val="00896979"/>
    <w:rsid w:val="008969EE"/>
    <w:rsid w:val="008A62D6"/>
    <w:rsid w:val="008B1CF0"/>
    <w:rsid w:val="008B2819"/>
    <w:rsid w:val="008B3BD3"/>
    <w:rsid w:val="008B783A"/>
    <w:rsid w:val="008C2E7A"/>
    <w:rsid w:val="008D310C"/>
    <w:rsid w:val="008D5FE5"/>
    <w:rsid w:val="008D63DF"/>
    <w:rsid w:val="008E05B6"/>
    <w:rsid w:val="008E23DB"/>
    <w:rsid w:val="008E3445"/>
    <w:rsid w:val="008E3BCB"/>
    <w:rsid w:val="008F46E9"/>
    <w:rsid w:val="008F5878"/>
    <w:rsid w:val="008F7450"/>
    <w:rsid w:val="009107F5"/>
    <w:rsid w:val="0092139C"/>
    <w:rsid w:val="009219ED"/>
    <w:rsid w:val="00922A33"/>
    <w:rsid w:val="00925045"/>
    <w:rsid w:val="0092637C"/>
    <w:rsid w:val="00932BD8"/>
    <w:rsid w:val="00942971"/>
    <w:rsid w:val="00951CC7"/>
    <w:rsid w:val="00966CC5"/>
    <w:rsid w:val="009721C3"/>
    <w:rsid w:val="00975F81"/>
    <w:rsid w:val="00982C6D"/>
    <w:rsid w:val="0098316A"/>
    <w:rsid w:val="00985AD4"/>
    <w:rsid w:val="00990E18"/>
    <w:rsid w:val="009910F2"/>
    <w:rsid w:val="00992312"/>
    <w:rsid w:val="00992F5C"/>
    <w:rsid w:val="0099357C"/>
    <w:rsid w:val="009966EE"/>
    <w:rsid w:val="009A567F"/>
    <w:rsid w:val="009A7AC0"/>
    <w:rsid w:val="009B0352"/>
    <w:rsid w:val="009B6090"/>
    <w:rsid w:val="009B6E2A"/>
    <w:rsid w:val="009C1DF9"/>
    <w:rsid w:val="009C35CC"/>
    <w:rsid w:val="009C57C5"/>
    <w:rsid w:val="009C6BE8"/>
    <w:rsid w:val="009D2A02"/>
    <w:rsid w:val="009E0164"/>
    <w:rsid w:val="009E0AE6"/>
    <w:rsid w:val="009E7313"/>
    <w:rsid w:val="009F4FF5"/>
    <w:rsid w:val="00A12459"/>
    <w:rsid w:val="00A127FE"/>
    <w:rsid w:val="00A1510A"/>
    <w:rsid w:val="00A15D0E"/>
    <w:rsid w:val="00A16832"/>
    <w:rsid w:val="00A22BE0"/>
    <w:rsid w:val="00A2613A"/>
    <w:rsid w:val="00A27F00"/>
    <w:rsid w:val="00A34DEA"/>
    <w:rsid w:val="00A445EB"/>
    <w:rsid w:val="00A5134B"/>
    <w:rsid w:val="00A566EC"/>
    <w:rsid w:val="00A62DB0"/>
    <w:rsid w:val="00A66E55"/>
    <w:rsid w:val="00A745EE"/>
    <w:rsid w:val="00A810D6"/>
    <w:rsid w:val="00A83ABE"/>
    <w:rsid w:val="00A9669D"/>
    <w:rsid w:val="00A9678B"/>
    <w:rsid w:val="00AA1C00"/>
    <w:rsid w:val="00AA7763"/>
    <w:rsid w:val="00AB4D19"/>
    <w:rsid w:val="00AB745C"/>
    <w:rsid w:val="00AC0726"/>
    <w:rsid w:val="00AC0F42"/>
    <w:rsid w:val="00AC222C"/>
    <w:rsid w:val="00AC5115"/>
    <w:rsid w:val="00AC5A74"/>
    <w:rsid w:val="00AD21CA"/>
    <w:rsid w:val="00AD7B8A"/>
    <w:rsid w:val="00AE2E34"/>
    <w:rsid w:val="00AF3747"/>
    <w:rsid w:val="00AF52C9"/>
    <w:rsid w:val="00AF79F6"/>
    <w:rsid w:val="00B02432"/>
    <w:rsid w:val="00B1034F"/>
    <w:rsid w:val="00B207DE"/>
    <w:rsid w:val="00B26BF6"/>
    <w:rsid w:val="00B41616"/>
    <w:rsid w:val="00B45847"/>
    <w:rsid w:val="00B56A29"/>
    <w:rsid w:val="00B70029"/>
    <w:rsid w:val="00B7557A"/>
    <w:rsid w:val="00B77A9F"/>
    <w:rsid w:val="00B77EDA"/>
    <w:rsid w:val="00B8392A"/>
    <w:rsid w:val="00B847D6"/>
    <w:rsid w:val="00B860E3"/>
    <w:rsid w:val="00B9030C"/>
    <w:rsid w:val="00BA469F"/>
    <w:rsid w:val="00BB0CBC"/>
    <w:rsid w:val="00BB6C69"/>
    <w:rsid w:val="00BC193A"/>
    <w:rsid w:val="00BC38E9"/>
    <w:rsid w:val="00BE297B"/>
    <w:rsid w:val="00BE52E8"/>
    <w:rsid w:val="00BE6DA5"/>
    <w:rsid w:val="00BF48AB"/>
    <w:rsid w:val="00BF6766"/>
    <w:rsid w:val="00BF6E02"/>
    <w:rsid w:val="00BF6FB8"/>
    <w:rsid w:val="00C009CC"/>
    <w:rsid w:val="00C01421"/>
    <w:rsid w:val="00C04040"/>
    <w:rsid w:val="00C052DD"/>
    <w:rsid w:val="00C21D4E"/>
    <w:rsid w:val="00C35C40"/>
    <w:rsid w:val="00C36BD5"/>
    <w:rsid w:val="00C37E43"/>
    <w:rsid w:val="00C43E65"/>
    <w:rsid w:val="00C52B0B"/>
    <w:rsid w:val="00C6025C"/>
    <w:rsid w:val="00C70834"/>
    <w:rsid w:val="00C71947"/>
    <w:rsid w:val="00C74CAF"/>
    <w:rsid w:val="00C74F71"/>
    <w:rsid w:val="00C753FE"/>
    <w:rsid w:val="00C76EF6"/>
    <w:rsid w:val="00C77951"/>
    <w:rsid w:val="00C77C56"/>
    <w:rsid w:val="00C81BE0"/>
    <w:rsid w:val="00C83300"/>
    <w:rsid w:val="00C85967"/>
    <w:rsid w:val="00C86E11"/>
    <w:rsid w:val="00C91A95"/>
    <w:rsid w:val="00C92919"/>
    <w:rsid w:val="00C9493F"/>
    <w:rsid w:val="00CA1BAB"/>
    <w:rsid w:val="00CA5C49"/>
    <w:rsid w:val="00CA7A4E"/>
    <w:rsid w:val="00CB38A9"/>
    <w:rsid w:val="00CB7ECC"/>
    <w:rsid w:val="00CD0DA6"/>
    <w:rsid w:val="00CD1223"/>
    <w:rsid w:val="00CD4337"/>
    <w:rsid w:val="00CE3AB5"/>
    <w:rsid w:val="00CE58D9"/>
    <w:rsid w:val="00CE6CEB"/>
    <w:rsid w:val="00CF1E34"/>
    <w:rsid w:val="00D03D50"/>
    <w:rsid w:val="00D045A9"/>
    <w:rsid w:val="00D057BD"/>
    <w:rsid w:val="00D10159"/>
    <w:rsid w:val="00D105E3"/>
    <w:rsid w:val="00D10707"/>
    <w:rsid w:val="00D11178"/>
    <w:rsid w:val="00D12A56"/>
    <w:rsid w:val="00D13362"/>
    <w:rsid w:val="00D14401"/>
    <w:rsid w:val="00D14EB4"/>
    <w:rsid w:val="00D16662"/>
    <w:rsid w:val="00D17B6E"/>
    <w:rsid w:val="00D24040"/>
    <w:rsid w:val="00D407B1"/>
    <w:rsid w:val="00D5018F"/>
    <w:rsid w:val="00D63CB8"/>
    <w:rsid w:val="00D67064"/>
    <w:rsid w:val="00D70E7E"/>
    <w:rsid w:val="00D72E1C"/>
    <w:rsid w:val="00D738CB"/>
    <w:rsid w:val="00D763B0"/>
    <w:rsid w:val="00D814A4"/>
    <w:rsid w:val="00D932A4"/>
    <w:rsid w:val="00D9467C"/>
    <w:rsid w:val="00D96F9C"/>
    <w:rsid w:val="00D97D66"/>
    <w:rsid w:val="00DA55D1"/>
    <w:rsid w:val="00DA74B9"/>
    <w:rsid w:val="00DA75A2"/>
    <w:rsid w:val="00DB2C3A"/>
    <w:rsid w:val="00DC2E37"/>
    <w:rsid w:val="00DC656C"/>
    <w:rsid w:val="00DC748D"/>
    <w:rsid w:val="00DD56DE"/>
    <w:rsid w:val="00DD7F1C"/>
    <w:rsid w:val="00DE1F6E"/>
    <w:rsid w:val="00DE34ED"/>
    <w:rsid w:val="00E0141C"/>
    <w:rsid w:val="00E074CD"/>
    <w:rsid w:val="00E14E4E"/>
    <w:rsid w:val="00E332DE"/>
    <w:rsid w:val="00E4155B"/>
    <w:rsid w:val="00E41EB0"/>
    <w:rsid w:val="00E4214F"/>
    <w:rsid w:val="00E50725"/>
    <w:rsid w:val="00E52735"/>
    <w:rsid w:val="00E5351F"/>
    <w:rsid w:val="00E5502A"/>
    <w:rsid w:val="00E82125"/>
    <w:rsid w:val="00E85D7B"/>
    <w:rsid w:val="00E907F2"/>
    <w:rsid w:val="00E91F6C"/>
    <w:rsid w:val="00E9490A"/>
    <w:rsid w:val="00EA3794"/>
    <w:rsid w:val="00EA70E2"/>
    <w:rsid w:val="00EB02D1"/>
    <w:rsid w:val="00ED6056"/>
    <w:rsid w:val="00ED74F8"/>
    <w:rsid w:val="00ED7523"/>
    <w:rsid w:val="00EF42E7"/>
    <w:rsid w:val="00F0036F"/>
    <w:rsid w:val="00F0252C"/>
    <w:rsid w:val="00F07B87"/>
    <w:rsid w:val="00F16C3F"/>
    <w:rsid w:val="00F2606C"/>
    <w:rsid w:val="00F377AC"/>
    <w:rsid w:val="00F37CC9"/>
    <w:rsid w:val="00F42335"/>
    <w:rsid w:val="00F44953"/>
    <w:rsid w:val="00F45E3C"/>
    <w:rsid w:val="00F5058E"/>
    <w:rsid w:val="00F52A18"/>
    <w:rsid w:val="00F52C4C"/>
    <w:rsid w:val="00F6727D"/>
    <w:rsid w:val="00F71860"/>
    <w:rsid w:val="00F77169"/>
    <w:rsid w:val="00F809DA"/>
    <w:rsid w:val="00F83E56"/>
    <w:rsid w:val="00F853DA"/>
    <w:rsid w:val="00F85976"/>
    <w:rsid w:val="00F92127"/>
    <w:rsid w:val="00F9602D"/>
    <w:rsid w:val="00F97125"/>
    <w:rsid w:val="00F97F09"/>
    <w:rsid w:val="00FA2A5B"/>
    <w:rsid w:val="00FA3196"/>
    <w:rsid w:val="00FB012E"/>
    <w:rsid w:val="00FB34CD"/>
    <w:rsid w:val="00FC3916"/>
    <w:rsid w:val="00FC4FA8"/>
    <w:rsid w:val="00FC617B"/>
    <w:rsid w:val="00FD6D49"/>
    <w:rsid w:val="00FD75A4"/>
    <w:rsid w:val="00FE2450"/>
    <w:rsid w:val="00FE37FC"/>
    <w:rsid w:val="00FE3A0D"/>
    <w:rsid w:val="00FE7C13"/>
    <w:rsid w:val="00FF184F"/>
    <w:rsid w:val="00FF1852"/>
    <w:rsid w:val="00FF6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B02D1"/>
    <w:rPr>
      <w:rFonts w:eastAsia="Times New Roman"/>
      <w:sz w:val="24"/>
      <w:szCs w:val="24"/>
    </w:rPr>
  </w:style>
  <w:style w:type="paragraph" w:styleId="Heading1">
    <w:name w:val="heading 1"/>
    <w:basedOn w:val="Normal"/>
    <w:next w:val="Normal"/>
    <w:link w:val="Heading1Char"/>
    <w:autoRedefine/>
    <w:uiPriority w:val="99"/>
    <w:qFormat/>
    <w:rsid w:val="00D67064"/>
    <w:pPr>
      <w:keepNext/>
      <w:spacing w:after="240"/>
      <w:ind w:left="720" w:hanging="720"/>
      <w:outlineLvl w:val="0"/>
    </w:pPr>
    <w:rPr>
      <w:rFonts w:ascii="Times New Roman Bold" w:hAnsi="Times New Roman Bold" w:cs="Times New Roman Bold"/>
      <w:b/>
      <w:bCs/>
      <w:caps/>
      <w:kern w:val="32"/>
    </w:rPr>
  </w:style>
  <w:style w:type="paragraph" w:styleId="Heading2">
    <w:name w:val="heading 2"/>
    <w:basedOn w:val="Normal"/>
    <w:next w:val="Normal"/>
    <w:link w:val="Heading2Char"/>
    <w:autoRedefine/>
    <w:uiPriority w:val="99"/>
    <w:qFormat/>
    <w:rsid w:val="00CD0DA6"/>
    <w:pPr>
      <w:keepNext/>
      <w:tabs>
        <w:tab w:val="left" w:pos="0"/>
      </w:tabs>
      <w:spacing w:after="240"/>
      <w:ind w:left="1440" w:right="720" w:hanging="720"/>
      <w:outlineLvl w:val="1"/>
    </w:pPr>
    <w:rPr>
      <w:rFonts w:ascii="Times New Roman Bold" w:hAnsi="Times New Roman Bold" w:cs="Times New Roman Bold"/>
      <w:b/>
      <w:bCs/>
    </w:rPr>
  </w:style>
  <w:style w:type="paragraph" w:styleId="Heading3">
    <w:name w:val="heading 3"/>
    <w:basedOn w:val="Normal"/>
    <w:next w:val="Normal"/>
    <w:link w:val="Heading3Char"/>
    <w:autoRedefine/>
    <w:uiPriority w:val="99"/>
    <w:qFormat/>
    <w:rsid w:val="00CD0DA6"/>
    <w:pPr>
      <w:keepNext/>
      <w:tabs>
        <w:tab w:val="left" w:pos="0"/>
        <w:tab w:val="left" w:pos="720"/>
      </w:tabs>
      <w:spacing w:after="240"/>
      <w:ind w:left="2160" w:right="720" w:hanging="720"/>
      <w:outlineLvl w:val="2"/>
    </w:pPr>
    <w:rPr>
      <w:rFonts w:ascii="Times New Roman Bold" w:hAnsi="Times New Roman Bold" w:cs="Times New Roman Bold"/>
      <w:b/>
      <w:bCs/>
    </w:rPr>
  </w:style>
  <w:style w:type="paragraph" w:styleId="Heading4">
    <w:name w:val="heading 4"/>
    <w:basedOn w:val="Normal"/>
    <w:next w:val="Normal"/>
    <w:link w:val="Heading4Char"/>
    <w:autoRedefine/>
    <w:uiPriority w:val="99"/>
    <w:qFormat/>
    <w:rsid w:val="00CD0DA6"/>
    <w:pPr>
      <w:keepNext/>
      <w:spacing w:after="240"/>
      <w:ind w:left="2880" w:hanging="720"/>
      <w:outlineLvl w:val="3"/>
    </w:pPr>
    <w:rPr>
      <w:rFonts w:ascii="Times New Roman Bold" w:hAnsi="Times New Roman Bold"/>
      <w:b/>
      <w:bCs/>
    </w:rPr>
  </w:style>
  <w:style w:type="paragraph" w:styleId="Heading5">
    <w:name w:val="heading 5"/>
    <w:basedOn w:val="Normal"/>
    <w:next w:val="Normal"/>
    <w:link w:val="Heading5Char"/>
    <w:autoRedefine/>
    <w:uiPriority w:val="99"/>
    <w:qFormat/>
    <w:rsid w:val="00080059"/>
    <w:pPr>
      <w:spacing w:after="240"/>
      <w:ind w:left="360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7064"/>
    <w:rPr>
      <w:rFonts w:ascii="Times New Roman Bold" w:eastAsia="Times New Roman" w:hAnsi="Times New Roman Bold" w:cs="Times New Roman Bold"/>
      <w:b/>
      <w:bCs/>
      <w:caps/>
      <w:kern w:val="32"/>
      <w:sz w:val="24"/>
      <w:szCs w:val="24"/>
    </w:rPr>
  </w:style>
  <w:style w:type="character" w:customStyle="1" w:styleId="Heading2Char">
    <w:name w:val="Heading 2 Char"/>
    <w:link w:val="Heading2"/>
    <w:uiPriority w:val="99"/>
    <w:locked/>
    <w:rsid w:val="00CD0DA6"/>
    <w:rPr>
      <w:rFonts w:ascii="Times New Roman Bold" w:eastAsia="Times New Roman" w:hAnsi="Times New Roman Bold" w:cs="Times New Roman Bold"/>
      <w:b/>
      <w:bCs/>
      <w:sz w:val="24"/>
      <w:szCs w:val="24"/>
    </w:rPr>
  </w:style>
  <w:style w:type="character" w:customStyle="1" w:styleId="Heading3Char">
    <w:name w:val="Heading 3 Char"/>
    <w:link w:val="Heading3"/>
    <w:uiPriority w:val="99"/>
    <w:locked/>
    <w:rsid w:val="00CD0DA6"/>
    <w:rPr>
      <w:rFonts w:ascii="Times New Roman Bold" w:eastAsia="Times New Roman" w:hAnsi="Times New Roman Bold" w:cs="Times New Roman Bold"/>
      <w:b/>
      <w:bCs/>
      <w:sz w:val="24"/>
      <w:szCs w:val="24"/>
    </w:rPr>
  </w:style>
  <w:style w:type="character" w:customStyle="1" w:styleId="Heading4Char">
    <w:name w:val="Heading 4 Char"/>
    <w:link w:val="Heading4"/>
    <w:uiPriority w:val="99"/>
    <w:locked/>
    <w:rsid w:val="00CD0DA6"/>
    <w:rPr>
      <w:rFonts w:ascii="Times New Roman Bold" w:eastAsia="Times New Roman" w:hAnsi="Times New Roman Bold"/>
      <w:b/>
      <w:bCs/>
      <w:sz w:val="24"/>
      <w:szCs w:val="24"/>
    </w:rPr>
  </w:style>
  <w:style w:type="character" w:customStyle="1" w:styleId="Heading5Char">
    <w:name w:val="Heading 5 Char"/>
    <w:link w:val="Heading5"/>
    <w:uiPriority w:val="99"/>
    <w:semiHidden/>
    <w:locked/>
    <w:rsid w:val="00080059"/>
    <w:rPr>
      <w:rFonts w:eastAsia="Times New Roman"/>
      <w:b/>
      <w:bCs/>
      <w:sz w:val="26"/>
      <w:szCs w:val="26"/>
    </w:rPr>
  </w:style>
  <w:style w:type="paragraph" w:styleId="BalloonText">
    <w:name w:val="Balloon Text"/>
    <w:basedOn w:val="Normal"/>
    <w:link w:val="BalloonTextChar"/>
    <w:uiPriority w:val="99"/>
    <w:semiHidden/>
    <w:rsid w:val="00080059"/>
    <w:rPr>
      <w:rFonts w:ascii="Lucida Grande" w:hAnsi="Lucida Grande" w:cs="Lucida Grande"/>
      <w:sz w:val="18"/>
      <w:szCs w:val="18"/>
    </w:rPr>
  </w:style>
  <w:style w:type="character" w:customStyle="1" w:styleId="BalloonTextChar">
    <w:name w:val="Balloon Text Char"/>
    <w:link w:val="BalloonText"/>
    <w:uiPriority w:val="99"/>
    <w:semiHidden/>
    <w:locked/>
    <w:rsid w:val="00080059"/>
    <w:rPr>
      <w:rFonts w:ascii="Lucida Grande" w:hAnsi="Lucida Grande" w:cs="Lucida Grande"/>
      <w:sz w:val="18"/>
      <w:szCs w:val="18"/>
    </w:rPr>
  </w:style>
  <w:style w:type="paragraph" w:styleId="TOC2">
    <w:name w:val="toc 2"/>
    <w:basedOn w:val="Normal"/>
    <w:next w:val="Normal"/>
    <w:autoRedefine/>
    <w:uiPriority w:val="39"/>
    <w:qFormat/>
    <w:rsid w:val="008E3445"/>
    <w:pPr>
      <w:tabs>
        <w:tab w:val="left" w:pos="720"/>
        <w:tab w:val="decimal" w:leader="dot" w:pos="8640"/>
      </w:tabs>
      <w:spacing w:after="240"/>
      <w:ind w:left="1440" w:hanging="720"/>
    </w:pPr>
  </w:style>
  <w:style w:type="paragraph" w:styleId="TOC1">
    <w:name w:val="toc 1"/>
    <w:basedOn w:val="Normal"/>
    <w:next w:val="Normal"/>
    <w:autoRedefine/>
    <w:uiPriority w:val="39"/>
    <w:qFormat/>
    <w:rsid w:val="008E3445"/>
    <w:pPr>
      <w:tabs>
        <w:tab w:val="left" w:pos="720"/>
        <w:tab w:val="decimal" w:leader="dot" w:pos="8640"/>
      </w:tabs>
      <w:spacing w:after="240"/>
      <w:ind w:left="720" w:hanging="720"/>
    </w:pPr>
    <w:rPr>
      <w:caps/>
    </w:rPr>
  </w:style>
  <w:style w:type="paragraph" w:customStyle="1" w:styleId="Quote1">
    <w:name w:val="Quote1"/>
    <w:basedOn w:val="Normal"/>
    <w:autoRedefine/>
    <w:uiPriority w:val="99"/>
    <w:rsid w:val="00080059"/>
    <w:pPr>
      <w:spacing w:after="240"/>
      <w:ind w:left="720" w:right="720"/>
    </w:pPr>
  </w:style>
  <w:style w:type="paragraph" w:customStyle="1" w:styleId="WW-BodyTextIndent3">
    <w:name w:val="WW-Body Text Indent 3"/>
    <w:basedOn w:val="Normal"/>
    <w:uiPriority w:val="99"/>
    <w:rsid w:val="00080059"/>
    <w:pPr>
      <w:suppressAutoHyphens/>
      <w:spacing w:line="480" w:lineRule="atLeast"/>
      <w:ind w:firstLine="720"/>
    </w:pPr>
    <w:rPr>
      <w:lang w:eastAsia="ar-SA"/>
    </w:rPr>
  </w:style>
  <w:style w:type="character" w:customStyle="1" w:styleId="caps">
    <w:name w:val="caps"/>
    <w:basedOn w:val="DefaultParagraphFont"/>
    <w:uiPriority w:val="99"/>
    <w:rsid w:val="00080059"/>
  </w:style>
  <w:style w:type="paragraph" w:customStyle="1" w:styleId="ShortReturnAddress">
    <w:name w:val="Short Return Address"/>
    <w:basedOn w:val="Normal"/>
    <w:uiPriority w:val="99"/>
    <w:rsid w:val="00080059"/>
  </w:style>
  <w:style w:type="character" w:customStyle="1" w:styleId="FootnoteTextChar">
    <w:name w:val="Footnote Text Char"/>
    <w:uiPriority w:val="99"/>
    <w:locked/>
    <w:rsid w:val="00080059"/>
    <w:rPr>
      <w:lang w:val="en-US" w:eastAsia="en-US"/>
    </w:rPr>
  </w:style>
  <w:style w:type="character" w:customStyle="1" w:styleId="CharChar10">
    <w:name w:val="Char Char10"/>
    <w:uiPriority w:val="99"/>
    <w:semiHidden/>
    <w:locked/>
    <w:rsid w:val="00080059"/>
    <w:rPr>
      <w:lang w:val="en-US" w:eastAsia="en-US"/>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Footnote Text Char2 Char1"/>
    <w:uiPriority w:val="99"/>
    <w:semiHidden/>
    <w:locked/>
    <w:rsid w:val="00080059"/>
    <w:rPr>
      <w:lang w:val="en-US" w:eastAsia="en-US"/>
    </w:rPr>
  </w:style>
  <w:style w:type="paragraph" w:customStyle="1" w:styleId="CompanyName">
    <w:name w:val="Company Name"/>
    <w:basedOn w:val="Normal"/>
    <w:uiPriority w:val="99"/>
    <w:rsid w:val="0008005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s="Arial Black"/>
      <w:spacing w:val="-15"/>
      <w:position w:val="-2"/>
      <w:sz w:val="32"/>
      <w:szCs w:val="32"/>
    </w:rPr>
  </w:style>
  <w:style w:type="character" w:customStyle="1" w:styleId="term">
    <w:name w:val="term"/>
    <w:basedOn w:val="DefaultParagraphFont"/>
    <w:uiPriority w:val="99"/>
    <w:rsid w:val="00080059"/>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
    <w:basedOn w:val="Normal"/>
    <w:link w:val="FootnoteTextChar3"/>
    <w:autoRedefine/>
    <w:uiPriority w:val="99"/>
    <w:semiHidden/>
    <w:rsid w:val="003D73E8"/>
    <w:pPr>
      <w:spacing w:after="120"/>
    </w:pPr>
    <w:rPr>
      <w:sz w:val="20"/>
      <w:szCs w:val="20"/>
    </w:r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
    <w:basedOn w:val="DefaultParagraphFont"/>
    <w:uiPriority w:val="99"/>
    <w:semiHidden/>
    <w:locked/>
    <w:rsid w:val="00080059"/>
  </w:style>
  <w:style w:type="character" w:customStyle="1" w:styleId="FootnoteTextChar3">
    <w:name w:val="Footnote Text Char3"/>
    <w:aliases w:val="Footnote Text Char2 Char2,Footnote Text Char1 Char1 Char1,Footnote Text Char Char Char1 Char1,Footnote Text Char Char1 Char1,Footnote Text Char1 Char Char Char1,Footnote Text Char Char Char Char Char1"/>
    <w:link w:val="FootnoteText"/>
    <w:uiPriority w:val="99"/>
    <w:semiHidden/>
    <w:locked/>
    <w:rsid w:val="003D73E8"/>
    <w:rPr>
      <w:rFonts w:eastAsia="Times New Roman"/>
    </w:rPr>
  </w:style>
  <w:style w:type="paragraph" w:styleId="CommentText">
    <w:name w:val="annotation text"/>
    <w:basedOn w:val="Normal"/>
    <w:link w:val="CommentTextChar"/>
    <w:semiHidden/>
    <w:rsid w:val="00080059"/>
  </w:style>
  <w:style w:type="character" w:customStyle="1" w:styleId="CommentTextChar">
    <w:name w:val="Comment Text Char"/>
    <w:link w:val="CommentText"/>
    <w:semiHidden/>
    <w:locked/>
    <w:rsid w:val="00080059"/>
    <w:rPr>
      <w:rFonts w:eastAsia="Times New Roman"/>
      <w:sz w:val="24"/>
      <w:szCs w:val="24"/>
    </w:rPr>
  </w:style>
  <w:style w:type="paragraph" w:styleId="Header">
    <w:name w:val="header"/>
    <w:basedOn w:val="Normal"/>
    <w:link w:val="HeaderChar"/>
    <w:uiPriority w:val="99"/>
    <w:rsid w:val="00080059"/>
    <w:pPr>
      <w:tabs>
        <w:tab w:val="center" w:pos="4320"/>
        <w:tab w:val="right" w:pos="8640"/>
      </w:tabs>
    </w:pPr>
  </w:style>
  <w:style w:type="character" w:customStyle="1" w:styleId="HeaderChar">
    <w:name w:val="Header Char"/>
    <w:link w:val="Header"/>
    <w:uiPriority w:val="99"/>
    <w:locked/>
    <w:rsid w:val="00080059"/>
    <w:rPr>
      <w:rFonts w:eastAsia="Times New Roman"/>
      <w:sz w:val="24"/>
      <w:szCs w:val="24"/>
    </w:rPr>
  </w:style>
  <w:style w:type="paragraph" w:styleId="Footer">
    <w:name w:val="footer"/>
    <w:aliases w:val="Char1"/>
    <w:basedOn w:val="Normal"/>
    <w:link w:val="FooterChar"/>
    <w:uiPriority w:val="99"/>
    <w:rsid w:val="00080059"/>
    <w:pPr>
      <w:tabs>
        <w:tab w:val="center" w:pos="4320"/>
        <w:tab w:val="right" w:pos="8640"/>
      </w:tabs>
    </w:pPr>
  </w:style>
  <w:style w:type="character" w:customStyle="1" w:styleId="FooterChar">
    <w:name w:val="Footer Char"/>
    <w:aliases w:val="Char1 Char"/>
    <w:link w:val="Footer"/>
    <w:uiPriority w:val="99"/>
    <w:locked/>
    <w:rsid w:val="00080059"/>
    <w:rPr>
      <w:rFonts w:eastAsia="Times New Roman"/>
      <w:sz w:val="24"/>
      <w:szCs w:val="24"/>
    </w:rPr>
  </w:style>
  <w:style w:type="character" w:styleId="FootnoteReference">
    <w:name w:val="footnote reference"/>
    <w:aliases w:val="o,fr,Style 3,Style 13,Appel note de bas de p,Style 12,(NECG) Footnote Reference,Style 124"/>
    <w:uiPriority w:val="99"/>
    <w:semiHidden/>
    <w:rsid w:val="00080059"/>
    <w:rPr>
      <w:vertAlign w:val="superscript"/>
    </w:rPr>
  </w:style>
  <w:style w:type="character" w:styleId="CommentReference">
    <w:name w:val="annotation reference"/>
    <w:uiPriority w:val="99"/>
    <w:semiHidden/>
    <w:rsid w:val="00080059"/>
    <w:rPr>
      <w:sz w:val="18"/>
      <w:szCs w:val="18"/>
    </w:rPr>
  </w:style>
  <w:style w:type="character" w:styleId="PageNumber">
    <w:name w:val="page number"/>
    <w:basedOn w:val="DefaultParagraphFont"/>
    <w:uiPriority w:val="99"/>
    <w:rsid w:val="00080059"/>
  </w:style>
  <w:style w:type="paragraph" w:styleId="Title">
    <w:name w:val="Title"/>
    <w:basedOn w:val="Normal"/>
    <w:link w:val="TitleChar"/>
    <w:uiPriority w:val="99"/>
    <w:qFormat/>
    <w:rsid w:val="00080059"/>
    <w:pPr>
      <w:jc w:val="center"/>
    </w:pPr>
    <w:rPr>
      <w:b/>
      <w:bCs/>
    </w:rPr>
  </w:style>
  <w:style w:type="character" w:customStyle="1" w:styleId="TitleChar">
    <w:name w:val="Title Char"/>
    <w:link w:val="Title"/>
    <w:uiPriority w:val="99"/>
    <w:locked/>
    <w:rsid w:val="00080059"/>
    <w:rPr>
      <w:rFonts w:eastAsia="Times New Roman"/>
      <w:b/>
      <w:bCs/>
      <w:sz w:val="24"/>
      <w:szCs w:val="24"/>
    </w:rPr>
  </w:style>
  <w:style w:type="paragraph" w:styleId="BodyText">
    <w:name w:val="Body Text"/>
    <w:basedOn w:val="Normal"/>
    <w:link w:val="BodyTextChar"/>
    <w:uiPriority w:val="99"/>
    <w:rsid w:val="00080059"/>
    <w:pPr>
      <w:tabs>
        <w:tab w:val="left" w:pos="0"/>
        <w:tab w:val="left" w:pos="720"/>
      </w:tabs>
      <w:spacing w:line="480" w:lineRule="auto"/>
      <w:ind w:firstLine="720"/>
    </w:pPr>
  </w:style>
  <w:style w:type="character" w:customStyle="1" w:styleId="BodyTextChar">
    <w:name w:val="Body Text Char"/>
    <w:link w:val="BodyText"/>
    <w:uiPriority w:val="99"/>
    <w:locked/>
    <w:rsid w:val="00080059"/>
    <w:rPr>
      <w:rFonts w:eastAsia="Times New Roman"/>
      <w:sz w:val="24"/>
      <w:szCs w:val="24"/>
    </w:rPr>
  </w:style>
  <w:style w:type="paragraph" w:styleId="BodyTextIndent">
    <w:name w:val="Body Text Indent"/>
    <w:basedOn w:val="Normal"/>
    <w:link w:val="BodyTextIndentChar"/>
    <w:uiPriority w:val="99"/>
    <w:rsid w:val="00080059"/>
    <w:pPr>
      <w:spacing w:line="480" w:lineRule="auto"/>
      <w:ind w:firstLine="720"/>
    </w:pPr>
  </w:style>
  <w:style w:type="character" w:customStyle="1" w:styleId="BodyTextIndentChar">
    <w:name w:val="Body Text Indent Char"/>
    <w:link w:val="BodyTextIndent"/>
    <w:uiPriority w:val="99"/>
    <w:locked/>
    <w:rsid w:val="00080059"/>
    <w:rPr>
      <w:rFonts w:eastAsia="Times New Roman"/>
      <w:sz w:val="24"/>
      <w:szCs w:val="24"/>
    </w:rPr>
  </w:style>
  <w:style w:type="paragraph" w:styleId="BodyText2">
    <w:name w:val="Body Text 2"/>
    <w:basedOn w:val="Normal"/>
    <w:link w:val="BodyText2Char"/>
    <w:uiPriority w:val="99"/>
    <w:rsid w:val="00080059"/>
    <w:pPr>
      <w:spacing w:after="120" w:line="480" w:lineRule="auto"/>
    </w:pPr>
  </w:style>
  <w:style w:type="character" w:customStyle="1" w:styleId="BodyText2Char">
    <w:name w:val="Body Text 2 Char"/>
    <w:link w:val="BodyText2"/>
    <w:uiPriority w:val="99"/>
    <w:locked/>
    <w:rsid w:val="00080059"/>
    <w:rPr>
      <w:rFonts w:eastAsia="Times New Roman"/>
      <w:sz w:val="24"/>
      <w:szCs w:val="24"/>
    </w:rPr>
  </w:style>
  <w:style w:type="paragraph" w:styleId="BodyTextIndent2">
    <w:name w:val="Body Text Indent 2"/>
    <w:basedOn w:val="Normal"/>
    <w:link w:val="BodyTextIndent2Char"/>
    <w:uiPriority w:val="99"/>
    <w:rsid w:val="00080059"/>
    <w:pPr>
      <w:widowControl w:val="0"/>
      <w:autoSpaceDE w:val="0"/>
      <w:autoSpaceDN w:val="0"/>
      <w:adjustRightInd w:val="0"/>
      <w:spacing w:after="120" w:line="480" w:lineRule="auto"/>
      <w:ind w:left="360"/>
    </w:pPr>
    <w:rPr>
      <w:rFonts w:ascii="Courier New" w:hAnsi="Courier New" w:cs="Courier New"/>
      <w:sz w:val="20"/>
      <w:szCs w:val="20"/>
    </w:rPr>
  </w:style>
  <w:style w:type="character" w:customStyle="1" w:styleId="BodyTextIndent2Char">
    <w:name w:val="Body Text Indent 2 Char"/>
    <w:link w:val="BodyTextIndent2"/>
    <w:uiPriority w:val="99"/>
    <w:locked/>
    <w:rsid w:val="00080059"/>
    <w:rPr>
      <w:rFonts w:ascii="Courier New" w:hAnsi="Courier New" w:cs="Courier New"/>
    </w:rPr>
  </w:style>
  <w:style w:type="paragraph" w:styleId="BodyTextIndent3">
    <w:name w:val="Body Text Indent 3"/>
    <w:basedOn w:val="Normal"/>
    <w:link w:val="BodyTextIndent3Char"/>
    <w:uiPriority w:val="99"/>
    <w:rsid w:val="00080059"/>
    <w:pPr>
      <w:spacing w:after="120"/>
      <w:ind w:left="360"/>
    </w:pPr>
    <w:rPr>
      <w:sz w:val="16"/>
      <w:szCs w:val="16"/>
    </w:rPr>
  </w:style>
  <w:style w:type="character" w:customStyle="1" w:styleId="BodyTextIndent3Char">
    <w:name w:val="Body Text Indent 3 Char"/>
    <w:link w:val="BodyTextIndent3"/>
    <w:uiPriority w:val="99"/>
    <w:locked/>
    <w:rsid w:val="00080059"/>
    <w:rPr>
      <w:rFonts w:eastAsia="Times New Roman"/>
      <w:sz w:val="16"/>
      <w:szCs w:val="16"/>
    </w:rPr>
  </w:style>
  <w:style w:type="character" w:styleId="Hyperlink">
    <w:name w:val="Hyperlink"/>
    <w:uiPriority w:val="99"/>
    <w:rsid w:val="00080059"/>
    <w:rPr>
      <w:color w:val="0000FF"/>
      <w:u w:val="single"/>
    </w:rPr>
  </w:style>
  <w:style w:type="character" w:styleId="Strong">
    <w:name w:val="Strong"/>
    <w:uiPriority w:val="99"/>
    <w:qFormat/>
    <w:rsid w:val="00080059"/>
    <w:rPr>
      <w:b/>
      <w:bCs/>
    </w:rPr>
  </w:style>
  <w:style w:type="paragraph" w:styleId="NormalWeb">
    <w:name w:val="Normal (Web)"/>
    <w:basedOn w:val="Normal"/>
    <w:uiPriority w:val="99"/>
    <w:rsid w:val="00080059"/>
    <w:pPr>
      <w:spacing w:before="100" w:beforeAutospacing="1" w:after="100" w:afterAutospacing="1"/>
    </w:pPr>
  </w:style>
  <w:style w:type="paragraph" w:styleId="HTMLPreformatted">
    <w:name w:val="HTML Preformatted"/>
    <w:basedOn w:val="Normal"/>
    <w:link w:val="HTMLPreformattedChar"/>
    <w:rsid w:val="00080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locked/>
    <w:rsid w:val="00080059"/>
    <w:rPr>
      <w:rFonts w:ascii="Courier New" w:hAnsi="Courier New" w:cs="Courier New"/>
    </w:rPr>
  </w:style>
  <w:style w:type="paragraph" w:styleId="CommentSubject">
    <w:name w:val="annotation subject"/>
    <w:basedOn w:val="CommentText"/>
    <w:next w:val="CommentText"/>
    <w:link w:val="CommentSubjectChar"/>
    <w:uiPriority w:val="99"/>
    <w:semiHidden/>
    <w:rsid w:val="00080059"/>
  </w:style>
  <w:style w:type="character" w:customStyle="1" w:styleId="CommentSubjectChar">
    <w:name w:val="Comment Subject Char"/>
    <w:link w:val="CommentSubject"/>
    <w:uiPriority w:val="99"/>
    <w:semiHidden/>
    <w:locked/>
    <w:rsid w:val="00080059"/>
    <w:rPr>
      <w:rFonts w:eastAsia="Times New Roman"/>
      <w:sz w:val="24"/>
      <w:szCs w:val="24"/>
    </w:rPr>
  </w:style>
  <w:style w:type="table" w:styleId="TableGrid">
    <w:name w:val="Table Grid"/>
    <w:basedOn w:val="TableNormal"/>
    <w:uiPriority w:val="99"/>
    <w:rsid w:val="0008005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ideAddress">
    <w:name w:val="Inside Address"/>
    <w:basedOn w:val="Normal"/>
    <w:uiPriority w:val="99"/>
    <w:rsid w:val="00080059"/>
    <w:rPr>
      <w:rFonts w:ascii="Times" w:eastAsia="Calibri" w:hAnsi="Times" w:cs="Times"/>
    </w:rPr>
  </w:style>
  <w:style w:type="paragraph" w:styleId="ListParagraph">
    <w:name w:val="List Paragraph"/>
    <w:basedOn w:val="Normal"/>
    <w:uiPriority w:val="34"/>
    <w:qFormat/>
    <w:rsid w:val="00080059"/>
    <w:pPr>
      <w:ind w:left="720"/>
    </w:pPr>
  </w:style>
  <w:style w:type="paragraph" w:customStyle="1" w:styleId="listparagraph0">
    <w:name w:val="listparagraph"/>
    <w:basedOn w:val="Normal"/>
    <w:uiPriority w:val="99"/>
    <w:rsid w:val="00AC0F42"/>
    <w:pPr>
      <w:spacing w:before="100" w:beforeAutospacing="1" w:after="100" w:afterAutospacing="1"/>
    </w:pPr>
    <w:rPr>
      <w:rFonts w:eastAsia="Calibri"/>
    </w:rPr>
  </w:style>
  <w:style w:type="paragraph" w:styleId="Date">
    <w:name w:val="Date"/>
    <w:basedOn w:val="Normal"/>
    <w:next w:val="Normal"/>
    <w:link w:val="DateChar"/>
    <w:uiPriority w:val="99"/>
    <w:unhideWhenUsed/>
    <w:locked/>
    <w:rsid w:val="00EB02D1"/>
  </w:style>
  <w:style w:type="character" w:customStyle="1" w:styleId="DateChar">
    <w:name w:val="Date Char"/>
    <w:link w:val="Date"/>
    <w:uiPriority w:val="99"/>
    <w:rsid w:val="00EB02D1"/>
    <w:rPr>
      <w:rFonts w:eastAsia="Times New Roman"/>
      <w:sz w:val="24"/>
      <w:szCs w:val="24"/>
    </w:rPr>
  </w:style>
  <w:style w:type="paragraph" w:styleId="TOC3">
    <w:name w:val="toc 3"/>
    <w:basedOn w:val="Normal"/>
    <w:next w:val="Normal"/>
    <w:autoRedefine/>
    <w:uiPriority w:val="39"/>
    <w:unhideWhenUsed/>
    <w:qFormat/>
    <w:locked/>
    <w:rsid w:val="008E3445"/>
    <w:pPr>
      <w:tabs>
        <w:tab w:val="left" w:pos="720"/>
        <w:tab w:val="decimal" w:leader="dot" w:pos="8640"/>
      </w:tabs>
      <w:spacing w:after="240"/>
      <w:ind w:left="2160" w:hanging="720"/>
    </w:pPr>
  </w:style>
  <w:style w:type="paragraph" w:styleId="Caption">
    <w:name w:val="caption"/>
    <w:basedOn w:val="Normal"/>
    <w:next w:val="Normal"/>
    <w:uiPriority w:val="35"/>
    <w:unhideWhenUsed/>
    <w:qFormat/>
    <w:locked/>
    <w:rsid w:val="00D14EB4"/>
    <w:pPr>
      <w:spacing w:after="200"/>
    </w:pPr>
    <w:rPr>
      <w:rFonts w:ascii="Calibri" w:eastAsia="Calibri" w:hAnsi="Calibri"/>
      <w:b/>
      <w:bCs/>
      <w:color w:val="4F81BD"/>
      <w:sz w:val="18"/>
      <w:szCs w:val="18"/>
    </w:rPr>
  </w:style>
  <w:style w:type="paragraph" w:styleId="Revision">
    <w:name w:val="Revision"/>
    <w:hidden/>
    <w:uiPriority w:val="99"/>
    <w:semiHidden/>
    <w:rsid w:val="001A23AF"/>
    <w:rPr>
      <w:rFonts w:eastAsia="Times New Roman"/>
      <w:sz w:val="24"/>
      <w:szCs w:val="24"/>
    </w:rPr>
  </w:style>
  <w:style w:type="paragraph" w:styleId="TOCHeading">
    <w:name w:val="TOC Heading"/>
    <w:basedOn w:val="Heading1"/>
    <w:next w:val="Normal"/>
    <w:uiPriority w:val="39"/>
    <w:semiHidden/>
    <w:unhideWhenUsed/>
    <w:qFormat/>
    <w:rsid w:val="00C6025C"/>
    <w:pPr>
      <w:keepLines/>
      <w:spacing w:before="480" w:after="0" w:line="276" w:lineRule="auto"/>
      <w:ind w:left="0" w:firstLine="0"/>
      <w:outlineLvl w:val="9"/>
    </w:pPr>
    <w:rPr>
      <w:rFonts w:ascii="Cambria" w:eastAsia="MS Gothic" w:hAnsi="Cambria" w:cs="Times New Roman"/>
      <w:caps w:val="0"/>
      <w:color w:val="365F91"/>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10767">
      <w:marLeft w:val="60"/>
      <w:marRight w:val="60"/>
      <w:marTop w:val="60"/>
      <w:marBottom w:val="15"/>
      <w:divBdr>
        <w:top w:val="none" w:sz="0" w:space="0" w:color="auto"/>
        <w:left w:val="none" w:sz="0" w:space="0" w:color="auto"/>
        <w:bottom w:val="none" w:sz="0" w:space="0" w:color="auto"/>
        <w:right w:val="none" w:sz="0" w:space="0" w:color="auto"/>
      </w:divBdr>
      <w:divsChild>
        <w:div w:id="228810766">
          <w:marLeft w:val="0"/>
          <w:marRight w:val="0"/>
          <w:marTop w:val="0"/>
          <w:marBottom w:val="0"/>
          <w:divBdr>
            <w:top w:val="none" w:sz="0" w:space="0" w:color="auto"/>
            <w:left w:val="none" w:sz="0" w:space="0" w:color="auto"/>
            <w:bottom w:val="none" w:sz="0" w:space="0" w:color="auto"/>
            <w:right w:val="none" w:sz="0" w:space="0" w:color="auto"/>
          </w:divBdr>
        </w:div>
      </w:divsChild>
    </w:div>
    <w:div w:id="1913390646">
      <w:bodyDiv w:val="1"/>
      <w:marLeft w:val="60"/>
      <w:marRight w:val="60"/>
      <w:marTop w:val="60"/>
      <w:marBottom w:val="15"/>
      <w:divBdr>
        <w:top w:val="none" w:sz="0" w:space="0" w:color="auto"/>
        <w:left w:val="none" w:sz="0" w:space="0" w:color="auto"/>
        <w:bottom w:val="none" w:sz="0" w:space="0" w:color="auto"/>
        <w:right w:val="none" w:sz="0" w:space="0" w:color="auto"/>
      </w:divBdr>
      <w:divsChild>
        <w:div w:id="92670727">
          <w:marLeft w:val="0"/>
          <w:marRight w:val="0"/>
          <w:marTop w:val="0"/>
          <w:marBottom w:val="0"/>
          <w:divBdr>
            <w:top w:val="none" w:sz="0" w:space="0" w:color="auto"/>
            <w:left w:val="none" w:sz="0" w:space="0" w:color="auto"/>
            <w:bottom w:val="none" w:sz="0" w:space="0" w:color="auto"/>
            <w:right w:val="none" w:sz="0" w:space="0" w:color="auto"/>
          </w:divBdr>
        </w:div>
        <w:div w:id="498884654">
          <w:marLeft w:val="0"/>
          <w:marRight w:val="0"/>
          <w:marTop w:val="0"/>
          <w:marBottom w:val="0"/>
          <w:divBdr>
            <w:top w:val="none" w:sz="0" w:space="0" w:color="auto"/>
            <w:left w:val="none" w:sz="0" w:space="0" w:color="auto"/>
            <w:bottom w:val="none" w:sz="0" w:space="0" w:color="auto"/>
            <w:right w:val="none" w:sz="0" w:space="0" w:color="auto"/>
          </w:divBdr>
        </w:div>
        <w:div w:id="2062097670">
          <w:marLeft w:val="0"/>
          <w:marRight w:val="0"/>
          <w:marTop w:val="0"/>
          <w:marBottom w:val="0"/>
          <w:divBdr>
            <w:top w:val="none" w:sz="0" w:space="0" w:color="auto"/>
            <w:left w:val="none" w:sz="0" w:space="0" w:color="auto"/>
            <w:bottom w:val="none" w:sz="0" w:space="0" w:color="auto"/>
            <w:right w:val="none" w:sz="0" w:space="0" w:color="auto"/>
          </w:divBdr>
        </w:div>
        <w:div w:id="59835059">
          <w:marLeft w:val="0"/>
          <w:marRight w:val="0"/>
          <w:marTop w:val="0"/>
          <w:marBottom w:val="0"/>
          <w:divBdr>
            <w:top w:val="none" w:sz="0" w:space="0" w:color="auto"/>
            <w:left w:val="none" w:sz="0" w:space="0" w:color="auto"/>
            <w:bottom w:val="none" w:sz="0" w:space="0" w:color="auto"/>
            <w:right w:val="none" w:sz="0" w:space="0" w:color="auto"/>
          </w:divBdr>
        </w:div>
        <w:div w:id="622418537">
          <w:marLeft w:val="0"/>
          <w:marRight w:val="0"/>
          <w:marTop w:val="0"/>
          <w:marBottom w:val="0"/>
          <w:divBdr>
            <w:top w:val="none" w:sz="0" w:space="0" w:color="auto"/>
            <w:left w:val="none" w:sz="0" w:space="0" w:color="auto"/>
            <w:bottom w:val="none" w:sz="0" w:space="0" w:color="auto"/>
            <w:right w:val="none" w:sz="0" w:space="0" w:color="auto"/>
          </w:divBdr>
        </w:div>
        <w:div w:id="385881660">
          <w:marLeft w:val="0"/>
          <w:marRight w:val="0"/>
          <w:marTop w:val="0"/>
          <w:marBottom w:val="0"/>
          <w:divBdr>
            <w:top w:val="none" w:sz="0" w:space="0" w:color="auto"/>
            <w:left w:val="none" w:sz="0" w:space="0" w:color="auto"/>
            <w:bottom w:val="none" w:sz="0" w:space="0" w:color="auto"/>
            <w:right w:val="none" w:sz="0" w:space="0" w:color="auto"/>
          </w:divBdr>
        </w:div>
        <w:div w:id="2126920652">
          <w:marLeft w:val="0"/>
          <w:marRight w:val="0"/>
          <w:marTop w:val="0"/>
          <w:marBottom w:val="0"/>
          <w:divBdr>
            <w:top w:val="none" w:sz="0" w:space="0" w:color="auto"/>
            <w:left w:val="none" w:sz="0" w:space="0" w:color="auto"/>
            <w:bottom w:val="none" w:sz="0" w:space="0" w:color="auto"/>
            <w:right w:val="none" w:sz="0" w:space="0" w:color="auto"/>
          </w:divBdr>
        </w:div>
        <w:div w:id="756051690">
          <w:marLeft w:val="0"/>
          <w:marRight w:val="0"/>
          <w:marTop w:val="0"/>
          <w:marBottom w:val="0"/>
          <w:divBdr>
            <w:top w:val="none" w:sz="0" w:space="0" w:color="auto"/>
            <w:left w:val="none" w:sz="0" w:space="0" w:color="auto"/>
            <w:bottom w:val="none" w:sz="0" w:space="0" w:color="auto"/>
            <w:right w:val="none" w:sz="0" w:space="0" w:color="auto"/>
          </w:divBdr>
        </w:div>
        <w:div w:id="915018844">
          <w:marLeft w:val="0"/>
          <w:marRight w:val="0"/>
          <w:marTop w:val="0"/>
          <w:marBottom w:val="0"/>
          <w:divBdr>
            <w:top w:val="none" w:sz="0" w:space="0" w:color="auto"/>
            <w:left w:val="none" w:sz="0" w:space="0" w:color="auto"/>
            <w:bottom w:val="none" w:sz="0" w:space="0" w:color="auto"/>
            <w:right w:val="none" w:sz="0" w:space="0" w:color="auto"/>
          </w:divBdr>
        </w:div>
        <w:div w:id="155996729">
          <w:marLeft w:val="0"/>
          <w:marRight w:val="0"/>
          <w:marTop w:val="0"/>
          <w:marBottom w:val="0"/>
          <w:divBdr>
            <w:top w:val="none" w:sz="0" w:space="0" w:color="auto"/>
            <w:left w:val="none" w:sz="0" w:space="0" w:color="auto"/>
            <w:bottom w:val="none" w:sz="0" w:space="0" w:color="auto"/>
            <w:right w:val="none" w:sz="0" w:space="0" w:color="auto"/>
          </w:divBdr>
        </w:div>
        <w:div w:id="2036618748">
          <w:marLeft w:val="0"/>
          <w:marRight w:val="0"/>
          <w:marTop w:val="0"/>
          <w:marBottom w:val="0"/>
          <w:divBdr>
            <w:top w:val="none" w:sz="0" w:space="0" w:color="auto"/>
            <w:left w:val="none" w:sz="0" w:space="0" w:color="auto"/>
            <w:bottom w:val="none" w:sz="0" w:space="0" w:color="auto"/>
            <w:right w:val="none" w:sz="0" w:space="0" w:color="auto"/>
          </w:divBdr>
        </w:div>
        <w:div w:id="984507126">
          <w:marLeft w:val="0"/>
          <w:marRight w:val="0"/>
          <w:marTop w:val="0"/>
          <w:marBottom w:val="0"/>
          <w:divBdr>
            <w:top w:val="none" w:sz="0" w:space="0" w:color="auto"/>
            <w:left w:val="none" w:sz="0" w:space="0" w:color="auto"/>
            <w:bottom w:val="none" w:sz="0" w:space="0" w:color="auto"/>
            <w:right w:val="none" w:sz="0" w:space="0" w:color="auto"/>
          </w:divBdr>
        </w:div>
        <w:div w:id="682126268">
          <w:marLeft w:val="0"/>
          <w:marRight w:val="0"/>
          <w:marTop w:val="0"/>
          <w:marBottom w:val="0"/>
          <w:divBdr>
            <w:top w:val="none" w:sz="0" w:space="0" w:color="auto"/>
            <w:left w:val="none" w:sz="0" w:space="0" w:color="auto"/>
            <w:bottom w:val="none" w:sz="0" w:space="0" w:color="auto"/>
            <w:right w:val="none" w:sz="0" w:space="0" w:color="auto"/>
          </w:divBdr>
        </w:div>
        <w:div w:id="982738091">
          <w:marLeft w:val="0"/>
          <w:marRight w:val="0"/>
          <w:marTop w:val="0"/>
          <w:marBottom w:val="0"/>
          <w:divBdr>
            <w:top w:val="none" w:sz="0" w:space="0" w:color="auto"/>
            <w:left w:val="none" w:sz="0" w:space="0" w:color="auto"/>
            <w:bottom w:val="none" w:sz="0" w:space="0" w:color="auto"/>
            <w:right w:val="none" w:sz="0" w:space="0" w:color="auto"/>
          </w:divBdr>
        </w:div>
        <w:div w:id="409083641">
          <w:marLeft w:val="0"/>
          <w:marRight w:val="0"/>
          <w:marTop w:val="0"/>
          <w:marBottom w:val="0"/>
          <w:divBdr>
            <w:top w:val="none" w:sz="0" w:space="0" w:color="auto"/>
            <w:left w:val="none" w:sz="0" w:space="0" w:color="auto"/>
            <w:bottom w:val="none" w:sz="0" w:space="0" w:color="auto"/>
            <w:right w:val="none" w:sz="0" w:space="0" w:color="auto"/>
          </w:divBdr>
        </w:div>
        <w:div w:id="1088621420">
          <w:marLeft w:val="0"/>
          <w:marRight w:val="0"/>
          <w:marTop w:val="0"/>
          <w:marBottom w:val="0"/>
          <w:divBdr>
            <w:top w:val="none" w:sz="0" w:space="0" w:color="auto"/>
            <w:left w:val="none" w:sz="0" w:space="0" w:color="auto"/>
            <w:bottom w:val="none" w:sz="0" w:space="0" w:color="auto"/>
            <w:right w:val="none" w:sz="0" w:space="0" w:color="auto"/>
          </w:divBdr>
        </w:div>
        <w:div w:id="986592563">
          <w:marLeft w:val="0"/>
          <w:marRight w:val="0"/>
          <w:marTop w:val="0"/>
          <w:marBottom w:val="0"/>
          <w:divBdr>
            <w:top w:val="none" w:sz="0" w:space="0" w:color="auto"/>
            <w:left w:val="none" w:sz="0" w:space="0" w:color="auto"/>
            <w:bottom w:val="none" w:sz="0" w:space="0" w:color="auto"/>
            <w:right w:val="none" w:sz="0" w:space="0" w:color="auto"/>
          </w:divBdr>
        </w:div>
        <w:div w:id="1927886517">
          <w:marLeft w:val="0"/>
          <w:marRight w:val="0"/>
          <w:marTop w:val="0"/>
          <w:marBottom w:val="0"/>
          <w:divBdr>
            <w:top w:val="none" w:sz="0" w:space="0" w:color="auto"/>
            <w:left w:val="none" w:sz="0" w:space="0" w:color="auto"/>
            <w:bottom w:val="none" w:sz="0" w:space="0" w:color="auto"/>
            <w:right w:val="none" w:sz="0" w:space="0" w:color="auto"/>
          </w:divBdr>
        </w:div>
        <w:div w:id="1522430581">
          <w:marLeft w:val="0"/>
          <w:marRight w:val="0"/>
          <w:marTop w:val="0"/>
          <w:marBottom w:val="0"/>
          <w:divBdr>
            <w:top w:val="none" w:sz="0" w:space="0" w:color="auto"/>
            <w:left w:val="none" w:sz="0" w:space="0" w:color="auto"/>
            <w:bottom w:val="none" w:sz="0" w:space="0" w:color="auto"/>
            <w:right w:val="none" w:sz="0" w:space="0" w:color="auto"/>
          </w:divBdr>
        </w:div>
        <w:div w:id="563564305">
          <w:marLeft w:val="0"/>
          <w:marRight w:val="0"/>
          <w:marTop w:val="0"/>
          <w:marBottom w:val="0"/>
          <w:divBdr>
            <w:top w:val="none" w:sz="0" w:space="0" w:color="auto"/>
            <w:left w:val="none" w:sz="0" w:space="0" w:color="auto"/>
            <w:bottom w:val="none" w:sz="0" w:space="0" w:color="auto"/>
            <w:right w:val="none" w:sz="0" w:space="0" w:color="auto"/>
          </w:divBdr>
        </w:div>
        <w:div w:id="1343968129">
          <w:marLeft w:val="0"/>
          <w:marRight w:val="0"/>
          <w:marTop w:val="0"/>
          <w:marBottom w:val="0"/>
          <w:divBdr>
            <w:top w:val="none" w:sz="0" w:space="0" w:color="auto"/>
            <w:left w:val="none" w:sz="0" w:space="0" w:color="auto"/>
            <w:bottom w:val="none" w:sz="0" w:space="0" w:color="auto"/>
            <w:right w:val="none" w:sz="0" w:space="0" w:color="auto"/>
          </w:divBdr>
        </w:div>
        <w:div w:id="547256784">
          <w:marLeft w:val="0"/>
          <w:marRight w:val="0"/>
          <w:marTop w:val="0"/>
          <w:marBottom w:val="0"/>
          <w:divBdr>
            <w:top w:val="none" w:sz="0" w:space="0" w:color="auto"/>
            <w:left w:val="none" w:sz="0" w:space="0" w:color="auto"/>
            <w:bottom w:val="none" w:sz="0" w:space="0" w:color="auto"/>
            <w:right w:val="none" w:sz="0" w:space="0" w:color="auto"/>
          </w:divBdr>
        </w:div>
        <w:div w:id="1054354518">
          <w:marLeft w:val="0"/>
          <w:marRight w:val="0"/>
          <w:marTop w:val="0"/>
          <w:marBottom w:val="0"/>
          <w:divBdr>
            <w:top w:val="none" w:sz="0" w:space="0" w:color="auto"/>
            <w:left w:val="none" w:sz="0" w:space="0" w:color="auto"/>
            <w:bottom w:val="none" w:sz="0" w:space="0" w:color="auto"/>
            <w:right w:val="none" w:sz="0" w:space="0" w:color="auto"/>
          </w:divBdr>
        </w:div>
        <w:div w:id="1777171936">
          <w:marLeft w:val="0"/>
          <w:marRight w:val="0"/>
          <w:marTop w:val="0"/>
          <w:marBottom w:val="0"/>
          <w:divBdr>
            <w:top w:val="none" w:sz="0" w:space="0" w:color="auto"/>
            <w:left w:val="none" w:sz="0" w:space="0" w:color="auto"/>
            <w:bottom w:val="none" w:sz="0" w:space="0" w:color="auto"/>
            <w:right w:val="none" w:sz="0" w:space="0" w:color="auto"/>
          </w:divBdr>
        </w:div>
        <w:div w:id="398752656">
          <w:marLeft w:val="0"/>
          <w:marRight w:val="0"/>
          <w:marTop w:val="0"/>
          <w:marBottom w:val="0"/>
          <w:divBdr>
            <w:top w:val="none" w:sz="0" w:space="0" w:color="auto"/>
            <w:left w:val="none" w:sz="0" w:space="0" w:color="auto"/>
            <w:bottom w:val="none" w:sz="0" w:space="0" w:color="auto"/>
            <w:right w:val="none" w:sz="0" w:space="0" w:color="auto"/>
          </w:divBdr>
        </w:div>
        <w:div w:id="10450904">
          <w:marLeft w:val="0"/>
          <w:marRight w:val="0"/>
          <w:marTop w:val="0"/>
          <w:marBottom w:val="0"/>
          <w:divBdr>
            <w:top w:val="none" w:sz="0" w:space="0" w:color="auto"/>
            <w:left w:val="none" w:sz="0" w:space="0" w:color="auto"/>
            <w:bottom w:val="none" w:sz="0" w:space="0" w:color="auto"/>
            <w:right w:val="none" w:sz="0" w:space="0" w:color="auto"/>
          </w:divBdr>
        </w:div>
        <w:div w:id="1429738940">
          <w:marLeft w:val="0"/>
          <w:marRight w:val="0"/>
          <w:marTop w:val="0"/>
          <w:marBottom w:val="0"/>
          <w:divBdr>
            <w:top w:val="none" w:sz="0" w:space="0" w:color="auto"/>
            <w:left w:val="none" w:sz="0" w:space="0" w:color="auto"/>
            <w:bottom w:val="none" w:sz="0" w:space="0" w:color="auto"/>
            <w:right w:val="none" w:sz="0" w:space="0" w:color="auto"/>
          </w:divBdr>
        </w:div>
        <w:div w:id="1317077436">
          <w:marLeft w:val="0"/>
          <w:marRight w:val="0"/>
          <w:marTop w:val="0"/>
          <w:marBottom w:val="0"/>
          <w:divBdr>
            <w:top w:val="none" w:sz="0" w:space="0" w:color="auto"/>
            <w:left w:val="none" w:sz="0" w:space="0" w:color="auto"/>
            <w:bottom w:val="none" w:sz="0" w:space="0" w:color="auto"/>
            <w:right w:val="none" w:sz="0" w:space="0" w:color="auto"/>
          </w:divBdr>
        </w:div>
        <w:div w:id="597908514">
          <w:marLeft w:val="0"/>
          <w:marRight w:val="0"/>
          <w:marTop w:val="0"/>
          <w:marBottom w:val="0"/>
          <w:divBdr>
            <w:top w:val="none" w:sz="0" w:space="0" w:color="auto"/>
            <w:left w:val="none" w:sz="0" w:space="0" w:color="auto"/>
            <w:bottom w:val="none" w:sz="0" w:space="0" w:color="auto"/>
            <w:right w:val="none" w:sz="0" w:space="0" w:color="auto"/>
          </w:divBdr>
        </w:div>
        <w:div w:id="572013774">
          <w:marLeft w:val="0"/>
          <w:marRight w:val="0"/>
          <w:marTop w:val="0"/>
          <w:marBottom w:val="0"/>
          <w:divBdr>
            <w:top w:val="none" w:sz="0" w:space="0" w:color="auto"/>
            <w:left w:val="none" w:sz="0" w:space="0" w:color="auto"/>
            <w:bottom w:val="none" w:sz="0" w:space="0" w:color="auto"/>
            <w:right w:val="none" w:sz="0" w:space="0" w:color="auto"/>
          </w:divBdr>
        </w:div>
        <w:div w:id="1356496369">
          <w:marLeft w:val="0"/>
          <w:marRight w:val="0"/>
          <w:marTop w:val="0"/>
          <w:marBottom w:val="0"/>
          <w:divBdr>
            <w:top w:val="none" w:sz="0" w:space="0" w:color="auto"/>
            <w:left w:val="none" w:sz="0" w:space="0" w:color="auto"/>
            <w:bottom w:val="none" w:sz="0" w:space="0" w:color="auto"/>
            <w:right w:val="none" w:sz="0" w:space="0" w:color="auto"/>
          </w:divBdr>
        </w:div>
        <w:div w:id="1019357087">
          <w:marLeft w:val="0"/>
          <w:marRight w:val="0"/>
          <w:marTop w:val="0"/>
          <w:marBottom w:val="0"/>
          <w:divBdr>
            <w:top w:val="none" w:sz="0" w:space="0" w:color="auto"/>
            <w:left w:val="none" w:sz="0" w:space="0" w:color="auto"/>
            <w:bottom w:val="none" w:sz="0" w:space="0" w:color="auto"/>
            <w:right w:val="none" w:sz="0" w:space="0" w:color="auto"/>
          </w:divBdr>
        </w:div>
        <w:div w:id="381489745">
          <w:marLeft w:val="0"/>
          <w:marRight w:val="0"/>
          <w:marTop w:val="0"/>
          <w:marBottom w:val="0"/>
          <w:divBdr>
            <w:top w:val="none" w:sz="0" w:space="0" w:color="auto"/>
            <w:left w:val="none" w:sz="0" w:space="0" w:color="auto"/>
            <w:bottom w:val="none" w:sz="0" w:space="0" w:color="auto"/>
            <w:right w:val="none" w:sz="0" w:space="0" w:color="auto"/>
          </w:divBdr>
        </w:div>
        <w:div w:id="1125386267">
          <w:marLeft w:val="0"/>
          <w:marRight w:val="0"/>
          <w:marTop w:val="0"/>
          <w:marBottom w:val="0"/>
          <w:divBdr>
            <w:top w:val="none" w:sz="0" w:space="0" w:color="auto"/>
            <w:left w:val="none" w:sz="0" w:space="0" w:color="auto"/>
            <w:bottom w:val="none" w:sz="0" w:space="0" w:color="auto"/>
            <w:right w:val="none" w:sz="0" w:space="0" w:color="auto"/>
          </w:divBdr>
        </w:div>
        <w:div w:id="1938564407">
          <w:marLeft w:val="0"/>
          <w:marRight w:val="0"/>
          <w:marTop w:val="0"/>
          <w:marBottom w:val="0"/>
          <w:divBdr>
            <w:top w:val="none" w:sz="0" w:space="0" w:color="auto"/>
            <w:left w:val="none" w:sz="0" w:space="0" w:color="auto"/>
            <w:bottom w:val="none" w:sz="0" w:space="0" w:color="auto"/>
            <w:right w:val="none" w:sz="0" w:space="0" w:color="auto"/>
          </w:divBdr>
        </w:div>
        <w:div w:id="1012956148">
          <w:marLeft w:val="0"/>
          <w:marRight w:val="0"/>
          <w:marTop w:val="0"/>
          <w:marBottom w:val="0"/>
          <w:divBdr>
            <w:top w:val="none" w:sz="0" w:space="0" w:color="auto"/>
            <w:left w:val="none" w:sz="0" w:space="0" w:color="auto"/>
            <w:bottom w:val="none" w:sz="0" w:space="0" w:color="auto"/>
            <w:right w:val="none" w:sz="0" w:space="0" w:color="auto"/>
          </w:divBdr>
        </w:div>
        <w:div w:id="1644919572">
          <w:marLeft w:val="0"/>
          <w:marRight w:val="0"/>
          <w:marTop w:val="0"/>
          <w:marBottom w:val="0"/>
          <w:divBdr>
            <w:top w:val="none" w:sz="0" w:space="0" w:color="auto"/>
            <w:left w:val="none" w:sz="0" w:space="0" w:color="auto"/>
            <w:bottom w:val="none" w:sz="0" w:space="0" w:color="auto"/>
            <w:right w:val="none" w:sz="0" w:space="0" w:color="auto"/>
          </w:divBdr>
        </w:div>
        <w:div w:id="1454515787">
          <w:marLeft w:val="0"/>
          <w:marRight w:val="0"/>
          <w:marTop w:val="0"/>
          <w:marBottom w:val="0"/>
          <w:divBdr>
            <w:top w:val="none" w:sz="0" w:space="0" w:color="auto"/>
            <w:left w:val="none" w:sz="0" w:space="0" w:color="auto"/>
            <w:bottom w:val="none" w:sz="0" w:space="0" w:color="auto"/>
            <w:right w:val="none" w:sz="0" w:space="0" w:color="auto"/>
          </w:divBdr>
        </w:div>
        <w:div w:id="795760169">
          <w:marLeft w:val="0"/>
          <w:marRight w:val="0"/>
          <w:marTop w:val="0"/>
          <w:marBottom w:val="0"/>
          <w:divBdr>
            <w:top w:val="none" w:sz="0" w:space="0" w:color="auto"/>
            <w:left w:val="none" w:sz="0" w:space="0" w:color="auto"/>
            <w:bottom w:val="none" w:sz="0" w:space="0" w:color="auto"/>
            <w:right w:val="none" w:sz="0" w:space="0" w:color="auto"/>
          </w:divBdr>
        </w:div>
        <w:div w:id="367416237">
          <w:marLeft w:val="0"/>
          <w:marRight w:val="0"/>
          <w:marTop w:val="0"/>
          <w:marBottom w:val="0"/>
          <w:divBdr>
            <w:top w:val="none" w:sz="0" w:space="0" w:color="auto"/>
            <w:left w:val="none" w:sz="0" w:space="0" w:color="auto"/>
            <w:bottom w:val="none" w:sz="0" w:space="0" w:color="auto"/>
            <w:right w:val="none" w:sz="0" w:space="0" w:color="auto"/>
          </w:divBdr>
        </w:div>
        <w:div w:id="1103257924">
          <w:marLeft w:val="0"/>
          <w:marRight w:val="0"/>
          <w:marTop w:val="0"/>
          <w:marBottom w:val="0"/>
          <w:divBdr>
            <w:top w:val="none" w:sz="0" w:space="0" w:color="auto"/>
            <w:left w:val="none" w:sz="0" w:space="0" w:color="auto"/>
            <w:bottom w:val="none" w:sz="0" w:space="0" w:color="auto"/>
            <w:right w:val="none" w:sz="0" w:space="0" w:color="auto"/>
          </w:divBdr>
        </w:div>
        <w:div w:id="1340503294">
          <w:marLeft w:val="0"/>
          <w:marRight w:val="0"/>
          <w:marTop w:val="0"/>
          <w:marBottom w:val="0"/>
          <w:divBdr>
            <w:top w:val="none" w:sz="0" w:space="0" w:color="auto"/>
            <w:left w:val="none" w:sz="0" w:space="0" w:color="auto"/>
            <w:bottom w:val="none" w:sz="0" w:space="0" w:color="auto"/>
            <w:right w:val="none" w:sz="0" w:space="0" w:color="auto"/>
          </w:divBdr>
          <w:divsChild>
            <w:div w:id="378170506">
              <w:marLeft w:val="0"/>
              <w:marRight w:val="0"/>
              <w:marTop w:val="0"/>
              <w:marBottom w:val="0"/>
              <w:divBdr>
                <w:top w:val="none" w:sz="0" w:space="0" w:color="auto"/>
                <w:left w:val="none" w:sz="0" w:space="0" w:color="auto"/>
                <w:bottom w:val="none" w:sz="0" w:space="0" w:color="auto"/>
                <w:right w:val="none" w:sz="0" w:space="0" w:color="auto"/>
              </w:divBdr>
            </w:div>
            <w:div w:id="421416088">
              <w:marLeft w:val="0"/>
              <w:marRight w:val="0"/>
              <w:marTop w:val="0"/>
              <w:marBottom w:val="0"/>
              <w:divBdr>
                <w:top w:val="none" w:sz="0" w:space="0" w:color="auto"/>
                <w:left w:val="none" w:sz="0" w:space="0" w:color="auto"/>
                <w:bottom w:val="none" w:sz="0" w:space="0" w:color="auto"/>
                <w:right w:val="none" w:sz="0" w:space="0" w:color="auto"/>
              </w:divBdr>
            </w:div>
            <w:div w:id="20540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3227</Words>
  <Characters>17439</Characters>
  <Application>Microsoft Office Word</Application>
  <DocSecurity>0</DocSecurity>
  <Lines>393</Lines>
  <Paragraphs>121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20705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2013-08-02T19:43:00Z</cp:lastPrinted>
  <dcterms:created xsi:type="dcterms:W3CDTF">2013-08-02T20:40:00Z</dcterms:created>
  <dcterms:modified xsi:type="dcterms:W3CDTF">2013-08-02T20:40:00Z</dcterms:modified>
  <cp:category> </cp:category>
  <cp:contentStatus> </cp:contentStatus>
</cp:coreProperties>
</file>