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C20" w:rsidRDefault="00BE7C20" w:rsidP="00BE7C20">
      <w:pPr>
        <w:jc w:val="center"/>
        <w:rPr>
          <w:rFonts w:cs="Arial"/>
          <w:b/>
          <w:smallCaps/>
          <w:sz w:val="28"/>
        </w:rPr>
      </w:pPr>
      <w:r>
        <w:rPr>
          <w:rFonts w:cs="Arial"/>
          <w:b/>
          <w:smallCaps/>
          <w:sz w:val="28"/>
        </w:rPr>
        <w:t>Before</w:t>
      </w:r>
    </w:p>
    <w:p w:rsidR="00BE7C20" w:rsidRDefault="00BE7C20" w:rsidP="00BE7C20">
      <w:pPr>
        <w:jc w:val="center"/>
        <w:rPr>
          <w:rFonts w:cs="Arial"/>
          <w:b/>
          <w:smallCaps/>
          <w:sz w:val="28"/>
        </w:rPr>
      </w:pPr>
      <w:r>
        <w:rPr>
          <w:rFonts w:cs="Arial"/>
          <w:b/>
          <w:smallCaps/>
          <w:sz w:val="28"/>
        </w:rPr>
        <w:t>The Public Utilities Commission of Ohio</w:t>
      </w:r>
    </w:p>
    <w:p w:rsidR="00BE7C20" w:rsidRPr="00D95797" w:rsidRDefault="00BE7C20" w:rsidP="00BE7C20">
      <w:pPr>
        <w:autoSpaceDE w:val="0"/>
        <w:autoSpaceDN w:val="0"/>
        <w:adjustRightInd w:val="0"/>
        <w:rPr>
          <w:rFonts w:cs="Arial"/>
        </w:rPr>
      </w:pPr>
    </w:p>
    <w:p w:rsidR="00BE7C20" w:rsidRPr="00D95797" w:rsidRDefault="00BE7C20" w:rsidP="00BE7C20">
      <w:pPr>
        <w:autoSpaceDE w:val="0"/>
        <w:autoSpaceDN w:val="0"/>
        <w:adjustRightInd w:val="0"/>
        <w:rPr>
          <w:rFonts w:cs="Arial"/>
        </w:rPr>
      </w:pPr>
    </w:p>
    <w:p w:rsidR="00BE7C20" w:rsidRDefault="00BE7C20" w:rsidP="00BE7C20">
      <w:pPr>
        <w:pStyle w:val="BodyText"/>
        <w:tabs>
          <w:tab w:val="clear" w:pos="5040"/>
          <w:tab w:val="left" w:pos="4680"/>
          <w:tab w:val="left" w:pos="5760"/>
        </w:tabs>
        <w:rPr>
          <w:rFonts w:cs="Arial"/>
          <w:b w:val="0"/>
          <w:smallCaps w:val="0"/>
          <w:sz w:val="24"/>
          <w:szCs w:val="24"/>
        </w:rPr>
      </w:pPr>
      <w:r>
        <w:rPr>
          <w:rFonts w:cs="Arial"/>
          <w:b w:val="0"/>
          <w:smallCaps w:val="0"/>
          <w:sz w:val="24"/>
          <w:szCs w:val="24"/>
        </w:rPr>
        <w:t>In the Matter of the Application of</w:t>
      </w:r>
      <w:r>
        <w:rPr>
          <w:rFonts w:cs="Arial"/>
          <w:b w:val="0"/>
          <w:smallCaps w:val="0"/>
          <w:sz w:val="24"/>
          <w:szCs w:val="24"/>
        </w:rPr>
        <w:tab/>
        <w:t>)</w:t>
      </w:r>
      <w:r>
        <w:rPr>
          <w:rFonts w:cs="Arial"/>
          <w:b w:val="0"/>
          <w:smallCaps w:val="0"/>
          <w:sz w:val="24"/>
          <w:szCs w:val="24"/>
        </w:rPr>
        <w:tab/>
        <w:t>Case No. 13-2420-EL-UNC</w:t>
      </w:r>
    </w:p>
    <w:p w:rsidR="00BE7C20" w:rsidRDefault="00BE7C20" w:rsidP="00BE7C20">
      <w:pPr>
        <w:pStyle w:val="BodyText"/>
        <w:tabs>
          <w:tab w:val="clear" w:pos="5040"/>
          <w:tab w:val="left" w:pos="4680"/>
          <w:tab w:val="left" w:pos="5760"/>
        </w:tabs>
        <w:rPr>
          <w:rFonts w:cs="Arial"/>
          <w:b w:val="0"/>
          <w:smallCaps w:val="0"/>
          <w:sz w:val="24"/>
          <w:szCs w:val="24"/>
        </w:rPr>
      </w:pPr>
      <w:r>
        <w:rPr>
          <w:rFonts w:cs="Arial"/>
          <w:b w:val="0"/>
          <w:smallCaps w:val="0"/>
          <w:sz w:val="24"/>
          <w:szCs w:val="24"/>
        </w:rPr>
        <w:t>The Dayton Power and Light Company</w:t>
      </w:r>
      <w:r>
        <w:rPr>
          <w:rFonts w:cs="Arial"/>
          <w:b w:val="0"/>
          <w:smallCaps w:val="0"/>
          <w:sz w:val="24"/>
          <w:szCs w:val="24"/>
        </w:rPr>
        <w:tab/>
        <w:t>)</w:t>
      </w:r>
    </w:p>
    <w:p w:rsidR="00BE7C20" w:rsidRDefault="00BE7C20" w:rsidP="00BE7C20">
      <w:pPr>
        <w:pStyle w:val="BodyText"/>
        <w:tabs>
          <w:tab w:val="clear" w:pos="5040"/>
          <w:tab w:val="left" w:pos="4680"/>
          <w:tab w:val="left" w:pos="5760"/>
        </w:tabs>
        <w:rPr>
          <w:rFonts w:cs="Arial"/>
          <w:b w:val="0"/>
          <w:smallCaps w:val="0"/>
          <w:sz w:val="24"/>
          <w:szCs w:val="24"/>
        </w:rPr>
      </w:pPr>
      <w:r>
        <w:rPr>
          <w:rFonts w:cs="Arial"/>
          <w:b w:val="0"/>
          <w:smallCaps w:val="0"/>
          <w:sz w:val="24"/>
          <w:szCs w:val="24"/>
        </w:rPr>
        <w:t>For Authority to Transfer or Sell its</w:t>
      </w:r>
      <w:r>
        <w:rPr>
          <w:rFonts w:cs="Arial"/>
          <w:b w:val="0"/>
          <w:smallCaps w:val="0"/>
          <w:sz w:val="24"/>
          <w:szCs w:val="24"/>
        </w:rPr>
        <w:tab/>
        <w:t>)</w:t>
      </w:r>
    </w:p>
    <w:p w:rsidR="00BE7C20" w:rsidRDefault="00BE7C20" w:rsidP="00BE7C20">
      <w:pPr>
        <w:pStyle w:val="BodyText"/>
        <w:tabs>
          <w:tab w:val="clear" w:pos="5040"/>
          <w:tab w:val="left" w:pos="4680"/>
          <w:tab w:val="left" w:pos="5760"/>
        </w:tabs>
        <w:rPr>
          <w:rFonts w:cs="Arial"/>
          <w:b w:val="0"/>
          <w:smallCaps w:val="0"/>
          <w:sz w:val="24"/>
          <w:szCs w:val="24"/>
        </w:rPr>
      </w:pPr>
      <w:r>
        <w:rPr>
          <w:rFonts w:cs="Arial"/>
          <w:b w:val="0"/>
          <w:smallCaps w:val="0"/>
          <w:sz w:val="24"/>
          <w:szCs w:val="24"/>
        </w:rPr>
        <w:t>Generation Assets.</w:t>
      </w:r>
      <w:r>
        <w:rPr>
          <w:rFonts w:cs="Arial"/>
          <w:b w:val="0"/>
          <w:smallCaps w:val="0"/>
          <w:sz w:val="24"/>
          <w:szCs w:val="24"/>
        </w:rPr>
        <w:tab/>
        <w:t>)</w:t>
      </w:r>
    </w:p>
    <w:p w:rsidR="00BE7C20" w:rsidRPr="00BE7C20" w:rsidRDefault="00BE7C20" w:rsidP="00BE7C20">
      <w:pPr>
        <w:pStyle w:val="BodyText"/>
        <w:tabs>
          <w:tab w:val="clear" w:pos="5040"/>
          <w:tab w:val="left" w:pos="4680"/>
          <w:tab w:val="left" w:pos="5760"/>
        </w:tabs>
        <w:rPr>
          <w:rFonts w:cs="Arial"/>
          <w:b w:val="0"/>
          <w:smallCaps w:val="0"/>
          <w:sz w:val="24"/>
          <w:szCs w:val="24"/>
        </w:rPr>
      </w:pPr>
    </w:p>
    <w:p w:rsidR="00BE7C20" w:rsidRPr="00A118C1" w:rsidRDefault="00BE7C20" w:rsidP="00BE7C20">
      <w:pPr>
        <w:pStyle w:val="BodyText"/>
        <w:rPr>
          <w:rFonts w:cs="Arial"/>
          <w:b w:val="0"/>
        </w:rPr>
      </w:pPr>
    </w:p>
    <w:p w:rsidR="00BE7C20" w:rsidRPr="00443DD4" w:rsidRDefault="00BE7C20" w:rsidP="00BE7C20">
      <w:pPr>
        <w:pStyle w:val="BodyText"/>
        <w:pBdr>
          <w:top w:val="single" w:sz="12" w:space="1" w:color="auto"/>
        </w:pBdr>
        <w:rPr>
          <w:rFonts w:cs="Arial"/>
          <w:sz w:val="28"/>
          <w:szCs w:val="28"/>
        </w:rPr>
      </w:pPr>
    </w:p>
    <w:p w:rsidR="00BE7C20" w:rsidRPr="004439F6" w:rsidRDefault="008A42D3" w:rsidP="00BE7C20">
      <w:pPr>
        <w:jc w:val="center"/>
        <w:rPr>
          <w:rFonts w:cs="Arial"/>
          <w:b/>
          <w:smallCaps/>
          <w:sz w:val="28"/>
          <w:szCs w:val="28"/>
        </w:rPr>
      </w:pPr>
      <w:r w:rsidRPr="004439F6">
        <w:rPr>
          <w:rFonts w:cs="Arial"/>
          <w:b/>
          <w:smallCaps/>
          <w:sz w:val="28"/>
          <w:szCs w:val="28"/>
        </w:rPr>
        <w:t>C</w:t>
      </w:r>
      <w:r w:rsidR="00701293" w:rsidRPr="004439F6">
        <w:rPr>
          <w:rFonts w:cs="Arial"/>
          <w:b/>
          <w:smallCaps/>
          <w:sz w:val="28"/>
          <w:szCs w:val="28"/>
        </w:rPr>
        <w:t xml:space="preserve">omments of </w:t>
      </w:r>
      <w:r w:rsidR="00BE7C20" w:rsidRPr="004439F6">
        <w:rPr>
          <w:rFonts w:cs="Arial"/>
          <w:b/>
          <w:smallCaps/>
          <w:sz w:val="28"/>
          <w:szCs w:val="28"/>
        </w:rPr>
        <w:t>Industrial Energy Users-Ohio</w:t>
      </w:r>
    </w:p>
    <w:p w:rsidR="00BE7C20" w:rsidRPr="00443DD4" w:rsidRDefault="00BE7C20" w:rsidP="00BE7C20">
      <w:pPr>
        <w:pBdr>
          <w:bottom w:val="single" w:sz="12" w:space="1" w:color="auto"/>
        </w:pBdr>
        <w:jc w:val="both"/>
        <w:rPr>
          <w:rFonts w:cs="Arial"/>
          <w:sz w:val="28"/>
          <w:szCs w:val="28"/>
        </w:rPr>
      </w:pPr>
    </w:p>
    <w:p w:rsidR="00BE7C20" w:rsidRDefault="00BE7C20" w:rsidP="00BE7C20">
      <w:pPr>
        <w:jc w:val="both"/>
        <w:rPr>
          <w:rFonts w:cs="Arial"/>
        </w:rPr>
      </w:pPr>
    </w:p>
    <w:p w:rsidR="00BE7C20" w:rsidRDefault="00BE7C20" w:rsidP="00BE7C20">
      <w:pPr>
        <w:tabs>
          <w:tab w:val="left" w:pos="4320"/>
          <w:tab w:val="right" w:pos="8640"/>
        </w:tabs>
        <w:ind w:left="4320"/>
        <w:jc w:val="both"/>
        <w:rPr>
          <w:rFonts w:cs="Arial"/>
        </w:rPr>
      </w:pPr>
    </w:p>
    <w:p w:rsidR="00BE7C20" w:rsidRDefault="00BE7C20" w:rsidP="00BE7C20">
      <w:pPr>
        <w:tabs>
          <w:tab w:val="left" w:pos="4320"/>
          <w:tab w:val="right" w:pos="8640"/>
        </w:tabs>
        <w:ind w:left="4320"/>
        <w:jc w:val="both"/>
        <w:rPr>
          <w:rFonts w:cs="Arial"/>
        </w:rPr>
      </w:pPr>
    </w:p>
    <w:p w:rsidR="00BE7C20" w:rsidRDefault="00BE7C20" w:rsidP="00BE7C20">
      <w:pPr>
        <w:tabs>
          <w:tab w:val="left" w:pos="4320"/>
          <w:tab w:val="right" w:pos="8640"/>
        </w:tabs>
        <w:ind w:left="4320"/>
        <w:jc w:val="both"/>
        <w:rPr>
          <w:rFonts w:cs="Arial"/>
        </w:rPr>
      </w:pPr>
    </w:p>
    <w:p w:rsidR="00BE7C20" w:rsidRDefault="00BE7C20" w:rsidP="00BE7C20">
      <w:pPr>
        <w:tabs>
          <w:tab w:val="left" w:pos="4320"/>
          <w:tab w:val="right" w:pos="8640"/>
        </w:tabs>
        <w:ind w:left="4320"/>
        <w:jc w:val="both"/>
        <w:rPr>
          <w:rFonts w:cs="Arial"/>
        </w:rPr>
      </w:pPr>
    </w:p>
    <w:p w:rsidR="00BE7C20" w:rsidRDefault="00BE7C20" w:rsidP="00BE7C20">
      <w:pPr>
        <w:tabs>
          <w:tab w:val="left" w:pos="4320"/>
          <w:tab w:val="right" w:pos="8640"/>
        </w:tabs>
        <w:ind w:left="4320"/>
        <w:jc w:val="both"/>
        <w:rPr>
          <w:rFonts w:cs="Arial"/>
        </w:rPr>
      </w:pPr>
    </w:p>
    <w:p w:rsidR="00BE7C20" w:rsidRDefault="00BE7C20" w:rsidP="00BE7C20">
      <w:pPr>
        <w:tabs>
          <w:tab w:val="left" w:pos="4320"/>
          <w:tab w:val="right" w:pos="8640"/>
        </w:tabs>
        <w:ind w:left="4320"/>
        <w:jc w:val="both"/>
        <w:rPr>
          <w:rFonts w:cs="Arial"/>
        </w:rPr>
      </w:pPr>
    </w:p>
    <w:p w:rsidR="00BE7C20" w:rsidRDefault="00BE7C20" w:rsidP="00BE7C20">
      <w:pPr>
        <w:tabs>
          <w:tab w:val="left" w:pos="4320"/>
          <w:tab w:val="right" w:pos="8640"/>
        </w:tabs>
        <w:ind w:left="4320"/>
        <w:jc w:val="both"/>
        <w:rPr>
          <w:rFonts w:cs="Arial"/>
        </w:rPr>
      </w:pPr>
    </w:p>
    <w:p w:rsidR="00BE7C20" w:rsidRDefault="00BE7C20" w:rsidP="00BE7C20">
      <w:pPr>
        <w:tabs>
          <w:tab w:val="left" w:pos="4320"/>
          <w:tab w:val="right" w:pos="8640"/>
        </w:tabs>
        <w:ind w:left="4320"/>
        <w:jc w:val="both"/>
        <w:rPr>
          <w:rFonts w:cs="Arial"/>
        </w:rPr>
      </w:pPr>
    </w:p>
    <w:p w:rsidR="00BE7C20" w:rsidRDefault="00BE7C20" w:rsidP="00BE7C20">
      <w:pPr>
        <w:tabs>
          <w:tab w:val="left" w:pos="4320"/>
          <w:tab w:val="right" w:pos="8640"/>
        </w:tabs>
        <w:ind w:left="4320"/>
        <w:jc w:val="both"/>
        <w:rPr>
          <w:rFonts w:cs="Arial"/>
        </w:rPr>
      </w:pPr>
    </w:p>
    <w:p w:rsidR="00BE7C20" w:rsidRDefault="00BE7C20" w:rsidP="00BE7C20">
      <w:pPr>
        <w:tabs>
          <w:tab w:val="left" w:pos="4320"/>
          <w:tab w:val="right" w:pos="8640"/>
        </w:tabs>
        <w:ind w:left="4320"/>
        <w:jc w:val="both"/>
        <w:rPr>
          <w:rFonts w:cs="Arial"/>
        </w:rPr>
      </w:pPr>
    </w:p>
    <w:p w:rsidR="00BE7C20" w:rsidRDefault="00BE7C20" w:rsidP="00BE7C20">
      <w:pPr>
        <w:tabs>
          <w:tab w:val="left" w:pos="4320"/>
          <w:tab w:val="right" w:pos="8640"/>
        </w:tabs>
        <w:ind w:left="4320"/>
        <w:jc w:val="both"/>
        <w:rPr>
          <w:rFonts w:cs="Arial"/>
        </w:rPr>
      </w:pPr>
    </w:p>
    <w:p w:rsidR="00BE7C20" w:rsidRDefault="00BE7C20" w:rsidP="00BE7C20">
      <w:pPr>
        <w:tabs>
          <w:tab w:val="left" w:pos="4320"/>
          <w:tab w:val="right" w:pos="8640"/>
        </w:tabs>
        <w:ind w:left="4320"/>
        <w:jc w:val="both"/>
        <w:rPr>
          <w:rFonts w:cs="Arial"/>
        </w:rPr>
      </w:pPr>
    </w:p>
    <w:p w:rsidR="00BE7C20" w:rsidRDefault="00BE7C20" w:rsidP="00BE7C20">
      <w:pPr>
        <w:tabs>
          <w:tab w:val="left" w:pos="4320"/>
          <w:tab w:val="right" w:pos="8640"/>
        </w:tabs>
        <w:ind w:left="4320"/>
        <w:jc w:val="both"/>
        <w:rPr>
          <w:rFonts w:cs="Arial"/>
        </w:rPr>
      </w:pPr>
    </w:p>
    <w:p w:rsidR="00BE7C20" w:rsidRPr="00FA702C" w:rsidRDefault="00BE7C20" w:rsidP="00BE7C20">
      <w:pPr>
        <w:tabs>
          <w:tab w:val="left" w:pos="4320"/>
          <w:tab w:val="right" w:pos="8640"/>
        </w:tabs>
        <w:ind w:left="4320"/>
        <w:jc w:val="both"/>
        <w:rPr>
          <w:rFonts w:cs="Arial"/>
          <w:sz w:val="24"/>
          <w:szCs w:val="24"/>
        </w:rPr>
      </w:pPr>
      <w:r w:rsidRPr="00FA702C">
        <w:rPr>
          <w:rFonts w:cs="Arial"/>
          <w:sz w:val="24"/>
          <w:szCs w:val="24"/>
        </w:rPr>
        <w:t>Samuel C. Randazzo (Counsel of Record)</w:t>
      </w:r>
    </w:p>
    <w:p w:rsidR="00BE7C20" w:rsidRPr="00FA702C" w:rsidRDefault="00BE7C20" w:rsidP="00BE7C20">
      <w:pPr>
        <w:pStyle w:val="BodyText3"/>
        <w:widowControl w:val="0"/>
        <w:tabs>
          <w:tab w:val="left" w:pos="4320"/>
        </w:tabs>
        <w:spacing w:after="0"/>
        <w:ind w:left="4320"/>
        <w:jc w:val="both"/>
        <w:rPr>
          <w:rFonts w:cs="Arial"/>
          <w:bCs/>
          <w:sz w:val="24"/>
          <w:szCs w:val="24"/>
        </w:rPr>
      </w:pPr>
      <w:r w:rsidRPr="00FA702C">
        <w:rPr>
          <w:rFonts w:cs="Arial"/>
          <w:bCs/>
          <w:sz w:val="24"/>
          <w:szCs w:val="24"/>
        </w:rPr>
        <w:t>Frank P. Darr</w:t>
      </w:r>
    </w:p>
    <w:p w:rsidR="00BE7C20" w:rsidRPr="00FA702C" w:rsidRDefault="00BE7C20" w:rsidP="00BE7C20">
      <w:pPr>
        <w:pStyle w:val="BodyText3"/>
        <w:widowControl w:val="0"/>
        <w:tabs>
          <w:tab w:val="left" w:pos="4320"/>
        </w:tabs>
        <w:spacing w:after="0"/>
        <w:ind w:left="4320"/>
        <w:jc w:val="both"/>
        <w:rPr>
          <w:rFonts w:cs="Arial"/>
          <w:bCs/>
          <w:sz w:val="24"/>
          <w:szCs w:val="24"/>
        </w:rPr>
      </w:pPr>
      <w:r w:rsidRPr="00FA702C">
        <w:rPr>
          <w:rFonts w:cs="Arial"/>
          <w:bCs/>
          <w:sz w:val="24"/>
          <w:szCs w:val="24"/>
        </w:rPr>
        <w:t>Joseph E. Oliker</w:t>
      </w:r>
    </w:p>
    <w:p w:rsidR="00BE7C20" w:rsidRPr="00FA702C" w:rsidRDefault="00BE7C20" w:rsidP="00BE7C20">
      <w:pPr>
        <w:pStyle w:val="BodyText3"/>
        <w:widowControl w:val="0"/>
        <w:tabs>
          <w:tab w:val="left" w:pos="4320"/>
        </w:tabs>
        <w:spacing w:after="0"/>
        <w:ind w:left="4320"/>
        <w:jc w:val="both"/>
        <w:rPr>
          <w:rFonts w:cs="Arial"/>
          <w:b/>
          <w:bCs/>
          <w:sz w:val="24"/>
          <w:szCs w:val="24"/>
        </w:rPr>
      </w:pPr>
      <w:r w:rsidRPr="00FA702C">
        <w:rPr>
          <w:rFonts w:cs="Arial"/>
          <w:bCs/>
          <w:sz w:val="24"/>
          <w:szCs w:val="24"/>
        </w:rPr>
        <w:t>Matthew R. Pritchard</w:t>
      </w:r>
    </w:p>
    <w:p w:rsidR="00BE7C20" w:rsidRPr="00FA702C" w:rsidRDefault="00BE7C20" w:rsidP="00BE7C20">
      <w:pPr>
        <w:pStyle w:val="BodyText3"/>
        <w:widowControl w:val="0"/>
        <w:tabs>
          <w:tab w:val="left" w:pos="4320"/>
        </w:tabs>
        <w:spacing w:after="0"/>
        <w:ind w:left="4320"/>
        <w:jc w:val="both"/>
        <w:rPr>
          <w:rFonts w:cs="Arial"/>
          <w:b/>
          <w:bCs/>
          <w:smallCaps/>
          <w:sz w:val="24"/>
          <w:szCs w:val="24"/>
        </w:rPr>
      </w:pPr>
      <w:r w:rsidRPr="00FA702C">
        <w:rPr>
          <w:rFonts w:cs="Arial"/>
          <w:bCs/>
          <w:smallCaps/>
          <w:sz w:val="24"/>
          <w:szCs w:val="24"/>
        </w:rPr>
        <w:t>McNees Wallace &amp; Nurick LLC</w:t>
      </w:r>
    </w:p>
    <w:p w:rsidR="00BE7C20" w:rsidRPr="00FA702C" w:rsidRDefault="00BE7C20" w:rsidP="00BE7C20">
      <w:pPr>
        <w:pStyle w:val="BodyText3"/>
        <w:widowControl w:val="0"/>
        <w:tabs>
          <w:tab w:val="left" w:pos="4320"/>
        </w:tabs>
        <w:spacing w:after="0"/>
        <w:ind w:left="4320"/>
        <w:jc w:val="both"/>
        <w:rPr>
          <w:rFonts w:cs="Arial"/>
          <w:b/>
          <w:bCs/>
          <w:sz w:val="24"/>
          <w:szCs w:val="24"/>
        </w:rPr>
      </w:pPr>
      <w:r w:rsidRPr="00FA702C">
        <w:rPr>
          <w:rFonts w:cs="Arial"/>
          <w:bCs/>
          <w:sz w:val="24"/>
          <w:szCs w:val="24"/>
        </w:rPr>
        <w:t>21 East State Street, 17</w:t>
      </w:r>
      <w:r w:rsidRPr="00FA702C">
        <w:rPr>
          <w:rFonts w:cs="Arial"/>
          <w:bCs/>
          <w:sz w:val="24"/>
          <w:szCs w:val="24"/>
          <w:vertAlign w:val="superscript"/>
        </w:rPr>
        <w:t>TH</w:t>
      </w:r>
      <w:r w:rsidRPr="00FA702C">
        <w:rPr>
          <w:rFonts w:cs="Arial"/>
          <w:bCs/>
          <w:sz w:val="24"/>
          <w:szCs w:val="24"/>
        </w:rPr>
        <w:t xml:space="preserve"> Floor</w:t>
      </w:r>
    </w:p>
    <w:p w:rsidR="00BE7C20" w:rsidRPr="00FA702C" w:rsidRDefault="00BE7C20" w:rsidP="00BE7C20">
      <w:pPr>
        <w:pStyle w:val="BodyText"/>
        <w:tabs>
          <w:tab w:val="left" w:pos="4320"/>
        </w:tabs>
        <w:ind w:left="4320"/>
        <w:rPr>
          <w:b w:val="0"/>
          <w:smallCaps w:val="0"/>
          <w:sz w:val="24"/>
          <w:szCs w:val="24"/>
        </w:rPr>
      </w:pPr>
      <w:r w:rsidRPr="00FA702C">
        <w:rPr>
          <w:b w:val="0"/>
          <w:smallCaps w:val="0"/>
          <w:sz w:val="24"/>
          <w:szCs w:val="24"/>
        </w:rPr>
        <w:t>Columbus, OH  43215</w:t>
      </w:r>
    </w:p>
    <w:p w:rsidR="00BE7C20" w:rsidRPr="00FA702C" w:rsidRDefault="00BE7C20" w:rsidP="00BE7C20">
      <w:pPr>
        <w:pStyle w:val="BodyText"/>
        <w:tabs>
          <w:tab w:val="left" w:pos="4320"/>
        </w:tabs>
        <w:ind w:left="4320"/>
        <w:rPr>
          <w:b w:val="0"/>
          <w:smallCaps w:val="0"/>
          <w:sz w:val="24"/>
          <w:szCs w:val="24"/>
        </w:rPr>
      </w:pPr>
      <w:r w:rsidRPr="00FA702C">
        <w:rPr>
          <w:b w:val="0"/>
          <w:smallCaps w:val="0"/>
          <w:sz w:val="24"/>
          <w:szCs w:val="24"/>
        </w:rPr>
        <w:t>Telephone:  (614) 469-8000</w:t>
      </w:r>
    </w:p>
    <w:p w:rsidR="00BE7C20" w:rsidRPr="00FA702C" w:rsidRDefault="00BE7C20" w:rsidP="00BE7C20">
      <w:pPr>
        <w:pStyle w:val="BodyText"/>
        <w:tabs>
          <w:tab w:val="left" w:pos="4320"/>
        </w:tabs>
        <w:ind w:left="4320"/>
        <w:rPr>
          <w:b w:val="0"/>
          <w:smallCaps w:val="0"/>
          <w:sz w:val="24"/>
          <w:szCs w:val="24"/>
        </w:rPr>
      </w:pPr>
      <w:r w:rsidRPr="00FA702C">
        <w:rPr>
          <w:b w:val="0"/>
          <w:smallCaps w:val="0"/>
          <w:sz w:val="24"/>
          <w:szCs w:val="24"/>
        </w:rPr>
        <w:t>Telecopier:  (614) 469-4653</w:t>
      </w:r>
    </w:p>
    <w:p w:rsidR="00BE7C20" w:rsidRPr="00FA702C" w:rsidRDefault="00BE7C20" w:rsidP="00BE7C20">
      <w:pPr>
        <w:pStyle w:val="BodyText"/>
        <w:ind w:left="4320"/>
        <w:rPr>
          <w:b w:val="0"/>
          <w:smallCaps w:val="0"/>
          <w:sz w:val="24"/>
          <w:szCs w:val="24"/>
        </w:rPr>
      </w:pPr>
      <w:r w:rsidRPr="00FA702C">
        <w:rPr>
          <w:b w:val="0"/>
          <w:smallCaps w:val="0"/>
          <w:sz w:val="24"/>
          <w:szCs w:val="24"/>
        </w:rPr>
        <w:t>sam@mwncmh.com</w:t>
      </w:r>
    </w:p>
    <w:p w:rsidR="00BE7C20" w:rsidRPr="00FA702C" w:rsidRDefault="00BE7C20" w:rsidP="00BE7C20">
      <w:pPr>
        <w:pStyle w:val="BodyText"/>
        <w:ind w:left="4320"/>
        <w:rPr>
          <w:b w:val="0"/>
          <w:smallCaps w:val="0"/>
          <w:sz w:val="24"/>
          <w:szCs w:val="24"/>
        </w:rPr>
      </w:pPr>
      <w:r w:rsidRPr="00FA702C">
        <w:rPr>
          <w:b w:val="0"/>
          <w:smallCaps w:val="0"/>
          <w:sz w:val="24"/>
          <w:szCs w:val="24"/>
        </w:rPr>
        <w:t>fdarr@mwncmh.com</w:t>
      </w:r>
    </w:p>
    <w:p w:rsidR="00BE7C20" w:rsidRPr="00FA702C" w:rsidRDefault="00BE7C20" w:rsidP="00BE7C20">
      <w:pPr>
        <w:pStyle w:val="BodyText"/>
        <w:ind w:left="4320"/>
        <w:rPr>
          <w:b w:val="0"/>
          <w:smallCaps w:val="0"/>
          <w:sz w:val="24"/>
          <w:szCs w:val="24"/>
        </w:rPr>
      </w:pPr>
      <w:r w:rsidRPr="00FA702C">
        <w:rPr>
          <w:b w:val="0"/>
          <w:smallCaps w:val="0"/>
          <w:sz w:val="24"/>
          <w:szCs w:val="24"/>
        </w:rPr>
        <w:t>joliker@mwncmh.com</w:t>
      </w:r>
    </w:p>
    <w:p w:rsidR="00BE7C20" w:rsidRPr="00FA702C" w:rsidRDefault="00BE7C20" w:rsidP="00BE7C20">
      <w:pPr>
        <w:pStyle w:val="BodyText"/>
        <w:ind w:left="4320"/>
        <w:rPr>
          <w:rFonts w:cs="Arial"/>
          <w:b w:val="0"/>
          <w:sz w:val="24"/>
          <w:szCs w:val="24"/>
        </w:rPr>
      </w:pPr>
      <w:r w:rsidRPr="00FA702C">
        <w:rPr>
          <w:rFonts w:cs="Arial"/>
          <w:b w:val="0"/>
          <w:smallCaps w:val="0"/>
          <w:sz w:val="24"/>
          <w:szCs w:val="24"/>
        </w:rPr>
        <w:t>mpritchard@mwncmh.com</w:t>
      </w:r>
    </w:p>
    <w:p w:rsidR="00BE7C20" w:rsidRPr="00FA702C" w:rsidRDefault="00BE7C20" w:rsidP="00BE7C20">
      <w:pPr>
        <w:pStyle w:val="BodyText"/>
        <w:ind w:left="4320"/>
        <w:rPr>
          <w:rFonts w:cs="Arial"/>
          <w:sz w:val="24"/>
          <w:szCs w:val="24"/>
        </w:rPr>
      </w:pPr>
    </w:p>
    <w:p w:rsidR="00BE7C20" w:rsidRDefault="00305225" w:rsidP="00BE7C20">
      <w:pPr>
        <w:jc w:val="both"/>
        <w:rPr>
          <w:rFonts w:cs="Arial"/>
          <w:b/>
          <w:sz w:val="24"/>
          <w:szCs w:val="24"/>
        </w:rPr>
      </w:pPr>
      <w:r>
        <w:rPr>
          <w:rFonts w:cs="Arial"/>
          <w:b/>
          <w:sz w:val="24"/>
          <w:szCs w:val="24"/>
        </w:rPr>
        <w:t>February 4</w:t>
      </w:r>
      <w:r w:rsidR="00BE7C20">
        <w:rPr>
          <w:rFonts w:cs="Arial"/>
          <w:b/>
          <w:sz w:val="24"/>
          <w:szCs w:val="24"/>
        </w:rPr>
        <w:t xml:space="preserve">, </w:t>
      </w:r>
      <w:r w:rsidR="00BE7C20" w:rsidRPr="00FA702C">
        <w:rPr>
          <w:rFonts w:cs="Arial"/>
          <w:b/>
          <w:sz w:val="24"/>
          <w:szCs w:val="24"/>
        </w:rPr>
        <w:t>2014</w:t>
      </w:r>
      <w:r w:rsidR="00BE7C20" w:rsidRPr="00FA702C">
        <w:rPr>
          <w:rFonts w:cs="Arial"/>
          <w:b/>
          <w:sz w:val="24"/>
          <w:szCs w:val="24"/>
        </w:rPr>
        <w:tab/>
      </w:r>
      <w:r w:rsidR="00BE7C20">
        <w:rPr>
          <w:rFonts w:cs="Arial"/>
          <w:b/>
          <w:sz w:val="24"/>
          <w:szCs w:val="24"/>
        </w:rPr>
        <w:tab/>
      </w:r>
      <w:r>
        <w:rPr>
          <w:rFonts w:cs="Arial"/>
          <w:b/>
          <w:sz w:val="24"/>
          <w:szCs w:val="24"/>
        </w:rPr>
        <w:tab/>
      </w:r>
      <w:r>
        <w:rPr>
          <w:rFonts w:cs="Arial"/>
          <w:b/>
          <w:sz w:val="24"/>
          <w:szCs w:val="24"/>
        </w:rPr>
        <w:tab/>
      </w:r>
      <w:r w:rsidR="00BE7C20" w:rsidRPr="00FA702C">
        <w:rPr>
          <w:rFonts w:cs="Arial"/>
          <w:b/>
          <w:sz w:val="24"/>
          <w:szCs w:val="24"/>
        </w:rPr>
        <w:t>Attorneys for Industrial Energy Users-Ohio</w:t>
      </w:r>
    </w:p>
    <w:p w:rsidR="00FE4714" w:rsidRDefault="00FE4714" w:rsidP="00BE7C20">
      <w:pPr>
        <w:jc w:val="both"/>
        <w:rPr>
          <w:rFonts w:cs="Arial"/>
          <w:b/>
          <w:sz w:val="24"/>
          <w:szCs w:val="24"/>
        </w:rPr>
      </w:pPr>
    </w:p>
    <w:p w:rsidR="00BE7C20" w:rsidRDefault="00BE7C20" w:rsidP="00BE7C20">
      <w:pPr>
        <w:jc w:val="both"/>
        <w:rPr>
          <w:rFonts w:cs="Arial"/>
          <w:b/>
        </w:rPr>
        <w:sectPr w:rsidR="00BE7C20" w:rsidSect="00FE471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pPr>
    </w:p>
    <w:p w:rsidR="00BE7C20" w:rsidRDefault="00BE7C20" w:rsidP="00BE7C20">
      <w:pPr>
        <w:jc w:val="center"/>
        <w:rPr>
          <w:rFonts w:cs="Arial"/>
          <w:b/>
          <w:smallCaps/>
          <w:sz w:val="28"/>
        </w:rPr>
      </w:pPr>
      <w:r>
        <w:rPr>
          <w:rFonts w:cs="Arial"/>
          <w:b/>
          <w:smallCaps/>
          <w:sz w:val="28"/>
        </w:rPr>
        <w:lastRenderedPageBreak/>
        <w:t>Before</w:t>
      </w:r>
    </w:p>
    <w:p w:rsidR="00BE7C20" w:rsidRDefault="00BE7C20" w:rsidP="00BE7C20">
      <w:pPr>
        <w:jc w:val="center"/>
        <w:rPr>
          <w:rFonts w:cs="Arial"/>
          <w:b/>
          <w:smallCaps/>
          <w:sz w:val="28"/>
        </w:rPr>
      </w:pPr>
      <w:r>
        <w:rPr>
          <w:rFonts w:cs="Arial"/>
          <w:b/>
          <w:smallCaps/>
          <w:sz w:val="28"/>
        </w:rPr>
        <w:t>The Public Utilities Commission of Ohio</w:t>
      </w:r>
    </w:p>
    <w:p w:rsidR="00BE7C20" w:rsidRPr="00D95797" w:rsidRDefault="00BE7C20" w:rsidP="00BE7C20">
      <w:pPr>
        <w:autoSpaceDE w:val="0"/>
        <w:autoSpaceDN w:val="0"/>
        <w:adjustRightInd w:val="0"/>
        <w:rPr>
          <w:rFonts w:cs="Arial"/>
        </w:rPr>
      </w:pPr>
    </w:p>
    <w:p w:rsidR="00BE7C20" w:rsidRPr="00D95797" w:rsidRDefault="00BE7C20" w:rsidP="00BE7C20">
      <w:pPr>
        <w:autoSpaceDE w:val="0"/>
        <w:autoSpaceDN w:val="0"/>
        <w:adjustRightInd w:val="0"/>
        <w:rPr>
          <w:rFonts w:cs="Arial"/>
        </w:rPr>
      </w:pPr>
    </w:p>
    <w:p w:rsidR="00BE7C20" w:rsidRDefault="00BE7C20" w:rsidP="00BE7C20">
      <w:pPr>
        <w:pStyle w:val="BodyText"/>
        <w:tabs>
          <w:tab w:val="clear" w:pos="5040"/>
          <w:tab w:val="left" w:pos="4680"/>
          <w:tab w:val="left" w:pos="5760"/>
        </w:tabs>
        <w:rPr>
          <w:rFonts w:cs="Arial"/>
          <w:b w:val="0"/>
          <w:smallCaps w:val="0"/>
          <w:sz w:val="24"/>
          <w:szCs w:val="24"/>
        </w:rPr>
      </w:pPr>
      <w:r>
        <w:rPr>
          <w:rFonts w:cs="Arial"/>
          <w:b w:val="0"/>
          <w:smallCaps w:val="0"/>
          <w:sz w:val="24"/>
          <w:szCs w:val="24"/>
        </w:rPr>
        <w:t>In the Matter of the Application of</w:t>
      </w:r>
      <w:r>
        <w:rPr>
          <w:rFonts w:cs="Arial"/>
          <w:b w:val="0"/>
          <w:smallCaps w:val="0"/>
          <w:sz w:val="24"/>
          <w:szCs w:val="24"/>
        </w:rPr>
        <w:tab/>
        <w:t>)</w:t>
      </w:r>
      <w:r>
        <w:rPr>
          <w:rFonts w:cs="Arial"/>
          <w:b w:val="0"/>
          <w:smallCaps w:val="0"/>
          <w:sz w:val="24"/>
          <w:szCs w:val="24"/>
        </w:rPr>
        <w:tab/>
      </w:r>
    </w:p>
    <w:p w:rsidR="00BE7C20" w:rsidRDefault="00BE7C20" w:rsidP="00BE7C20">
      <w:pPr>
        <w:pStyle w:val="BodyText"/>
        <w:tabs>
          <w:tab w:val="clear" w:pos="5040"/>
          <w:tab w:val="left" w:pos="4680"/>
          <w:tab w:val="left" w:pos="5760"/>
        </w:tabs>
        <w:rPr>
          <w:rFonts w:cs="Arial"/>
          <w:b w:val="0"/>
          <w:smallCaps w:val="0"/>
          <w:sz w:val="24"/>
          <w:szCs w:val="24"/>
        </w:rPr>
      </w:pPr>
      <w:r>
        <w:rPr>
          <w:rFonts w:cs="Arial"/>
          <w:b w:val="0"/>
          <w:smallCaps w:val="0"/>
          <w:sz w:val="24"/>
          <w:szCs w:val="24"/>
        </w:rPr>
        <w:t>The Dayton Power and Light Company</w:t>
      </w:r>
      <w:r>
        <w:rPr>
          <w:rFonts w:cs="Arial"/>
          <w:b w:val="0"/>
          <w:smallCaps w:val="0"/>
          <w:sz w:val="24"/>
          <w:szCs w:val="24"/>
        </w:rPr>
        <w:tab/>
        <w:t>)</w:t>
      </w:r>
      <w:r w:rsidR="003170B0" w:rsidRPr="003170B0">
        <w:rPr>
          <w:rFonts w:cs="Arial"/>
          <w:b w:val="0"/>
          <w:smallCaps w:val="0"/>
          <w:sz w:val="24"/>
          <w:szCs w:val="24"/>
        </w:rPr>
        <w:t xml:space="preserve"> </w:t>
      </w:r>
      <w:r w:rsidR="003170B0">
        <w:rPr>
          <w:rFonts w:cs="Arial"/>
          <w:b w:val="0"/>
          <w:smallCaps w:val="0"/>
          <w:sz w:val="24"/>
          <w:szCs w:val="24"/>
        </w:rPr>
        <w:tab/>
        <w:t>Case No. 13-2420-EL-UNC</w:t>
      </w:r>
    </w:p>
    <w:p w:rsidR="00BE7C20" w:rsidRDefault="00BE7C20" w:rsidP="00BE7C20">
      <w:pPr>
        <w:pStyle w:val="BodyText"/>
        <w:tabs>
          <w:tab w:val="clear" w:pos="5040"/>
          <w:tab w:val="left" w:pos="4680"/>
          <w:tab w:val="left" w:pos="5760"/>
        </w:tabs>
        <w:rPr>
          <w:rFonts w:cs="Arial"/>
          <w:b w:val="0"/>
          <w:smallCaps w:val="0"/>
          <w:sz w:val="24"/>
          <w:szCs w:val="24"/>
        </w:rPr>
      </w:pPr>
      <w:r>
        <w:rPr>
          <w:rFonts w:cs="Arial"/>
          <w:b w:val="0"/>
          <w:smallCaps w:val="0"/>
          <w:sz w:val="24"/>
          <w:szCs w:val="24"/>
        </w:rPr>
        <w:t>For Authority to Transfer or Sell its</w:t>
      </w:r>
      <w:r>
        <w:rPr>
          <w:rFonts w:cs="Arial"/>
          <w:b w:val="0"/>
          <w:smallCaps w:val="0"/>
          <w:sz w:val="24"/>
          <w:szCs w:val="24"/>
        </w:rPr>
        <w:tab/>
        <w:t>)</w:t>
      </w:r>
    </w:p>
    <w:p w:rsidR="00BE7C20" w:rsidRDefault="00BE7C20" w:rsidP="00BE7C20">
      <w:pPr>
        <w:pStyle w:val="BodyText"/>
        <w:tabs>
          <w:tab w:val="clear" w:pos="5040"/>
          <w:tab w:val="left" w:pos="4680"/>
          <w:tab w:val="left" w:pos="5760"/>
        </w:tabs>
        <w:rPr>
          <w:rFonts w:cs="Arial"/>
          <w:b w:val="0"/>
          <w:smallCaps w:val="0"/>
          <w:sz w:val="24"/>
          <w:szCs w:val="24"/>
        </w:rPr>
      </w:pPr>
      <w:r>
        <w:rPr>
          <w:rFonts w:cs="Arial"/>
          <w:b w:val="0"/>
          <w:smallCaps w:val="0"/>
          <w:sz w:val="24"/>
          <w:szCs w:val="24"/>
        </w:rPr>
        <w:t>Generation Assets.</w:t>
      </w:r>
      <w:r>
        <w:rPr>
          <w:rFonts w:cs="Arial"/>
          <w:b w:val="0"/>
          <w:smallCaps w:val="0"/>
          <w:sz w:val="24"/>
          <w:szCs w:val="24"/>
        </w:rPr>
        <w:tab/>
        <w:t>)</w:t>
      </w:r>
    </w:p>
    <w:p w:rsidR="00BE7C20" w:rsidRPr="00BE7C20" w:rsidRDefault="00BE7C20" w:rsidP="00BE7C20">
      <w:pPr>
        <w:pStyle w:val="BodyText"/>
        <w:tabs>
          <w:tab w:val="clear" w:pos="5040"/>
          <w:tab w:val="left" w:pos="4680"/>
          <w:tab w:val="left" w:pos="5760"/>
        </w:tabs>
        <w:rPr>
          <w:rFonts w:cs="Arial"/>
          <w:b w:val="0"/>
          <w:smallCaps w:val="0"/>
          <w:sz w:val="24"/>
          <w:szCs w:val="24"/>
        </w:rPr>
      </w:pPr>
    </w:p>
    <w:p w:rsidR="00BE7C20" w:rsidRPr="00A118C1" w:rsidRDefault="00BE7C20" w:rsidP="00BE7C20">
      <w:pPr>
        <w:pStyle w:val="BodyText"/>
        <w:rPr>
          <w:rFonts w:cs="Arial"/>
          <w:b w:val="0"/>
        </w:rPr>
      </w:pPr>
    </w:p>
    <w:p w:rsidR="00BE7C20" w:rsidRPr="00443DD4" w:rsidRDefault="00BE7C20" w:rsidP="00BE7C20">
      <w:pPr>
        <w:pStyle w:val="BodyText"/>
        <w:pBdr>
          <w:top w:val="single" w:sz="12" w:space="1" w:color="auto"/>
        </w:pBdr>
        <w:rPr>
          <w:rFonts w:cs="Arial"/>
          <w:sz w:val="28"/>
          <w:szCs w:val="28"/>
        </w:rPr>
      </w:pPr>
    </w:p>
    <w:p w:rsidR="00BE7C20" w:rsidRPr="004439F6" w:rsidRDefault="008A42D3" w:rsidP="00BE7C20">
      <w:pPr>
        <w:jc w:val="center"/>
        <w:rPr>
          <w:rFonts w:cs="Arial"/>
          <w:b/>
          <w:smallCaps/>
          <w:sz w:val="28"/>
          <w:szCs w:val="28"/>
        </w:rPr>
      </w:pPr>
      <w:r w:rsidRPr="004439F6">
        <w:rPr>
          <w:rFonts w:cs="Arial"/>
          <w:b/>
          <w:smallCaps/>
          <w:sz w:val="28"/>
          <w:szCs w:val="28"/>
        </w:rPr>
        <w:t>C</w:t>
      </w:r>
      <w:r w:rsidR="00C75887" w:rsidRPr="004439F6">
        <w:rPr>
          <w:rFonts w:cs="Arial"/>
          <w:b/>
          <w:smallCaps/>
          <w:sz w:val="28"/>
          <w:szCs w:val="28"/>
        </w:rPr>
        <w:t>omments</w:t>
      </w:r>
      <w:r w:rsidR="00BE7C20" w:rsidRPr="004439F6">
        <w:rPr>
          <w:rFonts w:cs="Arial"/>
          <w:b/>
          <w:smallCaps/>
          <w:sz w:val="28"/>
          <w:szCs w:val="28"/>
        </w:rPr>
        <w:t xml:space="preserve"> of Industrial Energy Users-Ohio</w:t>
      </w:r>
    </w:p>
    <w:p w:rsidR="00BE7C20" w:rsidRPr="004439F6" w:rsidRDefault="00BE7C20" w:rsidP="00BE7C20">
      <w:pPr>
        <w:pBdr>
          <w:bottom w:val="single" w:sz="12" w:space="1" w:color="auto"/>
        </w:pBdr>
        <w:jc w:val="both"/>
        <w:rPr>
          <w:rFonts w:cs="Arial"/>
          <w:sz w:val="28"/>
          <w:szCs w:val="28"/>
        </w:rPr>
      </w:pPr>
    </w:p>
    <w:p w:rsidR="00BE7C20" w:rsidRPr="004439F6" w:rsidRDefault="00BE7C20" w:rsidP="00084D95">
      <w:pPr>
        <w:spacing w:after="100" w:afterAutospacing="1"/>
        <w:jc w:val="both"/>
        <w:rPr>
          <w:rFonts w:cs="Arial"/>
          <w:b/>
          <w:sz w:val="28"/>
          <w:szCs w:val="28"/>
        </w:rPr>
      </w:pPr>
    </w:p>
    <w:p w:rsidR="00BE7C20" w:rsidRPr="00184D40" w:rsidRDefault="00E5733B" w:rsidP="00084D95">
      <w:pPr>
        <w:pStyle w:val="ListParagraph"/>
        <w:numPr>
          <w:ilvl w:val="0"/>
          <w:numId w:val="1"/>
        </w:numPr>
        <w:tabs>
          <w:tab w:val="right" w:pos="8640"/>
        </w:tabs>
        <w:ind w:left="720"/>
        <w:jc w:val="both"/>
        <w:rPr>
          <w:rFonts w:cs="Arial"/>
          <w:sz w:val="24"/>
          <w:szCs w:val="24"/>
        </w:rPr>
      </w:pPr>
      <w:r>
        <w:rPr>
          <w:rFonts w:cs="Arial"/>
          <w:b/>
          <w:sz w:val="24"/>
          <w:szCs w:val="24"/>
        </w:rPr>
        <w:t>INTRODUCTION</w:t>
      </w:r>
    </w:p>
    <w:p w:rsidR="00112E4B" w:rsidRPr="00BE7C20" w:rsidRDefault="00112E4B" w:rsidP="00BE7C20">
      <w:pPr>
        <w:tabs>
          <w:tab w:val="right" w:pos="8640"/>
        </w:tabs>
        <w:jc w:val="both"/>
        <w:rPr>
          <w:rFonts w:cs="Arial"/>
          <w:sz w:val="24"/>
          <w:szCs w:val="24"/>
        </w:rPr>
      </w:pPr>
    </w:p>
    <w:p w:rsidR="000A3F3A" w:rsidRDefault="002B4833" w:rsidP="002B4833">
      <w:pPr>
        <w:tabs>
          <w:tab w:val="left" w:pos="720"/>
          <w:tab w:val="right" w:pos="8640"/>
        </w:tabs>
        <w:spacing w:line="480" w:lineRule="auto"/>
        <w:jc w:val="both"/>
        <w:rPr>
          <w:rFonts w:cs="Arial"/>
          <w:sz w:val="24"/>
          <w:szCs w:val="24"/>
        </w:rPr>
      </w:pPr>
      <w:r>
        <w:rPr>
          <w:rFonts w:cs="Arial"/>
          <w:sz w:val="24"/>
          <w:szCs w:val="24"/>
        </w:rPr>
        <w:tab/>
        <w:t>On December 30, 2013, the Dayton Power and Light Company (“DP&amp;L”) filed separate applications requesting authority to amend its corporate separation plan (“Corporate Separation Application”)</w:t>
      </w:r>
      <w:r w:rsidR="00683BF1">
        <w:rPr>
          <w:rStyle w:val="FootnoteReference"/>
          <w:rFonts w:cs="Arial"/>
          <w:sz w:val="24"/>
          <w:szCs w:val="24"/>
        </w:rPr>
        <w:footnoteReference w:id="1"/>
      </w:r>
      <w:r>
        <w:rPr>
          <w:rFonts w:cs="Arial"/>
          <w:sz w:val="24"/>
          <w:szCs w:val="24"/>
        </w:rPr>
        <w:t xml:space="preserve"> and to transfer its generating assets (“Asset Transfer Application”). </w:t>
      </w:r>
      <w:r w:rsidR="00683BF1">
        <w:rPr>
          <w:rFonts w:cs="Arial"/>
          <w:sz w:val="24"/>
          <w:szCs w:val="24"/>
        </w:rPr>
        <w:t xml:space="preserve"> </w:t>
      </w:r>
      <w:r w:rsidR="000A3F3A">
        <w:rPr>
          <w:rFonts w:cs="Arial"/>
          <w:sz w:val="24"/>
          <w:szCs w:val="24"/>
        </w:rPr>
        <w:t>DP&amp;L indicated that it would “file a supplement to [the Asset Transfer Application], setting forth a detailed plan for such a separation, once the Company has had the opportunity to complete its review of the pending issues and their operational and financial impacts.”</w:t>
      </w:r>
      <w:r w:rsidR="00683BF1">
        <w:rPr>
          <w:rStyle w:val="FootnoteReference"/>
          <w:rFonts w:cs="Arial"/>
          <w:sz w:val="24"/>
          <w:szCs w:val="24"/>
        </w:rPr>
        <w:footnoteReference w:id="2"/>
      </w:r>
      <w:r w:rsidR="00CB7541">
        <w:rPr>
          <w:rFonts w:cs="Arial"/>
          <w:sz w:val="24"/>
          <w:szCs w:val="24"/>
        </w:rPr>
        <w:t xml:space="preserve"> </w:t>
      </w:r>
      <w:r w:rsidR="00CB7541">
        <w:rPr>
          <w:rFonts w:cs="Arial"/>
          <w:sz w:val="24"/>
          <w:szCs w:val="24"/>
        </w:rPr>
        <w:tab/>
      </w:r>
      <w:r w:rsidR="00E5733B">
        <w:rPr>
          <w:rFonts w:cs="Arial"/>
          <w:sz w:val="24"/>
          <w:szCs w:val="24"/>
        </w:rPr>
        <w:t xml:space="preserve"> </w:t>
      </w:r>
      <w:r w:rsidR="009A3641">
        <w:rPr>
          <w:rFonts w:cs="Arial"/>
          <w:sz w:val="24"/>
          <w:szCs w:val="24"/>
        </w:rPr>
        <w:t>The Asset Transfer Application requested</w:t>
      </w:r>
      <w:r w:rsidR="000A3F3A">
        <w:rPr>
          <w:rFonts w:cs="Arial"/>
          <w:sz w:val="24"/>
          <w:szCs w:val="24"/>
        </w:rPr>
        <w:t xml:space="preserve"> waiver</w:t>
      </w:r>
      <w:r w:rsidR="009A3641">
        <w:rPr>
          <w:rFonts w:cs="Arial"/>
          <w:sz w:val="24"/>
          <w:szCs w:val="24"/>
        </w:rPr>
        <w:t>s</w:t>
      </w:r>
      <w:r w:rsidR="000A3F3A">
        <w:rPr>
          <w:rFonts w:cs="Arial"/>
          <w:sz w:val="24"/>
          <w:szCs w:val="24"/>
        </w:rPr>
        <w:t xml:space="preserve"> of the hearing requirement and the requirement to state the fair market value and book value of its generating assets.  </w:t>
      </w:r>
    </w:p>
    <w:p w:rsidR="002B4833" w:rsidRDefault="000A3F3A" w:rsidP="002B4833">
      <w:pPr>
        <w:tabs>
          <w:tab w:val="left" w:pos="720"/>
          <w:tab w:val="right" w:pos="8640"/>
        </w:tabs>
        <w:spacing w:line="480" w:lineRule="auto"/>
        <w:jc w:val="both"/>
        <w:rPr>
          <w:rFonts w:cs="Arial"/>
          <w:sz w:val="24"/>
          <w:szCs w:val="24"/>
        </w:rPr>
      </w:pPr>
      <w:r>
        <w:rPr>
          <w:rFonts w:cs="Arial"/>
          <w:sz w:val="24"/>
          <w:szCs w:val="24"/>
        </w:rPr>
        <w:tab/>
        <w:t>On January 3, 2014, the Attorney Examiner issued an Entry requesting</w:t>
      </w:r>
      <w:r w:rsidR="001433AD">
        <w:rPr>
          <w:rFonts w:cs="Arial"/>
          <w:sz w:val="24"/>
          <w:szCs w:val="24"/>
        </w:rPr>
        <w:t xml:space="preserve"> that parties file</w:t>
      </w:r>
      <w:r>
        <w:rPr>
          <w:rFonts w:cs="Arial"/>
          <w:sz w:val="24"/>
          <w:szCs w:val="24"/>
        </w:rPr>
        <w:t xml:space="preserve"> comments and reply comments regarding the Asset Transfer Application and DP&amp;L’s waiver requests.  As discussed further below, DP&amp;L’s incomplete Asset </w:t>
      </w:r>
      <w:r>
        <w:rPr>
          <w:rFonts w:cs="Arial"/>
          <w:sz w:val="24"/>
          <w:szCs w:val="24"/>
        </w:rPr>
        <w:lastRenderedPageBreak/>
        <w:t xml:space="preserve">Transfer Application is not yet ripe for review and the </w:t>
      </w:r>
      <w:r w:rsidR="000E6263">
        <w:rPr>
          <w:rFonts w:cs="Arial"/>
          <w:sz w:val="24"/>
          <w:szCs w:val="24"/>
        </w:rPr>
        <w:t>Public Utilities Commission of Ohio ("</w:t>
      </w:r>
      <w:r>
        <w:rPr>
          <w:rFonts w:cs="Arial"/>
          <w:sz w:val="24"/>
          <w:szCs w:val="24"/>
        </w:rPr>
        <w:t>Commission</w:t>
      </w:r>
      <w:r w:rsidR="000E6263">
        <w:rPr>
          <w:rFonts w:cs="Arial"/>
          <w:sz w:val="24"/>
          <w:szCs w:val="24"/>
        </w:rPr>
        <w:t>")</w:t>
      </w:r>
      <w:r>
        <w:rPr>
          <w:rFonts w:cs="Arial"/>
          <w:sz w:val="24"/>
          <w:szCs w:val="24"/>
        </w:rPr>
        <w:t xml:space="preserve"> should hold in abeyance its ruling on DP&amp;L’s waiver requests until such time as DP&amp;L provides a</w:t>
      </w:r>
      <w:r w:rsidR="00112E4B">
        <w:rPr>
          <w:rFonts w:cs="Arial"/>
          <w:sz w:val="24"/>
          <w:szCs w:val="24"/>
        </w:rPr>
        <w:t xml:space="preserve"> complete application</w:t>
      </w:r>
      <w:r>
        <w:rPr>
          <w:rFonts w:cs="Arial"/>
          <w:sz w:val="24"/>
          <w:szCs w:val="24"/>
        </w:rPr>
        <w:t xml:space="preserve">.  </w:t>
      </w:r>
    </w:p>
    <w:p w:rsidR="00E5733B" w:rsidRDefault="00EB058C" w:rsidP="00683BF1">
      <w:pPr>
        <w:pStyle w:val="ListParagraph"/>
        <w:numPr>
          <w:ilvl w:val="0"/>
          <w:numId w:val="1"/>
        </w:numPr>
        <w:tabs>
          <w:tab w:val="left" w:pos="720"/>
          <w:tab w:val="right" w:pos="8640"/>
        </w:tabs>
        <w:spacing w:line="480" w:lineRule="auto"/>
        <w:ind w:hanging="1080"/>
        <w:jc w:val="both"/>
        <w:rPr>
          <w:rFonts w:cs="Arial"/>
          <w:b/>
          <w:sz w:val="24"/>
          <w:szCs w:val="24"/>
        </w:rPr>
      </w:pPr>
      <w:r>
        <w:rPr>
          <w:rFonts w:cs="Arial"/>
          <w:b/>
          <w:sz w:val="24"/>
          <w:szCs w:val="24"/>
        </w:rPr>
        <w:t>ARGUMENT</w:t>
      </w:r>
    </w:p>
    <w:p w:rsidR="00EB058C" w:rsidRDefault="006867A0" w:rsidP="00EB058C">
      <w:pPr>
        <w:tabs>
          <w:tab w:val="left" w:pos="720"/>
          <w:tab w:val="right" w:pos="8640"/>
        </w:tabs>
        <w:spacing w:line="480" w:lineRule="auto"/>
        <w:jc w:val="both"/>
        <w:rPr>
          <w:rFonts w:cs="Arial"/>
          <w:sz w:val="24"/>
          <w:szCs w:val="24"/>
        </w:rPr>
      </w:pPr>
      <w:r>
        <w:rPr>
          <w:rFonts w:eastAsia="Times New Roman" w:cs="Arial"/>
          <w:sz w:val="24"/>
          <w:szCs w:val="24"/>
        </w:rPr>
        <w:tab/>
      </w:r>
      <w:r w:rsidR="00EB058C" w:rsidRPr="00EB058C">
        <w:rPr>
          <w:rFonts w:eastAsia="Times New Roman" w:cs="Arial"/>
          <w:sz w:val="24"/>
          <w:szCs w:val="24"/>
        </w:rPr>
        <w:t xml:space="preserve">An electric distribution utility </w:t>
      </w:r>
      <w:r w:rsidR="00683BF1">
        <w:rPr>
          <w:rFonts w:eastAsia="Times New Roman" w:cs="Arial"/>
          <w:sz w:val="24"/>
          <w:szCs w:val="24"/>
        </w:rPr>
        <w:t xml:space="preserve">("EDU") </w:t>
      </w:r>
      <w:r w:rsidR="00701293">
        <w:rPr>
          <w:rFonts w:eastAsia="Times New Roman" w:cs="Arial"/>
          <w:sz w:val="24"/>
          <w:szCs w:val="24"/>
        </w:rPr>
        <w:t>must receive Commission approval</w:t>
      </w:r>
      <w:r>
        <w:rPr>
          <w:rFonts w:eastAsia="Times New Roman" w:cs="Arial"/>
          <w:sz w:val="24"/>
          <w:szCs w:val="24"/>
        </w:rPr>
        <w:t xml:space="preserve"> to transfer its generating assets</w:t>
      </w:r>
      <w:r w:rsidR="00EB058C" w:rsidRPr="00EB058C">
        <w:rPr>
          <w:rFonts w:eastAsia="Times New Roman" w:cs="Arial"/>
          <w:sz w:val="24"/>
          <w:szCs w:val="24"/>
        </w:rPr>
        <w:t>.</w:t>
      </w:r>
      <w:r w:rsidR="00EB058C" w:rsidRPr="00EB058C">
        <w:rPr>
          <w:rFonts w:eastAsia="Times New Roman" w:cs="Arial"/>
          <w:sz w:val="24"/>
          <w:szCs w:val="24"/>
          <w:vertAlign w:val="superscript"/>
        </w:rPr>
        <w:footnoteReference w:id="3"/>
      </w:r>
      <w:r w:rsidR="00EB058C">
        <w:rPr>
          <w:rFonts w:eastAsia="Times New Roman" w:cs="Arial"/>
          <w:sz w:val="24"/>
          <w:szCs w:val="24"/>
        </w:rPr>
        <w:t xml:space="preserve"> </w:t>
      </w:r>
      <w:r w:rsidR="00EB058C" w:rsidRPr="00EB058C">
        <w:rPr>
          <w:rFonts w:eastAsia="Times New Roman" w:cs="Arial"/>
          <w:sz w:val="24"/>
          <w:szCs w:val="24"/>
        </w:rPr>
        <w:t xml:space="preserve"> The Commission can approve an application to transfer generating assets </w:t>
      </w:r>
      <w:r w:rsidR="00701293">
        <w:rPr>
          <w:rFonts w:eastAsia="Times New Roman" w:cs="Arial"/>
          <w:sz w:val="24"/>
          <w:szCs w:val="24"/>
        </w:rPr>
        <w:t xml:space="preserve">only </w:t>
      </w:r>
      <w:r w:rsidR="00EB058C" w:rsidRPr="00EB058C">
        <w:rPr>
          <w:rFonts w:eastAsia="Times New Roman" w:cs="Arial"/>
          <w:sz w:val="24"/>
          <w:szCs w:val="24"/>
        </w:rPr>
        <w:t>if it “</w:t>
      </w:r>
      <w:r w:rsidR="00EB058C" w:rsidRPr="00EB058C">
        <w:rPr>
          <w:rFonts w:cs="Arial"/>
          <w:sz w:val="24"/>
          <w:szCs w:val="24"/>
        </w:rPr>
        <w:t>is satisfied that the sale or transfer is just, reasonab</w:t>
      </w:r>
      <w:r w:rsidR="00EB058C">
        <w:rPr>
          <w:rFonts w:cs="Arial"/>
          <w:sz w:val="24"/>
          <w:szCs w:val="24"/>
        </w:rPr>
        <w:t>le, and in the public interest . . . .</w:t>
      </w:r>
      <w:r w:rsidR="00EB058C" w:rsidRPr="00EB058C">
        <w:rPr>
          <w:rFonts w:cs="Arial"/>
          <w:sz w:val="24"/>
          <w:szCs w:val="24"/>
        </w:rPr>
        <w:t>”</w:t>
      </w:r>
      <w:r w:rsidR="00EB058C" w:rsidRPr="00EB058C">
        <w:rPr>
          <w:rFonts w:cs="Arial"/>
          <w:sz w:val="24"/>
          <w:szCs w:val="24"/>
          <w:vertAlign w:val="superscript"/>
        </w:rPr>
        <w:footnoteReference w:id="4"/>
      </w:r>
      <w:r w:rsidR="00EB058C" w:rsidRPr="00EB058C">
        <w:rPr>
          <w:rFonts w:cs="Arial"/>
          <w:sz w:val="24"/>
          <w:szCs w:val="24"/>
        </w:rPr>
        <w:t xml:space="preserve">  The Commission must also ensure that the transfer furthers state policy objectives containe</w:t>
      </w:r>
      <w:r w:rsidR="001433AD">
        <w:rPr>
          <w:rFonts w:cs="Arial"/>
          <w:sz w:val="24"/>
          <w:szCs w:val="24"/>
        </w:rPr>
        <w:t>d in R.C. 4928.02</w:t>
      </w:r>
      <w:r w:rsidR="00EB058C" w:rsidRPr="00EB058C">
        <w:rPr>
          <w:rFonts w:cs="Arial"/>
          <w:sz w:val="24"/>
          <w:szCs w:val="24"/>
        </w:rPr>
        <w:t>.</w:t>
      </w:r>
      <w:r w:rsidR="00EB058C" w:rsidRPr="00EB058C">
        <w:rPr>
          <w:rFonts w:cs="Arial"/>
          <w:sz w:val="24"/>
          <w:szCs w:val="24"/>
          <w:vertAlign w:val="superscript"/>
        </w:rPr>
        <w:footnoteReference w:id="5"/>
      </w:r>
      <w:r w:rsidR="00EB058C" w:rsidRPr="00EB058C">
        <w:rPr>
          <w:rFonts w:cs="Arial"/>
          <w:sz w:val="24"/>
          <w:szCs w:val="24"/>
        </w:rPr>
        <w:t xml:space="preserve">  </w:t>
      </w:r>
    </w:p>
    <w:p w:rsidR="00FE3D36" w:rsidRPr="006867A0" w:rsidRDefault="00FE3D36" w:rsidP="00FE3D36">
      <w:pPr>
        <w:spacing w:line="480" w:lineRule="auto"/>
        <w:ind w:firstLine="720"/>
        <w:jc w:val="both"/>
        <w:rPr>
          <w:rFonts w:cs="Arial"/>
          <w:sz w:val="24"/>
          <w:szCs w:val="24"/>
        </w:rPr>
      </w:pPr>
      <w:r>
        <w:rPr>
          <w:rFonts w:cs="Arial"/>
          <w:sz w:val="24"/>
          <w:szCs w:val="24"/>
        </w:rPr>
        <w:t xml:space="preserve">To assist the Commission’s review of an EDU’s request to transfer its generating assets, </w:t>
      </w:r>
      <w:r w:rsidRPr="006867A0">
        <w:rPr>
          <w:rFonts w:cs="Arial"/>
          <w:sz w:val="24"/>
          <w:szCs w:val="24"/>
        </w:rPr>
        <w:t xml:space="preserve">Rule 4901:1-37-09(C), OAC, requires that an application to sell or transfer generating assets </w:t>
      </w:r>
      <w:r w:rsidRPr="006867A0">
        <w:rPr>
          <w:rFonts w:cs="Arial"/>
          <w:b/>
          <w:sz w:val="24"/>
          <w:szCs w:val="24"/>
          <w:u w:val="single"/>
        </w:rPr>
        <w:t>shall, at a minimum</w:t>
      </w:r>
      <w:r w:rsidRPr="006867A0">
        <w:rPr>
          <w:rFonts w:cs="Arial"/>
          <w:sz w:val="24"/>
          <w:szCs w:val="24"/>
        </w:rPr>
        <w:t>:</w:t>
      </w:r>
    </w:p>
    <w:p w:rsidR="00FE3D36" w:rsidRPr="006867A0" w:rsidRDefault="00FE3D36" w:rsidP="00FE3D36">
      <w:pPr>
        <w:spacing w:after="120" w:line="276" w:lineRule="auto"/>
        <w:ind w:left="1440" w:right="720" w:hanging="720"/>
        <w:jc w:val="both"/>
        <w:rPr>
          <w:rFonts w:cs="Arial"/>
          <w:sz w:val="24"/>
          <w:szCs w:val="24"/>
        </w:rPr>
      </w:pPr>
      <w:r w:rsidRPr="006867A0">
        <w:rPr>
          <w:rFonts w:cs="Arial"/>
          <w:sz w:val="24"/>
          <w:szCs w:val="24"/>
        </w:rPr>
        <w:t>(1)</w:t>
      </w:r>
      <w:r w:rsidRPr="006867A0">
        <w:rPr>
          <w:rFonts w:cs="Arial"/>
          <w:sz w:val="24"/>
          <w:szCs w:val="24"/>
        </w:rPr>
        <w:tab/>
        <w:t xml:space="preserve">Clearly set forth the object and purpose of the sale or transfer, and the </w:t>
      </w:r>
      <w:r w:rsidRPr="006867A0">
        <w:rPr>
          <w:rFonts w:cs="Arial"/>
          <w:sz w:val="24"/>
          <w:szCs w:val="24"/>
          <w:u w:val="single"/>
        </w:rPr>
        <w:t>terms and conditions</w:t>
      </w:r>
      <w:r w:rsidRPr="006867A0">
        <w:rPr>
          <w:rFonts w:cs="Arial"/>
          <w:sz w:val="24"/>
          <w:szCs w:val="24"/>
        </w:rPr>
        <w:t xml:space="preserve"> of the same.</w:t>
      </w:r>
    </w:p>
    <w:p w:rsidR="00FE3D36" w:rsidRPr="006867A0" w:rsidRDefault="00FE3D36" w:rsidP="00FE3D36">
      <w:pPr>
        <w:spacing w:after="120" w:line="276" w:lineRule="auto"/>
        <w:ind w:left="1440" w:right="720" w:hanging="720"/>
        <w:jc w:val="both"/>
        <w:rPr>
          <w:rFonts w:cs="Arial"/>
          <w:sz w:val="24"/>
          <w:szCs w:val="24"/>
        </w:rPr>
      </w:pPr>
      <w:r w:rsidRPr="006867A0">
        <w:rPr>
          <w:rFonts w:cs="Arial"/>
          <w:sz w:val="24"/>
          <w:szCs w:val="24"/>
        </w:rPr>
        <w:t>(2)</w:t>
      </w:r>
      <w:r w:rsidRPr="006867A0">
        <w:rPr>
          <w:rFonts w:cs="Arial"/>
          <w:sz w:val="24"/>
          <w:szCs w:val="24"/>
        </w:rPr>
        <w:tab/>
        <w:t>Demonstrate how the sale or transfer will affect the current and future standard service offer established pursuant to section 4928.141 of the Revised Code.</w:t>
      </w:r>
    </w:p>
    <w:p w:rsidR="00FE3D36" w:rsidRPr="006867A0" w:rsidRDefault="00FE3D36" w:rsidP="00FE3D36">
      <w:pPr>
        <w:spacing w:after="120" w:line="276" w:lineRule="auto"/>
        <w:ind w:left="1440" w:right="720" w:hanging="720"/>
        <w:jc w:val="both"/>
        <w:rPr>
          <w:rFonts w:cs="Arial"/>
          <w:sz w:val="24"/>
          <w:szCs w:val="24"/>
        </w:rPr>
      </w:pPr>
      <w:r w:rsidRPr="006867A0">
        <w:rPr>
          <w:rFonts w:cs="Arial"/>
          <w:sz w:val="24"/>
          <w:szCs w:val="24"/>
        </w:rPr>
        <w:t>(3)</w:t>
      </w:r>
      <w:r w:rsidRPr="006867A0">
        <w:rPr>
          <w:rFonts w:cs="Arial"/>
          <w:sz w:val="24"/>
          <w:szCs w:val="24"/>
        </w:rPr>
        <w:tab/>
        <w:t>Demonstrate how the proposed sale or transfer will affect the public interest.</w:t>
      </w:r>
    </w:p>
    <w:p w:rsidR="00FE3D36" w:rsidRPr="006867A0" w:rsidRDefault="00FE3D36" w:rsidP="00FE3D36">
      <w:pPr>
        <w:spacing w:after="120" w:line="276" w:lineRule="auto"/>
        <w:ind w:left="1440" w:right="720" w:hanging="720"/>
        <w:jc w:val="both"/>
        <w:rPr>
          <w:rFonts w:cs="Arial"/>
          <w:sz w:val="24"/>
          <w:szCs w:val="24"/>
        </w:rPr>
      </w:pPr>
      <w:r w:rsidRPr="006867A0">
        <w:rPr>
          <w:rFonts w:cs="Arial"/>
          <w:sz w:val="24"/>
          <w:szCs w:val="24"/>
        </w:rPr>
        <w:t>(4)</w:t>
      </w:r>
      <w:r w:rsidRPr="006867A0">
        <w:rPr>
          <w:rFonts w:cs="Arial"/>
          <w:sz w:val="24"/>
          <w:szCs w:val="24"/>
        </w:rPr>
        <w:tab/>
        <w:t>State the fair market value and book value of all property to be transferred from the electric utility, and state how the fair market value was determined.</w:t>
      </w:r>
      <w:r w:rsidRPr="006867A0">
        <w:rPr>
          <w:rFonts w:cs="Arial"/>
          <w:sz w:val="24"/>
          <w:szCs w:val="24"/>
          <w:vertAlign w:val="superscript"/>
        </w:rPr>
        <w:footnoteReference w:id="6"/>
      </w:r>
    </w:p>
    <w:p w:rsidR="00FE3D36" w:rsidRPr="00EB058C" w:rsidRDefault="00FE3D36" w:rsidP="00683BF1">
      <w:pPr>
        <w:spacing w:line="480" w:lineRule="auto"/>
        <w:jc w:val="both"/>
        <w:rPr>
          <w:rFonts w:cs="Arial"/>
          <w:sz w:val="24"/>
          <w:szCs w:val="24"/>
        </w:rPr>
      </w:pPr>
      <w:r w:rsidRPr="006867A0">
        <w:rPr>
          <w:rFonts w:cs="Arial"/>
          <w:sz w:val="24"/>
          <w:szCs w:val="24"/>
        </w:rPr>
        <w:t xml:space="preserve">The detailed information required by this rule enables the Commission to evaluate whether the transfer will promote competition, state policy, and the public interest and </w:t>
      </w:r>
      <w:r w:rsidRPr="006867A0">
        <w:rPr>
          <w:rFonts w:cs="Arial"/>
          <w:sz w:val="24"/>
          <w:szCs w:val="24"/>
        </w:rPr>
        <w:lastRenderedPageBreak/>
        <w:t>how the Commission must reject or modify proposals to ensure that they conform to Ohio law</w:t>
      </w:r>
      <w:r>
        <w:rPr>
          <w:rFonts w:cs="Arial"/>
          <w:sz w:val="24"/>
          <w:szCs w:val="24"/>
        </w:rPr>
        <w:t>.  A party may receive a waiver of the application requirements only after demonstrating good cause.</w:t>
      </w:r>
      <w:r w:rsidR="009454C4">
        <w:rPr>
          <w:rStyle w:val="FootnoteReference"/>
          <w:rFonts w:cs="Arial"/>
          <w:sz w:val="24"/>
          <w:szCs w:val="24"/>
        </w:rPr>
        <w:footnoteReference w:id="7"/>
      </w:r>
    </w:p>
    <w:p w:rsidR="00FE3D36" w:rsidRDefault="009A3641" w:rsidP="009A3641">
      <w:pPr>
        <w:tabs>
          <w:tab w:val="left" w:pos="720"/>
          <w:tab w:val="right" w:pos="8640"/>
        </w:tabs>
        <w:spacing w:line="480" w:lineRule="auto"/>
        <w:jc w:val="both"/>
        <w:rPr>
          <w:rFonts w:cs="Arial"/>
          <w:sz w:val="24"/>
          <w:szCs w:val="24"/>
        </w:rPr>
      </w:pPr>
      <w:r>
        <w:rPr>
          <w:rFonts w:cs="Arial"/>
          <w:b/>
          <w:sz w:val="24"/>
          <w:szCs w:val="24"/>
        </w:rPr>
        <w:tab/>
      </w:r>
      <w:r w:rsidR="00FE3D36">
        <w:rPr>
          <w:rFonts w:cs="Arial"/>
          <w:sz w:val="24"/>
          <w:szCs w:val="24"/>
        </w:rPr>
        <w:t xml:space="preserve">Although </w:t>
      </w:r>
      <w:r>
        <w:rPr>
          <w:rFonts w:cs="Arial"/>
          <w:sz w:val="24"/>
          <w:szCs w:val="24"/>
        </w:rPr>
        <w:t xml:space="preserve">DP&amp;L claimed that it will propose a more detailed plan to transfer its generating assets in </w:t>
      </w:r>
      <w:r w:rsidR="00EB058C">
        <w:rPr>
          <w:rFonts w:cs="Arial"/>
          <w:sz w:val="24"/>
          <w:szCs w:val="24"/>
        </w:rPr>
        <w:t>a supplemental application, the Asset Transfer Application is organized as a discussion of</w:t>
      </w:r>
      <w:r>
        <w:rPr>
          <w:rFonts w:cs="Arial"/>
          <w:sz w:val="24"/>
          <w:szCs w:val="24"/>
        </w:rPr>
        <w:t xml:space="preserve"> the requirements contained in Rule 4901:1-37-09, OAC, for an application to transfer generating assets.</w:t>
      </w:r>
      <w:r w:rsidR="00FE3D36">
        <w:rPr>
          <w:rFonts w:cs="Arial"/>
          <w:sz w:val="24"/>
          <w:szCs w:val="24"/>
        </w:rPr>
        <w:t xml:space="preserve">  The Asset T</w:t>
      </w:r>
      <w:r w:rsidR="001433AD">
        <w:rPr>
          <w:rFonts w:cs="Arial"/>
          <w:sz w:val="24"/>
          <w:szCs w:val="24"/>
        </w:rPr>
        <w:t>ransfer Application, however, favors</w:t>
      </w:r>
      <w:r w:rsidR="00FE3D36">
        <w:rPr>
          <w:rFonts w:cs="Arial"/>
          <w:sz w:val="24"/>
          <w:szCs w:val="24"/>
        </w:rPr>
        <w:t xml:space="preserve"> form over substance</w:t>
      </w:r>
      <w:r w:rsidR="00701293">
        <w:rPr>
          <w:rFonts w:cs="Arial"/>
          <w:sz w:val="24"/>
          <w:szCs w:val="24"/>
        </w:rPr>
        <w:t xml:space="preserve"> and fai</w:t>
      </w:r>
      <w:r w:rsidR="009454C4">
        <w:rPr>
          <w:rFonts w:cs="Arial"/>
          <w:sz w:val="24"/>
          <w:szCs w:val="24"/>
        </w:rPr>
        <w:t>l</w:t>
      </w:r>
      <w:r w:rsidR="00701293">
        <w:rPr>
          <w:rFonts w:cs="Arial"/>
          <w:sz w:val="24"/>
          <w:szCs w:val="24"/>
        </w:rPr>
        <w:t>s to provide the information required by the Commission’s rules.  T</w:t>
      </w:r>
      <w:r w:rsidR="001433AD">
        <w:rPr>
          <w:rFonts w:cs="Arial"/>
          <w:sz w:val="24"/>
          <w:szCs w:val="24"/>
        </w:rPr>
        <w:t>hus</w:t>
      </w:r>
      <w:r w:rsidR="009454C4">
        <w:rPr>
          <w:rFonts w:cs="Arial"/>
          <w:sz w:val="24"/>
          <w:szCs w:val="24"/>
        </w:rPr>
        <w:t>, the</w:t>
      </w:r>
      <w:r w:rsidR="00FE3D36">
        <w:rPr>
          <w:rFonts w:cs="Arial"/>
          <w:sz w:val="24"/>
          <w:szCs w:val="24"/>
        </w:rPr>
        <w:t xml:space="preserve"> </w:t>
      </w:r>
      <w:r w:rsidR="00701293">
        <w:rPr>
          <w:rFonts w:cs="Arial"/>
          <w:sz w:val="24"/>
          <w:szCs w:val="24"/>
        </w:rPr>
        <w:t xml:space="preserve">Asset Transfer Application is </w:t>
      </w:r>
      <w:r w:rsidR="00FE3D36">
        <w:rPr>
          <w:rFonts w:cs="Arial"/>
          <w:sz w:val="24"/>
          <w:szCs w:val="24"/>
        </w:rPr>
        <w:t xml:space="preserve">not yet ripe for review.  </w:t>
      </w:r>
      <w:r w:rsidR="00701293">
        <w:rPr>
          <w:rFonts w:cs="Arial"/>
          <w:sz w:val="24"/>
          <w:szCs w:val="24"/>
        </w:rPr>
        <w:t xml:space="preserve">Likewise, </w:t>
      </w:r>
      <w:r w:rsidR="001433AD">
        <w:rPr>
          <w:rFonts w:cs="Arial"/>
          <w:sz w:val="24"/>
          <w:szCs w:val="24"/>
        </w:rPr>
        <w:t>b</w:t>
      </w:r>
      <w:r w:rsidR="00FE3D36">
        <w:rPr>
          <w:rFonts w:cs="Arial"/>
          <w:sz w:val="24"/>
          <w:szCs w:val="24"/>
        </w:rPr>
        <w:t xml:space="preserve">ecause DP&amp;L has not provided a complete application, DP&amp;L has failed to set forth sufficient facts to support a finding of good cause to waive the requirement to hold a hearing and to state the book </w:t>
      </w:r>
      <w:r w:rsidR="007070DE">
        <w:rPr>
          <w:rFonts w:cs="Arial"/>
          <w:sz w:val="24"/>
          <w:szCs w:val="24"/>
        </w:rPr>
        <w:t xml:space="preserve">value </w:t>
      </w:r>
      <w:r w:rsidR="00FE3D36">
        <w:rPr>
          <w:rFonts w:cs="Arial"/>
          <w:sz w:val="24"/>
          <w:szCs w:val="24"/>
        </w:rPr>
        <w:t>and fair market value of its generating assets.</w:t>
      </w:r>
      <w:r w:rsidR="00FE3D36">
        <w:rPr>
          <w:rFonts w:cs="Arial"/>
          <w:sz w:val="24"/>
          <w:szCs w:val="24"/>
        </w:rPr>
        <w:tab/>
      </w:r>
    </w:p>
    <w:p w:rsidR="00FE3D36" w:rsidRDefault="003E2B5E" w:rsidP="003E2B5E">
      <w:pPr>
        <w:pStyle w:val="ListParagraph"/>
        <w:numPr>
          <w:ilvl w:val="0"/>
          <w:numId w:val="4"/>
        </w:numPr>
        <w:tabs>
          <w:tab w:val="left" w:pos="720"/>
          <w:tab w:val="right" w:pos="8640"/>
        </w:tabs>
        <w:jc w:val="both"/>
        <w:rPr>
          <w:rFonts w:cs="Arial"/>
          <w:b/>
          <w:sz w:val="24"/>
          <w:szCs w:val="24"/>
        </w:rPr>
      </w:pPr>
      <w:r>
        <w:rPr>
          <w:rFonts w:cs="Arial"/>
          <w:b/>
          <w:sz w:val="24"/>
          <w:szCs w:val="24"/>
        </w:rPr>
        <w:t xml:space="preserve">DP&amp;L </w:t>
      </w:r>
      <w:r w:rsidR="00FE3D36" w:rsidRPr="003E2B5E">
        <w:rPr>
          <w:rFonts w:cs="Arial"/>
          <w:b/>
          <w:sz w:val="24"/>
          <w:szCs w:val="24"/>
        </w:rPr>
        <w:t>has not sufficiently set forth the terms of the transfer</w:t>
      </w:r>
    </w:p>
    <w:p w:rsidR="003E2B5E" w:rsidRPr="003E2B5E" w:rsidRDefault="003E2B5E" w:rsidP="003E2B5E">
      <w:pPr>
        <w:pStyle w:val="ListParagraph"/>
        <w:tabs>
          <w:tab w:val="left" w:pos="720"/>
          <w:tab w:val="right" w:pos="8640"/>
        </w:tabs>
        <w:ind w:left="1080"/>
        <w:jc w:val="both"/>
        <w:rPr>
          <w:rFonts w:cs="Arial"/>
          <w:b/>
          <w:sz w:val="24"/>
          <w:szCs w:val="24"/>
        </w:rPr>
      </w:pPr>
    </w:p>
    <w:p w:rsidR="001433AD" w:rsidRDefault="00701293" w:rsidP="00701293">
      <w:pPr>
        <w:spacing w:line="480" w:lineRule="auto"/>
        <w:ind w:firstLine="720"/>
        <w:jc w:val="both"/>
        <w:rPr>
          <w:rFonts w:cs="Arial"/>
          <w:sz w:val="24"/>
          <w:szCs w:val="24"/>
        </w:rPr>
      </w:pPr>
      <w:r>
        <w:rPr>
          <w:rFonts w:cs="Arial"/>
          <w:sz w:val="24"/>
          <w:szCs w:val="24"/>
        </w:rPr>
        <w:t>The application must “</w:t>
      </w:r>
      <w:r w:rsidR="009454C4">
        <w:rPr>
          <w:rFonts w:cs="Arial"/>
          <w:sz w:val="24"/>
          <w:szCs w:val="24"/>
        </w:rPr>
        <w:t>[c]</w:t>
      </w:r>
      <w:r w:rsidRPr="006867A0">
        <w:rPr>
          <w:rFonts w:cs="Arial"/>
          <w:sz w:val="24"/>
          <w:szCs w:val="24"/>
        </w:rPr>
        <w:t xml:space="preserve">learly set forth the object and purpose of the sale or transfer, and the </w:t>
      </w:r>
      <w:r w:rsidRPr="00701293">
        <w:rPr>
          <w:rFonts w:cs="Arial"/>
          <w:sz w:val="24"/>
          <w:szCs w:val="24"/>
        </w:rPr>
        <w:t>terms and conditions</w:t>
      </w:r>
      <w:r w:rsidRPr="006867A0">
        <w:rPr>
          <w:rFonts w:cs="Arial"/>
          <w:sz w:val="24"/>
          <w:szCs w:val="24"/>
        </w:rPr>
        <w:t xml:space="preserve"> of the same.</w:t>
      </w:r>
      <w:r>
        <w:rPr>
          <w:rFonts w:cs="Arial"/>
          <w:sz w:val="24"/>
          <w:szCs w:val="24"/>
        </w:rPr>
        <w:t>”</w:t>
      </w:r>
      <w:r>
        <w:rPr>
          <w:rStyle w:val="FootnoteReference"/>
          <w:rFonts w:cs="Arial"/>
          <w:sz w:val="24"/>
          <w:szCs w:val="24"/>
        </w:rPr>
        <w:footnoteReference w:id="8"/>
      </w:r>
      <w:r>
        <w:rPr>
          <w:rFonts w:cs="Arial"/>
          <w:sz w:val="24"/>
          <w:szCs w:val="24"/>
        </w:rPr>
        <w:t xml:space="preserve">  </w:t>
      </w:r>
      <w:r w:rsidR="00FE3D36">
        <w:rPr>
          <w:rFonts w:cs="Arial"/>
          <w:sz w:val="24"/>
          <w:szCs w:val="24"/>
        </w:rPr>
        <w:t>Rather than setting forth the specific terms of the transfer of its generating assets, DP&amp;L discusses action steps that it has taken to prepare to transfer its generating assets and</w:t>
      </w:r>
      <w:r w:rsidR="001433AD">
        <w:rPr>
          <w:rFonts w:cs="Arial"/>
          <w:sz w:val="24"/>
          <w:szCs w:val="24"/>
        </w:rPr>
        <w:t xml:space="preserve"> “complex issues that DP&amp;L will need to resolve prior to separation of generation assets.”</w:t>
      </w:r>
      <w:r w:rsidR="009454C4">
        <w:rPr>
          <w:rStyle w:val="FootnoteReference"/>
          <w:rFonts w:cs="Arial"/>
          <w:sz w:val="24"/>
          <w:szCs w:val="24"/>
        </w:rPr>
        <w:footnoteReference w:id="9"/>
      </w:r>
      <w:r w:rsidR="00FE3D36">
        <w:rPr>
          <w:rFonts w:cs="Arial"/>
          <w:sz w:val="24"/>
          <w:szCs w:val="24"/>
        </w:rPr>
        <w:t xml:space="preserve">  For example,</w:t>
      </w:r>
      <w:r w:rsidR="001433AD">
        <w:rPr>
          <w:rFonts w:cs="Arial"/>
          <w:sz w:val="24"/>
          <w:szCs w:val="24"/>
        </w:rPr>
        <w:t xml:space="preserve"> DP&amp;L claims that it may be able to transfer its generating asset</w:t>
      </w:r>
      <w:r w:rsidR="00405D4B">
        <w:rPr>
          <w:rFonts w:cs="Arial"/>
          <w:sz w:val="24"/>
          <w:szCs w:val="24"/>
        </w:rPr>
        <w:t>s</w:t>
      </w:r>
      <w:r w:rsidR="001433AD">
        <w:rPr>
          <w:rFonts w:cs="Arial"/>
          <w:sz w:val="24"/>
          <w:szCs w:val="24"/>
        </w:rPr>
        <w:t xml:space="preserve"> by December 31, 2014,</w:t>
      </w:r>
      <w:r w:rsidR="009454C4">
        <w:rPr>
          <w:rStyle w:val="FootnoteReference"/>
          <w:rFonts w:cs="Arial"/>
          <w:sz w:val="24"/>
          <w:szCs w:val="24"/>
        </w:rPr>
        <w:footnoteReference w:id="10"/>
      </w:r>
      <w:r w:rsidR="001433AD">
        <w:rPr>
          <w:rFonts w:cs="Arial"/>
          <w:sz w:val="24"/>
          <w:szCs w:val="24"/>
        </w:rPr>
        <w:t xml:space="preserve"> but DP&amp;L fails to indicate under what terms it could achieve that goal. </w:t>
      </w:r>
      <w:r w:rsidR="00FE3D36">
        <w:rPr>
          <w:rFonts w:cs="Arial"/>
          <w:sz w:val="24"/>
          <w:szCs w:val="24"/>
        </w:rPr>
        <w:t xml:space="preserve"> DP&amp;L</w:t>
      </w:r>
      <w:r w:rsidR="001433AD">
        <w:rPr>
          <w:rFonts w:cs="Arial"/>
          <w:sz w:val="24"/>
          <w:szCs w:val="24"/>
        </w:rPr>
        <w:t xml:space="preserve"> also</w:t>
      </w:r>
      <w:r w:rsidR="00FE3D36">
        <w:rPr>
          <w:rFonts w:cs="Arial"/>
          <w:sz w:val="24"/>
          <w:szCs w:val="24"/>
        </w:rPr>
        <w:t xml:space="preserve"> claims </w:t>
      </w:r>
      <w:r w:rsidR="00FE3D36">
        <w:rPr>
          <w:rFonts w:cs="Arial"/>
          <w:sz w:val="24"/>
          <w:szCs w:val="24"/>
        </w:rPr>
        <w:lastRenderedPageBreak/>
        <w:t>that it has yet to resolve issues related to its entitlement to purchase power from the Ohio Valley Electric Corporation (“OVEC”),</w:t>
      </w:r>
      <w:r w:rsidR="009454C4">
        <w:rPr>
          <w:rStyle w:val="FootnoteReference"/>
          <w:rFonts w:cs="Arial"/>
          <w:sz w:val="24"/>
          <w:szCs w:val="24"/>
        </w:rPr>
        <w:footnoteReference w:id="11"/>
      </w:r>
      <w:r>
        <w:rPr>
          <w:rFonts w:cs="Arial"/>
          <w:sz w:val="24"/>
          <w:szCs w:val="24"/>
        </w:rPr>
        <w:t xml:space="preserve"> and</w:t>
      </w:r>
      <w:r w:rsidR="00FE3D36">
        <w:rPr>
          <w:rFonts w:cs="Arial"/>
          <w:sz w:val="24"/>
          <w:szCs w:val="24"/>
        </w:rPr>
        <w:t xml:space="preserve"> cleanup and closure costs related to the Hutching</w:t>
      </w:r>
      <w:r w:rsidR="003E2B5E">
        <w:rPr>
          <w:rFonts w:cs="Arial"/>
          <w:sz w:val="24"/>
          <w:szCs w:val="24"/>
        </w:rPr>
        <w:t>s</w:t>
      </w:r>
      <w:r w:rsidR="00FE3D36">
        <w:rPr>
          <w:rFonts w:cs="Arial"/>
          <w:sz w:val="24"/>
          <w:szCs w:val="24"/>
        </w:rPr>
        <w:t xml:space="preserve"> Station</w:t>
      </w:r>
      <w:r w:rsidR="003E2B5E">
        <w:rPr>
          <w:rFonts w:cs="Arial"/>
          <w:sz w:val="24"/>
          <w:szCs w:val="24"/>
        </w:rPr>
        <w:t xml:space="preserve"> and Beckjord Generation Station.</w:t>
      </w:r>
      <w:r w:rsidR="009454C4">
        <w:rPr>
          <w:rStyle w:val="FootnoteReference"/>
          <w:rFonts w:cs="Arial"/>
          <w:sz w:val="24"/>
          <w:szCs w:val="24"/>
        </w:rPr>
        <w:footnoteReference w:id="12"/>
      </w:r>
      <w:r w:rsidR="001433AD">
        <w:rPr>
          <w:rFonts w:cs="Arial"/>
          <w:sz w:val="24"/>
          <w:szCs w:val="24"/>
        </w:rPr>
        <w:t xml:space="preserve">  </w:t>
      </w:r>
    </w:p>
    <w:p w:rsidR="00FE3D36" w:rsidRPr="00FE3D36" w:rsidRDefault="001433AD" w:rsidP="00FE3D36">
      <w:pPr>
        <w:tabs>
          <w:tab w:val="left" w:pos="720"/>
          <w:tab w:val="right" w:pos="8640"/>
        </w:tabs>
        <w:spacing w:line="480" w:lineRule="auto"/>
        <w:jc w:val="both"/>
        <w:rPr>
          <w:rFonts w:cs="Arial"/>
          <w:sz w:val="24"/>
          <w:szCs w:val="24"/>
        </w:rPr>
      </w:pPr>
      <w:r>
        <w:rPr>
          <w:rFonts w:cs="Arial"/>
          <w:sz w:val="24"/>
          <w:szCs w:val="24"/>
        </w:rPr>
        <w:tab/>
        <w:t>DP&amp;L has not set forth the specific terms of the transfer because DP&amp;L has yet to resolve and disclose its intentions</w:t>
      </w:r>
      <w:r w:rsidR="00701293">
        <w:rPr>
          <w:rFonts w:cs="Arial"/>
          <w:sz w:val="24"/>
          <w:szCs w:val="24"/>
        </w:rPr>
        <w:t xml:space="preserve"> regarding “a number of complex</w:t>
      </w:r>
      <w:r>
        <w:rPr>
          <w:rFonts w:cs="Arial"/>
          <w:sz w:val="24"/>
          <w:szCs w:val="24"/>
        </w:rPr>
        <w:t xml:space="preserve"> issues.”</w:t>
      </w:r>
      <w:r>
        <w:rPr>
          <w:rStyle w:val="FootnoteReference"/>
          <w:rFonts w:cs="Arial"/>
          <w:sz w:val="24"/>
          <w:szCs w:val="24"/>
        </w:rPr>
        <w:footnoteReference w:id="13"/>
      </w:r>
      <w:r>
        <w:rPr>
          <w:rFonts w:cs="Arial"/>
          <w:sz w:val="24"/>
          <w:szCs w:val="24"/>
        </w:rPr>
        <w:t xml:space="preserve">  </w:t>
      </w:r>
      <w:r w:rsidR="003E2B5E">
        <w:rPr>
          <w:rFonts w:cs="Arial"/>
          <w:sz w:val="24"/>
          <w:szCs w:val="24"/>
        </w:rPr>
        <w:t>Because the specific details of the terms and conditions of its asset transfer will not be revealed until DP&amp;L files a supplemental application, DP&amp;L’s Asset Transf</w:t>
      </w:r>
      <w:r>
        <w:rPr>
          <w:rFonts w:cs="Arial"/>
          <w:sz w:val="24"/>
          <w:szCs w:val="24"/>
        </w:rPr>
        <w:t xml:space="preserve">er Application does not comply </w:t>
      </w:r>
      <w:r w:rsidR="003E2B5E">
        <w:rPr>
          <w:rFonts w:cs="Arial"/>
          <w:sz w:val="24"/>
          <w:szCs w:val="24"/>
        </w:rPr>
        <w:t>with the Commission’s rules and thus is not yet ripe for review.</w:t>
      </w:r>
      <w:r w:rsidR="00FE3D36">
        <w:rPr>
          <w:rFonts w:cs="Arial"/>
          <w:sz w:val="24"/>
          <w:szCs w:val="24"/>
        </w:rPr>
        <w:t xml:space="preserve"> </w:t>
      </w:r>
    </w:p>
    <w:p w:rsidR="00FE3D36" w:rsidRDefault="003E2B5E" w:rsidP="00B07C41">
      <w:pPr>
        <w:pStyle w:val="ListParagraph"/>
        <w:numPr>
          <w:ilvl w:val="0"/>
          <w:numId w:val="4"/>
        </w:numPr>
        <w:tabs>
          <w:tab w:val="left" w:pos="720"/>
          <w:tab w:val="right" w:pos="8640"/>
        </w:tabs>
        <w:jc w:val="both"/>
        <w:rPr>
          <w:rFonts w:cs="Arial"/>
          <w:b/>
          <w:sz w:val="24"/>
          <w:szCs w:val="24"/>
        </w:rPr>
      </w:pPr>
      <w:r w:rsidRPr="00B07C41">
        <w:rPr>
          <w:rFonts w:cs="Arial"/>
          <w:b/>
          <w:sz w:val="24"/>
          <w:szCs w:val="24"/>
        </w:rPr>
        <w:t xml:space="preserve">The </w:t>
      </w:r>
      <w:r w:rsidR="007070DE">
        <w:rPr>
          <w:rFonts w:cs="Arial"/>
          <w:b/>
          <w:sz w:val="24"/>
          <w:szCs w:val="24"/>
        </w:rPr>
        <w:t>e</w:t>
      </w:r>
      <w:r w:rsidRPr="00B07C41">
        <w:rPr>
          <w:rFonts w:cs="Arial"/>
          <w:b/>
          <w:sz w:val="24"/>
          <w:szCs w:val="24"/>
        </w:rPr>
        <w:t>ffect of the transfer on current and future SSO service is not known</w:t>
      </w:r>
    </w:p>
    <w:p w:rsidR="009503E2" w:rsidRPr="00B07C41" w:rsidRDefault="009503E2" w:rsidP="009503E2">
      <w:pPr>
        <w:pStyle w:val="ListParagraph"/>
        <w:tabs>
          <w:tab w:val="left" w:pos="720"/>
          <w:tab w:val="right" w:pos="8640"/>
        </w:tabs>
        <w:ind w:left="1080"/>
        <w:jc w:val="both"/>
        <w:rPr>
          <w:rFonts w:cs="Arial"/>
          <w:b/>
          <w:sz w:val="24"/>
          <w:szCs w:val="24"/>
        </w:rPr>
      </w:pPr>
    </w:p>
    <w:p w:rsidR="003E2B5E" w:rsidRDefault="00701293" w:rsidP="00701293">
      <w:pPr>
        <w:spacing w:line="480" w:lineRule="auto"/>
        <w:ind w:firstLine="720"/>
        <w:jc w:val="both"/>
        <w:rPr>
          <w:rFonts w:cs="Arial"/>
          <w:sz w:val="24"/>
          <w:szCs w:val="24"/>
        </w:rPr>
      </w:pPr>
      <w:r>
        <w:rPr>
          <w:rFonts w:cs="Arial"/>
          <w:sz w:val="24"/>
          <w:szCs w:val="24"/>
        </w:rPr>
        <w:t>The application must “[d]</w:t>
      </w:r>
      <w:r w:rsidRPr="006867A0">
        <w:rPr>
          <w:rFonts w:cs="Arial"/>
          <w:sz w:val="24"/>
          <w:szCs w:val="24"/>
        </w:rPr>
        <w:t>emonstrate how the sale or transfer will affect the current and future standard service offer established pursuant to section 4928.141 of the Revised Code.</w:t>
      </w:r>
      <w:r>
        <w:rPr>
          <w:rFonts w:cs="Arial"/>
          <w:sz w:val="24"/>
          <w:szCs w:val="24"/>
        </w:rPr>
        <w:t>”</w:t>
      </w:r>
      <w:r>
        <w:rPr>
          <w:rStyle w:val="FootnoteReference"/>
          <w:rFonts w:cs="Arial"/>
          <w:sz w:val="24"/>
          <w:szCs w:val="24"/>
        </w:rPr>
        <w:footnoteReference w:id="14"/>
      </w:r>
      <w:r>
        <w:rPr>
          <w:rFonts w:cs="Arial"/>
          <w:sz w:val="24"/>
          <w:szCs w:val="24"/>
        </w:rPr>
        <w:t xml:space="preserve">  </w:t>
      </w:r>
      <w:r w:rsidR="003E2B5E">
        <w:rPr>
          <w:rFonts w:cs="Arial"/>
          <w:sz w:val="24"/>
          <w:szCs w:val="24"/>
        </w:rPr>
        <w:t>DP&amp;L claims that it “expects that the transfer of its generati</w:t>
      </w:r>
      <w:r w:rsidR="004034D9">
        <w:rPr>
          <w:rFonts w:cs="Arial"/>
          <w:sz w:val="24"/>
          <w:szCs w:val="24"/>
        </w:rPr>
        <w:t>o</w:t>
      </w:r>
      <w:r w:rsidR="003E2B5E">
        <w:rPr>
          <w:rFonts w:cs="Arial"/>
          <w:sz w:val="24"/>
          <w:szCs w:val="24"/>
        </w:rPr>
        <w:t>n assets will not have a material effect on the terms and conditions under which it will provide a standard service offer (“SSO”).”</w:t>
      </w:r>
      <w:r w:rsidR="001433AD">
        <w:rPr>
          <w:rStyle w:val="FootnoteReference"/>
          <w:rFonts w:cs="Arial"/>
          <w:sz w:val="24"/>
          <w:szCs w:val="24"/>
        </w:rPr>
        <w:footnoteReference w:id="15"/>
      </w:r>
      <w:r w:rsidR="003E2B5E">
        <w:rPr>
          <w:rFonts w:cs="Arial"/>
          <w:sz w:val="24"/>
          <w:szCs w:val="24"/>
        </w:rPr>
        <w:t xml:space="preserve">  Because DP&amp;L has not provided a complete application, the impact of the Asset Transfer Application on</w:t>
      </w:r>
      <w:r w:rsidR="009454C4">
        <w:rPr>
          <w:rFonts w:cs="Arial"/>
          <w:sz w:val="24"/>
          <w:szCs w:val="24"/>
        </w:rPr>
        <w:t xml:space="preserve"> the</w:t>
      </w:r>
      <w:r w:rsidR="003E2B5E">
        <w:rPr>
          <w:rFonts w:cs="Arial"/>
          <w:sz w:val="24"/>
          <w:szCs w:val="24"/>
        </w:rPr>
        <w:t xml:space="preserve"> </w:t>
      </w:r>
      <w:r w:rsidR="007070DE">
        <w:rPr>
          <w:rFonts w:cs="Arial"/>
          <w:sz w:val="24"/>
          <w:szCs w:val="24"/>
        </w:rPr>
        <w:t>standard service offer ("</w:t>
      </w:r>
      <w:r w:rsidR="003E2B5E">
        <w:rPr>
          <w:rFonts w:cs="Arial"/>
          <w:sz w:val="24"/>
          <w:szCs w:val="24"/>
        </w:rPr>
        <w:t>SSO</w:t>
      </w:r>
      <w:r w:rsidR="007070DE">
        <w:rPr>
          <w:rFonts w:cs="Arial"/>
          <w:sz w:val="24"/>
          <w:szCs w:val="24"/>
        </w:rPr>
        <w:t>")</w:t>
      </w:r>
      <w:r w:rsidR="003E2B5E">
        <w:rPr>
          <w:rFonts w:cs="Arial"/>
          <w:sz w:val="24"/>
          <w:szCs w:val="24"/>
        </w:rPr>
        <w:t xml:space="preserve"> cannot be determined.</w:t>
      </w:r>
    </w:p>
    <w:p w:rsidR="003E2B5E" w:rsidRDefault="003E2B5E" w:rsidP="00B07C41">
      <w:pPr>
        <w:pStyle w:val="ListParagraph"/>
        <w:numPr>
          <w:ilvl w:val="0"/>
          <w:numId w:val="4"/>
        </w:numPr>
        <w:tabs>
          <w:tab w:val="left" w:pos="720"/>
          <w:tab w:val="right" w:pos="8640"/>
        </w:tabs>
        <w:jc w:val="both"/>
        <w:rPr>
          <w:rFonts w:cs="Arial"/>
          <w:b/>
          <w:sz w:val="24"/>
          <w:szCs w:val="24"/>
        </w:rPr>
      </w:pPr>
      <w:r>
        <w:rPr>
          <w:rFonts w:cs="Arial"/>
          <w:b/>
          <w:sz w:val="24"/>
          <w:szCs w:val="24"/>
        </w:rPr>
        <w:t>The Commission has not yet determined that the transfer of DP&amp;L’s generating assets is in the public interest</w:t>
      </w:r>
    </w:p>
    <w:p w:rsidR="009503E2" w:rsidRDefault="009503E2" w:rsidP="009503E2">
      <w:pPr>
        <w:pStyle w:val="ListParagraph"/>
        <w:tabs>
          <w:tab w:val="left" w:pos="720"/>
          <w:tab w:val="right" w:pos="8640"/>
        </w:tabs>
        <w:ind w:left="1080"/>
        <w:jc w:val="both"/>
        <w:rPr>
          <w:rFonts w:cs="Arial"/>
          <w:b/>
          <w:sz w:val="24"/>
          <w:szCs w:val="24"/>
        </w:rPr>
      </w:pPr>
    </w:p>
    <w:p w:rsidR="003E2B5E" w:rsidRPr="00701293" w:rsidRDefault="00701293" w:rsidP="00701293">
      <w:pPr>
        <w:spacing w:line="480" w:lineRule="auto"/>
        <w:ind w:firstLine="720"/>
        <w:jc w:val="both"/>
        <w:rPr>
          <w:rFonts w:cs="Arial"/>
          <w:sz w:val="24"/>
          <w:szCs w:val="24"/>
        </w:rPr>
      </w:pPr>
      <w:r w:rsidRPr="00701293">
        <w:rPr>
          <w:rFonts w:cs="Arial"/>
          <w:sz w:val="24"/>
          <w:szCs w:val="24"/>
        </w:rPr>
        <w:lastRenderedPageBreak/>
        <w:t>The application must “[d]emonstrate how the proposed sale or transfer will affect the public interest.”</w:t>
      </w:r>
      <w:r w:rsidRPr="00701293">
        <w:rPr>
          <w:rStyle w:val="FootnoteReference"/>
          <w:rFonts w:cs="Arial"/>
          <w:sz w:val="24"/>
          <w:szCs w:val="24"/>
        </w:rPr>
        <w:footnoteReference w:id="16"/>
      </w:r>
      <w:r w:rsidRPr="00701293">
        <w:rPr>
          <w:rFonts w:cs="Arial"/>
          <w:sz w:val="24"/>
          <w:szCs w:val="24"/>
        </w:rPr>
        <w:t xml:space="preserve"> </w:t>
      </w:r>
      <w:r w:rsidR="003C53D8">
        <w:rPr>
          <w:rFonts w:cs="Arial"/>
          <w:sz w:val="24"/>
          <w:szCs w:val="24"/>
        </w:rPr>
        <w:t xml:space="preserve"> </w:t>
      </w:r>
      <w:r w:rsidR="003E2B5E" w:rsidRPr="00701293">
        <w:rPr>
          <w:rFonts w:cs="Arial"/>
          <w:sz w:val="24"/>
          <w:szCs w:val="24"/>
        </w:rPr>
        <w:t>DP&amp;L claims that “[t]he Commission found in DP&amp;L’s ESP case that DP&amp;L separating its generati</w:t>
      </w:r>
      <w:r w:rsidR="004034D9">
        <w:rPr>
          <w:rFonts w:cs="Arial"/>
          <w:sz w:val="24"/>
          <w:szCs w:val="24"/>
        </w:rPr>
        <w:t>o</w:t>
      </w:r>
      <w:r w:rsidR="003E2B5E" w:rsidRPr="00701293">
        <w:rPr>
          <w:rFonts w:cs="Arial"/>
          <w:sz w:val="24"/>
          <w:szCs w:val="24"/>
        </w:rPr>
        <w:t>n assets was a benefit of DP&amp;L’s ESP and was in the public interest.  September 4, 2013 Opinion and Order.”</w:t>
      </w:r>
      <w:r w:rsidR="00A66034" w:rsidRPr="00701293">
        <w:rPr>
          <w:rStyle w:val="FootnoteReference"/>
          <w:rFonts w:cs="Arial"/>
          <w:sz w:val="24"/>
          <w:szCs w:val="24"/>
        </w:rPr>
        <w:footnoteReference w:id="17"/>
      </w:r>
      <w:r w:rsidR="003E2B5E" w:rsidRPr="00701293">
        <w:rPr>
          <w:rFonts w:cs="Arial"/>
          <w:sz w:val="24"/>
          <w:szCs w:val="24"/>
        </w:rPr>
        <w:t xml:space="preserve"> </w:t>
      </w:r>
      <w:r w:rsidR="00A66034" w:rsidRPr="00701293">
        <w:rPr>
          <w:rFonts w:cs="Arial"/>
          <w:sz w:val="24"/>
          <w:szCs w:val="24"/>
        </w:rPr>
        <w:t xml:space="preserve"> </w:t>
      </w:r>
      <w:r w:rsidR="003E2B5E" w:rsidRPr="00701293">
        <w:rPr>
          <w:rFonts w:cs="Arial"/>
          <w:sz w:val="24"/>
          <w:szCs w:val="24"/>
        </w:rPr>
        <w:t>The Commission, however, made no such fin</w:t>
      </w:r>
      <w:r w:rsidR="001433AD" w:rsidRPr="00701293">
        <w:rPr>
          <w:rFonts w:cs="Arial"/>
          <w:sz w:val="24"/>
          <w:szCs w:val="24"/>
        </w:rPr>
        <w:t>ding—nor could it have made such a finding</w:t>
      </w:r>
      <w:r w:rsidR="00B07C41" w:rsidRPr="00701293">
        <w:rPr>
          <w:rFonts w:cs="Arial"/>
          <w:sz w:val="24"/>
          <w:szCs w:val="24"/>
        </w:rPr>
        <w:t xml:space="preserve"> without reviewing the specific terms and conditions upon which DP&amp;L proposed to transfer its </w:t>
      </w:r>
      <w:r w:rsidR="001433AD" w:rsidRPr="00701293">
        <w:rPr>
          <w:rFonts w:cs="Arial"/>
          <w:sz w:val="24"/>
          <w:szCs w:val="24"/>
        </w:rPr>
        <w:t>generating assets.</w:t>
      </w:r>
      <w:r w:rsidR="009454C4">
        <w:rPr>
          <w:rFonts w:cs="Arial"/>
          <w:sz w:val="24"/>
          <w:szCs w:val="24"/>
        </w:rPr>
        <w:t xml:space="preserve">  </w:t>
      </w:r>
      <w:r w:rsidR="001433AD" w:rsidRPr="00701293">
        <w:rPr>
          <w:rFonts w:cs="Arial"/>
          <w:sz w:val="24"/>
          <w:szCs w:val="24"/>
        </w:rPr>
        <w:t xml:space="preserve">Because </w:t>
      </w:r>
      <w:r w:rsidR="00B07C41" w:rsidRPr="00701293">
        <w:rPr>
          <w:rFonts w:cs="Arial"/>
          <w:sz w:val="24"/>
          <w:szCs w:val="24"/>
        </w:rPr>
        <w:t xml:space="preserve">DP&amp;L has </w:t>
      </w:r>
      <w:r w:rsidR="001433AD" w:rsidRPr="00701293">
        <w:rPr>
          <w:rFonts w:cs="Arial"/>
          <w:sz w:val="24"/>
          <w:szCs w:val="24"/>
        </w:rPr>
        <w:t xml:space="preserve">still </w:t>
      </w:r>
      <w:r w:rsidR="00B07C41" w:rsidRPr="00701293">
        <w:rPr>
          <w:rFonts w:cs="Arial"/>
          <w:sz w:val="24"/>
          <w:szCs w:val="24"/>
        </w:rPr>
        <w:t>failed to provide a complete appl</w:t>
      </w:r>
      <w:r w:rsidR="001433AD" w:rsidRPr="00701293">
        <w:rPr>
          <w:rFonts w:cs="Arial"/>
          <w:sz w:val="24"/>
          <w:szCs w:val="24"/>
        </w:rPr>
        <w:t>ication in this proceeding</w:t>
      </w:r>
      <w:r w:rsidR="00B07C41" w:rsidRPr="00701293">
        <w:rPr>
          <w:rFonts w:cs="Arial"/>
          <w:sz w:val="24"/>
          <w:szCs w:val="24"/>
        </w:rPr>
        <w:t xml:space="preserve">, the Commission cannot </w:t>
      </w:r>
      <w:r w:rsidR="001433AD" w:rsidRPr="00701293">
        <w:rPr>
          <w:rFonts w:cs="Arial"/>
          <w:sz w:val="24"/>
          <w:szCs w:val="24"/>
        </w:rPr>
        <w:t>determine whether the asset transfer is in the public interest at this time</w:t>
      </w:r>
      <w:r w:rsidR="00B07C41" w:rsidRPr="00701293">
        <w:rPr>
          <w:rFonts w:cs="Arial"/>
          <w:sz w:val="24"/>
          <w:szCs w:val="24"/>
        </w:rPr>
        <w:t>.</w:t>
      </w:r>
    </w:p>
    <w:p w:rsidR="00B07C41" w:rsidRDefault="00B07C41" w:rsidP="00B6798D">
      <w:pPr>
        <w:pStyle w:val="ListParagraph"/>
        <w:numPr>
          <w:ilvl w:val="0"/>
          <w:numId w:val="4"/>
        </w:numPr>
        <w:tabs>
          <w:tab w:val="left" w:pos="720"/>
          <w:tab w:val="right" w:pos="8640"/>
        </w:tabs>
        <w:jc w:val="both"/>
        <w:rPr>
          <w:rFonts w:cs="Arial"/>
          <w:b/>
          <w:sz w:val="24"/>
          <w:szCs w:val="24"/>
        </w:rPr>
      </w:pPr>
      <w:r w:rsidRPr="009503E2">
        <w:rPr>
          <w:rFonts w:cs="Arial"/>
          <w:b/>
          <w:sz w:val="24"/>
          <w:szCs w:val="24"/>
        </w:rPr>
        <w:t>The Commission should reject DP&amp;L</w:t>
      </w:r>
      <w:r w:rsidR="007070DE">
        <w:rPr>
          <w:rFonts w:cs="Arial"/>
          <w:b/>
          <w:sz w:val="24"/>
          <w:szCs w:val="24"/>
        </w:rPr>
        <w:t>'s</w:t>
      </w:r>
      <w:r w:rsidR="00B6798D">
        <w:rPr>
          <w:rFonts w:cs="Arial"/>
          <w:b/>
          <w:sz w:val="24"/>
          <w:szCs w:val="24"/>
        </w:rPr>
        <w:t xml:space="preserve"> request for a</w:t>
      </w:r>
      <w:r w:rsidR="00936F84">
        <w:rPr>
          <w:rFonts w:cs="Arial"/>
          <w:b/>
          <w:sz w:val="24"/>
          <w:szCs w:val="24"/>
        </w:rPr>
        <w:t xml:space="preserve"> wai</w:t>
      </w:r>
      <w:r w:rsidR="00B6798D">
        <w:rPr>
          <w:rFonts w:cs="Arial"/>
          <w:b/>
          <w:sz w:val="24"/>
          <w:szCs w:val="24"/>
        </w:rPr>
        <w:t xml:space="preserve">ver of the requirement to state the book </w:t>
      </w:r>
      <w:r w:rsidR="007070DE">
        <w:rPr>
          <w:rFonts w:cs="Arial"/>
          <w:b/>
          <w:sz w:val="24"/>
          <w:szCs w:val="24"/>
        </w:rPr>
        <w:t xml:space="preserve">value </w:t>
      </w:r>
      <w:r w:rsidR="00B6798D">
        <w:rPr>
          <w:rFonts w:cs="Arial"/>
          <w:b/>
          <w:sz w:val="24"/>
          <w:szCs w:val="24"/>
        </w:rPr>
        <w:t>and fair market value of its generating assets</w:t>
      </w:r>
    </w:p>
    <w:p w:rsidR="00B6798D" w:rsidRDefault="00B6798D" w:rsidP="00B6798D">
      <w:pPr>
        <w:pStyle w:val="ListParagraph"/>
        <w:tabs>
          <w:tab w:val="left" w:pos="720"/>
          <w:tab w:val="right" w:pos="8640"/>
        </w:tabs>
        <w:ind w:left="1080"/>
        <w:jc w:val="both"/>
        <w:rPr>
          <w:rFonts w:cs="Arial"/>
          <w:b/>
          <w:sz w:val="24"/>
          <w:szCs w:val="24"/>
        </w:rPr>
      </w:pPr>
    </w:p>
    <w:p w:rsidR="00C120A6" w:rsidRDefault="00936F84" w:rsidP="00936F84">
      <w:pPr>
        <w:tabs>
          <w:tab w:val="left" w:pos="720"/>
          <w:tab w:val="right" w:pos="8640"/>
        </w:tabs>
        <w:spacing w:line="480" w:lineRule="auto"/>
        <w:jc w:val="both"/>
        <w:rPr>
          <w:rFonts w:cs="Arial"/>
          <w:sz w:val="24"/>
          <w:szCs w:val="24"/>
        </w:rPr>
      </w:pPr>
      <w:r>
        <w:rPr>
          <w:rFonts w:cs="Arial"/>
          <w:sz w:val="24"/>
          <w:szCs w:val="24"/>
        </w:rPr>
        <w:tab/>
        <w:t xml:space="preserve">DP&amp;L requests a waiver of the requirement to state the </w:t>
      </w:r>
      <w:r w:rsidR="007070DE">
        <w:rPr>
          <w:rFonts w:cs="Arial"/>
          <w:sz w:val="24"/>
          <w:szCs w:val="24"/>
        </w:rPr>
        <w:t xml:space="preserve">book value and fair </w:t>
      </w:r>
      <w:r>
        <w:rPr>
          <w:rFonts w:cs="Arial"/>
          <w:sz w:val="24"/>
          <w:szCs w:val="24"/>
        </w:rPr>
        <w:t xml:space="preserve">market </w:t>
      </w:r>
      <w:r w:rsidR="007070DE">
        <w:rPr>
          <w:rFonts w:cs="Arial"/>
          <w:sz w:val="24"/>
          <w:szCs w:val="24"/>
        </w:rPr>
        <w:t>value</w:t>
      </w:r>
      <w:r>
        <w:rPr>
          <w:rFonts w:cs="Arial"/>
          <w:sz w:val="24"/>
          <w:szCs w:val="24"/>
        </w:rPr>
        <w:t xml:space="preserve"> of its generating assets.</w:t>
      </w:r>
      <w:r w:rsidR="00701293">
        <w:rPr>
          <w:rStyle w:val="FootnoteReference"/>
          <w:rFonts w:cs="Arial"/>
          <w:sz w:val="24"/>
          <w:szCs w:val="24"/>
        </w:rPr>
        <w:footnoteReference w:id="18"/>
      </w:r>
      <w:r>
        <w:rPr>
          <w:rFonts w:cs="Arial"/>
          <w:sz w:val="24"/>
          <w:szCs w:val="24"/>
        </w:rPr>
        <w:t xml:space="preserve">  DP&amp;L claims that the Commission should not require DP&amp;L to provide the fair market value of its generating assets “because the transfer will not be completed until a future date and the value that the generation assets will change over time.”</w:t>
      </w:r>
      <w:r w:rsidR="00A66034">
        <w:rPr>
          <w:rStyle w:val="FootnoteReference"/>
          <w:rFonts w:cs="Arial"/>
          <w:sz w:val="24"/>
          <w:szCs w:val="24"/>
        </w:rPr>
        <w:footnoteReference w:id="19"/>
      </w:r>
      <w:r>
        <w:rPr>
          <w:rFonts w:cs="Arial"/>
          <w:sz w:val="24"/>
          <w:szCs w:val="24"/>
        </w:rPr>
        <w:t xml:space="preserve"> </w:t>
      </w:r>
      <w:r w:rsidR="00A66034">
        <w:rPr>
          <w:rFonts w:cs="Arial"/>
          <w:sz w:val="24"/>
          <w:szCs w:val="24"/>
        </w:rPr>
        <w:t xml:space="preserve"> </w:t>
      </w:r>
      <w:r>
        <w:rPr>
          <w:rFonts w:cs="Arial"/>
          <w:sz w:val="24"/>
          <w:szCs w:val="24"/>
        </w:rPr>
        <w:t>Additionally, DP&amp;L claims that it “has not finally determined whether the assets should be transferred or sold at book value, market value, or some other value but has committed to notify the Commission by a filing in this docket promptly when that determination has been made.”</w:t>
      </w:r>
      <w:r w:rsidR="00A66034">
        <w:rPr>
          <w:rStyle w:val="FootnoteReference"/>
          <w:rFonts w:cs="Arial"/>
          <w:sz w:val="24"/>
          <w:szCs w:val="24"/>
        </w:rPr>
        <w:footnoteReference w:id="20"/>
      </w:r>
      <w:r w:rsidR="00A66034">
        <w:rPr>
          <w:rFonts w:cs="Arial"/>
          <w:sz w:val="24"/>
          <w:szCs w:val="24"/>
        </w:rPr>
        <w:t xml:space="preserve">  </w:t>
      </w:r>
      <w:r>
        <w:rPr>
          <w:rFonts w:cs="Arial"/>
          <w:sz w:val="24"/>
          <w:szCs w:val="24"/>
        </w:rPr>
        <w:t xml:space="preserve">Finally, DP&amp;L claims that a waiver is consistent with the Commission’s </w:t>
      </w:r>
      <w:r w:rsidR="00A66034">
        <w:rPr>
          <w:rFonts w:cs="Arial"/>
          <w:sz w:val="24"/>
          <w:szCs w:val="24"/>
        </w:rPr>
        <w:t xml:space="preserve">treatment of </w:t>
      </w:r>
      <w:r>
        <w:rPr>
          <w:rFonts w:cs="Arial"/>
          <w:sz w:val="24"/>
          <w:szCs w:val="24"/>
        </w:rPr>
        <w:t>Duke Energy Ohio</w:t>
      </w:r>
      <w:r w:rsidR="00024473">
        <w:rPr>
          <w:rFonts w:cs="Arial"/>
          <w:sz w:val="24"/>
          <w:szCs w:val="24"/>
        </w:rPr>
        <w:t>, Inc.</w:t>
      </w:r>
      <w:r w:rsidR="00A66034">
        <w:rPr>
          <w:rFonts w:cs="Arial"/>
          <w:sz w:val="24"/>
          <w:szCs w:val="24"/>
        </w:rPr>
        <w:t>’s</w:t>
      </w:r>
      <w:r w:rsidR="00024473">
        <w:rPr>
          <w:rFonts w:cs="Arial"/>
          <w:sz w:val="24"/>
          <w:szCs w:val="24"/>
        </w:rPr>
        <w:t xml:space="preserve"> </w:t>
      </w:r>
      <w:r w:rsidR="00024473">
        <w:rPr>
          <w:rFonts w:cs="Arial"/>
          <w:sz w:val="24"/>
          <w:szCs w:val="24"/>
        </w:rPr>
        <w:lastRenderedPageBreak/>
        <w:t>("Duke")</w:t>
      </w:r>
      <w:r>
        <w:rPr>
          <w:rFonts w:cs="Arial"/>
          <w:sz w:val="24"/>
          <w:szCs w:val="24"/>
        </w:rPr>
        <w:t xml:space="preserve"> and Ohio Power Company</w:t>
      </w:r>
      <w:r w:rsidR="00A66034">
        <w:rPr>
          <w:rFonts w:cs="Arial"/>
          <w:sz w:val="24"/>
          <w:szCs w:val="24"/>
        </w:rPr>
        <w:t>’s</w:t>
      </w:r>
      <w:r w:rsidR="00024473">
        <w:rPr>
          <w:rFonts w:cs="Arial"/>
          <w:sz w:val="24"/>
          <w:szCs w:val="24"/>
        </w:rPr>
        <w:t xml:space="preserve"> ("AEP-Ohio")</w:t>
      </w:r>
      <w:r w:rsidR="00A66034">
        <w:rPr>
          <w:rFonts w:cs="Arial"/>
          <w:sz w:val="24"/>
          <w:szCs w:val="24"/>
        </w:rPr>
        <w:t xml:space="preserve"> corporate separation applications</w:t>
      </w:r>
      <w:r>
        <w:rPr>
          <w:rFonts w:cs="Arial"/>
          <w:sz w:val="24"/>
          <w:szCs w:val="24"/>
        </w:rPr>
        <w:t>.</w:t>
      </w:r>
      <w:r w:rsidR="007B7B5A" w:rsidRPr="007B7B5A">
        <w:rPr>
          <w:rStyle w:val="FootnoteReference"/>
          <w:rFonts w:cs="Arial"/>
          <w:sz w:val="24"/>
          <w:szCs w:val="24"/>
        </w:rPr>
        <w:t xml:space="preserve"> </w:t>
      </w:r>
      <w:r w:rsidR="007B7B5A">
        <w:rPr>
          <w:rStyle w:val="FootnoteReference"/>
          <w:rFonts w:cs="Arial"/>
          <w:sz w:val="24"/>
          <w:szCs w:val="24"/>
        </w:rPr>
        <w:footnoteReference w:id="21"/>
      </w:r>
      <w:r w:rsidR="007B7B5A">
        <w:rPr>
          <w:rFonts w:cs="Arial"/>
          <w:sz w:val="24"/>
          <w:szCs w:val="24"/>
        </w:rPr>
        <w:t xml:space="preserve"> </w:t>
      </w:r>
      <w:r>
        <w:rPr>
          <w:rFonts w:cs="Arial"/>
          <w:sz w:val="24"/>
          <w:szCs w:val="24"/>
        </w:rPr>
        <w:t xml:space="preserve">  As discussed below,</w:t>
      </w:r>
      <w:r w:rsidR="004C121A">
        <w:rPr>
          <w:rFonts w:cs="Arial"/>
          <w:sz w:val="24"/>
          <w:szCs w:val="24"/>
        </w:rPr>
        <w:t xml:space="preserve"> the Commission should reject DP&amp;L’s request for a waiver</w:t>
      </w:r>
      <w:r w:rsidR="00C120A6">
        <w:rPr>
          <w:rFonts w:cs="Arial"/>
          <w:sz w:val="24"/>
          <w:szCs w:val="24"/>
        </w:rPr>
        <w:t xml:space="preserve">. </w:t>
      </w:r>
    </w:p>
    <w:p w:rsidR="001834B6" w:rsidRDefault="001834B6" w:rsidP="00024473">
      <w:pPr>
        <w:autoSpaceDE w:val="0"/>
        <w:autoSpaceDN w:val="0"/>
        <w:adjustRightInd w:val="0"/>
        <w:spacing w:line="480" w:lineRule="auto"/>
        <w:ind w:firstLine="720"/>
        <w:jc w:val="both"/>
        <w:rPr>
          <w:rFonts w:cs="Arial"/>
          <w:sz w:val="24"/>
          <w:szCs w:val="24"/>
        </w:rPr>
      </w:pPr>
      <w:r w:rsidRPr="001834B6">
        <w:rPr>
          <w:rFonts w:cs="Arial"/>
          <w:sz w:val="24"/>
          <w:szCs w:val="24"/>
        </w:rPr>
        <w:t>In the rulemaking process which led to the creation of Rule 4901:1-37-09, OAC, the Commission determined that the market value of generating assets “could be helpful in determining whether the transfer is in the public interest.”</w:t>
      </w:r>
      <w:r w:rsidRPr="001834B6">
        <w:rPr>
          <w:rFonts w:cs="Arial"/>
          <w:sz w:val="24"/>
          <w:szCs w:val="24"/>
          <w:vertAlign w:val="superscript"/>
        </w:rPr>
        <w:footnoteReference w:id="22"/>
      </w:r>
      <w:r>
        <w:rPr>
          <w:rFonts w:cs="Arial"/>
          <w:sz w:val="24"/>
          <w:szCs w:val="24"/>
        </w:rPr>
        <w:t xml:space="preserve">  Because the market value of DP&amp;L’s generating assets may assist the Commission in determining whether the proposed transfer is in the public interest—the main consideration before the Commission in this proceeding—it would be improper to grant DP&amp;L’s waiver request. </w:t>
      </w:r>
    </w:p>
    <w:p w:rsidR="001834B6" w:rsidRDefault="00C120A6" w:rsidP="00936F84">
      <w:pPr>
        <w:tabs>
          <w:tab w:val="left" w:pos="720"/>
          <w:tab w:val="right" w:pos="8640"/>
        </w:tabs>
        <w:spacing w:line="480" w:lineRule="auto"/>
        <w:jc w:val="both"/>
        <w:rPr>
          <w:rFonts w:cs="Arial"/>
          <w:sz w:val="24"/>
          <w:szCs w:val="24"/>
        </w:rPr>
      </w:pPr>
      <w:r>
        <w:rPr>
          <w:rFonts w:cs="Arial"/>
          <w:sz w:val="24"/>
          <w:szCs w:val="24"/>
        </w:rPr>
        <w:tab/>
      </w:r>
      <w:r w:rsidR="001433AD">
        <w:rPr>
          <w:rFonts w:cs="Arial"/>
          <w:sz w:val="24"/>
          <w:szCs w:val="24"/>
        </w:rPr>
        <w:t xml:space="preserve">The Commission also should not entertain DP&amp;L’s </w:t>
      </w:r>
      <w:r w:rsidR="001834B6">
        <w:rPr>
          <w:rFonts w:cs="Arial"/>
          <w:sz w:val="24"/>
          <w:szCs w:val="24"/>
        </w:rPr>
        <w:t xml:space="preserve">waiver request because it is premature.  </w:t>
      </w:r>
      <w:r w:rsidR="00B05AFB">
        <w:rPr>
          <w:rFonts w:cs="Arial"/>
          <w:sz w:val="24"/>
          <w:szCs w:val="24"/>
        </w:rPr>
        <w:t>The Commission</w:t>
      </w:r>
      <w:r w:rsidRPr="00C120A6">
        <w:rPr>
          <w:rFonts w:eastAsia="Times New Roman" w:cs="Arial"/>
          <w:sz w:val="24"/>
          <w:szCs w:val="24"/>
        </w:rPr>
        <w:t xml:space="preserve"> </w:t>
      </w:r>
      <w:r w:rsidR="00B05AFB">
        <w:rPr>
          <w:rFonts w:eastAsia="Times New Roman" w:cs="Arial"/>
          <w:sz w:val="24"/>
          <w:szCs w:val="24"/>
        </w:rPr>
        <w:t xml:space="preserve">has </w:t>
      </w:r>
      <w:r w:rsidRPr="00C120A6">
        <w:rPr>
          <w:rFonts w:eastAsia="Times New Roman" w:cs="Arial"/>
          <w:sz w:val="24"/>
          <w:szCs w:val="24"/>
        </w:rPr>
        <w:t xml:space="preserve">evaluated </w:t>
      </w:r>
      <w:r w:rsidR="00B05AFB">
        <w:rPr>
          <w:rFonts w:eastAsia="Times New Roman" w:cs="Arial"/>
          <w:sz w:val="24"/>
          <w:szCs w:val="24"/>
        </w:rPr>
        <w:t xml:space="preserve">waiver requests </w:t>
      </w:r>
      <w:r w:rsidRPr="00C120A6">
        <w:rPr>
          <w:rFonts w:eastAsia="Times New Roman" w:cs="Arial"/>
          <w:sz w:val="24"/>
          <w:szCs w:val="24"/>
        </w:rPr>
        <w:t>on a case-by-case basis.</w:t>
      </w:r>
      <w:r>
        <w:rPr>
          <w:rStyle w:val="FootnoteReference"/>
          <w:rFonts w:cs="Arial"/>
          <w:sz w:val="24"/>
          <w:szCs w:val="24"/>
        </w:rPr>
        <w:footnoteReference w:id="23"/>
      </w:r>
      <w:r w:rsidR="00B05AFB">
        <w:rPr>
          <w:rFonts w:eastAsia="Times New Roman" w:cs="Arial"/>
          <w:sz w:val="24"/>
          <w:szCs w:val="24"/>
        </w:rPr>
        <w:t xml:space="preserve">  Thus, a determination of good cause turns upon the facts of each case.</w:t>
      </w:r>
      <w:r w:rsidR="004C121A">
        <w:rPr>
          <w:rFonts w:cs="Arial"/>
          <w:sz w:val="24"/>
          <w:szCs w:val="24"/>
        </w:rPr>
        <w:t xml:space="preserve">  Because DP&amp;L has failed to provide a complete application, the Commission lacks the necessary information to properly evaluate DP&amp;L’s waiver request.</w:t>
      </w:r>
      <w:r w:rsidR="001834B6">
        <w:rPr>
          <w:rFonts w:cs="Arial"/>
          <w:sz w:val="24"/>
          <w:szCs w:val="24"/>
        </w:rPr>
        <w:t xml:space="preserve"> </w:t>
      </w:r>
    </w:p>
    <w:p w:rsidR="00C120A6" w:rsidRPr="00C120A6" w:rsidRDefault="001834B6" w:rsidP="00936F84">
      <w:pPr>
        <w:tabs>
          <w:tab w:val="left" w:pos="720"/>
          <w:tab w:val="right" w:pos="8640"/>
        </w:tabs>
        <w:spacing w:line="480" w:lineRule="auto"/>
        <w:jc w:val="both"/>
        <w:rPr>
          <w:rFonts w:cs="Arial"/>
          <w:sz w:val="24"/>
          <w:szCs w:val="24"/>
        </w:rPr>
      </w:pPr>
      <w:r>
        <w:rPr>
          <w:rFonts w:cs="Arial"/>
          <w:sz w:val="24"/>
          <w:szCs w:val="24"/>
        </w:rPr>
        <w:tab/>
        <w:t>Moreov</w:t>
      </w:r>
      <w:r w:rsidR="00B05AFB">
        <w:rPr>
          <w:rFonts w:cs="Arial"/>
          <w:sz w:val="24"/>
          <w:szCs w:val="24"/>
        </w:rPr>
        <w:t>er, DP&amp;L has failed to demonstrate good cause for a waiver</w:t>
      </w:r>
      <w:r>
        <w:rPr>
          <w:rFonts w:cs="Arial"/>
          <w:sz w:val="24"/>
          <w:szCs w:val="24"/>
        </w:rPr>
        <w:t>.</w:t>
      </w:r>
      <w:r w:rsidR="00D964D6">
        <w:rPr>
          <w:rFonts w:cs="Arial"/>
          <w:sz w:val="24"/>
          <w:szCs w:val="24"/>
        </w:rPr>
        <w:t xml:space="preserve"> </w:t>
      </w:r>
      <w:r>
        <w:rPr>
          <w:rFonts w:cs="Arial"/>
          <w:sz w:val="24"/>
          <w:szCs w:val="24"/>
        </w:rPr>
        <w:t xml:space="preserve"> </w:t>
      </w:r>
      <w:r w:rsidR="00D964D6">
        <w:rPr>
          <w:rFonts w:cs="Arial"/>
          <w:sz w:val="24"/>
          <w:szCs w:val="24"/>
        </w:rPr>
        <w:t xml:space="preserve">DP&amp;L’s claim that it has not determined whether the assets should be transferred at market </w:t>
      </w:r>
      <w:r w:rsidR="00D964D6">
        <w:rPr>
          <w:rFonts w:cs="Arial"/>
          <w:sz w:val="24"/>
          <w:szCs w:val="24"/>
        </w:rPr>
        <w:lastRenderedPageBreak/>
        <w:t>value or book value does not provide a basis for granting a waiver.  DP&amp;L is free to propose to transfer its generating assets at either book value or market value, but the Commission must determine whether the transfer valuation is just, reasonable, and in the public interest.  And, a</w:t>
      </w:r>
      <w:r>
        <w:rPr>
          <w:rFonts w:cs="Arial"/>
          <w:sz w:val="24"/>
          <w:szCs w:val="24"/>
        </w:rPr>
        <w:t>lthough the</w:t>
      </w:r>
      <w:r w:rsidR="004C121A">
        <w:rPr>
          <w:rFonts w:cs="Arial"/>
          <w:sz w:val="24"/>
          <w:szCs w:val="24"/>
        </w:rPr>
        <w:t xml:space="preserve"> value of DP&amp;L’s generating assets may change in the future</w:t>
      </w:r>
      <w:r>
        <w:rPr>
          <w:rFonts w:cs="Arial"/>
          <w:sz w:val="24"/>
          <w:szCs w:val="24"/>
        </w:rPr>
        <w:t>, that is</w:t>
      </w:r>
      <w:r w:rsidR="004C121A">
        <w:rPr>
          <w:rFonts w:cs="Arial"/>
          <w:sz w:val="24"/>
          <w:szCs w:val="24"/>
        </w:rPr>
        <w:t xml:space="preserve"> not a </w:t>
      </w:r>
      <w:r>
        <w:rPr>
          <w:rFonts w:cs="Arial"/>
          <w:sz w:val="24"/>
          <w:szCs w:val="24"/>
        </w:rPr>
        <w:t>valid reason for dispensing with the requirement to state the fair market value of the generating assets altogether.</w:t>
      </w:r>
      <w:r w:rsidR="00024473">
        <w:rPr>
          <w:rFonts w:cs="Arial"/>
          <w:sz w:val="24"/>
          <w:szCs w:val="24"/>
        </w:rPr>
        <w:t xml:space="preserve">  </w:t>
      </w:r>
    </w:p>
    <w:p w:rsidR="00B07C41" w:rsidRDefault="00C120A6" w:rsidP="00B07C41">
      <w:pPr>
        <w:tabs>
          <w:tab w:val="left" w:pos="720"/>
          <w:tab w:val="right" w:pos="8640"/>
        </w:tabs>
        <w:spacing w:line="480" w:lineRule="auto"/>
        <w:jc w:val="both"/>
        <w:rPr>
          <w:rFonts w:eastAsia="Times New Roman" w:cs="Arial"/>
          <w:sz w:val="24"/>
          <w:szCs w:val="24"/>
        </w:rPr>
      </w:pPr>
      <w:r>
        <w:rPr>
          <w:rFonts w:eastAsia="Times New Roman" w:cs="Arial"/>
          <w:sz w:val="24"/>
          <w:szCs w:val="24"/>
        </w:rPr>
        <w:tab/>
        <w:t xml:space="preserve">DP&amp;L’s </w:t>
      </w:r>
      <w:r w:rsidRPr="00C120A6">
        <w:rPr>
          <w:rFonts w:eastAsia="Times New Roman" w:cs="Arial"/>
          <w:sz w:val="24"/>
          <w:szCs w:val="24"/>
        </w:rPr>
        <w:t>claim that the outcome in the</w:t>
      </w:r>
      <w:r w:rsidRPr="007868B1">
        <w:rPr>
          <w:rFonts w:eastAsia="Times New Roman" w:cs="Arial"/>
          <w:sz w:val="24"/>
          <w:szCs w:val="24"/>
        </w:rPr>
        <w:t xml:space="preserve"> </w:t>
      </w:r>
      <w:r w:rsidRPr="00A66034">
        <w:rPr>
          <w:rFonts w:eastAsia="Times New Roman" w:cs="Arial"/>
          <w:sz w:val="24"/>
          <w:szCs w:val="24"/>
        </w:rPr>
        <w:t>Duke</w:t>
      </w:r>
      <w:r w:rsidRPr="00C120A6">
        <w:rPr>
          <w:rFonts w:eastAsia="Times New Roman" w:cs="Arial"/>
          <w:sz w:val="24"/>
          <w:szCs w:val="24"/>
        </w:rPr>
        <w:t xml:space="preserve"> </w:t>
      </w:r>
      <w:r w:rsidR="00305225">
        <w:rPr>
          <w:rFonts w:eastAsia="Times New Roman" w:cs="Arial"/>
          <w:sz w:val="24"/>
          <w:szCs w:val="24"/>
        </w:rPr>
        <w:t>electric security plan</w:t>
      </w:r>
      <w:r w:rsidR="00173714">
        <w:rPr>
          <w:rStyle w:val="FootnoteReference"/>
          <w:rFonts w:eastAsia="Times New Roman" w:cs="Arial"/>
          <w:i/>
          <w:sz w:val="24"/>
          <w:szCs w:val="24"/>
        </w:rPr>
        <w:footnoteReference w:id="24"/>
      </w:r>
      <w:r w:rsidRPr="00C120A6">
        <w:rPr>
          <w:rFonts w:eastAsia="Times New Roman" w:cs="Arial"/>
          <w:sz w:val="24"/>
          <w:szCs w:val="24"/>
        </w:rPr>
        <w:t xml:space="preserve"> justifies a waiver is also without merit because the differences between the </w:t>
      </w:r>
      <w:r w:rsidRPr="00C120A6">
        <w:rPr>
          <w:rFonts w:eastAsia="Times New Roman" w:cs="Arial"/>
          <w:i/>
          <w:sz w:val="24"/>
          <w:szCs w:val="24"/>
        </w:rPr>
        <w:t>Duke ESP</w:t>
      </w:r>
      <w:r w:rsidRPr="00C120A6">
        <w:rPr>
          <w:rFonts w:eastAsia="Times New Roman" w:cs="Arial"/>
          <w:sz w:val="24"/>
          <w:szCs w:val="24"/>
        </w:rPr>
        <w:t xml:space="preserve"> and the </w:t>
      </w:r>
      <w:r w:rsidR="00305225">
        <w:rPr>
          <w:rFonts w:eastAsia="Times New Roman" w:cs="Arial"/>
          <w:sz w:val="24"/>
          <w:szCs w:val="24"/>
        </w:rPr>
        <w:t xml:space="preserve">Asset Transfer </w:t>
      </w:r>
      <w:r w:rsidRPr="00C120A6">
        <w:rPr>
          <w:rFonts w:eastAsia="Times New Roman" w:cs="Arial"/>
          <w:sz w:val="24"/>
          <w:szCs w:val="24"/>
        </w:rPr>
        <w:t xml:space="preserve">Application warrant different treatment.  The </w:t>
      </w:r>
      <w:r w:rsidRPr="00C120A6">
        <w:rPr>
          <w:rFonts w:eastAsia="Times New Roman" w:cs="Arial"/>
          <w:i/>
          <w:sz w:val="24"/>
          <w:szCs w:val="24"/>
        </w:rPr>
        <w:t xml:space="preserve">Duke ESP </w:t>
      </w:r>
      <w:r w:rsidRPr="00C120A6">
        <w:rPr>
          <w:rFonts w:eastAsia="Times New Roman" w:cs="Arial"/>
          <w:sz w:val="24"/>
          <w:szCs w:val="24"/>
        </w:rPr>
        <w:t>was resolved through an uncontested stipulation and the waiver requests were expressly written into the stipulation.</w:t>
      </w:r>
      <w:r w:rsidR="00305225">
        <w:rPr>
          <w:rStyle w:val="FootnoteReference"/>
          <w:rFonts w:eastAsia="Times New Roman" w:cs="Arial"/>
          <w:sz w:val="24"/>
          <w:szCs w:val="24"/>
        </w:rPr>
        <w:footnoteReference w:id="25"/>
      </w:r>
      <w:r w:rsidRPr="00C120A6">
        <w:rPr>
          <w:rFonts w:eastAsia="Times New Roman" w:cs="Arial"/>
          <w:sz w:val="24"/>
          <w:szCs w:val="24"/>
        </w:rPr>
        <w:t xml:space="preserve">  The Commission previously stated in Duke’s market rate offer case that matters can be resolved through </w:t>
      </w:r>
      <w:r w:rsidR="007868B1">
        <w:rPr>
          <w:rFonts w:eastAsia="Times New Roman" w:cs="Arial"/>
          <w:sz w:val="24"/>
          <w:szCs w:val="24"/>
        </w:rPr>
        <w:t xml:space="preserve">a </w:t>
      </w:r>
      <w:r w:rsidRPr="00C120A6">
        <w:rPr>
          <w:rFonts w:eastAsia="Times New Roman" w:cs="Arial"/>
          <w:sz w:val="24"/>
          <w:szCs w:val="24"/>
        </w:rPr>
        <w:t>stipulation that would not otherwise be resolved in the same manner on a stand-alone basis.</w:t>
      </w:r>
      <w:r w:rsidRPr="00C120A6">
        <w:rPr>
          <w:rFonts w:eastAsia="Times New Roman" w:cs="Arial"/>
          <w:sz w:val="24"/>
          <w:szCs w:val="24"/>
          <w:vertAlign w:val="superscript"/>
        </w:rPr>
        <w:footnoteReference w:id="26"/>
      </w:r>
      <w:r w:rsidRPr="00C120A6">
        <w:rPr>
          <w:rFonts w:eastAsia="Times New Roman" w:cs="Arial"/>
          <w:sz w:val="24"/>
          <w:szCs w:val="24"/>
        </w:rPr>
        <w:t xml:space="preserve">  Accordingly, as part of an uncontested stipulation, Duke agreed to set its next SSO price through a competitive bidding </w:t>
      </w:r>
      <w:r w:rsidRPr="00C120A6">
        <w:rPr>
          <w:rFonts w:eastAsia="Times New Roman" w:cs="Arial"/>
          <w:sz w:val="24"/>
          <w:szCs w:val="24"/>
        </w:rPr>
        <w:lastRenderedPageBreak/>
        <w:t>process, which reduced some total bills by nearly 20%,</w:t>
      </w:r>
      <w:r w:rsidRPr="00C120A6">
        <w:rPr>
          <w:rFonts w:eastAsia="Times New Roman" w:cs="Arial"/>
          <w:sz w:val="24"/>
          <w:szCs w:val="24"/>
          <w:vertAlign w:val="superscript"/>
        </w:rPr>
        <w:footnoteReference w:id="27"/>
      </w:r>
      <w:r w:rsidRPr="00C120A6">
        <w:rPr>
          <w:rFonts w:eastAsia="Times New Roman" w:cs="Arial"/>
          <w:sz w:val="24"/>
          <w:szCs w:val="24"/>
        </w:rPr>
        <w:t xml:space="preserve"> and several signatory parties agreed to waive the requirements of Rule 4901:1-37, OAC.</w:t>
      </w:r>
      <w:r w:rsidRPr="00C120A6">
        <w:rPr>
          <w:rFonts w:eastAsia="Times New Roman" w:cs="Arial"/>
          <w:sz w:val="24"/>
          <w:szCs w:val="24"/>
          <w:vertAlign w:val="superscript"/>
        </w:rPr>
        <w:footnoteReference w:id="28"/>
      </w:r>
      <w:r w:rsidRPr="00C120A6">
        <w:rPr>
          <w:rFonts w:eastAsia="Times New Roman" w:cs="Arial"/>
          <w:sz w:val="24"/>
          <w:szCs w:val="24"/>
        </w:rPr>
        <w:t xml:space="preserve">  </w:t>
      </w:r>
    </w:p>
    <w:p w:rsidR="00B05AFB" w:rsidRDefault="00B05AFB" w:rsidP="00B07C41">
      <w:pPr>
        <w:tabs>
          <w:tab w:val="left" w:pos="720"/>
          <w:tab w:val="right" w:pos="8640"/>
        </w:tabs>
        <w:spacing w:line="480" w:lineRule="auto"/>
        <w:jc w:val="both"/>
        <w:rPr>
          <w:rFonts w:eastAsia="Times New Roman" w:cs="Arial"/>
          <w:sz w:val="24"/>
          <w:szCs w:val="24"/>
        </w:rPr>
      </w:pPr>
      <w:r>
        <w:rPr>
          <w:rFonts w:eastAsia="Times New Roman" w:cs="Arial"/>
          <w:sz w:val="24"/>
          <w:szCs w:val="24"/>
        </w:rPr>
        <w:tab/>
        <w:t xml:space="preserve">Moreover, DP&amp;L </w:t>
      </w:r>
      <w:r w:rsidR="001053C5">
        <w:rPr>
          <w:rFonts w:eastAsia="Times New Roman" w:cs="Arial"/>
          <w:sz w:val="24"/>
          <w:szCs w:val="24"/>
        </w:rPr>
        <w:t>has not</w:t>
      </w:r>
      <w:r>
        <w:rPr>
          <w:rFonts w:eastAsia="Times New Roman" w:cs="Arial"/>
          <w:sz w:val="24"/>
          <w:szCs w:val="24"/>
        </w:rPr>
        <w:t xml:space="preserve"> demonstrate</w:t>
      </w:r>
      <w:r w:rsidR="001053C5">
        <w:rPr>
          <w:rFonts w:eastAsia="Times New Roman" w:cs="Arial"/>
          <w:sz w:val="24"/>
          <w:szCs w:val="24"/>
        </w:rPr>
        <w:t>d</w:t>
      </w:r>
      <w:r>
        <w:rPr>
          <w:rFonts w:eastAsia="Times New Roman" w:cs="Arial"/>
          <w:sz w:val="24"/>
          <w:szCs w:val="24"/>
        </w:rPr>
        <w:t xml:space="preserve"> that it is similarly situated to AEP-Ohio.  Because DP&amp;L has failed to provide a complete application, this proceeding cannot be compared to </w:t>
      </w:r>
      <w:r w:rsidR="001053C5">
        <w:rPr>
          <w:rFonts w:eastAsia="Times New Roman" w:cs="Arial"/>
          <w:sz w:val="24"/>
          <w:szCs w:val="24"/>
        </w:rPr>
        <w:t xml:space="preserve">the </w:t>
      </w:r>
      <w:r>
        <w:rPr>
          <w:rFonts w:eastAsia="Times New Roman" w:cs="Arial"/>
          <w:sz w:val="24"/>
          <w:szCs w:val="24"/>
        </w:rPr>
        <w:t>facts and circumstances that existed in AEP-Ohio’s corporate separation case.</w:t>
      </w:r>
    </w:p>
    <w:p w:rsidR="007868B1" w:rsidRDefault="00B6798D" w:rsidP="00A66034">
      <w:pPr>
        <w:pStyle w:val="ListParagraph"/>
        <w:numPr>
          <w:ilvl w:val="0"/>
          <w:numId w:val="4"/>
        </w:numPr>
        <w:tabs>
          <w:tab w:val="left" w:pos="720"/>
          <w:tab w:val="right" w:pos="8640"/>
        </w:tabs>
        <w:jc w:val="both"/>
        <w:rPr>
          <w:rFonts w:cs="Arial"/>
          <w:b/>
          <w:sz w:val="24"/>
          <w:szCs w:val="24"/>
        </w:rPr>
      </w:pPr>
      <w:r>
        <w:rPr>
          <w:rFonts w:cs="Arial"/>
          <w:b/>
          <w:sz w:val="24"/>
          <w:szCs w:val="24"/>
        </w:rPr>
        <w:t xml:space="preserve">The Commission should reject DP&amp;L’s premature request for a waiver of the hearing requirement </w:t>
      </w:r>
    </w:p>
    <w:p w:rsidR="007868B1" w:rsidRPr="00A66034" w:rsidRDefault="007868B1" w:rsidP="00A66034">
      <w:pPr>
        <w:pStyle w:val="ListParagraph"/>
        <w:tabs>
          <w:tab w:val="left" w:pos="720"/>
          <w:tab w:val="right" w:pos="8640"/>
        </w:tabs>
        <w:ind w:left="1080"/>
        <w:jc w:val="both"/>
        <w:rPr>
          <w:rFonts w:cs="Arial"/>
          <w:b/>
          <w:sz w:val="24"/>
          <w:szCs w:val="24"/>
        </w:rPr>
      </w:pPr>
    </w:p>
    <w:p w:rsidR="00156F8D" w:rsidRDefault="00B6798D" w:rsidP="00B6798D">
      <w:pPr>
        <w:tabs>
          <w:tab w:val="left" w:pos="720"/>
          <w:tab w:val="right" w:pos="8640"/>
        </w:tabs>
        <w:spacing w:line="480" w:lineRule="auto"/>
        <w:jc w:val="both"/>
        <w:rPr>
          <w:rFonts w:cs="Arial"/>
          <w:sz w:val="24"/>
          <w:szCs w:val="24"/>
        </w:rPr>
      </w:pPr>
      <w:r>
        <w:rPr>
          <w:rFonts w:cs="Arial"/>
          <w:b/>
          <w:sz w:val="24"/>
          <w:szCs w:val="24"/>
        </w:rPr>
        <w:tab/>
      </w:r>
      <w:r>
        <w:rPr>
          <w:rFonts w:cs="Arial"/>
          <w:sz w:val="24"/>
          <w:szCs w:val="24"/>
        </w:rPr>
        <w:t>DP&amp;L claims that the Commission should</w:t>
      </w:r>
      <w:r w:rsidR="001053C5">
        <w:rPr>
          <w:rFonts w:cs="Arial"/>
          <w:sz w:val="24"/>
          <w:szCs w:val="24"/>
        </w:rPr>
        <w:t xml:space="preserve"> also</w:t>
      </w:r>
      <w:r>
        <w:rPr>
          <w:rFonts w:cs="Arial"/>
          <w:sz w:val="24"/>
          <w:szCs w:val="24"/>
        </w:rPr>
        <w:t xml:space="preserve"> waive the hearing requirement</w:t>
      </w:r>
      <w:r w:rsidR="00305225">
        <w:rPr>
          <w:rFonts w:cs="Arial"/>
          <w:sz w:val="24"/>
          <w:szCs w:val="24"/>
        </w:rPr>
        <w:t xml:space="preserve"> because it has not “</w:t>
      </w:r>
      <w:r>
        <w:rPr>
          <w:rFonts w:cs="Arial"/>
          <w:sz w:val="24"/>
          <w:szCs w:val="24"/>
        </w:rPr>
        <w:t xml:space="preserve">determined its final plan for separation and intends to supplement this application.  Good cause </w:t>
      </w:r>
      <w:r w:rsidR="005F60FA">
        <w:rPr>
          <w:rFonts w:cs="Arial"/>
          <w:sz w:val="24"/>
          <w:szCs w:val="24"/>
        </w:rPr>
        <w:t xml:space="preserve">also </w:t>
      </w:r>
      <w:r>
        <w:rPr>
          <w:rFonts w:cs="Arial"/>
          <w:sz w:val="24"/>
          <w:szCs w:val="24"/>
        </w:rPr>
        <w:t>exists for continuing the waiver after DP&amp;L’s supplemental application is filed, because a comment process, together with a Staff evaluation of the request to transfer generation assets, will allow this Commission to evaluate the proposed transfer expeditiously.”</w:t>
      </w:r>
      <w:r w:rsidR="00A66034">
        <w:rPr>
          <w:rStyle w:val="FootnoteReference"/>
          <w:rFonts w:cs="Arial"/>
          <w:sz w:val="24"/>
          <w:szCs w:val="24"/>
        </w:rPr>
        <w:footnoteReference w:id="29"/>
      </w:r>
      <w:r>
        <w:rPr>
          <w:rFonts w:cs="Arial"/>
          <w:sz w:val="24"/>
          <w:szCs w:val="24"/>
        </w:rPr>
        <w:t xml:space="preserve">  DP&amp;L also claims that</w:t>
      </w:r>
      <w:r w:rsidR="00156F8D">
        <w:rPr>
          <w:rFonts w:cs="Arial"/>
          <w:sz w:val="24"/>
          <w:szCs w:val="24"/>
        </w:rPr>
        <w:t xml:space="preserve"> an additional hearing is unnecessary because</w:t>
      </w:r>
      <w:r>
        <w:rPr>
          <w:rFonts w:cs="Arial"/>
          <w:sz w:val="24"/>
          <w:szCs w:val="24"/>
        </w:rPr>
        <w:t xml:space="preserve"> the Commission conducted an extensive hearing on the subject of the transfer </w:t>
      </w:r>
      <w:r w:rsidR="007868B1">
        <w:rPr>
          <w:rFonts w:cs="Arial"/>
          <w:sz w:val="24"/>
          <w:szCs w:val="24"/>
        </w:rPr>
        <w:t xml:space="preserve">of </w:t>
      </w:r>
      <w:r w:rsidR="005E7590">
        <w:rPr>
          <w:rFonts w:cs="Arial"/>
          <w:sz w:val="24"/>
          <w:szCs w:val="24"/>
        </w:rPr>
        <w:t>its generating assets in i</w:t>
      </w:r>
      <w:r w:rsidR="00156F8D">
        <w:rPr>
          <w:rFonts w:cs="Arial"/>
          <w:sz w:val="24"/>
          <w:szCs w:val="24"/>
        </w:rPr>
        <w:t xml:space="preserve">ts </w:t>
      </w:r>
      <w:r w:rsidR="007868B1">
        <w:rPr>
          <w:rFonts w:cs="Arial"/>
          <w:sz w:val="24"/>
          <w:szCs w:val="24"/>
        </w:rPr>
        <w:tab/>
        <w:t>ESP</w:t>
      </w:r>
      <w:r w:rsidR="00156F8D">
        <w:rPr>
          <w:rFonts w:cs="Arial"/>
          <w:sz w:val="24"/>
          <w:szCs w:val="24"/>
        </w:rPr>
        <w:t xml:space="preserve"> case.</w:t>
      </w:r>
      <w:r w:rsidR="00A66034">
        <w:rPr>
          <w:rStyle w:val="FootnoteReference"/>
          <w:rFonts w:cs="Arial"/>
          <w:sz w:val="24"/>
          <w:szCs w:val="24"/>
        </w:rPr>
        <w:footnoteReference w:id="30"/>
      </w:r>
      <w:r w:rsidR="00156F8D">
        <w:rPr>
          <w:rFonts w:cs="Arial"/>
          <w:sz w:val="24"/>
          <w:szCs w:val="24"/>
        </w:rPr>
        <w:t xml:space="preserve">  DP&amp;L </w:t>
      </w:r>
      <w:r w:rsidR="00305225">
        <w:rPr>
          <w:rFonts w:cs="Arial"/>
          <w:sz w:val="24"/>
          <w:szCs w:val="24"/>
        </w:rPr>
        <w:t xml:space="preserve">also </w:t>
      </w:r>
      <w:r w:rsidR="00156F8D">
        <w:rPr>
          <w:rFonts w:cs="Arial"/>
          <w:sz w:val="24"/>
          <w:szCs w:val="24"/>
        </w:rPr>
        <w:t>claims the Commission should waive the hearing requirement because it did so for Duke and AEP-Ohio.</w:t>
      </w:r>
      <w:r w:rsidR="00305225">
        <w:rPr>
          <w:rStyle w:val="FootnoteReference"/>
          <w:rFonts w:cs="Arial"/>
          <w:sz w:val="24"/>
          <w:szCs w:val="24"/>
        </w:rPr>
        <w:footnoteReference w:id="31"/>
      </w:r>
      <w:r w:rsidR="00156F8D">
        <w:rPr>
          <w:rFonts w:cs="Arial"/>
          <w:sz w:val="24"/>
          <w:szCs w:val="24"/>
        </w:rPr>
        <w:t xml:space="preserve">  </w:t>
      </w:r>
      <w:r w:rsidR="00A66034">
        <w:rPr>
          <w:rFonts w:cs="Arial"/>
          <w:sz w:val="24"/>
          <w:szCs w:val="24"/>
        </w:rPr>
        <w:t>DP&amp;L’s arguments lack merit.</w:t>
      </w:r>
    </w:p>
    <w:p w:rsidR="00534C4C" w:rsidRDefault="00156F8D" w:rsidP="00B6798D">
      <w:pPr>
        <w:tabs>
          <w:tab w:val="left" w:pos="720"/>
          <w:tab w:val="right" w:pos="8640"/>
        </w:tabs>
        <w:spacing w:line="480" w:lineRule="auto"/>
        <w:jc w:val="both"/>
        <w:rPr>
          <w:rFonts w:cs="Arial"/>
          <w:sz w:val="24"/>
          <w:szCs w:val="24"/>
        </w:rPr>
      </w:pPr>
      <w:r>
        <w:rPr>
          <w:rFonts w:cs="Arial"/>
          <w:sz w:val="24"/>
          <w:szCs w:val="24"/>
        </w:rPr>
        <w:lastRenderedPageBreak/>
        <w:tab/>
      </w:r>
      <w:r w:rsidR="005770C4">
        <w:rPr>
          <w:rFonts w:cs="Arial"/>
          <w:sz w:val="24"/>
          <w:szCs w:val="24"/>
        </w:rPr>
        <w:t xml:space="preserve">The Commission should reject </w:t>
      </w:r>
      <w:r w:rsidR="002152F6">
        <w:rPr>
          <w:rFonts w:cs="Arial"/>
          <w:sz w:val="24"/>
          <w:szCs w:val="24"/>
        </w:rPr>
        <w:t>DP&amp;L’s</w:t>
      </w:r>
      <w:r w:rsidR="005770C4">
        <w:rPr>
          <w:rFonts w:cs="Arial"/>
          <w:sz w:val="24"/>
          <w:szCs w:val="24"/>
        </w:rPr>
        <w:t xml:space="preserve"> absurd</w:t>
      </w:r>
      <w:r w:rsidR="002152F6">
        <w:rPr>
          <w:rFonts w:cs="Arial"/>
          <w:sz w:val="24"/>
          <w:szCs w:val="24"/>
        </w:rPr>
        <w:t xml:space="preserve"> claim that the incompleteness of its </w:t>
      </w:r>
      <w:r w:rsidR="00A66034">
        <w:rPr>
          <w:rFonts w:cs="Arial"/>
          <w:sz w:val="24"/>
          <w:szCs w:val="24"/>
        </w:rPr>
        <w:t xml:space="preserve">Asset Transfer Application </w:t>
      </w:r>
      <w:r w:rsidR="002152F6">
        <w:rPr>
          <w:rFonts w:cs="Arial"/>
          <w:sz w:val="24"/>
          <w:szCs w:val="24"/>
        </w:rPr>
        <w:t>justifies a waiver.  The Commission reviews waiver requests based upon the facts of each case.  But DP&amp;L has failed to provide the specific details of the transfer.  Thus, it is premature to grant DP&amp;L’s waiver request.</w:t>
      </w:r>
      <w:r w:rsidR="00534C4C">
        <w:rPr>
          <w:rFonts w:cs="Arial"/>
          <w:sz w:val="24"/>
          <w:szCs w:val="24"/>
        </w:rPr>
        <w:t xml:space="preserve">  For the same reason, it is premature to compare this proceeding to the Duke or AEP-Ohio generating asset transfer cases. </w:t>
      </w:r>
      <w:r w:rsidR="002152F6">
        <w:rPr>
          <w:rFonts w:cs="Arial"/>
          <w:sz w:val="24"/>
          <w:szCs w:val="24"/>
        </w:rPr>
        <w:t xml:space="preserve"> Moreover, until DP&amp;L reveals th</w:t>
      </w:r>
      <w:r w:rsidR="00B05AFB">
        <w:rPr>
          <w:rFonts w:cs="Arial"/>
          <w:sz w:val="24"/>
          <w:szCs w:val="24"/>
        </w:rPr>
        <w:t>e specific details in its supplemental</w:t>
      </w:r>
      <w:r w:rsidR="002152F6">
        <w:rPr>
          <w:rFonts w:cs="Arial"/>
          <w:sz w:val="24"/>
          <w:szCs w:val="24"/>
        </w:rPr>
        <w:t xml:space="preserve"> application, the Commission cannot determine that a comment process will allow the Commission to sufficiently evaluate DP&amp;L’s request. </w:t>
      </w:r>
    </w:p>
    <w:p w:rsidR="004F4FD6" w:rsidRPr="007B7B5A" w:rsidRDefault="002152F6" w:rsidP="007B7B5A">
      <w:pPr>
        <w:spacing w:line="480" w:lineRule="auto"/>
        <w:jc w:val="both"/>
        <w:rPr>
          <w:sz w:val="24"/>
          <w:szCs w:val="24"/>
        </w:rPr>
      </w:pPr>
      <w:r>
        <w:rPr>
          <w:rFonts w:cs="Arial"/>
          <w:sz w:val="24"/>
          <w:szCs w:val="24"/>
        </w:rPr>
        <w:tab/>
      </w:r>
      <w:r w:rsidR="005770C4">
        <w:rPr>
          <w:rFonts w:cs="Arial"/>
          <w:sz w:val="24"/>
          <w:szCs w:val="24"/>
        </w:rPr>
        <w:t>Additionally, t</w:t>
      </w:r>
      <w:r w:rsidR="00D36846">
        <w:rPr>
          <w:rFonts w:cs="Arial"/>
          <w:sz w:val="24"/>
          <w:szCs w:val="24"/>
        </w:rPr>
        <w:t xml:space="preserve">he ESP hearing is not </w:t>
      </w:r>
      <w:r>
        <w:rPr>
          <w:rFonts w:cs="Arial"/>
          <w:sz w:val="24"/>
          <w:szCs w:val="24"/>
        </w:rPr>
        <w:t>a substitute</w:t>
      </w:r>
      <w:r w:rsidR="00D36846">
        <w:rPr>
          <w:rFonts w:cs="Arial"/>
          <w:sz w:val="24"/>
          <w:szCs w:val="24"/>
        </w:rPr>
        <w:t xml:space="preserve"> for a hearing in this proceeding</w:t>
      </w:r>
      <w:r w:rsidR="00B05AFB" w:rsidRPr="00B05AFB">
        <w:rPr>
          <w:rFonts w:cs="Arial"/>
          <w:sz w:val="24"/>
          <w:szCs w:val="24"/>
        </w:rPr>
        <w:t xml:space="preserve"> </w:t>
      </w:r>
      <w:r w:rsidR="00B05AFB">
        <w:rPr>
          <w:rFonts w:cs="Arial"/>
          <w:sz w:val="24"/>
          <w:szCs w:val="24"/>
        </w:rPr>
        <w:t>because the ESP case did not resolve issues related to the terms and conditions of DP&amp;L’s generati</w:t>
      </w:r>
      <w:r w:rsidR="005F60FA">
        <w:rPr>
          <w:rFonts w:cs="Arial"/>
          <w:sz w:val="24"/>
          <w:szCs w:val="24"/>
        </w:rPr>
        <w:t>on</w:t>
      </w:r>
      <w:r w:rsidR="00B05AFB">
        <w:rPr>
          <w:rFonts w:cs="Arial"/>
          <w:sz w:val="24"/>
          <w:szCs w:val="24"/>
        </w:rPr>
        <w:t xml:space="preserve"> asset transfer</w:t>
      </w:r>
      <w:r w:rsidR="00825299">
        <w:rPr>
          <w:rFonts w:cs="Arial"/>
          <w:sz w:val="24"/>
          <w:szCs w:val="24"/>
        </w:rPr>
        <w:t>.</w:t>
      </w:r>
      <w:r w:rsidR="00F152C8">
        <w:rPr>
          <w:rFonts w:cs="Arial"/>
          <w:sz w:val="24"/>
          <w:szCs w:val="24"/>
        </w:rPr>
        <w:t xml:space="preserve"> </w:t>
      </w:r>
      <w:r w:rsidR="00825299">
        <w:rPr>
          <w:rFonts w:cs="Arial"/>
          <w:sz w:val="24"/>
          <w:szCs w:val="24"/>
        </w:rPr>
        <w:t xml:space="preserve"> </w:t>
      </w:r>
      <w:r w:rsidR="005770C4">
        <w:rPr>
          <w:rFonts w:cs="Arial"/>
          <w:sz w:val="24"/>
          <w:szCs w:val="24"/>
        </w:rPr>
        <w:t>DP&amp;L’s generati</w:t>
      </w:r>
      <w:r w:rsidR="005F60FA">
        <w:rPr>
          <w:rFonts w:cs="Arial"/>
          <w:sz w:val="24"/>
          <w:szCs w:val="24"/>
        </w:rPr>
        <w:t>o</w:t>
      </w:r>
      <w:r w:rsidR="005770C4">
        <w:rPr>
          <w:rFonts w:cs="Arial"/>
          <w:sz w:val="24"/>
          <w:szCs w:val="24"/>
        </w:rPr>
        <w:t xml:space="preserve">n asset transfer was relevant to the ESP </w:t>
      </w:r>
      <w:r w:rsidR="00B82E96">
        <w:rPr>
          <w:rFonts w:cs="Arial"/>
          <w:sz w:val="24"/>
          <w:szCs w:val="24"/>
        </w:rPr>
        <w:t>hearing</w:t>
      </w:r>
      <w:r w:rsidR="00B05AFB">
        <w:rPr>
          <w:rFonts w:cs="Arial"/>
          <w:sz w:val="24"/>
          <w:szCs w:val="24"/>
        </w:rPr>
        <w:t xml:space="preserve"> only</w:t>
      </w:r>
      <w:r w:rsidR="00B82E96">
        <w:rPr>
          <w:rFonts w:cs="Arial"/>
          <w:sz w:val="24"/>
          <w:szCs w:val="24"/>
        </w:rPr>
        <w:t xml:space="preserve"> with respect to two issues.  First,</w:t>
      </w:r>
      <w:r w:rsidR="00F152C8">
        <w:rPr>
          <w:rFonts w:cs="Arial"/>
          <w:sz w:val="24"/>
          <w:szCs w:val="24"/>
        </w:rPr>
        <w:t xml:space="preserve"> DP&amp;L</w:t>
      </w:r>
      <w:r w:rsidR="00712126">
        <w:rPr>
          <w:rFonts w:cs="Arial"/>
          <w:sz w:val="24"/>
          <w:szCs w:val="24"/>
        </w:rPr>
        <w:t xml:space="preserve"> claimed that the projected earnings of its generation assets would potentially impair its</w:t>
      </w:r>
      <w:r w:rsidR="00176D4A">
        <w:rPr>
          <w:rFonts w:cs="Arial"/>
          <w:sz w:val="24"/>
          <w:szCs w:val="24"/>
        </w:rPr>
        <w:t xml:space="preserve"> total</w:t>
      </w:r>
      <w:r w:rsidR="00F152C8">
        <w:rPr>
          <w:rFonts w:cs="Arial"/>
          <w:sz w:val="24"/>
          <w:szCs w:val="24"/>
        </w:rPr>
        <w:t xml:space="preserve"> company</w:t>
      </w:r>
      <w:r w:rsidR="00712126">
        <w:rPr>
          <w:rFonts w:cs="Arial"/>
          <w:sz w:val="24"/>
          <w:szCs w:val="24"/>
        </w:rPr>
        <w:t xml:space="preserve"> financial integrity.</w:t>
      </w:r>
      <w:r w:rsidR="00C75887">
        <w:rPr>
          <w:rStyle w:val="FootnoteReference"/>
          <w:rFonts w:cs="Arial"/>
          <w:sz w:val="24"/>
          <w:szCs w:val="24"/>
        </w:rPr>
        <w:footnoteReference w:id="32"/>
      </w:r>
      <w:r w:rsidR="00712126">
        <w:rPr>
          <w:rFonts w:cs="Arial"/>
          <w:sz w:val="24"/>
          <w:szCs w:val="24"/>
        </w:rPr>
        <w:t xml:space="preserve">  Thus, DP&amp;L requested that the Commission authorize </w:t>
      </w:r>
      <w:r w:rsidR="00712126" w:rsidRPr="00712126">
        <w:rPr>
          <w:rFonts w:cs="Arial"/>
          <w:sz w:val="24"/>
          <w:szCs w:val="24"/>
        </w:rPr>
        <w:t xml:space="preserve">the Service Stability Rider </w:t>
      </w:r>
      <w:r w:rsidR="00712126">
        <w:rPr>
          <w:rFonts w:cs="Arial"/>
          <w:sz w:val="24"/>
          <w:szCs w:val="24"/>
        </w:rPr>
        <w:t xml:space="preserve">(“SSR”) </w:t>
      </w:r>
      <w:r w:rsidR="00712126" w:rsidRPr="00712126">
        <w:rPr>
          <w:rFonts w:cs="Arial"/>
          <w:sz w:val="24"/>
          <w:szCs w:val="24"/>
        </w:rPr>
        <w:t>to</w:t>
      </w:r>
      <w:r w:rsidR="00712126">
        <w:rPr>
          <w:rFonts w:cs="Arial"/>
          <w:sz w:val="24"/>
          <w:szCs w:val="24"/>
        </w:rPr>
        <w:t xml:space="preserve"> ensure that DP&amp;L reaches </w:t>
      </w:r>
      <w:r w:rsidR="00712126" w:rsidRPr="00712126">
        <w:rPr>
          <w:rFonts w:cs="Arial"/>
          <w:sz w:val="24"/>
          <w:szCs w:val="24"/>
        </w:rPr>
        <w:t xml:space="preserve">a target </w:t>
      </w:r>
      <w:r w:rsidR="00712126">
        <w:rPr>
          <w:rFonts w:cs="Arial"/>
          <w:sz w:val="24"/>
          <w:szCs w:val="24"/>
        </w:rPr>
        <w:t xml:space="preserve">total company </w:t>
      </w:r>
      <w:r w:rsidR="00712126" w:rsidRPr="00712126">
        <w:rPr>
          <w:rFonts w:cs="Arial"/>
          <w:sz w:val="24"/>
          <w:szCs w:val="24"/>
        </w:rPr>
        <w:t>return on equity between 7 and 11 p</w:t>
      </w:r>
      <w:r w:rsidR="00712126">
        <w:rPr>
          <w:rFonts w:cs="Arial"/>
          <w:sz w:val="24"/>
          <w:szCs w:val="24"/>
        </w:rPr>
        <w:t>ercent in each year of the ESP.</w:t>
      </w:r>
      <w:r w:rsidR="001053C5">
        <w:rPr>
          <w:rStyle w:val="FootnoteReference"/>
          <w:rFonts w:cs="Arial"/>
          <w:sz w:val="24"/>
          <w:szCs w:val="24"/>
        </w:rPr>
        <w:footnoteReference w:id="33"/>
      </w:r>
      <w:r w:rsidR="00712126">
        <w:rPr>
          <w:rFonts w:cs="Arial"/>
          <w:sz w:val="24"/>
          <w:szCs w:val="24"/>
        </w:rPr>
        <w:t xml:space="preserve">  Second, DP&amp;L </w:t>
      </w:r>
      <w:r w:rsidR="00825299">
        <w:rPr>
          <w:rFonts w:cs="Arial"/>
          <w:sz w:val="24"/>
          <w:szCs w:val="24"/>
        </w:rPr>
        <w:t>claimed that the Commission should authorize a five-year ESP and SSR so that it could transfer its generating assets in 2017.</w:t>
      </w:r>
      <w:r w:rsidR="00C75887">
        <w:rPr>
          <w:rStyle w:val="FootnoteReference"/>
          <w:rFonts w:cs="Arial"/>
          <w:sz w:val="24"/>
          <w:szCs w:val="24"/>
        </w:rPr>
        <w:footnoteReference w:id="34"/>
      </w:r>
      <w:r w:rsidR="00825299">
        <w:rPr>
          <w:rFonts w:cs="Arial"/>
          <w:sz w:val="24"/>
          <w:szCs w:val="24"/>
        </w:rPr>
        <w:t xml:space="preserve">  As DP&amp;L’s Chief Financial Officer testified, “[t]he revenues </w:t>
      </w:r>
      <w:r w:rsidR="00825299" w:rsidRPr="00825299">
        <w:rPr>
          <w:rFonts w:cs="Arial"/>
          <w:sz w:val="24"/>
          <w:szCs w:val="24"/>
        </w:rPr>
        <w:t>from the ESP, including the SSR revenues, are needed to ensure the fin</w:t>
      </w:r>
      <w:r w:rsidR="00825299">
        <w:rPr>
          <w:rFonts w:cs="Arial"/>
          <w:sz w:val="24"/>
          <w:szCs w:val="24"/>
        </w:rPr>
        <w:t xml:space="preserve">ancial integrity of </w:t>
      </w:r>
      <w:r w:rsidR="00825299" w:rsidRPr="00825299">
        <w:rPr>
          <w:rFonts w:cs="Arial"/>
          <w:sz w:val="24"/>
          <w:szCs w:val="24"/>
        </w:rPr>
        <w:t>DP&amp;L, and are required to meet DP&amp;L's own obliga</w:t>
      </w:r>
      <w:r w:rsidR="00825299">
        <w:rPr>
          <w:rFonts w:cs="Arial"/>
          <w:sz w:val="24"/>
          <w:szCs w:val="24"/>
        </w:rPr>
        <w:t xml:space="preserve">tions and enable the Company to </w:t>
      </w:r>
      <w:r w:rsidR="00825299" w:rsidRPr="00825299">
        <w:rPr>
          <w:rFonts w:cs="Arial"/>
          <w:sz w:val="24"/>
          <w:szCs w:val="24"/>
        </w:rPr>
        <w:lastRenderedPageBreak/>
        <w:t>legally separate at December 31, 2017.</w:t>
      </w:r>
      <w:r w:rsidR="00825299">
        <w:rPr>
          <w:rFonts w:cs="Arial"/>
          <w:sz w:val="24"/>
          <w:szCs w:val="24"/>
        </w:rPr>
        <w:t>”</w:t>
      </w:r>
      <w:r w:rsidR="004F4FD6">
        <w:rPr>
          <w:rStyle w:val="FootnoteReference"/>
          <w:rFonts w:cs="Arial"/>
          <w:sz w:val="24"/>
          <w:szCs w:val="24"/>
        </w:rPr>
        <w:footnoteReference w:id="35"/>
      </w:r>
      <w:r w:rsidR="007B7B5A">
        <w:rPr>
          <w:rFonts w:cs="Arial"/>
          <w:sz w:val="24"/>
          <w:szCs w:val="24"/>
        </w:rPr>
        <w:t xml:space="preserve">  Rather than discussing the specific terms of DP&amp;L’s transfer of generating assets, t</w:t>
      </w:r>
      <w:r w:rsidR="007B7B5A" w:rsidRPr="007B7B5A">
        <w:rPr>
          <w:rFonts w:cs="Arial"/>
          <w:sz w:val="24"/>
          <w:szCs w:val="24"/>
        </w:rPr>
        <w:t>he Commission’s Opinion and Order specifically required DP&amp;L to file a separate application to receive authorization to transfer its generating assets</w:t>
      </w:r>
      <w:r w:rsidR="007B7B5A">
        <w:rPr>
          <w:rFonts w:cs="Arial"/>
          <w:sz w:val="24"/>
          <w:szCs w:val="24"/>
        </w:rPr>
        <w:t>.</w:t>
      </w:r>
      <w:r w:rsidR="007B7B5A" w:rsidRPr="007B7B5A">
        <w:rPr>
          <w:rFonts w:cs="Arial"/>
          <w:sz w:val="24"/>
          <w:szCs w:val="24"/>
          <w:vertAlign w:val="superscript"/>
        </w:rPr>
        <w:footnoteReference w:id="36"/>
      </w:r>
      <w:r w:rsidR="007B7B5A">
        <w:rPr>
          <w:rFonts w:cs="Arial"/>
          <w:sz w:val="24"/>
          <w:szCs w:val="24"/>
        </w:rPr>
        <w:t xml:space="preserve">  That is exactly why</w:t>
      </w:r>
      <w:r w:rsidR="007B7B5A" w:rsidRPr="007B7B5A">
        <w:rPr>
          <w:rFonts w:cs="Arial"/>
          <w:sz w:val="24"/>
          <w:szCs w:val="24"/>
        </w:rPr>
        <w:t xml:space="preserve"> DP&amp;L filed an application in this proceeding.</w:t>
      </w:r>
      <w:r w:rsidR="007B7B5A">
        <w:rPr>
          <w:rStyle w:val="FootnoteReference"/>
          <w:rFonts w:cs="Arial"/>
          <w:sz w:val="24"/>
          <w:szCs w:val="24"/>
        </w:rPr>
        <w:footnoteReference w:id="37"/>
      </w:r>
      <w:r w:rsidR="007B7B5A" w:rsidRPr="007B7B5A">
        <w:rPr>
          <w:rFonts w:cs="Arial"/>
          <w:sz w:val="24"/>
          <w:szCs w:val="24"/>
        </w:rPr>
        <w:t xml:space="preserve">  </w:t>
      </w:r>
      <w:r w:rsidR="00534C4C">
        <w:rPr>
          <w:rFonts w:cs="Arial"/>
          <w:sz w:val="24"/>
          <w:szCs w:val="24"/>
        </w:rPr>
        <w:t>Because the ESP case did not resolve issues related to the terms and conditions of DP&amp;L’s generati</w:t>
      </w:r>
      <w:r w:rsidR="003A5330">
        <w:rPr>
          <w:rFonts w:cs="Arial"/>
          <w:sz w:val="24"/>
          <w:szCs w:val="24"/>
        </w:rPr>
        <w:t>o</w:t>
      </w:r>
      <w:r w:rsidR="00534C4C">
        <w:rPr>
          <w:rFonts w:cs="Arial"/>
          <w:sz w:val="24"/>
          <w:szCs w:val="24"/>
        </w:rPr>
        <w:t>n asset transfer—besides setting a deadline—the Commission cannot rely upon that hearing in this proceeding.</w:t>
      </w:r>
      <w:r w:rsidR="00C75887">
        <w:rPr>
          <w:rStyle w:val="FootnoteReference"/>
          <w:rFonts w:cs="Arial"/>
          <w:sz w:val="24"/>
          <w:szCs w:val="24"/>
        </w:rPr>
        <w:footnoteReference w:id="38"/>
      </w:r>
      <w:r w:rsidR="00534C4C">
        <w:rPr>
          <w:rFonts w:cs="Arial"/>
          <w:sz w:val="24"/>
          <w:szCs w:val="24"/>
        </w:rPr>
        <w:t xml:space="preserve">  </w:t>
      </w:r>
    </w:p>
    <w:p w:rsidR="00A66034" w:rsidRPr="00A66034" w:rsidRDefault="00A66034" w:rsidP="00BF1773">
      <w:pPr>
        <w:pStyle w:val="ListParagraph"/>
        <w:numPr>
          <w:ilvl w:val="0"/>
          <w:numId w:val="1"/>
        </w:numPr>
        <w:tabs>
          <w:tab w:val="left" w:pos="720"/>
          <w:tab w:val="right" w:pos="8640"/>
        </w:tabs>
        <w:spacing w:line="480" w:lineRule="auto"/>
        <w:ind w:hanging="1080"/>
        <w:jc w:val="both"/>
        <w:rPr>
          <w:rFonts w:cs="Arial"/>
          <w:b/>
          <w:sz w:val="24"/>
          <w:szCs w:val="24"/>
        </w:rPr>
      </w:pPr>
      <w:r>
        <w:rPr>
          <w:rFonts w:cs="Arial"/>
          <w:b/>
          <w:sz w:val="24"/>
          <w:szCs w:val="24"/>
          <w:u w:val="single"/>
        </w:rPr>
        <w:t>CONCLUSION</w:t>
      </w:r>
    </w:p>
    <w:p w:rsidR="00A66034" w:rsidRDefault="00A66034" w:rsidP="004F4FD6">
      <w:pPr>
        <w:tabs>
          <w:tab w:val="left" w:pos="720"/>
          <w:tab w:val="right" w:pos="8640"/>
        </w:tabs>
        <w:spacing w:line="480" w:lineRule="auto"/>
        <w:jc w:val="both"/>
        <w:rPr>
          <w:rFonts w:cs="Arial"/>
          <w:sz w:val="24"/>
          <w:szCs w:val="24"/>
        </w:rPr>
      </w:pPr>
      <w:r>
        <w:rPr>
          <w:rFonts w:cs="Arial"/>
          <w:sz w:val="24"/>
          <w:szCs w:val="24"/>
        </w:rPr>
        <w:tab/>
        <w:t>For the reasons stated herein, IEU-Ohio urges the Commission to hold in abeyance its review of DP&amp;L’s request to transfer its generati</w:t>
      </w:r>
      <w:r w:rsidR="003A5330">
        <w:rPr>
          <w:rFonts w:cs="Arial"/>
          <w:sz w:val="24"/>
          <w:szCs w:val="24"/>
        </w:rPr>
        <w:t>o</w:t>
      </w:r>
      <w:r>
        <w:rPr>
          <w:rFonts w:cs="Arial"/>
          <w:sz w:val="24"/>
          <w:szCs w:val="24"/>
        </w:rPr>
        <w:t>n assets and its waiver requests until such time as DP&amp;L provides a supplemental application setting forth the specific terms and conditions under which it intends to transfer its generati</w:t>
      </w:r>
      <w:r w:rsidR="003A5330">
        <w:rPr>
          <w:rFonts w:cs="Arial"/>
          <w:sz w:val="24"/>
          <w:szCs w:val="24"/>
        </w:rPr>
        <w:t>o</w:t>
      </w:r>
      <w:r>
        <w:rPr>
          <w:rFonts w:cs="Arial"/>
          <w:sz w:val="24"/>
          <w:szCs w:val="24"/>
        </w:rPr>
        <w:t>n assets.</w:t>
      </w:r>
    </w:p>
    <w:p w:rsidR="00BE7C20" w:rsidRDefault="00BE7C20" w:rsidP="00A570C7">
      <w:pPr>
        <w:tabs>
          <w:tab w:val="left" w:pos="720"/>
          <w:tab w:val="right" w:pos="8640"/>
        </w:tabs>
        <w:spacing w:line="480" w:lineRule="auto"/>
        <w:ind w:left="4320"/>
        <w:jc w:val="both"/>
        <w:rPr>
          <w:rFonts w:cs="Arial"/>
          <w:sz w:val="24"/>
          <w:szCs w:val="24"/>
        </w:rPr>
      </w:pPr>
      <w:r>
        <w:rPr>
          <w:rFonts w:cs="Arial"/>
          <w:sz w:val="24"/>
          <w:szCs w:val="24"/>
        </w:rPr>
        <w:t>Respectfully submitted,</w:t>
      </w:r>
    </w:p>
    <w:p w:rsidR="00BE7C20" w:rsidRPr="00BE7C20" w:rsidRDefault="00176430" w:rsidP="00BE7C20">
      <w:pPr>
        <w:tabs>
          <w:tab w:val="left" w:pos="4320"/>
          <w:tab w:val="right" w:pos="8640"/>
        </w:tabs>
        <w:ind w:left="4320"/>
        <w:jc w:val="both"/>
        <w:rPr>
          <w:rFonts w:cs="Arial"/>
          <w:sz w:val="24"/>
          <w:szCs w:val="24"/>
        </w:rPr>
      </w:pPr>
      <w:r>
        <w:rPr>
          <w:rFonts w:cs="Arial"/>
          <w:sz w:val="24"/>
          <w:szCs w:val="24"/>
        </w:rPr>
        <w:t>/s/ Joseph E. Oliker</w:t>
      </w:r>
    </w:p>
    <w:p w:rsidR="00BE7C20" w:rsidRPr="00FA702C" w:rsidRDefault="00BE7C20" w:rsidP="00BE7C20">
      <w:pPr>
        <w:pBdr>
          <w:top w:val="single" w:sz="4" w:space="1" w:color="auto"/>
        </w:pBdr>
        <w:tabs>
          <w:tab w:val="left" w:pos="4320"/>
          <w:tab w:val="right" w:pos="8640"/>
        </w:tabs>
        <w:ind w:left="4320"/>
        <w:jc w:val="both"/>
        <w:rPr>
          <w:rFonts w:cs="Arial"/>
          <w:sz w:val="24"/>
          <w:szCs w:val="24"/>
        </w:rPr>
      </w:pPr>
      <w:r w:rsidRPr="00BE7C20">
        <w:rPr>
          <w:rFonts w:cs="Arial"/>
          <w:sz w:val="24"/>
          <w:szCs w:val="24"/>
        </w:rPr>
        <w:t>Samuel</w:t>
      </w:r>
      <w:r w:rsidRPr="00FA702C">
        <w:rPr>
          <w:rFonts w:cs="Arial"/>
          <w:sz w:val="24"/>
          <w:szCs w:val="24"/>
        </w:rPr>
        <w:t xml:space="preserve"> C. Randazzo (Counsel of Record)</w:t>
      </w:r>
    </w:p>
    <w:p w:rsidR="00BE7C20" w:rsidRPr="00FA702C" w:rsidRDefault="00BE7C20" w:rsidP="00BE7C20">
      <w:pPr>
        <w:pStyle w:val="BodyText3"/>
        <w:widowControl w:val="0"/>
        <w:tabs>
          <w:tab w:val="left" w:pos="4320"/>
        </w:tabs>
        <w:spacing w:after="0"/>
        <w:ind w:left="4320"/>
        <w:jc w:val="both"/>
        <w:rPr>
          <w:rFonts w:cs="Arial"/>
          <w:bCs/>
          <w:sz w:val="24"/>
          <w:szCs w:val="24"/>
        </w:rPr>
      </w:pPr>
      <w:r w:rsidRPr="00FA702C">
        <w:rPr>
          <w:rFonts w:cs="Arial"/>
          <w:bCs/>
          <w:sz w:val="24"/>
          <w:szCs w:val="24"/>
        </w:rPr>
        <w:t>Frank P. Darr</w:t>
      </w:r>
    </w:p>
    <w:p w:rsidR="00BE7C20" w:rsidRPr="00FA702C" w:rsidRDefault="00BE7C20" w:rsidP="00BE7C20">
      <w:pPr>
        <w:pStyle w:val="BodyText3"/>
        <w:widowControl w:val="0"/>
        <w:tabs>
          <w:tab w:val="left" w:pos="4320"/>
        </w:tabs>
        <w:spacing w:after="0"/>
        <w:ind w:left="4320"/>
        <w:jc w:val="both"/>
        <w:rPr>
          <w:rFonts w:cs="Arial"/>
          <w:bCs/>
          <w:sz w:val="24"/>
          <w:szCs w:val="24"/>
        </w:rPr>
      </w:pPr>
      <w:r w:rsidRPr="00FA702C">
        <w:rPr>
          <w:rFonts w:cs="Arial"/>
          <w:bCs/>
          <w:sz w:val="24"/>
          <w:szCs w:val="24"/>
        </w:rPr>
        <w:t>Joseph E. Oliker</w:t>
      </w:r>
    </w:p>
    <w:p w:rsidR="00BE7C20" w:rsidRPr="00FA702C" w:rsidRDefault="00BE7C20" w:rsidP="00BE7C20">
      <w:pPr>
        <w:pStyle w:val="BodyText3"/>
        <w:widowControl w:val="0"/>
        <w:tabs>
          <w:tab w:val="left" w:pos="4320"/>
        </w:tabs>
        <w:spacing w:after="0"/>
        <w:ind w:left="4320"/>
        <w:jc w:val="both"/>
        <w:rPr>
          <w:rFonts w:cs="Arial"/>
          <w:b/>
          <w:bCs/>
          <w:sz w:val="24"/>
          <w:szCs w:val="24"/>
        </w:rPr>
      </w:pPr>
      <w:r w:rsidRPr="00FA702C">
        <w:rPr>
          <w:rFonts w:cs="Arial"/>
          <w:bCs/>
          <w:sz w:val="24"/>
          <w:szCs w:val="24"/>
        </w:rPr>
        <w:t>Matthew R. Pritchard</w:t>
      </w:r>
    </w:p>
    <w:p w:rsidR="00BE7C20" w:rsidRPr="00FA702C" w:rsidRDefault="00BE7C20" w:rsidP="00BE7C20">
      <w:pPr>
        <w:pStyle w:val="BodyText3"/>
        <w:widowControl w:val="0"/>
        <w:tabs>
          <w:tab w:val="left" w:pos="4320"/>
        </w:tabs>
        <w:spacing w:after="0"/>
        <w:ind w:left="4320"/>
        <w:jc w:val="both"/>
        <w:rPr>
          <w:rFonts w:cs="Arial"/>
          <w:b/>
          <w:bCs/>
          <w:smallCaps/>
          <w:sz w:val="24"/>
          <w:szCs w:val="24"/>
        </w:rPr>
      </w:pPr>
      <w:r w:rsidRPr="00FA702C">
        <w:rPr>
          <w:rFonts w:cs="Arial"/>
          <w:bCs/>
          <w:smallCaps/>
          <w:sz w:val="24"/>
          <w:szCs w:val="24"/>
        </w:rPr>
        <w:t>McNees Wallace &amp; Nurick LLC</w:t>
      </w:r>
    </w:p>
    <w:p w:rsidR="00BE7C20" w:rsidRPr="00FA702C" w:rsidRDefault="00BE7C20" w:rsidP="00BE7C20">
      <w:pPr>
        <w:pStyle w:val="BodyText3"/>
        <w:widowControl w:val="0"/>
        <w:tabs>
          <w:tab w:val="left" w:pos="4320"/>
        </w:tabs>
        <w:spacing w:after="0"/>
        <w:ind w:left="4320"/>
        <w:jc w:val="both"/>
        <w:rPr>
          <w:rFonts w:cs="Arial"/>
          <w:b/>
          <w:bCs/>
          <w:sz w:val="24"/>
          <w:szCs w:val="24"/>
        </w:rPr>
      </w:pPr>
      <w:r w:rsidRPr="00FA702C">
        <w:rPr>
          <w:rFonts w:cs="Arial"/>
          <w:bCs/>
          <w:sz w:val="24"/>
          <w:szCs w:val="24"/>
        </w:rPr>
        <w:t>21 East State Street, 17</w:t>
      </w:r>
      <w:r w:rsidRPr="00FA702C">
        <w:rPr>
          <w:rFonts w:cs="Arial"/>
          <w:bCs/>
          <w:sz w:val="24"/>
          <w:szCs w:val="24"/>
          <w:vertAlign w:val="superscript"/>
        </w:rPr>
        <w:t>TH</w:t>
      </w:r>
      <w:r w:rsidRPr="00FA702C">
        <w:rPr>
          <w:rFonts w:cs="Arial"/>
          <w:bCs/>
          <w:sz w:val="24"/>
          <w:szCs w:val="24"/>
        </w:rPr>
        <w:t xml:space="preserve"> Floor</w:t>
      </w:r>
    </w:p>
    <w:p w:rsidR="00BE7C20" w:rsidRPr="00FA702C" w:rsidRDefault="00BE7C20" w:rsidP="00BE7C20">
      <w:pPr>
        <w:pStyle w:val="BodyText"/>
        <w:tabs>
          <w:tab w:val="left" w:pos="4320"/>
        </w:tabs>
        <w:ind w:left="4320"/>
        <w:rPr>
          <w:b w:val="0"/>
          <w:smallCaps w:val="0"/>
          <w:sz w:val="24"/>
          <w:szCs w:val="24"/>
        </w:rPr>
      </w:pPr>
      <w:r w:rsidRPr="00FA702C">
        <w:rPr>
          <w:b w:val="0"/>
          <w:smallCaps w:val="0"/>
          <w:sz w:val="24"/>
          <w:szCs w:val="24"/>
        </w:rPr>
        <w:lastRenderedPageBreak/>
        <w:t>Columbus, OH  43215</w:t>
      </w:r>
    </w:p>
    <w:p w:rsidR="00BE7C20" w:rsidRPr="00FA702C" w:rsidRDefault="00BE7C20" w:rsidP="00BE7C20">
      <w:pPr>
        <w:pStyle w:val="BodyText"/>
        <w:tabs>
          <w:tab w:val="left" w:pos="4320"/>
        </w:tabs>
        <w:ind w:left="4320"/>
        <w:rPr>
          <w:b w:val="0"/>
          <w:smallCaps w:val="0"/>
          <w:sz w:val="24"/>
          <w:szCs w:val="24"/>
        </w:rPr>
      </w:pPr>
      <w:r w:rsidRPr="00FA702C">
        <w:rPr>
          <w:b w:val="0"/>
          <w:smallCaps w:val="0"/>
          <w:sz w:val="24"/>
          <w:szCs w:val="24"/>
        </w:rPr>
        <w:t>Telephone:  (614) 469-8000</w:t>
      </w:r>
    </w:p>
    <w:p w:rsidR="00BE7C20" w:rsidRPr="00FA702C" w:rsidRDefault="00BE7C20" w:rsidP="00BE7C20">
      <w:pPr>
        <w:pStyle w:val="BodyText"/>
        <w:tabs>
          <w:tab w:val="left" w:pos="4320"/>
        </w:tabs>
        <w:ind w:left="4320"/>
        <w:rPr>
          <w:b w:val="0"/>
          <w:smallCaps w:val="0"/>
          <w:sz w:val="24"/>
          <w:szCs w:val="24"/>
        </w:rPr>
      </w:pPr>
      <w:r w:rsidRPr="00FA702C">
        <w:rPr>
          <w:b w:val="0"/>
          <w:smallCaps w:val="0"/>
          <w:sz w:val="24"/>
          <w:szCs w:val="24"/>
        </w:rPr>
        <w:t>Telecopier:  (614) 469-4653</w:t>
      </w:r>
    </w:p>
    <w:p w:rsidR="00BE7C20" w:rsidRPr="00FA702C" w:rsidRDefault="00BE7C20" w:rsidP="00BE7C20">
      <w:pPr>
        <w:pStyle w:val="BodyText"/>
        <w:ind w:left="4320"/>
        <w:rPr>
          <w:b w:val="0"/>
          <w:smallCaps w:val="0"/>
          <w:sz w:val="24"/>
          <w:szCs w:val="24"/>
        </w:rPr>
      </w:pPr>
      <w:r w:rsidRPr="00FA702C">
        <w:rPr>
          <w:b w:val="0"/>
          <w:smallCaps w:val="0"/>
          <w:sz w:val="24"/>
          <w:szCs w:val="24"/>
        </w:rPr>
        <w:t>sam@mwncmh.com</w:t>
      </w:r>
    </w:p>
    <w:p w:rsidR="00BE7C20" w:rsidRPr="00FA702C" w:rsidRDefault="00BE7C20" w:rsidP="00BE7C20">
      <w:pPr>
        <w:pStyle w:val="BodyText"/>
        <w:ind w:left="4320"/>
        <w:rPr>
          <w:b w:val="0"/>
          <w:smallCaps w:val="0"/>
          <w:sz w:val="24"/>
          <w:szCs w:val="24"/>
        </w:rPr>
      </w:pPr>
      <w:r w:rsidRPr="00FA702C">
        <w:rPr>
          <w:b w:val="0"/>
          <w:smallCaps w:val="0"/>
          <w:sz w:val="24"/>
          <w:szCs w:val="24"/>
        </w:rPr>
        <w:t>fdarr@mwncmh.com</w:t>
      </w:r>
    </w:p>
    <w:p w:rsidR="00BE7C20" w:rsidRPr="00FA702C" w:rsidRDefault="00BE7C20" w:rsidP="00BE7C20">
      <w:pPr>
        <w:pStyle w:val="BodyText"/>
        <w:ind w:left="4320"/>
        <w:rPr>
          <w:b w:val="0"/>
          <w:smallCaps w:val="0"/>
          <w:sz w:val="24"/>
          <w:szCs w:val="24"/>
        </w:rPr>
      </w:pPr>
      <w:r w:rsidRPr="00FA702C">
        <w:rPr>
          <w:b w:val="0"/>
          <w:smallCaps w:val="0"/>
          <w:sz w:val="24"/>
          <w:szCs w:val="24"/>
        </w:rPr>
        <w:t>joliker@mwncmh.com</w:t>
      </w:r>
    </w:p>
    <w:p w:rsidR="00BE7C20" w:rsidRPr="00FA702C" w:rsidRDefault="00BE7C20" w:rsidP="00BE7C20">
      <w:pPr>
        <w:pStyle w:val="BodyText"/>
        <w:ind w:left="4320"/>
        <w:rPr>
          <w:rFonts w:cs="Arial"/>
          <w:b w:val="0"/>
          <w:sz w:val="24"/>
          <w:szCs w:val="24"/>
        </w:rPr>
      </w:pPr>
      <w:r w:rsidRPr="00FA702C">
        <w:rPr>
          <w:rFonts w:cs="Arial"/>
          <w:b w:val="0"/>
          <w:smallCaps w:val="0"/>
          <w:sz w:val="24"/>
          <w:szCs w:val="24"/>
        </w:rPr>
        <w:t>mpritchard@mwncmh.com</w:t>
      </w:r>
    </w:p>
    <w:p w:rsidR="00BE7C20" w:rsidRPr="00FA702C" w:rsidRDefault="00BE7C20" w:rsidP="00BE7C20">
      <w:pPr>
        <w:pStyle w:val="BodyText"/>
        <w:ind w:left="4320"/>
        <w:rPr>
          <w:rFonts w:cs="Arial"/>
          <w:sz w:val="24"/>
          <w:szCs w:val="24"/>
        </w:rPr>
      </w:pPr>
    </w:p>
    <w:p w:rsidR="00BE7C20" w:rsidRDefault="00BE7C20" w:rsidP="00BE7C20">
      <w:pPr>
        <w:ind w:left="4320"/>
        <w:jc w:val="both"/>
        <w:rPr>
          <w:rFonts w:cs="Arial"/>
          <w:b/>
          <w:sz w:val="24"/>
          <w:szCs w:val="24"/>
        </w:rPr>
      </w:pPr>
      <w:r w:rsidRPr="00FA702C">
        <w:rPr>
          <w:rFonts w:cs="Arial"/>
          <w:b/>
          <w:sz w:val="24"/>
          <w:szCs w:val="24"/>
        </w:rPr>
        <w:t>Attorneys for Industrial Energy Users-Ohio</w:t>
      </w:r>
    </w:p>
    <w:p w:rsidR="00FF1EED" w:rsidRDefault="00FF1EED">
      <w:pPr>
        <w:sectPr w:rsidR="00FF1EED" w:rsidSect="00FE4714">
          <w:headerReference w:type="default" r:id="rId14"/>
          <w:footerReference w:type="default" r:id="rId15"/>
          <w:headerReference w:type="first" r:id="rId16"/>
          <w:footerReference w:type="first" r:id="rId17"/>
          <w:pgSz w:w="12240" w:h="15840" w:code="1"/>
          <w:pgMar w:top="1440" w:right="1440" w:bottom="1440" w:left="1440" w:header="720" w:footer="720" w:gutter="0"/>
          <w:pgNumType w:start="1"/>
          <w:cols w:space="720"/>
          <w:titlePg/>
          <w:docGrid w:linePitch="360"/>
        </w:sectPr>
      </w:pPr>
    </w:p>
    <w:p w:rsidR="00FF1EED" w:rsidRDefault="00FF1EED" w:rsidP="00FF1EED">
      <w:pPr>
        <w:jc w:val="center"/>
        <w:rPr>
          <w:rFonts w:cs="Arial"/>
          <w:b/>
          <w:sz w:val="24"/>
          <w:szCs w:val="24"/>
          <w:u w:val="single"/>
        </w:rPr>
      </w:pPr>
      <w:bookmarkStart w:id="0" w:name="_Toc385406742"/>
      <w:bookmarkStart w:id="1" w:name="_Toc381606702"/>
      <w:r>
        <w:rPr>
          <w:rFonts w:cs="Arial"/>
          <w:b/>
          <w:sz w:val="24"/>
          <w:szCs w:val="24"/>
          <w:u w:val="single"/>
        </w:rPr>
        <w:lastRenderedPageBreak/>
        <w:t>CERTIFICATE OF SERVICE</w:t>
      </w:r>
    </w:p>
    <w:bookmarkEnd w:id="0"/>
    <w:bookmarkEnd w:id="1"/>
    <w:p w:rsidR="00FF1EED" w:rsidRPr="00713A8E" w:rsidRDefault="00FF1EED" w:rsidP="00FF1EED">
      <w:pPr>
        <w:pStyle w:val="BodyText"/>
        <w:spacing w:line="480" w:lineRule="auto"/>
        <w:ind w:firstLine="720"/>
        <w:rPr>
          <w:smallCaps w:val="0"/>
        </w:rPr>
      </w:pPr>
    </w:p>
    <w:p w:rsidR="00FF1EED" w:rsidRPr="00713A8E" w:rsidRDefault="00FF1EED" w:rsidP="00FF1EED">
      <w:pPr>
        <w:pStyle w:val="BodyText"/>
        <w:spacing w:line="480" w:lineRule="auto"/>
        <w:ind w:firstLine="720"/>
        <w:rPr>
          <w:b w:val="0"/>
          <w:smallCaps w:val="0"/>
        </w:rPr>
      </w:pPr>
      <w:r w:rsidRPr="00713A8E">
        <w:rPr>
          <w:b w:val="0"/>
          <w:smallCaps w:val="0"/>
          <w:sz w:val="24"/>
          <w:szCs w:val="24"/>
        </w:rPr>
        <w:t xml:space="preserve">I hereby certify that a copy of the foregoing </w:t>
      </w:r>
      <w:r w:rsidR="00F24B82">
        <w:rPr>
          <w:b w:val="0"/>
          <w:i/>
          <w:smallCaps w:val="0"/>
          <w:sz w:val="24"/>
          <w:szCs w:val="24"/>
        </w:rPr>
        <w:t>Comments</w:t>
      </w:r>
      <w:r w:rsidR="007941BB" w:rsidRPr="007941BB">
        <w:rPr>
          <w:b w:val="0"/>
          <w:i/>
          <w:smallCaps w:val="0"/>
          <w:sz w:val="24"/>
          <w:szCs w:val="24"/>
        </w:rPr>
        <w:t xml:space="preserve"> of Industrial Energy Users-Ohio</w:t>
      </w:r>
      <w:r>
        <w:rPr>
          <w:b w:val="0"/>
          <w:smallCaps w:val="0"/>
          <w:sz w:val="24"/>
          <w:szCs w:val="24"/>
        </w:rPr>
        <w:t xml:space="preserve"> </w:t>
      </w:r>
      <w:r w:rsidRPr="00713A8E">
        <w:rPr>
          <w:b w:val="0"/>
          <w:smallCaps w:val="0"/>
          <w:sz w:val="24"/>
          <w:szCs w:val="24"/>
        </w:rPr>
        <w:t xml:space="preserve">was served upon the following parties of record this </w:t>
      </w:r>
      <w:r w:rsidR="00FE4714">
        <w:rPr>
          <w:b w:val="0"/>
          <w:smallCaps w:val="0"/>
          <w:sz w:val="24"/>
          <w:szCs w:val="24"/>
        </w:rPr>
        <w:t>4th</w:t>
      </w:r>
      <w:r w:rsidRPr="00713A8E">
        <w:rPr>
          <w:b w:val="0"/>
          <w:smallCaps w:val="0"/>
          <w:sz w:val="24"/>
          <w:szCs w:val="24"/>
        </w:rPr>
        <w:t xml:space="preserve"> day of </w:t>
      </w:r>
      <w:r w:rsidR="00FE4714">
        <w:rPr>
          <w:b w:val="0"/>
          <w:smallCaps w:val="0"/>
          <w:sz w:val="24"/>
          <w:szCs w:val="24"/>
        </w:rPr>
        <w:t>February</w:t>
      </w:r>
      <w:r w:rsidRPr="00713A8E">
        <w:rPr>
          <w:b w:val="0"/>
          <w:smallCaps w:val="0"/>
          <w:sz w:val="24"/>
          <w:szCs w:val="24"/>
        </w:rPr>
        <w:t xml:space="preserve"> 2014, </w:t>
      </w:r>
      <w:r w:rsidRPr="00713A8E">
        <w:rPr>
          <w:b w:val="0"/>
          <w:i/>
          <w:smallCaps w:val="0"/>
          <w:sz w:val="24"/>
          <w:szCs w:val="24"/>
        </w:rPr>
        <w:t>via</w:t>
      </w:r>
      <w:r w:rsidRPr="00713A8E">
        <w:rPr>
          <w:b w:val="0"/>
          <w:smallCaps w:val="0"/>
          <w:sz w:val="24"/>
          <w:szCs w:val="24"/>
        </w:rPr>
        <w:t xml:space="preserve"> electronic tr</w:t>
      </w:r>
      <w:bookmarkStart w:id="2" w:name="_GoBack"/>
      <w:bookmarkEnd w:id="2"/>
      <w:r w:rsidRPr="00713A8E">
        <w:rPr>
          <w:b w:val="0"/>
          <w:smallCaps w:val="0"/>
          <w:sz w:val="24"/>
          <w:szCs w:val="24"/>
        </w:rPr>
        <w:t>ansmission, hand-delivery or first class U.S. mail, postage prepaid.</w:t>
      </w:r>
    </w:p>
    <w:p w:rsidR="00FF1EED" w:rsidRPr="00713A8E" w:rsidRDefault="00176430" w:rsidP="00FF1EED">
      <w:pPr>
        <w:tabs>
          <w:tab w:val="left" w:pos="-1440"/>
          <w:tab w:val="left" w:pos="-720"/>
          <w:tab w:val="left" w:pos="5040"/>
          <w:tab w:val="center" w:pos="7200"/>
          <w:tab w:val="right" w:pos="9360"/>
        </w:tabs>
        <w:ind w:firstLine="5040"/>
        <w:jc w:val="both"/>
        <w:rPr>
          <w:rFonts w:cs="Arial"/>
        </w:rPr>
      </w:pPr>
      <w:r>
        <w:rPr>
          <w:rFonts w:cs="Arial"/>
          <w:sz w:val="24"/>
          <w:szCs w:val="24"/>
          <w:u w:val="single"/>
        </w:rPr>
        <w:t>Joseph E. Oliker</w:t>
      </w:r>
      <w:r w:rsidR="00FF1EED" w:rsidRPr="00713A8E">
        <w:rPr>
          <w:rFonts w:cs="Arial"/>
          <w:u w:val="single"/>
        </w:rPr>
        <w:tab/>
      </w:r>
      <w:r w:rsidR="00FF1EED" w:rsidRPr="00713A8E">
        <w:rPr>
          <w:rFonts w:cs="Arial"/>
          <w:u w:val="single"/>
        </w:rPr>
        <w:tab/>
      </w:r>
    </w:p>
    <w:p w:rsidR="00535DC4" w:rsidRDefault="00FF1EED" w:rsidP="00535DC4">
      <w:pPr>
        <w:tabs>
          <w:tab w:val="left" w:pos="2160"/>
          <w:tab w:val="left" w:pos="2280"/>
        </w:tabs>
        <w:jc w:val="both"/>
        <w:rPr>
          <w:rFonts w:cs="Arial"/>
          <w:sz w:val="24"/>
          <w:szCs w:val="24"/>
        </w:rPr>
      </w:pPr>
      <w:r w:rsidRPr="00713A8E">
        <w:rPr>
          <w:rFonts w:cs="Arial"/>
        </w:rPr>
        <w:tab/>
      </w:r>
      <w:r w:rsidRPr="00713A8E">
        <w:rPr>
          <w:rFonts w:cs="Arial"/>
        </w:rPr>
        <w:tab/>
      </w:r>
      <w:r>
        <w:rPr>
          <w:rFonts w:cs="Arial"/>
        </w:rPr>
        <w:tab/>
      </w:r>
      <w:r>
        <w:rPr>
          <w:rFonts w:cs="Arial"/>
        </w:rPr>
        <w:tab/>
      </w:r>
      <w:r>
        <w:rPr>
          <w:rFonts w:cs="Arial"/>
        </w:rPr>
        <w:tab/>
      </w:r>
      <w:r>
        <w:rPr>
          <w:rFonts w:cs="Arial"/>
        </w:rPr>
        <w:tab/>
      </w:r>
      <w:r>
        <w:rPr>
          <w:rFonts w:cs="Arial"/>
          <w:sz w:val="24"/>
          <w:szCs w:val="24"/>
        </w:rPr>
        <w:t>Joseph E. Oliker</w:t>
      </w:r>
    </w:p>
    <w:p w:rsidR="00E627B8" w:rsidRDefault="00E627B8" w:rsidP="00535DC4">
      <w:pPr>
        <w:tabs>
          <w:tab w:val="left" w:pos="2160"/>
          <w:tab w:val="left" w:pos="2280"/>
        </w:tabs>
        <w:jc w:val="both"/>
        <w:rPr>
          <w:rFonts w:cs="Arial"/>
          <w:sz w:val="24"/>
          <w:szCs w:val="24"/>
        </w:rPr>
        <w:sectPr w:rsidR="00E627B8" w:rsidSect="00C0405A">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cols w:space="720"/>
          <w:titlePg/>
          <w:docGrid w:linePitch="360"/>
        </w:sectPr>
      </w:pPr>
    </w:p>
    <w:p w:rsidR="00E627B8" w:rsidRDefault="00E627B8" w:rsidP="00E627B8">
      <w:pPr>
        <w:tabs>
          <w:tab w:val="left" w:pos="-4500"/>
        </w:tabs>
        <w:jc w:val="both"/>
        <w:rPr>
          <w:rFonts w:cs="Arial"/>
          <w:sz w:val="24"/>
          <w:szCs w:val="24"/>
        </w:rPr>
      </w:pPr>
    </w:p>
    <w:p w:rsidR="00535DC4" w:rsidRPr="00E627B8" w:rsidRDefault="00E627B8" w:rsidP="00535DC4">
      <w:pPr>
        <w:tabs>
          <w:tab w:val="left" w:pos="2160"/>
          <w:tab w:val="left" w:pos="2280"/>
        </w:tabs>
        <w:jc w:val="both"/>
        <w:rPr>
          <w:rFonts w:cs="Arial"/>
          <w:sz w:val="24"/>
          <w:szCs w:val="24"/>
        </w:rPr>
      </w:pPr>
      <w:r w:rsidRPr="00E627B8">
        <w:rPr>
          <w:rFonts w:cs="Arial"/>
          <w:sz w:val="24"/>
          <w:szCs w:val="24"/>
        </w:rPr>
        <w:t>Judi L. Sobecki</w:t>
      </w:r>
    </w:p>
    <w:p w:rsidR="00E627B8" w:rsidRDefault="00E627B8" w:rsidP="00E627B8">
      <w:pPr>
        <w:kinsoku w:val="0"/>
        <w:overflowPunct w:val="0"/>
        <w:spacing w:line="272" w:lineRule="exact"/>
        <w:textAlignment w:val="baseline"/>
        <w:rPr>
          <w:rFonts w:cs="Arial"/>
          <w:sz w:val="24"/>
          <w:szCs w:val="24"/>
        </w:rPr>
      </w:pPr>
      <w:r>
        <w:rPr>
          <w:rFonts w:cs="Arial"/>
          <w:sz w:val="24"/>
          <w:szCs w:val="24"/>
        </w:rPr>
        <w:t>The Dayton Power &amp; Light Company</w:t>
      </w:r>
    </w:p>
    <w:p w:rsidR="00E627B8" w:rsidRDefault="00E627B8" w:rsidP="00E627B8">
      <w:pPr>
        <w:kinsoku w:val="0"/>
        <w:overflowPunct w:val="0"/>
        <w:spacing w:line="272" w:lineRule="exact"/>
        <w:ind w:right="1584"/>
        <w:textAlignment w:val="baseline"/>
        <w:rPr>
          <w:rFonts w:cs="Arial"/>
          <w:sz w:val="24"/>
          <w:szCs w:val="24"/>
        </w:rPr>
      </w:pPr>
      <w:r w:rsidRPr="00E627B8">
        <w:rPr>
          <w:rFonts w:cs="Arial"/>
          <w:sz w:val="24"/>
          <w:szCs w:val="24"/>
        </w:rPr>
        <w:t xml:space="preserve">1065 Woodman Drive </w:t>
      </w:r>
    </w:p>
    <w:p w:rsidR="00E627B8" w:rsidRPr="00E627B8" w:rsidRDefault="00E627B8" w:rsidP="00E627B8">
      <w:pPr>
        <w:kinsoku w:val="0"/>
        <w:overflowPunct w:val="0"/>
        <w:spacing w:line="272" w:lineRule="exact"/>
        <w:ind w:right="1584"/>
        <w:textAlignment w:val="baseline"/>
        <w:rPr>
          <w:rFonts w:cs="Arial"/>
          <w:sz w:val="24"/>
          <w:szCs w:val="24"/>
        </w:rPr>
      </w:pPr>
      <w:r w:rsidRPr="00E627B8">
        <w:rPr>
          <w:rFonts w:cs="Arial"/>
          <w:sz w:val="24"/>
          <w:szCs w:val="24"/>
        </w:rPr>
        <w:t>Dayton, Ohio 45432</w:t>
      </w:r>
    </w:p>
    <w:p w:rsidR="00E627B8" w:rsidRPr="00E627B8" w:rsidRDefault="00E627B8" w:rsidP="00E627B8">
      <w:pPr>
        <w:kinsoku w:val="0"/>
        <w:overflowPunct w:val="0"/>
        <w:spacing w:line="272" w:lineRule="exact"/>
        <w:ind w:right="1584"/>
        <w:textAlignment w:val="baseline"/>
        <w:rPr>
          <w:rFonts w:cs="Arial"/>
          <w:sz w:val="24"/>
          <w:szCs w:val="24"/>
        </w:rPr>
      </w:pPr>
      <w:r w:rsidRPr="008C65B7">
        <w:rPr>
          <w:rFonts w:cs="Arial"/>
          <w:sz w:val="24"/>
          <w:szCs w:val="24"/>
        </w:rPr>
        <w:t>judi.sobecki@dplinc.com</w:t>
      </w:r>
    </w:p>
    <w:p w:rsidR="00E627B8" w:rsidRPr="00E627B8" w:rsidRDefault="00E627B8" w:rsidP="00E627B8">
      <w:pPr>
        <w:kinsoku w:val="0"/>
        <w:overflowPunct w:val="0"/>
        <w:spacing w:line="272" w:lineRule="exact"/>
        <w:ind w:right="1584"/>
        <w:textAlignment w:val="baseline"/>
        <w:rPr>
          <w:rFonts w:cs="Arial"/>
          <w:sz w:val="24"/>
          <w:szCs w:val="24"/>
        </w:rPr>
      </w:pPr>
    </w:p>
    <w:p w:rsidR="00E627B8" w:rsidRPr="00E627B8" w:rsidRDefault="00E627B8" w:rsidP="00E627B8">
      <w:pPr>
        <w:kinsoku w:val="0"/>
        <w:overflowPunct w:val="0"/>
        <w:spacing w:line="272" w:lineRule="exact"/>
        <w:textAlignment w:val="baseline"/>
        <w:rPr>
          <w:rFonts w:cs="Arial"/>
          <w:sz w:val="24"/>
          <w:szCs w:val="24"/>
        </w:rPr>
      </w:pPr>
      <w:r w:rsidRPr="00E627B8">
        <w:rPr>
          <w:rFonts w:cs="Arial"/>
          <w:sz w:val="24"/>
          <w:szCs w:val="24"/>
        </w:rPr>
        <w:t>Charles J. Faruki</w:t>
      </w:r>
    </w:p>
    <w:p w:rsidR="00E627B8" w:rsidRPr="00E627B8" w:rsidRDefault="00E627B8" w:rsidP="00E627B8">
      <w:pPr>
        <w:kinsoku w:val="0"/>
        <w:overflowPunct w:val="0"/>
        <w:spacing w:line="272" w:lineRule="exact"/>
        <w:textAlignment w:val="baseline"/>
        <w:rPr>
          <w:rFonts w:cs="Arial"/>
          <w:sz w:val="24"/>
          <w:szCs w:val="24"/>
        </w:rPr>
      </w:pPr>
      <w:r w:rsidRPr="00E627B8">
        <w:rPr>
          <w:rFonts w:cs="Arial"/>
          <w:sz w:val="24"/>
          <w:szCs w:val="24"/>
        </w:rPr>
        <w:t>Jeffrey S. Sharkey</w:t>
      </w:r>
    </w:p>
    <w:p w:rsidR="00E627B8" w:rsidRDefault="00E627B8" w:rsidP="00E627B8">
      <w:pPr>
        <w:kinsoku w:val="0"/>
        <w:overflowPunct w:val="0"/>
        <w:spacing w:line="272" w:lineRule="exact"/>
        <w:textAlignment w:val="baseline"/>
        <w:rPr>
          <w:rFonts w:cs="Arial"/>
          <w:sz w:val="24"/>
          <w:szCs w:val="24"/>
        </w:rPr>
      </w:pPr>
      <w:r w:rsidRPr="00E627B8">
        <w:rPr>
          <w:rFonts w:cs="Arial"/>
          <w:sz w:val="24"/>
          <w:szCs w:val="24"/>
        </w:rPr>
        <w:t xml:space="preserve">Faruki Ireland &amp; Cox P.L.L. </w:t>
      </w:r>
    </w:p>
    <w:p w:rsidR="00E627B8" w:rsidRDefault="00E627B8" w:rsidP="00E627B8">
      <w:pPr>
        <w:kinsoku w:val="0"/>
        <w:overflowPunct w:val="0"/>
        <w:spacing w:line="272" w:lineRule="exact"/>
        <w:textAlignment w:val="baseline"/>
        <w:rPr>
          <w:rFonts w:cs="Arial"/>
          <w:sz w:val="24"/>
          <w:szCs w:val="24"/>
        </w:rPr>
      </w:pPr>
      <w:r w:rsidRPr="00E627B8">
        <w:rPr>
          <w:rFonts w:cs="Arial"/>
          <w:sz w:val="24"/>
          <w:szCs w:val="24"/>
        </w:rPr>
        <w:t>500 Courthouse Plaza, S.W.</w:t>
      </w:r>
    </w:p>
    <w:p w:rsidR="00E627B8" w:rsidRPr="00E627B8" w:rsidRDefault="00E627B8" w:rsidP="00E627B8">
      <w:pPr>
        <w:kinsoku w:val="0"/>
        <w:overflowPunct w:val="0"/>
        <w:spacing w:line="272" w:lineRule="exact"/>
        <w:textAlignment w:val="baseline"/>
        <w:rPr>
          <w:rFonts w:cs="Arial"/>
          <w:sz w:val="24"/>
          <w:szCs w:val="24"/>
        </w:rPr>
      </w:pPr>
      <w:r w:rsidRPr="00E627B8">
        <w:rPr>
          <w:rFonts w:cs="Arial"/>
          <w:sz w:val="24"/>
          <w:szCs w:val="24"/>
        </w:rPr>
        <w:t>10 North Ludlow Street</w:t>
      </w:r>
    </w:p>
    <w:p w:rsidR="00E627B8" w:rsidRPr="00E627B8" w:rsidRDefault="00E627B8" w:rsidP="00E627B8">
      <w:pPr>
        <w:kinsoku w:val="0"/>
        <w:overflowPunct w:val="0"/>
        <w:spacing w:line="272" w:lineRule="exact"/>
        <w:textAlignment w:val="baseline"/>
        <w:rPr>
          <w:rFonts w:cs="Arial"/>
          <w:sz w:val="24"/>
          <w:szCs w:val="24"/>
        </w:rPr>
      </w:pPr>
      <w:r w:rsidRPr="00E627B8">
        <w:rPr>
          <w:rFonts w:cs="Arial"/>
          <w:sz w:val="24"/>
          <w:szCs w:val="24"/>
        </w:rPr>
        <w:t>Dayton, Ohio 45402</w:t>
      </w:r>
    </w:p>
    <w:p w:rsidR="00E627B8" w:rsidRPr="00E627B8" w:rsidRDefault="00E627B8" w:rsidP="00E627B8">
      <w:pPr>
        <w:kinsoku w:val="0"/>
        <w:overflowPunct w:val="0"/>
        <w:spacing w:line="272" w:lineRule="exact"/>
        <w:textAlignment w:val="baseline"/>
        <w:rPr>
          <w:rFonts w:cs="Arial"/>
          <w:sz w:val="24"/>
          <w:szCs w:val="24"/>
        </w:rPr>
      </w:pPr>
      <w:r w:rsidRPr="008C65B7">
        <w:rPr>
          <w:rFonts w:cs="Arial"/>
          <w:sz w:val="24"/>
          <w:szCs w:val="24"/>
        </w:rPr>
        <w:t>cfaruki@ficlaw.com</w:t>
      </w:r>
    </w:p>
    <w:p w:rsidR="00E627B8" w:rsidRPr="00E627B8" w:rsidRDefault="00E627B8" w:rsidP="00E627B8">
      <w:pPr>
        <w:kinsoku w:val="0"/>
        <w:overflowPunct w:val="0"/>
        <w:spacing w:line="272" w:lineRule="exact"/>
        <w:ind w:right="1584"/>
        <w:textAlignment w:val="baseline"/>
        <w:rPr>
          <w:rFonts w:cs="Arial"/>
          <w:sz w:val="24"/>
          <w:szCs w:val="24"/>
        </w:rPr>
      </w:pPr>
      <w:r w:rsidRPr="00E627B8">
        <w:rPr>
          <w:rFonts w:cs="Arial"/>
          <w:sz w:val="24"/>
          <w:szCs w:val="24"/>
        </w:rPr>
        <w:t>jsharkey@ficlaw.com</w:t>
      </w:r>
    </w:p>
    <w:p w:rsidR="00E627B8" w:rsidRDefault="00E627B8" w:rsidP="00E627B8">
      <w:pPr>
        <w:kinsoku w:val="0"/>
        <w:overflowPunct w:val="0"/>
        <w:spacing w:line="272" w:lineRule="exact"/>
        <w:textAlignment w:val="baseline"/>
        <w:rPr>
          <w:rFonts w:cs="Arial"/>
          <w:b/>
          <w:smallCaps/>
          <w:sz w:val="24"/>
          <w:szCs w:val="24"/>
        </w:rPr>
      </w:pPr>
    </w:p>
    <w:p w:rsidR="00E627B8" w:rsidRPr="00E627B8" w:rsidRDefault="00E627B8" w:rsidP="00E627B8">
      <w:pPr>
        <w:kinsoku w:val="0"/>
        <w:overflowPunct w:val="0"/>
        <w:spacing w:line="272" w:lineRule="exact"/>
        <w:textAlignment w:val="baseline"/>
        <w:rPr>
          <w:rFonts w:cs="Arial"/>
          <w:b/>
          <w:smallCaps/>
          <w:sz w:val="24"/>
          <w:szCs w:val="24"/>
        </w:rPr>
      </w:pPr>
      <w:r w:rsidRPr="00E627B8">
        <w:rPr>
          <w:rFonts w:cs="Arial"/>
          <w:b/>
          <w:smallCaps/>
          <w:sz w:val="24"/>
          <w:szCs w:val="24"/>
        </w:rPr>
        <w:t>On Behalf of The Dayton Power and Light Company</w:t>
      </w:r>
    </w:p>
    <w:p w:rsidR="00E627B8" w:rsidRPr="00E627B8" w:rsidRDefault="00E627B8" w:rsidP="00E627B8">
      <w:pPr>
        <w:tabs>
          <w:tab w:val="left" w:pos="2160"/>
          <w:tab w:val="left" w:pos="2280"/>
        </w:tabs>
        <w:rPr>
          <w:rFonts w:cs="Arial"/>
          <w:b/>
          <w:sz w:val="24"/>
          <w:szCs w:val="24"/>
        </w:rPr>
      </w:pPr>
    </w:p>
    <w:p w:rsidR="00E627B8" w:rsidRPr="00E627B8" w:rsidRDefault="00E627B8" w:rsidP="00E627B8">
      <w:pPr>
        <w:tabs>
          <w:tab w:val="left" w:pos="2160"/>
          <w:tab w:val="left" w:pos="2280"/>
        </w:tabs>
        <w:rPr>
          <w:rFonts w:cs="Arial"/>
          <w:sz w:val="24"/>
          <w:szCs w:val="24"/>
        </w:rPr>
      </w:pPr>
      <w:r w:rsidRPr="00E627B8">
        <w:rPr>
          <w:rFonts w:cs="Arial"/>
          <w:sz w:val="24"/>
          <w:szCs w:val="24"/>
        </w:rPr>
        <w:t>Bruce J. Weston</w:t>
      </w:r>
    </w:p>
    <w:p w:rsidR="00E627B8" w:rsidRPr="00E627B8" w:rsidRDefault="00E627B8" w:rsidP="00E627B8">
      <w:pPr>
        <w:tabs>
          <w:tab w:val="left" w:pos="2160"/>
          <w:tab w:val="left" w:pos="2280"/>
        </w:tabs>
        <w:rPr>
          <w:rFonts w:cs="Arial"/>
          <w:sz w:val="24"/>
          <w:szCs w:val="24"/>
        </w:rPr>
      </w:pPr>
      <w:r>
        <w:rPr>
          <w:rFonts w:cs="Arial"/>
          <w:sz w:val="24"/>
          <w:szCs w:val="24"/>
        </w:rPr>
        <w:t xml:space="preserve">Edmund </w:t>
      </w:r>
      <w:r w:rsidRPr="00E627B8">
        <w:rPr>
          <w:rFonts w:cs="Arial"/>
          <w:sz w:val="24"/>
          <w:szCs w:val="24"/>
        </w:rPr>
        <w:t>Berger</w:t>
      </w:r>
    </w:p>
    <w:p w:rsidR="00E627B8" w:rsidRPr="00E627B8" w:rsidRDefault="00E627B8" w:rsidP="00E627B8">
      <w:pPr>
        <w:tabs>
          <w:tab w:val="left" w:pos="2160"/>
          <w:tab w:val="left" w:pos="2280"/>
        </w:tabs>
        <w:rPr>
          <w:rFonts w:cs="Arial"/>
          <w:sz w:val="24"/>
          <w:szCs w:val="24"/>
        </w:rPr>
      </w:pPr>
      <w:r w:rsidRPr="00E627B8">
        <w:rPr>
          <w:rFonts w:cs="Arial"/>
          <w:sz w:val="24"/>
          <w:szCs w:val="24"/>
        </w:rPr>
        <w:t>Maureen R. Grady</w:t>
      </w:r>
    </w:p>
    <w:p w:rsidR="00E627B8" w:rsidRPr="00E627B8" w:rsidRDefault="00E627B8" w:rsidP="00E627B8">
      <w:pPr>
        <w:tabs>
          <w:tab w:val="left" w:pos="2160"/>
          <w:tab w:val="left" w:pos="2280"/>
        </w:tabs>
        <w:rPr>
          <w:rFonts w:cs="Arial"/>
          <w:sz w:val="24"/>
          <w:szCs w:val="24"/>
        </w:rPr>
      </w:pPr>
      <w:r w:rsidRPr="00E627B8">
        <w:rPr>
          <w:rFonts w:cs="Arial"/>
          <w:sz w:val="24"/>
          <w:szCs w:val="24"/>
        </w:rPr>
        <w:t>Assistant Consumers’ Counsel</w:t>
      </w:r>
    </w:p>
    <w:p w:rsidR="00E627B8" w:rsidRPr="00E627B8" w:rsidRDefault="00E627B8" w:rsidP="00E627B8">
      <w:pPr>
        <w:rPr>
          <w:rFonts w:cs="Arial"/>
          <w:sz w:val="24"/>
          <w:szCs w:val="24"/>
        </w:rPr>
      </w:pPr>
      <w:r w:rsidRPr="00E627B8">
        <w:rPr>
          <w:rFonts w:cs="Arial"/>
          <w:sz w:val="24"/>
          <w:szCs w:val="24"/>
        </w:rPr>
        <w:t>Office of the Ohio Consumers’ Counsel</w:t>
      </w:r>
    </w:p>
    <w:p w:rsidR="00E627B8" w:rsidRPr="00E627B8" w:rsidRDefault="00E627B8" w:rsidP="00E627B8">
      <w:pPr>
        <w:tabs>
          <w:tab w:val="left" w:pos="2160"/>
          <w:tab w:val="left" w:pos="2280"/>
        </w:tabs>
        <w:rPr>
          <w:rFonts w:cs="Arial"/>
          <w:sz w:val="24"/>
          <w:szCs w:val="24"/>
        </w:rPr>
      </w:pPr>
      <w:r w:rsidRPr="00E627B8">
        <w:rPr>
          <w:rFonts w:cs="Arial"/>
          <w:sz w:val="24"/>
          <w:szCs w:val="24"/>
        </w:rPr>
        <w:t>10 West Broad Street, Suite 1800</w:t>
      </w:r>
    </w:p>
    <w:p w:rsidR="00E627B8" w:rsidRPr="00E627B8" w:rsidRDefault="00E627B8" w:rsidP="00E627B8">
      <w:pPr>
        <w:tabs>
          <w:tab w:val="left" w:pos="2160"/>
          <w:tab w:val="left" w:pos="2280"/>
        </w:tabs>
        <w:rPr>
          <w:rFonts w:cs="Arial"/>
          <w:sz w:val="24"/>
          <w:szCs w:val="24"/>
        </w:rPr>
      </w:pPr>
      <w:r w:rsidRPr="00E627B8">
        <w:rPr>
          <w:rFonts w:cs="Arial"/>
          <w:sz w:val="24"/>
          <w:szCs w:val="24"/>
        </w:rPr>
        <w:t>Columbus, Ohio  43215-3485</w:t>
      </w:r>
    </w:p>
    <w:p w:rsidR="00E627B8" w:rsidRPr="00E627B8" w:rsidRDefault="00E627B8" w:rsidP="00E627B8">
      <w:pPr>
        <w:tabs>
          <w:tab w:val="left" w:pos="2160"/>
          <w:tab w:val="left" w:pos="2280"/>
        </w:tabs>
        <w:rPr>
          <w:rFonts w:cs="Arial"/>
          <w:sz w:val="24"/>
          <w:szCs w:val="24"/>
        </w:rPr>
      </w:pPr>
      <w:r w:rsidRPr="008C65B7">
        <w:rPr>
          <w:rFonts w:cs="Arial"/>
          <w:sz w:val="24"/>
          <w:szCs w:val="24"/>
        </w:rPr>
        <w:t>edmund.berger@occ.ohio.gov</w:t>
      </w:r>
    </w:p>
    <w:p w:rsidR="00E627B8" w:rsidRPr="00E627B8" w:rsidRDefault="00E627B8" w:rsidP="00E627B8">
      <w:pPr>
        <w:tabs>
          <w:tab w:val="left" w:pos="2160"/>
          <w:tab w:val="left" w:pos="2280"/>
        </w:tabs>
        <w:rPr>
          <w:rFonts w:cs="Arial"/>
          <w:sz w:val="24"/>
          <w:szCs w:val="24"/>
        </w:rPr>
      </w:pPr>
      <w:r w:rsidRPr="008C65B7">
        <w:rPr>
          <w:rFonts w:cs="Arial"/>
          <w:sz w:val="24"/>
          <w:szCs w:val="24"/>
        </w:rPr>
        <w:t>maureen.grady@occ.ohio.gov</w:t>
      </w:r>
    </w:p>
    <w:p w:rsidR="00E627B8" w:rsidRPr="00E627B8" w:rsidRDefault="00E627B8" w:rsidP="00E627B8">
      <w:pPr>
        <w:tabs>
          <w:tab w:val="left" w:pos="2160"/>
          <w:tab w:val="left" w:pos="2280"/>
        </w:tabs>
        <w:rPr>
          <w:rFonts w:cs="Arial"/>
          <w:sz w:val="24"/>
          <w:szCs w:val="24"/>
        </w:rPr>
      </w:pPr>
    </w:p>
    <w:p w:rsidR="00E627B8" w:rsidRPr="00E627B8" w:rsidRDefault="00E627B8" w:rsidP="00E627B8">
      <w:pPr>
        <w:tabs>
          <w:tab w:val="left" w:pos="2160"/>
          <w:tab w:val="left" w:pos="2280"/>
        </w:tabs>
        <w:rPr>
          <w:rFonts w:cs="Arial"/>
          <w:b/>
          <w:smallCaps/>
          <w:sz w:val="24"/>
          <w:szCs w:val="24"/>
        </w:rPr>
      </w:pPr>
      <w:r w:rsidRPr="00E627B8">
        <w:rPr>
          <w:rFonts w:cs="Arial"/>
          <w:b/>
          <w:smallCaps/>
          <w:sz w:val="24"/>
          <w:szCs w:val="24"/>
        </w:rPr>
        <w:t>On Behalf of the Office of the Ohio Consumers’ Counsel</w:t>
      </w:r>
    </w:p>
    <w:p w:rsidR="00E627B8" w:rsidRDefault="00E627B8" w:rsidP="00E627B8">
      <w:pPr>
        <w:tabs>
          <w:tab w:val="left" w:pos="2160"/>
          <w:tab w:val="left" w:pos="2280"/>
        </w:tabs>
        <w:rPr>
          <w:rFonts w:cs="Arial"/>
          <w:sz w:val="24"/>
          <w:szCs w:val="24"/>
        </w:rPr>
      </w:pPr>
      <w:r w:rsidRPr="00E627B8">
        <w:rPr>
          <w:rFonts w:cs="Arial"/>
          <w:sz w:val="24"/>
          <w:szCs w:val="24"/>
        </w:rPr>
        <w:br w:type="column"/>
      </w:r>
    </w:p>
    <w:p w:rsidR="00E627B8" w:rsidRPr="00E627B8" w:rsidRDefault="00E627B8" w:rsidP="00E627B8">
      <w:pPr>
        <w:tabs>
          <w:tab w:val="left" w:pos="2160"/>
          <w:tab w:val="left" w:pos="2280"/>
        </w:tabs>
        <w:rPr>
          <w:rFonts w:cs="Arial"/>
          <w:sz w:val="24"/>
          <w:szCs w:val="24"/>
        </w:rPr>
      </w:pPr>
      <w:r w:rsidRPr="00E627B8">
        <w:rPr>
          <w:rFonts w:cs="Arial"/>
          <w:sz w:val="24"/>
          <w:szCs w:val="24"/>
        </w:rPr>
        <w:t>Kimberly W. Bojko</w:t>
      </w:r>
    </w:p>
    <w:p w:rsidR="00E627B8" w:rsidRPr="00E627B8" w:rsidRDefault="00E627B8" w:rsidP="00E627B8">
      <w:pPr>
        <w:tabs>
          <w:tab w:val="left" w:pos="2160"/>
          <w:tab w:val="left" w:pos="2280"/>
        </w:tabs>
        <w:rPr>
          <w:rFonts w:cs="Arial"/>
          <w:sz w:val="24"/>
          <w:szCs w:val="24"/>
        </w:rPr>
      </w:pPr>
      <w:r w:rsidRPr="00E627B8">
        <w:rPr>
          <w:rFonts w:cs="Arial"/>
          <w:sz w:val="24"/>
          <w:szCs w:val="24"/>
        </w:rPr>
        <w:t>Mallory M. Mohler</w:t>
      </w:r>
    </w:p>
    <w:p w:rsidR="00E627B8" w:rsidRPr="00E627B8" w:rsidRDefault="00E627B8" w:rsidP="00E627B8">
      <w:pPr>
        <w:tabs>
          <w:tab w:val="left" w:pos="2160"/>
          <w:tab w:val="left" w:pos="2280"/>
        </w:tabs>
        <w:rPr>
          <w:rFonts w:cs="Arial"/>
          <w:sz w:val="24"/>
          <w:szCs w:val="24"/>
        </w:rPr>
      </w:pPr>
      <w:r w:rsidRPr="00E627B8">
        <w:rPr>
          <w:rFonts w:cs="Arial"/>
          <w:sz w:val="24"/>
          <w:szCs w:val="24"/>
        </w:rPr>
        <w:t>Carpenter Lipps &amp; Leland LLP</w:t>
      </w:r>
    </w:p>
    <w:p w:rsidR="00E627B8" w:rsidRPr="00E627B8" w:rsidRDefault="00E627B8" w:rsidP="00E627B8">
      <w:pPr>
        <w:tabs>
          <w:tab w:val="left" w:pos="2160"/>
          <w:tab w:val="left" w:pos="2280"/>
        </w:tabs>
        <w:rPr>
          <w:rFonts w:cs="Arial"/>
          <w:sz w:val="24"/>
          <w:szCs w:val="24"/>
        </w:rPr>
      </w:pPr>
      <w:r w:rsidRPr="00E627B8">
        <w:rPr>
          <w:rFonts w:cs="Arial"/>
          <w:sz w:val="24"/>
          <w:szCs w:val="24"/>
        </w:rPr>
        <w:t>280 Plaza, Suite 1300</w:t>
      </w:r>
    </w:p>
    <w:p w:rsidR="00E627B8" w:rsidRPr="00E627B8" w:rsidRDefault="00E627B8" w:rsidP="00E627B8">
      <w:pPr>
        <w:tabs>
          <w:tab w:val="left" w:pos="2160"/>
          <w:tab w:val="left" w:pos="2280"/>
        </w:tabs>
        <w:rPr>
          <w:rFonts w:cs="Arial"/>
          <w:sz w:val="24"/>
          <w:szCs w:val="24"/>
        </w:rPr>
      </w:pPr>
      <w:r w:rsidRPr="00E627B8">
        <w:rPr>
          <w:rFonts w:cs="Arial"/>
          <w:sz w:val="24"/>
          <w:szCs w:val="24"/>
        </w:rPr>
        <w:t>280 North High Street</w:t>
      </w:r>
    </w:p>
    <w:p w:rsidR="00E627B8" w:rsidRPr="00E627B8" w:rsidRDefault="00E627B8" w:rsidP="00E627B8">
      <w:pPr>
        <w:tabs>
          <w:tab w:val="left" w:pos="2160"/>
          <w:tab w:val="left" w:pos="2280"/>
        </w:tabs>
        <w:rPr>
          <w:rFonts w:cs="Arial"/>
          <w:sz w:val="24"/>
          <w:szCs w:val="24"/>
        </w:rPr>
      </w:pPr>
      <w:r w:rsidRPr="00E627B8">
        <w:rPr>
          <w:rFonts w:cs="Arial"/>
          <w:sz w:val="24"/>
          <w:szCs w:val="24"/>
        </w:rPr>
        <w:t>Columbus, Ohio  43215</w:t>
      </w:r>
    </w:p>
    <w:p w:rsidR="00E627B8" w:rsidRPr="00E627B8" w:rsidRDefault="00E627B8" w:rsidP="00E627B8">
      <w:pPr>
        <w:tabs>
          <w:tab w:val="left" w:pos="2160"/>
          <w:tab w:val="left" w:pos="2280"/>
        </w:tabs>
        <w:rPr>
          <w:rFonts w:cs="Arial"/>
          <w:sz w:val="24"/>
          <w:szCs w:val="24"/>
        </w:rPr>
      </w:pPr>
      <w:r w:rsidRPr="008C65B7">
        <w:rPr>
          <w:rFonts w:cs="Arial"/>
          <w:sz w:val="24"/>
          <w:szCs w:val="24"/>
        </w:rPr>
        <w:t>Bojko@carpenterlipps.com</w:t>
      </w:r>
    </w:p>
    <w:p w:rsidR="00E627B8" w:rsidRPr="00E627B8" w:rsidRDefault="00E627B8" w:rsidP="00E627B8">
      <w:pPr>
        <w:tabs>
          <w:tab w:val="left" w:pos="2160"/>
          <w:tab w:val="left" w:pos="2280"/>
        </w:tabs>
        <w:rPr>
          <w:rFonts w:cs="Arial"/>
          <w:sz w:val="24"/>
          <w:szCs w:val="24"/>
        </w:rPr>
      </w:pPr>
      <w:r w:rsidRPr="008C65B7">
        <w:rPr>
          <w:rFonts w:cs="Arial"/>
          <w:sz w:val="24"/>
          <w:szCs w:val="24"/>
        </w:rPr>
        <w:t>Mohler@carpenterlipps.com</w:t>
      </w:r>
    </w:p>
    <w:p w:rsidR="00E627B8" w:rsidRPr="00E627B8" w:rsidRDefault="00E627B8" w:rsidP="00E627B8">
      <w:pPr>
        <w:tabs>
          <w:tab w:val="left" w:pos="2160"/>
          <w:tab w:val="left" w:pos="2280"/>
        </w:tabs>
        <w:rPr>
          <w:rFonts w:cs="Arial"/>
          <w:sz w:val="24"/>
          <w:szCs w:val="24"/>
        </w:rPr>
      </w:pPr>
    </w:p>
    <w:p w:rsidR="00E627B8" w:rsidRPr="00E627B8" w:rsidRDefault="00E627B8" w:rsidP="00E627B8">
      <w:pPr>
        <w:tabs>
          <w:tab w:val="left" w:pos="2160"/>
          <w:tab w:val="left" w:pos="2280"/>
        </w:tabs>
        <w:rPr>
          <w:rFonts w:cs="Arial"/>
          <w:b/>
          <w:smallCaps/>
          <w:sz w:val="24"/>
          <w:szCs w:val="24"/>
        </w:rPr>
      </w:pPr>
      <w:r w:rsidRPr="00E627B8">
        <w:rPr>
          <w:rFonts w:cs="Arial"/>
          <w:b/>
          <w:smallCaps/>
          <w:sz w:val="24"/>
          <w:szCs w:val="24"/>
        </w:rPr>
        <w:t>Oh Behalf of Ohio Manufacturers’ Association Energy Group</w:t>
      </w:r>
    </w:p>
    <w:p w:rsidR="00E627B8" w:rsidRPr="00E627B8" w:rsidRDefault="00E627B8" w:rsidP="00E627B8">
      <w:pPr>
        <w:tabs>
          <w:tab w:val="left" w:pos="2160"/>
          <w:tab w:val="left" w:pos="2280"/>
        </w:tabs>
        <w:rPr>
          <w:rFonts w:cs="Arial"/>
          <w:sz w:val="24"/>
          <w:szCs w:val="24"/>
        </w:rPr>
      </w:pPr>
    </w:p>
    <w:p w:rsidR="00E627B8" w:rsidRPr="00E627B8" w:rsidRDefault="00E627B8" w:rsidP="00E627B8">
      <w:pPr>
        <w:tabs>
          <w:tab w:val="left" w:pos="2160"/>
          <w:tab w:val="left" w:pos="2280"/>
        </w:tabs>
        <w:rPr>
          <w:rFonts w:cs="Arial"/>
          <w:sz w:val="24"/>
          <w:szCs w:val="24"/>
        </w:rPr>
      </w:pPr>
      <w:r w:rsidRPr="00E627B8">
        <w:rPr>
          <w:rFonts w:cs="Arial"/>
          <w:sz w:val="24"/>
          <w:szCs w:val="24"/>
        </w:rPr>
        <w:t xml:space="preserve">Rocco D'Ascenzo </w:t>
      </w:r>
    </w:p>
    <w:p w:rsidR="00E627B8" w:rsidRPr="00E627B8" w:rsidRDefault="00E627B8" w:rsidP="00E627B8">
      <w:pPr>
        <w:tabs>
          <w:tab w:val="left" w:pos="2160"/>
          <w:tab w:val="left" w:pos="2280"/>
        </w:tabs>
        <w:rPr>
          <w:rFonts w:cs="Arial"/>
          <w:sz w:val="24"/>
          <w:szCs w:val="24"/>
        </w:rPr>
      </w:pPr>
      <w:r w:rsidRPr="00E627B8">
        <w:rPr>
          <w:rFonts w:cs="Arial"/>
          <w:sz w:val="24"/>
          <w:szCs w:val="24"/>
        </w:rPr>
        <w:t>Duke Energy Ohio, Inc.</w:t>
      </w:r>
    </w:p>
    <w:p w:rsidR="00E627B8" w:rsidRPr="00E627B8" w:rsidRDefault="00E627B8" w:rsidP="00E627B8">
      <w:pPr>
        <w:tabs>
          <w:tab w:val="left" w:pos="2160"/>
          <w:tab w:val="left" w:pos="2280"/>
        </w:tabs>
        <w:rPr>
          <w:rFonts w:cs="Arial"/>
          <w:sz w:val="24"/>
          <w:szCs w:val="24"/>
        </w:rPr>
      </w:pPr>
      <w:r w:rsidRPr="00E627B8">
        <w:rPr>
          <w:rFonts w:cs="Arial"/>
          <w:sz w:val="24"/>
          <w:szCs w:val="24"/>
        </w:rPr>
        <w:t>139 East Fourth Street – 1303 Main</w:t>
      </w:r>
    </w:p>
    <w:p w:rsidR="00E627B8" w:rsidRPr="00E627B8" w:rsidRDefault="00E627B8" w:rsidP="00E627B8">
      <w:pPr>
        <w:tabs>
          <w:tab w:val="left" w:pos="2160"/>
          <w:tab w:val="left" w:pos="2280"/>
        </w:tabs>
        <w:rPr>
          <w:rFonts w:cs="Arial"/>
          <w:sz w:val="24"/>
          <w:szCs w:val="24"/>
        </w:rPr>
      </w:pPr>
      <w:r w:rsidRPr="00E627B8">
        <w:rPr>
          <w:rFonts w:cs="Arial"/>
          <w:sz w:val="24"/>
          <w:szCs w:val="24"/>
        </w:rPr>
        <w:t>Cincinnati, Ohio  45202</w:t>
      </w:r>
    </w:p>
    <w:p w:rsidR="00E627B8" w:rsidRPr="00E627B8" w:rsidRDefault="00E627B8" w:rsidP="00E627B8">
      <w:pPr>
        <w:tabs>
          <w:tab w:val="left" w:pos="2160"/>
          <w:tab w:val="left" w:pos="2280"/>
        </w:tabs>
        <w:rPr>
          <w:rFonts w:cs="Arial"/>
          <w:sz w:val="24"/>
          <w:szCs w:val="24"/>
        </w:rPr>
      </w:pPr>
      <w:r w:rsidRPr="00E627B8">
        <w:rPr>
          <w:rFonts w:cs="Arial"/>
          <w:sz w:val="24"/>
          <w:szCs w:val="24"/>
        </w:rPr>
        <w:t>Rocco.d'ascenzo@duke-energy.com</w:t>
      </w:r>
    </w:p>
    <w:p w:rsidR="00E627B8" w:rsidRPr="00E627B8" w:rsidRDefault="00E627B8" w:rsidP="00E627B8">
      <w:pPr>
        <w:tabs>
          <w:tab w:val="left" w:pos="2160"/>
          <w:tab w:val="left" w:pos="2280"/>
        </w:tabs>
        <w:rPr>
          <w:rFonts w:cs="Arial"/>
          <w:sz w:val="24"/>
          <w:szCs w:val="24"/>
        </w:rPr>
      </w:pPr>
    </w:p>
    <w:p w:rsidR="00E627B8" w:rsidRPr="00E627B8" w:rsidRDefault="00E627B8" w:rsidP="00E627B8">
      <w:pPr>
        <w:tabs>
          <w:tab w:val="left" w:pos="2160"/>
          <w:tab w:val="left" w:pos="2280"/>
        </w:tabs>
        <w:rPr>
          <w:rFonts w:cs="Arial"/>
          <w:sz w:val="24"/>
          <w:szCs w:val="24"/>
        </w:rPr>
      </w:pPr>
      <w:r w:rsidRPr="00E627B8">
        <w:rPr>
          <w:rFonts w:cs="Arial"/>
          <w:b/>
          <w:smallCaps/>
          <w:sz w:val="24"/>
          <w:szCs w:val="24"/>
        </w:rPr>
        <w:t>On Behalf of Duke Energy Ohio, Inc</w:t>
      </w:r>
    </w:p>
    <w:p w:rsidR="00E627B8" w:rsidRPr="00E627B8" w:rsidRDefault="00E627B8" w:rsidP="00E627B8">
      <w:pPr>
        <w:autoSpaceDE w:val="0"/>
        <w:autoSpaceDN w:val="0"/>
        <w:adjustRightInd w:val="0"/>
        <w:snapToGrid w:val="0"/>
        <w:rPr>
          <w:rFonts w:cs="Arial"/>
          <w:sz w:val="24"/>
          <w:szCs w:val="24"/>
        </w:rPr>
      </w:pPr>
    </w:p>
    <w:p w:rsidR="00E627B8" w:rsidRPr="00E627B8" w:rsidRDefault="00E627B8" w:rsidP="00E627B8">
      <w:pPr>
        <w:autoSpaceDE w:val="0"/>
        <w:autoSpaceDN w:val="0"/>
        <w:adjustRightInd w:val="0"/>
        <w:snapToGrid w:val="0"/>
        <w:rPr>
          <w:rFonts w:cs="Arial"/>
          <w:sz w:val="24"/>
          <w:szCs w:val="24"/>
        </w:rPr>
      </w:pPr>
      <w:r w:rsidRPr="00E627B8">
        <w:rPr>
          <w:rFonts w:cs="Arial"/>
          <w:sz w:val="24"/>
          <w:szCs w:val="24"/>
        </w:rPr>
        <w:t>David F. Boehm</w:t>
      </w:r>
    </w:p>
    <w:p w:rsidR="00E627B8" w:rsidRPr="00E627B8" w:rsidRDefault="00E627B8" w:rsidP="00E627B8">
      <w:pPr>
        <w:autoSpaceDE w:val="0"/>
        <w:autoSpaceDN w:val="0"/>
        <w:adjustRightInd w:val="0"/>
        <w:snapToGrid w:val="0"/>
        <w:rPr>
          <w:rFonts w:cs="Arial"/>
          <w:sz w:val="24"/>
          <w:szCs w:val="24"/>
        </w:rPr>
      </w:pPr>
      <w:r w:rsidRPr="00E627B8">
        <w:rPr>
          <w:rFonts w:cs="Arial"/>
          <w:sz w:val="24"/>
          <w:szCs w:val="24"/>
        </w:rPr>
        <w:t>Michael L. Kurtz</w:t>
      </w:r>
    </w:p>
    <w:p w:rsidR="00E627B8" w:rsidRPr="00E627B8" w:rsidRDefault="00E627B8" w:rsidP="00E627B8">
      <w:pPr>
        <w:autoSpaceDE w:val="0"/>
        <w:autoSpaceDN w:val="0"/>
        <w:adjustRightInd w:val="0"/>
        <w:snapToGrid w:val="0"/>
        <w:rPr>
          <w:rFonts w:cs="Arial"/>
          <w:sz w:val="24"/>
          <w:szCs w:val="24"/>
        </w:rPr>
      </w:pPr>
      <w:r w:rsidRPr="00E627B8">
        <w:rPr>
          <w:rFonts w:cs="Arial"/>
          <w:sz w:val="24"/>
          <w:szCs w:val="24"/>
        </w:rPr>
        <w:t>Jody Kyler Cohn</w:t>
      </w:r>
    </w:p>
    <w:p w:rsidR="00E627B8" w:rsidRPr="00E627B8" w:rsidRDefault="00E627B8" w:rsidP="00E627B8">
      <w:pPr>
        <w:autoSpaceDE w:val="0"/>
        <w:autoSpaceDN w:val="0"/>
        <w:adjustRightInd w:val="0"/>
        <w:snapToGrid w:val="0"/>
        <w:rPr>
          <w:rFonts w:cs="Arial"/>
          <w:sz w:val="24"/>
          <w:szCs w:val="24"/>
        </w:rPr>
      </w:pPr>
      <w:r w:rsidRPr="00E627B8">
        <w:rPr>
          <w:rFonts w:cs="Arial"/>
          <w:sz w:val="24"/>
          <w:szCs w:val="24"/>
        </w:rPr>
        <w:t>Boehm, Kurtz &amp; Lowry</w:t>
      </w:r>
    </w:p>
    <w:p w:rsidR="00E627B8" w:rsidRPr="00E627B8" w:rsidRDefault="00E627B8" w:rsidP="00E627B8">
      <w:pPr>
        <w:autoSpaceDE w:val="0"/>
        <w:autoSpaceDN w:val="0"/>
        <w:adjustRightInd w:val="0"/>
        <w:snapToGrid w:val="0"/>
        <w:rPr>
          <w:rFonts w:cs="Arial"/>
          <w:sz w:val="24"/>
          <w:szCs w:val="24"/>
        </w:rPr>
      </w:pPr>
      <w:r w:rsidRPr="00E627B8">
        <w:rPr>
          <w:rFonts w:cs="Arial"/>
          <w:sz w:val="24"/>
          <w:szCs w:val="24"/>
        </w:rPr>
        <w:t>36 East Seventh Street, Suite 1510</w:t>
      </w:r>
    </w:p>
    <w:p w:rsidR="00E627B8" w:rsidRPr="00E627B8" w:rsidRDefault="00E627B8" w:rsidP="00E627B8">
      <w:pPr>
        <w:autoSpaceDE w:val="0"/>
        <w:autoSpaceDN w:val="0"/>
        <w:adjustRightInd w:val="0"/>
        <w:snapToGrid w:val="0"/>
        <w:rPr>
          <w:rFonts w:cs="Arial"/>
          <w:sz w:val="24"/>
          <w:szCs w:val="24"/>
        </w:rPr>
      </w:pPr>
      <w:r w:rsidRPr="00E627B8">
        <w:rPr>
          <w:rFonts w:cs="Arial"/>
          <w:sz w:val="24"/>
          <w:szCs w:val="24"/>
        </w:rPr>
        <w:t>Cincinnati, Ohio  45202</w:t>
      </w:r>
    </w:p>
    <w:p w:rsidR="00E627B8" w:rsidRPr="00E627B8" w:rsidRDefault="00E627B8" w:rsidP="00E627B8">
      <w:pPr>
        <w:autoSpaceDE w:val="0"/>
        <w:autoSpaceDN w:val="0"/>
        <w:adjustRightInd w:val="0"/>
        <w:snapToGrid w:val="0"/>
        <w:rPr>
          <w:rFonts w:cs="Arial"/>
          <w:sz w:val="24"/>
          <w:szCs w:val="24"/>
        </w:rPr>
      </w:pPr>
      <w:r w:rsidRPr="00E627B8">
        <w:rPr>
          <w:rFonts w:cs="Arial"/>
          <w:sz w:val="24"/>
          <w:szCs w:val="24"/>
        </w:rPr>
        <w:t>dboehm@bkllawfirm.com</w:t>
      </w:r>
    </w:p>
    <w:p w:rsidR="00E627B8" w:rsidRPr="00E627B8" w:rsidRDefault="00E627B8" w:rsidP="00E627B8">
      <w:pPr>
        <w:autoSpaceDE w:val="0"/>
        <w:autoSpaceDN w:val="0"/>
        <w:adjustRightInd w:val="0"/>
        <w:snapToGrid w:val="0"/>
        <w:rPr>
          <w:rFonts w:cs="Arial"/>
          <w:sz w:val="24"/>
          <w:szCs w:val="24"/>
        </w:rPr>
      </w:pPr>
      <w:r w:rsidRPr="00E627B8">
        <w:rPr>
          <w:rFonts w:cs="Arial"/>
          <w:sz w:val="24"/>
          <w:szCs w:val="24"/>
        </w:rPr>
        <w:t>mkurtz@bkllawfirm.com</w:t>
      </w:r>
    </w:p>
    <w:p w:rsidR="00E627B8" w:rsidRPr="00E627B8" w:rsidRDefault="00E627B8" w:rsidP="00E627B8">
      <w:pPr>
        <w:autoSpaceDE w:val="0"/>
        <w:autoSpaceDN w:val="0"/>
        <w:adjustRightInd w:val="0"/>
        <w:snapToGrid w:val="0"/>
        <w:rPr>
          <w:rFonts w:cs="Arial"/>
          <w:sz w:val="24"/>
          <w:szCs w:val="24"/>
        </w:rPr>
      </w:pPr>
      <w:r w:rsidRPr="00E627B8">
        <w:rPr>
          <w:rFonts w:cs="Arial"/>
          <w:sz w:val="24"/>
          <w:szCs w:val="24"/>
        </w:rPr>
        <w:t>jkylercohn@bkllawfirm.com</w:t>
      </w:r>
    </w:p>
    <w:p w:rsidR="00E627B8" w:rsidRPr="00E627B8" w:rsidRDefault="00E627B8" w:rsidP="00E627B8">
      <w:pPr>
        <w:autoSpaceDE w:val="0"/>
        <w:autoSpaceDN w:val="0"/>
        <w:adjustRightInd w:val="0"/>
        <w:snapToGrid w:val="0"/>
        <w:rPr>
          <w:rFonts w:cs="Arial"/>
          <w:sz w:val="24"/>
          <w:szCs w:val="24"/>
        </w:rPr>
      </w:pPr>
    </w:p>
    <w:p w:rsidR="00E627B8" w:rsidRPr="00E627B8" w:rsidRDefault="00E627B8" w:rsidP="00E627B8">
      <w:pPr>
        <w:autoSpaceDE w:val="0"/>
        <w:autoSpaceDN w:val="0"/>
        <w:adjustRightInd w:val="0"/>
        <w:snapToGrid w:val="0"/>
        <w:rPr>
          <w:rFonts w:cs="Arial"/>
          <w:sz w:val="24"/>
          <w:szCs w:val="24"/>
        </w:rPr>
      </w:pPr>
      <w:r w:rsidRPr="00E627B8">
        <w:rPr>
          <w:rFonts w:cs="Arial"/>
          <w:b/>
          <w:smallCaps/>
          <w:sz w:val="24"/>
          <w:szCs w:val="24"/>
        </w:rPr>
        <w:t>On Behalf of Ohio Energy Group</w:t>
      </w:r>
    </w:p>
    <w:p w:rsidR="00E627B8" w:rsidRPr="00E627B8" w:rsidRDefault="00E627B8" w:rsidP="00E627B8">
      <w:pPr>
        <w:spacing w:after="200" w:line="276" w:lineRule="auto"/>
        <w:rPr>
          <w:rFonts w:cs="Arial"/>
          <w:sz w:val="24"/>
          <w:szCs w:val="24"/>
        </w:rPr>
      </w:pPr>
      <w:r w:rsidRPr="00E627B8">
        <w:rPr>
          <w:rFonts w:cs="Arial"/>
          <w:sz w:val="24"/>
          <w:szCs w:val="24"/>
        </w:rPr>
        <w:br w:type="page"/>
      </w:r>
    </w:p>
    <w:p w:rsidR="00E627B8" w:rsidRPr="00E627B8" w:rsidRDefault="00E627B8" w:rsidP="00E627B8">
      <w:pPr>
        <w:tabs>
          <w:tab w:val="left" w:pos="2160"/>
          <w:tab w:val="left" w:pos="2280"/>
        </w:tabs>
        <w:rPr>
          <w:rFonts w:cs="Arial"/>
          <w:sz w:val="24"/>
          <w:szCs w:val="24"/>
        </w:rPr>
      </w:pPr>
      <w:r w:rsidRPr="00E627B8">
        <w:rPr>
          <w:rFonts w:cs="Arial"/>
          <w:sz w:val="24"/>
          <w:szCs w:val="24"/>
        </w:rPr>
        <w:lastRenderedPageBreak/>
        <w:t>Mark A. Whitt</w:t>
      </w:r>
    </w:p>
    <w:p w:rsidR="00E627B8" w:rsidRPr="00E627B8" w:rsidRDefault="00E627B8" w:rsidP="00E627B8">
      <w:pPr>
        <w:tabs>
          <w:tab w:val="left" w:pos="2160"/>
          <w:tab w:val="left" w:pos="2280"/>
        </w:tabs>
        <w:rPr>
          <w:rFonts w:cs="Arial"/>
          <w:sz w:val="24"/>
          <w:szCs w:val="24"/>
        </w:rPr>
      </w:pPr>
      <w:r w:rsidRPr="00E627B8">
        <w:rPr>
          <w:rFonts w:cs="Arial"/>
          <w:sz w:val="24"/>
          <w:szCs w:val="24"/>
        </w:rPr>
        <w:t>Andrew J. Campbell</w:t>
      </w:r>
    </w:p>
    <w:p w:rsidR="00E627B8" w:rsidRPr="00E627B8" w:rsidRDefault="00E627B8" w:rsidP="00E627B8">
      <w:pPr>
        <w:tabs>
          <w:tab w:val="left" w:pos="2160"/>
          <w:tab w:val="left" w:pos="2280"/>
        </w:tabs>
        <w:rPr>
          <w:rFonts w:cs="Arial"/>
          <w:sz w:val="24"/>
          <w:szCs w:val="24"/>
        </w:rPr>
      </w:pPr>
      <w:r w:rsidRPr="00E627B8">
        <w:rPr>
          <w:rFonts w:cs="Arial"/>
          <w:sz w:val="24"/>
          <w:szCs w:val="24"/>
        </w:rPr>
        <w:t>Gregory L. Williams</w:t>
      </w:r>
    </w:p>
    <w:p w:rsidR="00E627B8" w:rsidRPr="00E627B8" w:rsidRDefault="00E627B8" w:rsidP="00E627B8">
      <w:pPr>
        <w:tabs>
          <w:tab w:val="left" w:pos="2160"/>
          <w:tab w:val="left" w:pos="2280"/>
        </w:tabs>
        <w:rPr>
          <w:rFonts w:cs="Arial"/>
          <w:sz w:val="24"/>
          <w:szCs w:val="24"/>
        </w:rPr>
      </w:pPr>
      <w:r w:rsidRPr="00E627B8">
        <w:rPr>
          <w:rFonts w:cs="Arial"/>
          <w:sz w:val="24"/>
          <w:szCs w:val="24"/>
        </w:rPr>
        <w:t>Whitt Sturtevant LLP</w:t>
      </w:r>
    </w:p>
    <w:p w:rsidR="00E627B8" w:rsidRPr="00E627B8" w:rsidRDefault="00E627B8" w:rsidP="00E627B8">
      <w:pPr>
        <w:tabs>
          <w:tab w:val="left" w:pos="2160"/>
          <w:tab w:val="left" w:pos="2280"/>
        </w:tabs>
        <w:rPr>
          <w:rFonts w:cs="Arial"/>
          <w:sz w:val="24"/>
          <w:szCs w:val="24"/>
        </w:rPr>
      </w:pPr>
      <w:r w:rsidRPr="00E627B8">
        <w:rPr>
          <w:rFonts w:cs="Arial"/>
          <w:sz w:val="24"/>
          <w:szCs w:val="24"/>
        </w:rPr>
        <w:t>The KeyBank Building, Suite 1590</w:t>
      </w:r>
    </w:p>
    <w:p w:rsidR="00E627B8" w:rsidRPr="00E627B8" w:rsidRDefault="00E627B8" w:rsidP="00E627B8">
      <w:pPr>
        <w:tabs>
          <w:tab w:val="left" w:pos="2160"/>
          <w:tab w:val="left" w:pos="2280"/>
        </w:tabs>
        <w:rPr>
          <w:rFonts w:cs="Arial"/>
          <w:sz w:val="24"/>
          <w:szCs w:val="24"/>
        </w:rPr>
      </w:pPr>
      <w:r w:rsidRPr="00E627B8">
        <w:rPr>
          <w:rFonts w:cs="Arial"/>
          <w:sz w:val="24"/>
          <w:szCs w:val="24"/>
        </w:rPr>
        <w:t>88 East Broad Street</w:t>
      </w:r>
    </w:p>
    <w:p w:rsidR="00E627B8" w:rsidRPr="00E627B8" w:rsidRDefault="00E627B8" w:rsidP="00E627B8">
      <w:pPr>
        <w:tabs>
          <w:tab w:val="left" w:pos="2160"/>
          <w:tab w:val="left" w:pos="2280"/>
        </w:tabs>
        <w:rPr>
          <w:rFonts w:cs="Arial"/>
          <w:sz w:val="24"/>
          <w:szCs w:val="24"/>
        </w:rPr>
      </w:pPr>
      <w:r w:rsidRPr="00E627B8">
        <w:rPr>
          <w:rFonts w:cs="Arial"/>
          <w:sz w:val="24"/>
          <w:szCs w:val="24"/>
        </w:rPr>
        <w:t>Columbus, Ohio  43215</w:t>
      </w:r>
    </w:p>
    <w:p w:rsidR="00E627B8" w:rsidRPr="00E627B8" w:rsidRDefault="00E627B8" w:rsidP="00E627B8">
      <w:pPr>
        <w:tabs>
          <w:tab w:val="left" w:pos="2160"/>
          <w:tab w:val="left" w:pos="2280"/>
        </w:tabs>
        <w:rPr>
          <w:rFonts w:cs="Arial"/>
          <w:sz w:val="24"/>
          <w:szCs w:val="24"/>
        </w:rPr>
      </w:pPr>
      <w:r w:rsidRPr="008C65B7">
        <w:rPr>
          <w:rFonts w:cs="Arial"/>
          <w:sz w:val="24"/>
          <w:szCs w:val="24"/>
        </w:rPr>
        <w:t>whit@whitt-sturtevant.com</w:t>
      </w:r>
    </w:p>
    <w:p w:rsidR="00E627B8" w:rsidRPr="00E627B8" w:rsidRDefault="00E627B8" w:rsidP="00E627B8">
      <w:pPr>
        <w:tabs>
          <w:tab w:val="left" w:pos="2160"/>
          <w:tab w:val="left" w:pos="2280"/>
        </w:tabs>
        <w:rPr>
          <w:rFonts w:cs="Arial"/>
          <w:sz w:val="24"/>
          <w:szCs w:val="24"/>
        </w:rPr>
      </w:pPr>
      <w:r w:rsidRPr="008C65B7">
        <w:rPr>
          <w:rFonts w:cs="Arial"/>
          <w:sz w:val="24"/>
          <w:szCs w:val="24"/>
        </w:rPr>
        <w:t>Campbell@whitt-sturtevant.com</w:t>
      </w:r>
    </w:p>
    <w:p w:rsidR="00E627B8" w:rsidRPr="00E627B8" w:rsidRDefault="00E627B8" w:rsidP="00E627B8">
      <w:pPr>
        <w:tabs>
          <w:tab w:val="left" w:pos="2160"/>
          <w:tab w:val="left" w:pos="2280"/>
        </w:tabs>
        <w:rPr>
          <w:rFonts w:cs="Arial"/>
          <w:sz w:val="24"/>
          <w:szCs w:val="24"/>
        </w:rPr>
      </w:pPr>
      <w:r w:rsidRPr="008C65B7">
        <w:rPr>
          <w:rFonts w:cs="Arial"/>
          <w:sz w:val="24"/>
          <w:szCs w:val="24"/>
        </w:rPr>
        <w:t>Williams@whitt-sturtevant.com</w:t>
      </w:r>
    </w:p>
    <w:p w:rsidR="00E627B8" w:rsidRPr="00E627B8" w:rsidRDefault="00E627B8" w:rsidP="00E627B8">
      <w:pPr>
        <w:tabs>
          <w:tab w:val="left" w:pos="2160"/>
          <w:tab w:val="left" w:pos="2280"/>
        </w:tabs>
        <w:rPr>
          <w:rFonts w:cs="Arial"/>
          <w:sz w:val="24"/>
          <w:szCs w:val="24"/>
        </w:rPr>
      </w:pPr>
    </w:p>
    <w:p w:rsidR="00E627B8" w:rsidRPr="00E627B8" w:rsidRDefault="00E627B8" w:rsidP="00E627B8">
      <w:pPr>
        <w:tabs>
          <w:tab w:val="left" w:pos="2160"/>
          <w:tab w:val="left" w:pos="2280"/>
        </w:tabs>
        <w:rPr>
          <w:rFonts w:cs="Arial"/>
          <w:sz w:val="24"/>
          <w:szCs w:val="24"/>
        </w:rPr>
      </w:pPr>
      <w:r w:rsidRPr="00E627B8">
        <w:rPr>
          <w:rFonts w:cs="Arial"/>
          <w:sz w:val="24"/>
          <w:szCs w:val="24"/>
        </w:rPr>
        <w:t>Vincent Parisi</w:t>
      </w:r>
    </w:p>
    <w:p w:rsidR="00E627B8" w:rsidRPr="00E627B8" w:rsidRDefault="00E627B8" w:rsidP="00E627B8">
      <w:pPr>
        <w:tabs>
          <w:tab w:val="left" w:pos="2160"/>
          <w:tab w:val="left" w:pos="2280"/>
        </w:tabs>
        <w:rPr>
          <w:rFonts w:cs="Arial"/>
          <w:sz w:val="24"/>
          <w:szCs w:val="24"/>
        </w:rPr>
      </w:pPr>
      <w:r w:rsidRPr="00E627B8">
        <w:rPr>
          <w:rFonts w:cs="Arial"/>
          <w:sz w:val="24"/>
          <w:szCs w:val="24"/>
        </w:rPr>
        <w:t>Lawrence Friedeman</w:t>
      </w:r>
    </w:p>
    <w:p w:rsidR="00E627B8" w:rsidRPr="00E627B8" w:rsidRDefault="00E627B8" w:rsidP="00E627B8">
      <w:pPr>
        <w:tabs>
          <w:tab w:val="left" w:pos="2160"/>
          <w:tab w:val="left" w:pos="2280"/>
        </w:tabs>
        <w:rPr>
          <w:rFonts w:cs="Arial"/>
          <w:sz w:val="24"/>
          <w:szCs w:val="24"/>
        </w:rPr>
      </w:pPr>
      <w:r w:rsidRPr="00E627B8">
        <w:rPr>
          <w:rFonts w:cs="Arial"/>
          <w:sz w:val="24"/>
          <w:szCs w:val="24"/>
        </w:rPr>
        <w:t>Matthew White</w:t>
      </w:r>
    </w:p>
    <w:p w:rsidR="00E627B8" w:rsidRPr="00E627B8" w:rsidRDefault="00E627B8" w:rsidP="00E627B8">
      <w:pPr>
        <w:tabs>
          <w:tab w:val="left" w:pos="2160"/>
          <w:tab w:val="left" w:pos="2280"/>
        </w:tabs>
        <w:rPr>
          <w:rFonts w:cs="Arial"/>
          <w:sz w:val="24"/>
          <w:szCs w:val="24"/>
        </w:rPr>
      </w:pPr>
      <w:r w:rsidRPr="00E627B8">
        <w:rPr>
          <w:rFonts w:cs="Arial"/>
          <w:sz w:val="24"/>
          <w:szCs w:val="24"/>
        </w:rPr>
        <w:t>Interstate Gas Supply, Inc.</w:t>
      </w:r>
    </w:p>
    <w:p w:rsidR="00E627B8" w:rsidRPr="00E627B8" w:rsidRDefault="00E627B8" w:rsidP="00E627B8">
      <w:pPr>
        <w:tabs>
          <w:tab w:val="left" w:pos="2160"/>
          <w:tab w:val="left" w:pos="2280"/>
        </w:tabs>
        <w:rPr>
          <w:rFonts w:cs="Arial"/>
          <w:sz w:val="24"/>
          <w:szCs w:val="24"/>
        </w:rPr>
      </w:pPr>
      <w:r w:rsidRPr="00E627B8">
        <w:rPr>
          <w:rFonts w:cs="Arial"/>
          <w:sz w:val="24"/>
          <w:szCs w:val="24"/>
        </w:rPr>
        <w:t>6100 Emerald Parkway</w:t>
      </w:r>
    </w:p>
    <w:p w:rsidR="00E627B8" w:rsidRPr="00E627B8" w:rsidRDefault="00E627B8" w:rsidP="00E627B8">
      <w:pPr>
        <w:tabs>
          <w:tab w:val="left" w:pos="2160"/>
          <w:tab w:val="left" w:pos="2280"/>
        </w:tabs>
        <w:rPr>
          <w:rFonts w:cs="Arial"/>
          <w:sz w:val="24"/>
          <w:szCs w:val="24"/>
        </w:rPr>
      </w:pPr>
      <w:r w:rsidRPr="00E627B8">
        <w:rPr>
          <w:rFonts w:cs="Arial"/>
          <w:sz w:val="24"/>
          <w:szCs w:val="24"/>
        </w:rPr>
        <w:t>Dublin, Ohio  43016</w:t>
      </w:r>
    </w:p>
    <w:p w:rsidR="00E627B8" w:rsidRPr="00E627B8" w:rsidRDefault="00E627B8" w:rsidP="00E627B8">
      <w:pPr>
        <w:tabs>
          <w:tab w:val="left" w:pos="2160"/>
          <w:tab w:val="left" w:pos="2280"/>
        </w:tabs>
        <w:rPr>
          <w:rFonts w:cs="Arial"/>
          <w:sz w:val="24"/>
          <w:szCs w:val="24"/>
        </w:rPr>
      </w:pPr>
      <w:r w:rsidRPr="00E627B8">
        <w:rPr>
          <w:rFonts w:cs="Arial"/>
          <w:sz w:val="24"/>
          <w:szCs w:val="24"/>
        </w:rPr>
        <w:t>vparisi@igsenergy.com</w:t>
      </w:r>
    </w:p>
    <w:p w:rsidR="00E627B8" w:rsidRPr="00E627B8" w:rsidRDefault="00E627B8" w:rsidP="00E627B8">
      <w:pPr>
        <w:tabs>
          <w:tab w:val="left" w:pos="2160"/>
          <w:tab w:val="left" w:pos="2280"/>
        </w:tabs>
        <w:rPr>
          <w:rFonts w:cs="Arial"/>
          <w:sz w:val="24"/>
          <w:szCs w:val="24"/>
        </w:rPr>
      </w:pPr>
      <w:r w:rsidRPr="008C65B7">
        <w:rPr>
          <w:rFonts w:cs="Arial"/>
          <w:sz w:val="24"/>
          <w:szCs w:val="24"/>
        </w:rPr>
        <w:t>lfriedeman@igsenergy.com</w:t>
      </w:r>
    </w:p>
    <w:p w:rsidR="00E627B8" w:rsidRPr="00E627B8" w:rsidRDefault="00E627B8" w:rsidP="00E627B8">
      <w:pPr>
        <w:tabs>
          <w:tab w:val="left" w:pos="2160"/>
          <w:tab w:val="left" w:pos="2280"/>
        </w:tabs>
        <w:rPr>
          <w:rFonts w:cs="Arial"/>
          <w:sz w:val="24"/>
          <w:szCs w:val="24"/>
        </w:rPr>
      </w:pPr>
      <w:r w:rsidRPr="008C65B7">
        <w:rPr>
          <w:rFonts w:cs="Arial"/>
          <w:sz w:val="24"/>
          <w:szCs w:val="24"/>
        </w:rPr>
        <w:t>mswhite@igsenergy.com</w:t>
      </w:r>
    </w:p>
    <w:p w:rsidR="00E627B8" w:rsidRPr="00E627B8" w:rsidRDefault="00E627B8" w:rsidP="00E627B8">
      <w:pPr>
        <w:tabs>
          <w:tab w:val="left" w:pos="2160"/>
          <w:tab w:val="left" w:pos="2280"/>
        </w:tabs>
        <w:rPr>
          <w:rFonts w:cs="Arial"/>
          <w:sz w:val="24"/>
          <w:szCs w:val="24"/>
        </w:rPr>
      </w:pPr>
    </w:p>
    <w:p w:rsidR="00E627B8" w:rsidRPr="00E627B8" w:rsidRDefault="00E627B8" w:rsidP="00E627B8">
      <w:pPr>
        <w:tabs>
          <w:tab w:val="left" w:pos="2160"/>
          <w:tab w:val="left" w:pos="2280"/>
        </w:tabs>
        <w:rPr>
          <w:rFonts w:ascii="Arial Bold" w:hAnsi="Arial Bold" w:cs="Arial"/>
          <w:b/>
          <w:smallCaps/>
          <w:sz w:val="24"/>
          <w:szCs w:val="24"/>
        </w:rPr>
      </w:pPr>
      <w:r w:rsidRPr="00E627B8">
        <w:rPr>
          <w:rFonts w:ascii="Arial Bold" w:hAnsi="Arial Bold" w:cs="Arial"/>
          <w:b/>
          <w:smallCaps/>
          <w:sz w:val="24"/>
          <w:szCs w:val="24"/>
        </w:rPr>
        <w:t>On Behalf of Interstate Gas Supply, Inc.</w:t>
      </w:r>
    </w:p>
    <w:p w:rsidR="00E627B8" w:rsidRPr="00E627B8" w:rsidRDefault="00E627B8" w:rsidP="00E627B8">
      <w:pPr>
        <w:tabs>
          <w:tab w:val="left" w:pos="2160"/>
          <w:tab w:val="left" w:pos="2280"/>
        </w:tabs>
        <w:rPr>
          <w:rFonts w:cs="Arial"/>
          <w:b/>
          <w:smallCaps/>
          <w:sz w:val="24"/>
          <w:szCs w:val="24"/>
        </w:rPr>
      </w:pPr>
    </w:p>
    <w:p w:rsidR="00E627B8" w:rsidRPr="00E627B8" w:rsidRDefault="00E627B8" w:rsidP="00E627B8">
      <w:pPr>
        <w:rPr>
          <w:rFonts w:cs="Arial"/>
          <w:sz w:val="24"/>
          <w:szCs w:val="24"/>
        </w:rPr>
      </w:pPr>
      <w:r w:rsidRPr="00E627B8">
        <w:rPr>
          <w:rFonts w:cs="Arial"/>
          <w:sz w:val="24"/>
          <w:szCs w:val="24"/>
        </w:rPr>
        <w:t>Mark A. Hayden</w:t>
      </w:r>
    </w:p>
    <w:p w:rsidR="00E627B8" w:rsidRPr="00E627B8" w:rsidRDefault="00E627B8" w:rsidP="00E627B8">
      <w:pPr>
        <w:rPr>
          <w:rFonts w:cs="Arial"/>
          <w:sz w:val="24"/>
          <w:szCs w:val="24"/>
        </w:rPr>
      </w:pPr>
      <w:r w:rsidRPr="00E627B8">
        <w:rPr>
          <w:rFonts w:cs="Arial"/>
          <w:sz w:val="24"/>
          <w:szCs w:val="24"/>
        </w:rPr>
        <w:t>FirstEnergy Service Company</w:t>
      </w:r>
    </w:p>
    <w:p w:rsidR="00E627B8" w:rsidRPr="00E627B8" w:rsidRDefault="00E627B8" w:rsidP="00E627B8">
      <w:pPr>
        <w:rPr>
          <w:rFonts w:cs="Arial"/>
          <w:sz w:val="24"/>
          <w:szCs w:val="24"/>
        </w:rPr>
      </w:pPr>
      <w:r w:rsidRPr="00E627B8">
        <w:rPr>
          <w:rFonts w:cs="Arial"/>
          <w:sz w:val="24"/>
          <w:szCs w:val="24"/>
        </w:rPr>
        <w:t>76 South Main Street</w:t>
      </w:r>
    </w:p>
    <w:p w:rsidR="00E627B8" w:rsidRPr="00E627B8" w:rsidRDefault="00E627B8" w:rsidP="00E627B8">
      <w:pPr>
        <w:rPr>
          <w:rFonts w:cs="Arial"/>
          <w:sz w:val="24"/>
          <w:szCs w:val="24"/>
        </w:rPr>
      </w:pPr>
      <w:r w:rsidRPr="00E627B8">
        <w:rPr>
          <w:rFonts w:cs="Arial"/>
          <w:sz w:val="24"/>
          <w:szCs w:val="24"/>
        </w:rPr>
        <w:t>Akron, Ohio  44308</w:t>
      </w:r>
    </w:p>
    <w:p w:rsidR="00E627B8" w:rsidRPr="00E627B8" w:rsidRDefault="00E627B8" w:rsidP="00E627B8">
      <w:pPr>
        <w:rPr>
          <w:rFonts w:cs="Arial"/>
          <w:sz w:val="24"/>
          <w:szCs w:val="24"/>
        </w:rPr>
      </w:pPr>
      <w:r w:rsidRPr="00E627B8">
        <w:rPr>
          <w:rFonts w:cs="Arial"/>
          <w:sz w:val="24"/>
          <w:szCs w:val="24"/>
        </w:rPr>
        <w:t>haydenm@firstenergycorp.com</w:t>
      </w:r>
    </w:p>
    <w:p w:rsidR="00E627B8" w:rsidRPr="00E627B8" w:rsidRDefault="00E627B8" w:rsidP="00E627B8">
      <w:pPr>
        <w:rPr>
          <w:rFonts w:cs="Arial"/>
          <w:sz w:val="24"/>
          <w:szCs w:val="24"/>
        </w:rPr>
      </w:pPr>
    </w:p>
    <w:p w:rsidR="00E627B8" w:rsidRPr="00E627B8" w:rsidRDefault="00E627B8" w:rsidP="00E627B8">
      <w:pPr>
        <w:rPr>
          <w:rFonts w:cs="Arial"/>
          <w:sz w:val="24"/>
          <w:szCs w:val="24"/>
        </w:rPr>
      </w:pPr>
      <w:r w:rsidRPr="00E627B8">
        <w:rPr>
          <w:rFonts w:cs="Arial"/>
          <w:sz w:val="24"/>
          <w:szCs w:val="24"/>
        </w:rPr>
        <w:t>James F. Lang</w:t>
      </w:r>
    </w:p>
    <w:p w:rsidR="00E627B8" w:rsidRPr="00E627B8" w:rsidRDefault="00E627B8" w:rsidP="00E627B8">
      <w:pPr>
        <w:rPr>
          <w:rFonts w:cs="Arial"/>
          <w:sz w:val="24"/>
          <w:szCs w:val="24"/>
        </w:rPr>
      </w:pPr>
      <w:r w:rsidRPr="00E627B8">
        <w:rPr>
          <w:rFonts w:cs="Arial"/>
          <w:sz w:val="24"/>
          <w:szCs w:val="24"/>
        </w:rPr>
        <w:t>N. Trevor Alexander</w:t>
      </w:r>
    </w:p>
    <w:p w:rsidR="00E627B8" w:rsidRPr="00E627B8" w:rsidRDefault="00E627B8" w:rsidP="00E627B8">
      <w:pPr>
        <w:rPr>
          <w:rFonts w:cs="Arial"/>
          <w:sz w:val="24"/>
          <w:szCs w:val="24"/>
        </w:rPr>
      </w:pPr>
      <w:r w:rsidRPr="00E627B8">
        <w:rPr>
          <w:rFonts w:cs="Arial"/>
          <w:sz w:val="24"/>
          <w:szCs w:val="24"/>
        </w:rPr>
        <w:t>Calfee, Halter &amp; Griswold LLP</w:t>
      </w:r>
    </w:p>
    <w:p w:rsidR="00E627B8" w:rsidRPr="00E627B8" w:rsidRDefault="00E627B8" w:rsidP="00E627B8">
      <w:pPr>
        <w:rPr>
          <w:rFonts w:cs="Arial"/>
          <w:sz w:val="24"/>
          <w:szCs w:val="24"/>
        </w:rPr>
      </w:pPr>
      <w:r w:rsidRPr="00E627B8">
        <w:rPr>
          <w:rFonts w:cs="Arial"/>
          <w:sz w:val="24"/>
          <w:szCs w:val="24"/>
        </w:rPr>
        <w:t>The Calfee Building</w:t>
      </w:r>
    </w:p>
    <w:p w:rsidR="00E627B8" w:rsidRPr="00E627B8" w:rsidRDefault="00E627B8" w:rsidP="00E627B8">
      <w:pPr>
        <w:rPr>
          <w:rFonts w:cs="Arial"/>
          <w:sz w:val="24"/>
          <w:szCs w:val="24"/>
        </w:rPr>
      </w:pPr>
      <w:r w:rsidRPr="00E627B8">
        <w:rPr>
          <w:rFonts w:cs="Arial"/>
          <w:sz w:val="24"/>
          <w:szCs w:val="24"/>
        </w:rPr>
        <w:t>1405 East Sixth Street</w:t>
      </w:r>
    </w:p>
    <w:p w:rsidR="00E627B8" w:rsidRPr="00E627B8" w:rsidRDefault="00E627B8" w:rsidP="00E627B8">
      <w:pPr>
        <w:rPr>
          <w:rFonts w:cs="Arial"/>
          <w:sz w:val="24"/>
          <w:szCs w:val="24"/>
        </w:rPr>
      </w:pPr>
      <w:r w:rsidRPr="00E627B8">
        <w:rPr>
          <w:rFonts w:cs="Arial"/>
          <w:sz w:val="24"/>
          <w:szCs w:val="24"/>
        </w:rPr>
        <w:t>Cleveland, Ohio  44114</w:t>
      </w:r>
    </w:p>
    <w:p w:rsidR="00E627B8" w:rsidRPr="00E627B8" w:rsidRDefault="00E627B8" w:rsidP="00E627B8">
      <w:pPr>
        <w:rPr>
          <w:rFonts w:cs="Arial"/>
          <w:sz w:val="24"/>
          <w:szCs w:val="24"/>
        </w:rPr>
      </w:pPr>
      <w:r w:rsidRPr="00E627B8">
        <w:rPr>
          <w:rFonts w:cs="Arial"/>
          <w:sz w:val="24"/>
          <w:szCs w:val="24"/>
        </w:rPr>
        <w:t>jlang@calfee.com</w:t>
      </w:r>
    </w:p>
    <w:p w:rsidR="00E627B8" w:rsidRPr="00E627B8" w:rsidRDefault="00E627B8" w:rsidP="00E627B8">
      <w:pPr>
        <w:rPr>
          <w:rFonts w:cs="Arial"/>
          <w:sz w:val="24"/>
          <w:szCs w:val="24"/>
        </w:rPr>
      </w:pPr>
      <w:r w:rsidRPr="00E627B8">
        <w:rPr>
          <w:rFonts w:cs="Arial"/>
          <w:sz w:val="24"/>
          <w:szCs w:val="24"/>
        </w:rPr>
        <w:t>talexander@calfee.com</w:t>
      </w:r>
    </w:p>
    <w:p w:rsidR="00E627B8" w:rsidRPr="00E627B8" w:rsidRDefault="00E627B8" w:rsidP="00E627B8">
      <w:pPr>
        <w:rPr>
          <w:rFonts w:cs="Arial"/>
          <w:sz w:val="24"/>
          <w:szCs w:val="24"/>
        </w:rPr>
      </w:pPr>
    </w:p>
    <w:p w:rsidR="00E627B8" w:rsidRPr="00E627B8" w:rsidRDefault="00E627B8" w:rsidP="00E627B8">
      <w:pPr>
        <w:rPr>
          <w:rFonts w:cs="Arial"/>
          <w:sz w:val="24"/>
          <w:szCs w:val="24"/>
        </w:rPr>
      </w:pPr>
      <w:r w:rsidRPr="00E627B8">
        <w:rPr>
          <w:rFonts w:cs="Arial"/>
          <w:b/>
          <w:smallCaps/>
          <w:sz w:val="24"/>
          <w:szCs w:val="24"/>
        </w:rPr>
        <w:t>On Behalf of FirstEnergy Solutions Corp.</w:t>
      </w:r>
    </w:p>
    <w:p w:rsidR="00E627B8" w:rsidRDefault="00E627B8" w:rsidP="00E627B8">
      <w:pPr>
        <w:rPr>
          <w:rFonts w:cs="Arial"/>
          <w:sz w:val="24"/>
          <w:szCs w:val="24"/>
        </w:rPr>
      </w:pPr>
    </w:p>
    <w:p w:rsidR="00E627B8" w:rsidRDefault="00E627B8" w:rsidP="00E627B8">
      <w:pPr>
        <w:rPr>
          <w:rFonts w:cs="Arial"/>
          <w:sz w:val="24"/>
          <w:szCs w:val="24"/>
        </w:rPr>
      </w:pPr>
    </w:p>
    <w:p w:rsidR="00E627B8" w:rsidRDefault="00E627B8" w:rsidP="00E627B8">
      <w:pPr>
        <w:rPr>
          <w:rFonts w:cs="Arial"/>
          <w:sz w:val="24"/>
          <w:szCs w:val="24"/>
        </w:rPr>
      </w:pPr>
    </w:p>
    <w:p w:rsidR="00E627B8" w:rsidRDefault="00E627B8" w:rsidP="00E627B8">
      <w:pPr>
        <w:rPr>
          <w:rFonts w:cs="Arial"/>
          <w:sz w:val="24"/>
          <w:szCs w:val="24"/>
        </w:rPr>
      </w:pPr>
    </w:p>
    <w:p w:rsidR="00E627B8" w:rsidRPr="00E627B8" w:rsidRDefault="00E627B8" w:rsidP="00E627B8">
      <w:pPr>
        <w:rPr>
          <w:rFonts w:cs="Arial"/>
          <w:sz w:val="24"/>
          <w:szCs w:val="24"/>
        </w:rPr>
      </w:pPr>
    </w:p>
    <w:p w:rsidR="00E627B8" w:rsidRPr="00E627B8" w:rsidRDefault="00E627B8" w:rsidP="00E627B8">
      <w:pPr>
        <w:rPr>
          <w:rFonts w:cs="Arial"/>
          <w:sz w:val="24"/>
          <w:szCs w:val="24"/>
        </w:rPr>
      </w:pPr>
      <w:r w:rsidRPr="00E627B8">
        <w:rPr>
          <w:rFonts w:cs="Arial"/>
          <w:sz w:val="24"/>
          <w:szCs w:val="24"/>
        </w:rPr>
        <w:lastRenderedPageBreak/>
        <w:t>Bryce A. McKenney</w:t>
      </w:r>
    </w:p>
    <w:p w:rsidR="00E627B8" w:rsidRPr="00E627B8" w:rsidRDefault="00E627B8" w:rsidP="00E627B8">
      <w:pPr>
        <w:rPr>
          <w:rFonts w:cs="Arial"/>
          <w:sz w:val="24"/>
          <w:szCs w:val="24"/>
        </w:rPr>
      </w:pPr>
      <w:r w:rsidRPr="00E627B8">
        <w:rPr>
          <w:rFonts w:cs="Arial"/>
          <w:sz w:val="24"/>
          <w:szCs w:val="24"/>
        </w:rPr>
        <w:t>Attorney Examiner</w:t>
      </w:r>
    </w:p>
    <w:p w:rsidR="00E627B8" w:rsidRPr="00E627B8" w:rsidRDefault="00E627B8" w:rsidP="00E627B8">
      <w:pPr>
        <w:rPr>
          <w:rFonts w:cs="Arial"/>
          <w:sz w:val="24"/>
          <w:szCs w:val="24"/>
        </w:rPr>
      </w:pPr>
      <w:r w:rsidRPr="00E627B8">
        <w:rPr>
          <w:rFonts w:cs="Arial"/>
          <w:sz w:val="24"/>
          <w:szCs w:val="24"/>
        </w:rPr>
        <w:t>Public Utilities Commission of Ohio</w:t>
      </w:r>
    </w:p>
    <w:p w:rsidR="00E627B8" w:rsidRPr="00E627B8" w:rsidRDefault="00E627B8" w:rsidP="00E627B8">
      <w:pPr>
        <w:rPr>
          <w:rFonts w:cs="Arial"/>
          <w:sz w:val="24"/>
          <w:szCs w:val="24"/>
        </w:rPr>
      </w:pPr>
      <w:r w:rsidRPr="00E627B8">
        <w:rPr>
          <w:rFonts w:cs="Arial"/>
          <w:sz w:val="24"/>
          <w:szCs w:val="24"/>
        </w:rPr>
        <w:t>180 East Broad Street</w:t>
      </w:r>
    </w:p>
    <w:p w:rsidR="00E627B8" w:rsidRPr="00E627B8" w:rsidRDefault="00E627B8" w:rsidP="00E627B8">
      <w:pPr>
        <w:rPr>
          <w:rFonts w:cs="Arial"/>
          <w:sz w:val="24"/>
          <w:szCs w:val="24"/>
        </w:rPr>
      </w:pPr>
      <w:r w:rsidRPr="00E627B8">
        <w:rPr>
          <w:rFonts w:cs="Arial"/>
          <w:sz w:val="24"/>
          <w:szCs w:val="24"/>
        </w:rPr>
        <w:t>Columbus, Ohio  43215</w:t>
      </w:r>
    </w:p>
    <w:p w:rsidR="00E627B8" w:rsidRPr="00E627B8" w:rsidRDefault="00E627B8" w:rsidP="00E627B8">
      <w:pPr>
        <w:tabs>
          <w:tab w:val="left" w:pos="2160"/>
          <w:tab w:val="left" w:pos="2280"/>
        </w:tabs>
        <w:rPr>
          <w:rFonts w:cs="Arial"/>
          <w:sz w:val="24"/>
          <w:szCs w:val="24"/>
        </w:rPr>
      </w:pPr>
    </w:p>
    <w:p w:rsidR="00E627B8" w:rsidRPr="00E627B8" w:rsidRDefault="00E627B8" w:rsidP="00E627B8">
      <w:pPr>
        <w:rPr>
          <w:rFonts w:ascii="Arial Bold" w:hAnsi="Arial Bold" w:cs="Arial"/>
          <w:b/>
          <w:smallCaps/>
          <w:sz w:val="24"/>
          <w:szCs w:val="24"/>
        </w:rPr>
      </w:pPr>
      <w:r w:rsidRPr="00E627B8">
        <w:rPr>
          <w:rFonts w:ascii="Arial Bold" w:hAnsi="Arial Bold" w:cs="Arial"/>
          <w:b/>
          <w:smallCaps/>
          <w:sz w:val="24"/>
          <w:szCs w:val="24"/>
        </w:rPr>
        <w:t>Attorney Examiner</w:t>
      </w:r>
    </w:p>
    <w:p w:rsidR="008E3BF4" w:rsidRPr="00E627B8" w:rsidRDefault="008E3BF4" w:rsidP="00535DC4">
      <w:pPr>
        <w:tabs>
          <w:tab w:val="left" w:pos="2160"/>
          <w:tab w:val="left" w:pos="2280"/>
        </w:tabs>
        <w:rPr>
          <w:sz w:val="24"/>
          <w:szCs w:val="24"/>
        </w:rPr>
      </w:pPr>
    </w:p>
    <w:sectPr w:rsidR="008E3BF4" w:rsidRPr="00E627B8" w:rsidSect="00E627B8">
      <w:headerReference w:type="default" r:id="rId24"/>
      <w:footerReference w:type="default" r:id="rId25"/>
      <w:headerReference w:type="first" r:id="rId26"/>
      <w:footerReference w:type="first" r:id="rId27"/>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C20" w:rsidRDefault="00BE7C20" w:rsidP="00BE7C20">
      <w:r>
        <w:separator/>
      </w:r>
    </w:p>
  </w:endnote>
  <w:endnote w:type="continuationSeparator" w:id="0">
    <w:p w:rsidR="00BE7C20" w:rsidRDefault="00BE7C20" w:rsidP="00BE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B7" w:rsidRDefault="008C65B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714" w:rsidRPr="00D10388" w:rsidRDefault="00357A0B">
    <w:pPr>
      <w:pStyle w:val="Footer"/>
    </w:pPr>
    <w:r w:rsidRPr="00357A0B">
      <w:rPr>
        <w:noProof/>
        <w:sz w:val="16"/>
      </w:rPr>
      <w:t>{C42650:3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618" w:rsidRPr="00FD0302" w:rsidRDefault="00357A0B" w:rsidP="00683BF1">
    <w:pPr>
      <w:pStyle w:val="Footer"/>
    </w:pPr>
    <w:r w:rsidRPr="00357A0B">
      <w:rPr>
        <w:noProof/>
        <w:sz w:val="16"/>
      </w:rPr>
      <w:t>{C42650:3 }</w:t>
    </w:r>
    <w:sdt>
      <w:sdtPr>
        <w:id w:val="1617405602"/>
        <w:docPartObj>
          <w:docPartGallery w:val="Page Numbers (Bottom of Page)"/>
          <w:docPartUnique/>
        </w:docPartObj>
      </w:sdtPr>
      <w:sdtEndPr>
        <w:rPr>
          <w:noProof/>
        </w:rPr>
      </w:sdtEndPr>
      <w:sdtContent>
        <w:r w:rsidR="00683BF1">
          <w:tab/>
        </w:r>
        <w:r w:rsidR="003170B0" w:rsidRPr="00FD0302">
          <w:fldChar w:fldCharType="begin"/>
        </w:r>
        <w:r w:rsidR="003170B0" w:rsidRPr="00FD0302">
          <w:instrText xml:space="preserve"> PAGE   \* MERGEFORMAT </w:instrText>
        </w:r>
        <w:r w:rsidR="003170B0" w:rsidRPr="00FD0302">
          <w:fldChar w:fldCharType="separate"/>
        </w:r>
        <w:r w:rsidR="008C65B7">
          <w:rPr>
            <w:noProof/>
          </w:rPr>
          <w:t>1</w:t>
        </w:r>
        <w:r w:rsidR="003170B0" w:rsidRPr="00FD0302">
          <w:rPr>
            <w:noProof/>
          </w:rPr>
          <w:fldChar w:fldCharType="end"/>
        </w:r>
      </w:sdtContent>
    </w:sdt>
  </w:p>
  <w:p w:rsidR="00D30618" w:rsidRPr="00FD0302" w:rsidRDefault="00357A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618" w:rsidRPr="00CA32B6" w:rsidRDefault="00357A0B" w:rsidP="00776874">
    <w:pPr>
      <w:pStyle w:val="Footer"/>
    </w:pPr>
    <w:r w:rsidRPr="00357A0B">
      <w:rPr>
        <w:noProof/>
        <w:sz w:val="16"/>
      </w:rPr>
      <w:t>{C42650:3 }</w:t>
    </w:r>
  </w:p>
  <w:p w:rsidR="00D30618" w:rsidRPr="00CA32B6" w:rsidRDefault="00357A0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714" w:rsidRPr="00176430" w:rsidRDefault="00357A0B" w:rsidP="00176430">
    <w:pPr>
      <w:pStyle w:val="Footer"/>
      <w:rPr>
        <w:sz w:val="24"/>
        <w:szCs w:val="24"/>
      </w:rPr>
    </w:pPr>
    <w:r w:rsidRPr="00357A0B">
      <w:rPr>
        <w:noProof/>
        <w:sz w:val="16"/>
        <w:szCs w:val="16"/>
      </w:rPr>
      <w:t>{C42650:3 }</w:t>
    </w:r>
    <w:sdt>
      <w:sdtPr>
        <w:rPr>
          <w:sz w:val="24"/>
          <w:szCs w:val="24"/>
        </w:rPr>
        <w:id w:val="-1183509811"/>
        <w:docPartObj>
          <w:docPartGallery w:val="Page Numbers (Bottom of Page)"/>
          <w:docPartUnique/>
        </w:docPartObj>
      </w:sdtPr>
      <w:sdtEndPr>
        <w:rPr>
          <w:noProof/>
        </w:rPr>
      </w:sdtEndPr>
      <w:sdtContent>
        <w:r w:rsidR="00176430" w:rsidRPr="00176430">
          <w:rPr>
            <w:sz w:val="24"/>
            <w:szCs w:val="24"/>
          </w:rPr>
          <w:tab/>
        </w:r>
        <w:r w:rsidR="00FE4714" w:rsidRPr="00176430">
          <w:rPr>
            <w:sz w:val="24"/>
            <w:szCs w:val="24"/>
          </w:rPr>
          <w:fldChar w:fldCharType="begin"/>
        </w:r>
        <w:r w:rsidR="00FE4714" w:rsidRPr="00176430">
          <w:rPr>
            <w:sz w:val="24"/>
            <w:szCs w:val="24"/>
          </w:rPr>
          <w:instrText xml:space="preserve"> PAGE   \* MERGEFORMAT </w:instrText>
        </w:r>
        <w:r w:rsidR="00FE4714" w:rsidRPr="00176430">
          <w:rPr>
            <w:sz w:val="24"/>
            <w:szCs w:val="24"/>
          </w:rPr>
          <w:fldChar w:fldCharType="separate"/>
        </w:r>
        <w:r>
          <w:rPr>
            <w:noProof/>
            <w:sz w:val="24"/>
            <w:szCs w:val="24"/>
          </w:rPr>
          <w:t>2</w:t>
        </w:r>
        <w:r w:rsidR="00FE4714" w:rsidRPr="00176430">
          <w:rPr>
            <w:noProof/>
            <w:sz w:val="24"/>
            <w:szCs w:val="24"/>
          </w:rPr>
          <w:fldChar w:fldCharType="end"/>
        </w:r>
      </w:sdtContent>
    </w:sdt>
  </w:p>
  <w:p w:rsidR="00FE4714" w:rsidRPr="00FE4714" w:rsidRDefault="00FE4714" w:rsidP="00176430">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714" w:rsidRPr="00FE4714" w:rsidRDefault="00357A0B" w:rsidP="00176430">
    <w:pPr>
      <w:pStyle w:val="Footer"/>
    </w:pPr>
    <w:r w:rsidRPr="00357A0B">
      <w:rPr>
        <w:noProof/>
        <w:sz w:val="16"/>
      </w:rPr>
      <w:t>{C42650:3 }</w:t>
    </w:r>
    <w:r w:rsidR="00176430">
      <w:rPr>
        <w:noProof/>
        <w:sz w:val="16"/>
      </w:rPr>
      <w:tab/>
    </w:r>
  </w:p>
  <w:p w:rsidR="00FE4714" w:rsidRPr="00FE4714" w:rsidRDefault="00FE471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EED" w:rsidRDefault="00FF1EE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EED" w:rsidRPr="00D10388" w:rsidRDefault="00357A0B">
    <w:pPr>
      <w:pStyle w:val="Footer"/>
    </w:pPr>
    <w:r w:rsidRPr="00357A0B">
      <w:rPr>
        <w:noProof/>
        <w:sz w:val="16"/>
      </w:rPr>
      <w:t>{C42650:3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EED" w:rsidRPr="00D10388" w:rsidRDefault="00357A0B">
    <w:pPr>
      <w:pStyle w:val="Footer"/>
    </w:pPr>
    <w:r w:rsidRPr="00357A0B">
      <w:rPr>
        <w:noProof/>
        <w:sz w:val="16"/>
      </w:rPr>
      <w:t>{C42650:3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714" w:rsidRPr="00D10388" w:rsidRDefault="00357A0B">
    <w:pPr>
      <w:pStyle w:val="Footer"/>
    </w:pPr>
    <w:r w:rsidRPr="00357A0B">
      <w:rPr>
        <w:noProof/>
        <w:sz w:val="16"/>
      </w:rPr>
      <w:t>{C42650:3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C20" w:rsidRDefault="00BE7C20" w:rsidP="00BE7C20">
      <w:pPr>
        <w:rPr>
          <w:noProof/>
        </w:rPr>
      </w:pPr>
      <w:r>
        <w:rPr>
          <w:noProof/>
        </w:rPr>
        <w:separator/>
      </w:r>
    </w:p>
  </w:footnote>
  <w:footnote w:type="continuationSeparator" w:id="0">
    <w:p w:rsidR="00BE7C20" w:rsidRDefault="00BE7C20" w:rsidP="00BE7C20">
      <w:r>
        <w:continuationSeparator/>
      </w:r>
    </w:p>
  </w:footnote>
  <w:footnote w:id="1">
    <w:p w:rsidR="00683BF1" w:rsidRPr="00683BF1" w:rsidRDefault="00683BF1" w:rsidP="00683BF1">
      <w:pPr>
        <w:pStyle w:val="FootnoteText"/>
        <w:spacing w:after="120"/>
        <w:jc w:val="both"/>
      </w:pPr>
      <w:r>
        <w:rPr>
          <w:rStyle w:val="FootnoteReference"/>
        </w:rPr>
        <w:footnoteRef/>
      </w:r>
      <w:r>
        <w:t xml:space="preserve"> </w:t>
      </w:r>
      <w:r w:rsidRPr="00683BF1">
        <w:rPr>
          <w:rFonts w:cs="Arial"/>
          <w:i/>
          <w:color w:val="000000"/>
        </w:rPr>
        <w:t>In the Matter of the Application of the Dayton Power and Light Company to Amend its Corporate Separation Plan</w:t>
      </w:r>
      <w:r w:rsidRPr="00683BF1">
        <w:rPr>
          <w:rFonts w:cs="Arial"/>
          <w:color w:val="000000"/>
        </w:rPr>
        <w:t>, Case No. 13-2442-EL-UNC, (Dec. 30, 2013).</w:t>
      </w:r>
    </w:p>
  </w:footnote>
  <w:footnote w:id="2">
    <w:p w:rsidR="00683BF1" w:rsidRDefault="00683BF1" w:rsidP="00683BF1">
      <w:pPr>
        <w:pStyle w:val="FootnoteText"/>
        <w:spacing w:after="120"/>
        <w:jc w:val="both"/>
      </w:pPr>
      <w:r>
        <w:rPr>
          <w:rStyle w:val="FootnoteReference"/>
        </w:rPr>
        <w:footnoteRef/>
      </w:r>
      <w:r>
        <w:t xml:space="preserve"> Asset Transfer Application at 2 (Dec. 30, 2013).</w:t>
      </w:r>
    </w:p>
  </w:footnote>
  <w:footnote w:id="3">
    <w:p w:rsidR="00EB058C" w:rsidRDefault="00EB058C" w:rsidP="00683BF1">
      <w:pPr>
        <w:pStyle w:val="FootnoteText"/>
        <w:spacing w:after="120"/>
      </w:pPr>
      <w:r>
        <w:rPr>
          <w:rStyle w:val="FootnoteReference"/>
        </w:rPr>
        <w:footnoteRef/>
      </w:r>
      <w:r>
        <w:t xml:space="preserve"> </w:t>
      </w:r>
      <w:r w:rsidR="00C75887">
        <w:t>R.C. 4928.17(E)</w:t>
      </w:r>
      <w:r>
        <w:t>.</w:t>
      </w:r>
    </w:p>
  </w:footnote>
  <w:footnote w:id="4">
    <w:p w:rsidR="00EB058C" w:rsidRDefault="00EB058C" w:rsidP="00683BF1">
      <w:pPr>
        <w:pStyle w:val="FootnoteText"/>
        <w:spacing w:after="120"/>
      </w:pPr>
      <w:r>
        <w:rPr>
          <w:rStyle w:val="FootnoteReference"/>
        </w:rPr>
        <w:footnoteRef/>
      </w:r>
      <w:r>
        <w:t xml:space="preserve"> Rule 4901:1-37-09(E), OAC.</w:t>
      </w:r>
    </w:p>
  </w:footnote>
  <w:footnote w:id="5">
    <w:p w:rsidR="00EB058C" w:rsidRDefault="00EB058C" w:rsidP="00BF1773">
      <w:pPr>
        <w:pStyle w:val="FootnoteText"/>
        <w:spacing w:after="120"/>
      </w:pPr>
      <w:r>
        <w:rPr>
          <w:rStyle w:val="FootnoteReference"/>
        </w:rPr>
        <w:footnoteRef/>
      </w:r>
      <w:r>
        <w:t xml:space="preserve"> Rule 4901:1-37-02, OAC.</w:t>
      </w:r>
    </w:p>
  </w:footnote>
  <w:footnote w:id="6">
    <w:p w:rsidR="00FE3D36" w:rsidRDefault="00FE3D36" w:rsidP="007070DE">
      <w:pPr>
        <w:pStyle w:val="FootnoteText"/>
        <w:spacing w:after="120"/>
        <w:jc w:val="both"/>
      </w:pPr>
      <w:r>
        <w:rPr>
          <w:rStyle w:val="FootnoteReference"/>
        </w:rPr>
        <w:footnoteRef/>
      </w:r>
      <w:r>
        <w:t xml:space="preserve"> Rule 4901:1-37-09(C), OAC (emphasis added).</w:t>
      </w:r>
    </w:p>
  </w:footnote>
  <w:footnote w:id="7">
    <w:p w:rsidR="009454C4" w:rsidRDefault="009454C4" w:rsidP="00405D4B">
      <w:pPr>
        <w:pStyle w:val="FootnoteText"/>
        <w:spacing w:after="120"/>
      </w:pPr>
      <w:r>
        <w:rPr>
          <w:rStyle w:val="FootnoteReference"/>
        </w:rPr>
        <w:footnoteRef/>
      </w:r>
      <w:r>
        <w:t xml:space="preserve"> Rule 4901:1-37-02(C), OAC.</w:t>
      </w:r>
    </w:p>
  </w:footnote>
  <w:footnote w:id="8">
    <w:p w:rsidR="009454C4" w:rsidRDefault="00701293" w:rsidP="00405D4B">
      <w:pPr>
        <w:pStyle w:val="FootnoteText"/>
        <w:spacing w:after="120"/>
      </w:pPr>
      <w:r>
        <w:rPr>
          <w:rStyle w:val="FootnoteReference"/>
        </w:rPr>
        <w:footnoteRef/>
      </w:r>
      <w:r>
        <w:t xml:space="preserve"> Rule 4901:1-37-09(C)(1), OAC.</w:t>
      </w:r>
    </w:p>
  </w:footnote>
  <w:footnote w:id="9">
    <w:p w:rsidR="009454C4" w:rsidRDefault="009454C4" w:rsidP="00405D4B">
      <w:pPr>
        <w:pStyle w:val="FootnoteText"/>
        <w:spacing w:after="120"/>
      </w:pPr>
      <w:r>
        <w:rPr>
          <w:rStyle w:val="FootnoteReference"/>
        </w:rPr>
        <w:footnoteRef/>
      </w:r>
      <w:r>
        <w:t xml:space="preserve"> Asset Transfer Application at 5.</w:t>
      </w:r>
    </w:p>
  </w:footnote>
  <w:footnote w:id="10">
    <w:p w:rsidR="009454C4" w:rsidRDefault="009454C4" w:rsidP="00405D4B">
      <w:pPr>
        <w:pStyle w:val="FootnoteText"/>
        <w:spacing w:after="120"/>
      </w:pPr>
      <w:r>
        <w:rPr>
          <w:rStyle w:val="FootnoteReference"/>
        </w:rPr>
        <w:footnoteRef/>
      </w:r>
      <w:r>
        <w:t xml:space="preserve"> Asset Transfer Application at 1-2.</w:t>
      </w:r>
    </w:p>
  </w:footnote>
  <w:footnote w:id="11">
    <w:p w:rsidR="009454C4" w:rsidRDefault="009454C4" w:rsidP="004034D9">
      <w:pPr>
        <w:pStyle w:val="FootnoteText"/>
        <w:spacing w:after="120"/>
      </w:pPr>
      <w:r>
        <w:rPr>
          <w:rStyle w:val="FootnoteReference"/>
        </w:rPr>
        <w:footnoteRef/>
      </w:r>
      <w:r>
        <w:t xml:space="preserve"> Asset Transfer Application at 5.</w:t>
      </w:r>
    </w:p>
  </w:footnote>
  <w:footnote w:id="12">
    <w:p w:rsidR="009454C4" w:rsidRDefault="009454C4" w:rsidP="004034D9">
      <w:pPr>
        <w:pStyle w:val="FootnoteText"/>
        <w:spacing w:after="120"/>
      </w:pPr>
      <w:r>
        <w:rPr>
          <w:rStyle w:val="FootnoteReference"/>
        </w:rPr>
        <w:footnoteRef/>
      </w:r>
      <w:r>
        <w:t xml:space="preserve"> Asset Transfer Application at 6.</w:t>
      </w:r>
    </w:p>
  </w:footnote>
  <w:footnote w:id="13">
    <w:p w:rsidR="001433AD" w:rsidRDefault="001433AD" w:rsidP="004034D9">
      <w:pPr>
        <w:pStyle w:val="FootnoteText"/>
        <w:spacing w:after="120"/>
      </w:pPr>
      <w:r>
        <w:rPr>
          <w:rStyle w:val="FootnoteReference"/>
        </w:rPr>
        <w:footnoteRef/>
      </w:r>
      <w:r>
        <w:t xml:space="preserve"> </w:t>
      </w:r>
      <w:r w:rsidR="009454C4">
        <w:t xml:space="preserve">Asset Transfer </w:t>
      </w:r>
      <w:r>
        <w:t>Application at 5.</w:t>
      </w:r>
    </w:p>
  </w:footnote>
  <w:footnote w:id="14">
    <w:p w:rsidR="00701293" w:rsidRDefault="00701293" w:rsidP="00701293">
      <w:pPr>
        <w:pStyle w:val="FootnoteText"/>
        <w:spacing w:after="120"/>
      </w:pPr>
      <w:r>
        <w:rPr>
          <w:rStyle w:val="FootnoteReference"/>
        </w:rPr>
        <w:footnoteRef/>
      </w:r>
      <w:r>
        <w:t xml:space="preserve"> Rule 4901:1-37-09(C)(2), OAC.</w:t>
      </w:r>
    </w:p>
  </w:footnote>
  <w:footnote w:id="15">
    <w:p w:rsidR="001433AD" w:rsidRPr="001433AD" w:rsidRDefault="001433AD" w:rsidP="00701293">
      <w:pPr>
        <w:pStyle w:val="FootnoteText"/>
        <w:spacing w:after="120"/>
      </w:pPr>
      <w:r w:rsidRPr="001433AD">
        <w:rPr>
          <w:rStyle w:val="FootnoteReference"/>
        </w:rPr>
        <w:footnoteRef/>
      </w:r>
      <w:r w:rsidRPr="001433AD">
        <w:t xml:space="preserve"> </w:t>
      </w:r>
      <w:r w:rsidR="009454C4">
        <w:t xml:space="preserve">Asset Transfer </w:t>
      </w:r>
      <w:r w:rsidRPr="001433AD">
        <w:rPr>
          <w:rFonts w:cs="Arial"/>
        </w:rPr>
        <w:t xml:space="preserve">Application at 7.  </w:t>
      </w:r>
    </w:p>
  </w:footnote>
  <w:footnote w:id="16">
    <w:p w:rsidR="009454C4" w:rsidRDefault="00701293" w:rsidP="00F24B82">
      <w:pPr>
        <w:pStyle w:val="FootnoteText"/>
        <w:spacing w:after="120"/>
      </w:pPr>
      <w:r>
        <w:rPr>
          <w:rStyle w:val="FootnoteReference"/>
        </w:rPr>
        <w:footnoteRef/>
      </w:r>
      <w:r>
        <w:t xml:space="preserve"> Rule 4901:1-37-09(C)(3), OAC.</w:t>
      </w:r>
    </w:p>
  </w:footnote>
  <w:footnote w:id="17">
    <w:p w:rsidR="00A66034" w:rsidRDefault="00A66034" w:rsidP="00774987">
      <w:pPr>
        <w:pStyle w:val="FootnoteText"/>
        <w:spacing w:after="120"/>
        <w:jc w:val="both"/>
      </w:pPr>
      <w:r>
        <w:rPr>
          <w:rStyle w:val="FootnoteReference"/>
        </w:rPr>
        <w:footnoteRef/>
      </w:r>
      <w:r>
        <w:t xml:space="preserve"> Asset Transfer Application at 8.</w:t>
      </w:r>
    </w:p>
  </w:footnote>
  <w:footnote w:id="18">
    <w:p w:rsidR="007B7B5A" w:rsidRDefault="00701293" w:rsidP="00774987">
      <w:pPr>
        <w:pStyle w:val="FootnoteText"/>
        <w:spacing w:after="120"/>
        <w:jc w:val="both"/>
      </w:pPr>
      <w:r>
        <w:rPr>
          <w:rStyle w:val="FootnoteReference"/>
        </w:rPr>
        <w:footnoteRef/>
      </w:r>
      <w:r>
        <w:t xml:space="preserve"> Rule 4901:1-37-09(C)(4), OAC.</w:t>
      </w:r>
    </w:p>
  </w:footnote>
  <w:footnote w:id="19">
    <w:p w:rsidR="007B7B5A" w:rsidRDefault="00A66034" w:rsidP="00774987">
      <w:pPr>
        <w:pStyle w:val="FootnoteText"/>
        <w:spacing w:after="120"/>
        <w:jc w:val="both"/>
      </w:pPr>
      <w:r>
        <w:rPr>
          <w:rStyle w:val="FootnoteReference"/>
        </w:rPr>
        <w:footnoteRef/>
      </w:r>
      <w:r>
        <w:t xml:space="preserve"> Asset Transfer Application at 8. </w:t>
      </w:r>
    </w:p>
  </w:footnote>
  <w:footnote w:id="20">
    <w:p w:rsidR="00A66034" w:rsidRDefault="00A66034" w:rsidP="00BF1773">
      <w:pPr>
        <w:pStyle w:val="FootnoteText"/>
        <w:spacing w:after="120"/>
      </w:pPr>
      <w:r>
        <w:rPr>
          <w:rStyle w:val="FootnoteReference"/>
        </w:rPr>
        <w:footnoteRef/>
      </w:r>
      <w:r>
        <w:t xml:space="preserve"> Asset Transfer Application at 8. </w:t>
      </w:r>
    </w:p>
  </w:footnote>
  <w:footnote w:id="21">
    <w:p w:rsidR="007B7B5A" w:rsidRPr="00A66034" w:rsidRDefault="007B7B5A" w:rsidP="007B7B5A">
      <w:pPr>
        <w:pStyle w:val="FootnoteText"/>
        <w:spacing w:after="120"/>
      </w:pPr>
      <w:r>
        <w:rPr>
          <w:rStyle w:val="FootnoteReference"/>
        </w:rPr>
        <w:footnoteRef/>
      </w:r>
      <w:r>
        <w:t xml:space="preserve"> </w:t>
      </w:r>
      <w:r>
        <w:rPr>
          <w:i/>
        </w:rPr>
        <w:t>Id.</w:t>
      </w:r>
      <w:r>
        <w:t xml:space="preserve"> at 8-9.</w:t>
      </w:r>
    </w:p>
  </w:footnote>
  <w:footnote w:id="22">
    <w:p w:rsidR="001834B6" w:rsidRDefault="001834B6" w:rsidP="00024473">
      <w:pPr>
        <w:pStyle w:val="FootnoteText"/>
        <w:spacing w:after="120"/>
        <w:jc w:val="both"/>
      </w:pPr>
      <w:r>
        <w:rPr>
          <w:rStyle w:val="FootnoteReference"/>
        </w:rPr>
        <w:footnoteRef/>
      </w:r>
      <w:r>
        <w:t xml:space="preserve"> </w:t>
      </w:r>
      <w:r w:rsidRPr="00165505">
        <w:rPr>
          <w:i/>
          <w:iCs/>
        </w:rPr>
        <w:t>In the Matter of the Adoption of Rules for Standard Service Offer, Corporate Separation, Reasonable</w:t>
      </w:r>
      <w:r w:rsidR="00024473">
        <w:rPr>
          <w:i/>
          <w:iCs/>
        </w:rPr>
        <w:t xml:space="preserve"> </w:t>
      </w:r>
      <w:r w:rsidRPr="00165505">
        <w:rPr>
          <w:i/>
          <w:iCs/>
        </w:rPr>
        <w:t>Arrangements, and Transmission Riders for Electric Utilities Pursuant to Sections 4928.14, 4928.17, and</w:t>
      </w:r>
      <w:r w:rsidR="00024473">
        <w:rPr>
          <w:i/>
          <w:iCs/>
        </w:rPr>
        <w:t xml:space="preserve"> </w:t>
      </w:r>
      <w:r w:rsidRPr="00165505">
        <w:rPr>
          <w:i/>
          <w:iCs/>
        </w:rPr>
        <w:t>4905.31, Revised Code, as amended by Amended Substitute Senate Bill No. 221</w:t>
      </w:r>
      <w:r>
        <w:t xml:space="preserve">, Case No. 08-777-EL-ORD, </w:t>
      </w:r>
      <w:r w:rsidRPr="00165505">
        <w:t>Entry on Rehearing at ¶36 (Feb. 11, 2009).</w:t>
      </w:r>
    </w:p>
  </w:footnote>
  <w:footnote w:id="23">
    <w:p w:rsidR="00C120A6" w:rsidRDefault="00C120A6" w:rsidP="00024473">
      <w:pPr>
        <w:autoSpaceDE w:val="0"/>
        <w:autoSpaceDN w:val="0"/>
        <w:adjustRightInd w:val="0"/>
        <w:spacing w:after="120"/>
        <w:jc w:val="both"/>
      </w:pPr>
      <w:r>
        <w:rPr>
          <w:rStyle w:val="FootnoteReference"/>
        </w:rPr>
        <w:footnoteRef/>
      </w:r>
      <w:r>
        <w:t xml:space="preserve"> </w:t>
      </w:r>
      <w:r w:rsidRPr="007C67B0">
        <w:rPr>
          <w:rFonts w:eastAsia="Times New Roman" w:cs="Arial"/>
          <w:i/>
        </w:rPr>
        <w:t>See In the Matter of the Application of Aqua Ohio, Inc. for Authority to Increase its Rates and Charges in its Lake Erie Division</w:t>
      </w:r>
      <w:r w:rsidRPr="007C67B0">
        <w:rPr>
          <w:rFonts w:eastAsia="Times New Roman" w:cs="Arial"/>
        </w:rPr>
        <w:t>, Case No. 09-1044-WW-AIR, Entry at 2 (Jan. 20, 2010) (holding that waiver requests must be evaluated on a case-by-case basis);</w:t>
      </w:r>
      <w:r w:rsidRPr="007C67B0">
        <w:rPr>
          <w:rFonts w:eastAsia="Times New Roman" w:cs="Arial"/>
          <w:i/>
        </w:rPr>
        <w:t xml:space="preserve"> In the Matter of the Application of Columbus Southern Power Company and Ohio Power Company for Authority to Establish a Standard Service Offer Pursuant to Section 4928.143, Revised Code, in the Form of an Electric Security Plan</w:t>
      </w:r>
      <w:r w:rsidRPr="007C67B0">
        <w:rPr>
          <w:rFonts w:eastAsia="Times New Roman" w:cs="Arial"/>
        </w:rPr>
        <w:t xml:space="preserve">, Case Nos. 11-346-EL-SSO, </w:t>
      </w:r>
      <w:r w:rsidRPr="007C67B0">
        <w:rPr>
          <w:rFonts w:eastAsia="Times New Roman" w:cs="Arial"/>
          <w:i/>
        </w:rPr>
        <w:t>et al.</w:t>
      </w:r>
      <w:r w:rsidRPr="007C67B0">
        <w:rPr>
          <w:rFonts w:eastAsia="Times New Roman" w:cs="Arial"/>
        </w:rPr>
        <w:t xml:space="preserve">, Entry at 3 (Apr. 25, 2012) (holding that “inclusion of projected Turning Point solar project costs were an important consideration in the statutory test under Section 4928.143, Revised Code” and that it is “not only necessary for our consideration of the modified application, but is also in the public interest.”); </w:t>
      </w:r>
      <w:r w:rsidRPr="007C67B0">
        <w:rPr>
          <w:rFonts w:eastAsia="Times New Roman" w:cs="Arial"/>
          <w:i/>
        </w:rPr>
        <w:t>see also In the Matter of Ohio Edison Company, The Cleveland Electric Illuminating Company, and The Toledo Edison Company for Authority to Provide for a Standard Service Offer Pursuant to Section 4928.143, Revised Code, in the Form of an Electric Security Plan</w:t>
      </w:r>
      <w:r w:rsidRPr="007C67B0">
        <w:rPr>
          <w:rFonts w:eastAsia="Times New Roman" w:cs="Arial"/>
        </w:rPr>
        <w:t>, Case No.12-1230-EL-SSO, Entry at 6 (Apr. 25, 2012) (holding that the waiver request should be</w:t>
      </w:r>
      <w:r w:rsidRPr="007C67B0">
        <w:rPr>
          <w:rFonts w:ascii="Times New Roman" w:eastAsia="Times New Roman" w:hAnsi="Times New Roman" w:cs="Times New Roman"/>
          <w:sz w:val="24"/>
          <w:szCs w:val="24"/>
        </w:rPr>
        <w:t xml:space="preserve"> </w:t>
      </w:r>
      <w:r w:rsidRPr="007C67B0">
        <w:rPr>
          <w:rFonts w:eastAsia="Times New Roman" w:cs="Arial"/>
        </w:rPr>
        <w:t>denied because the information is necessary for consideration of the type of application before the Commission).</w:t>
      </w:r>
    </w:p>
  </w:footnote>
  <w:footnote w:id="24">
    <w:p w:rsidR="009454C4" w:rsidRDefault="00173714" w:rsidP="00774987">
      <w:pPr>
        <w:pStyle w:val="FootnoteText"/>
        <w:spacing w:after="120"/>
        <w:jc w:val="both"/>
      </w:pPr>
      <w:r>
        <w:rPr>
          <w:rStyle w:val="FootnoteReference"/>
        </w:rPr>
        <w:footnoteRef/>
      </w:r>
      <w:r>
        <w:t xml:space="preserve"> </w:t>
      </w:r>
      <w:r w:rsidRPr="00A66034">
        <w:rPr>
          <w:rFonts w:cs="Arial"/>
          <w:i/>
          <w:color w:val="000000"/>
        </w:rPr>
        <w:t>In the Matter of the Application of Duke Energy Ohio</w:t>
      </w:r>
      <w:r w:rsidR="00774987">
        <w:rPr>
          <w:rFonts w:cs="Arial"/>
          <w:i/>
          <w:color w:val="000000"/>
        </w:rPr>
        <w:t>, Inc.</w:t>
      </w:r>
      <w:r w:rsidRPr="00A66034">
        <w:rPr>
          <w:rFonts w:cs="Arial"/>
          <w:i/>
          <w:color w:val="000000"/>
        </w:rPr>
        <w:t xml:space="preserve"> for Authority to Establish a Standard Service Offer </w:t>
      </w:r>
      <w:r w:rsidR="00774987">
        <w:rPr>
          <w:rFonts w:cs="Arial"/>
          <w:i/>
          <w:color w:val="000000"/>
        </w:rPr>
        <w:t>P</w:t>
      </w:r>
      <w:r w:rsidRPr="00A66034">
        <w:rPr>
          <w:rFonts w:cs="Arial"/>
          <w:i/>
          <w:color w:val="000000"/>
        </w:rPr>
        <w:t xml:space="preserve">ursuant to Section 4928.143, Revised Code, in the </w:t>
      </w:r>
      <w:r w:rsidR="00774987">
        <w:rPr>
          <w:rFonts w:cs="Arial"/>
          <w:i/>
          <w:color w:val="000000"/>
        </w:rPr>
        <w:t>F</w:t>
      </w:r>
      <w:r w:rsidRPr="00A66034">
        <w:rPr>
          <w:rFonts w:cs="Arial"/>
          <w:i/>
          <w:color w:val="000000"/>
        </w:rPr>
        <w:t>orm of an Electric Security Plan, Accounting Modifications and Tariffs for Generation Service</w:t>
      </w:r>
      <w:r w:rsidRPr="00173714">
        <w:rPr>
          <w:rFonts w:cs="Arial"/>
          <w:color w:val="000000"/>
        </w:rPr>
        <w:t>, Case No</w:t>
      </w:r>
      <w:r w:rsidR="00774987">
        <w:rPr>
          <w:rFonts w:cs="Arial"/>
          <w:color w:val="000000"/>
        </w:rPr>
        <w:t>s</w:t>
      </w:r>
      <w:r w:rsidRPr="00173714">
        <w:rPr>
          <w:rFonts w:cs="Arial"/>
          <w:color w:val="000000"/>
        </w:rPr>
        <w:t xml:space="preserve">. 11-3549-EL-SSO, </w:t>
      </w:r>
      <w:r w:rsidR="00774987">
        <w:rPr>
          <w:rFonts w:cs="Arial"/>
          <w:i/>
          <w:color w:val="000000"/>
        </w:rPr>
        <w:t xml:space="preserve">et al., </w:t>
      </w:r>
      <w:r w:rsidR="00305225">
        <w:rPr>
          <w:rFonts w:cs="Arial"/>
          <w:color w:val="000000"/>
        </w:rPr>
        <w:t>Opinion and Order (Nov. 22</w:t>
      </w:r>
      <w:r w:rsidRPr="00173714">
        <w:rPr>
          <w:rFonts w:cs="Arial"/>
          <w:color w:val="000000"/>
        </w:rPr>
        <w:t xml:space="preserve">, 2011) (hereinafter </w:t>
      </w:r>
      <w:r w:rsidRPr="00A66034">
        <w:rPr>
          <w:rFonts w:cs="Arial"/>
          <w:i/>
          <w:color w:val="000000"/>
        </w:rPr>
        <w:t>"Duke ESP"</w:t>
      </w:r>
      <w:r w:rsidRPr="00173714">
        <w:rPr>
          <w:rFonts w:cs="Arial"/>
          <w:color w:val="000000"/>
        </w:rPr>
        <w:t>).</w:t>
      </w:r>
    </w:p>
  </w:footnote>
  <w:footnote w:id="25">
    <w:p w:rsidR="00305225" w:rsidRPr="00305225" w:rsidRDefault="00305225" w:rsidP="00774987">
      <w:pPr>
        <w:pStyle w:val="FootnoteText"/>
        <w:spacing w:after="120"/>
        <w:jc w:val="both"/>
        <w:rPr>
          <w:i/>
        </w:rPr>
      </w:pPr>
      <w:r>
        <w:rPr>
          <w:rStyle w:val="FootnoteReference"/>
        </w:rPr>
        <w:footnoteRef/>
      </w:r>
      <w:r>
        <w:t xml:space="preserve"> </w:t>
      </w:r>
      <w:r>
        <w:rPr>
          <w:i/>
        </w:rPr>
        <w:t>Id.</w:t>
      </w:r>
    </w:p>
  </w:footnote>
  <w:footnote w:id="26">
    <w:p w:rsidR="00C120A6" w:rsidRDefault="00C120A6" w:rsidP="00774987">
      <w:pPr>
        <w:pStyle w:val="FootnoteText"/>
        <w:spacing w:after="120"/>
        <w:jc w:val="both"/>
      </w:pPr>
      <w:r>
        <w:rPr>
          <w:rStyle w:val="FootnoteReference"/>
        </w:rPr>
        <w:footnoteRef/>
      </w:r>
      <w:r>
        <w:t xml:space="preserve"> </w:t>
      </w:r>
      <w:r>
        <w:rPr>
          <w:i/>
        </w:rPr>
        <w:t>In the Matter of the Application of Duke Energy Ohio</w:t>
      </w:r>
      <w:r w:rsidR="005F60FA">
        <w:rPr>
          <w:i/>
        </w:rPr>
        <w:t>, Inc.</w:t>
      </w:r>
      <w:r>
        <w:rPr>
          <w:i/>
        </w:rPr>
        <w:t xml:space="preserve"> for Approval of a Market Rate Offer to Conduct a Competitive Bidding Process for </w:t>
      </w:r>
      <w:r w:rsidR="005F60FA">
        <w:rPr>
          <w:i/>
        </w:rPr>
        <w:t xml:space="preserve">a </w:t>
      </w:r>
      <w:r>
        <w:rPr>
          <w:i/>
        </w:rPr>
        <w:t>Standard Service Offer Electric Generation Supply, Accounting Modifications, and Tariffs for Generation Service</w:t>
      </w:r>
      <w:r>
        <w:t xml:space="preserve">, Case No. 10-2586-EL-SSO, Opinion and Order at 64 (Feb. 23, </w:t>
      </w:r>
      <w:r w:rsidR="00176430">
        <w:t xml:space="preserve">2011). </w:t>
      </w:r>
    </w:p>
  </w:footnote>
  <w:footnote w:id="27">
    <w:p w:rsidR="00305225" w:rsidRDefault="00C120A6" w:rsidP="00774987">
      <w:pPr>
        <w:pStyle w:val="FootnoteText"/>
        <w:spacing w:after="120"/>
        <w:jc w:val="both"/>
      </w:pPr>
      <w:r>
        <w:rPr>
          <w:rStyle w:val="FootnoteReference"/>
        </w:rPr>
        <w:footnoteRef/>
      </w:r>
      <w:r>
        <w:t xml:space="preserve"> According to the Commission’s monthly newsletter, Duke Energy Ohio</w:t>
      </w:r>
      <w:r w:rsidR="005F60FA">
        <w:t>, Inc.'s</w:t>
      </w:r>
      <w:r>
        <w:t xml:space="preserve"> residential customers’ total bills decreased by 17% as a result of the competitive bidding process.</w:t>
      </w:r>
      <w:r>
        <w:rPr>
          <w:i/>
        </w:rPr>
        <w:t xml:space="preserve">  The Monitor</w:t>
      </w:r>
      <w:r>
        <w:t xml:space="preserve"> (January 2012)</w:t>
      </w:r>
      <w:r>
        <w:rPr>
          <w:i/>
        </w:rPr>
        <w:t xml:space="preserve"> </w:t>
      </w:r>
      <w:r w:rsidRPr="008C65B7">
        <w:t>http://www.puco.ohio.gov/emplibrary/files/media/Publications/Newsletters/MonitorJan2012.pdf</w:t>
      </w:r>
      <w:r w:rsidR="00305225" w:rsidRPr="00305225">
        <w:br/>
      </w:r>
      <w:r w:rsidR="00305225">
        <w:t>(last viewed on Feb. 4, 2014</w:t>
      </w:r>
      <w:r>
        <w:t>).</w:t>
      </w:r>
    </w:p>
  </w:footnote>
  <w:footnote w:id="28">
    <w:p w:rsidR="00C120A6" w:rsidRDefault="00C120A6" w:rsidP="00774987">
      <w:pPr>
        <w:pStyle w:val="FootnoteText"/>
        <w:spacing w:after="120"/>
        <w:jc w:val="both"/>
      </w:pPr>
      <w:r>
        <w:rPr>
          <w:rStyle w:val="FootnoteReference"/>
        </w:rPr>
        <w:footnoteRef/>
      </w:r>
      <w:r>
        <w:t xml:space="preserve"> </w:t>
      </w:r>
      <w:r w:rsidR="00305225">
        <w:rPr>
          <w:i/>
        </w:rPr>
        <w:t>Duke ESP</w:t>
      </w:r>
      <w:r w:rsidR="00305225">
        <w:t>, Stipulation at 25-26 (Oct. 24, 2011).</w:t>
      </w:r>
      <w:r w:rsidR="00305225">
        <w:rPr>
          <w:i/>
        </w:rPr>
        <w:t xml:space="preserve">  </w:t>
      </w:r>
      <w:r>
        <w:t>I</w:t>
      </w:r>
      <w:r w:rsidR="007868B1">
        <w:t>ndustrial Energy Users-Ohio ("I</w:t>
      </w:r>
      <w:r>
        <w:t>EU-Ohio</w:t>
      </w:r>
      <w:r w:rsidR="007868B1">
        <w:t>")</w:t>
      </w:r>
      <w:r>
        <w:t xml:space="preserve"> did not support or oppose this provision of the stipulation.</w:t>
      </w:r>
      <w:r w:rsidR="00305225">
        <w:t xml:space="preserve">  </w:t>
      </w:r>
      <w:r w:rsidR="00305225">
        <w:rPr>
          <w:i/>
        </w:rPr>
        <w:t xml:space="preserve">Id. </w:t>
      </w:r>
      <w:r w:rsidR="00305225">
        <w:t>at FN 2.</w:t>
      </w:r>
    </w:p>
  </w:footnote>
  <w:footnote w:id="29">
    <w:p w:rsidR="00305225" w:rsidRDefault="00A66034" w:rsidP="005F60FA">
      <w:pPr>
        <w:pStyle w:val="FootnoteText"/>
        <w:spacing w:after="120"/>
        <w:jc w:val="both"/>
      </w:pPr>
      <w:r>
        <w:rPr>
          <w:rStyle w:val="FootnoteReference"/>
        </w:rPr>
        <w:footnoteRef/>
      </w:r>
      <w:r>
        <w:t xml:space="preserve"> Asset Transfer Application at 9.</w:t>
      </w:r>
    </w:p>
  </w:footnote>
  <w:footnote w:id="30">
    <w:p w:rsidR="00305225" w:rsidRPr="003C53D8" w:rsidRDefault="00A66034" w:rsidP="005F60FA">
      <w:pPr>
        <w:pStyle w:val="FootnoteText"/>
        <w:spacing w:after="120"/>
        <w:jc w:val="both"/>
        <w:rPr>
          <w:rFonts w:cs="Arial"/>
          <w:i/>
        </w:rPr>
      </w:pPr>
      <w:r w:rsidRPr="00A66034">
        <w:rPr>
          <w:rStyle w:val="FootnoteReference"/>
        </w:rPr>
        <w:footnoteRef/>
      </w:r>
      <w:r w:rsidRPr="00A66034">
        <w:t xml:space="preserve"> </w:t>
      </w:r>
      <w:r w:rsidR="005F60FA">
        <w:rPr>
          <w:rFonts w:cs="Arial"/>
          <w:i/>
        </w:rPr>
        <w:t>Id.</w:t>
      </w:r>
    </w:p>
  </w:footnote>
  <w:footnote w:id="31">
    <w:p w:rsidR="00305225" w:rsidRDefault="00305225" w:rsidP="005F60FA">
      <w:pPr>
        <w:pStyle w:val="FootnoteText"/>
        <w:spacing w:after="120"/>
        <w:jc w:val="both"/>
      </w:pPr>
      <w:r>
        <w:rPr>
          <w:rStyle w:val="FootnoteReference"/>
        </w:rPr>
        <w:footnoteRef/>
      </w:r>
      <w:r>
        <w:t xml:space="preserve"> </w:t>
      </w:r>
      <w:r w:rsidR="005F60FA">
        <w:rPr>
          <w:i/>
        </w:rPr>
        <w:t xml:space="preserve">Id. </w:t>
      </w:r>
      <w:r>
        <w:t>at 8-9.</w:t>
      </w:r>
    </w:p>
  </w:footnote>
  <w:footnote w:id="32">
    <w:p w:rsidR="00C75887" w:rsidRDefault="00C75887" w:rsidP="0077056F">
      <w:pPr>
        <w:pStyle w:val="FootnoteText"/>
        <w:spacing w:after="120"/>
        <w:jc w:val="both"/>
      </w:pPr>
      <w:r>
        <w:rPr>
          <w:rStyle w:val="FootnoteReference"/>
        </w:rPr>
        <w:footnoteRef/>
      </w:r>
      <w:r>
        <w:t xml:space="preserve"> </w:t>
      </w:r>
      <w:r w:rsidRPr="001053C5">
        <w:rPr>
          <w:rFonts w:cs="Arial"/>
          <w:i/>
        </w:rPr>
        <w:t>In the M</w:t>
      </w:r>
      <w:r>
        <w:rPr>
          <w:rFonts w:cs="Arial"/>
          <w:i/>
        </w:rPr>
        <w:t xml:space="preserve">atter of the Application of The </w:t>
      </w:r>
      <w:r w:rsidRPr="001053C5">
        <w:rPr>
          <w:rFonts w:cs="Arial"/>
          <w:i/>
        </w:rPr>
        <w:t>Day</w:t>
      </w:r>
      <w:r>
        <w:rPr>
          <w:rFonts w:cs="Arial"/>
          <w:i/>
        </w:rPr>
        <w:t xml:space="preserve">ton Power and Light Company for </w:t>
      </w:r>
      <w:r w:rsidRPr="001053C5">
        <w:rPr>
          <w:rFonts w:cs="Arial"/>
          <w:i/>
        </w:rPr>
        <w:t>Approval of its Electric Security Plan</w:t>
      </w:r>
      <w:r>
        <w:rPr>
          <w:rFonts w:cs="Arial"/>
        </w:rPr>
        <w:t xml:space="preserve">, Case Nos. 12-426-EL-SSO, </w:t>
      </w:r>
      <w:r>
        <w:rPr>
          <w:rFonts w:cs="Arial"/>
          <w:i/>
        </w:rPr>
        <w:t>et al.</w:t>
      </w:r>
      <w:r>
        <w:rPr>
          <w:rFonts w:cs="Arial"/>
        </w:rPr>
        <w:t>, Opinion and Order</w:t>
      </w:r>
      <w:r w:rsidRPr="001053C5">
        <w:rPr>
          <w:rFonts w:cs="Arial"/>
        </w:rPr>
        <w:t xml:space="preserve"> at 17</w:t>
      </w:r>
      <w:r>
        <w:rPr>
          <w:rFonts w:cs="Arial"/>
        </w:rPr>
        <w:t xml:space="preserve"> (Sep. 4, 2013) (hereinafter “</w:t>
      </w:r>
      <w:r>
        <w:rPr>
          <w:rFonts w:cs="Arial"/>
          <w:i/>
        </w:rPr>
        <w:t>DP&amp;L ESP II</w:t>
      </w:r>
      <w:r>
        <w:rPr>
          <w:rFonts w:cs="Arial"/>
        </w:rPr>
        <w:t>”);</w:t>
      </w:r>
      <w:r>
        <w:rPr>
          <w:rFonts w:cs="Arial"/>
          <w:i/>
        </w:rPr>
        <w:t xml:space="preserve"> </w:t>
      </w:r>
      <w:r w:rsidRPr="001053C5">
        <w:rPr>
          <w:rFonts w:cs="Arial"/>
          <w:i/>
        </w:rPr>
        <w:t>DP&amp;L</w:t>
      </w:r>
      <w:r>
        <w:rPr>
          <w:rFonts w:cs="Arial"/>
        </w:rPr>
        <w:t xml:space="preserve"> </w:t>
      </w:r>
      <w:r>
        <w:rPr>
          <w:rFonts w:cs="Arial"/>
          <w:i/>
        </w:rPr>
        <w:t>ESP II</w:t>
      </w:r>
      <w:r>
        <w:rPr>
          <w:rFonts w:cs="Arial"/>
        </w:rPr>
        <w:t>, DP&amp;L</w:t>
      </w:r>
      <w:r>
        <w:rPr>
          <w:rFonts w:cs="Arial"/>
          <w:i/>
        </w:rPr>
        <w:t xml:space="preserve"> </w:t>
      </w:r>
      <w:r>
        <w:rPr>
          <w:rFonts w:cs="Arial"/>
        </w:rPr>
        <w:t xml:space="preserve"> Ex. 1 at 13.</w:t>
      </w:r>
    </w:p>
  </w:footnote>
  <w:footnote w:id="33">
    <w:p w:rsidR="001053C5" w:rsidRPr="001053C5" w:rsidRDefault="001053C5" w:rsidP="0077056F">
      <w:pPr>
        <w:autoSpaceDE w:val="0"/>
        <w:autoSpaceDN w:val="0"/>
        <w:adjustRightInd w:val="0"/>
        <w:spacing w:after="120"/>
        <w:jc w:val="both"/>
        <w:rPr>
          <w:rFonts w:cs="Arial"/>
        </w:rPr>
      </w:pPr>
      <w:r>
        <w:rPr>
          <w:rStyle w:val="FootnoteReference"/>
        </w:rPr>
        <w:footnoteRef/>
      </w:r>
      <w:r>
        <w:rPr>
          <w:rFonts w:cs="Arial"/>
        </w:rPr>
        <w:t xml:space="preserve"> </w:t>
      </w:r>
      <w:r w:rsidR="00C75887">
        <w:rPr>
          <w:rFonts w:cs="Arial"/>
          <w:i/>
        </w:rPr>
        <w:t>DP&amp;L ESP II</w:t>
      </w:r>
      <w:r w:rsidR="00C75887">
        <w:rPr>
          <w:rFonts w:cs="Arial"/>
        </w:rPr>
        <w:t>,</w:t>
      </w:r>
      <w:r>
        <w:rPr>
          <w:rFonts w:cs="Arial"/>
        </w:rPr>
        <w:t xml:space="preserve"> Opinion and Order</w:t>
      </w:r>
      <w:r w:rsidRPr="001053C5">
        <w:rPr>
          <w:rFonts w:cs="Arial"/>
        </w:rPr>
        <w:t xml:space="preserve"> at 17</w:t>
      </w:r>
      <w:r w:rsidR="003C53D8">
        <w:rPr>
          <w:rFonts w:cs="Arial"/>
        </w:rPr>
        <w:t xml:space="preserve">, </w:t>
      </w:r>
      <w:r w:rsidR="00C75887">
        <w:rPr>
          <w:rFonts w:cs="Arial"/>
        </w:rPr>
        <w:t>25-26 (Sep.</w:t>
      </w:r>
      <w:r w:rsidR="0077056F">
        <w:rPr>
          <w:rFonts w:cs="Arial"/>
        </w:rPr>
        <w:t>4</w:t>
      </w:r>
      <w:r w:rsidR="00C75887">
        <w:rPr>
          <w:rFonts w:cs="Arial"/>
        </w:rPr>
        <w:t xml:space="preserve">, 2013). </w:t>
      </w:r>
    </w:p>
  </w:footnote>
  <w:footnote w:id="34">
    <w:p w:rsidR="00C75887" w:rsidRDefault="00C75887" w:rsidP="0077056F">
      <w:pPr>
        <w:pStyle w:val="FootnoteText"/>
        <w:spacing w:after="120"/>
        <w:jc w:val="both"/>
      </w:pPr>
      <w:r>
        <w:rPr>
          <w:rStyle w:val="FootnoteReference"/>
        </w:rPr>
        <w:footnoteRef/>
      </w:r>
      <w:r>
        <w:t xml:space="preserve"> </w:t>
      </w:r>
      <w:r w:rsidRPr="001053C5">
        <w:rPr>
          <w:rFonts w:cs="Arial"/>
          <w:i/>
        </w:rPr>
        <w:t>DP&amp;L</w:t>
      </w:r>
      <w:r>
        <w:rPr>
          <w:rFonts w:cs="Arial"/>
        </w:rPr>
        <w:t xml:space="preserve"> </w:t>
      </w:r>
      <w:r>
        <w:rPr>
          <w:rFonts w:cs="Arial"/>
          <w:i/>
        </w:rPr>
        <w:t>ESP II</w:t>
      </w:r>
      <w:r w:rsidRPr="001053C5">
        <w:rPr>
          <w:rFonts w:cs="Arial"/>
        </w:rPr>
        <w:t xml:space="preserve">, DP&amp;L Ex. 16A at 5.  </w:t>
      </w:r>
    </w:p>
  </w:footnote>
  <w:footnote w:id="35">
    <w:p w:rsidR="00562419" w:rsidRPr="004F4FD6" w:rsidRDefault="004F4FD6" w:rsidP="0077056F">
      <w:pPr>
        <w:pStyle w:val="FootnoteText"/>
        <w:spacing w:after="120"/>
        <w:jc w:val="both"/>
      </w:pPr>
      <w:r w:rsidRPr="001053C5">
        <w:rPr>
          <w:rStyle w:val="FootnoteReference"/>
          <w:rFonts w:cs="Arial"/>
        </w:rPr>
        <w:footnoteRef/>
      </w:r>
      <w:r w:rsidRPr="001053C5">
        <w:rPr>
          <w:rFonts w:cs="Arial"/>
        </w:rPr>
        <w:t xml:space="preserve"> </w:t>
      </w:r>
      <w:r w:rsidR="001053C5" w:rsidRPr="001053C5">
        <w:rPr>
          <w:rFonts w:cs="Arial"/>
          <w:i/>
        </w:rPr>
        <w:t>DP&amp;L</w:t>
      </w:r>
      <w:r w:rsidR="001053C5">
        <w:rPr>
          <w:rFonts w:cs="Arial"/>
        </w:rPr>
        <w:t xml:space="preserve"> </w:t>
      </w:r>
      <w:r w:rsidR="001053C5">
        <w:rPr>
          <w:rFonts w:cs="Arial"/>
          <w:i/>
        </w:rPr>
        <w:t>ESP II</w:t>
      </w:r>
      <w:r w:rsidRPr="001053C5">
        <w:rPr>
          <w:rFonts w:cs="Arial"/>
        </w:rPr>
        <w:t xml:space="preserve">, </w:t>
      </w:r>
      <w:r w:rsidR="001053C5" w:rsidRPr="001053C5">
        <w:rPr>
          <w:rFonts w:cs="Arial"/>
        </w:rPr>
        <w:t xml:space="preserve">DP&amp;L </w:t>
      </w:r>
      <w:r w:rsidRPr="001053C5">
        <w:rPr>
          <w:rFonts w:cs="Arial"/>
        </w:rPr>
        <w:t>Ex. 16A at 5.</w:t>
      </w:r>
      <w:r w:rsidR="001053C5" w:rsidRPr="001053C5">
        <w:rPr>
          <w:rFonts w:cs="Arial"/>
        </w:rPr>
        <w:t xml:space="preserve">  </w:t>
      </w:r>
      <w:r w:rsidR="001053C5" w:rsidRPr="001053C5">
        <w:rPr>
          <w:rFonts w:cs="Arial"/>
          <w:i/>
        </w:rPr>
        <w:t>See also</w:t>
      </w:r>
      <w:r w:rsidR="001053C5" w:rsidRPr="001053C5">
        <w:rPr>
          <w:rFonts w:cs="Arial"/>
        </w:rPr>
        <w:t xml:space="preserve"> </w:t>
      </w:r>
      <w:r w:rsidR="001053C5">
        <w:rPr>
          <w:rFonts w:cs="Arial"/>
          <w:i/>
        </w:rPr>
        <w:t>DP&amp;L ESP II</w:t>
      </w:r>
      <w:r w:rsidR="001053C5">
        <w:rPr>
          <w:rFonts w:cs="Arial"/>
        </w:rPr>
        <w:t>,</w:t>
      </w:r>
      <w:r w:rsidR="001053C5">
        <w:rPr>
          <w:rFonts w:cs="Arial"/>
          <w:i/>
        </w:rPr>
        <w:t xml:space="preserve"> </w:t>
      </w:r>
      <w:r w:rsidR="001053C5" w:rsidRPr="001053C5">
        <w:rPr>
          <w:rFonts w:cs="Arial"/>
        </w:rPr>
        <w:t>The Dayton Power and Light</w:t>
      </w:r>
      <w:r w:rsidR="001053C5">
        <w:t xml:space="preserve"> Company’s Initial Post-Hearing Brief at 26-27</w:t>
      </w:r>
      <w:r w:rsidR="003A5330">
        <w:t xml:space="preserve"> (May 20, 2013)</w:t>
      </w:r>
      <w:r w:rsidR="001053C5">
        <w:t>.</w:t>
      </w:r>
    </w:p>
  </w:footnote>
  <w:footnote w:id="36">
    <w:p w:rsidR="007B7B5A" w:rsidRPr="009454C4" w:rsidRDefault="007B7B5A" w:rsidP="0077056F">
      <w:pPr>
        <w:pStyle w:val="FootnoteText"/>
        <w:spacing w:after="120"/>
        <w:jc w:val="both"/>
      </w:pPr>
      <w:r>
        <w:rPr>
          <w:rStyle w:val="FootnoteReference"/>
        </w:rPr>
        <w:footnoteRef/>
      </w:r>
      <w:r>
        <w:t xml:space="preserve"> </w:t>
      </w:r>
      <w:r>
        <w:rPr>
          <w:i/>
        </w:rPr>
        <w:t>DP&amp;L ESP II</w:t>
      </w:r>
      <w:r>
        <w:t>,</w:t>
      </w:r>
      <w:r>
        <w:rPr>
          <w:i/>
        </w:rPr>
        <w:t xml:space="preserve"> </w:t>
      </w:r>
      <w:r>
        <w:t>Opinion and Order at 16, 27-28 (Sep. 4, 2013).</w:t>
      </w:r>
    </w:p>
  </w:footnote>
  <w:footnote w:id="37">
    <w:p w:rsidR="007B7B5A" w:rsidRDefault="007B7B5A" w:rsidP="005F60FA">
      <w:pPr>
        <w:pStyle w:val="FootnoteText"/>
        <w:spacing w:after="120"/>
      </w:pPr>
      <w:r>
        <w:rPr>
          <w:rStyle w:val="FootnoteReference"/>
        </w:rPr>
        <w:footnoteRef/>
      </w:r>
      <w:r>
        <w:t xml:space="preserve"> Asset Transfer Application at 2.</w:t>
      </w:r>
    </w:p>
  </w:footnote>
  <w:footnote w:id="38">
    <w:p w:rsidR="00C75887" w:rsidRDefault="00C75887" w:rsidP="003A5330">
      <w:pPr>
        <w:pStyle w:val="FootnoteText"/>
        <w:spacing w:after="120"/>
        <w:jc w:val="both"/>
      </w:pPr>
      <w:r>
        <w:rPr>
          <w:rStyle w:val="FootnoteReference"/>
        </w:rPr>
        <w:footnoteRef/>
      </w:r>
      <w:r>
        <w:t xml:space="preserve"> </w:t>
      </w:r>
      <w:r w:rsidRPr="00C75887">
        <w:rPr>
          <w:rFonts w:cs="Arial"/>
        </w:rPr>
        <w:t>DP&amp;L’s Asset Transfer Application, however, is relevant to the ESP proceeding because it lends further support to intervenors rehearing requests in DP&amp;L’s ESP with respect to the amount and duration of the SSR.  Although DP&amp;L asserted that the SSR was necessary to transfer its generating assets in 2017, DP&amp;L has now revealed that it may be able to transfer its generating assets before December 31, 2014.</w:t>
      </w:r>
      <w:r w:rsidRPr="00C75887">
        <w:t xml:space="preserve">  Asset Transfer Application at 1-2.</w:t>
      </w:r>
      <w:r w:rsidRPr="00C75887">
        <w:rPr>
          <w:rFonts w:cs="Arial"/>
        </w:rPr>
        <w:t xml:space="preserve">  After DP&amp;L transfers its generating assets, there will be no need for the SSR.  Accordingly, IEU-Ohio urges the Commission to grant the applications for rehearing that contest the amount and duration of the SSR.  </w:t>
      </w:r>
      <w:r w:rsidR="007B7B5A">
        <w:rPr>
          <w:rFonts w:cs="Arial"/>
          <w:i/>
        </w:rPr>
        <w:t>DP&amp;L ESP II</w:t>
      </w:r>
      <w:r w:rsidR="007B7B5A">
        <w:rPr>
          <w:rFonts w:cs="Arial"/>
        </w:rPr>
        <w:t>,</w:t>
      </w:r>
      <w:r w:rsidR="007B7B5A">
        <w:rPr>
          <w:rFonts w:cs="Arial"/>
          <w:i/>
        </w:rPr>
        <w:t xml:space="preserve"> </w:t>
      </w:r>
      <w:r w:rsidRPr="00C75887">
        <w:t xml:space="preserve">FirstEnergy Solutions </w:t>
      </w:r>
      <w:r w:rsidR="000E6263">
        <w:t xml:space="preserve">Corp.'s </w:t>
      </w:r>
      <w:r w:rsidRPr="00C75887">
        <w:t>Application for Rehearing at 48</w:t>
      </w:r>
      <w:r w:rsidR="000E6263">
        <w:t xml:space="preserve"> (Oct. 4, 2013)</w:t>
      </w:r>
      <w:r w:rsidRPr="00C75887">
        <w:t xml:space="preserve">.  </w:t>
      </w:r>
      <w:r w:rsidRPr="00C75887">
        <w:rPr>
          <w:i/>
        </w:rPr>
        <w:t>See also</w:t>
      </w:r>
      <w:r w:rsidR="007B7B5A">
        <w:rPr>
          <w:i/>
        </w:rPr>
        <w:t xml:space="preserve"> DP&amp;L ESP II</w:t>
      </w:r>
      <w:r w:rsidR="007B7B5A">
        <w:t>,</w:t>
      </w:r>
      <w:r w:rsidRPr="00C75887">
        <w:rPr>
          <w:i/>
        </w:rPr>
        <w:t xml:space="preserve"> </w:t>
      </w:r>
      <w:r w:rsidRPr="00C75887">
        <w:t>IEU-Ohio Application for Rehearing at 52-57</w:t>
      </w:r>
      <w:r w:rsidR="000E6263">
        <w:t xml:space="preserve"> (Oct. 4, 2013)</w:t>
      </w:r>
      <w:r w:rsidRPr="00C7588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B7" w:rsidRDefault="008C65B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714" w:rsidRDefault="00FE47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B7" w:rsidRDefault="008C65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B7" w:rsidRDefault="008C65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714" w:rsidRDefault="00FE471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714" w:rsidRDefault="00FE471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EED" w:rsidRDefault="00FF1EE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EED" w:rsidRDefault="00FF1E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EED" w:rsidRDefault="00FF1EE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714" w:rsidRDefault="00FE47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00DA8"/>
    <w:multiLevelType w:val="hybridMultilevel"/>
    <w:tmpl w:val="8F6222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636747D"/>
    <w:multiLevelType w:val="hybridMultilevel"/>
    <w:tmpl w:val="FC782484"/>
    <w:lvl w:ilvl="0" w:tplc="5A0E514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283A8D"/>
    <w:multiLevelType w:val="hybridMultilevel"/>
    <w:tmpl w:val="85E42650"/>
    <w:lvl w:ilvl="0" w:tplc="B42697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9675CF5"/>
    <w:multiLevelType w:val="hybridMultilevel"/>
    <w:tmpl w:val="79D08E16"/>
    <w:lvl w:ilvl="0" w:tplc="D6A4020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26321FF"/>
    <w:multiLevelType w:val="hybridMultilevel"/>
    <w:tmpl w:val="284EADF6"/>
    <w:lvl w:ilvl="0" w:tplc="3AAA0D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C20"/>
    <w:rsid w:val="0001550E"/>
    <w:rsid w:val="00024473"/>
    <w:rsid w:val="00084D95"/>
    <w:rsid w:val="000A3F3A"/>
    <w:rsid w:val="000E6263"/>
    <w:rsid w:val="000F51B5"/>
    <w:rsid w:val="001053C5"/>
    <w:rsid w:val="00112E4B"/>
    <w:rsid w:val="001433AD"/>
    <w:rsid w:val="00156F8D"/>
    <w:rsid w:val="00173714"/>
    <w:rsid w:val="00176430"/>
    <w:rsid w:val="00176D4A"/>
    <w:rsid w:val="001834B6"/>
    <w:rsid w:val="00184D40"/>
    <w:rsid w:val="002152F6"/>
    <w:rsid w:val="002B4833"/>
    <w:rsid w:val="00305225"/>
    <w:rsid w:val="003170B0"/>
    <w:rsid w:val="00357A0B"/>
    <w:rsid w:val="003A5330"/>
    <w:rsid w:val="003C53D8"/>
    <w:rsid w:val="003E2B5E"/>
    <w:rsid w:val="004034D9"/>
    <w:rsid w:val="00405D4B"/>
    <w:rsid w:val="004439F6"/>
    <w:rsid w:val="00443DD4"/>
    <w:rsid w:val="004C121A"/>
    <w:rsid w:val="004F4FD6"/>
    <w:rsid w:val="00534C4C"/>
    <w:rsid w:val="00535DC4"/>
    <w:rsid w:val="00562419"/>
    <w:rsid w:val="005770C4"/>
    <w:rsid w:val="005D7832"/>
    <w:rsid w:val="005E7590"/>
    <w:rsid w:val="005F60FA"/>
    <w:rsid w:val="00683BF1"/>
    <w:rsid w:val="006867A0"/>
    <w:rsid w:val="00701293"/>
    <w:rsid w:val="007070DE"/>
    <w:rsid w:val="00712126"/>
    <w:rsid w:val="0077056F"/>
    <w:rsid w:val="00774987"/>
    <w:rsid w:val="007868B1"/>
    <w:rsid w:val="007941BB"/>
    <w:rsid w:val="007B7B5A"/>
    <w:rsid w:val="007C67B0"/>
    <w:rsid w:val="00825299"/>
    <w:rsid w:val="008A42D3"/>
    <w:rsid w:val="008C65B7"/>
    <w:rsid w:val="008E3BF4"/>
    <w:rsid w:val="00936F84"/>
    <w:rsid w:val="009454C4"/>
    <w:rsid w:val="009503E2"/>
    <w:rsid w:val="009A3641"/>
    <w:rsid w:val="00A570C7"/>
    <w:rsid w:val="00A66034"/>
    <w:rsid w:val="00AA18F1"/>
    <w:rsid w:val="00B05AFB"/>
    <w:rsid w:val="00B07C41"/>
    <w:rsid w:val="00B6798D"/>
    <w:rsid w:val="00B82E96"/>
    <w:rsid w:val="00BE7C20"/>
    <w:rsid w:val="00BF1773"/>
    <w:rsid w:val="00C0405A"/>
    <w:rsid w:val="00C120A6"/>
    <w:rsid w:val="00C75887"/>
    <w:rsid w:val="00CB7541"/>
    <w:rsid w:val="00CF2900"/>
    <w:rsid w:val="00D36846"/>
    <w:rsid w:val="00D964D6"/>
    <w:rsid w:val="00E5733B"/>
    <w:rsid w:val="00E627B8"/>
    <w:rsid w:val="00EB058C"/>
    <w:rsid w:val="00ED47A5"/>
    <w:rsid w:val="00F152C8"/>
    <w:rsid w:val="00F24B82"/>
    <w:rsid w:val="00F30A94"/>
    <w:rsid w:val="00FE3D36"/>
    <w:rsid w:val="00FE4714"/>
    <w:rsid w:val="00FF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C20"/>
    <w:rPr>
      <w:sz w:val="20"/>
      <w:szCs w:val="20"/>
    </w:rPr>
  </w:style>
  <w:style w:type="paragraph" w:styleId="Heading1">
    <w:name w:val="heading 1"/>
    <w:basedOn w:val="Normal"/>
    <w:next w:val="Normal"/>
    <w:link w:val="Heading1Char"/>
    <w:uiPriority w:val="9"/>
    <w:qFormat/>
    <w:rsid w:val="00184D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E7C20"/>
    <w:pPr>
      <w:tabs>
        <w:tab w:val="left" w:pos="-1440"/>
        <w:tab w:val="left" w:pos="-720"/>
        <w:tab w:val="left" w:pos="5040"/>
        <w:tab w:val="center" w:pos="7200"/>
      </w:tabs>
      <w:overflowPunct w:val="0"/>
      <w:autoSpaceDE w:val="0"/>
      <w:autoSpaceDN w:val="0"/>
      <w:adjustRightInd w:val="0"/>
      <w:jc w:val="both"/>
    </w:pPr>
    <w:rPr>
      <w:b/>
      <w:smallCaps/>
    </w:rPr>
  </w:style>
  <w:style w:type="character" w:customStyle="1" w:styleId="BodyTextChar">
    <w:name w:val="Body Text Char"/>
    <w:basedOn w:val="DefaultParagraphFont"/>
    <w:link w:val="BodyText"/>
    <w:rsid w:val="00BE7C20"/>
    <w:rPr>
      <w:b/>
      <w:smallCaps/>
      <w:sz w:val="20"/>
      <w:szCs w:val="20"/>
    </w:rPr>
  </w:style>
  <w:style w:type="paragraph" w:styleId="BodyText3">
    <w:name w:val="Body Text 3"/>
    <w:basedOn w:val="Normal"/>
    <w:link w:val="BodyText3Char"/>
    <w:rsid w:val="00BE7C20"/>
    <w:pPr>
      <w:spacing w:after="120"/>
    </w:pPr>
    <w:rPr>
      <w:sz w:val="16"/>
      <w:szCs w:val="16"/>
    </w:rPr>
  </w:style>
  <w:style w:type="character" w:customStyle="1" w:styleId="BodyText3Char">
    <w:name w:val="Body Text 3 Char"/>
    <w:basedOn w:val="DefaultParagraphFont"/>
    <w:link w:val="BodyText3"/>
    <w:rsid w:val="00BE7C20"/>
    <w:rPr>
      <w:sz w:val="16"/>
      <w:szCs w:val="16"/>
    </w:rPr>
  </w:style>
  <w:style w:type="paragraph" w:styleId="Header">
    <w:name w:val="header"/>
    <w:basedOn w:val="Normal"/>
    <w:link w:val="HeaderChar"/>
    <w:uiPriority w:val="99"/>
    <w:unhideWhenUsed/>
    <w:rsid w:val="00BE7C20"/>
    <w:pPr>
      <w:tabs>
        <w:tab w:val="center" w:pos="4680"/>
        <w:tab w:val="right" w:pos="9360"/>
      </w:tabs>
    </w:pPr>
  </w:style>
  <w:style w:type="character" w:customStyle="1" w:styleId="HeaderChar">
    <w:name w:val="Header Char"/>
    <w:basedOn w:val="DefaultParagraphFont"/>
    <w:link w:val="Header"/>
    <w:uiPriority w:val="99"/>
    <w:rsid w:val="00BE7C20"/>
    <w:rPr>
      <w:sz w:val="20"/>
      <w:szCs w:val="20"/>
    </w:rPr>
  </w:style>
  <w:style w:type="paragraph" w:styleId="Footer">
    <w:name w:val="footer"/>
    <w:basedOn w:val="Normal"/>
    <w:link w:val="FooterChar"/>
    <w:uiPriority w:val="99"/>
    <w:unhideWhenUsed/>
    <w:rsid w:val="00BE7C20"/>
    <w:pPr>
      <w:tabs>
        <w:tab w:val="center" w:pos="4680"/>
        <w:tab w:val="right" w:pos="9360"/>
      </w:tabs>
    </w:pPr>
  </w:style>
  <w:style w:type="character" w:customStyle="1" w:styleId="FooterChar">
    <w:name w:val="Footer Char"/>
    <w:basedOn w:val="DefaultParagraphFont"/>
    <w:link w:val="Footer"/>
    <w:uiPriority w:val="99"/>
    <w:rsid w:val="00BE7C20"/>
    <w:rPr>
      <w:sz w:val="20"/>
      <w:szCs w:val="20"/>
    </w:rPr>
  </w:style>
  <w:style w:type="paragraph" w:styleId="FootnoteText">
    <w:name w:val="footnote text"/>
    <w:basedOn w:val="Normal"/>
    <w:link w:val="FootnoteTextChar"/>
    <w:uiPriority w:val="99"/>
    <w:semiHidden/>
    <w:unhideWhenUsed/>
    <w:rsid w:val="002B4833"/>
  </w:style>
  <w:style w:type="character" w:customStyle="1" w:styleId="FootnoteTextChar">
    <w:name w:val="Footnote Text Char"/>
    <w:basedOn w:val="DefaultParagraphFont"/>
    <w:link w:val="FootnoteText"/>
    <w:uiPriority w:val="99"/>
    <w:semiHidden/>
    <w:rsid w:val="002B4833"/>
    <w:rPr>
      <w:sz w:val="20"/>
      <w:szCs w:val="20"/>
    </w:rPr>
  </w:style>
  <w:style w:type="character" w:styleId="FootnoteReference">
    <w:name w:val="footnote reference"/>
    <w:basedOn w:val="DefaultParagraphFont"/>
    <w:uiPriority w:val="99"/>
    <w:semiHidden/>
    <w:unhideWhenUsed/>
    <w:rsid w:val="002B4833"/>
    <w:rPr>
      <w:vertAlign w:val="superscript"/>
    </w:rPr>
  </w:style>
  <w:style w:type="paragraph" w:styleId="ListParagraph">
    <w:name w:val="List Paragraph"/>
    <w:basedOn w:val="Normal"/>
    <w:uiPriority w:val="34"/>
    <w:qFormat/>
    <w:rsid w:val="00112E4B"/>
    <w:pPr>
      <w:ind w:left="720"/>
      <w:contextualSpacing/>
    </w:pPr>
  </w:style>
  <w:style w:type="character" w:customStyle="1" w:styleId="Heading1Char">
    <w:name w:val="Heading 1 Char"/>
    <w:basedOn w:val="DefaultParagraphFont"/>
    <w:link w:val="Heading1"/>
    <w:uiPriority w:val="9"/>
    <w:rsid w:val="00184D4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120A6"/>
    <w:rPr>
      <w:color w:val="0000FF" w:themeColor="hyperlink"/>
      <w:u w:val="single"/>
    </w:rPr>
  </w:style>
  <w:style w:type="paragraph" w:styleId="BalloonText">
    <w:name w:val="Balloon Text"/>
    <w:basedOn w:val="Normal"/>
    <w:link w:val="BalloonTextChar"/>
    <w:uiPriority w:val="99"/>
    <w:semiHidden/>
    <w:unhideWhenUsed/>
    <w:rsid w:val="00683BF1"/>
    <w:rPr>
      <w:rFonts w:ascii="Tahoma" w:hAnsi="Tahoma" w:cs="Tahoma"/>
      <w:sz w:val="16"/>
      <w:szCs w:val="16"/>
    </w:rPr>
  </w:style>
  <w:style w:type="character" w:customStyle="1" w:styleId="BalloonTextChar">
    <w:name w:val="Balloon Text Char"/>
    <w:basedOn w:val="DefaultParagraphFont"/>
    <w:link w:val="BalloonText"/>
    <w:uiPriority w:val="99"/>
    <w:semiHidden/>
    <w:rsid w:val="00683BF1"/>
    <w:rPr>
      <w:rFonts w:ascii="Tahoma" w:hAnsi="Tahoma" w:cs="Tahoma"/>
      <w:sz w:val="16"/>
      <w:szCs w:val="16"/>
    </w:rPr>
  </w:style>
  <w:style w:type="character" w:styleId="CommentReference">
    <w:name w:val="annotation reference"/>
    <w:basedOn w:val="DefaultParagraphFont"/>
    <w:uiPriority w:val="99"/>
    <w:semiHidden/>
    <w:unhideWhenUsed/>
    <w:rsid w:val="00024473"/>
    <w:rPr>
      <w:sz w:val="16"/>
      <w:szCs w:val="16"/>
    </w:rPr>
  </w:style>
  <w:style w:type="paragraph" w:styleId="CommentText">
    <w:name w:val="annotation text"/>
    <w:basedOn w:val="Normal"/>
    <w:link w:val="CommentTextChar"/>
    <w:uiPriority w:val="99"/>
    <w:semiHidden/>
    <w:unhideWhenUsed/>
    <w:rsid w:val="00024473"/>
  </w:style>
  <w:style w:type="character" w:customStyle="1" w:styleId="CommentTextChar">
    <w:name w:val="Comment Text Char"/>
    <w:basedOn w:val="DefaultParagraphFont"/>
    <w:link w:val="CommentText"/>
    <w:uiPriority w:val="99"/>
    <w:semiHidden/>
    <w:rsid w:val="00024473"/>
    <w:rPr>
      <w:sz w:val="20"/>
      <w:szCs w:val="20"/>
    </w:rPr>
  </w:style>
  <w:style w:type="paragraph" w:styleId="CommentSubject">
    <w:name w:val="annotation subject"/>
    <w:basedOn w:val="CommentText"/>
    <w:next w:val="CommentText"/>
    <w:link w:val="CommentSubjectChar"/>
    <w:uiPriority w:val="99"/>
    <w:semiHidden/>
    <w:unhideWhenUsed/>
    <w:rsid w:val="00024473"/>
    <w:rPr>
      <w:b/>
      <w:bCs/>
    </w:rPr>
  </w:style>
  <w:style w:type="character" w:customStyle="1" w:styleId="CommentSubjectChar">
    <w:name w:val="Comment Subject Char"/>
    <w:basedOn w:val="CommentTextChar"/>
    <w:link w:val="CommentSubject"/>
    <w:uiPriority w:val="99"/>
    <w:semiHidden/>
    <w:rsid w:val="00024473"/>
    <w:rPr>
      <w:b/>
      <w:bCs/>
      <w:sz w:val="20"/>
      <w:szCs w:val="20"/>
    </w:rPr>
  </w:style>
  <w:style w:type="character" w:styleId="FollowedHyperlink">
    <w:name w:val="FollowedHyperlink"/>
    <w:basedOn w:val="DefaultParagraphFont"/>
    <w:uiPriority w:val="99"/>
    <w:semiHidden/>
    <w:unhideWhenUsed/>
    <w:rsid w:val="003052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C20"/>
    <w:rPr>
      <w:sz w:val="20"/>
      <w:szCs w:val="20"/>
    </w:rPr>
  </w:style>
  <w:style w:type="paragraph" w:styleId="Heading1">
    <w:name w:val="heading 1"/>
    <w:basedOn w:val="Normal"/>
    <w:next w:val="Normal"/>
    <w:link w:val="Heading1Char"/>
    <w:uiPriority w:val="9"/>
    <w:qFormat/>
    <w:rsid w:val="00184D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E7C20"/>
    <w:pPr>
      <w:tabs>
        <w:tab w:val="left" w:pos="-1440"/>
        <w:tab w:val="left" w:pos="-720"/>
        <w:tab w:val="left" w:pos="5040"/>
        <w:tab w:val="center" w:pos="7200"/>
      </w:tabs>
      <w:overflowPunct w:val="0"/>
      <w:autoSpaceDE w:val="0"/>
      <w:autoSpaceDN w:val="0"/>
      <w:adjustRightInd w:val="0"/>
      <w:jc w:val="both"/>
    </w:pPr>
    <w:rPr>
      <w:b/>
      <w:smallCaps/>
    </w:rPr>
  </w:style>
  <w:style w:type="character" w:customStyle="1" w:styleId="BodyTextChar">
    <w:name w:val="Body Text Char"/>
    <w:basedOn w:val="DefaultParagraphFont"/>
    <w:link w:val="BodyText"/>
    <w:rsid w:val="00BE7C20"/>
    <w:rPr>
      <w:b/>
      <w:smallCaps/>
      <w:sz w:val="20"/>
      <w:szCs w:val="20"/>
    </w:rPr>
  </w:style>
  <w:style w:type="paragraph" w:styleId="BodyText3">
    <w:name w:val="Body Text 3"/>
    <w:basedOn w:val="Normal"/>
    <w:link w:val="BodyText3Char"/>
    <w:rsid w:val="00BE7C20"/>
    <w:pPr>
      <w:spacing w:after="120"/>
    </w:pPr>
    <w:rPr>
      <w:sz w:val="16"/>
      <w:szCs w:val="16"/>
    </w:rPr>
  </w:style>
  <w:style w:type="character" w:customStyle="1" w:styleId="BodyText3Char">
    <w:name w:val="Body Text 3 Char"/>
    <w:basedOn w:val="DefaultParagraphFont"/>
    <w:link w:val="BodyText3"/>
    <w:rsid w:val="00BE7C20"/>
    <w:rPr>
      <w:sz w:val="16"/>
      <w:szCs w:val="16"/>
    </w:rPr>
  </w:style>
  <w:style w:type="paragraph" w:styleId="Header">
    <w:name w:val="header"/>
    <w:basedOn w:val="Normal"/>
    <w:link w:val="HeaderChar"/>
    <w:uiPriority w:val="99"/>
    <w:unhideWhenUsed/>
    <w:rsid w:val="00BE7C20"/>
    <w:pPr>
      <w:tabs>
        <w:tab w:val="center" w:pos="4680"/>
        <w:tab w:val="right" w:pos="9360"/>
      </w:tabs>
    </w:pPr>
  </w:style>
  <w:style w:type="character" w:customStyle="1" w:styleId="HeaderChar">
    <w:name w:val="Header Char"/>
    <w:basedOn w:val="DefaultParagraphFont"/>
    <w:link w:val="Header"/>
    <w:uiPriority w:val="99"/>
    <w:rsid w:val="00BE7C20"/>
    <w:rPr>
      <w:sz w:val="20"/>
      <w:szCs w:val="20"/>
    </w:rPr>
  </w:style>
  <w:style w:type="paragraph" w:styleId="Footer">
    <w:name w:val="footer"/>
    <w:basedOn w:val="Normal"/>
    <w:link w:val="FooterChar"/>
    <w:uiPriority w:val="99"/>
    <w:unhideWhenUsed/>
    <w:rsid w:val="00BE7C20"/>
    <w:pPr>
      <w:tabs>
        <w:tab w:val="center" w:pos="4680"/>
        <w:tab w:val="right" w:pos="9360"/>
      </w:tabs>
    </w:pPr>
  </w:style>
  <w:style w:type="character" w:customStyle="1" w:styleId="FooterChar">
    <w:name w:val="Footer Char"/>
    <w:basedOn w:val="DefaultParagraphFont"/>
    <w:link w:val="Footer"/>
    <w:uiPriority w:val="99"/>
    <w:rsid w:val="00BE7C20"/>
    <w:rPr>
      <w:sz w:val="20"/>
      <w:szCs w:val="20"/>
    </w:rPr>
  </w:style>
  <w:style w:type="paragraph" w:styleId="FootnoteText">
    <w:name w:val="footnote text"/>
    <w:basedOn w:val="Normal"/>
    <w:link w:val="FootnoteTextChar"/>
    <w:uiPriority w:val="99"/>
    <w:semiHidden/>
    <w:unhideWhenUsed/>
    <w:rsid w:val="002B4833"/>
  </w:style>
  <w:style w:type="character" w:customStyle="1" w:styleId="FootnoteTextChar">
    <w:name w:val="Footnote Text Char"/>
    <w:basedOn w:val="DefaultParagraphFont"/>
    <w:link w:val="FootnoteText"/>
    <w:uiPriority w:val="99"/>
    <w:semiHidden/>
    <w:rsid w:val="002B4833"/>
    <w:rPr>
      <w:sz w:val="20"/>
      <w:szCs w:val="20"/>
    </w:rPr>
  </w:style>
  <w:style w:type="character" w:styleId="FootnoteReference">
    <w:name w:val="footnote reference"/>
    <w:basedOn w:val="DefaultParagraphFont"/>
    <w:uiPriority w:val="99"/>
    <w:semiHidden/>
    <w:unhideWhenUsed/>
    <w:rsid w:val="002B4833"/>
    <w:rPr>
      <w:vertAlign w:val="superscript"/>
    </w:rPr>
  </w:style>
  <w:style w:type="paragraph" w:styleId="ListParagraph">
    <w:name w:val="List Paragraph"/>
    <w:basedOn w:val="Normal"/>
    <w:uiPriority w:val="34"/>
    <w:qFormat/>
    <w:rsid w:val="00112E4B"/>
    <w:pPr>
      <w:ind w:left="720"/>
      <w:contextualSpacing/>
    </w:pPr>
  </w:style>
  <w:style w:type="character" w:customStyle="1" w:styleId="Heading1Char">
    <w:name w:val="Heading 1 Char"/>
    <w:basedOn w:val="DefaultParagraphFont"/>
    <w:link w:val="Heading1"/>
    <w:uiPriority w:val="9"/>
    <w:rsid w:val="00184D4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120A6"/>
    <w:rPr>
      <w:color w:val="0000FF" w:themeColor="hyperlink"/>
      <w:u w:val="single"/>
    </w:rPr>
  </w:style>
  <w:style w:type="paragraph" w:styleId="BalloonText">
    <w:name w:val="Balloon Text"/>
    <w:basedOn w:val="Normal"/>
    <w:link w:val="BalloonTextChar"/>
    <w:uiPriority w:val="99"/>
    <w:semiHidden/>
    <w:unhideWhenUsed/>
    <w:rsid w:val="00683BF1"/>
    <w:rPr>
      <w:rFonts w:ascii="Tahoma" w:hAnsi="Tahoma" w:cs="Tahoma"/>
      <w:sz w:val="16"/>
      <w:szCs w:val="16"/>
    </w:rPr>
  </w:style>
  <w:style w:type="character" w:customStyle="1" w:styleId="BalloonTextChar">
    <w:name w:val="Balloon Text Char"/>
    <w:basedOn w:val="DefaultParagraphFont"/>
    <w:link w:val="BalloonText"/>
    <w:uiPriority w:val="99"/>
    <w:semiHidden/>
    <w:rsid w:val="00683BF1"/>
    <w:rPr>
      <w:rFonts w:ascii="Tahoma" w:hAnsi="Tahoma" w:cs="Tahoma"/>
      <w:sz w:val="16"/>
      <w:szCs w:val="16"/>
    </w:rPr>
  </w:style>
  <w:style w:type="character" w:styleId="CommentReference">
    <w:name w:val="annotation reference"/>
    <w:basedOn w:val="DefaultParagraphFont"/>
    <w:uiPriority w:val="99"/>
    <w:semiHidden/>
    <w:unhideWhenUsed/>
    <w:rsid w:val="00024473"/>
    <w:rPr>
      <w:sz w:val="16"/>
      <w:szCs w:val="16"/>
    </w:rPr>
  </w:style>
  <w:style w:type="paragraph" w:styleId="CommentText">
    <w:name w:val="annotation text"/>
    <w:basedOn w:val="Normal"/>
    <w:link w:val="CommentTextChar"/>
    <w:uiPriority w:val="99"/>
    <w:semiHidden/>
    <w:unhideWhenUsed/>
    <w:rsid w:val="00024473"/>
  </w:style>
  <w:style w:type="character" w:customStyle="1" w:styleId="CommentTextChar">
    <w:name w:val="Comment Text Char"/>
    <w:basedOn w:val="DefaultParagraphFont"/>
    <w:link w:val="CommentText"/>
    <w:uiPriority w:val="99"/>
    <w:semiHidden/>
    <w:rsid w:val="00024473"/>
    <w:rPr>
      <w:sz w:val="20"/>
      <w:szCs w:val="20"/>
    </w:rPr>
  </w:style>
  <w:style w:type="paragraph" w:styleId="CommentSubject">
    <w:name w:val="annotation subject"/>
    <w:basedOn w:val="CommentText"/>
    <w:next w:val="CommentText"/>
    <w:link w:val="CommentSubjectChar"/>
    <w:uiPriority w:val="99"/>
    <w:semiHidden/>
    <w:unhideWhenUsed/>
    <w:rsid w:val="00024473"/>
    <w:rPr>
      <w:b/>
      <w:bCs/>
    </w:rPr>
  </w:style>
  <w:style w:type="character" w:customStyle="1" w:styleId="CommentSubjectChar">
    <w:name w:val="Comment Subject Char"/>
    <w:basedOn w:val="CommentTextChar"/>
    <w:link w:val="CommentSubject"/>
    <w:uiPriority w:val="99"/>
    <w:semiHidden/>
    <w:rsid w:val="00024473"/>
    <w:rPr>
      <w:b/>
      <w:bCs/>
      <w:sz w:val="20"/>
      <w:szCs w:val="20"/>
    </w:rPr>
  </w:style>
  <w:style w:type="character" w:styleId="FollowedHyperlink">
    <w:name w:val="FollowedHyperlink"/>
    <w:basedOn w:val="DefaultParagraphFont"/>
    <w:uiPriority w:val="99"/>
    <w:semiHidden/>
    <w:unhideWhenUsed/>
    <w:rsid w:val="003052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41438">
      <w:bodyDiv w:val="1"/>
      <w:marLeft w:val="0"/>
      <w:marRight w:val="0"/>
      <w:marTop w:val="0"/>
      <w:marBottom w:val="0"/>
      <w:divBdr>
        <w:top w:val="none" w:sz="0" w:space="0" w:color="auto"/>
        <w:left w:val="none" w:sz="0" w:space="0" w:color="auto"/>
        <w:bottom w:val="none" w:sz="0" w:space="0" w:color="auto"/>
        <w:right w:val="none" w:sz="0" w:space="0" w:color="auto"/>
      </w:divBdr>
    </w:div>
    <w:div w:id="1637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2601</Words>
  <Characters>14374</Characters>
  <Application>Microsoft Office Word</Application>
  <DocSecurity>0</DocSecurity>
  <PresentationFormat/>
  <Lines>386</Lines>
  <Paragraphs>169</Paragraphs>
  <ScaleCrop>false</ScaleCrop>
  <HeadingPairs>
    <vt:vector size="2" baseType="variant">
      <vt:variant>
        <vt:lpstr>Title</vt:lpstr>
      </vt:variant>
      <vt:variant>
        <vt:i4>1</vt:i4>
      </vt:variant>
    </vt:vector>
  </HeadingPairs>
  <TitlesOfParts>
    <vt:vector size="1" baseType="lpstr">
      <vt:lpstr>IEU-Ohio's Comments to DP&amp;L 13-2420-EL-UNC (C42650-3).DOCX</vt:lpstr>
    </vt:vector>
  </TitlesOfParts>
  <Manager/>
  <Company/>
  <LinksUpToDate>false</LinksUpToDate>
  <CharactersWithSpaces>16920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IEU-Ohio's Comments to DP&amp;L 13-2420-EL-UNC (C42650-3).DOCX</dc:title>
  <dc:subject>C42650:3 /font=8</dc:subject>
  <dc:creator/>
  <cp:keywords> </cp:keywords>
  <dc:description> </dc:description>
  <cp:lastModifiedBy/>
  <cp:revision>28</cp:revision>
  <cp:lastPrinted>2014-02-04T18:03:00Z</cp:lastPrinted>
  <dcterms:created xsi:type="dcterms:W3CDTF">2014-01-28T18:23:00Z</dcterms:created>
  <dcterms:modified xsi:type="dcterms:W3CDTF">2014-02-04T21:16:00Z</dcterms:modified>
  <cp:category> </cp:category>
  <cp:contentStatus> </cp:contentStatus>
</cp:coreProperties>
</file>