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E9" w:rsidRDefault="003054E9" w:rsidP="003054E9">
      <w:pPr>
        <w:tabs>
          <w:tab w:val="center" w:pos="4680"/>
          <w:tab w:val="right" w:pos="9360"/>
        </w:tabs>
        <w:spacing w:after="260"/>
        <w:ind w:left="720"/>
        <w:rPr>
          <w:iCs/>
          <w:sz w:val="22"/>
        </w:rPr>
      </w:pPr>
    </w:p>
    <w:p w:rsidR="003054E9" w:rsidRDefault="003054E9" w:rsidP="003054E9">
      <w:pPr>
        <w:tabs>
          <w:tab w:val="center" w:pos="4680"/>
          <w:tab w:val="right" w:pos="9360"/>
        </w:tabs>
        <w:spacing w:after="260"/>
        <w:ind w:left="720"/>
        <w:rPr>
          <w:iCs/>
          <w:sz w:val="22"/>
        </w:rPr>
      </w:pPr>
    </w:p>
    <w:p w:rsidR="003054E9" w:rsidRDefault="003054E9" w:rsidP="003054E9">
      <w:pPr>
        <w:tabs>
          <w:tab w:val="center" w:pos="4680"/>
          <w:tab w:val="right" w:pos="9360"/>
        </w:tabs>
        <w:spacing w:after="260"/>
        <w:ind w:left="720"/>
        <w:rPr>
          <w:iCs/>
          <w:sz w:val="22"/>
        </w:rPr>
      </w:pPr>
    </w:p>
    <w:p w:rsidR="003054E9" w:rsidRDefault="003054E9" w:rsidP="003054E9">
      <w:pPr>
        <w:tabs>
          <w:tab w:val="center" w:pos="4680"/>
          <w:tab w:val="right" w:pos="9360"/>
        </w:tabs>
        <w:spacing w:after="260"/>
        <w:ind w:left="720"/>
        <w:rPr>
          <w:iCs/>
          <w:sz w:val="22"/>
        </w:rPr>
      </w:pPr>
    </w:p>
    <w:p w:rsidR="003054E9" w:rsidRDefault="003054E9" w:rsidP="003054E9">
      <w:pPr>
        <w:tabs>
          <w:tab w:val="center" w:pos="4680"/>
          <w:tab w:val="right" w:pos="9360"/>
        </w:tabs>
        <w:spacing w:after="260"/>
        <w:ind w:left="720"/>
        <w:rPr>
          <w:iCs/>
          <w:sz w:val="22"/>
        </w:rPr>
      </w:pPr>
    </w:p>
    <w:p w:rsidR="003054E9" w:rsidRPr="007C609B" w:rsidRDefault="00884F9D" w:rsidP="003054E9">
      <w:pPr>
        <w:tabs>
          <w:tab w:val="center" w:pos="4680"/>
          <w:tab w:val="right" w:pos="9360"/>
        </w:tabs>
        <w:spacing w:after="260"/>
        <w:ind w:left="720"/>
        <w:rPr>
          <w:iCs/>
          <w:sz w:val="22"/>
        </w:rPr>
      </w:pPr>
      <w:r>
        <w:rPr>
          <w:iCs/>
          <w:sz w:val="22"/>
        </w:rPr>
        <w:t>April 3</w:t>
      </w:r>
      <w:r w:rsidR="003054E9">
        <w:rPr>
          <w:iCs/>
          <w:sz w:val="22"/>
        </w:rPr>
        <w:t>,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3054E9" w:rsidRPr="00EF67B1" w:rsidTr="00C116F4">
        <w:trPr>
          <w:cantSplit/>
          <w:jc w:val="center"/>
        </w:trPr>
        <w:tc>
          <w:tcPr>
            <w:tcW w:w="5400" w:type="dxa"/>
          </w:tcPr>
          <w:p w:rsidR="003054E9" w:rsidRPr="00EF67B1" w:rsidRDefault="003054E9" w:rsidP="003054E9">
            <w:pPr>
              <w:ind w:left="720"/>
              <w:rPr>
                <w:sz w:val="22"/>
              </w:rPr>
            </w:pPr>
            <w:proofErr w:type="spellStart"/>
            <w:r w:rsidRPr="00EF67B1">
              <w:rPr>
                <w:sz w:val="22"/>
              </w:rPr>
              <w:t>Barcy</w:t>
            </w:r>
            <w:proofErr w:type="spellEnd"/>
            <w:r w:rsidRPr="00EF67B1">
              <w:rPr>
                <w:sz w:val="22"/>
              </w:rPr>
              <w:t xml:space="preserve"> McNeal, Secretary</w:t>
            </w:r>
          </w:p>
          <w:p w:rsidR="003054E9" w:rsidRPr="00EF67B1" w:rsidRDefault="003054E9" w:rsidP="003054E9">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3054E9" w:rsidRPr="00EF67B1" w:rsidRDefault="003054E9" w:rsidP="003054E9">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3054E9" w:rsidRPr="00EF67B1" w:rsidRDefault="003054E9" w:rsidP="003054E9">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3054E9" w:rsidRPr="00EF67B1" w:rsidRDefault="003054E9" w:rsidP="003054E9">
            <w:pPr>
              <w:ind w:left="720"/>
            </w:pPr>
          </w:p>
        </w:tc>
      </w:tr>
    </w:tbl>
    <w:p w:rsidR="003054E9" w:rsidRPr="00EF67B1" w:rsidRDefault="003054E9" w:rsidP="003054E9">
      <w:pPr>
        <w:spacing w:after="360"/>
        <w:ind w:left="1440" w:hanging="720"/>
        <w:rPr>
          <w:sz w:val="22"/>
          <w:szCs w:val="22"/>
          <w:u w:val="single"/>
        </w:rPr>
      </w:pPr>
      <w:r w:rsidRPr="00EF67B1">
        <w:rPr>
          <w:smallCaps/>
          <w:sz w:val="22"/>
          <w:szCs w:val="22"/>
        </w:rPr>
        <w:t>Re:</w:t>
      </w:r>
      <w:r w:rsidRPr="00EF67B1">
        <w:rPr>
          <w:sz w:val="22"/>
          <w:szCs w:val="22"/>
        </w:rPr>
        <w:tab/>
      </w:r>
      <w:r w:rsidR="00811D91" w:rsidRPr="00811D91">
        <w:rPr>
          <w:sz w:val="22"/>
          <w:szCs w:val="22"/>
        </w:rPr>
        <w:t>In the Matter of the Application of Bascom Mutual Telephone Company to Revise its Intrastate Access Tariff to add VoIP-</w:t>
      </w:r>
      <w:proofErr w:type="spellStart"/>
      <w:r w:rsidR="00811D91" w:rsidRPr="00811D91">
        <w:rPr>
          <w:sz w:val="22"/>
          <w:szCs w:val="22"/>
        </w:rPr>
        <w:t>PSTN</w:t>
      </w:r>
      <w:proofErr w:type="spellEnd"/>
      <w:r w:rsidR="00811D91" w:rsidRPr="00811D91">
        <w:rPr>
          <w:sz w:val="22"/>
          <w:szCs w:val="22"/>
        </w:rPr>
        <w:t xml:space="preserve"> Provisions</w:t>
      </w:r>
      <w:r w:rsidRPr="00EF67B1">
        <w:rPr>
          <w:sz w:val="22"/>
          <w:szCs w:val="22"/>
        </w:rPr>
        <w:t>, Case No</w:t>
      </w:r>
      <w:r w:rsidR="00811D91">
        <w:rPr>
          <w:sz w:val="22"/>
          <w:szCs w:val="22"/>
        </w:rPr>
        <w:t>. 12-1141-</w:t>
      </w:r>
      <w:proofErr w:type="spellStart"/>
      <w:r w:rsidR="00811D91">
        <w:rPr>
          <w:sz w:val="22"/>
          <w:szCs w:val="22"/>
        </w:rPr>
        <w:t>TP</w:t>
      </w:r>
      <w:proofErr w:type="spellEnd"/>
      <w:r w:rsidR="00811D91">
        <w:rPr>
          <w:sz w:val="22"/>
          <w:szCs w:val="22"/>
        </w:rPr>
        <w:t xml:space="preserve">-ATA, </w:t>
      </w:r>
      <w:proofErr w:type="spellStart"/>
      <w:r w:rsidR="00811D91">
        <w:rPr>
          <w:sz w:val="22"/>
          <w:szCs w:val="22"/>
        </w:rPr>
        <w:t>TRF</w:t>
      </w:r>
      <w:proofErr w:type="spellEnd"/>
      <w:r w:rsidR="00811D91">
        <w:rPr>
          <w:sz w:val="22"/>
          <w:szCs w:val="22"/>
        </w:rPr>
        <w:t xml:space="preserve"> Docket No. 90-5006</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3054E9" w:rsidRPr="00EF67B1" w:rsidRDefault="003054E9" w:rsidP="003054E9">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811D91" w:rsidRPr="00811D91" w:rsidRDefault="00811D91" w:rsidP="00811D91">
      <w:pPr>
        <w:spacing w:after="260"/>
        <w:ind w:left="720"/>
        <w:rPr>
          <w:sz w:val="22"/>
        </w:rPr>
      </w:pPr>
      <w:r>
        <w:rPr>
          <w:sz w:val="22"/>
        </w:rPr>
        <w:t>Attached are seven (7</w:t>
      </w:r>
      <w:r w:rsidRPr="00811D91">
        <w:rPr>
          <w:sz w:val="22"/>
        </w:rPr>
        <w:t xml:space="preserve">) </w:t>
      </w:r>
      <w:r w:rsidR="00C42675">
        <w:rPr>
          <w:sz w:val="22"/>
        </w:rPr>
        <w:t>revised</w:t>
      </w:r>
      <w:r w:rsidRPr="00811D91">
        <w:rPr>
          <w:sz w:val="22"/>
        </w:rPr>
        <w:t xml:space="preserve"> pages to be filed on behalf of </w:t>
      </w:r>
      <w:r>
        <w:rPr>
          <w:sz w:val="22"/>
        </w:rPr>
        <w:t>Bascom Mutual</w:t>
      </w:r>
      <w:r w:rsidRPr="00811D91">
        <w:rPr>
          <w:sz w:val="22"/>
        </w:rPr>
        <w:t xml:space="preserve"> Telephone Company in the above-referenced matter.  Please replace the she</w:t>
      </w:r>
      <w:r>
        <w:rPr>
          <w:sz w:val="22"/>
        </w:rPr>
        <w:t>et</w:t>
      </w:r>
      <w:r w:rsidR="00C42675">
        <w:rPr>
          <w:sz w:val="22"/>
        </w:rPr>
        <w:t xml:space="preserve">s originally filed as part of the Application filed </w:t>
      </w:r>
      <w:bookmarkStart w:id="0" w:name="_GoBack"/>
      <w:bookmarkEnd w:id="0"/>
      <w:r>
        <w:rPr>
          <w:sz w:val="22"/>
        </w:rPr>
        <w:t>April 2, 2012</w:t>
      </w:r>
      <w:r w:rsidRPr="00811D91">
        <w:rPr>
          <w:sz w:val="22"/>
        </w:rPr>
        <w:t xml:space="preserve"> in this matter with the sheets attached hereto. </w:t>
      </w:r>
    </w:p>
    <w:p w:rsidR="003054E9" w:rsidRPr="00A1794E" w:rsidRDefault="003054E9" w:rsidP="003054E9">
      <w:pPr>
        <w:spacing w:after="260"/>
        <w:ind w:left="720"/>
        <w:rPr>
          <w:sz w:val="22"/>
        </w:rPr>
      </w:pPr>
      <w:r w:rsidRPr="00A1794E">
        <w:rPr>
          <w:sz w:val="22"/>
        </w:rPr>
        <w:t>Thank you for your assistance.  If you have any questions, please do not hesitate to call.</w:t>
      </w:r>
    </w:p>
    <w:p w:rsidR="003054E9" w:rsidRPr="00EF67B1" w:rsidRDefault="003054E9" w:rsidP="003054E9">
      <w:pPr>
        <w:ind w:left="720"/>
        <w:rPr>
          <w:sz w:val="22"/>
        </w:rPr>
      </w:pPr>
      <w:r w:rsidRPr="00EF67B1">
        <w:rPr>
          <w:sz w:val="22"/>
        </w:rPr>
        <w:t>Very truly yours,</w:t>
      </w:r>
    </w:p>
    <w:p w:rsidR="003054E9" w:rsidRPr="00EF67B1" w:rsidRDefault="003054E9" w:rsidP="003054E9">
      <w:pPr>
        <w:ind w:left="720"/>
        <w:rPr>
          <w:sz w:val="22"/>
        </w:rPr>
      </w:pPr>
    </w:p>
    <w:p w:rsidR="003054E9" w:rsidRPr="00EF67B1" w:rsidRDefault="003054E9" w:rsidP="003054E9">
      <w:pPr>
        <w:ind w:left="720"/>
        <w:rPr>
          <w:sz w:val="22"/>
        </w:rPr>
      </w:pPr>
    </w:p>
    <w:p w:rsidR="003054E9" w:rsidRPr="00EF67B1" w:rsidRDefault="003054E9" w:rsidP="003054E9">
      <w:pPr>
        <w:ind w:left="720"/>
        <w:rPr>
          <w:sz w:val="22"/>
        </w:rPr>
      </w:pPr>
    </w:p>
    <w:p w:rsidR="003054E9" w:rsidRPr="00EF67B1" w:rsidRDefault="003054E9" w:rsidP="003054E9">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3054E9" w:rsidRPr="00EF67B1" w:rsidRDefault="003054E9" w:rsidP="003054E9">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3054E9" w:rsidRPr="00EF67B1" w:rsidRDefault="003054E9" w:rsidP="003054E9">
      <w:pPr>
        <w:ind w:left="720"/>
        <w:rPr>
          <w:sz w:val="22"/>
        </w:rPr>
      </w:pPr>
    </w:p>
    <w:p w:rsidR="003054E9" w:rsidRPr="00EF67B1" w:rsidRDefault="003054E9" w:rsidP="003054E9">
      <w:pPr>
        <w:ind w:left="720"/>
        <w:rPr>
          <w:sz w:val="22"/>
        </w:rPr>
      </w:pPr>
    </w:p>
    <w:p w:rsidR="003054E9" w:rsidRPr="00EF67B1" w:rsidRDefault="003054E9" w:rsidP="003054E9">
      <w:pPr>
        <w:ind w:left="720"/>
        <w:rPr>
          <w:sz w:val="22"/>
        </w:rPr>
      </w:pPr>
      <w:r w:rsidRPr="00EF67B1">
        <w:rPr>
          <w:sz w:val="22"/>
        </w:rPr>
        <w:t>Enclosure</w:t>
      </w:r>
      <w:r>
        <w:rPr>
          <w:sz w:val="22"/>
        </w:rPr>
        <w:t>s</w:t>
      </w:r>
    </w:p>
    <w:p w:rsidR="003054E9" w:rsidRDefault="003054E9" w:rsidP="003054E9">
      <w:pPr>
        <w:autoSpaceDE w:val="0"/>
        <w:autoSpaceDN w:val="0"/>
        <w:adjustRightInd w:val="0"/>
        <w:jc w:val="center"/>
        <w:rPr>
          <w:rFonts w:ascii="Arial" w:eastAsia="Calibri" w:hAnsi="Arial" w:cs="Arial"/>
          <w:sz w:val="20"/>
          <w:szCs w:val="20"/>
        </w:rPr>
        <w:sectPr w:rsidR="003054E9"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59264" behindDoc="0" locked="0" layoutInCell="1" allowOverlap="1" wp14:anchorId="71642461" wp14:editId="29D491FA">
                <wp:simplePos x="0" y="0"/>
                <wp:positionH relativeFrom="column">
                  <wp:posOffset>6109970</wp:posOffset>
                </wp:positionH>
                <wp:positionV relativeFrom="paragraph">
                  <wp:posOffset>-80010</wp:posOffset>
                </wp:positionV>
                <wp:extent cx="498475" cy="696912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6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1.1pt;margin-top:-6.3pt;width:39.25pt;height:5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0288" behindDoc="0" locked="0" layoutInCell="1" allowOverlap="1" wp14:anchorId="5AF0FD82" wp14:editId="6A3A4E53">
                <wp:simplePos x="0" y="0"/>
                <wp:positionH relativeFrom="column">
                  <wp:posOffset>6303644</wp:posOffset>
                </wp:positionH>
                <wp:positionV relativeFrom="paragraph">
                  <wp:posOffset>9525</wp:posOffset>
                </wp:positionV>
                <wp:extent cx="0" cy="6345555"/>
                <wp:effectExtent l="0" t="0" r="19050"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496.35pt;margin-top:.75pt;width:0;height:499.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REGULATIONS, RATES AND CHARGES</w:t>
      </w:r>
    </w:p>
    <w:p w:rsidR="003054E9" w:rsidRPr="00045370" w:rsidRDefault="003054E9" w:rsidP="003054E9">
      <w:pPr>
        <w:autoSpaceDE w:val="0"/>
        <w:autoSpaceDN w:val="0"/>
        <w:adjustRightInd w:val="0"/>
        <w:jc w:val="center"/>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r w:rsidRPr="00045370">
        <w:rPr>
          <w:rFonts w:ascii="Arial" w:eastAsia="Calibri" w:hAnsi="Arial" w:cs="Arial"/>
          <w:sz w:val="20"/>
          <w:szCs w:val="20"/>
        </w:rPr>
        <w:t>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r w:rsidRPr="00045370">
        <w:rPr>
          <w:rFonts w:ascii="Arial" w:eastAsia="Calibri" w:hAnsi="Arial" w:cs="Arial"/>
          <w:sz w:val="20"/>
          <w:szCs w:val="20"/>
        </w:rPr>
        <w:t>The term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denotes a customer's interexchange voice traffic exchanged with the Telephone Company in Time Division Multiplexing format over </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facilities, which originates and/or terminates in Internet Protocol (IP) format.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originates and/or terminates in IP format when it originates from and/or terminates to an end user customer of a service that requires IP-compatible customer premises equipment.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r w:rsidRPr="00045370">
        <w:rPr>
          <w:rFonts w:ascii="Arial" w:eastAsia="Calibri" w:hAnsi="Arial" w:cs="Arial"/>
          <w:sz w:val="20"/>
          <w:szCs w:val="20"/>
        </w:rPr>
        <w:t>Identification and Rating of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(A) Scope</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This section governs the identification of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that is required to be</w:t>
      </w: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compensated at interstate access rates, unless the parties have agreed otherwise, by the Federal Communications Commission in its Report and Order in WC Docket Nos. 10-90, etc., FCC Release No. 11-161 (November 18, 2011)("FCC Order"). Specifically this section establishes the method of separating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from the customer's traditional intrastate access traffic, so that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can be billed in accordance with the FCC Order. This section of the tariff does not preclude customers from negotiating different rates, terms and conditions governing compensation for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This tariff does not supersede rates, terms and conditions governing compensation for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in existing interconnection agreements. Rates, terms and conditions governing compensation for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in this tariff applies prospectively.</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sectPr w:rsidR="003054E9" w:rsidRPr="00045370" w:rsidSect="00383D07">
          <w:headerReference w:type="default" r:id="rId13"/>
          <w:footerReference w:type="default" r:id="rId14"/>
          <w:pgSz w:w="12240" w:h="15840" w:code="1"/>
          <w:pgMar w:top="720" w:right="2070" w:bottom="720" w:left="720" w:header="720" w:footer="720" w:gutter="0"/>
          <w:cols w:space="720"/>
          <w:docGrid w:linePitch="360"/>
        </w:sectPr>
      </w:pPr>
      <w:r w:rsidRPr="00045370">
        <w:rPr>
          <w:rFonts w:ascii="Arial" w:eastAsia="Calibri" w:hAnsi="Arial" w:cs="Arial"/>
          <w:sz w:val="20"/>
          <w:szCs w:val="20"/>
        </w:rPr>
        <w:t>(B)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identified in accordance with this tariff section will be billed at rates equal to the Telephone Company's applicable tariffed interstate switched access rate as specified in the National Exchange Carrier Association Tariff </w:t>
      </w:r>
      <w:proofErr w:type="spellStart"/>
      <w:r w:rsidRPr="00045370">
        <w:rPr>
          <w:rFonts w:ascii="Arial" w:eastAsia="Calibri" w:hAnsi="Arial" w:cs="Arial"/>
          <w:sz w:val="20"/>
          <w:szCs w:val="20"/>
        </w:rPr>
        <w:t>F.C.C</w:t>
      </w:r>
      <w:proofErr w:type="spellEnd"/>
      <w:r w:rsidRPr="00045370">
        <w:rPr>
          <w:rFonts w:ascii="Arial" w:eastAsia="Calibri" w:hAnsi="Arial" w:cs="Arial"/>
          <w:sz w:val="20"/>
          <w:szCs w:val="20"/>
        </w:rPr>
        <w:t>. No. 5.  When the Telephone Company receives sufficient call detail to permit it to determine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from the customer’s traditional intrastate access traffic of some or all originating and terminating intrastate minutes of use, the Telephone Company will use that call detail to render bills for those minutes of use and will not use Percent VoIP Usage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factors(s) described in (C), below, to determine the jurisdiction of those minutes of use.  When the Telephone Company receives insufficient call detail to determine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from the customer’s traditional intrastate access traffic of some or all originating and terminating intrastate minutes of use, the Telephone Company will apply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provided by the customer or determined by the Telephone Company as set forth in (C), below, only to those minutes of use for which the Telephone Company does not have sufficient call detail.  Such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will be used until the customer provides an update to its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as set forth in (C), below.</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299" distR="114299" simplePos="0" relativeHeight="251662336" behindDoc="0" locked="0" layoutInCell="1" allowOverlap="1">
                <wp:simplePos x="0" y="0"/>
                <wp:positionH relativeFrom="column">
                  <wp:posOffset>6303644</wp:posOffset>
                </wp:positionH>
                <wp:positionV relativeFrom="paragraph">
                  <wp:posOffset>113665</wp:posOffset>
                </wp:positionV>
                <wp:extent cx="0" cy="6234430"/>
                <wp:effectExtent l="0" t="0" r="1905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4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96.35pt;margin-top:8.95pt;width:0;height:490.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cNJgIAAEw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"/>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6109970</wp:posOffset>
                </wp:positionH>
                <wp:positionV relativeFrom="paragraph">
                  <wp:posOffset>-281940</wp:posOffset>
                </wp:positionV>
                <wp:extent cx="498475" cy="67468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1.1pt;margin-top:-22.2pt;width:39.25pt;height:5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(C) Calculation and Application of Percent-VoIP-Usage Factors</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i/>
          <w:sz w:val="20"/>
          <w:szCs w:val="20"/>
        </w:rPr>
      </w:pPr>
      <w:r w:rsidRPr="00045370">
        <w:rPr>
          <w:rFonts w:ascii="Arial" w:eastAsia="Calibri" w:hAnsi="Arial" w:cs="Arial"/>
          <w:sz w:val="20"/>
          <w:szCs w:val="20"/>
        </w:rPr>
        <w:t>Telephone Company will determine the number of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minutes of use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to which interstate rates will be applied under (B) preceding, by applying the Percent VoIP Usage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to the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originated by the Customer’s end-user in IP format and delivered to the Company and by applying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to the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originated by the Customer end-user and terminated by the Telephone Company in IP format.  This method shall be utilized until such time that actual call detail records are available to the Telephone Company on a monthly basis with the appropriate indicators accurately set to identify such traffic.</w:t>
      </w:r>
      <w:r w:rsidRPr="00045370">
        <w:rPr>
          <w:rFonts w:ascii="Arial" w:eastAsia="Calibri" w:hAnsi="Arial" w:cs="Arial"/>
          <w:i/>
          <w:sz w:val="20"/>
          <w:szCs w:val="20"/>
        </w:rPr>
        <w:t xml:space="preserve"> </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(1) The Telephone Company  will calculate and make available to the Customer percent VoIP Usage-Telephone Company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factor delineated by Carrier Identification Code ("</w:t>
      </w:r>
      <w:proofErr w:type="spellStart"/>
      <w:r w:rsidRPr="00045370">
        <w:rPr>
          <w:rFonts w:ascii="Arial" w:eastAsia="Calibri" w:hAnsi="Arial" w:cs="Arial"/>
          <w:sz w:val="20"/>
          <w:szCs w:val="20"/>
        </w:rPr>
        <w:t>CIC</w:t>
      </w:r>
      <w:proofErr w:type="spellEnd"/>
      <w:r w:rsidRPr="00045370">
        <w:rPr>
          <w:rFonts w:ascii="Arial" w:eastAsia="Calibri" w:hAnsi="Arial" w:cs="Arial"/>
          <w:sz w:val="20"/>
          <w:szCs w:val="20"/>
        </w:rPr>
        <w:t>") or Operating Company Numbers ("</w:t>
      </w:r>
      <w:proofErr w:type="spellStart"/>
      <w:r w:rsidRPr="00045370">
        <w:rPr>
          <w:rFonts w:ascii="Arial" w:eastAsia="Calibri" w:hAnsi="Arial" w:cs="Arial"/>
          <w:sz w:val="20"/>
          <w:szCs w:val="20"/>
        </w:rPr>
        <w:t>OCNs</w:t>
      </w:r>
      <w:proofErr w:type="spellEnd"/>
      <w:r w:rsidRPr="00045370">
        <w:rPr>
          <w:rFonts w:ascii="Arial" w:eastAsia="Calibri" w:hAnsi="Arial" w:cs="Arial"/>
          <w:sz w:val="20"/>
          <w:szCs w:val="20"/>
        </w:rPr>
        <w:t xml:space="preserve">") representing the whole number percentage of the Telephone Company’s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that the customer exchanges with the Telephone Company in the state that is terminated in IP format and that would be billed by the Telephone Company as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(2) The customer will calculate and furnish to the Telephone Company a</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Percentage VoIP Usage-Customer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 delineated by Carrier Identification by Carrier Identification Code (“</w:t>
      </w:r>
      <w:proofErr w:type="spellStart"/>
      <w:r w:rsidRPr="00045370">
        <w:rPr>
          <w:rFonts w:ascii="Arial" w:eastAsia="Calibri" w:hAnsi="Arial" w:cs="Arial"/>
          <w:sz w:val="20"/>
          <w:szCs w:val="20"/>
        </w:rPr>
        <w:t>CIC</w:t>
      </w:r>
      <w:proofErr w:type="spellEnd"/>
      <w:r w:rsidRPr="00045370">
        <w:rPr>
          <w:rFonts w:ascii="Arial" w:eastAsia="Calibri" w:hAnsi="Arial" w:cs="Arial"/>
          <w:sz w:val="20"/>
          <w:szCs w:val="20"/>
        </w:rPr>
        <w:t>”) or Operating Company Numbers (“</w:t>
      </w:r>
      <w:proofErr w:type="spellStart"/>
      <w:r w:rsidRPr="00045370">
        <w:rPr>
          <w:rFonts w:ascii="Arial" w:eastAsia="Calibri" w:hAnsi="Arial" w:cs="Arial"/>
          <w:sz w:val="20"/>
          <w:szCs w:val="20"/>
        </w:rPr>
        <w:t>OCNs</w:t>
      </w:r>
      <w:proofErr w:type="spellEnd"/>
      <w:r w:rsidRPr="00045370">
        <w:rPr>
          <w:rFonts w:ascii="Arial" w:eastAsia="Calibri" w:hAnsi="Arial" w:cs="Arial"/>
          <w:sz w:val="20"/>
          <w:szCs w:val="20"/>
        </w:rPr>
        <w:t xml:space="preserve">”) representing the whole number percentage of the customer's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that the customer exchanges with the Telephone Company in the state that is sent to the Telephone Company and which originated in IP format and that would be billed by the Telephone Company as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sectPr w:rsidR="003054E9" w:rsidRPr="00045370" w:rsidSect="00383D07">
          <w:headerReference w:type="default" r:id="rId15"/>
          <w:pgSz w:w="12240" w:h="15840" w:code="1"/>
          <w:pgMar w:top="720" w:right="2070" w:bottom="720" w:left="720" w:header="720" w:footer="720" w:gutter="0"/>
          <w:cols w:space="720"/>
          <w:docGrid w:linePitch="360"/>
        </w:sectPr>
      </w:pPr>
      <w:r w:rsidRPr="00045370">
        <w:rPr>
          <w:rFonts w:ascii="Arial" w:eastAsia="Calibri" w:hAnsi="Arial" w:cs="Arial"/>
          <w:sz w:val="20"/>
          <w:szCs w:val="20"/>
        </w:rPr>
        <w:t xml:space="preserve">(3) The Telephone Company will use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and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-T factors to calculate a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that represents the percentage of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exchanged between the Telephone Company and the customer that is originated in IP format by the customer and/or terminated by the Company in IP format.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will be calculated as the sum of: (A)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factor and (B)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-T factor times (1.0 minus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6262370</wp:posOffset>
                </wp:positionH>
                <wp:positionV relativeFrom="paragraph">
                  <wp:posOffset>-108585</wp:posOffset>
                </wp:positionV>
                <wp:extent cx="498475" cy="7024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702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93.1pt;margin-top:-8.55pt;width:39.25pt;height:5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4107180</wp:posOffset>
                </wp:positionH>
                <wp:positionV relativeFrom="paragraph">
                  <wp:posOffset>2357755</wp:posOffset>
                </wp:positionV>
                <wp:extent cx="4711065" cy="0"/>
                <wp:effectExtent l="5080" t="8890" r="1397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23.4pt;margin-top:185.65pt;width:370.9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144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(4) The Telephone Company will apply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to the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exchanged with the customer to determine the number of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Example 1: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calculation is applied to the customer’s  intrastate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x (I-</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The customer reported that their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as 15%. The</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Telephone Company's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is 6%. This results in the</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following:</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=15% plus (6% times (1 – 15%)) = 20%</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This means that 20% of the customer’s terminating Intrastate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will be rated at</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Interstate rates.</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(5) The customer shall not modify their reported </w:t>
      </w:r>
      <w:proofErr w:type="spellStart"/>
      <w:r w:rsidRPr="00045370">
        <w:rPr>
          <w:rFonts w:ascii="Arial" w:eastAsia="Calibri" w:hAnsi="Arial" w:cs="Arial"/>
          <w:sz w:val="20"/>
          <w:szCs w:val="20"/>
        </w:rPr>
        <w:t>PIU</w:t>
      </w:r>
      <w:proofErr w:type="spellEnd"/>
      <w:r w:rsidRPr="00045370">
        <w:rPr>
          <w:rFonts w:ascii="Arial" w:eastAsia="Calibri" w:hAnsi="Arial" w:cs="Arial"/>
          <w:sz w:val="20"/>
          <w:szCs w:val="20"/>
        </w:rPr>
        <w:t xml:space="preserve"> factor to account for Toll</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(6) Basis for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shall be as follows:</w:t>
      </w:r>
    </w:p>
    <w:p w:rsidR="003054E9" w:rsidRPr="00045370" w:rsidRDefault="003054E9" w:rsidP="003054E9">
      <w:pPr>
        <w:autoSpaceDE w:val="0"/>
        <w:autoSpaceDN w:val="0"/>
        <w:adjustRightInd w:val="0"/>
        <w:ind w:left="144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(a) The customer provided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shall be based on traffic studies, actual call detail or other relevant and verifiable information (e.g., FCC Form 477).  This shall be the case unless otherwise agreed on an Individual Case Basis between the Customer and Telephone Company.   The Customer shall retain call detail records to substantiate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developed by the customer pursuant to (C)(7).   The retained records shall be furnished to the Telephone Company upon request.</w:t>
      </w:r>
    </w:p>
    <w:p w:rsidR="003054E9" w:rsidRPr="00045370" w:rsidRDefault="003054E9" w:rsidP="003054E9">
      <w:pPr>
        <w:autoSpaceDE w:val="0"/>
        <w:autoSpaceDN w:val="0"/>
        <w:adjustRightInd w:val="0"/>
        <w:ind w:left="2160"/>
        <w:rPr>
          <w:rFonts w:ascii="Arial" w:eastAsia="Calibri" w:hAnsi="Arial" w:cs="Arial"/>
          <w:sz w:val="20"/>
          <w:szCs w:val="20"/>
        </w:rPr>
        <w:sectPr w:rsidR="003054E9" w:rsidRPr="00045370" w:rsidSect="00383D07">
          <w:headerReference w:type="default" r:id="rId16"/>
          <w:pgSz w:w="12240" w:h="15840" w:code="1"/>
          <w:pgMar w:top="720" w:right="2070" w:bottom="720" w:left="720" w:header="720" w:footer="720" w:gutter="0"/>
          <w:cols w:space="720"/>
          <w:docGrid w:linePitch="360"/>
        </w:sectPr>
      </w:pP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6262370</wp:posOffset>
                </wp:positionH>
                <wp:positionV relativeFrom="paragraph">
                  <wp:posOffset>-94615</wp:posOffset>
                </wp:positionV>
                <wp:extent cx="498475" cy="6858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93.1pt;margin-top:-7.45pt;width:39.25pt;height:5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6432" behindDoc="0" locked="0" layoutInCell="1" allowOverlap="1">
                <wp:simplePos x="0" y="0"/>
                <wp:positionH relativeFrom="column">
                  <wp:posOffset>6470014</wp:posOffset>
                </wp:positionH>
                <wp:positionV relativeFrom="paragraph">
                  <wp:posOffset>1905</wp:posOffset>
                </wp:positionV>
                <wp:extent cx="0" cy="3283585"/>
                <wp:effectExtent l="0" t="0" r="1905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9.45pt;margin-top:.15pt;width:0;height:258.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b/>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(7) The customer shall retain for a minimum of six (6) months call detail records that substantiate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factors provided to the Telephone Company as set forth in (C), above. Such records shall consist of (i) and (ii), below, if applicable.</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(i) All call detail records such as work papers and/or backup documentation including paper, digital media or any other form of records for billed customer traffic, call information including call terminating address (i.e., called number), the call duration, all originating and terminating trunk groups or access lines over which the call is routed, and the point at which the call enters the customer’s network and;</w:t>
      </w:r>
    </w:p>
    <w:p w:rsidR="003054E9" w:rsidRPr="00045370" w:rsidRDefault="003054E9" w:rsidP="003054E9">
      <w:pPr>
        <w:autoSpaceDE w:val="0"/>
        <w:autoSpaceDN w:val="0"/>
        <w:adjustRightInd w:val="0"/>
        <w:ind w:left="2160"/>
        <w:rPr>
          <w:rFonts w:ascii="Arial" w:eastAsia="Calibri" w:hAnsi="Arial" w:cs="Arial"/>
          <w:sz w:val="20"/>
          <w:szCs w:val="20"/>
        </w:rPr>
        <w:sectPr w:rsidR="003054E9" w:rsidRPr="00045370" w:rsidSect="00383D07">
          <w:headerReference w:type="default" r:id="rId17"/>
          <w:pgSz w:w="12240" w:h="15840" w:code="1"/>
          <w:pgMar w:top="720" w:right="2070" w:bottom="720" w:left="720" w:header="720" w:footer="720" w:gutter="0"/>
          <w:cols w:space="720"/>
          <w:docGrid w:linePitch="360"/>
        </w:sectPr>
      </w:pPr>
      <w:r w:rsidRPr="00045370">
        <w:rPr>
          <w:rFonts w:ascii="Arial" w:eastAsia="Calibri" w:hAnsi="Arial" w:cs="Arial"/>
          <w:sz w:val="20"/>
          <w:szCs w:val="20"/>
        </w:rPr>
        <w:t xml:space="preserve">(ii) If the customer has a mechanized system in place that calculated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then a description of that system and the methodology used to calculate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must be furnished and any other pertinent information (such as but not limited to flowcharts, source code, etc.) relating to such system must also be made available.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6262370</wp:posOffset>
                </wp:positionH>
                <wp:positionV relativeFrom="paragraph">
                  <wp:posOffset>-80010</wp:posOffset>
                </wp:positionV>
                <wp:extent cx="498475" cy="69894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8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93.1pt;margin-top:-6.3pt;width:39.25pt;height:55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EohA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8480" behindDoc="0" locked="0" layoutInCell="1" allowOverlap="1">
                <wp:simplePos x="0" y="0"/>
                <wp:positionH relativeFrom="column">
                  <wp:posOffset>6463029</wp:posOffset>
                </wp:positionH>
                <wp:positionV relativeFrom="paragraph">
                  <wp:posOffset>9525</wp:posOffset>
                </wp:positionV>
                <wp:extent cx="0" cy="6365875"/>
                <wp:effectExtent l="0" t="0" r="19050"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08.9pt;margin-top:.75pt;width:0;height:50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2880"/>
        <w:rPr>
          <w:rFonts w:ascii="Arial" w:eastAsia="Calibri" w:hAnsi="Arial" w:cs="Arial"/>
          <w:i/>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(8) If the customer does not furnish the Telephone Company with a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factor, the Telephone Company will utilize a customer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of 0% and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will be equal to the Telephone Company's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(D) Initial Implementation of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(1) If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is not available and/or cannot be implemented in the Telephone Company's billing systems by December 29, 2011, once the factor is available and can be</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implemented, the Telephone Company will adjust the customer's bills to reflect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retroactively to December 29, 2011 if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 is provided by the customer to the Telephone Company no later than April 15, 2012.</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(2) The Telephone Company shall provide credits based on the reported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factors on a quarterly basis until such time as the billing system modifications can be implemented.</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Updates</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The customer may update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and the telephone company may update the </w:t>
      </w:r>
      <w:proofErr w:type="spellStart"/>
      <w:r w:rsidRPr="00045370">
        <w:rPr>
          <w:rFonts w:ascii="Arial" w:eastAsia="Calibri" w:hAnsi="Arial" w:cs="Arial"/>
          <w:sz w:val="20"/>
          <w:szCs w:val="20"/>
        </w:rPr>
        <w:t>PUV</w:t>
      </w:r>
      <w:proofErr w:type="spellEnd"/>
      <w:r w:rsidRPr="00045370">
        <w:rPr>
          <w:rFonts w:ascii="Arial" w:eastAsia="Calibri" w:hAnsi="Arial" w:cs="Arial"/>
          <w:sz w:val="20"/>
          <w:szCs w:val="20"/>
        </w:rPr>
        <w:t>-T</w:t>
      </w:r>
      <w:r w:rsidRPr="00045370">
        <w:rPr>
          <w:rFonts w:ascii="Arial" w:eastAsia="Calibri" w:hAnsi="Arial" w:cs="Arial"/>
          <w:sz w:val="20"/>
          <w:szCs w:val="20"/>
        </w:rPr>
        <w:br/>
        <w:t>factors quarterly using the method set forth in (C)(1) and (2) preceding. If the customer chooses to submit such updates, it shall forward to the Telephone Company, no later than 15 days after</w:t>
      </w: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the first of January, April, July and/or October of each year,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and the telephone company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factors based on data for the prior three months, ending the last day of</w:t>
      </w: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December, March, June and September, respectively. The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factors will serve as the basis for future billing and will be effective on the next bill date, and shall serve as the basis for subsequent monthly billing until superseded by new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factors. No prorating or back-billing will be done based on the updated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factors.</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If the customer does not supply the revised reports, the Telephone Company will assume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percentages to be the same as those provided in the last quarterly report. For those cases in which a quarterly report or an initial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has never been received from the customer, the Telephone Company will assume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percentages to be 0% as set forth in (C)(8).</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(F)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Verification</w:t>
      </w:r>
    </w:p>
    <w:p w:rsidR="003054E9" w:rsidRPr="00045370" w:rsidRDefault="003054E9" w:rsidP="003054E9">
      <w:pPr>
        <w:autoSpaceDE w:val="0"/>
        <w:autoSpaceDN w:val="0"/>
        <w:adjustRightInd w:val="0"/>
        <w:ind w:left="1440"/>
        <w:rPr>
          <w:rFonts w:ascii="Arial" w:eastAsia="Calibri" w:hAnsi="Arial" w:cs="Arial"/>
          <w:sz w:val="20"/>
          <w:szCs w:val="20"/>
        </w:rPr>
        <w:sectPr w:rsidR="003054E9" w:rsidRPr="00045370" w:rsidSect="00383D07">
          <w:headerReference w:type="default" r:id="rId18"/>
          <w:pgSz w:w="12240" w:h="15840" w:code="1"/>
          <w:pgMar w:top="720" w:right="2070" w:bottom="720" w:left="720" w:header="720" w:footer="720" w:gutter="0"/>
          <w:cols w:space="720"/>
          <w:docGrid w:linePitch="360"/>
        </w:sectPr>
      </w:pPr>
      <w:r w:rsidRPr="00045370">
        <w:rPr>
          <w:rFonts w:ascii="Arial" w:eastAsia="Calibri" w:hAnsi="Arial" w:cs="Arial"/>
          <w:sz w:val="20"/>
          <w:szCs w:val="20"/>
        </w:rPr>
        <w:t xml:space="preserve">(1) Not more than twice in any year, the Telephone Company or the customer (Requesting Party) may request from the other party an overview of the process used to determine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the call detail records, description of the method for determining how the end user originates or terminates calls in IP format, and other information used to determine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furnished to the other party in order to validate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supplied.</w:t>
      </w:r>
    </w:p>
    <w:p w:rsidR="003054E9" w:rsidRPr="00045370" w:rsidRDefault="003054E9" w:rsidP="003054E9">
      <w:pPr>
        <w:autoSpaceDE w:val="0"/>
        <w:autoSpaceDN w:val="0"/>
        <w:adjustRightInd w:val="0"/>
        <w:ind w:left="1440"/>
        <w:rPr>
          <w:rFonts w:ascii="Arial" w:eastAsia="Calibri" w:hAnsi="Arial" w:cs="Arial"/>
          <w:sz w:val="20"/>
          <w:szCs w:val="20"/>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6200140</wp:posOffset>
                </wp:positionH>
                <wp:positionV relativeFrom="paragraph">
                  <wp:posOffset>83185</wp:posOffset>
                </wp:positionV>
                <wp:extent cx="498475" cy="6746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488.2pt;margin-top:6.55pt;width:39.25pt;height:5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cgQ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 xml:space="preserve"> </w:t>
      </w:r>
    </w:p>
    <w:p w:rsidR="003054E9" w:rsidRPr="00045370" w:rsidRDefault="003054E9" w:rsidP="003054E9">
      <w:pPr>
        <w:autoSpaceDE w:val="0"/>
        <w:autoSpaceDN w:val="0"/>
        <w:adjustRightInd w:val="0"/>
        <w:ind w:left="1440"/>
        <w:jc w:val="center"/>
        <w:rPr>
          <w:rFonts w:ascii="Arial" w:eastAsia="Calibri" w:hAnsi="Arial" w:cs="Arial"/>
          <w:sz w:val="20"/>
          <w:szCs w:val="20"/>
        </w:rPr>
      </w:pPr>
      <w:r w:rsidRPr="00045370">
        <w:rPr>
          <w:rFonts w:ascii="Arial" w:eastAsia="Calibri" w:hAnsi="Arial" w:cs="Arial"/>
          <w:sz w:val="20"/>
          <w:szCs w:val="20"/>
        </w:rPr>
        <w:t>INTRASTATE</w:t>
      </w:r>
    </w:p>
    <w:p w:rsidR="003054E9" w:rsidRPr="00045370" w:rsidRDefault="003054E9" w:rsidP="003054E9">
      <w:pPr>
        <w:autoSpaceDE w:val="0"/>
        <w:autoSpaceDN w:val="0"/>
        <w:adjustRightInd w:val="0"/>
        <w:ind w:left="1440"/>
        <w:jc w:val="center"/>
        <w:rPr>
          <w:rFonts w:ascii="Arial" w:eastAsia="Calibri" w:hAnsi="Arial" w:cs="Arial"/>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6386830</wp:posOffset>
                </wp:positionH>
                <wp:positionV relativeFrom="paragraph">
                  <wp:posOffset>61595</wp:posOffset>
                </wp:positionV>
                <wp:extent cx="6985" cy="6178550"/>
                <wp:effectExtent l="0" t="0" r="311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178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02.9pt;margin-top:4.85pt;width:.55pt;height:48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ind w:left="1440"/>
        <w:jc w:val="center"/>
        <w:rPr>
          <w:rFonts w:ascii="Arial" w:eastAsia="Calibri" w:hAnsi="Arial" w:cs="Arial"/>
          <w:sz w:val="20"/>
          <w:szCs w:val="20"/>
        </w:rPr>
      </w:pPr>
      <w:r w:rsidRPr="00045370">
        <w:rPr>
          <w:rFonts w:ascii="Arial" w:eastAsia="Calibri" w:hAnsi="Arial" w:cs="Arial"/>
          <w:sz w:val="20"/>
          <w:szCs w:val="20"/>
        </w:rPr>
        <w:t>REGULATIONS, RATES AND CHARGES</w:t>
      </w:r>
    </w:p>
    <w:p w:rsidR="003054E9" w:rsidRPr="00045370" w:rsidRDefault="003054E9" w:rsidP="003054E9">
      <w:pPr>
        <w:autoSpaceDE w:val="0"/>
        <w:autoSpaceDN w:val="0"/>
        <w:adjustRightInd w:val="0"/>
        <w:ind w:left="1440"/>
        <w:rPr>
          <w:rFonts w:ascii="Arial" w:eastAsia="Calibri" w:hAnsi="Arial" w:cs="Arial"/>
          <w:sz w:val="20"/>
          <w:szCs w:val="20"/>
        </w:rPr>
      </w:pPr>
    </w:p>
    <w:p w:rsidR="003054E9" w:rsidRPr="00045370" w:rsidRDefault="003054E9" w:rsidP="003054E9">
      <w:pPr>
        <w:autoSpaceDE w:val="0"/>
        <w:autoSpaceDN w:val="0"/>
        <w:adjustRightInd w:val="0"/>
        <w:jc w:val="center"/>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The other party shall comply, and shall reasonably supply the requested</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data and information within 15 days of the Requesting Party’s request; and the </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Requesting Party shall complete the </w:t>
      </w:r>
      <w:proofErr w:type="spellStart"/>
      <w:r w:rsidRPr="00045370">
        <w:rPr>
          <w:rFonts w:ascii="Arial" w:eastAsia="Calibri" w:hAnsi="Arial" w:cs="Arial"/>
          <w:sz w:val="20"/>
          <w:szCs w:val="20"/>
        </w:rPr>
        <w:t>reverification</w:t>
      </w:r>
      <w:proofErr w:type="spellEnd"/>
      <w:r w:rsidRPr="00045370">
        <w:rPr>
          <w:rFonts w:ascii="Arial" w:eastAsia="Calibri" w:hAnsi="Arial" w:cs="Arial"/>
          <w:sz w:val="20"/>
          <w:szCs w:val="20"/>
        </w:rPr>
        <w:t xml:space="preserve"> within 15 days of receipt.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(2) The Telephone Company may dispute the customer's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and the customer may dispute the Company’s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factor based upon:</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(a) A review of the requested data and information provided by the</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customer.</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(b) A reasonable review of other market information, FCC reports on VoIP lines, such as FCC Form 477 or state level results based on FCC Local Competition Report or other relevant data.</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(c) A change in the reported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or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factor by more than five percentage points from the preceding quarter.</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(3) If after review of the data and information, the customer and the Telephone</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Company establish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the customer and the Telephone Company will begin using those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with the next bill period.</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(4) If the dispute is unresolved, the Requesting Party may initiate an audit at its own expense.  The Requesting Party shall limit audits of the other party’s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to</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no more than twice per year. The other party (party receiving the request)  may request that the audit be conducted  by an independent auditor. In such cases, the associated auditing expenses will be paid by the other party.</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(a) In the event that the customer fails to provide adequate records to</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enable the Requesting Party or an independent auditor to conduct</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an audit verifying the other party’s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the Requesting Party will bill the usage for all contested periods using the most recent undisputed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reported by the other party. These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will remain in effect until the audit can be completed.</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(b) During the audit, the undisputed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from the previous</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reporting period will be used by the Requesting Party.</w:t>
      </w:r>
    </w:p>
    <w:p w:rsidR="003054E9" w:rsidRPr="00045370" w:rsidRDefault="003054E9" w:rsidP="003054E9">
      <w:pPr>
        <w:autoSpaceDE w:val="0"/>
        <w:autoSpaceDN w:val="0"/>
        <w:adjustRightInd w:val="0"/>
        <w:ind w:left="2160"/>
        <w:rPr>
          <w:rFonts w:ascii="Arial" w:eastAsia="Calibri" w:hAnsi="Arial" w:cs="Arial"/>
          <w:sz w:val="20"/>
          <w:szCs w:val="20"/>
        </w:rPr>
        <w:sectPr w:rsidR="003054E9" w:rsidRPr="00045370" w:rsidSect="00383D07">
          <w:headerReference w:type="default" r:id="rId19"/>
          <w:pgSz w:w="12240" w:h="15840" w:code="1"/>
          <w:pgMar w:top="720" w:right="2070" w:bottom="720" w:left="720" w:header="720" w:footer="720" w:gutter="0"/>
          <w:cols w:space="720"/>
          <w:docGrid w:linePitch="360"/>
        </w:sectPr>
      </w:pP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6144895</wp:posOffset>
                </wp:positionH>
                <wp:positionV relativeFrom="paragraph">
                  <wp:posOffset>106680</wp:posOffset>
                </wp:positionV>
                <wp:extent cx="498475" cy="42392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423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83.85pt;margin-top:8.4pt;width:39.25pt;height:3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27hQIAABY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6317615</wp:posOffset>
                </wp:positionH>
                <wp:positionV relativeFrom="paragraph">
                  <wp:posOffset>105410</wp:posOffset>
                </wp:positionV>
                <wp:extent cx="6985" cy="3615690"/>
                <wp:effectExtent l="0" t="0" r="31115"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615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7.45pt;margin-top:8.3pt;width:.55pt;height:28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"/>
            </w:pict>
          </mc:Fallback>
        </mc:AlternateContent>
      </w: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(c)  When a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audit is conducted by the Requesting Party or an independent auditor under contract to the Requesting Party, the audit results will be furnished to the other party by Certified U.S. Mail. When a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audit is conducted by an independent auditor selected by the other party, the audit results will be furnished to the Requesting Party by Certified U.S. Mail. The Requesting Party will adjust the other party’s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based upon the audit results.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resulting from the audit shall be applied to the other party’s usage for the quarter the audit is completed and the usage for the quarter prior to the completion of the audit. After that time, the other party may report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pursuant to (C), above. If the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submitted by the other party represents a deviation of 5 percentages points or more from the audited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(s), and that deviation is not due to identifiable reasons, the provisions in (2)(3) and (4), above, may be applied.</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(d)  If the audit supports the other party's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the usage for the</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contested periods will be adjusted to reflect the other party's audited</w:t>
      </w:r>
    </w:p>
    <w:p w:rsidR="003054E9" w:rsidRPr="00045370" w:rsidRDefault="003054E9" w:rsidP="003054E9">
      <w:pPr>
        <w:autoSpaceDE w:val="0"/>
        <w:autoSpaceDN w:val="0"/>
        <w:adjustRightInd w:val="0"/>
        <w:ind w:left="2160"/>
        <w:rPr>
          <w:rFonts w:ascii="Arial" w:eastAsia="Calibri" w:hAnsi="Arial" w:cs="Arial"/>
          <w:sz w:val="20"/>
          <w:szCs w:val="20"/>
        </w:rPr>
      </w:pP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and appropriate credits will be applied.</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tabs>
          <w:tab w:val="left" w:pos="9720"/>
        </w:tabs>
        <w:autoSpaceDE w:val="0"/>
        <w:autoSpaceDN w:val="0"/>
        <w:adjustRightInd w:val="0"/>
        <w:ind w:left="2160"/>
      </w:pPr>
      <w:r w:rsidRPr="00045370">
        <w:rPr>
          <w:rFonts w:ascii="Arial" w:eastAsia="Calibri" w:hAnsi="Arial" w:cs="Arial"/>
          <w:sz w:val="20"/>
          <w:szCs w:val="20"/>
        </w:rPr>
        <w:t xml:space="preserve">(e)  If, as a result of an audit conducted by an independent auditor, the other party is found to have over-stated its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by 20 percentage points or more, the Requesting Party shall require reimbursement from the other party for the cost of the audit. Such bill(s) shall be due and paid in immediately available funds within 30 days from receipt and shall carry a late payment penalty as set forth in the Requesting Party’s Intrastate Tariff if not paid within the 30 days.</w:t>
      </w:r>
    </w:p>
    <w:p w:rsidR="003054E9" w:rsidRPr="00045370" w:rsidRDefault="003054E9" w:rsidP="003054E9">
      <w:pPr>
        <w:tabs>
          <w:tab w:val="left" w:pos="10368"/>
        </w:tabs>
        <w:autoSpaceDE w:val="0"/>
        <w:autoSpaceDN w:val="0"/>
        <w:adjustRightInd w:val="0"/>
        <w:ind w:left="2160" w:right="-108"/>
      </w:pPr>
    </w:p>
    <w:p w:rsidR="00757A43" w:rsidRDefault="009E09C7" w:rsidP="00D83C7D">
      <w:pPr>
        <w:pStyle w:val="Body1default"/>
      </w:pPr>
    </w:p>
    <w:sectPr w:rsidR="00757A4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E9" w:rsidRDefault="003054E9" w:rsidP="00045AAE">
      <w:r>
        <w:separator/>
      </w:r>
    </w:p>
  </w:endnote>
  <w:endnote w:type="continuationSeparator" w:id="0">
    <w:p w:rsidR="003054E9" w:rsidRDefault="003054E9"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91" w:rsidRDefault="00811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1027DF" w:rsidRDefault="000F0957">
    <w:pPr>
      <w:pStyle w:val="Footer"/>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page">
            <wp:align>center</wp:align>
          </wp:positionH>
          <wp:positionV relativeFrom="page">
            <wp:posOffset>9180195</wp:posOffset>
          </wp:positionV>
          <wp:extent cx="6016625" cy="598805"/>
          <wp:effectExtent l="0" t="0" r="3175" b="0"/>
          <wp:wrapNone/>
          <wp:docPr id="17" name="Picture 17"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054E9" w:rsidRDefault="003054E9"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91" w:rsidRDefault="00811D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1027DF" w:rsidRDefault="003054E9">
    <w:pPr>
      <w:pStyle w:val="Footer"/>
      <w:jc w:val="center"/>
      <w:rPr>
        <w:sz w:val="20"/>
        <w:szCs w:val="20"/>
      </w:rPr>
    </w:pPr>
  </w:p>
  <w:p w:rsidR="003054E9" w:rsidRPr="007D730E" w:rsidRDefault="003054E9" w:rsidP="00383D07">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sidRPr="00322E7A">
      <w:rPr>
        <w:snapToGrid w:val="0"/>
        <w:sz w:val="20"/>
        <w:szCs w:val="20"/>
        <w:u w:val="single"/>
      </w:rPr>
      <w:t>April 2, 2012</w:t>
    </w:r>
    <w:r w:rsidRPr="007D730E">
      <w:rPr>
        <w:snapToGrid w:val="0"/>
        <w:sz w:val="20"/>
        <w:szCs w:val="20"/>
      </w:rPr>
      <w:tab/>
    </w:r>
    <w:r w:rsidRPr="007D730E">
      <w:rPr>
        <w:snapToGrid w:val="0"/>
        <w:sz w:val="20"/>
        <w:szCs w:val="20"/>
      </w:rPr>
      <w:tab/>
      <w:t xml:space="preserve">Effective: </w:t>
    </w:r>
    <w:r>
      <w:rPr>
        <w:snapToGrid w:val="0"/>
        <w:sz w:val="20"/>
        <w:szCs w:val="20"/>
        <w:u w:val="single"/>
      </w:rPr>
      <w:t>May 3</w:t>
    </w:r>
    <w:r w:rsidRPr="00322E7A">
      <w:rPr>
        <w:snapToGrid w:val="0"/>
        <w:sz w:val="20"/>
        <w:szCs w:val="20"/>
        <w:u w:val="single"/>
      </w:rPr>
      <w:t>, 2012</w:t>
    </w:r>
  </w:p>
  <w:p w:rsidR="003054E9" w:rsidRPr="007D730E" w:rsidRDefault="003054E9" w:rsidP="00383D07">
    <w:pPr>
      <w:widowControl w:val="0"/>
      <w:tabs>
        <w:tab w:val="center" w:pos="4320"/>
        <w:tab w:val="right" w:pos="8640"/>
      </w:tabs>
      <w:jc w:val="center"/>
      <w:rPr>
        <w:snapToGrid w:val="0"/>
        <w:sz w:val="20"/>
        <w:szCs w:val="20"/>
      </w:rPr>
    </w:pPr>
    <w:r>
      <w:rPr>
        <w:snapToGrid w:val="0"/>
        <w:sz w:val="20"/>
        <w:szCs w:val="20"/>
      </w:rPr>
      <w:t>In Accordance with Case No. 12-1141</w:t>
    </w:r>
    <w:r w:rsidRPr="007D730E">
      <w:rPr>
        <w:snapToGrid w:val="0"/>
        <w:sz w:val="20"/>
        <w:szCs w:val="20"/>
      </w:rPr>
      <w:t>-</w:t>
    </w:r>
    <w:proofErr w:type="spellStart"/>
    <w:r w:rsidRPr="007D730E">
      <w:rPr>
        <w:snapToGrid w:val="0"/>
        <w:sz w:val="20"/>
        <w:szCs w:val="20"/>
      </w:rPr>
      <w:t>TP</w:t>
    </w:r>
    <w:proofErr w:type="spellEnd"/>
    <w:r w:rsidRPr="007D730E">
      <w:rPr>
        <w:snapToGrid w:val="0"/>
        <w:sz w:val="20"/>
        <w:szCs w:val="20"/>
      </w:rPr>
      <w:t>-ATA</w:t>
    </w:r>
  </w:p>
  <w:p w:rsidR="003054E9" w:rsidRPr="007D730E" w:rsidRDefault="003054E9" w:rsidP="00383D07">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3054E9" w:rsidRDefault="003054E9" w:rsidP="00383D07">
    <w:pPr>
      <w:widowControl w:val="0"/>
      <w:tabs>
        <w:tab w:val="center" w:pos="4320"/>
        <w:tab w:val="right" w:pos="8640"/>
      </w:tabs>
      <w:jc w:val="center"/>
      <w:rPr>
        <w:snapToGrid w:val="0"/>
        <w:sz w:val="20"/>
        <w:szCs w:val="20"/>
      </w:rPr>
    </w:pPr>
    <w:r>
      <w:rPr>
        <w:snapToGrid w:val="0"/>
        <w:sz w:val="20"/>
        <w:szCs w:val="20"/>
      </w:rPr>
      <w:t>Kathy Reinhart, General Manager</w:t>
    </w:r>
  </w:p>
  <w:p w:rsidR="003054E9" w:rsidRPr="007D730E" w:rsidRDefault="003054E9" w:rsidP="00383D07">
    <w:pPr>
      <w:widowControl w:val="0"/>
      <w:tabs>
        <w:tab w:val="center" w:pos="4320"/>
        <w:tab w:val="right" w:pos="8640"/>
      </w:tabs>
      <w:jc w:val="center"/>
      <w:rPr>
        <w:b/>
        <w:bCs/>
        <w:snapToGrid w:val="0"/>
        <w:sz w:val="20"/>
        <w:szCs w:val="20"/>
      </w:rPr>
    </w:pPr>
    <w:r>
      <w:rPr>
        <w:snapToGrid w:val="0"/>
        <w:sz w:val="20"/>
        <w:szCs w:val="20"/>
      </w:rPr>
      <w:t>Bascom, Ohio</w:t>
    </w:r>
  </w:p>
  <w:p w:rsidR="003054E9" w:rsidRDefault="003054E9"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E9" w:rsidRDefault="003054E9" w:rsidP="00045AAE">
      <w:r>
        <w:separator/>
      </w:r>
    </w:p>
  </w:footnote>
  <w:footnote w:type="continuationSeparator" w:id="0">
    <w:p w:rsidR="003054E9" w:rsidRDefault="003054E9"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91" w:rsidRDefault="00811D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22</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91" w:rsidRDefault="000F0957">
    <w:pPr>
      <w:pStyle w:val="Header"/>
    </w:pPr>
    <w:r>
      <w:rPr>
        <w:noProof/>
      </w:rPr>
      <w:drawing>
        <wp:anchor distT="0" distB="0" distL="114300" distR="114300" simplePos="0" relativeHeight="251659264" behindDoc="0" locked="0" layoutInCell="1" allowOverlap="1">
          <wp:simplePos x="0" y="0"/>
          <wp:positionH relativeFrom="page">
            <wp:posOffset>859155</wp:posOffset>
          </wp:positionH>
          <wp:positionV relativeFrom="page">
            <wp:posOffset>365760</wp:posOffset>
          </wp:positionV>
          <wp:extent cx="6043930" cy="597535"/>
          <wp:effectExtent l="0" t="0" r="0" b="0"/>
          <wp:wrapNone/>
          <wp:docPr id="18" name="Picture 18"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91" w:rsidRDefault="00811D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16</w:t>
    </w:r>
  </w:p>
  <w:p w:rsidR="003054E9" w:rsidRPr="002B0128" w:rsidRDefault="003054E9" w:rsidP="00383D07">
    <w:pPr>
      <w:widowControl w:val="0"/>
      <w:tabs>
        <w:tab w:val="center" w:pos="4320"/>
        <w:tab w:val="right" w:pos="8640"/>
      </w:tabs>
      <w:rPr>
        <w:snapToGrid w:val="0"/>
        <w:sz w:val="20"/>
        <w:szCs w:val="20"/>
      </w:rPr>
    </w:pPr>
  </w:p>
  <w:p w:rsidR="003054E9" w:rsidRDefault="003054E9" w:rsidP="00045370">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jc w:val="center"/>
      <w:rPr>
        <w:snapToGrid w:val="0"/>
        <w:sz w:val="20"/>
        <w:szCs w:val="20"/>
      </w:rPr>
    </w:pPr>
  </w:p>
  <w:p w:rsidR="003054E9" w:rsidRDefault="003054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17</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jc w:val="center"/>
      <w:rPr>
        <w:snapToGrid w:val="0"/>
        <w:sz w:val="20"/>
        <w:szCs w:val="20"/>
      </w:rPr>
    </w:pPr>
  </w:p>
  <w:p w:rsidR="003054E9" w:rsidRDefault="003054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18</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19</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20</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21</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3054E9"/>
    <w:rsid w:val="00045AAE"/>
    <w:rsid w:val="000F0957"/>
    <w:rsid w:val="001726D8"/>
    <w:rsid w:val="00255CF7"/>
    <w:rsid w:val="003054E9"/>
    <w:rsid w:val="003265B8"/>
    <w:rsid w:val="003B3E9A"/>
    <w:rsid w:val="006036E6"/>
    <w:rsid w:val="007D2ACE"/>
    <w:rsid w:val="00811D91"/>
    <w:rsid w:val="00884F9D"/>
    <w:rsid w:val="009512CC"/>
    <w:rsid w:val="00C42675"/>
    <w:rsid w:val="00C66A5C"/>
    <w:rsid w:val="00C751CB"/>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contacts" w:name="GivenName"/>
  <w:smartTagType w:namespaceuri="urn:schemas:contacts" w:name="title"/>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54E9"/>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paragraph" w:customStyle="1" w:styleId="AuthorInfoLetterhead">
    <w:name w:val="AuthorInfoLetterhead"/>
    <w:basedOn w:val="Normal"/>
    <w:rsid w:val="003054E9"/>
    <w:pPr>
      <w:tabs>
        <w:tab w:val="right" w:pos="9360"/>
      </w:tabs>
      <w:spacing w:before="540" w:after="180" w:line="180" w:lineRule="exact"/>
      <w:ind w:left="72"/>
    </w:pPr>
    <w:rPr>
      <w:sz w:val="16"/>
      <w:szCs w:val="20"/>
    </w:rPr>
  </w:style>
  <w:style w:type="paragraph" w:customStyle="1" w:styleId="Initials">
    <w:name w:val="Initials"/>
    <w:basedOn w:val="Normal"/>
    <w:uiPriority w:val="99"/>
    <w:semiHidden/>
    <w:rsid w:val="003054E9"/>
    <w:pPr>
      <w:spacing w:after="180"/>
      <w:jc w:val="right"/>
    </w:pPr>
    <w:rPr>
      <w:sz w:val="12"/>
    </w:rPr>
  </w:style>
  <w:style w:type="paragraph" w:styleId="BalloonText">
    <w:name w:val="Balloon Text"/>
    <w:basedOn w:val="Normal"/>
    <w:link w:val="BalloonTextChar"/>
    <w:uiPriority w:val="99"/>
    <w:semiHidden/>
    <w:unhideWhenUsed/>
    <w:rsid w:val="003054E9"/>
    <w:rPr>
      <w:rFonts w:ascii="Tahoma" w:hAnsi="Tahoma" w:cs="Tahoma"/>
      <w:sz w:val="16"/>
      <w:szCs w:val="16"/>
    </w:rPr>
  </w:style>
  <w:style w:type="character" w:customStyle="1" w:styleId="BalloonTextChar">
    <w:name w:val="Balloon Text Char"/>
    <w:basedOn w:val="DefaultParagraphFont"/>
    <w:link w:val="BalloonText"/>
    <w:uiPriority w:val="99"/>
    <w:semiHidden/>
    <w:rsid w:val="003054E9"/>
    <w:rPr>
      <w:rFonts w:ascii="Tahoma" w:eastAsia="Times New Roman" w:hAnsi="Tahoma" w:cs="Tahoma"/>
      <w:sz w:val="16"/>
      <w:szCs w:val="16"/>
    </w:rPr>
  </w:style>
  <w:style w:type="character" w:customStyle="1" w:styleId="DocID">
    <w:name w:val="DocID"/>
    <w:basedOn w:val="DefaultParagraphFont"/>
    <w:rsid w:val="00811D91"/>
    <w:rPr>
      <w:rFonts w:ascii="Times New Roman" w:hAnsi="Times New Roman" w:cs="Times New Roman"/>
      <w:b w:val="0"/>
      <w:i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54E9"/>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paragraph" w:customStyle="1" w:styleId="AuthorInfoLetterhead">
    <w:name w:val="AuthorInfoLetterhead"/>
    <w:basedOn w:val="Normal"/>
    <w:rsid w:val="003054E9"/>
    <w:pPr>
      <w:tabs>
        <w:tab w:val="right" w:pos="9360"/>
      </w:tabs>
      <w:spacing w:before="540" w:after="180" w:line="180" w:lineRule="exact"/>
      <w:ind w:left="72"/>
    </w:pPr>
    <w:rPr>
      <w:sz w:val="16"/>
      <w:szCs w:val="20"/>
    </w:rPr>
  </w:style>
  <w:style w:type="paragraph" w:customStyle="1" w:styleId="Initials">
    <w:name w:val="Initials"/>
    <w:basedOn w:val="Normal"/>
    <w:uiPriority w:val="99"/>
    <w:semiHidden/>
    <w:rsid w:val="003054E9"/>
    <w:pPr>
      <w:spacing w:after="180"/>
      <w:jc w:val="right"/>
    </w:pPr>
    <w:rPr>
      <w:sz w:val="12"/>
    </w:rPr>
  </w:style>
  <w:style w:type="paragraph" w:styleId="BalloonText">
    <w:name w:val="Balloon Text"/>
    <w:basedOn w:val="Normal"/>
    <w:link w:val="BalloonTextChar"/>
    <w:uiPriority w:val="99"/>
    <w:semiHidden/>
    <w:unhideWhenUsed/>
    <w:rsid w:val="003054E9"/>
    <w:rPr>
      <w:rFonts w:ascii="Tahoma" w:hAnsi="Tahoma" w:cs="Tahoma"/>
      <w:sz w:val="16"/>
      <w:szCs w:val="16"/>
    </w:rPr>
  </w:style>
  <w:style w:type="character" w:customStyle="1" w:styleId="BalloonTextChar">
    <w:name w:val="Balloon Text Char"/>
    <w:basedOn w:val="DefaultParagraphFont"/>
    <w:link w:val="BalloonText"/>
    <w:uiPriority w:val="99"/>
    <w:semiHidden/>
    <w:rsid w:val="003054E9"/>
    <w:rPr>
      <w:rFonts w:ascii="Tahoma" w:eastAsia="Times New Roman" w:hAnsi="Tahoma" w:cs="Tahoma"/>
      <w:sz w:val="16"/>
      <w:szCs w:val="16"/>
    </w:rPr>
  </w:style>
  <w:style w:type="character" w:customStyle="1" w:styleId="DocID">
    <w:name w:val="DocID"/>
    <w:basedOn w:val="DefaultParagraphFont"/>
    <w:rsid w:val="00811D91"/>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8</Pages>
  <Words>2325</Words>
  <Characters>12185</Characters>
  <Application>Microsoft Office Word</Application>
  <DocSecurity>0</DocSecurity>
  <Lines>290</Lines>
  <Paragraphs>117</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2012-04-03T13:59:00Z</cp:lastPrinted>
  <dcterms:created xsi:type="dcterms:W3CDTF">2012-04-03T15:33:00Z</dcterms:created>
  <dcterms:modified xsi:type="dcterms:W3CDTF">2012-04-03T15:33:00Z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703300.1</vt:lpwstr>
  </property>
  <property fmtid="{D5CDD505-2E9C-101B-9397-08002B2CF9AE}" pid="3" name="DocumentType">
    <vt:lpwstr>pcgBlank</vt:lpwstr>
  </property>
</Properties>
</file>