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9947C8" w:rsidRPr="00DC09DE" w:rsidP="009947C8">
      <w:pPr>
        <w:pStyle w:val="Title"/>
        <w:rPr>
          <w:sz w:val="24"/>
          <w:szCs w:val="24"/>
        </w:rPr>
      </w:pPr>
      <w:bookmarkStart w:id="0" w:name="_GoBack"/>
      <w:bookmarkEnd w:id="0"/>
      <w:r w:rsidRPr="00DC09DE">
        <w:rPr>
          <w:sz w:val="24"/>
          <w:szCs w:val="24"/>
        </w:rPr>
        <w:t>BEFORE</w:t>
      </w:r>
    </w:p>
    <w:p w:rsidR="009947C8" w:rsidRPr="00DC09DE" w:rsidP="009947C8">
      <w:pPr>
        <w:jc w:val="center"/>
        <w:rPr>
          <w:b/>
        </w:rPr>
      </w:pPr>
      <w:r w:rsidRPr="00DC09DE">
        <w:rPr>
          <w:b/>
        </w:rPr>
        <w:t>THE PUBLIC UTILITIES COMMISSION OF OHIO</w:t>
      </w:r>
    </w:p>
    <w:p w:rsidR="009947C8" w:rsidRPr="00DC09DE" w:rsidP="009947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bl>
      <w:tblPr>
        <w:tblW w:w="8928" w:type="dxa"/>
        <w:tblLook w:val="01E0"/>
      </w:tblPr>
      <w:tblGrid>
        <w:gridCol w:w="4332"/>
        <w:gridCol w:w="360"/>
        <w:gridCol w:w="4236"/>
      </w:tblGrid>
      <w:tr w:rsidTr="004520CA">
        <w:tblPrEx>
          <w:tblW w:w="8928" w:type="dxa"/>
          <w:tblLook w:val="01E0"/>
        </w:tblPrEx>
        <w:trPr>
          <w:trHeight w:val="807"/>
        </w:trPr>
        <w:tc>
          <w:tcPr>
            <w:tcW w:w="4332" w:type="dxa"/>
            <w:shd w:val="clear" w:color="auto" w:fill="auto"/>
          </w:tcPr>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In the Matter of the Review of Duke Energy Ohio, Inc.’s Distribution Capital Investment Rider.</w:t>
            </w:r>
          </w:p>
        </w:tc>
        <w:tc>
          <w:tcPr>
            <w:tcW w:w="360" w:type="dxa"/>
            <w:shd w:val="clear" w:color="auto" w:fill="auto"/>
          </w:tcPr>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w:t>
            </w:r>
          </w:p>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w:t>
            </w:r>
          </w:p>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w:t>
            </w:r>
          </w:p>
        </w:tc>
        <w:tc>
          <w:tcPr>
            <w:tcW w:w="4236" w:type="dxa"/>
            <w:shd w:val="clear" w:color="auto" w:fill="auto"/>
          </w:tcPr>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Case No. 18-1036-EL-RDR</w:t>
            </w:r>
          </w:p>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9947C8" w:rsidRPr="00DC09DE" w:rsidP="004520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9947C8" w:rsidRPr="00DC09DE" w:rsidP="009947C8">
      <w:pPr>
        <w:pBdr>
          <w:top w:val="single" w:sz="12" w:space="1" w:color="auto"/>
        </w:pBdr>
      </w:pPr>
    </w:p>
    <w:p w:rsidR="009947C8" w:rsidRPr="00DC09DE" w:rsidP="009947C8">
      <w:pPr>
        <w:jc w:val="center"/>
        <w:rPr>
          <w:b/>
          <w:bCs/>
        </w:rPr>
      </w:pPr>
      <w:r>
        <w:rPr>
          <w:b/>
          <w:bCs/>
        </w:rPr>
        <w:t>APPLICATION FOR REHEARING</w:t>
      </w:r>
      <w:r w:rsidRPr="00DC09DE">
        <w:rPr>
          <w:b/>
          <w:bCs/>
        </w:rPr>
        <w:t xml:space="preserve"> </w:t>
      </w:r>
    </w:p>
    <w:p w:rsidR="009947C8" w:rsidRPr="00DC09DE" w:rsidP="009947C8">
      <w:pPr>
        <w:jc w:val="center"/>
        <w:rPr>
          <w:b/>
          <w:bCs/>
        </w:rPr>
      </w:pPr>
      <w:r w:rsidRPr="00DC09DE">
        <w:rPr>
          <w:b/>
          <w:bCs/>
        </w:rPr>
        <w:t>BY</w:t>
      </w:r>
    </w:p>
    <w:p w:rsidR="009947C8" w:rsidRPr="00DC09DE" w:rsidP="009947C8">
      <w:pPr>
        <w:jc w:val="center"/>
        <w:rPr>
          <w:b/>
          <w:bCs/>
        </w:rPr>
      </w:pPr>
      <w:r w:rsidRPr="00DC09DE">
        <w:rPr>
          <w:b/>
          <w:bCs/>
        </w:rPr>
        <w:t>THE OFFICE OF THE OHIO CONSUMERS’ COUNSEL</w:t>
      </w:r>
    </w:p>
    <w:p w:rsidR="009947C8" w:rsidRPr="00DC09DE" w:rsidP="009947C8">
      <w:pPr>
        <w:pBdr>
          <w:bottom w:val="single" w:sz="12" w:space="1" w:color="auto"/>
        </w:pBdr>
      </w:pPr>
    </w:p>
    <w:p w:rsidR="009947C8" w:rsidRPr="00DC09DE" w:rsidP="009947C8">
      <w:pPr>
        <w:pStyle w:val="Title"/>
        <w:rPr>
          <w:sz w:val="24"/>
          <w:szCs w:val="24"/>
        </w:rPr>
      </w:pPr>
    </w:p>
    <w:p w:rsidR="00716DE3" w:rsidP="008F6999">
      <w:pPr>
        <w:autoSpaceDE w:val="0"/>
        <w:autoSpaceDN w:val="0"/>
        <w:adjustRightInd w:val="0"/>
        <w:spacing w:line="480" w:lineRule="auto"/>
        <w:rPr>
          <w:rFonts w:ascii="Times-Roman" w:hAnsi="Times-Roman" w:eastAsiaTheme="minorHAnsi" w:cs="Times-Roman"/>
        </w:rPr>
      </w:pPr>
      <w:r>
        <w:rPr>
          <w:rFonts w:ascii="Times-Roman" w:hAnsi="Times-Roman" w:eastAsiaTheme="minorHAnsi" w:cs="Times-Roman"/>
        </w:rPr>
        <w:tab/>
        <w:t>The charges that consumers pay for their utility service should be determined as part of a fair, just, and reasonable process.  Unfortunately for consumers, the October 23, 2019 Entry in this case thwarts a fair, just, and reasonable process, thereby harming consumers.</w:t>
      </w:r>
    </w:p>
    <w:p w:rsidR="008F6999" w:rsidRPr="008F6999" w:rsidP="008F6999">
      <w:pPr>
        <w:autoSpaceDE w:val="0"/>
        <w:autoSpaceDN w:val="0"/>
        <w:adjustRightInd w:val="0"/>
        <w:spacing w:line="480" w:lineRule="auto"/>
        <w:rPr>
          <w:rFonts w:ascii="Times-Roman" w:hAnsi="Times-Roman" w:eastAsiaTheme="minorHAnsi" w:cs="Times-Roman"/>
        </w:rPr>
      </w:pPr>
      <w:r>
        <w:rPr>
          <w:rFonts w:ascii="Times-Roman" w:hAnsi="Times-Roman" w:eastAsiaTheme="minorHAnsi" w:cs="Times-Roman"/>
        </w:rPr>
        <w:tab/>
        <w:t>The Public Utilities Commission of Ohio (“PUCO”) should grant this, the Office of the Ohio Consumers’ Counsel’s (“OCC”) Application for Rehearing, because the PUCO’s October 23, 2019 Entry is unreasonable and unlawful for the following reasons:</w:t>
      </w:r>
    </w:p>
    <w:p w:rsidR="00846989" w:rsidP="00AB47ED">
      <w:pPr>
        <w:rPr>
          <w:bCs/>
        </w:rPr>
      </w:pPr>
      <w:bookmarkStart w:id="1" w:name="_Toc19000468"/>
      <w:r w:rsidRPr="009947C8">
        <w:rPr>
          <w:bCs/>
        </w:rPr>
        <w:t>ASSIGNMENT OF ERROR</w:t>
      </w:r>
      <w:r>
        <w:rPr>
          <w:bCs/>
        </w:rPr>
        <w:t xml:space="preserve"> 1</w:t>
      </w:r>
      <w:r w:rsidRPr="009947C8">
        <w:rPr>
          <w:bCs/>
        </w:rPr>
        <w:t>:</w:t>
      </w:r>
      <w:r>
        <w:t xml:space="preserve"> In violation of R.C. 4903.09, the PUCO unlawfully and unreasonably did not address OCC’s argument that the Settlement violates regulatory principles and practices</w:t>
      </w:r>
      <w:r w:rsidRPr="009947C8">
        <w:rPr>
          <w:bCs/>
        </w:rPr>
        <w:t>.</w:t>
      </w:r>
      <w:bookmarkEnd w:id="1"/>
    </w:p>
    <w:p w:rsidR="00AD74C3" w:rsidP="00AB47ED">
      <w:pPr>
        <w:rPr>
          <w:bCs/>
        </w:rPr>
      </w:pPr>
    </w:p>
    <w:p w:rsidR="00AD74C3" w:rsidP="00AB47ED">
      <w:pPr>
        <w:rPr>
          <w:bCs/>
        </w:rPr>
      </w:pPr>
      <w:r>
        <w:rPr>
          <w:bCs/>
        </w:rPr>
        <w:t>ASSIGNMENT OF ERROR 2:  In violation of R.C. 4903.09, the PUCO unlawfully and unreasonably concluded that consumers are not harmed by including transmission costs in a distribution rider.</w:t>
      </w:r>
    </w:p>
    <w:p w:rsidR="00AB47ED" w:rsidP="00AB47ED"/>
    <w:p w:rsidR="009947C8" w:rsidRPr="009947C8" w:rsidP="009947C8">
      <w:pPr>
        <w:spacing w:line="480" w:lineRule="auto"/>
        <w:ind w:firstLine="720"/>
      </w:pPr>
      <w:r>
        <w:t>The reasons in support of this Application for rehearing are set forth in the accompanying memorandum in support.  The PUCO should grant rehearing and abrogate its Entry as recommended herein.</w:t>
      </w:r>
    </w:p>
    <w:p w:rsidR="00996817">
      <w:pPr>
        <w:spacing w:after="160" w:line="259" w:lineRule="auto"/>
        <w:sectPr w:rsidSect="00AB47ED">
          <w:footerReference w:type="default" r:id="rId5"/>
          <w:pgSz w:w="12240" w:h="15840"/>
          <w:pgMar w:top="1440" w:right="1800" w:bottom="1440" w:left="1800" w:header="720" w:footer="720" w:gutter="0"/>
          <w:pgNumType w:start="2"/>
          <w:cols w:space="720"/>
          <w:docGrid w:linePitch="360"/>
        </w:sectPr>
      </w:pPr>
      <w:r>
        <w:br w:type="page"/>
      </w:r>
    </w:p>
    <w:p w:rsidR="009947C8" w:rsidRPr="00DC09DE" w:rsidP="009947C8">
      <w:pPr>
        <w:ind w:left="3600" w:firstLine="720"/>
      </w:pPr>
      <w:r w:rsidRPr="00DC09DE">
        <w:t>Respectfully submitted,</w:t>
      </w:r>
    </w:p>
    <w:p w:rsidR="009947C8" w:rsidRPr="00DC09DE" w:rsidP="009947C8">
      <w:pPr>
        <w:pStyle w:val="Footer"/>
        <w:tabs>
          <w:tab w:val="left" w:pos="4320"/>
        </w:tabs>
        <w:ind w:left="4320"/>
      </w:pPr>
      <w:r w:rsidRPr="00DC09DE">
        <w:tab/>
      </w:r>
    </w:p>
    <w:p w:rsidR="009947C8" w:rsidRPr="00DC09DE" w:rsidP="009947C8">
      <w:pPr>
        <w:pStyle w:val="Footer"/>
        <w:tabs>
          <w:tab w:val="left" w:pos="4320"/>
        </w:tabs>
        <w:ind w:left="4320"/>
      </w:pPr>
      <w:r w:rsidRPr="00DC09DE">
        <w:t>Bruce Weston (#0016973)</w:t>
      </w:r>
    </w:p>
    <w:p w:rsidR="009947C8" w:rsidRPr="00DC09DE" w:rsidP="009947C8">
      <w:pPr>
        <w:pStyle w:val="ListParagraph"/>
        <w:tabs>
          <w:tab w:val="left" w:pos="4320"/>
        </w:tabs>
        <w:ind w:left="4320"/>
      </w:pPr>
      <w:r w:rsidRPr="00DC09DE">
        <w:t>Ohio Consumers’ Counsel</w:t>
      </w:r>
    </w:p>
    <w:p w:rsidR="009947C8" w:rsidRPr="00DC09DE" w:rsidP="009947C8">
      <w:pPr>
        <w:pStyle w:val="ListParagraph"/>
        <w:tabs>
          <w:tab w:val="left" w:pos="4320"/>
        </w:tabs>
        <w:ind w:left="4320"/>
      </w:pPr>
      <w:r w:rsidRPr="00DC09DE">
        <w:tab/>
      </w:r>
    </w:p>
    <w:p w:rsidR="009947C8" w:rsidRPr="00DC09DE" w:rsidP="009947C8">
      <w:pPr>
        <w:pStyle w:val="ListParagraph"/>
        <w:tabs>
          <w:tab w:val="left" w:pos="4320"/>
        </w:tabs>
        <w:ind w:left="4320"/>
      </w:pPr>
      <w:r w:rsidRPr="00DC09DE">
        <w:rPr>
          <w:i/>
          <w:u w:val="single"/>
        </w:rPr>
        <w:t>/s/ William J. Michael</w:t>
      </w:r>
      <w:r w:rsidRPr="00DC09DE">
        <w:t>____</w:t>
      </w:r>
    </w:p>
    <w:p w:rsidR="009947C8" w:rsidRPr="00DC09DE" w:rsidP="009947C8">
      <w:pPr>
        <w:pStyle w:val="ListParagraph"/>
        <w:tabs>
          <w:tab w:val="left" w:pos="4320"/>
        </w:tabs>
        <w:ind w:left="4320"/>
      </w:pPr>
      <w:r w:rsidRPr="00DC09DE">
        <w:t>William J. Michael (0070921)</w:t>
      </w:r>
    </w:p>
    <w:p w:rsidR="009947C8" w:rsidRPr="00DC09DE" w:rsidP="009947C8">
      <w:pPr>
        <w:pStyle w:val="ListParagraph"/>
        <w:tabs>
          <w:tab w:val="left" w:pos="4320"/>
        </w:tabs>
        <w:ind w:left="4320"/>
      </w:pPr>
      <w:r w:rsidRPr="00DC09DE">
        <w:t>Counsel of Record</w:t>
      </w:r>
    </w:p>
    <w:p w:rsidR="009947C8" w:rsidRPr="00DC09DE" w:rsidP="009947C8">
      <w:pPr>
        <w:pStyle w:val="ListParagraph"/>
        <w:tabs>
          <w:tab w:val="left" w:pos="4320"/>
        </w:tabs>
        <w:ind w:left="4320"/>
      </w:pPr>
      <w:r w:rsidRPr="00DC09DE">
        <w:t>Amy Botschner O’Brien (0074423)</w:t>
      </w:r>
    </w:p>
    <w:p w:rsidR="009947C8" w:rsidRPr="00DC09DE" w:rsidP="009947C8">
      <w:pPr>
        <w:pStyle w:val="ListParagraph"/>
        <w:tabs>
          <w:tab w:val="left" w:pos="4320"/>
        </w:tabs>
        <w:ind w:left="4320"/>
      </w:pPr>
      <w:r w:rsidRPr="00DC09DE">
        <w:t>Assistant Consumers’ Counsel</w:t>
      </w:r>
    </w:p>
    <w:p w:rsidR="009947C8" w:rsidP="009947C8">
      <w:r w:rsidRPr="00DC09DE">
        <w:tab/>
      </w:r>
      <w:r>
        <w:tab/>
      </w:r>
      <w:r>
        <w:tab/>
      </w:r>
      <w:r>
        <w:tab/>
      </w:r>
      <w:r>
        <w:tab/>
      </w:r>
      <w:r>
        <w:tab/>
      </w:r>
    </w:p>
    <w:p w:rsidR="009947C8" w:rsidRPr="009947C8" w:rsidP="009947C8">
      <w:pPr>
        <w:ind w:left="3600" w:firstLine="720"/>
        <w:rPr>
          <w:b/>
          <w:bCs/>
        </w:rPr>
      </w:pPr>
      <w:r w:rsidRPr="009947C8">
        <w:rPr>
          <w:b/>
          <w:bCs/>
        </w:rPr>
        <w:t>Office of the Ohio Consumers’ Counsel</w:t>
      </w:r>
    </w:p>
    <w:p w:rsidR="009947C8" w:rsidRPr="00DC09DE" w:rsidP="009947C8">
      <w:pPr>
        <w:ind w:left="4320"/>
      </w:pPr>
      <w:r w:rsidRPr="00DC09DE">
        <w:t>65 East State Street, 7</w:t>
      </w:r>
      <w:r w:rsidRPr="00DC09DE">
        <w:rPr>
          <w:vertAlign w:val="superscript"/>
        </w:rPr>
        <w:t>th</w:t>
      </w:r>
      <w:r w:rsidRPr="00DC09DE">
        <w:t xml:space="preserve"> Floor</w:t>
      </w:r>
    </w:p>
    <w:p w:rsidR="009947C8" w:rsidRPr="00DC09DE" w:rsidP="009947C8">
      <w:pPr>
        <w:ind w:left="4320"/>
      </w:pPr>
      <w:r w:rsidRPr="00DC09DE">
        <w:t>Columbus, Ohio 43215</w:t>
      </w:r>
    </w:p>
    <w:p w:rsidR="009947C8" w:rsidRPr="00DC09DE" w:rsidP="009947C8">
      <w:pPr>
        <w:pStyle w:val="ListParagraph"/>
        <w:autoSpaceDE w:val="0"/>
        <w:autoSpaceDN w:val="0"/>
        <w:adjustRightInd w:val="0"/>
        <w:ind w:left="4320"/>
      </w:pPr>
      <w:r w:rsidRPr="00DC09DE">
        <w:t>Telephone [Michael]: (614) 466-1291</w:t>
      </w:r>
    </w:p>
    <w:p w:rsidR="009947C8" w:rsidRPr="00DC09DE" w:rsidP="009947C8">
      <w:pPr>
        <w:pStyle w:val="ListParagraph"/>
        <w:autoSpaceDE w:val="0"/>
        <w:autoSpaceDN w:val="0"/>
        <w:adjustRightInd w:val="0"/>
        <w:ind w:left="4320"/>
      </w:pPr>
      <w:r w:rsidRPr="00DC09DE">
        <w:t xml:space="preserve">Telephone [Botschner O’Brien]: </w:t>
      </w:r>
    </w:p>
    <w:p w:rsidR="009947C8" w:rsidRPr="00DC09DE" w:rsidP="009947C8">
      <w:pPr>
        <w:pStyle w:val="ListParagraph"/>
        <w:autoSpaceDE w:val="0"/>
        <w:autoSpaceDN w:val="0"/>
        <w:adjustRightInd w:val="0"/>
        <w:ind w:left="4320"/>
      </w:pPr>
      <w:r w:rsidRPr="00DC09DE">
        <w:t>(614) 466-9575</w:t>
      </w:r>
    </w:p>
    <w:p w:rsidR="009947C8" w:rsidRPr="00DC09DE" w:rsidP="009947C8">
      <w:pPr>
        <w:pStyle w:val="ListParagraph"/>
        <w:autoSpaceDE w:val="0"/>
        <w:autoSpaceDN w:val="0"/>
        <w:adjustRightInd w:val="0"/>
        <w:ind w:left="4320"/>
      </w:pPr>
      <w:r>
        <w:fldChar w:fldCharType="begin"/>
      </w:r>
      <w:r>
        <w:instrText xml:space="preserve"> HYPERLINK "mailto:William.michael@occ.ohio.gov" </w:instrText>
      </w:r>
      <w:r>
        <w:fldChar w:fldCharType="separate"/>
      </w:r>
      <w:r w:rsidRPr="00DC09DE" w:rsidR="00761188">
        <w:rPr>
          <w:rStyle w:val="Hyperlink"/>
        </w:rPr>
        <w:t>William.michael@occ.ohio.gov</w:t>
      </w:r>
      <w:r>
        <w:fldChar w:fldCharType="end"/>
      </w:r>
    </w:p>
    <w:p w:rsidR="009947C8" w:rsidRPr="00DC09DE" w:rsidP="009947C8">
      <w:pPr>
        <w:pStyle w:val="ListParagraph"/>
        <w:autoSpaceDE w:val="0"/>
        <w:autoSpaceDN w:val="0"/>
        <w:adjustRightInd w:val="0"/>
        <w:ind w:left="4320"/>
      </w:pPr>
      <w:r>
        <w:fldChar w:fldCharType="begin"/>
      </w:r>
      <w:r>
        <w:instrText xml:space="preserve"> HYPERLINK "mailto:Amy.botschner.obrien@occ.ohio.gov" </w:instrText>
      </w:r>
      <w:r>
        <w:fldChar w:fldCharType="separate"/>
      </w:r>
      <w:r w:rsidRPr="00DC09DE" w:rsidR="00761188">
        <w:rPr>
          <w:rStyle w:val="Hyperlink"/>
        </w:rPr>
        <w:t>Amy.botschner.obrien@occ.ohio.gov</w:t>
      </w:r>
      <w:r>
        <w:fldChar w:fldCharType="end"/>
      </w:r>
    </w:p>
    <w:p w:rsidR="009947C8" w:rsidRPr="00DC09DE" w:rsidP="009947C8">
      <w:pPr>
        <w:ind w:left="4320"/>
      </w:pPr>
      <w:r w:rsidRPr="00DC09DE">
        <w:t>(Willing to accept service by e-mail)</w:t>
      </w:r>
    </w:p>
    <w:p w:rsidR="00AD24DF" w:rsidP="00E32A21">
      <w:pPr>
        <w:tabs>
          <w:tab w:val="left" w:pos="720"/>
          <w:tab w:val="left" w:leader="dot" w:pos="8640"/>
        </w:tabs>
        <w:spacing w:line="480" w:lineRule="auto"/>
        <w:rPr>
          <w:rFonts w:eastAsiaTheme="minorHAnsi"/>
        </w:rPr>
      </w:pPr>
    </w:p>
    <w:p w:rsidR="00AD24DF" w:rsidP="00E32A21">
      <w:pPr>
        <w:tabs>
          <w:tab w:val="left" w:pos="720"/>
          <w:tab w:val="left" w:leader="dot" w:pos="8640"/>
        </w:tabs>
        <w:spacing w:line="480" w:lineRule="auto"/>
        <w:rPr>
          <w:rFonts w:eastAsiaTheme="minorHAnsi"/>
        </w:rPr>
      </w:pPr>
    </w:p>
    <w:p w:rsidR="00AD24DF" w:rsidP="00E32A21">
      <w:pPr>
        <w:tabs>
          <w:tab w:val="left" w:pos="720"/>
          <w:tab w:val="left" w:leader="dot" w:pos="8640"/>
        </w:tabs>
        <w:spacing w:line="480" w:lineRule="auto"/>
        <w:rPr>
          <w:rFonts w:eastAsiaTheme="minorHAnsi"/>
        </w:rPr>
      </w:pPr>
    </w:p>
    <w:p w:rsidR="00AD24DF" w:rsidP="00E32A21">
      <w:pPr>
        <w:tabs>
          <w:tab w:val="left" w:pos="720"/>
          <w:tab w:val="left" w:leader="dot" w:pos="8640"/>
        </w:tabs>
        <w:spacing w:line="480" w:lineRule="auto"/>
        <w:rPr>
          <w:rFonts w:eastAsiaTheme="minorHAnsi"/>
        </w:rPr>
      </w:pPr>
    </w:p>
    <w:p w:rsidR="00996817" w:rsidP="00E32A21">
      <w:pPr>
        <w:tabs>
          <w:tab w:val="left" w:pos="720"/>
          <w:tab w:val="left" w:leader="dot" w:pos="8640"/>
        </w:tabs>
        <w:spacing w:line="480" w:lineRule="auto"/>
        <w:rPr>
          <w:rFonts w:eastAsiaTheme="minorHAnsi"/>
        </w:rPr>
        <w:sectPr w:rsidSect="00AB47ED">
          <w:footerReference w:type="default" r:id="rId6"/>
          <w:pgSz w:w="12240" w:h="15840"/>
          <w:pgMar w:top="1440" w:right="1800" w:bottom="1440" w:left="1800" w:header="720" w:footer="720" w:gutter="0"/>
          <w:pgNumType w:start="2"/>
          <w:cols w:space="720"/>
          <w:docGrid w:linePitch="360"/>
        </w:sectPr>
      </w:pPr>
    </w:p>
    <w:p w:rsidR="0084054E" w:rsidRPr="00DC09DE" w:rsidP="0084054E">
      <w:pPr>
        <w:pStyle w:val="Title"/>
        <w:rPr>
          <w:sz w:val="24"/>
          <w:szCs w:val="24"/>
        </w:rPr>
      </w:pPr>
      <w:r w:rsidRPr="00DC09DE">
        <w:rPr>
          <w:sz w:val="24"/>
          <w:szCs w:val="24"/>
        </w:rPr>
        <w:t>BEFORE</w:t>
      </w:r>
    </w:p>
    <w:p w:rsidR="0084054E" w:rsidRPr="00DC09DE" w:rsidP="0084054E">
      <w:pPr>
        <w:jc w:val="center"/>
        <w:rPr>
          <w:b/>
        </w:rPr>
      </w:pPr>
      <w:r w:rsidRPr="00DC09DE">
        <w:rPr>
          <w:b/>
        </w:rPr>
        <w:t>THE PUBLIC UTILITIES COMMISSION OF OHIO</w:t>
      </w:r>
    </w:p>
    <w:p w:rsidR="0084054E" w:rsidRPr="00DC09DE" w:rsidP="008405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bl>
      <w:tblPr>
        <w:tblW w:w="8928" w:type="dxa"/>
        <w:tblLook w:val="01E0"/>
      </w:tblPr>
      <w:tblGrid>
        <w:gridCol w:w="4332"/>
        <w:gridCol w:w="360"/>
        <w:gridCol w:w="4236"/>
      </w:tblGrid>
      <w:tr w:rsidTr="00166271">
        <w:tblPrEx>
          <w:tblW w:w="8928" w:type="dxa"/>
          <w:tblLook w:val="01E0"/>
        </w:tblPrEx>
        <w:trPr>
          <w:trHeight w:val="807"/>
        </w:trPr>
        <w:tc>
          <w:tcPr>
            <w:tcW w:w="4332" w:type="dxa"/>
            <w:shd w:val="clear" w:color="auto" w:fill="auto"/>
          </w:tcPr>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In the Matter of the Review of Duke Energy Ohio, Inc.’s Distribution Capital Investment Rider.</w:t>
            </w:r>
          </w:p>
        </w:tc>
        <w:tc>
          <w:tcPr>
            <w:tcW w:w="360" w:type="dxa"/>
            <w:shd w:val="clear" w:color="auto" w:fill="auto"/>
          </w:tcPr>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w:t>
            </w:r>
          </w:p>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w:t>
            </w:r>
          </w:p>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w:t>
            </w:r>
          </w:p>
        </w:tc>
        <w:tc>
          <w:tcPr>
            <w:tcW w:w="4236" w:type="dxa"/>
            <w:shd w:val="clear" w:color="auto" w:fill="auto"/>
          </w:tcPr>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DC09DE">
              <w:rPr>
                <w:rFonts w:ascii="Times New Roman" w:eastAsia="Courier New" w:hAnsi="Times New Roman" w:cs="Times New Roman"/>
                <w:sz w:val="24"/>
                <w:szCs w:val="24"/>
              </w:rPr>
              <w:t>Case No. 18-1036-EL-RDR</w:t>
            </w:r>
          </w:p>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84054E" w:rsidRPr="00DC09DE" w:rsidP="0016627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tc>
      </w:tr>
    </w:tbl>
    <w:p w:rsidR="0084054E" w:rsidRPr="00DC09DE" w:rsidP="0084054E">
      <w:pPr>
        <w:pBdr>
          <w:top w:val="single" w:sz="12" w:space="1" w:color="auto"/>
        </w:pBdr>
      </w:pPr>
    </w:p>
    <w:p w:rsidR="0084054E" w:rsidP="0084054E">
      <w:pPr>
        <w:pBdr>
          <w:bottom w:val="single" w:sz="12" w:space="1" w:color="auto"/>
        </w:pBdr>
        <w:jc w:val="center"/>
        <w:rPr>
          <w:b/>
          <w:bCs/>
        </w:rPr>
      </w:pPr>
      <w:r>
        <w:rPr>
          <w:b/>
          <w:bCs/>
        </w:rPr>
        <w:t>MEMORANDUM IN SUPPORT</w:t>
      </w:r>
    </w:p>
    <w:p w:rsidR="009947C8" w:rsidP="0084054E">
      <w:pPr>
        <w:pBdr>
          <w:bottom w:val="single" w:sz="12" w:space="1" w:color="auto"/>
        </w:pBdr>
        <w:jc w:val="center"/>
        <w:rPr>
          <w:b/>
          <w:bCs/>
        </w:rPr>
      </w:pPr>
    </w:p>
    <w:p w:rsidR="009947C8" w:rsidRPr="00DC09DE" w:rsidP="009947C8">
      <w:pPr>
        <w:rPr>
          <w:b/>
          <w:bCs/>
        </w:rPr>
      </w:pPr>
    </w:p>
    <w:p w:rsidR="0084054E" w:rsidP="00761188">
      <w:pPr>
        <w:pStyle w:val="Heading1"/>
        <w:rPr>
          <w:rFonts w:eastAsiaTheme="minorHAnsi"/>
        </w:rPr>
      </w:pPr>
      <w:r w:rsidRPr="0084054E">
        <w:rPr>
          <w:rFonts w:eastAsiaTheme="minorHAnsi"/>
        </w:rPr>
        <w:t>INTRODUCTION</w:t>
      </w:r>
    </w:p>
    <w:p w:rsidR="005550BE" w:rsidP="00761188">
      <w:pPr>
        <w:autoSpaceDE w:val="0"/>
        <w:autoSpaceDN w:val="0"/>
        <w:adjustRightInd w:val="0"/>
        <w:spacing w:line="480" w:lineRule="auto"/>
        <w:ind w:firstLine="720"/>
        <w:rPr>
          <w:rFonts w:ascii="Times-Roman" w:hAnsi="Times-Roman" w:eastAsiaTheme="minorHAnsi" w:cs="Times-Roman"/>
        </w:rPr>
      </w:pPr>
      <w:r w:rsidRPr="005550BE">
        <w:rPr>
          <w:rFonts w:ascii="Times-Roman" w:hAnsi="Times-Roman" w:eastAsiaTheme="minorHAnsi" w:cs="Times-Roman"/>
        </w:rPr>
        <w:t xml:space="preserve">Under </w:t>
      </w:r>
      <w:r>
        <w:rPr>
          <w:rFonts w:ascii="Times-Roman" w:hAnsi="Times-Roman" w:eastAsiaTheme="minorHAnsi" w:cs="Times-Roman"/>
        </w:rPr>
        <w:t>the PUCO’s Entry,</w:t>
      </w:r>
      <w:r w:rsidRPr="005550BE">
        <w:rPr>
          <w:rFonts w:ascii="Times-Roman" w:hAnsi="Times-Roman" w:eastAsiaTheme="minorHAnsi" w:cs="Times-Roman"/>
        </w:rPr>
        <w:t xml:space="preserve"> Duke Energy Ohio, Inc. (“Duke”) will charge consumers over three million dollars through a single-issue ratemaking charge called the Distribution Capital</w:t>
      </w:r>
      <w:r>
        <w:rPr>
          <w:rFonts w:ascii="Times-Roman" w:hAnsi="Times-Roman" w:eastAsiaTheme="minorHAnsi" w:cs="Times-Roman"/>
        </w:rPr>
        <w:t xml:space="preserve"> </w:t>
      </w:r>
      <w:r w:rsidRPr="005550BE">
        <w:rPr>
          <w:rFonts w:ascii="Times-Roman" w:hAnsi="Times-Roman" w:eastAsiaTheme="minorHAnsi" w:cs="Times-Roman"/>
        </w:rPr>
        <w:t>Investment Rider (“Distribution Charge”). The expenses Duke will collect from customers through this charge, that are in dispute, have nothing to do with</w:t>
      </w:r>
      <w:r>
        <w:rPr>
          <w:rFonts w:ascii="Times-Roman" w:hAnsi="Times-Roman" w:eastAsiaTheme="minorHAnsi" w:cs="Times-Roman"/>
        </w:rPr>
        <w:t xml:space="preserve"> </w:t>
      </w:r>
      <w:r w:rsidRPr="005550BE">
        <w:rPr>
          <w:rFonts w:ascii="Times-Roman" w:hAnsi="Times-Roman" w:eastAsiaTheme="minorHAnsi" w:cs="Times-Roman"/>
        </w:rPr>
        <w:t>electricity distribution. The charges – indisputably – do not belong in the Distribution</w:t>
      </w:r>
      <w:r>
        <w:rPr>
          <w:rFonts w:ascii="Times-Roman" w:hAnsi="Times-Roman" w:eastAsiaTheme="minorHAnsi" w:cs="Times-Roman"/>
        </w:rPr>
        <w:t xml:space="preserve"> </w:t>
      </w:r>
      <w:r w:rsidRPr="005550BE">
        <w:rPr>
          <w:rFonts w:ascii="Times-Roman" w:hAnsi="Times-Roman" w:eastAsiaTheme="minorHAnsi" w:cs="Times-Roman"/>
        </w:rPr>
        <w:t>Charge. And in fact, were it not for the Charge, Duke would have no choice but to seek</w:t>
      </w:r>
      <w:r>
        <w:rPr>
          <w:rFonts w:ascii="Times-Roman" w:hAnsi="Times-Roman" w:eastAsiaTheme="minorHAnsi" w:cs="Times-Roman"/>
        </w:rPr>
        <w:t xml:space="preserve"> </w:t>
      </w:r>
      <w:r w:rsidRPr="005550BE">
        <w:rPr>
          <w:rFonts w:ascii="Times-Roman" w:hAnsi="Times-Roman" w:eastAsiaTheme="minorHAnsi" w:cs="Times-Roman"/>
        </w:rPr>
        <w:t>approval of these charges through the appropriate regulatory body – the Federal Energy</w:t>
      </w:r>
      <w:r>
        <w:rPr>
          <w:rFonts w:ascii="Times-Roman" w:hAnsi="Times-Roman" w:eastAsiaTheme="minorHAnsi" w:cs="Times-Roman"/>
        </w:rPr>
        <w:t xml:space="preserve"> </w:t>
      </w:r>
      <w:r w:rsidRPr="005550BE">
        <w:rPr>
          <w:rFonts w:ascii="Times-Roman" w:hAnsi="Times-Roman" w:eastAsiaTheme="minorHAnsi" w:cs="Times-Roman"/>
        </w:rPr>
        <w:t>Regulatory Commission (“FERC”). Allowing Duke to charge consumers for transmission-related expenses through the Distribution Charge is wrong. It violates regulatory principles and practices.</w:t>
      </w:r>
    </w:p>
    <w:p w:rsidR="009947C8" w:rsidRPr="00D4111E" w:rsidP="00D4111E">
      <w:pPr>
        <w:autoSpaceDE w:val="0"/>
        <w:autoSpaceDN w:val="0"/>
        <w:adjustRightInd w:val="0"/>
        <w:spacing w:line="480" w:lineRule="auto"/>
        <w:rPr>
          <w:rFonts w:ascii="Times-Roman" w:hAnsi="Times-Roman" w:eastAsiaTheme="minorHAnsi" w:cs="Times-Roman"/>
        </w:rPr>
      </w:pPr>
      <w:r>
        <w:rPr>
          <w:rFonts w:ascii="Times-Roman" w:hAnsi="Times-Roman" w:eastAsiaTheme="minorHAnsi" w:cs="Times-Roman"/>
        </w:rPr>
        <w:tab/>
        <w:t xml:space="preserve">The PUCO’s Entry is unlawful and unreasonable because it did not meaningfully address OCC’s demonstration that allowing Duke to charge consumers for transmission-related expenses through the Distribution Charge violates regulatory principles and practices.  Further, the PUCO’s Entry is unlawful and unreasonable because it </w:t>
      </w:r>
      <w:r>
        <w:rPr>
          <w:bCs/>
        </w:rPr>
        <w:t>concluded that consumers are not harmed by including transmission costs in a distribution rider.</w:t>
      </w:r>
    </w:p>
    <w:p w:rsidR="005E71EB" w:rsidP="00761188">
      <w:pPr>
        <w:pStyle w:val="Heading1"/>
      </w:pPr>
      <w:r>
        <w:t>STANDARD OF REVIEW</w:t>
      </w:r>
    </w:p>
    <w:p w:rsidR="005E71EB" w:rsidRPr="000B623C" w:rsidP="005E71EB">
      <w:pPr>
        <w:spacing w:line="480" w:lineRule="auto"/>
        <w:ind w:firstLine="720"/>
      </w:pPr>
      <w:r w:rsidRPr="000B623C">
        <w:t>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which was granted.</w:t>
      </w:r>
      <w:r>
        <w:rPr>
          <w:rStyle w:val="FootnoteReference"/>
        </w:rPr>
        <w:footnoteReference w:id="2"/>
      </w:r>
      <w:r w:rsidRPr="000B623C">
        <w:t xml:space="preserve"> </w:t>
      </w:r>
    </w:p>
    <w:p w:rsidR="005E71EB" w:rsidRPr="000B623C" w:rsidP="005E71EB">
      <w:pPr>
        <w:spacing w:line="480" w:lineRule="auto"/>
        <w:ind w:firstLine="720"/>
      </w:pPr>
      <w:r w:rsidRPr="000B623C">
        <w:t xml:space="preserve">R.C. 4903.10 requires that an application for rehearing must be “in writing and shall set forth specifically the ground or grounds on which the applicant considers the order to be unreasonable or unlawful.” In addition, Ohio Adm. Code </w:t>
      </w:r>
      <w:r w:rsidRPr="005E71EB">
        <w:rPr>
          <w:rStyle w:val="Strong"/>
          <w:b w:val="0"/>
          <w:bCs w:val="0"/>
        </w:rPr>
        <w:t>4901-1-35</w:t>
      </w:r>
      <w:r w:rsidRPr="005E71EB">
        <w:t>(A)</w:t>
      </w:r>
      <w:r w:rsidRPr="000B623C">
        <w:t xml:space="preserve"> states: “An application for rehearing must be accompanied by a memorandum in support, which shall be filed no later than the application for rehearing.”</w:t>
      </w:r>
    </w:p>
    <w:p w:rsidR="005E71EB" w:rsidRPr="000B623C" w:rsidP="005E71EB">
      <w:pPr>
        <w:spacing w:line="480" w:lineRule="auto"/>
        <w:ind w:firstLine="720"/>
      </w:pPr>
      <w:r w:rsidRPr="000B623C">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5E71EB" w:rsidP="005E71EB">
      <w:pPr>
        <w:spacing w:line="480" w:lineRule="auto"/>
        <w:ind w:firstLine="720"/>
      </w:pPr>
      <w:r w:rsidRPr="000B623C">
        <w:t xml:space="preserve">The statutory standard for </w:t>
      </w:r>
      <w:r>
        <w:t>modifying a po</w:t>
      </w:r>
      <w:r w:rsidRPr="000B623C">
        <w:t xml:space="preserve">rtion of the </w:t>
      </w:r>
      <w:r>
        <w:t>Entry</w:t>
      </w:r>
      <w:r w:rsidRPr="000B623C">
        <w:t xml:space="preserve"> is met here. The PUCO should grant rehearing </w:t>
      </w:r>
      <w:r>
        <w:t xml:space="preserve">and abrogate the Entry as </w:t>
      </w:r>
      <w:r w:rsidRPr="000B623C">
        <w:t xml:space="preserve">specified in this Application, </w:t>
      </w:r>
      <w:r>
        <w:t>because t</w:t>
      </w:r>
      <w:r w:rsidRPr="000B623C">
        <w:t xml:space="preserve">he PUCO’s ruling was unreasonable </w:t>
      </w:r>
      <w:r>
        <w:t xml:space="preserve">and unlawful </w:t>
      </w:r>
      <w:r w:rsidRPr="000B623C">
        <w:t>as described below.</w:t>
      </w:r>
    </w:p>
    <w:p w:rsidR="00AB47ED" w:rsidRPr="000B623C" w:rsidP="00AB47ED">
      <w:pPr>
        <w:ind w:firstLine="720"/>
      </w:pPr>
    </w:p>
    <w:p w:rsidR="00996817">
      <w:pPr>
        <w:spacing w:after="160" w:line="259" w:lineRule="auto"/>
        <w:rPr>
          <w:rFonts w:ascii="Times New Roman Bold" w:hAnsi="Times New Roman Bold" w:eastAsiaTheme="majorEastAsia"/>
          <w:b/>
          <w:bCs/>
          <w:caps/>
        </w:rPr>
      </w:pPr>
      <w:r>
        <w:br w:type="page"/>
      </w:r>
    </w:p>
    <w:p w:rsidR="005E71EB" w:rsidRPr="006E2E43" w:rsidP="00761188">
      <w:pPr>
        <w:pStyle w:val="Heading1"/>
      </w:pPr>
      <w:r>
        <w:t>ERROR</w:t>
      </w:r>
    </w:p>
    <w:p w:rsidR="00D4111E" w:rsidP="00D4111E">
      <w:pPr>
        <w:rPr>
          <w:b/>
          <w:bCs/>
        </w:rPr>
      </w:pPr>
      <w:r>
        <w:rPr>
          <w:b/>
          <w:bCs/>
        </w:rPr>
        <w:t xml:space="preserve">ASSIGNMENT OF ERROR 1:  </w:t>
      </w:r>
      <w:r w:rsidRPr="00D4111E">
        <w:rPr>
          <w:b/>
          <w:bCs/>
        </w:rPr>
        <w:t>In violation of R.C. 4903.09, the PUCO unlawfully and unreasonably did not address OCC’s argument that the Settlement violates regulatory principles and practices.</w:t>
      </w:r>
    </w:p>
    <w:p w:rsidR="00AD74C3" w:rsidRPr="00D4111E" w:rsidP="00D4111E">
      <w:pPr>
        <w:rPr>
          <w:b/>
          <w:bCs/>
        </w:rPr>
      </w:pPr>
    </w:p>
    <w:p w:rsidR="005B69C8" w:rsidP="003A61A7">
      <w:pPr>
        <w:tabs>
          <w:tab w:val="left" w:pos="720"/>
          <w:tab w:val="left" w:leader="dot" w:pos="8640"/>
        </w:tabs>
        <w:spacing w:line="480" w:lineRule="auto"/>
        <w:rPr>
          <w:rFonts w:eastAsiaTheme="minorHAnsi"/>
        </w:rPr>
      </w:pPr>
      <w:r>
        <w:rPr>
          <w:rFonts w:eastAsiaTheme="minorHAnsi"/>
        </w:rPr>
        <w:tab/>
        <w:t>In its briefing, OCC demonstrated that the Settlement violates several important regulatory principles and practices.</w:t>
      </w:r>
      <w:r>
        <w:rPr>
          <w:rStyle w:val="FootnoteReference"/>
          <w:rFonts w:eastAsiaTheme="minorHAnsi"/>
        </w:rPr>
        <w:footnoteReference w:id="3"/>
      </w:r>
      <w:r>
        <w:rPr>
          <w:rFonts w:eastAsiaTheme="minorHAnsi"/>
        </w:rPr>
        <w:t xml:space="preserve">  First, it violates R.C. 4928.143</w:t>
      </w:r>
      <w:r>
        <w:rPr>
          <w:rStyle w:val="FootnoteReference"/>
          <w:rFonts w:eastAsiaTheme="minorHAnsi"/>
        </w:rPr>
        <w:footnoteReference w:id="4"/>
      </w:r>
      <w:r>
        <w:rPr>
          <w:rFonts w:eastAsiaTheme="minorHAnsi"/>
        </w:rPr>
        <w:t xml:space="preserve"> because that statute allows only for </w:t>
      </w:r>
      <w:r w:rsidRPr="00D4111E">
        <w:rPr>
          <w:rFonts w:eastAsiaTheme="minorHAnsi"/>
          <w:i/>
          <w:iCs/>
        </w:rPr>
        <w:t>distribution</w:t>
      </w:r>
      <w:r>
        <w:rPr>
          <w:rFonts w:eastAsiaTheme="minorHAnsi"/>
        </w:rPr>
        <w:t xml:space="preserve"> charges, not </w:t>
      </w:r>
      <w:r>
        <w:rPr>
          <w:rFonts w:eastAsiaTheme="minorHAnsi"/>
          <w:i/>
          <w:iCs/>
        </w:rPr>
        <w:t xml:space="preserve">transmission </w:t>
      </w:r>
      <w:r>
        <w:rPr>
          <w:rFonts w:eastAsiaTheme="minorHAnsi"/>
        </w:rPr>
        <w:t>charges.  But the Settlement allows Duke to charge consumers for transmission-related expenses through the Distribution Charge. Second, it violates R.C. 4928.02</w:t>
      </w:r>
      <w:r>
        <w:rPr>
          <w:rStyle w:val="FootnoteReference"/>
          <w:rFonts w:eastAsiaTheme="minorHAnsi"/>
        </w:rPr>
        <w:footnoteReference w:id="5"/>
      </w:r>
      <w:r>
        <w:rPr>
          <w:rFonts w:eastAsiaTheme="minorHAnsi"/>
        </w:rPr>
        <w:t xml:space="preserve"> and 4909.22.</w:t>
      </w:r>
      <w:r>
        <w:rPr>
          <w:rStyle w:val="FootnoteReference"/>
          <w:rFonts w:eastAsiaTheme="minorHAnsi"/>
        </w:rPr>
        <w:footnoteReference w:id="6"/>
      </w:r>
      <w:r>
        <w:rPr>
          <w:rFonts w:eastAsiaTheme="minorHAnsi"/>
        </w:rPr>
        <w:t xml:space="preserve"> Allowing Duke to charge consumers for transmission costs contradicts state policy by contributing to unreasonably priced retail electric service.  </w:t>
      </w:r>
    </w:p>
    <w:p w:rsidR="00AD74C3" w:rsidP="005B69C8">
      <w:pPr>
        <w:tabs>
          <w:tab w:val="left" w:pos="720"/>
          <w:tab w:val="left" w:leader="dot" w:pos="8640"/>
        </w:tabs>
        <w:spacing w:line="480" w:lineRule="auto"/>
        <w:rPr>
          <w:rFonts w:eastAsiaTheme="minorHAnsi"/>
        </w:rPr>
      </w:pPr>
      <w:r>
        <w:rPr>
          <w:rFonts w:eastAsiaTheme="minorHAnsi"/>
        </w:rPr>
        <w:tab/>
        <w:t>In its Entry, the PUCO all but ignored OCC’s arguments.  It merely said that “we do not find any important regulatory principles are violated by” the Settlement and “[w]e additionally conclude that the Stipulation does not contravene any important regulatory principals.”</w:t>
      </w:r>
      <w:r>
        <w:rPr>
          <w:rStyle w:val="FootnoteReference"/>
          <w:rFonts w:eastAsiaTheme="minorHAnsi"/>
        </w:rPr>
        <w:footnoteReference w:id="7"/>
      </w:r>
      <w:r>
        <w:rPr>
          <w:rFonts w:eastAsiaTheme="minorHAnsi"/>
        </w:rPr>
        <w:t xml:space="preserve">  The PUCO is required under R.C. 4903.09 to address OCC’s arguments specifically.  Its failure to do so violates R.C. 4903.09.</w:t>
      </w:r>
      <w:r>
        <w:rPr>
          <w:rStyle w:val="FootnoteReference"/>
          <w:rFonts w:eastAsiaTheme="minorHAnsi"/>
        </w:rPr>
        <w:footnoteReference w:id="8"/>
      </w:r>
      <w:r>
        <w:rPr>
          <w:rFonts w:eastAsiaTheme="minorHAnsi"/>
        </w:rPr>
        <w:t xml:space="preserve">  </w:t>
      </w:r>
    </w:p>
    <w:p w:rsidR="00232285">
      <w:pPr>
        <w:spacing w:after="160" w:line="259" w:lineRule="auto"/>
        <w:rPr>
          <w:b/>
        </w:rPr>
      </w:pPr>
      <w:r>
        <w:rPr>
          <w:b/>
        </w:rPr>
        <w:br w:type="page"/>
      </w:r>
    </w:p>
    <w:p w:rsidR="00AD74C3" w:rsidRPr="004E02B9" w:rsidP="00AD74C3">
      <w:pPr>
        <w:rPr>
          <w:b/>
        </w:rPr>
      </w:pPr>
      <w:r w:rsidRPr="004E02B9">
        <w:rPr>
          <w:b/>
        </w:rPr>
        <w:t>ASSIGNMENT OF ERROR 2:  In violation of R.C. 4903.09, the PUCO unlawfully and unreasonably concluded that consumers are not harmed by including transmission costs in a distribution rider.</w:t>
      </w:r>
    </w:p>
    <w:p w:rsidR="00AD74C3" w:rsidP="00232285">
      <w:pPr>
        <w:tabs>
          <w:tab w:val="left" w:pos="720"/>
          <w:tab w:val="left" w:leader="dot" w:pos="8640"/>
        </w:tabs>
      </w:pPr>
      <w:r>
        <w:rPr>
          <w:rFonts w:eastAsiaTheme="minorHAnsi"/>
        </w:rPr>
        <w:t xml:space="preserve"> </w:t>
      </w:r>
      <w:r w:rsidRPr="00DC09DE">
        <w:t xml:space="preserve"> </w:t>
      </w:r>
    </w:p>
    <w:p w:rsidR="003B3195" w:rsidP="005B69C8">
      <w:pPr>
        <w:tabs>
          <w:tab w:val="left" w:pos="720"/>
          <w:tab w:val="left" w:leader="dot" w:pos="8640"/>
        </w:tabs>
        <w:spacing w:line="480" w:lineRule="auto"/>
      </w:pPr>
      <w:r>
        <w:tab/>
        <w:t>The PUCO concluded: “As Rider BTR has a higher rate of return that Rider DCI, we do not find that ratepayers are harmed” by allowing Duke to include transmission costs in the Distribution Charge.</w:t>
      </w:r>
      <w:r>
        <w:rPr>
          <w:rStyle w:val="FootnoteReference"/>
        </w:rPr>
        <w:footnoteReference w:id="9"/>
      </w:r>
      <w:r>
        <w:t xml:space="preserve">  That conclusion is not supported by record evidence.  It </w:t>
      </w:r>
      <w:r>
        <w:rPr>
          <w:i/>
          <w:iCs/>
        </w:rPr>
        <w:t xml:space="preserve">assumes </w:t>
      </w:r>
      <w:r>
        <w:t>that the regulatory body responsible for reviewing and approving transmission costs – FERC – would have approved the transmission costs at issue.  But there is no record evidence that FERC approved the transmission costs (it did not) or that it would.  In fact, the record evidence shows that the Settlement permits Duke to inappropriately charge consumers for transmission costs without any reason to believe that FERC has, or would, approve those costs.</w:t>
      </w:r>
      <w:r>
        <w:rPr>
          <w:rStyle w:val="FootnoteReference"/>
        </w:rPr>
        <w:footnoteReference w:id="10"/>
      </w:r>
      <w:r>
        <w:t xml:space="preserve"> </w:t>
      </w:r>
    </w:p>
    <w:p w:rsidR="004E02B9" w:rsidRPr="005B69C8" w:rsidP="005B69C8">
      <w:pPr>
        <w:tabs>
          <w:tab w:val="left" w:pos="720"/>
          <w:tab w:val="left" w:leader="dot" w:pos="8640"/>
        </w:tabs>
        <w:spacing w:line="480" w:lineRule="auto"/>
        <w:rPr>
          <w:rFonts w:eastAsiaTheme="minorHAnsi"/>
        </w:rPr>
      </w:pPr>
      <w:r>
        <w:tab/>
        <w:t>Because the Entry is not supported by record evidence, and in fact is contrary to the record evidence, it is unreasonable and unlawful.</w:t>
      </w:r>
      <w:r>
        <w:rPr>
          <w:rStyle w:val="FootnoteReference"/>
        </w:rPr>
        <w:footnoteReference w:id="11"/>
      </w:r>
    </w:p>
    <w:p w:rsidR="00AB47ED" w:rsidRPr="00DC09DE" w:rsidP="00AB47ED">
      <w:pPr>
        <w:ind w:firstLine="720"/>
      </w:pPr>
    </w:p>
    <w:p w:rsidR="00B417E2" w:rsidP="00761188">
      <w:pPr>
        <w:pStyle w:val="Heading1"/>
      </w:pPr>
      <w:r>
        <w:t>CONCLUSION</w:t>
      </w:r>
    </w:p>
    <w:p w:rsidR="003B3195" w:rsidRPr="00DC09DE" w:rsidP="003B3195">
      <w:pPr>
        <w:spacing w:line="480" w:lineRule="auto"/>
        <w:ind w:firstLine="720"/>
      </w:pPr>
      <w:r>
        <w:t xml:space="preserve">To protect consumers from unreasonable and unlawful charges, the PUCO should grant rehearing and abrogate its Entry.  This would help to safeguard that Duke’s charges to consumers and the electric distribution service provided are lawful, fair, just, and reasonable. </w:t>
      </w:r>
    </w:p>
    <w:p w:rsidR="00232285">
      <w:pPr>
        <w:spacing w:after="160" w:line="259" w:lineRule="auto"/>
      </w:pPr>
      <w:r>
        <w:br w:type="page"/>
      </w:r>
    </w:p>
    <w:p w:rsidR="00AC7CF1" w:rsidRPr="00DC09DE" w:rsidP="00AC7CF1">
      <w:pPr>
        <w:ind w:left="3600" w:firstLine="720"/>
      </w:pPr>
      <w:r w:rsidRPr="00DC09DE">
        <w:t>Respectfully submitted,</w:t>
      </w:r>
    </w:p>
    <w:p w:rsidR="00AC7CF1" w:rsidRPr="00DC09DE" w:rsidP="00AC7CF1">
      <w:pPr>
        <w:pStyle w:val="Footer"/>
        <w:tabs>
          <w:tab w:val="left" w:pos="4320"/>
        </w:tabs>
        <w:ind w:left="4320"/>
      </w:pPr>
      <w:r w:rsidRPr="00DC09DE">
        <w:tab/>
      </w:r>
    </w:p>
    <w:p w:rsidR="00AC7CF1" w:rsidRPr="00DC09DE" w:rsidP="00AC7CF1">
      <w:pPr>
        <w:pStyle w:val="Footer"/>
        <w:tabs>
          <w:tab w:val="left" w:pos="4320"/>
        </w:tabs>
        <w:ind w:left="4320"/>
      </w:pPr>
      <w:r w:rsidRPr="00DC09DE">
        <w:t>Bruce Weston (#0016973)</w:t>
      </w:r>
    </w:p>
    <w:p w:rsidR="00AC7CF1" w:rsidRPr="00DC09DE" w:rsidP="00AC7CF1">
      <w:pPr>
        <w:pStyle w:val="ListParagraph"/>
        <w:tabs>
          <w:tab w:val="left" w:pos="4320"/>
        </w:tabs>
        <w:ind w:left="4320"/>
      </w:pPr>
      <w:r w:rsidRPr="00DC09DE">
        <w:t>Ohio Consumers’ Counsel</w:t>
      </w:r>
    </w:p>
    <w:p w:rsidR="00AC7CF1" w:rsidRPr="00DC09DE" w:rsidP="00AC7CF1">
      <w:pPr>
        <w:pStyle w:val="ListParagraph"/>
        <w:tabs>
          <w:tab w:val="left" w:pos="4320"/>
        </w:tabs>
        <w:ind w:left="4320"/>
      </w:pPr>
      <w:r w:rsidRPr="00DC09DE">
        <w:tab/>
      </w:r>
    </w:p>
    <w:p w:rsidR="00AC7CF1" w:rsidRPr="00DC09DE" w:rsidP="00AC7CF1">
      <w:pPr>
        <w:pStyle w:val="ListParagraph"/>
        <w:tabs>
          <w:tab w:val="left" w:pos="4320"/>
        </w:tabs>
        <w:ind w:left="4320"/>
      </w:pPr>
      <w:r w:rsidRPr="00DC09DE">
        <w:rPr>
          <w:i/>
          <w:u w:val="single"/>
        </w:rPr>
        <w:t>/s/ William J. Michael</w:t>
      </w:r>
      <w:r w:rsidRPr="00DC09DE">
        <w:t>____</w:t>
      </w:r>
    </w:p>
    <w:p w:rsidR="00EA4955" w:rsidRPr="00DC09DE" w:rsidP="00EA4955">
      <w:pPr>
        <w:pStyle w:val="ListParagraph"/>
        <w:tabs>
          <w:tab w:val="left" w:pos="4320"/>
        </w:tabs>
        <w:ind w:left="4320"/>
      </w:pPr>
      <w:r w:rsidRPr="00DC09DE">
        <w:t>William J. Michael (0070921)</w:t>
      </w:r>
    </w:p>
    <w:p w:rsidR="00AC7CF1" w:rsidRPr="00DC09DE" w:rsidP="00AC7CF1">
      <w:pPr>
        <w:pStyle w:val="ListParagraph"/>
        <w:tabs>
          <w:tab w:val="left" w:pos="4320"/>
        </w:tabs>
        <w:ind w:left="4320"/>
      </w:pPr>
      <w:r w:rsidRPr="00DC09DE">
        <w:t>Counsel of Record</w:t>
      </w:r>
    </w:p>
    <w:p w:rsidR="00AC7CF1" w:rsidRPr="00DC09DE" w:rsidP="00AC7CF1">
      <w:pPr>
        <w:pStyle w:val="ListParagraph"/>
        <w:tabs>
          <w:tab w:val="left" w:pos="4320"/>
        </w:tabs>
        <w:ind w:left="4320"/>
      </w:pPr>
      <w:r w:rsidRPr="00DC09DE">
        <w:t>Amy Botschner O’Brien (0074423)</w:t>
      </w:r>
    </w:p>
    <w:p w:rsidR="00AC7CF1" w:rsidRPr="00DC09DE" w:rsidP="00AC7CF1">
      <w:pPr>
        <w:pStyle w:val="ListParagraph"/>
        <w:tabs>
          <w:tab w:val="left" w:pos="4320"/>
        </w:tabs>
        <w:ind w:left="4320"/>
      </w:pPr>
      <w:r w:rsidRPr="00DC09DE">
        <w:t>Assistant Consumers’ Counsel</w:t>
      </w:r>
    </w:p>
    <w:p w:rsidR="00AB47ED" w:rsidP="00AB47ED">
      <w:r w:rsidRPr="00DC09DE">
        <w:tab/>
      </w:r>
      <w:r>
        <w:tab/>
      </w:r>
      <w:r>
        <w:tab/>
      </w:r>
      <w:r>
        <w:tab/>
      </w:r>
      <w:r>
        <w:tab/>
      </w:r>
      <w:r>
        <w:tab/>
      </w:r>
    </w:p>
    <w:p w:rsidR="00AC7CF1" w:rsidRPr="00AB47ED" w:rsidP="00AB47ED">
      <w:pPr>
        <w:ind w:left="3600" w:firstLine="720"/>
        <w:rPr>
          <w:b/>
          <w:bCs/>
        </w:rPr>
      </w:pPr>
      <w:r w:rsidRPr="00AB47ED">
        <w:rPr>
          <w:b/>
          <w:bCs/>
        </w:rPr>
        <w:t>Office of the Ohio Consumers’ Counsel</w:t>
      </w:r>
    </w:p>
    <w:p w:rsidR="00AC7CF1" w:rsidRPr="00DC09DE" w:rsidP="00AC7CF1">
      <w:pPr>
        <w:ind w:left="4320"/>
      </w:pPr>
      <w:r w:rsidRPr="00DC09DE">
        <w:t>65 East State Street, 7</w:t>
      </w:r>
      <w:r w:rsidRPr="00DC09DE">
        <w:rPr>
          <w:vertAlign w:val="superscript"/>
        </w:rPr>
        <w:t>th</w:t>
      </w:r>
      <w:r w:rsidRPr="00DC09DE">
        <w:t xml:space="preserve"> Floor</w:t>
      </w:r>
    </w:p>
    <w:p w:rsidR="00AC7CF1" w:rsidRPr="00DC09DE" w:rsidP="00AC7CF1">
      <w:pPr>
        <w:ind w:left="4320"/>
      </w:pPr>
      <w:r w:rsidRPr="00DC09DE">
        <w:t>Columbus, Ohio 43215</w:t>
      </w:r>
    </w:p>
    <w:p w:rsidR="00AC7CF1" w:rsidRPr="00DC09DE" w:rsidP="00AC7CF1">
      <w:pPr>
        <w:pStyle w:val="ListParagraph"/>
        <w:autoSpaceDE w:val="0"/>
        <w:autoSpaceDN w:val="0"/>
        <w:adjustRightInd w:val="0"/>
        <w:ind w:left="4320"/>
      </w:pPr>
      <w:r w:rsidRPr="00DC09DE">
        <w:t>Telephone [Michael]: (614) 466-1291</w:t>
      </w:r>
    </w:p>
    <w:p w:rsidR="00AC7CF1" w:rsidRPr="00DC09DE" w:rsidP="00AC7CF1">
      <w:pPr>
        <w:pStyle w:val="ListParagraph"/>
        <w:autoSpaceDE w:val="0"/>
        <w:autoSpaceDN w:val="0"/>
        <w:adjustRightInd w:val="0"/>
        <w:ind w:left="4320"/>
      </w:pPr>
      <w:r w:rsidRPr="00DC09DE">
        <w:t xml:space="preserve">Telephone [Botschner O’Brien]: </w:t>
      </w:r>
    </w:p>
    <w:p w:rsidR="00AC7CF1" w:rsidRPr="00DC09DE" w:rsidP="00AC7CF1">
      <w:pPr>
        <w:pStyle w:val="ListParagraph"/>
        <w:autoSpaceDE w:val="0"/>
        <w:autoSpaceDN w:val="0"/>
        <w:adjustRightInd w:val="0"/>
        <w:ind w:left="4320"/>
      </w:pPr>
      <w:r w:rsidRPr="00DC09DE">
        <w:t>(614) 466-9575</w:t>
      </w:r>
    </w:p>
    <w:p w:rsidR="00AC7CF1" w:rsidRPr="00DC09DE" w:rsidP="00AC7CF1">
      <w:pPr>
        <w:pStyle w:val="ListParagraph"/>
        <w:autoSpaceDE w:val="0"/>
        <w:autoSpaceDN w:val="0"/>
        <w:adjustRightInd w:val="0"/>
        <w:ind w:left="4320"/>
      </w:pPr>
      <w:r>
        <w:fldChar w:fldCharType="begin"/>
      </w:r>
      <w:r>
        <w:instrText xml:space="preserve"> HYPERLINK "mailto:William.michael@occ.ohio.gov" </w:instrText>
      </w:r>
      <w:r>
        <w:fldChar w:fldCharType="separate"/>
      </w:r>
      <w:r w:rsidRPr="00DC09DE" w:rsidR="00761188">
        <w:rPr>
          <w:rStyle w:val="Hyperlink"/>
        </w:rPr>
        <w:t>William.michael@occ.ohio.gov</w:t>
      </w:r>
      <w:r>
        <w:fldChar w:fldCharType="end"/>
      </w:r>
    </w:p>
    <w:p w:rsidR="00AC7CF1" w:rsidRPr="00DC09DE" w:rsidP="00AC7CF1">
      <w:pPr>
        <w:pStyle w:val="ListParagraph"/>
        <w:autoSpaceDE w:val="0"/>
        <w:autoSpaceDN w:val="0"/>
        <w:adjustRightInd w:val="0"/>
        <w:ind w:left="4320"/>
      </w:pPr>
      <w:r>
        <w:fldChar w:fldCharType="begin"/>
      </w:r>
      <w:r>
        <w:instrText xml:space="preserve"> HYPERLINK "mailto:Amy.botschner.obrien@occ.ohio.gov" </w:instrText>
      </w:r>
      <w:r>
        <w:fldChar w:fldCharType="separate"/>
      </w:r>
      <w:r w:rsidRPr="00DC09DE" w:rsidR="00761188">
        <w:rPr>
          <w:rStyle w:val="Hyperlink"/>
        </w:rPr>
        <w:t>Amy.botschner.obrien@occ.ohio.gov</w:t>
      </w:r>
      <w:r>
        <w:fldChar w:fldCharType="end"/>
      </w:r>
    </w:p>
    <w:p w:rsidR="00AC7CF1" w:rsidRPr="00DC09DE" w:rsidP="00AC7CF1">
      <w:pPr>
        <w:ind w:left="4320"/>
      </w:pPr>
      <w:r w:rsidRPr="00DC09DE">
        <w:t>(Willing to accept service by e-mail)</w:t>
      </w:r>
    </w:p>
    <w:p w:rsidR="005453A7" w:rsidRPr="00DC09DE" w:rsidP="00AC7CF1">
      <w:pPr>
        <w:ind w:left="4320"/>
      </w:pPr>
    </w:p>
    <w:p w:rsidR="004E3331" w:rsidRPr="00DC09DE">
      <w:pPr>
        <w:spacing w:after="160" w:line="259" w:lineRule="auto"/>
        <w:rPr>
          <w:b/>
        </w:rPr>
      </w:pPr>
      <w:r w:rsidRPr="00DC09DE">
        <w:rPr>
          <w:b/>
        </w:rPr>
        <w:br w:type="page"/>
      </w:r>
    </w:p>
    <w:p w:rsidR="00AC7CF1" w:rsidRPr="00DC09DE" w:rsidP="00EA4955">
      <w:pPr>
        <w:jc w:val="center"/>
        <w:rPr>
          <w:b/>
          <w:u w:val="single"/>
        </w:rPr>
      </w:pPr>
      <w:r w:rsidRPr="00DC09DE">
        <w:rPr>
          <w:b/>
          <w:u w:val="single"/>
        </w:rPr>
        <w:t>CERTIFICATE OF SERVICE</w:t>
      </w:r>
    </w:p>
    <w:p w:rsidR="00AC7CF1" w:rsidRPr="00DC09DE" w:rsidP="00AC7CF1">
      <w:pPr>
        <w:pStyle w:val="ListParagraph"/>
        <w:ind w:left="1080"/>
        <w:jc w:val="center"/>
        <w:rPr>
          <w:b/>
        </w:rPr>
      </w:pPr>
    </w:p>
    <w:p w:rsidR="00AC7CF1" w:rsidRPr="00DC09DE" w:rsidP="00AC7CF1">
      <w:pPr>
        <w:spacing w:line="480" w:lineRule="auto"/>
      </w:pPr>
      <w:r w:rsidRPr="00DC09DE">
        <w:tab/>
        <w:t xml:space="preserve">I hereby certify that a copy of this </w:t>
      </w:r>
      <w:r>
        <w:t>Application for Rehearing</w:t>
      </w:r>
      <w:r w:rsidRPr="00DC09DE">
        <w:t xml:space="preserve"> has been served via electronic transmission upon the following parties of record this </w:t>
      </w:r>
      <w:r>
        <w:t>22nd</w:t>
      </w:r>
      <w:r w:rsidRPr="00DC09DE">
        <w:t xml:space="preserve"> day of </w:t>
      </w:r>
      <w:r>
        <w:t>November</w:t>
      </w:r>
      <w:r w:rsidRPr="00DC09DE">
        <w:t xml:space="preserve"> 2019.</w:t>
      </w:r>
    </w:p>
    <w:p w:rsidR="00AC7CF1" w:rsidRPr="00DC09DE" w:rsidP="00AC7CF1">
      <w:pPr>
        <w:pStyle w:val="ListParagraph"/>
        <w:ind w:left="1080"/>
      </w:pPr>
      <w:r w:rsidRPr="00DC09DE">
        <w:tab/>
      </w:r>
      <w:r w:rsidRPr="00DC09DE">
        <w:tab/>
      </w:r>
      <w:r w:rsidRPr="00DC09DE">
        <w:tab/>
      </w:r>
      <w:r w:rsidRPr="00DC09DE">
        <w:tab/>
      </w:r>
      <w:r w:rsidRPr="00DC09DE">
        <w:tab/>
      </w:r>
      <w:r w:rsidRPr="00DC09DE">
        <w:tab/>
      </w:r>
      <w:r w:rsidRPr="00DC09DE">
        <w:rPr>
          <w:i/>
          <w:u w:val="single"/>
        </w:rPr>
        <w:t>/s/ William J. Michael</w:t>
      </w:r>
      <w:r w:rsidRPr="00DC09DE">
        <w:t>_____</w:t>
      </w:r>
    </w:p>
    <w:p w:rsidR="00AC7CF1" w:rsidRPr="00DC09DE" w:rsidP="00AC7CF1">
      <w:pPr>
        <w:pStyle w:val="ListParagraph"/>
        <w:ind w:left="1080"/>
      </w:pPr>
      <w:r w:rsidRPr="00DC09DE">
        <w:tab/>
      </w:r>
      <w:r w:rsidRPr="00DC09DE">
        <w:tab/>
      </w:r>
      <w:r w:rsidRPr="00DC09DE">
        <w:tab/>
      </w:r>
      <w:r w:rsidRPr="00DC09DE">
        <w:tab/>
      </w:r>
      <w:r w:rsidRPr="00DC09DE">
        <w:tab/>
      </w:r>
      <w:r w:rsidRPr="00DC09DE">
        <w:tab/>
        <w:t>William J. Michael</w:t>
      </w:r>
    </w:p>
    <w:p w:rsidR="00AC7CF1" w:rsidRPr="00DC09DE" w:rsidP="00AC7CF1">
      <w:pPr>
        <w:pStyle w:val="ListParagraph"/>
        <w:ind w:left="1080"/>
      </w:pPr>
      <w:r w:rsidRPr="00DC09DE">
        <w:tab/>
      </w:r>
      <w:r w:rsidRPr="00DC09DE">
        <w:tab/>
      </w:r>
      <w:r w:rsidRPr="00DC09DE">
        <w:tab/>
      </w:r>
      <w:r w:rsidRPr="00DC09DE">
        <w:tab/>
      </w:r>
      <w:r w:rsidRPr="00DC09DE">
        <w:tab/>
      </w:r>
      <w:r w:rsidRPr="00DC09DE">
        <w:tab/>
        <w:t>Assistant Consumers’ Counsel</w:t>
      </w:r>
    </w:p>
    <w:p w:rsidR="00AC7CF1" w:rsidRPr="00DC09DE" w:rsidP="00AC7CF1">
      <w:pPr>
        <w:pStyle w:val="ListParagraph"/>
        <w:ind w:left="1080"/>
      </w:pPr>
    </w:p>
    <w:p w:rsidR="00094326" w:rsidRPr="00DC09DE" w:rsidP="00094326">
      <w:pPr>
        <w:pStyle w:val="CommentText"/>
        <w:rPr>
          <w:rFonts w:ascii="Times New Roman" w:hAnsi="Times New Roman" w:cs="Times New Roman"/>
          <w:sz w:val="24"/>
          <w:szCs w:val="24"/>
        </w:rPr>
      </w:pPr>
    </w:p>
    <w:p w:rsidR="00094326" w:rsidRPr="00DC09DE" w:rsidP="00094326">
      <w:pPr>
        <w:pStyle w:val="CommentText"/>
        <w:rPr>
          <w:rFonts w:ascii="Times New Roman" w:hAnsi="Times New Roman" w:cs="Times New Roman"/>
          <w:sz w:val="24"/>
          <w:szCs w:val="24"/>
        </w:rPr>
      </w:pPr>
      <w:r w:rsidRPr="00DC09DE">
        <w:rPr>
          <w:rFonts w:ascii="Times New Roman" w:hAnsi="Times New Roman" w:cs="Times New Roman"/>
          <w:sz w:val="24"/>
          <w:szCs w:val="24"/>
        </w:rPr>
        <w:t>The PUCO’s e-filing system will electronically serve notice of the filing of this document on the following parties:</w:t>
      </w:r>
    </w:p>
    <w:p w:rsidR="00094326" w:rsidRPr="00DC09DE" w:rsidP="00597DF1">
      <w:pPr>
        <w:pStyle w:val="CommentText"/>
        <w:jc w:val="center"/>
        <w:rPr>
          <w:rFonts w:ascii="Times New Roman" w:hAnsi="Times New Roman" w:cs="Times New Roman"/>
          <w:b/>
          <w:sz w:val="24"/>
          <w:szCs w:val="24"/>
          <w:u w:val="single"/>
        </w:rPr>
      </w:pPr>
    </w:p>
    <w:p w:rsidR="00094326" w:rsidRPr="00DC09DE" w:rsidP="00597DF1">
      <w:pPr>
        <w:pStyle w:val="CommentText"/>
        <w:jc w:val="center"/>
        <w:rPr>
          <w:rFonts w:ascii="Times New Roman" w:hAnsi="Times New Roman" w:cs="Times New Roman"/>
          <w:b/>
          <w:sz w:val="24"/>
          <w:szCs w:val="24"/>
          <w:u w:val="single"/>
        </w:rPr>
      </w:pPr>
    </w:p>
    <w:p w:rsidR="00AC7CF1" w:rsidRPr="00DC09DE" w:rsidP="00597DF1">
      <w:pPr>
        <w:pStyle w:val="CommentText"/>
        <w:jc w:val="center"/>
        <w:rPr>
          <w:rFonts w:ascii="Times New Roman" w:hAnsi="Times New Roman" w:cs="Times New Roman"/>
          <w:b/>
          <w:sz w:val="24"/>
          <w:szCs w:val="24"/>
          <w:u w:val="single"/>
        </w:rPr>
      </w:pPr>
      <w:r w:rsidRPr="00DC09DE">
        <w:rPr>
          <w:rFonts w:ascii="Times New Roman" w:hAnsi="Times New Roman" w:cs="Times New Roman"/>
          <w:b/>
          <w:sz w:val="24"/>
          <w:szCs w:val="24"/>
          <w:u w:val="single"/>
        </w:rPr>
        <w:t>SERVICE LIST</w:t>
      </w:r>
    </w:p>
    <w:tbl>
      <w:tblPr>
        <w:tblW w:w="0" w:type="auto"/>
        <w:tblLook w:val="04A0"/>
      </w:tblPr>
      <w:tblGrid>
        <w:gridCol w:w="4386"/>
        <w:gridCol w:w="4254"/>
      </w:tblGrid>
      <w:tr w:rsidTr="00420661">
        <w:tblPrEx>
          <w:tblW w:w="0" w:type="auto"/>
          <w:tblLook w:val="04A0"/>
        </w:tblPrEx>
        <w:tc>
          <w:tcPr>
            <w:tcW w:w="4386" w:type="dxa"/>
            <w:shd w:val="clear" w:color="auto" w:fill="auto"/>
          </w:tcPr>
          <w:p w:rsidR="004E3331" w:rsidRPr="00DC09DE" w:rsidP="00421C71">
            <w:pPr>
              <w:pStyle w:val="CommentText"/>
              <w:rPr>
                <w:rFonts w:ascii="Times New Roman" w:hAnsi="Times New Roman" w:cs="Times New Roman"/>
                <w:sz w:val="24"/>
                <w:szCs w:val="24"/>
              </w:rPr>
            </w:pPr>
            <w:r>
              <w:fldChar w:fldCharType="begin"/>
            </w:r>
            <w:r>
              <w:instrText xml:space="preserve"> HYPERLINK "mailto:Steven.beeler@ohioattorneygeneral.gov" </w:instrText>
            </w:r>
            <w:r>
              <w:fldChar w:fldCharType="separate"/>
            </w:r>
            <w:r w:rsidRPr="00DC09DE" w:rsidR="00761188">
              <w:rPr>
                <w:rStyle w:val="Hyperlink"/>
                <w:rFonts w:ascii="Times New Roman" w:hAnsi="Times New Roman" w:cs="Times New Roman"/>
                <w:sz w:val="24"/>
                <w:szCs w:val="24"/>
              </w:rPr>
              <w:t>Steven.beeler@ohioattorneygeneral.gov</w:t>
            </w:r>
            <w:r>
              <w:fldChar w:fldCharType="end"/>
            </w:r>
          </w:p>
          <w:p w:rsidR="00AC7CF1" w:rsidRPr="00DC09DE" w:rsidP="00421C71">
            <w:pPr>
              <w:pStyle w:val="CommentText"/>
              <w:rPr>
                <w:rFonts w:ascii="Times New Roman" w:hAnsi="Times New Roman" w:cs="Times New Roman"/>
                <w:sz w:val="24"/>
                <w:szCs w:val="24"/>
              </w:rPr>
            </w:pPr>
            <w:r w:rsidRPr="00DC09DE">
              <w:rPr>
                <w:rFonts w:ascii="Times New Roman" w:hAnsi="Times New Roman" w:cs="Times New Roman"/>
                <w:sz w:val="24"/>
                <w:szCs w:val="24"/>
              </w:rPr>
              <w:t>Attorney Examiners:</w:t>
            </w:r>
          </w:p>
          <w:p w:rsidR="00AC7CF1" w:rsidRPr="00DC09DE" w:rsidP="00421C71">
            <w:pPr>
              <w:pStyle w:val="CommentText"/>
              <w:spacing w:after="0"/>
              <w:rPr>
                <w:rStyle w:val="Hyperlink"/>
                <w:rFonts w:ascii="Times New Roman" w:hAnsi="Times New Roman" w:cs="Times New Roman"/>
                <w:color w:val="0000FF"/>
                <w:sz w:val="24"/>
                <w:szCs w:val="24"/>
              </w:rPr>
            </w:pPr>
            <w:r>
              <w:fldChar w:fldCharType="begin"/>
            </w:r>
            <w:r>
              <w:instrText xml:space="preserve"> HYPERLINK "mailto:Stacie.cathcart@puc.state.oh.us" </w:instrText>
            </w:r>
            <w:r>
              <w:fldChar w:fldCharType="separate"/>
            </w:r>
            <w:r w:rsidRPr="00DC09DE" w:rsidR="00761188">
              <w:rPr>
                <w:rStyle w:val="Hyperlink"/>
                <w:rFonts w:ascii="Times New Roman" w:hAnsi="Times New Roman" w:cs="Times New Roman"/>
                <w:color w:val="0000FF"/>
                <w:sz w:val="24"/>
                <w:szCs w:val="24"/>
              </w:rPr>
              <w:t>lauren.augostini@puco.ohio.gov</w:t>
            </w:r>
            <w:r>
              <w:fldChar w:fldCharType="end"/>
            </w:r>
          </w:p>
          <w:p w:rsidR="00AC7CF1" w:rsidRPr="00DC09DE" w:rsidP="00421C71">
            <w:pPr>
              <w:pStyle w:val="CommentText"/>
              <w:spacing w:after="0"/>
              <w:rPr>
                <w:rStyle w:val="Hyperlink"/>
                <w:rFonts w:ascii="Times New Roman" w:hAnsi="Times New Roman" w:cs="Times New Roman"/>
                <w:color w:val="0000FF"/>
                <w:sz w:val="24"/>
                <w:szCs w:val="24"/>
              </w:rPr>
            </w:pPr>
            <w:r>
              <w:fldChar w:fldCharType="begin"/>
            </w:r>
            <w:r>
              <w:instrText xml:space="preserve"> HYPERLINK "mailto:Nicholas.walstra@puco.ohio.gov" </w:instrText>
            </w:r>
            <w:r>
              <w:fldChar w:fldCharType="separate"/>
            </w:r>
            <w:r w:rsidRPr="00DC09DE" w:rsidR="00761188">
              <w:rPr>
                <w:rStyle w:val="Hyperlink"/>
                <w:rFonts w:ascii="Times New Roman" w:hAnsi="Times New Roman" w:cs="Times New Roman"/>
                <w:sz w:val="24"/>
                <w:szCs w:val="24"/>
              </w:rPr>
              <w:t>Nicholas.walstra@puco.ohio.gov</w:t>
            </w:r>
            <w:r>
              <w:fldChar w:fldCharType="end"/>
            </w:r>
          </w:p>
          <w:p w:rsidR="004E3331" w:rsidRPr="00DC09DE" w:rsidP="00421C71">
            <w:pPr>
              <w:pStyle w:val="CommentText"/>
              <w:spacing w:after="0"/>
              <w:rPr>
                <w:rFonts w:ascii="Times New Roman" w:hAnsi="Times New Roman" w:cs="Times New Roman"/>
                <w:sz w:val="24"/>
                <w:szCs w:val="24"/>
              </w:rPr>
            </w:pPr>
          </w:p>
          <w:p w:rsidR="00AC7CF1" w:rsidRPr="00DC09DE" w:rsidP="00421C71">
            <w:pPr>
              <w:pStyle w:val="CommentText"/>
              <w:rPr>
                <w:rFonts w:ascii="Times New Roman" w:hAnsi="Times New Roman" w:cs="Times New Roman"/>
                <w:sz w:val="24"/>
                <w:szCs w:val="24"/>
              </w:rPr>
            </w:pPr>
          </w:p>
        </w:tc>
        <w:tc>
          <w:tcPr>
            <w:tcW w:w="4254" w:type="dxa"/>
            <w:shd w:val="clear" w:color="auto" w:fill="auto"/>
          </w:tcPr>
          <w:p w:rsidR="00AC7CF1" w:rsidRPr="00DC09DE" w:rsidP="00421C71">
            <w:pPr>
              <w:pStyle w:val="BodyText"/>
              <w:spacing w:line="240" w:lineRule="auto"/>
              <w:ind w:left="432"/>
              <w:jc w:val="both"/>
              <w:rPr>
                <w:color w:val="0000FF"/>
                <w:szCs w:val="24"/>
              </w:rPr>
            </w:pPr>
            <w:r>
              <w:fldChar w:fldCharType="begin"/>
            </w:r>
            <w:r>
              <w:instrText xml:space="preserve"> HYPERLINK "mailto:Elizabeth.Watts@duke-energy.com" </w:instrText>
            </w:r>
            <w:r>
              <w:fldChar w:fldCharType="separate"/>
            </w:r>
            <w:r w:rsidRPr="00DC09DE" w:rsidR="00761188">
              <w:rPr>
                <w:rStyle w:val="Hyperlink"/>
                <w:color w:val="0000FF"/>
                <w:szCs w:val="24"/>
              </w:rPr>
              <w:t>Elizabeth.Watts@duke-energy.com</w:t>
            </w:r>
            <w:r>
              <w:fldChar w:fldCharType="end"/>
            </w:r>
          </w:p>
          <w:p w:rsidR="00AC7CF1" w:rsidRPr="00DC09DE" w:rsidP="00421C71">
            <w:pPr>
              <w:pStyle w:val="BodyText"/>
              <w:spacing w:line="240" w:lineRule="auto"/>
              <w:ind w:left="432"/>
              <w:jc w:val="both"/>
              <w:rPr>
                <w:bCs/>
                <w:szCs w:val="24"/>
              </w:rPr>
            </w:pPr>
            <w:r>
              <w:fldChar w:fldCharType="begin"/>
            </w:r>
            <w:r>
              <w:instrText xml:space="preserve"> HYPERLINK "mailto:Jeanne.kingery@duke-energy.com" </w:instrText>
            </w:r>
            <w:r>
              <w:fldChar w:fldCharType="separate"/>
            </w:r>
            <w:r w:rsidRPr="00DC09DE" w:rsidR="00761188">
              <w:rPr>
                <w:rStyle w:val="Hyperlink"/>
                <w:bCs/>
                <w:color w:val="0000FF"/>
                <w:szCs w:val="24"/>
              </w:rPr>
              <w:t>Jeanne.kingery@duke-energy.com</w:t>
            </w:r>
            <w:r>
              <w:fldChar w:fldCharType="end"/>
            </w:r>
          </w:p>
          <w:p w:rsidR="00AC7CF1" w:rsidRPr="00DC09DE" w:rsidP="00421C71">
            <w:pPr>
              <w:pStyle w:val="BodyText"/>
              <w:spacing w:line="240" w:lineRule="auto"/>
              <w:ind w:left="432"/>
              <w:jc w:val="both"/>
              <w:rPr>
                <w:bCs/>
                <w:szCs w:val="24"/>
              </w:rPr>
            </w:pPr>
            <w:r>
              <w:fldChar w:fldCharType="begin"/>
            </w:r>
            <w:r>
              <w:instrText xml:space="preserve"> HYPERLINK "mailto:Rocco.dascenzo@duke-energy.com" </w:instrText>
            </w:r>
            <w:r>
              <w:fldChar w:fldCharType="separate"/>
            </w:r>
            <w:r w:rsidRPr="00DC09DE" w:rsidR="00761188">
              <w:rPr>
                <w:rStyle w:val="Hyperlink"/>
                <w:bCs/>
                <w:color w:val="0000FF"/>
                <w:szCs w:val="24"/>
              </w:rPr>
              <w:t>Rocco.dascenzo@duke-energy.com</w:t>
            </w:r>
            <w:r>
              <w:fldChar w:fldCharType="end"/>
            </w:r>
          </w:p>
          <w:p w:rsidR="00AC7CF1" w:rsidRPr="00DC09DE" w:rsidP="00421C71">
            <w:pPr>
              <w:pStyle w:val="BodyText"/>
              <w:spacing w:line="240" w:lineRule="auto"/>
              <w:ind w:left="432"/>
              <w:jc w:val="both"/>
              <w:rPr>
                <w:bCs/>
                <w:szCs w:val="24"/>
              </w:rPr>
            </w:pPr>
          </w:p>
          <w:p w:rsidR="00AC7CF1" w:rsidRPr="00DC09DE" w:rsidP="00421C71">
            <w:pPr>
              <w:pStyle w:val="BodyText"/>
              <w:spacing w:line="240" w:lineRule="auto"/>
              <w:jc w:val="both"/>
              <w:rPr>
                <w:b/>
                <w:bCs/>
                <w:szCs w:val="24"/>
              </w:rPr>
            </w:pPr>
          </w:p>
          <w:p w:rsidR="00AC7CF1" w:rsidRPr="00DC09DE" w:rsidP="00421C71">
            <w:pPr>
              <w:pStyle w:val="CommentText"/>
              <w:rPr>
                <w:rFonts w:ascii="Times New Roman" w:hAnsi="Times New Roman" w:cs="Times New Roman"/>
                <w:sz w:val="24"/>
                <w:szCs w:val="24"/>
              </w:rPr>
            </w:pPr>
          </w:p>
        </w:tc>
      </w:tr>
    </w:tbl>
    <w:p w:rsidR="003C1393" w:rsidRPr="00DC09DE" w:rsidP="003C1393">
      <w:pPr>
        <w:spacing w:line="480" w:lineRule="auto"/>
        <w:ind w:left="720" w:firstLine="360"/>
        <w:rPr>
          <w:iCs/>
        </w:rPr>
      </w:pPr>
    </w:p>
    <w:sectPr w:rsidSect="00996817">
      <w:headerReference w:type="default" r:id="rId7"/>
      <w:footerReference w:type="default" r:id="rId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6817">
    <w:pPr>
      <w:pStyle w:val="Footer"/>
      <w:jc w:val="center"/>
    </w:pPr>
  </w:p>
  <w:p w:rsidR="00AB47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1378571"/>
      <w:docPartObj>
        <w:docPartGallery w:val="Page Numbers (Bottom of Page)"/>
        <w:docPartUnique/>
      </w:docPartObj>
    </w:sdtPr>
    <w:sdtEndPr>
      <w:rPr>
        <w:noProof/>
      </w:rPr>
    </w:sdtEndPr>
    <w:sdtContent>
      <w:p w:rsidR="009968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96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77033116"/>
      <w:docPartObj>
        <w:docPartGallery w:val="Page Numbers (Bottom of Page)"/>
        <w:docPartUnique/>
      </w:docPartObj>
    </w:sdtPr>
    <w:sdtEndPr>
      <w:rPr>
        <w:noProof/>
      </w:rPr>
    </w:sdtEndPr>
    <w:sdtContent>
      <w:p w:rsidR="009968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96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5597" w:rsidP="00812382">
      <w:r>
        <w:separator/>
      </w:r>
    </w:p>
  </w:footnote>
  <w:footnote w:type="continuationSeparator" w:id="1">
    <w:p w:rsidR="00845597" w:rsidP="00812382">
      <w:r>
        <w:continuationSeparator/>
      </w:r>
    </w:p>
  </w:footnote>
  <w:footnote w:id="2">
    <w:p w:rsidR="005E71EB" w:rsidP="005E71EB">
      <w:pPr>
        <w:pStyle w:val="FootnoteText"/>
      </w:pPr>
      <w:r>
        <w:rPr>
          <w:rStyle w:val="FootnoteReference"/>
        </w:rPr>
        <w:footnoteRef/>
      </w:r>
      <w:r>
        <w:t xml:space="preserve"> OCC’s motion to intervene was granted in the Entry. </w:t>
      </w:r>
    </w:p>
  </w:footnote>
  <w:footnote w:id="3">
    <w:p w:rsidR="00024B75" w:rsidRPr="00D4111E" w:rsidP="00024B75">
      <w:pPr>
        <w:pStyle w:val="FootnoteText"/>
      </w:pPr>
      <w:r>
        <w:rPr>
          <w:rStyle w:val="FootnoteReference"/>
        </w:rPr>
        <w:footnoteRef/>
      </w:r>
      <w:r>
        <w:t xml:space="preserve"> </w:t>
      </w:r>
      <w:r>
        <w:rPr>
          <w:i/>
          <w:iCs/>
        </w:rPr>
        <w:t xml:space="preserve">See, e.g., </w:t>
      </w:r>
      <w:r>
        <w:t>OCC’s Initial Brief at 11-13.</w:t>
      </w:r>
    </w:p>
  </w:footnote>
  <w:footnote w:id="4">
    <w:p w:rsidR="00CC04B1" w:rsidRPr="00CC04B1">
      <w:pPr>
        <w:pStyle w:val="FootnoteText"/>
      </w:pPr>
      <w:r>
        <w:rPr>
          <w:rStyle w:val="FootnoteReference"/>
        </w:rPr>
        <w:footnoteRef/>
      </w:r>
      <w:r>
        <w:t xml:space="preserve"> The Distribution Charge was approved as a rider in Duke’s electric security plan case.  </w:t>
      </w:r>
      <w:r>
        <w:rPr>
          <w:i/>
          <w:iCs/>
        </w:rPr>
        <w:t xml:space="preserve">See </w:t>
      </w:r>
      <w:r>
        <w:t>Case No. 14-841-EL-SSO.</w:t>
      </w:r>
    </w:p>
  </w:footnote>
  <w:footnote w:id="5">
    <w:p w:rsidR="00CC04B1">
      <w:pPr>
        <w:pStyle w:val="FootnoteText"/>
      </w:pPr>
      <w:r>
        <w:rPr>
          <w:rStyle w:val="FootnoteReference"/>
        </w:rPr>
        <w:footnoteRef/>
      </w:r>
      <w:r>
        <w:t xml:space="preserve"> Enumerates state policy requiring utilities to provide consumers with adequate, reliable, safe, efficient, nondiscriminatory, and reasonably priced retail electric service.</w:t>
      </w:r>
    </w:p>
  </w:footnote>
  <w:footnote w:id="6">
    <w:p w:rsidR="00CC04B1">
      <w:pPr>
        <w:pStyle w:val="FootnoteText"/>
      </w:pPr>
      <w:r>
        <w:rPr>
          <w:rStyle w:val="FootnoteReference"/>
        </w:rPr>
        <w:footnoteRef/>
      </w:r>
      <w:r>
        <w:t xml:space="preserve"> Permits utilities to charge only just and reasonable rates.</w:t>
      </w:r>
    </w:p>
  </w:footnote>
  <w:footnote w:id="7">
    <w:p w:rsidR="005B69C8" w:rsidRPr="005B69C8">
      <w:pPr>
        <w:pStyle w:val="FootnoteText"/>
      </w:pPr>
      <w:r>
        <w:rPr>
          <w:rStyle w:val="FootnoteReference"/>
        </w:rPr>
        <w:footnoteRef/>
      </w:r>
      <w:r>
        <w:t xml:space="preserve"> </w:t>
      </w:r>
      <w:r>
        <w:rPr>
          <w:i/>
          <w:iCs/>
        </w:rPr>
        <w:t xml:space="preserve">See </w:t>
      </w:r>
      <w:r>
        <w:t>Entry at 10.</w:t>
      </w:r>
    </w:p>
  </w:footnote>
  <w:footnote w:id="8">
    <w:p w:rsidR="005B69C8" w:rsidRPr="005B69C8">
      <w:pPr>
        <w:pStyle w:val="FootnoteText"/>
      </w:pPr>
      <w:r>
        <w:rPr>
          <w:rStyle w:val="FootnoteReference"/>
        </w:rPr>
        <w:footnoteRef/>
      </w:r>
      <w:r>
        <w:t xml:space="preserve"> </w:t>
      </w:r>
      <w:r>
        <w:rPr>
          <w:i/>
          <w:iCs/>
        </w:rPr>
        <w:t>In re Commission Review of the Capacity Charges of Ohio Power Co.</w:t>
      </w:r>
      <w:r>
        <w:t>, 147 Ohio St. 3d 59, 70-71 (2016).</w:t>
      </w:r>
    </w:p>
  </w:footnote>
  <w:footnote w:id="9">
    <w:p w:rsidR="00BC540B" w:rsidRPr="00BC540B">
      <w:pPr>
        <w:pStyle w:val="FootnoteText"/>
      </w:pPr>
      <w:r>
        <w:rPr>
          <w:rStyle w:val="FootnoteReference"/>
        </w:rPr>
        <w:footnoteRef/>
      </w:r>
      <w:r>
        <w:t xml:space="preserve"> </w:t>
      </w:r>
      <w:r>
        <w:rPr>
          <w:i/>
          <w:iCs/>
        </w:rPr>
        <w:t xml:space="preserve">See </w:t>
      </w:r>
      <w:r>
        <w:t>Entry at 10.</w:t>
      </w:r>
    </w:p>
  </w:footnote>
  <w:footnote w:id="10">
    <w:p w:rsidR="00BC540B" w:rsidRPr="00BC540B">
      <w:pPr>
        <w:pStyle w:val="FootnoteText"/>
      </w:pPr>
      <w:r>
        <w:rPr>
          <w:rStyle w:val="FootnoteReference"/>
        </w:rPr>
        <w:footnoteRef/>
      </w:r>
      <w:r>
        <w:t xml:space="preserve"> </w:t>
      </w:r>
      <w:r>
        <w:rPr>
          <w:i/>
          <w:iCs/>
        </w:rPr>
        <w:t xml:space="preserve">See </w:t>
      </w:r>
      <w:r>
        <w:t>Hearing Transcript at 33.</w:t>
      </w:r>
    </w:p>
  </w:footnote>
  <w:footnote w:id="11">
    <w:p w:rsidR="004E02B9" w:rsidRPr="004E02B9">
      <w:pPr>
        <w:pStyle w:val="FootnoteText"/>
      </w:pPr>
      <w:r>
        <w:rPr>
          <w:rStyle w:val="FootnoteReference"/>
        </w:rPr>
        <w:footnoteRef/>
      </w:r>
      <w:r>
        <w:t xml:space="preserve"> </w:t>
      </w:r>
      <w:r>
        <w:rPr>
          <w:i/>
          <w:iCs/>
        </w:rPr>
        <w:t xml:space="preserve">See, e.g., </w:t>
      </w:r>
      <w:r>
        <w:t xml:space="preserve">R.C. 4903.09; </w:t>
      </w:r>
      <w:r>
        <w:rPr>
          <w:i/>
          <w:iCs/>
        </w:rPr>
        <w:t>OCC v. PUC</w:t>
      </w:r>
      <w:r>
        <w:t>, 111 Ohio St.3d 300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4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3135B"/>
    <w:multiLevelType w:val="hybridMultilevel"/>
    <w:tmpl w:val="8CD655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1C02444"/>
    <w:multiLevelType w:val="hybridMultilevel"/>
    <w:tmpl w:val="4DEA8A40"/>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8176B6"/>
    <w:multiLevelType w:val="hybridMultilevel"/>
    <w:tmpl w:val="88FCA3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0283A0C"/>
    <w:multiLevelType w:val="hybridMultilevel"/>
    <w:tmpl w:val="A65A5C4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31320114"/>
    <w:multiLevelType w:val="hybridMultilevel"/>
    <w:tmpl w:val="97784D7A"/>
    <w:lvl w:ilvl="0">
      <w:start w:val="1"/>
      <w:numFmt w:val="decimal"/>
      <w:lvlText w:val="%1."/>
      <w:lvlJc w:val="left"/>
      <w:pPr>
        <w:ind w:left="108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55957C4"/>
    <w:multiLevelType w:val="hybridMultilevel"/>
    <w:tmpl w:val="EEBE7DFA"/>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E42D1C"/>
    <w:multiLevelType w:val="hybridMultilevel"/>
    <w:tmpl w:val="03460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D737091"/>
    <w:multiLevelType w:val="hybridMultilevel"/>
    <w:tmpl w:val="70026CEA"/>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E7B092C"/>
    <w:multiLevelType w:val="hybridMultilevel"/>
    <w:tmpl w:val="F0104B6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743F06"/>
    <w:multiLevelType w:val="hybridMultilevel"/>
    <w:tmpl w:val="C010A1AC"/>
    <w:lvl w:ilvl="0">
      <w:start w:val="1"/>
      <w:numFmt w:val="upperRoman"/>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5CE611D"/>
    <w:multiLevelType w:val="hybridMultilevel"/>
    <w:tmpl w:val="D24AEF9C"/>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B2E121B"/>
    <w:multiLevelType w:val="hybridMultilevel"/>
    <w:tmpl w:val="3A7042E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D772DEE"/>
    <w:multiLevelType w:val="hybridMultilevel"/>
    <w:tmpl w:val="B050A14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0095225"/>
    <w:multiLevelType w:val="hybridMultilevel"/>
    <w:tmpl w:val="DE420A5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41E72EE"/>
    <w:multiLevelType w:val="hybridMultilevel"/>
    <w:tmpl w:val="C742C9D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7A7360AA"/>
    <w:multiLevelType w:val="hybridMultilevel"/>
    <w:tmpl w:val="673027D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7"/>
  </w:num>
  <w:num w:numId="5">
    <w:abstractNumId w:val="12"/>
  </w:num>
  <w:num w:numId="6">
    <w:abstractNumId w:val="11"/>
  </w:num>
  <w:num w:numId="7">
    <w:abstractNumId w:val="6"/>
  </w:num>
  <w:num w:numId="8">
    <w:abstractNumId w:val="10"/>
  </w:num>
  <w:num w:numId="9">
    <w:abstractNumId w:val="3"/>
  </w:num>
  <w:num w:numId="10">
    <w:abstractNumId w:val="14"/>
  </w:num>
  <w:num w:numId="11">
    <w:abstractNumId w:val="13"/>
  </w:num>
  <w:num w:numId="12">
    <w:abstractNumId w:val="15"/>
  </w:num>
  <w:num w:numId="13">
    <w:abstractNumId w:val="9"/>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3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761188"/>
    <w:pPr>
      <w:keepNext/>
      <w:keepLines/>
      <w:numPr>
        <w:numId w:val="16"/>
      </w:numPr>
      <w:spacing w:after="240"/>
      <w:ind w:left="720"/>
      <w:outlineLvl w:val="0"/>
    </w:pPr>
    <w:rPr>
      <w:rFonts w:ascii="Times New Roman Bold" w:hAnsi="Times New Roman Bold" w:eastAsiaTheme="majorEastAsia"/>
      <w:b/>
      <w:bCs/>
      <w:caps/>
    </w:rPr>
  </w:style>
  <w:style w:type="paragraph" w:styleId="Heading2">
    <w:name w:val="heading 2"/>
    <w:basedOn w:val="Normal"/>
    <w:next w:val="Normal"/>
    <w:link w:val="Heading2Char"/>
    <w:autoRedefine/>
    <w:uiPriority w:val="9"/>
    <w:unhideWhenUsed/>
    <w:qFormat/>
    <w:rsid w:val="009947C8"/>
    <w:pPr>
      <w:keepNext/>
      <w:keepLines/>
      <w:spacing w:after="24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autoRedefine/>
    <w:uiPriority w:val="9"/>
    <w:unhideWhenUsed/>
    <w:qFormat/>
    <w:rsid w:val="00AB47ED"/>
    <w:pPr>
      <w:keepNext/>
      <w:keepLines/>
      <w:spacing w:after="240"/>
      <w:ind w:left="1440" w:hanging="720"/>
      <w:outlineLvl w:val="2"/>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 Char,Char"/>
    <w:basedOn w:val="Normal"/>
    <w:link w:val="HTMLPreformattedChar"/>
    <w:rsid w:val="00812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812382"/>
    <w:rPr>
      <w:rFonts w:ascii="Courier New" w:eastAsia="Times New Roman" w:hAnsi="Courier New" w:cs="Courier New"/>
      <w:sz w:val="20"/>
      <w:szCs w:val="20"/>
    </w:rPr>
  </w:style>
  <w:style w:type="paragraph" w:styleId="ListParagraph">
    <w:name w:val="List Paragraph"/>
    <w:basedOn w:val="Normal"/>
    <w:uiPriority w:val="34"/>
    <w:qFormat/>
    <w:rsid w:val="00812382"/>
    <w:pPr>
      <w:ind w:left="720"/>
      <w:contextualSpacing/>
    </w:p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fn"/>
    <w:basedOn w:val="Normal"/>
    <w:link w:val="FootnoteTextChar"/>
    <w:rsid w:val="00812382"/>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fn Char"/>
    <w:basedOn w:val="DefaultParagraphFont"/>
    <w:link w:val="FootnoteText"/>
    <w:rsid w:val="00812382"/>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rsid w:val="00812382"/>
    <w:rPr>
      <w:vertAlign w:val="superscript"/>
    </w:rPr>
  </w:style>
  <w:style w:type="paragraph" w:styleId="Header">
    <w:name w:val="header"/>
    <w:basedOn w:val="Normal"/>
    <w:link w:val="HeaderChar"/>
    <w:uiPriority w:val="99"/>
    <w:unhideWhenUsed/>
    <w:rsid w:val="00053878"/>
    <w:pPr>
      <w:tabs>
        <w:tab w:val="center" w:pos="4680"/>
        <w:tab w:val="right" w:pos="9360"/>
      </w:tabs>
    </w:pPr>
  </w:style>
  <w:style w:type="character" w:customStyle="1" w:styleId="HeaderChar">
    <w:name w:val="Header Char"/>
    <w:basedOn w:val="DefaultParagraphFont"/>
    <w:link w:val="Header"/>
    <w:uiPriority w:val="99"/>
    <w:rsid w:val="0005387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3878"/>
    <w:pPr>
      <w:tabs>
        <w:tab w:val="center" w:pos="4680"/>
        <w:tab w:val="right" w:pos="9360"/>
      </w:tabs>
    </w:pPr>
  </w:style>
  <w:style w:type="character" w:customStyle="1" w:styleId="FooterChar">
    <w:name w:val="Footer Char"/>
    <w:basedOn w:val="DefaultParagraphFont"/>
    <w:link w:val="Footer"/>
    <w:uiPriority w:val="99"/>
    <w:rsid w:val="00053878"/>
    <w:rPr>
      <w:rFonts w:ascii="Times New Roman" w:eastAsia="Times New Roman" w:hAnsi="Times New Roman" w:cs="Times New Roman"/>
      <w:sz w:val="24"/>
      <w:szCs w:val="24"/>
    </w:rPr>
  </w:style>
  <w:style w:type="paragraph" w:styleId="Title">
    <w:name w:val="Title"/>
    <w:basedOn w:val="Normal"/>
    <w:link w:val="TitleChar"/>
    <w:qFormat/>
    <w:rsid w:val="006C1ABB"/>
    <w:pPr>
      <w:jc w:val="center"/>
    </w:pPr>
    <w:rPr>
      <w:b/>
      <w:sz w:val="22"/>
      <w:szCs w:val="20"/>
    </w:rPr>
  </w:style>
  <w:style w:type="character" w:customStyle="1" w:styleId="TitleChar">
    <w:name w:val="Title Char"/>
    <w:basedOn w:val="DefaultParagraphFont"/>
    <w:link w:val="Title"/>
    <w:rsid w:val="006C1ABB"/>
    <w:rPr>
      <w:rFonts w:ascii="Times New Roman" w:eastAsia="Times New Roman" w:hAnsi="Times New Roman" w:cs="Times New Roman"/>
      <w:b/>
      <w:szCs w:val="20"/>
    </w:rPr>
  </w:style>
  <w:style w:type="character" w:customStyle="1" w:styleId="Heading1Char">
    <w:name w:val="Heading 1 Char"/>
    <w:basedOn w:val="DefaultParagraphFont"/>
    <w:link w:val="Heading1"/>
    <w:uiPriority w:val="9"/>
    <w:rsid w:val="00761188"/>
    <w:rPr>
      <w:rFonts w:ascii="Times New Roman Bold" w:hAnsi="Times New Roman Bold" w:eastAsiaTheme="majorEastAsia" w:cs="Times New Roman"/>
      <w:b/>
      <w:bCs/>
      <w:caps/>
      <w:sz w:val="24"/>
      <w:szCs w:val="24"/>
    </w:rPr>
  </w:style>
  <w:style w:type="character" w:customStyle="1" w:styleId="Heading2Char">
    <w:name w:val="Heading 2 Char"/>
    <w:basedOn w:val="DefaultParagraphFont"/>
    <w:link w:val="Heading2"/>
    <w:uiPriority w:val="9"/>
    <w:rsid w:val="009947C8"/>
    <w:rPr>
      <w:rFonts w:ascii="Times New Roman Bold" w:hAnsi="Times New Roman Bold" w:eastAsiaTheme="majorEastAsia" w:cstheme="majorBidi"/>
      <w:b/>
      <w:sz w:val="24"/>
      <w:szCs w:val="26"/>
    </w:rPr>
  </w:style>
  <w:style w:type="character" w:customStyle="1" w:styleId="Heading3Char">
    <w:name w:val="Heading 3 Char"/>
    <w:basedOn w:val="DefaultParagraphFont"/>
    <w:link w:val="Heading3"/>
    <w:uiPriority w:val="9"/>
    <w:rsid w:val="00AB47ED"/>
    <w:rPr>
      <w:rFonts w:ascii="Times New Roman Bold" w:hAnsi="Times New Roman Bold" w:eastAsiaTheme="majorEastAsia" w:cstheme="majorBidi"/>
      <w:b/>
      <w:sz w:val="24"/>
      <w:szCs w:val="24"/>
    </w:rPr>
  </w:style>
  <w:style w:type="paragraph" w:styleId="CommentText">
    <w:name w:val="annotation text"/>
    <w:basedOn w:val="Normal"/>
    <w:link w:val="CommentTextChar"/>
    <w:semiHidden/>
    <w:unhideWhenUsed/>
    <w:rsid w:val="00AC7CF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semiHidden/>
    <w:rsid w:val="00AC7CF1"/>
    <w:rPr>
      <w:sz w:val="20"/>
      <w:szCs w:val="20"/>
    </w:rPr>
  </w:style>
  <w:style w:type="character" w:styleId="Hyperlink">
    <w:name w:val="Hyperlink"/>
    <w:basedOn w:val="DefaultParagraphFont"/>
    <w:uiPriority w:val="99"/>
    <w:unhideWhenUsed/>
    <w:rsid w:val="00AC7CF1"/>
    <w:rPr>
      <w:color w:val="0563C1" w:themeColor="hyperlink"/>
      <w:u w:val="single"/>
    </w:rPr>
  </w:style>
  <w:style w:type="paragraph" w:styleId="BodyText">
    <w:name w:val="Body Text"/>
    <w:basedOn w:val="Normal"/>
    <w:link w:val="BodyTextChar"/>
    <w:rsid w:val="00AC7CF1"/>
    <w:pPr>
      <w:spacing w:line="480" w:lineRule="auto"/>
    </w:pPr>
    <w:rPr>
      <w:szCs w:val="20"/>
    </w:rPr>
  </w:style>
  <w:style w:type="character" w:customStyle="1" w:styleId="BodyTextChar">
    <w:name w:val="Body Text Char"/>
    <w:basedOn w:val="DefaultParagraphFont"/>
    <w:link w:val="BodyText"/>
    <w:rsid w:val="00AC7CF1"/>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AC7CF1"/>
    <w:rPr>
      <w:color w:val="605E5C"/>
      <w:shd w:val="clear" w:color="auto" w:fill="E1DFDD"/>
    </w:rPr>
  </w:style>
  <w:style w:type="paragraph" w:styleId="TOC1">
    <w:name w:val="toc 1"/>
    <w:basedOn w:val="Normal"/>
    <w:next w:val="Normal"/>
    <w:autoRedefine/>
    <w:uiPriority w:val="39"/>
    <w:unhideWhenUsed/>
    <w:qFormat/>
    <w:rsid w:val="00AC7CF1"/>
    <w:pPr>
      <w:spacing w:after="240"/>
      <w:ind w:left="720" w:hanging="720"/>
    </w:pPr>
  </w:style>
  <w:style w:type="paragraph" w:styleId="TOC2">
    <w:name w:val="toc 2"/>
    <w:basedOn w:val="Normal"/>
    <w:next w:val="Normal"/>
    <w:autoRedefine/>
    <w:uiPriority w:val="39"/>
    <w:unhideWhenUsed/>
    <w:qFormat/>
    <w:rsid w:val="00AC7CF1"/>
    <w:pPr>
      <w:spacing w:after="240"/>
      <w:ind w:left="1440" w:hanging="720"/>
    </w:pPr>
  </w:style>
  <w:style w:type="paragraph" w:styleId="TOC3">
    <w:name w:val="toc 3"/>
    <w:basedOn w:val="Normal"/>
    <w:next w:val="Normal"/>
    <w:autoRedefine/>
    <w:uiPriority w:val="39"/>
    <w:unhideWhenUsed/>
    <w:qFormat/>
    <w:rsid w:val="00AC7CF1"/>
    <w:pPr>
      <w:spacing w:after="240"/>
      <w:ind w:left="2160" w:hanging="720"/>
      <w:outlineLvl w:val="2"/>
    </w:pPr>
  </w:style>
  <w:style w:type="paragraph" w:styleId="BalloonText">
    <w:name w:val="Balloon Text"/>
    <w:basedOn w:val="Normal"/>
    <w:link w:val="BalloonTextChar"/>
    <w:uiPriority w:val="99"/>
    <w:semiHidden/>
    <w:unhideWhenUsed/>
    <w:rsid w:val="00DE5A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AC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F260A"/>
    <w:rPr>
      <w:sz w:val="16"/>
      <w:szCs w:val="16"/>
    </w:rPr>
  </w:style>
  <w:style w:type="paragraph" w:styleId="CommentSubject">
    <w:name w:val="annotation subject"/>
    <w:basedOn w:val="CommentText"/>
    <w:next w:val="CommentText"/>
    <w:link w:val="CommentSubjectChar"/>
    <w:uiPriority w:val="99"/>
    <w:semiHidden/>
    <w:unhideWhenUsed/>
    <w:rsid w:val="003F260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F260A"/>
    <w:rPr>
      <w:rFonts w:ascii="Times New Roman" w:eastAsia="Times New Roman" w:hAnsi="Times New Roman" w:cs="Times New Roman"/>
      <w:b/>
      <w:bCs/>
      <w:sz w:val="20"/>
      <w:szCs w:val="20"/>
    </w:rPr>
  </w:style>
  <w:style w:type="paragraph" w:styleId="Revision">
    <w:name w:val="Revision"/>
    <w:hidden/>
    <w:uiPriority w:val="99"/>
    <w:semiHidden/>
    <w:rsid w:val="000E2830"/>
    <w:p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5E71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71EB"/>
    <w:rPr>
      <w:rFonts w:ascii="Times New Roman" w:eastAsia="Times New Roman" w:hAnsi="Times New Roman" w:cs="Times New Roman"/>
      <w:sz w:val="16"/>
      <w:szCs w:val="16"/>
    </w:rPr>
  </w:style>
  <w:style w:type="character" w:styleId="Strong">
    <w:name w:val="Strong"/>
    <w:qFormat/>
    <w:rsid w:val="005E7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Duke DCI.docx</vt:lpstr>
    </vt:vector>
  </TitlesOfParts>
  <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2019-11-22T22:17:14Z</dcterms:created>
  <dcterms:modified xsi:type="dcterms:W3CDTF">2019-11-22T22:17:14Z</dcterms:modified>
</cp:coreProperties>
</file>