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00A2D" w:rsidRPr="007B3402" w:rsidP="006453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7B3402">
        <w:rPr>
          <w:rFonts w:ascii="Times New Roman" w:hAnsi="Times New Roman" w:cs="Times New Roman"/>
          <w:b/>
          <w:bCs/>
          <w:sz w:val="24"/>
          <w:szCs w:val="24"/>
        </w:rPr>
        <w:t>BEFORE</w:t>
      </w:r>
    </w:p>
    <w:p w:rsidR="00600A2D" w:rsidRPr="007B3402" w:rsidP="00600A2D">
      <w:pPr>
        <w:pStyle w:val="HTMLPreformatted"/>
        <w:jc w:val="center"/>
        <w:rPr>
          <w:rFonts w:ascii="Times New Roman" w:hAnsi="Times New Roman" w:cs="Times New Roman"/>
          <w:b/>
          <w:bCs/>
          <w:sz w:val="24"/>
          <w:szCs w:val="24"/>
        </w:rPr>
      </w:pPr>
      <w:r w:rsidRPr="007B3402">
        <w:rPr>
          <w:rFonts w:ascii="Times New Roman" w:hAnsi="Times New Roman" w:cs="Times New Roman"/>
          <w:b/>
          <w:bCs/>
          <w:sz w:val="24"/>
          <w:szCs w:val="24"/>
        </w:rPr>
        <w:t>THE PUBLIC UTILITIES COMMISSION OF OHIO</w:t>
      </w:r>
    </w:p>
    <w:p w:rsidR="00600A2D" w:rsidRPr="007B3402" w:rsidP="00600A2D">
      <w:pPr>
        <w:pStyle w:val="HTMLPreformatted"/>
        <w:jc w:val="center"/>
        <w:rPr>
          <w:rFonts w:ascii="Times New Roman" w:hAnsi="Times New Roman" w:cs="Times New Roman"/>
          <w:b/>
          <w:bCs/>
          <w:sz w:val="24"/>
          <w:szCs w:val="24"/>
        </w:rPr>
      </w:pPr>
    </w:p>
    <w:tbl>
      <w:tblPr>
        <w:tblW w:w="9998" w:type="dxa"/>
        <w:tblInd w:w="0" w:type="dxa"/>
        <w:tblCellMar>
          <w:top w:w="0" w:type="dxa"/>
          <w:left w:w="108" w:type="dxa"/>
          <w:bottom w:w="0" w:type="dxa"/>
          <w:right w:w="108" w:type="dxa"/>
        </w:tblCellMar>
        <w:tblLook w:val="01E0"/>
      </w:tblPr>
      <w:tblGrid>
        <w:gridCol w:w="5238"/>
        <w:gridCol w:w="360"/>
        <w:gridCol w:w="4400"/>
      </w:tblGrid>
      <w:tr w:rsidTr="00600A2D">
        <w:tblPrEx>
          <w:tblW w:w="9998" w:type="dxa"/>
          <w:tblInd w:w="0" w:type="dxa"/>
          <w:tblCellMar>
            <w:top w:w="0" w:type="dxa"/>
            <w:left w:w="108" w:type="dxa"/>
            <w:bottom w:w="0" w:type="dxa"/>
            <w:right w:w="108" w:type="dxa"/>
          </w:tblCellMar>
          <w:tblLook w:val="01E0"/>
        </w:tblPrEx>
        <w:trPr>
          <w:trHeight w:val="807"/>
        </w:trPr>
        <w:tc>
          <w:tcPr>
            <w:tcW w:w="5238" w:type="dxa"/>
            <w:shd w:val="clear" w:color="auto" w:fill="auto"/>
          </w:tcPr>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B3402">
              <w:rPr>
                <w:rFonts w:ascii="Times New Roman" w:eastAsia="Courier New" w:hAnsi="Times New Roman" w:cs="Times New Roman"/>
                <w:sz w:val="24"/>
                <w:szCs w:val="24"/>
                <w:lang w:val="en-US" w:eastAsia="en-US" w:bidi="ar-SA"/>
              </w:rPr>
              <w:t>In the Matter of the</w:t>
            </w:r>
            <w:r w:rsidRPr="007B3402" w:rsidR="00B20344">
              <w:rPr>
                <w:rFonts w:ascii="Times New Roman" w:eastAsia="Courier New" w:hAnsi="Times New Roman" w:cs="Times New Roman"/>
                <w:sz w:val="24"/>
                <w:szCs w:val="24"/>
                <w:lang w:val="en-US" w:eastAsia="en-US" w:bidi="ar-SA"/>
              </w:rPr>
              <w:t xml:space="preserve"> Annual</w:t>
            </w:r>
            <w:r w:rsidRPr="007B3402">
              <w:rPr>
                <w:rFonts w:ascii="Times New Roman" w:eastAsia="Courier New" w:hAnsi="Times New Roman" w:cs="Times New Roman"/>
                <w:sz w:val="24"/>
                <w:szCs w:val="24"/>
                <w:lang w:val="en-US" w:eastAsia="en-US" w:bidi="ar-SA"/>
              </w:rPr>
              <w:t xml:space="preserve"> </w:t>
            </w:r>
            <w:r w:rsidRPr="007B3402" w:rsidR="00480BA8">
              <w:rPr>
                <w:rFonts w:ascii="Times New Roman" w:eastAsia="Courier New" w:hAnsi="Times New Roman" w:cs="Times New Roman"/>
                <w:sz w:val="24"/>
                <w:szCs w:val="24"/>
                <w:lang w:val="en-US" w:eastAsia="en-US" w:bidi="ar-SA"/>
              </w:rPr>
              <w:t xml:space="preserve">Application of Columbia Gas of Ohio, Inc. for </w:t>
            </w:r>
            <w:r w:rsidRPr="007B3402" w:rsidR="00BA3A99">
              <w:rPr>
                <w:rFonts w:ascii="Times New Roman" w:eastAsia="Courier New" w:hAnsi="Times New Roman" w:cs="Times New Roman"/>
                <w:sz w:val="24"/>
                <w:szCs w:val="24"/>
                <w:lang w:val="en-US" w:eastAsia="en-US" w:bidi="ar-SA"/>
              </w:rPr>
              <w:t>Adjustment to the CEP Rider</w:t>
            </w:r>
            <w:r w:rsidRPr="007B3402">
              <w:rPr>
                <w:rFonts w:ascii="Times New Roman" w:eastAsia="Courier New" w:hAnsi="Times New Roman" w:cs="Times New Roman"/>
                <w:sz w:val="24"/>
                <w:szCs w:val="24"/>
                <w:lang w:val="en-US" w:eastAsia="en-US" w:bidi="ar-SA"/>
              </w:rPr>
              <w:t>.</w:t>
            </w:r>
          </w:p>
        </w:tc>
        <w:tc>
          <w:tcPr>
            <w:tcW w:w="360" w:type="dxa"/>
            <w:shd w:val="clear" w:color="auto" w:fill="auto"/>
          </w:tcPr>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B3402">
              <w:rPr>
                <w:rFonts w:ascii="Times New Roman" w:eastAsia="Courier New" w:hAnsi="Times New Roman" w:cs="Times New Roman"/>
                <w:sz w:val="24"/>
                <w:szCs w:val="24"/>
                <w:lang w:val="en-US" w:eastAsia="en-US" w:bidi="ar-SA"/>
              </w:rPr>
              <w:t>)</w:t>
            </w:r>
          </w:p>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B3402">
              <w:rPr>
                <w:rFonts w:ascii="Times New Roman" w:eastAsia="Courier New" w:hAnsi="Times New Roman" w:cs="Times New Roman"/>
                <w:sz w:val="24"/>
                <w:szCs w:val="24"/>
                <w:lang w:val="en-US" w:eastAsia="en-US" w:bidi="ar-SA"/>
              </w:rPr>
              <w:t>)</w:t>
            </w:r>
          </w:p>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B3402">
              <w:rPr>
                <w:rFonts w:ascii="Times New Roman" w:eastAsia="Courier New" w:hAnsi="Times New Roman" w:cs="Times New Roman"/>
                <w:sz w:val="24"/>
                <w:szCs w:val="24"/>
                <w:lang w:val="en-US" w:eastAsia="en-US" w:bidi="ar-SA"/>
              </w:rPr>
              <w:t>)</w:t>
            </w:r>
          </w:p>
        </w:tc>
        <w:tc>
          <w:tcPr>
            <w:tcW w:w="4400" w:type="dxa"/>
            <w:shd w:val="clear" w:color="auto" w:fill="auto"/>
          </w:tcPr>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B3402">
              <w:rPr>
                <w:rFonts w:ascii="Times New Roman" w:eastAsia="Courier New" w:hAnsi="Times New Roman" w:cs="Times New Roman"/>
                <w:sz w:val="24"/>
                <w:szCs w:val="24"/>
                <w:lang w:val="en-US" w:eastAsia="en-US" w:bidi="ar-SA"/>
              </w:rPr>
              <w:t>Case No. 1</w:t>
            </w:r>
            <w:r w:rsidRPr="007B3402" w:rsidR="00BA3A99">
              <w:rPr>
                <w:rFonts w:ascii="Times New Roman" w:eastAsia="Courier New" w:hAnsi="Times New Roman" w:cs="Times New Roman"/>
                <w:sz w:val="24"/>
                <w:szCs w:val="24"/>
                <w:lang w:val="en-US" w:eastAsia="en-US" w:bidi="ar-SA"/>
              </w:rPr>
              <w:t>9</w:t>
            </w:r>
            <w:r w:rsidRPr="007B3402">
              <w:rPr>
                <w:rFonts w:ascii="Times New Roman" w:eastAsia="Courier New" w:hAnsi="Times New Roman" w:cs="Times New Roman"/>
                <w:sz w:val="24"/>
                <w:szCs w:val="24"/>
                <w:lang w:val="en-US" w:eastAsia="en-US" w:bidi="ar-SA"/>
              </w:rPr>
              <w:t>-</w:t>
            </w:r>
            <w:r w:rsidRPr="007B3402" w:rsidR="00F140F8">
              <w:rPr>
                <w:rFonts w:ascii="Times New Roman" w:eastAsia="Courier New" w:hAnsi="Times New Roman" w:cs="Times New Roman"/>
                <w:sz w:val="24"/>
                <w:szCs w:val="24"/>
                <w:lang w:val="en-US" w:eastAsia="en-US" w:bidi="ar-SA"/>
              </w:rPr>
              <w:t>0</w:t>
            </w:r>
            <w:r w:rsidRPr="007B3402" w:rsidR="00BA3A99">
              <w:rPr>
                <w:rFonts w:ascii="Times New Roman" w:eastAsia="Courier New" w:hAnsi="Times New Roman" w:cs="Times New Roman"/>
                <w:sz w:val="24"/>
                <w:szCs w:val="24"/>
                <w:lang w:val="en-US" w:eastAsia="en-US" w:bidi="ar-SA"/>
              </w:rPr>
              <w:t>438</w:t>
            </w:r>
            <w:r w:rsidRPr="007B3402">
              <w:rPr>
                <w:rFonts w:ascii="Times New Roman" w:eastAsia="Courier New" w:hAnsi="Times New Roman" w:cs="Times New Roman"/>
                <w:sz w:val="24"/>
                <w:szCs w:val="24"/>
                <w:lang w:val="en-US" w:eastAsia="en-US" w:bidi="ar-SA"/>
              </w:rPr>
              <w:t>-</w:t>
            </w:r>
            <w:r w:rsidRPr="007B3402" w:rsidR="00480BA8">
              <w:rPr>
                <w:rFonts w:ascii="Times New Roman" w:eastAsia="Courier New" w:hAnsi="Times New Roman" w:cs="Times New Roman"/>
                <w:sz w:val="24"/>
                <w:szCs w:val="24"/>
                <w:lang w:val="en-US" w:eastAsia="en-US" w:bidi="ar-SA"/>
              </w:rPr>
              <w:t>GA</w:t>
            </w:r>
            <w:r w:rsidRPr="007B3402">
              <w:rPr>
                <w:rFonts w:ascii="Times New Roman" w:eastAsia="Courier New" w:hAnsi="Times New Roman" w:cs="Times New Roman"/>
                <w:sz w:val="24"/>
                <w:szCs w:val="24"/>
                <w:lang w:val="en-US" w:eastAsia="en-US" w:bidi="ar-SA"/>
              </w:rPr>
              <w:t>-</w:t>
            </w:r>
            <w:r w:rsidRPr="007B3402" w:rsidR="00BA3A99">
              <w:rPr>
                <w:rFonts w:ascii="Times New Roman" w:eastAsia="Courier New" w:hAnsi="Times New Roman" w:cs="Times New Roman"/>
                <w:sz w:val="24"/>
                <w:szCs w:val="24"/>
                <w:lang w:val="en-US" w:eastAsia="en-US" w:bidi="ar-SA"/>
              </w:rPr>
              <w:t>RDR</w:t>
            </w:r>
          </w:p>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00A2D" w:rsidRPr="007B3402" w:rsidP="00600A2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600A2D" w:rsidRPr="007B3402" w:rsidP="00600A2D">
      <w:pPr>
        <w:pStyle w:val="HTMLPreformatted"/>
        <w:pBdr>
          <w:bottom w:val="single" w:sz="12" w:space="1" w:color="auto"/>
        </w:pBdr>
        <w:rPr>
          <w:rFonts w:ascii="Times New Roman" w:hAnsi="Times New Roman" w:cs="Times New Roman"/>
          <w:b/>
          <w:bCs/>
          <w:sz w:val="24"/>
          <w:szCs w:val="24"/>
        </w:rPr>
      </w:pPr>
    </w:p>
    <w:p w:rsidR="00600A2D" w:rsidRPr="007B3402" w:rsidP="00600A2D">
      <w:pPr>
        <w:pStyle w:val="HTMLPreformatted"/>
        <w:rPr>
          <w:rFonts w:ascii="Times New Roman" w:hAnsi="Times New Roman" w:cs="Times New Roman"/>
          <w:b/>
          <w:bCs/>
          <w:i/>
          <w:sz w:val="24"/>
          <w:szCs w:val="24"/>
        </w:rPr>
      </w:pPr>
    </w:p>
    <w:p w:rsidR="00600A2D" w:rsidRPr="007B3402" w:rsidP="00600A2D">
      <w:pPr>
        <w:pStyle w:val="HTMLPreformatted"/>
        <w:pBdr>
          <w:bottom w:val="single" w:sz="12" w:space="1" w:color="auto"/>
        </w:pBdr>
        <w:jc w:val="center"/>
        <w:rPr>
          <w:rFonts w:ascii="Times New Roman" w:hAnsi="Times New Roman" w:cs="Times New Roman"/>
          <w:b/>
          <w:bCs/>
          <w:sz w:val="24"/>
          <w:szCs w:val="24"/>
        </w:rPr>
      </w:pPr>
      <w:bookmarkStart w:id="1" w:name="_Hlk526941395"/>
      <w:r w:rsidRPr="007B3402">
        <w:rPr>
          <w:rFonts w:ascii="Times New Roman" w:hAnsi="Times New Roman" w:cs="Times New Roman"/>
          <w:b/>
          <w:bCs/>
          <w:sz w:val="24"/>
          <w:szCs w:val="24"/>
        </w:rPr>
        <w:t xml:space="preserve">CONSUMER PROTECTION </w:t>
      </w:r>
      <w:r w:rsidRPr="007B3402" w:rsidR="00480BA8">
        <w:rPr>
          <w:rFonts w:ascii="Times New Roman" w:hAnsi="Times New Roman" w:cs="Times New Roman"/>
          <w:b/>
          <w:bCs/>
          <w:sz w:val="24"/>
          <w:szCs w:val="24"/>
        </w:rPr>
        <w:t xml:space="preserve">OBJECTIONS TO THE PUCO STAFF REPORT </w:t>
      </w:r>
    </w:p>
    <w:p w:rsidR="00600A2D" w:rsidRPr="007B3402" w:rsidP="00600A2D">
      <w:pPr>
        <w:pStyle w:val="HTMLPreformatted"/>
        <w:pBdr>
          <w:bottom w:val="single" w:sz="12" w:space="1" w:color="auto"/>
        </w:pBdr>
        <w:jc w:val="center"/>
        <w:rPr>
          <w:rFonts w:ascii="Times New Roman" w:hAnsi="Times New Roman" w:cs="Times New Roman"/>
          <w:b/>
          <w:bCs/>
          <w:sz w:val="24"/>
          <w:szCs w:val="24"/>
        </w:rPr>
      </w:pPr>
      <w:bookmarkEnd w:id="1"/>
      <w:r w:rsidRPr="007B3402">
        <w:rPr>
          <w:rFonts w:ascii="Times New Roman" w:hAnsi="Times New Roman" w:cs="Times New Roman"/>
          <w:b/>
          <w:bCs/>
          <w:sz w:val="24"/>
          <w:szCs w:val="24"/>
        </w:rPr>
        <w:t xml:space="preserve">BY </w:t>
      </w:r>
    </w:p>
    <w:p w:rsidR="00600A2D" w:rsidRPr="007B3402" w:rsidP="00600A2D">
      <w:pPr>
        <w:pStyle w:val="HTMLPreformatted"/>
        <w:pBdr>
          <w:bottom w:val="single" w:sz="12" w:space="1" w:color="auto"/>
        </w:pBdr>
        <w:jc w:val="center"/>
        <w:rPr>
          <w:rFonts w:ascii="Times New Roman" w:hAnsi="Times New Roman" w:cs="Times New Roman"/>
          <w:b/>
          <w:bCs/>
          <w:sz w:val="24"/>
          <w:szCs w:val="24"/>
        </w:rPr>
      </w:pPr>
      <w:r w:rsidRPr="007B3402">
        <w:rPr>
          <w:rFonts w:ascii="Times New Roman" w:hAnsi="Times New Roman" w:cs="Times New Roman"/>
          <w:b/>
          <w:bCs/>
          <w:sz w:val="24"/>
          <w:szCs w:val="24"/>
        </w:rPr>
        <w:t>THE OFFICE OF THE OHIO CONSUMERS' COUNSEL</w:t>
      </w:r>
    </w:p>
    <w:p w:rsidR="00600A2D" w:rsidRPr="007B3402" w:rsidP="00600A2D">
      <w:pPr>
        <w:pStyle w:val="HTMLPreformatted"/>
        <w:pBdr>
          <w:bottom w:val="single" w:sz="12" w:space="1" w:color="auto"/>
        </w:pBdr>
        <w:jc w:val="center"/>
        <w:rPr>
          <w:rFonts w:ascii="Times New Roman" w:hAnsi="Times New Roman" w:cs="Times New Roman"/>
          <w:b/>
          <w:bCs/>
          <w:sz w:val="24"/>
          <w:szCs w:val="24"/>
        </w:rPr>
      </w:pPr>
    </w:p>
    <w:p w:rsidR="00600A2D" w:rsidRPr="007B3402" w:rsidP="00600A2D">
      <w:pPr>
        <w:spacing w:after="0" w:line="240" w:lineRule="auto"/>
        <w:ind w:firstLine="720"/>
        <w:rPr>
          <w:rFonts w:eastAsia="Times New Roman" w:cs="Times New Roman"/>
          <w:szCs w:val="24"/>
        </w:rPr>
      </w:pPr>
    </w:p>
    <w:p w:rsidR="000277E8" w:rsidRPr="007B3402" w:rsidP="00E57090">
      <w:pPr>
        <w:pStyle w:val="Heading1"/>
      </w:pPr>
      <w:bookmarkStart w:id="2" w:name="_Toc527383937"/>
      <w:r w:rsidRPr="007B3402">
        <w:t>I.</w:t>
      </w:r>
      <w:r w:rsidRPr="007B3402">
        <w:tab/>
      </w:r>
      <w:r w:rsidRPr="007B3402">
        <w:t>INTRODUCTION</w:t>
      </w:r>
      <w:bookmarkEnd w:id="2"/>
    </w:p>
    <w:p w:rsidR="001D1EB7" w:rsidRPr="007B3402" w:rsidP="001D1EB7">
      <w:pPr>
        <w:spacing w:after="0" w:line="480" w:lineRule="auto"/>
        <w:ind w:firstLine="720"/>
        <w:rPr>
          <w:rFonts w:eastAsia="Times New Roman" w:cs="Times New Roman"/>
          <w:szCs w:val="24"/>
        </w:rPr>
      </w:pPr>
      <w:r w:rsidRPr="007B3402">
        <w:rPr>
          <w:rFonts w:eastAsia="Times New Roman" w:cs="Times New Roman"/>
          <w:szCs w:val="24"/>
        </w:rPr>
        <w:t xml:space="preserve">Columbia Gas of Ohio, Inc. (“Columbia”) </w:t>
      </w:r>
      <w:r w:rsidRPr="007B3402">
        <w:rPr>
          <w:rFonts w:eastAsia="Times New Roman" w:cs="Times New Roman"/>
          <w:szCs w:val="24"/>
        </w:rPr>
        <w:t>filed an application to</w:t>
      </w:r>
      <w:r w:rsidRPr="007B3402">
        <w:rPr>
          <w:rFonts w:eastAsia="Times New Roman" w:cs="Times New Roman"/>
          <w:szCs w:val="24"/>
        </w:rPr>
        <w:t xml:space="preserve"> </w:t>
      </w:r>
      <w:r w:rsidRPr="007B3402" w:rsidR="00BA3A99">
        <w:rPr>
          <w:rFonts w:eastAsia="Times New Roman" w:cs="Times New Roman"/>
          <w:szCs w:val="24"/>
        </w:rPr>
        <w:t xml:space="preserve">increase its </w:t>
      </w:r>
      <w:r w:rsidRPr="007B3402">
        <w:rPr>
          <w:rFonts w:eastAsia="Times New Roman" w:cs="Times New Roman"/>
          <w:szCs w:val="24"/>
        </w:rPr>
        <w:t xml:space="preserve">charge </w:t>
      </w:r>
      <w:r w:rsidRPr="007B3402" w:rsidR="00BA3A99">
        <w:rPr>
          <w:rFonts w:eastAsia="Times New Roman" w:cs="Times New Roman"/>
          <w:szCs w:val="24"/>
        </w:rPr>
        <w:t xml:space="preserve">to residential consumers under its Capital Expenditure Program (“CEP”) from $3.65 per month to $4.10 per month. </w:t>
      </w:r>
      <w:r w:rsidRPr="007B3402" w:rsidR="00206DEA">
        <w:rPr>
          <w:rFonts w:eastAsia="Times New Roman" w:cs="Times New Roman"/>
          <w:szCs w:val="24"/>
        </w:rPr>
        <w:t xml:space="preserve">Through a CEP Rider, </w:t>
      </w:r>
      <w:r w:rsidR="00606B46">
        <w:rPr>
          <w:rFonts w:cs="Times New Roman"/>
          <w:szCs w:val="24"/>
        </w:rPr>
        <w:t>c</w:t>
      </w:r>
      <w:r w:rsidRPr="007B3402" w:rsidR="00825DD6">
        <w:rPr>
          <w:rFonts w:cs="Times New Roman"/>
          <w:szCs w:val="24"/>
        </w:rPr>
        <w:t xml:space="preserve">onsumers pay </w:t>
      </w:r>
      <w:r w:rsidRPr="007B3402" w:rsidR="00206DEA">
        <w:rPr>
          <w:rFonts w:cs="Times New Roman"/>
          <w:szCs w:val="24"/>
        </w:rPr>
        <w:t>for Columbia’s spending</w:t>
      </w:r>
      <w:r w:rsidRPr="007B3402" w:rsidR="00BA3A99">
        <w:rPr>
          <w:rFonts w:cs="Times New Roman"/>
          <w:szCs w:val="24"/>
        </w:rPr>
        <w:t xml:space="preserve"> related to infrastructure expansion, improvement, or replacement; programs to install, upgrade, or replace technology systems; or programs to comply with government rules and regulations. </w:t>
      </w:r>
      <w:r w:rsidRPr="007B3402" w:rsidR="00825DD6">
        <w:rPr>
          <w:rFonts w:cs="Times New Roman"/>
          <w:szCs w:val="24"/>
        </w:rPr>
        <w:t>The CEP Rider charge provides Columbia</w:t>
      </w:r>
      <w:r w:rsidRPr="007B3402" w:rsidR="00BA3A99">
        <w:rPr>
          <w:rFonts w:cs="Times New Roman"/>
          <w:szCs w:val="24"/>
        </w:rPr>
        <w:t xml:space="preserve"> the post-in-service carrying costs, incremental depreciation expense, and property tax expense directly attributable to the capital expenditure program. </w:t>
      </w:r>
    </w:p>
    <w:p w:rsidR="007B3402" w:rsidRPr="007B3402" w:rsidP="003F611D">
      <w:pPr>
        <w:spacing w:after="0" w:line="480" w:lineRule="auto"/>
        <w:ind w:firstLine="720"/>
        <w:rPr>
          <w:rFonts w:eastAsia="Times New Roman" w:cs="Times New Roman"/>
          <w:szCs w:val="24"/>
        </w:rPr>
        <w:sectPr w:rsidSect="009D391C">
          <w:headerReference w:type="even" r:id="rId5"/>
          <w:headerReference w:type="default" r:id="rId6"/>
          <w:footerReference w:type="even" r:id="rId7"/>
          <w:footerReference w:type="default" r:id="rId8"/>
          <w:headerReference w:type="first" r:id="rId9"/>
          <w:footerReference w:type="first" r:id="rId10"/>
          <w:pgSz w:w="12240" w:h="15840"/>
          <w:pgMar w:top="1350" w:right="1800" w:bottom="1440" w:left="1800" w:header="720" w:footer="720" w:gutter="0"/>
          <w:cols w:space="720"/>
          <w:docGrid w:linePitch="360"/>
        </w:sectPr>
      </w:pPr>
      <w:r w:rsidRPr="007B3402">
        <w:rPr>
          <w:rFonts w:eastAsia="Times New Roman" w:cs="Times New Roman"/>
          <w:szCs w:val="24"/>
        </w:rPr>
        <w:t xml:space="preserve">The </w:t>
      </w:r>
      <w:r w:rsidRPr="007B3402" w:rsidR="00480BA8">
        <w:rPr>
          <w:rFonts w:eastAsia="Times New Roman" w:cs="Times New Roman"/>
          <w:szCs w:val="24"/>
        </w:rPr>
        <w:t>Staff of the Public Utilities Commission of Ohio (“PUCO Staff”)</w:t>
      </w:r>
      <w:r w:rsidRPr="007B3402">
        <w:rPr>
          <w:rFonts w:eastAsia="Times New Roman" w:cs="Times New Roman"/>
          <w:szCs w:val="24"/>
        </w:rPr>
        <w:t xml:space="preserve"> conducted an investigation of Columbia’s application to determine if Columbia should be </w:t>
      </w:r>
      <w:r w:rsidRPr="007B3402" w:rsidR="00D83853">
        <w:rPr>
          <w:rFonts w:eastAsia="Times New Roman" w:cs="Times New Roman"/>
          <w:szCs w:val="24"/>
        </w:rPr>
        <w:t xml:space="preserve">permitted </w:t>
      </w:r>
      <w:r w:rsidRPr="007B3402">
        <w:rPr>
          <w:rFonts w:eastAsia="Times New Roman" w:cs="Times New Roman"/>
          <w:szCs w:val="24"/>
        </w:rPr>
        <w:t xml:space="preserve">to </w:t>
      </w:r>
      <w:r w:rsidRPr="007B3402" w:rsidR="00BA3A99">
        <w:rPr>
          <w:rFonts w:eastAsia="Times New Roman" w:cs="Times New Roman"/>
          <w:szCs w:val="24"/>
        </w:rPr>
        <w:t>increase the CEP</w:t>
      </w:r>
      <w:r w:rsidRPr="007B3402">
        <w:rPr>
          <w:rFonts w:eastAsia="Times New Roman" w:cs="Times New Roman"/>
          <w:szCs w:val="24"/>
        </w:rPr>
        <w:t xml:space="preserve"> </w:t>
      </w:r>
      <w:r w:rsidRPr="007B3402" w:rsidR="00825DD6">
        <w:rPr>
          <w:rFonts w:eastAsia="Times New Roman" w:cs="Times New Roman"/>
          <w:szCs w:val="24"/>
        </w:rPr>
        <w:t xml:space="preserve">Rider </w:t>
      </w:r>
      <w:r w:rsidRPr="007B3402" w:rsidR="00D83853">
        <w:rPr>
          <w:rFonts w:eastAsia="Times New Roman" w:cs="Times New Roman"/>
          <w:szCs w:val="24"/>
        </w:rPr>
        <w:t xml:space="preserve">charge </w:t>
      </w:r>
      <w:r w:rsidRPr="007B3402" w:rsidR="00BA3A99">
        <w:rPr>
          <w:rFonts w:eastAsia="Times New Roman" w:cs="Times New Roman"/>
          <w:szCs w:val="24"/>
        </w:rPr>
        <w:t xml:space="preserve">to </w:t>
      </w:r>
      <w:r w:rsidRPr="007B3402" w:rsidR="00D83853">
        <w:rPr>
          <w:rFonts w:eastAsia="Times New Roman" w:cs="Times New Roman"/>
          <w:szCs w:val="24"/>
        </w:rPr>
        <w:t>customers</w:t>
      </w:r>
      <w:r w:rsidRPr="007B3402">
        <w:rPr>
          <w:rFonts w:eastAsia="Times New Roman" w:cs="Times New Roman"/>
          <w:szCs w:val="24"/>
        </w:rPr>
        <w:t xml:space="preserve">. The PUCO Staff hired an auditor (Blue Ridge) to assist with a prudence </w:t>
      </w:r>
      <w:r w:rsidRPr="007B3402" w:rsidR="00C70E84">
        <w:rPr>
          <w:rFonts w:eastAsia="Times New Roman" w:cs="Times New Roman"/>
          <w:szCs w:val="24"/>
        </w:rPr>
        <w:t xml:space="preserve">and financial </w:t>
      </w:r>
      <w:r w:rsidRPr="007B3402">
        <w:rPr>
          <w:rFonts w:eastAsia="Times New Roman" w:cs="Times New Roman"/>
          <w:szCs w:val="24"/>
        </w:rPr>
        <w:t xml:space="preserve">audit of Columbia’s plant in service and CEP spending. </w:t>
      </w:r>
      <w:r w:rsidRPr="007B3402" w:rsidR="00BF790F">
        <w:rPr>
          <w:rFonts w:eastAsia="Times New Roman" w:cs="Times New Roman"/>
          <w:szCs w:val="24"/>
        </w:rPr>
        <w:t xml:space="preserve">The auditor filed its report on </w:t>
      </w:r>
      <w:r w:rsidRPr="007B3402" w:rsidR="00BA3A99">
        <w:rPr>
          <w:rFonts w:eastAsia="Times New Roman" w:cs="Times New Roman"/>
          <w:szCs w:val="24"/>
        </w:rPr>
        <w:t>July 10</w:t>
      </w:r>
      <w:r w:rsidRPr="007B3402" w:rsidR="00BF790F">
        <w:rPr>
          <w:rFonts w:eastAsia="Times New Roman" w:cs="Times New Roman"/>
          <w:szCs w:val="24"/>
        </w:rPr>
        <w:t>, 201</w:t>
      </w:r>
      <w:r w:rsidRPr="007B3402" w:rsidR="00BA3A99">
        <w:rPr>
          <w:rFonts w:eastAsia="Times New Roman" w:cs="Times New Roman"/>
          <w:szCs w:val="24"/>
        </w:rPr>
        <w:t>9</w:t>
      </w:r>
      <w:r w:rsidRPr="007B3402" w:rsidR="00BF790F">
        <w:rPr>
          <w:rFonts w:eastAsia="Times New Roman" w:cs="Times New Roman"/>
          <w:szCs w:val="24"/>
        </w:rPr>
        <w:t xml:space="preserve"> and the</w:t>
      </w:r>
      <w:r w:rsidRPr="007B3402">
        <w:rPr>
          <w:rFonts w:eastAsia="Times New Roman" w:cs="Times New Roman"/>
          <w:szCs w:val="24"/>
        </w:rPr>
        <w:t xml:space="preserve"> PUCO Staff</w:t>
      </w:r>
      <w:r w:rsidRPr="007B3402" w:rsidR="00BF790F">
        <w:rPr>
          <w:rFonts w:eastAsia="Times New Roman" w:cs="Times New Roman"/>
          <w:szCs w:val="24"/>
        </w:rPr>
        <w:t xml:space="preserve"> </w:t>
      </w:r>
      <w:r w:rsidRPr="007B3402" w:rsidR="00480BA8">
        <w:rPr>
          <w:rFonts w:eastAsia="Times New Roman" w:cs="Times New Roman"/>
          <w:szCs w:val="24"/>
        </w:rPr>
        <w:t xml:space="preserve">issued its </w:t>
      </w:r>
      <w:r w:rsidRPr="007B3402">
        <w:rPr>
          <w:rFonts w:eastAsia="Times New Roman" w:cs="Times New Roman"/>
          <w:szCs w:val="24"/>
        </w:rPr>
        <w:t>Staff R</w:t>
      </w:r>
      <w:r w:rsidRPr="007B3402" w:rsidR="00480BA8">
        <w:rPr>
          <w:rFonts w:eastAsia="Times New Roman" w:cs="Times New Roman"/>
          <w:szCs w:val="24"/>
        </w:rPr>
        <w:t xml:space="preserve">eport </w:t>
      </w:r>
      <w:r w:rsidRPr="007B3402" w:rsidR="00BE4826">
        <w:rPr>
          <w:rFonts w:eastAsia="Times New Roman" w:cs="Times New Roman"/>
          <w:szCs w:val="24"/>
        </w:rPr>
        <w:t xml:space="preserve">on </w:t>
      </w:r>
      <w:r w:rsidRPr="007B3402" w:rsidR="00511470">
        <w:rPr>
          <w:rFonts w:eastAsia="Times New Roman" w:cs="Times New Roman"/>
          <w:szCs w:val="24"/>
        </w:rPr>
        <w:t>July 15, 2019</w:t>
      </w:r>
      <w:r w:rsidRPr="007B3402" w:rsidR="00480BA8">
        <w:rPr>
          <w:rFonts w:eastAsia="Times New Roman" w:cs="Times New Roman"/>
          <w:szCs w:val="24"/>
        </w:rPr>
        <w:t>.</w:t>
      </w:r>
      <w:r w:rsidRPr="007B3402" w:rsidR="003F611D">
        <w:rPr>
          <w:rFonts w:eastAsia="Times New Roman" w:cs="Times New Roman"/>
          <w:szCs w:val="24"/>
        </w:rPr>
        <w:t xml:space="preserve"> </w:t>
      </w:r>
      <w:r w:rsidRPr="007B3402" w:rsidR="00480BA8">
        <w:rPr>
          <w:rFonts w:eastAsia="Times New Roman" w:cs="Times New Roman"/>
          <w:szCs w:val="24"/>
        </w:rPr>
        <w:t xml:space="preserve">The Office of the </w:t>
      </w:r>
      <w:r w:rsidRPr="007B3402" w:rsidR="00EC5340">
        <w:rPr>
          <w:rFonts w:eastAsia="Times New Roman" w:cs="Times New Roman"/>
          <w:szCs w:val="24"/>
        </w:rPr>
        <w:t>Ohio Consumers’ Counsel (“OCC”)</w:t>
      </w:r>
      <w:r w:rsidRPr="007B3402" w:rsidR="00480BA8">
        <w:rPr>
          <w:rFonts w:eastAsia="Times New Roman" w:cs="Times New Roman"/>
          <w:szCs w:val="24"/>
        </w:rPr>
        <w:t xml:space="preserve"> </w:t>
      </w:r>
      <w:r w:rsidRPr="007B3402" w:rsidR="005B6416">
        <w:rPr>
          <w:rFonts w:eastAsia="Times New Roman" w:cs="Times New Roman"/>
          <w:szCs w:val="24"/>
        </w:rPr>
        <w:t xml:space="preserve">appreciates the PUCO Staff’s investigation and </w:t>
      </w:r>
      <w:r w:rsidRPr="007B3402" w:rsidR="00480BA8">
        <w:rPr>
          <w:rFonts w:eastAsia="Times New Roman" w:cs="Times New Roman"/>
          <w:szCs w:val="24"/>
        </w:rPr>
        <w:t xml:space="preserve">files these </w:t>
      </w:r>
      <w:r w:rsidRPr="007B3402" w:rsidR="00206DEA">
        <w:rPr>
          <w:rFonts w:eastAsia="Times New Roman" w:cs="Times New Roman"/>
          <w:szCs w:val="24"/>
        </w:rPr>
        <w:t>O</w:t>
      </w:r>
      <w:r w:rsidRPr="007B3402" w:rsidR="00480BA8">
        <w:rPr>
          <w:rFonts w:eastAsia="Times New Roman" w:cs="Times New Roman"/>
          <w:szCs w:val="24"/>
        </w:rPr>
        <w:t xml:space="preserve">bjections to the PUCO Staff </w:t>
      </w:r>
      <w:r w:rsidRPr="007B3402">
        <w:rPr>
          <w:rFonts w:eastAsia="Times New Roman" w:cs="Times New Roman"/>
          <w:szCs w:val="24"/>
        </w:rPr>
        <w:t>R</w:t>
      </w:r>
      <w:r w:rsidRPr="007B3402" w:rsidR="00480BA8">
        <w:rPr>
          <w:rFonts w:eastAsia="Times New Roman" w:cs="Times New Roman"/>
          <w:szCs w:val="24"/>
        </w:rPr>
        <w:t>eport on behalf of Columbia’s</w:t>
      </w:r>
      <w:r w:rsidRPr="007B3402" w:rsidR="00BE4826">
        <w:rPr>
          <w:rFonts w:eastAsia="Times New Roman" w:cs="Times New Roman"/>
          <w:szCs w:val="24"/>
        </w:rPr>
        <w:t xml:space="preserve"> 1.3</w:t>
      </w:r>
      <w:r w:rsidRPr="007B3402" w:rsidR="00480BA8">
        <w:rPr>
          <w:rFonts w:eastAsia="Times New Roman" w:cs="Times New Roman"/>
          <w:szCs w:val="24"/>
        </w:rPr>
        <w:t xml:space="preserve"> million residential consumers.</w:t>
      </w:r>
    </w:p>
    <w:p w:rsidR="00480BA8" w:rsidRPr="007B3402" w:rsidP="00480BA8">
      <w:pPr>
        <w:spacing w:after="0" w:line="480" w:lineRule="auto"/>
        <w:ind w:firstLine="720"/>
        <w:rPr>
          <w:rFonts w:eastAsia="Times New Roman" w:cs="Times New Roman"/>
          <w:szCs w:val="24"/>
        </w:rPr>
      </w:pPr>
      <w:r w:rsidRPr="007B3402">
        <w:rPr>
          <w:rFonts w:eastAsia="Times New Roman" w:cs="Times New Roman"/>
          <w:szCs w:val="24"/>
        </w:rPr>
        <w:t xml:space="preserve">OCC supports the following recommendations in the PUCO Staff </w:t>
      </w:r>
      <w:r w:rsidRPr="007B3402" w:rsidR="00AD2C77">
        <w:rPr>
          <w:rFonts w:eastAsia="Times New Roman" w:cs="Times New Roman"/>
          <w:szCs w:val="24"/>
        </w:rPr>
        <w:t>R</w:t>
      </w:r>
      <w:r w:rsidRPr="007B3402">
        <w:rPr>
          <w:rFonts w:eastAsia="Times New Roman" w:cs="Times New Roman"/>
          <w:szCs w:val="24"/>
        </w:rPr>
        <w:t>eport:</w:t>
      </w:r>
    </w:p>
    <w:p w:rsidR="00480BA8"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The PUCO Staff properly</w:t>
      </w:r>
      <w:r w:rsidRPr="007B3402" w:rsidR="00AD2C77">
        <w:rPr>
          <w:rFonts w:ascii="Times New Roman" w:eastAsia="Times New Roman" w:hAnsi="Times New Roman" w:cs="Times New Roman"/>
          <w:sz w:val="24"/>
          <w:szCs w:val="24"/>
        </w:rPr>
        <w:t xml:space="preserve"> recommend</w:t>
      </w:r>
      <w:r w:rsidRPr="007B3402" w:rsidR="00511470">
        <w:rPr>
          <w:rFonts w:ascii="Times New Roman" w:eastAsia="Times New Roman" w:hAnsi="Times New Roman" w:cs="Times New Roman"/>
          <w:sz w:val="24"/>
          <w:szCs w:val="24"/>
        </w:rPr>
        <w:t>s</w:t>
      </w:r>
      <w:r w:rsidRPr="007B3402" w:rsidR="00AD2C77">
        <w:rPr>
          <w:rFonts w:ascii="Times New Roman" w:eastAsia="Times New Roman" w:hAnsi="Times New Roman" w:cs="Times New Roman"/>
          <w:sz w:val="24"/>
          <w:szCs w:val="24"/>
        </w:rPr>
        <w:t xml:space="preserve"> that Columbia </w:t>
      </w:r>
      <w:r w:rsidRPr="007B3402" w:rsidR="00511470">
        <w:rPr>
          <w:rFonts w:ascii="Times New Roman" w:eastAsia="Times New Roman" w:hAnsi="Times New Roman" w:cs="Times New Roman"/>
          <w:sz w:val="24"/>
          <w:szCs w:val="24"/>
        </w:rPr>
        <w:t>adjust depreciation balances and the revenue requirement to account for the retirement that was recorded to the incorrect account</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 xml:space="preserve">. </w:t>
      </w:r>
    </w:p>
    <w:p w:rsidR="00AD2C77" w:rsidRPr="007B3402" w:rsidP="00872816">
      <w:pPr>
        <w:pStyle w:val="ListParagraph"/>
        <w:spacing w:after="0" w:line="240" w:lineRule="auto"/>
        <w:ind w:left="2160" w:right="720" w:hanging="720"/>
        <w:rPr>
          <w:rFonts w:ascii="Times New Roman" w:eastAsia="Times New Roman" w:hAnsi="Times New Roman" w:cs="Times New Roman"/>
          <w:sz w:val="24"/>
          <w:szCs w:val="24"/>
        </w:rPr>
      </w:pPr>
    </w:p>
    <w:p w:rsidR="00480BA8"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 xml:space="preserve">The PUCO Staff properly </w:t>
      </w:r>
      <w:r w:rsidRPr="007B3402" w:rsidR="00AD2C77">
        <w:rPr>
          <w:rFonts w:ascii="Times New Roman" w:eastAsia="Times New Roman" w:hAnsi="Times New Roman" w:cs="Times New Roman"/>
          <w:sz w:val="24"/>
          <w:szCs w:val="24"/>
        </w:rPr>
        <w:t xml:space="preserve">recommends that Columbia </w:t>
      </w:r>
      <w:r w:rsidRPr="007B3402" w:rsidR="00511470">
        <w:rPr>
          <w:rFonts w:ascii="Times New Roman" w:eastAsia="Times New Roman" w:hAnsi="Times New Roman" w:cs="Times New Roman"/>
          <w:sz w:val="24"/>
          <w:szCs w:val="24"/>
        </w:rPr>
        <w:t>remove from Utility Plant in Service the total cost of unused Mobile Data Terminals</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 xml:space="preserve">. </w:t>
      </w:r>
    </w:p>
    <w:p w:rsidR="00AD2C77" w:rsidRPr="007B3402" w:rsidP="00872816">
      <w:pPr>
        <w:pStyle w:val="ListParagraph"/>
        <w:ind w:left="2160" w:right="720" w:hanging="720"/>
        <w:rPr>
          <w:rFonts w:ascii="Times New Roman" w:eastAsia="Times New Roman" w:hAnsi="Times New Roman" w:cs="Times New Roman"/>
          <w:sz w:val="24"/>
          <w:szCs w:val="24"/>
        </w:rPr>
      </w:pPr>
    </w:p>
    <w:p w:rsidR="00AD2C77"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The PUCO Staff properly recommend</w:t>
      </w:r>
      <w:r w:rsidRPr="007B3402" w:rsidR="00511470">
        <w:rPr>
          <w:rFonts w:ascii="Times New Roman" w:eastAsia="Times New Roman" w:hAnsi="Times New Roman" w:cs="Times New Roman"/>
          <w:sz w:val="24"/>
          <w:szCs w:val="24"/>
        </w:rPr>
        <w:t>s</w:t>
      </w:r>
      <w:r w:rsidRPr="007B3402">
        <w:rPr>
          <w:rFonts w:ascii="Times New Roman" w:eastAsia="Times New Roman" w:hAnsi="Times New Roman" w:cs="Times New Roman"/>
          <w:sz w:val="24"/>
          <w:szCs w:val="24"/>
        </w:rPr>
        <w:t xml:space="preserve"> that Columbia </w:t>
      </w:r>
      <w:r w:rsidRPr="007B3402" w:rsidR="00511470">
        <w:rPr>
          <w:rFonts w:ascii="Times New Roman" w:eastAsia="Times New Roman" w:hAnsi="Times New Roman" w:cs="Times New Roman"/>
          <w:sz w:val="24"/>
          <w:szCs w:val="24"/>
        </w:rPr>
        <w:t>formally document its policies and procedures on the preparation and approval of workorders, damage claims, accounting/journal entries, and allocations</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AD2C77" w:rsidRPr="007B3402" w:rsidP="00872816">
      <w:pPr>
        <w:spacing w:after="0" w:line="240" w:lineRule="auto"/>
        <w:ind w:left="2160" w:right="720" w:hanging="720"/>
        <w:rPr>
          <w:rFonts w:eastAsia="Times New Roman" w:cs="Times New Roman"/>
          <w:szCs w:val="24"/>
        </w:rPr>
      </w:pPr>
    </w:p>
    <w:p w:rsidR="00AD2C77"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 xml:space="preserve">The PUCO Staff properly </w:t>
      </w:r>
      <w:r w:rsidRPr="007B3402">
        <w:rPr>
          <w:rFonts w:ascii="Times New Roman" w:eastAsia="Times New Roman" w:hAnsi="Times New Roman" w:cs="Times New Roman"/>
          <w:sz w:val="24"/>
          <w:szCs w:val="24"/>
        </w:rPr>
        <w:t>recommend</w:t>
      </w:r>
      <w:r w:rsidRPr="007B3402" w:rsidR="00511470">
        <w:rPr>
          <w:rFonts w:ascii="Times New Roman" w:eastAsia="Times New Roman" w:hAnsi="Times New Roman" w:cs="Times New Roman"/>
          <w:sz w:val="24"/>
          <w:szCs w:val="24"/>
        </w:rPr>
        <w:t>s</w:t>
      </w:r>
      <w:r w:rsidRPr="007B3402">
        <w:rPr>
          <w:rFonts w:ascii="Times New Roman" w:eastAsia="Times New Roman" w:hAnsi="Times New Roman" w:cs="Times New Roman"/>
          <w:sz w:val="24"/>
          <w:szCs w:val="24"/>
        </w:rPr>
        <w:t xml:space="preserve"> that Columbia </w:t>
      </w:r>
      <w:r w:rsidRPr="007B3402" w:rsidR="00511470">
        <w:rPr>
          <w:rFonts w:ascii="Times New Roman" w:eastAsia="Times New Roman" w:hAnsi="Times New Roman" w:cs="Times New Roman"/>
          <w:sz w:val="24"/>
          <w:szCs w:val="24"/>
        </w:rPr>
        <w:t>work with Staff to better identify expenses versus capitalized costs associated with meter relocations. More specifically, the PUCO Staff recommends that Columbia work with Staff to determine how the activity and costs should be tracked in order to clarify how meter movement should be recorded (capital or expense) in various situations and how to ensure the integrity of the process</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AD2C77" w:rsidRPr="007B3402" w:rsidP="00872816">
      <w:pPr>
        <w:pStyle w:val="ListParagraph"/>
        <w:spacing w:after="0" w:line="240" w:lineRule="auto"/>
        <w:ind w:left="2160" w:right="720" w:hanging="720"/>
        <w:rPr>
          <w:rFonts w:ascii="Times New Roman" w:eastAsia="Times New Roman" w:hAnsi="Times New Roman" w:cs="Times New Roman"/>
          <w:sz w:val="24"/>
          <w:szCs w:val="24"/>
        </w:rPr>
      </w:pPr>
    </w:p>
    <w:p w:rsidR="00631884"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 xml:space="preserve">The PUCO Staff properly </w:t>
      </w:r>
      <w:r w:rsidRPr="007B3402" w:rsidR="00CA0DCD">
        <w:rPr>
          <w:rFonts w:ascii="Times New Roman" w:eastAsia="Times New Roman" w:hAnsi="Times New Roman" w:cs="Times New Roman"/>
          <w:sz w:val="24"/>
          <w:szCs w:val="24"/>
        </w:rPr>
        <w:t>recommend</w:t>
      </w:r>
      <w:r w:rsidRPr="007B3402" w:rsidR="00511470">
        <w:rPr>
          <w:rFonts w:ascii="Times New Roman" w:eastAsia="Times New Roman" w:hAnsi="Times New Roman" w:cs="Times New Roman"/>
          <w:sz w:val="24"/>
          <w:szCs w:val="24"/>
        </w:rPr>
        <w:t>s</w:t>
      </w:r>
      <w:r w:rsidRPr="007B3402" w:rsidR="00CA0DCD">
        <w:rPr>
          <w:rFonts w:ascii="Times New Roman" w:eastAsia="Times New Roman" w:hAnsi="Times New Roman" w:cs="Times New Roman"/>
          <w:sz w:val="24"/>
          <w:szCs w:val="24"/>
        </w:rPr>
        <w:t xml:space="preserve"> that Columbia </w:t>
      </w:r>
      <w:r w:rsidRPr="007B3402" w:rsidR="00511470">
        <w:rPr>
          <w:rFonts w:ascii="Times New Roman" w:eastAsia="Times New Roman" w:hAnsi="Times New Roman" w:cs="Times New Roman"/>
          <w:sz w:val="24"/>
          <w:szCs w:val="24"/>
        </w:rPr>
        <w:t>track the depreciation offset</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AD2C77" w:rsidRPr="007B3402" w:rsidP="00872816">
      <w:pPr>
        <w:pStyle w:val="ListParagraph"/>
        <w:ind w:left="2160" w:right="720" w:hanging="720"/>
        <w:rPr>
          <w:rFonts w:ascii="Times New Roman" w:eastAsia="Times New Roman" w:hAnsi="Times New Roman" w:cs="Times New Roman"/>
          <w:sz w:val="24"/>
          <w:szCs w:val="24"/>
        </w:rPr>
      </w:pPr>
    </w:p>
    <w:p w:rsidR="00AD2C77"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The PUCO Staff properly recommend</w:t>
      </w:r>
      <w:r w:rsidRPr="007B3402" w:rsidR="00511470">
        <w:rPr>
          <w:rFonts w:ascii="Times New Roman" w:eastAsia="Times New Roman" w:hAnsi="Times New Roman" w:cs="Times New Roman"/>
          <w:sz w:val="24"/>
          <w:szCs w:val="24"/>
        </w:rPr>
        <w:t>s</w:t>
      </w:r>
      <w:r w:rsidRPr="007B3402">
        <w:rPr>
          <w:rFonts w:ascii="Times New Roman" w:eastAsia="Times New Roman" w:hAnsi="Times New Roman" w:cs="Times New Roman"/>
          <w:sz w:val="24"/>
          <w:szCs w:val="24"/>
        </w:rPr>
        <w:t xml:space="preserve"> that Columbia </w:t>
      </w:r>
      <w:r w:rsidRPr="007B3402" w:rsidR="00511470">
        <w:rPr>
          <w:rFonts w:ascii="Times New Roman" w:eastAsia="Times New Roman" w:hAnsi="Times New Roman" w:cs="Times New Roman"/>
          <w:sz w:val="24"/>
          <w:szCs w:val="24"/>
        </w:rPr>
        <w:t>track incremental revenues</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C7751F" w:rsidRPr="007B3402" w:rsidP="00872816">
      <w:pPr>
        <w:pStyle w:val="ListParagraph"/>
        <w:ind w:left="2160" w:right="720" w:hanging="720"/>
        <w:rPr>
          <w:rFonts w:ascii="Times New Roman" w:eastAsia="Times New Roman" w:hAnsi="Times New Roman" w:cs="Times New Roman"/>
          <w:sz w:val="24"/>
          <w:szCs w:val="24"/>
        </w:rPr>
      </w:pPr>
    </w:p>
    <w:p w:rsidR="00C7751F"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The PUCO Staff properly recommend</w:t>
      </w:r>
      <w:r w:rsidRPr="007B3402" w:rsidR="00511470">
        <w:rPr>
          <w:rFonts w:ascii="Times New Roman" w:eastAsia="Times New Roman" w:hAnsi="Times New Roman" w:cs="Times New Roman"/>
          <w:sz w:val="24"/>
          <w:szCs w:val="24"/>
        </w:rPr>
        <w:t>s</w:t>
      </w:r>
      <w:r w:rsidRPr="007B3402">
        <w:rPr>
          <w:rFonts w:ascii="Times New Roman" w:eastAsia="Times New Roman" w:hAnsi="Times New Roman" w:cs="Times New Roman"/>
          <w:sz w:val="24"/>
          <w:szCs w:val="24"/>
        </w:rPr>
        <w:t xml:space="preserve"> </w:t>
      </w:r>
      <w:r w:rsidRPr="007B3402" w:rsidR="00511470">
        <w:rPr>
          <w:rFonts w:ascii="Times New Roman" w:eastAsia="Times New Roman" w:hAnsi="Times New Roman" w:cs="Times New Roman"/>
          <w:sz w:val="24"/>
          <w:szCs w:val="24"/>
        </w:rPr>
        <w:t>that Columbia track and document how each growth project met or did not meet its goal in order to ensure that the assets placed in service are both used and useful and not overbuilt either in length or diameter</w:t>
      </w:r>
      <w:r w:rsidRPr="007B3402" w:rsidR="00A4665E">
        <w:rPr>
          <w:rFonts w:ascii="Times New Roman" w:eastAsia="Times New Roman" w:hAnsi="Times New Roman" w:cs="Times New Roman"/>
          <w:sz w:val="24"/>
          <w:szCs w:val="24"/>
        </w:rPr>
        <w:t xml:space="preserve"> (Staff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C7751F" w:rsidRPr="007B3402" w:rsidP="00872816">
      <w:pPr>
        <w:pStyle w:val="ListParagraph"/>
        <w:ind w:left="2160" w:right="720" w:hanging="720"/>
        <w:rPr>
          <w:rFonts w:ascii="Times New Roman" w:eastAsia="Times New Roman" w:hAnsi="Times New Roman" w:cs="Times New Roman"/>
          <w:sz w:val="24"/>
          <w:szCs w:val="24"/>
        </w:rPr>
      </w:pPr>
    </w:p>
    <w:p w:rsidR="00C7751F" w:rsidRPr="007B3402"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 xml:space="preserve">The PUCO Staff properly </w:t>
      </w:r>
      <w:r w:rsidRPr="007B3402" w:rsidR="00511470">
        <w:rPr>
          <w:rFonts w:ascii="Times New Roman" w:eastAsia="Times New Roman" w:hAnsi="Times New Roman" w:cs="Times New Roman"/>
          <w:sz w:val="24"/>
          <w:szCs w:val="24"/>
        </w:rPr>
        <w:t xml:space="preserve">recommends that Columbia ensure retirements and cost of removal are recorded at the same time as the replacement assets </w:t>
      </w:r>
      <w:r w:rsidRPr="007B3402" w:rsidR="00A4665E">
        <w:rPr>
          <w:rFonts w:ascii="Times New Roman" w:eastAsia="Times New Roman" w:hAnsi="Times New Roman" w:cs="Times New Roman"/>
          <w:sz w:val="24"/>
          <w:szCs w:val="24"/>
        </w:rPr>
        <w:t xml:space="preserve">(Staff Report at </w:t>
      </w:r>
      <w:r w:rsidRPr="007B3402" w:rsidR="00511470">
        <w:rPr>
          <w:rFonts w:ascii="Times New Roman" w:eastAsia="Times New Roman" w:hAnsi="Times New Roman" w:cs="Times New Roman"/>
          <w:sz w:val="24"/>
          <w:szCs w:val="24"/>
        </w:rPr>
        <w:t>3</w:t>
      </w:r>
      <w:r w:rsidRPr="007B3402" w:rsidR="00A4665E">
        <w:rPr>
          <w:rFonts w:ascii="Times New Roman" w:eastAsia="Times New Roman" w:hAnsi="Times New Roman" w:cs="Times New Roman"/>
          <w:sz w:val="24"/>
          <w:szCs w:val="24"/>
        </w:rPr>
        <w:t>)</w:t>
      </w:r>
      <w:r w:rsidRPr="007B3402">
        <w:rPr>
          <w:rFonts w:ascii="Times New Roman" w:eastAsia="Times New Roman" w:hAnsi="Times New Roman" w:cs="Times New Roman"/>
          <w:sz w:val="24"/>
          <w:szCs w:val="24"/>
        </w:rPr>
        <w:t>.</w:t>
      </w:r>
    </w:p>
    <w:p w:rsidR="00AD2C77" w:rsidRPr="007B3402" w:rsidP="00AD2C77">
      <w:pPr>
        <w:spacing w:after="0" w:line="240" w:lineRule="auto"/>
        <w:rPr>
          <w:rFonts w:eastAsia="Times New Roman" w:cs="Times New Roman"/>
          <w:szCs w:val="24"/>
        </w:rPr>
      </w:pPr>
    </w:p>
    <w:p w:rsidR="00CE1491" w:rsidRPr="007B3402" w:rsidP="00511470">
      <w:pPr>
        <w:spacing w:after="0" w:line="480" w:lineRule="auto"/>
        <w:ind w:firstLine="720"/>
        <w:rPr>
          <w:rFonts w:eastAsia="Times New Roman" w:cs="Times New Roman"/>
          <w:szCs w:val="24"/>
        </w:rPr>
      </w:pPr>
      <w:r w:rsidRPr="007B3402">
        <w:rPr>
          <w:rFonts w:eastAsia="Times New Roman" w:cs="Times New Roman"/>
          <w:szCs w:val="24"/>
        </w:rPr>
        <w:t xml:space="preserve">At the same time, the PUCO Staff </w:t>
      </w:r>
      <w:r w:rsidRPr="007B3402" w:rsidR="00BF790F">
        <w:rPr>
          <w:rFonts w:eastAsia="Times New Roman" w:cs="Times New Roman"/>
          <w:szCs w:val="24"/>
        </w:rPr>
        <w:t>R</w:t>
      </w:r>
      <w:r w:rsidRPr="007B3402">
        <w:rPr>
          <w:rFonts w:eastAsia="Times New Roman" w:cs="Times New Roman"/>
          <w:szCs w:val="24"/>
        </w:rPr>
        <w:t xml:space="preserve">eport should have recommended additional changes </w:t>
      </w:r>
      <w:r w:rsidRPr="007B3402" w:rsidR="00C70E84">
        <w:rPr>
          <w:rFonts w:eastAsia="Times New Roman" w:cs="Times New Roman"/>
          <w:szCs w:val="24"/>
        </w:rPr>
        <w:t xml:space="preserve">to Columbia’s CEP Rider </w:t>
      </w:r>
      <w:r w:rsidRPr="007B3402">
        <w:rPr>
          <w:rFonts w:eastAsia="Times New Roman" w:cs="Times New Roman"/>
          <w:szCs w:val="24"/>
        </w:rPr>
        <w:t>for the benefit of consumers:</w:t>
      </w:r>
    </w:p>
    <w:p w:rsidR="00631884" w:rsidRPr="007B3402"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The PUCO Staff Report should have recommend</w:t>
      </w:r>
      <w:r w:rsidRPr="007B3402" w:rsidR="00206DEA">
        <w:rPr>
          <w:rFonts w:ascii="Times New Roman" w:eastAsia="Times New Roman" w:hAnsi="Times New Roman" w:cs="Times New Roman"/>
          <w:sz w:val="24"/>
          <w:szCs w:val="24"/>
        </w:rPr>
        <w:t>ed</w:t>
      </w:r>
      <w:r w:rsidRPr="007B3402">
        <w:rPr>
          <w:rFonts w:ascii="Times New Roman" w:eastAsia="Times New Roman" w:hAnsi="Times New Roman" w:cs="Times New Roman"/>
          <w:sz w:val="24"/>
          <w:szCs w:val="24"/>
        </w:rPr>
        <w:t xml:space="preserve"> that Columbia amend its policies and procedures to protect consumers from being charged for assets that are not used and useful as a result of overbuilding for growth projects that do not result in the expected growth</w:t>
      </w:r>
      <w:r w:rsidRPr="007B3402">
        <w:rPr>
          <w:rFonts w:ascii="Times New Roman" w:eastAsia="Times New Roman" w:hAnsi="Times New Roman" w:cs="Times New Roman"/>
          <w:sz w:val="24"/>
          <w:szCs w:val="24"/>
        </w:rPr>
        <w:t>.</w:t>
      </w:r>
    </w:p>
    <w:p w:rsidR="005C6107" w:rsidRPr="007B3402" w:rsidP="00872816">
      <w:pPr>
        <w:spacing w:after="0" w:line="240" w:lineRule="auto"/>
        <w:ind w:left="2160" w:right="720" w:hanging="720"/>
        <w:rPr>
          <w:rFonts w:eastAsia="Times New Roman" w:cs="Times New Roman"/>
          <w:szCs w:val="24"/>
        </w:rPr>
      </w:pPr>
    </w:p>
    <w:p w:rsidR="00B309DC" w:rsidRPr="007B3402"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7B3402">
        <w:rPr>
          <w:rFonts w:ascii="Times New Roman" w:eastAsia="Times New Roman" w:hAnsi="Times New Roman" w:cs="Times New Roman"/>
          <w:sz w:val="24"/>
          <w:szCs w:val="24"/>
        </w:rPr>
        <w:t xml:space="preserve">The PUCO Staff Report </w:t>
      </w:r>
      <w:r w:rsidRPr="007B3402">
        <w:rPr>
          <w:rFonts w:ascii="Times New Roman" w:eastAsia="Times New Roman" w:hAnsi="Times New Roman" w:cs="Times New Roman"/>
          <w:sz w:val="24"/>
          <w:szCs w:val="24"/>
        </w:rPr>
        <w:t>should have required Columbia to identify meter relocation costs that should not have been charged to consumers under the CEP and track the number and cost of meter relocations on an annual basis for relocated meters that are either expensed or capitalized</w:t>
      </w:r>
      <w:r w:rsidR="0094234E">
        <w:rPr>
          <w:rFonts w:ascii="Times New Roman" w:eastAsia="Times New Roman" w:hAnsi="Times New Roman" w:cs="Times New Roman"/>
          <w:sz w:val="24"/>
          <w:szCs w:val="24"/>
        </w:rPr>
        <w:t>.</w:t>
      </w:r>
    </w:p>
    <w:p w:rsidR="005C6107" w:rsidRPr="007B3402" w:rsidP="005C6107">
      <w:pPr>
        <w:spacing w:after="0" w:line="240" w:lineRule="auto"/>
        <w:rPr>
          <w:rFonts w:eastAsia="Times New Roman" w:cs="Times New Roman"/>
          <w:szCs w:val="24"/>
        </w:rPr>
      </w:pPr>
    </w:p>
    <w:p w:rsidR="009D391C" w:rsidRPr="007B3402" w:rsidP="00A07BFA">
      <w:pPr>
        <w:spacing w:after="0" w:line="480" w:lineRule="auto"/>
        <w:ind w:firstLine="720"/>
        <w:rPr>
          <w:rFonts w:eastAsia="Times New Roman" w:cs="Times New Roman"/>
          <w:szCs w:val="24"/>
        </w:rPr>
      </w:pPr>
      <w:r w:rsidRPr="007B3402">
        <w:rPr>
          <w:rFonts w:eastAsia="Times New Roman" w:cs="Times New Roman"/>
          <w:szCs w:val="24"/>
        </w:rPr>
        <w:t>These objections</w:t>
      </w:r>
      <w:r w:rsidRPr="007B3402" w:rsidR="001F2910">
        <w:rPr>
          <w:rFonts w:eastAsia="Times New Roman" w:cs="Times New Roman"/>
          <w:szCs w:val="24"/>
        </w:rPr>
        <w:t xml:space="preserve"> </w:t>
      </w:r>
      <w:r w:rsidRPr="007B3402">
        <w:rPr>
          <w:rFonts w:eastAsia="Times New Roman" w:cs="Times New Roman"/>
          <w:szCs w:val="24"/>
        </w:rPr>
        <w:t xml:space="preserve">are discussed in more detail below. OCC’s recommendations, if adopted, would </w:t>
      </w:r>
      <w:r w:rsidRPr="007B3402" w:rsidR="000277E8">
        <w:rPr>
          <w:rFonts w:eastAsia="Times New Roman" w:cs="Times New Roman"/>
          <w:szCs w:val="24"/>
        </w:rPr>
        <w:t xml:space="preserve">protect consumers from </w:t>
      </w:r>
      <w:r w:rsidRPr="007B3402" w:rsidR="00206DEA">
        <w:rPr>
          <w:rFonts w:eastAsia="Times New Roman" w:cs="Times New Roman"/>
          <w:szCs w:val="24"/>
        </w:rPr>
        <w:t>increasing</w:t>
      </w:r>
      <w:r w:rsidRPr="007B3402" w:rsidR="000277E8">
        <w:rPr>
          <w:rFonts w:eastAsia="Times New Roman" w:cs="Times New Roman"/>
          <w:szCs w:val="24"/>
        </w:rPr>
        <w:t xml:space="preserve"> capital expenditure costs</w:t>
      </w:r>
      <w:r w:rsidRPr="007B3402">
        <w:rPr>
          <w:rFonts w:eastAsia="Times New Roman" w:cs="Times New Roman"/>
          <w:szCs w:val="24"/>
        </w:rPr>
        <w:t>.</w:t>
      </w:r>
    </w:p>
    <w:p w:rsidR="00F140F8" w:rsidRPr="007B3402" w:rsidP="00F140F8">
      <w:pPr>
        <w:spacing w:after="0" w:line="240" w:lineRule="auto"/>
        <w:ind w:firstLine="720"/>
        <w:rPr>
          <w:rFonts w:eastAsia="Times New Roman" w:cs="Times New Roman"/>
          <w:szCs w:val="24"/>
        </w:rPr>
      </w:pPr>
    </w:p>
    <w:p w:rsidR="000277E8" w:rsidRPr="007B3402" w:rsidP="00E57090">
      <w:pPr>
        <w:pStyle w:val="Heading1"/>
      </w:pPr>
      <w:bookmarkStart w:id="3" w:name="_Toc527383938"/>
      <w:r w:rsidRPr="007B3402">
        <w:t>II.</w:t>
      </w:r>
      <w:r w:rsidRPr="007B3402">
        <w:tab/>
      </w:r>
      <w:r w:rsidRPr="007B3402">
        <w:t>OBJECTIONS TO THE PUCO STAFF REPORT</w:t>
      </w:r>
      <w:bookmarkEnd w:id="3"/>
      <w:r w:rsidRPr="007B3402">
        <w:t xml:space="preserve"> </w:t>
      </w:r>
    </w:p>
    <w:p w:rsidR="005B542C" w:rsidRPr="007B3402" w:rsidP="00F140F8">
      <w:pPr>
        <w:pStyle w:val="Heading2"/>
      </w:pPr>
      <w:bookmarkStart w:id="4" w:name="_Toc527383940"/>
      <w:r w:rsidRPr="007B3402">
        <w:t xml:space="preserve">Objection </w:t>
      </w:r>
      <w:r w:rsidRPr="007B3402" w:rsidR="00A30E4F">
        <w:t>1</w:t>
      </w:r>
      <w:r w:rsidRPr="007B3402">
        <w:t xml:space="preserve"> – </w:t>
      </w:r>
      <w:bookmarkStart w:id="5" w:name="_Hlk14269570"/>
      <w:r w:rsidRPr="007B3402">
        <w:t xml:space="preserve">The </w:t>
      </w:r>
      <w:r w:rsidRPr="007B3402" w:rsidR="00BF790F">
        <w:t xml:space="preserve">PUCO </w:t>
      </w:r>
      <w:r w:rsidRPr="007B3402">
        <w:t>Staff Report</w:t>
      </w:r>
      <w:r w:rsidRPr="007B3402" w:rsidR="00511470">
        <w:t xml:space="preserve"> </w:t>
      </w:r>
      <w:r w:rsidRPr="007B3402" w:rsidR="00A30E4F">
        <w:t>should have</w:t>
      </w:r>
      <w:r w:rsidRPr="007B3402" w:rsidR="000D6DFD">
        <w:t xml:space="preserve"> recommend</w:t>
      </w:r>
      <w:r w:rsidRPr="007B3402" w:rsidR="00206DEA">
        <w:t>ed</w:t>
      </w:r>
      <w:r w:rsidRPr="007B3402" w:rsidR="00511470">
        <w:t xml:space="preserve"> that Columbia</w:t>
      </w:r>
      <w:r w:rsidRPr="007B3402" w:rsidR="000D6DFD">
        <w:t xml:space="preserve"> amend</w:t>
      </w:r>
      <w:r w:rsidRPr="007B3402" w:rsidR="00511470">
        <w:t xml:space="preserve"> </w:t>
      </w:r>
      <w:r w:rsidRPr="007B3402" w:rsidR="000D6DFD">
        <w:t>its policies and procedures to protect consumers from being charged for assets that are not used and useful as a result of overbuilding for growth projects that do not result in the expected growth</w:t>
      </w:r>
      <w:bookmarkEnd w:id="5"/>
      <w:r w:rsidRPr="007B3402">
        <w:t>.</w:t>
      </w:r>
      <w:bookmarkEnd w:id="4"/>
    </w:p>
    <w:p w:rsidR="005B7CB7" w:rsidRPr="007B3402" w:rsidP="00D76D04">
      <w:pPr>
        <w:spacing w:after="0" w:line="480" w:lineRule="auto"/>
        <w:rPr>
          <w:rFonts w:cs="Times New Roman"/>
          <w:szCs w:val="24"/>
        </w:rPr>
      </w:pPr>
      <w:r w:rsidRPr="007B3402">
        <w:rPr>
          <w:rFonts w:eastAsia="Times New Roman" w:cs="Times New Roman"/>
          <w:b/>
          <w:szCs w:val="24"/>
        </w:rPr>
        <w:tab/>
      </w:r>
      <w:r w:rsidRPr="007B3402" w:rsidR="0029455C">
        <w:rPr>
          <w:rFonts w:eastAsia="Times New Roman" w:cs="Times New Roman"/>
          <w:szCs w:val="24"/>
        </w:rPr>
        <w:t xml:space="preserve">The PUCO Staff Report and the </w:t>
      </w:r>
      <w:r w:rsidRPr="007B3402" w:rsidR="00206DEA">
        <w:rPr>
          <w:rFonts w:eastAsia="Times New Roman" w:cs="Times New Roman"/>
          <w:szCs w:val="24"/>
        </w:rPr>
        <w:t>Blue Ridge A</w:t>
      </w:r>
      <w:r w:rsidRPr="007B3402" w:rsidR="0029455C">
        <w:rPr>
          <w:rFonts w:eastAsia="Times New Roman" w:cs="Times New Roman"/>
          <w:szCs w:val="24"/>
        </w:rPr>
        <w:t xml:space="preserve">udit </w:t>
      </w:r>
      <w:r w:rsidRPr="007B3402" w:rsidR="00206DEA">
        <w:rPr>
          <w:rFonts w:eastAsia="Times New Roman" w:cs="Times New Roman"/>
          <w:szCs w:val="24"/>
        </w:rPr>
        <w:t>R</w:t>
      </w:r>
      <w:r w:rsidRPr="007B3402" w:rsidR="0029455C">
        <w:rPr>
          <w:rFonts w:eastAsia="Times New Roman" w:cs="Times New Roman"/>
          <w:szCs w:val="24"/>
        </w:rPr>
        <w:t xml:space="preserve">eport </w:t>
      </w:r>
      <w:r w:rsidRPr="007B3402" w:rsidR="000D6DFD">
        <w:rPr>
          <w:rFonts w:eastAsia="Times New Roman" w:cs="Times New Roman"/>
          <w:szCs w:val="24"/>
        </w:rPr>
        <w:t>properly recommend that Columbia “track and document how each growth project met or did not meet its goal in order to ensure that the assets placed in service are both used and useful and not overbuilt either in length or diameter.”</w:t>
      </w:r>
      <w:r>
        <w:rPr>
          <w:rStyle w:val="FootnoteReference"/>
          <w:rFonts w:eastAsia="Times New Roman" w:cs="Times New Roman"/>
          <w:szCs w:val="24"/>
        </w:rPr>
        <w:footnoteReference w:id="2"/>
      </w:r>
      <w:r w:rsidRPr="007B3402" w:rsidR="000D6DFD">
        <w:rPr>
          <w:rFonts w:eastAsia="Times New Roman" w:cs="Times New Roman"/>
          <w:szCs w:val="24"/>
        </w:rPr>
        <w:t xml:space="preserve"> However, tracking and documenting projects does little to protect consumers from being charged for assets that do not become used and useful</w:t>
      </w:r>
      <w:r w:rsidRPr="007B3402" w:rsidR="0029455C">
        <w:rPr>
          <w:rFonts w:eastAsia="Times New Roman" w:cs="Times New Roman"/>
          <w:szCs w:val="24"/>
        </w:rPr>
        <w:t xml:space="preserve">. </w:t>
      </w:r>
      <w:r w:rsidRPr="007B3402" w:rsidR="000D6DFD">
        <w:rPr>
          <w:rFonts w:eastAsia="Times New Roman" w:cs="Times New Roman"/>
          <w:szCs w:val="24"/>
        </w:rPr>
        <w:t xml:space="preserve">Columbia’s CEP spending </w:t>
      </w:r>
      <w:r w:rsidRPr="007B3402" w:rsidR="00A30E4F">
        <w:rPr>
          <w:rFonts w:eastAsia="Times New Roman" w:cs="Times New Roman"/>
          <w:szCs w:val="24"/>
        </w:rPr>
        <w:t xml:space="preserve">is growing at a much faster rate than the number of customers in its service territory. </w:t>
      </w:r>
    </w:p>
    <w:p w:rsidR="00F140F8" w:rsidRPr="007B3402" w:rsidP="00AE0912">
      <w:pPr>
        <w:spacing w:after="0" w:line="480" w:lineRule="auto"/>
        <w:ind w:firstLine="720"/>
        <w:rPr>
          <w:rFonts w:cs="Times New Roman"/>
          <w:szCs w:val="24"/>
        </w:rPr>
      </w:pPr>
      <w:r w:rsidRPr="007B3402">
        <w:rPr>
          <w:rFonts w:cs="Times New Roman"/>
          <w:szCs w:val="24"/>
        </w:rPr>
        <w:t xml:space="preserve">The PUCO should require Columbia to </w:t>
      </w:r>
      <w:r w:rsidR="00BB2C3D">
        <w:rPr>
          <w:rFonts w:cs="Times New Roman"/>
          <w:szCs w:val="24"/>
        </w:rPr>
        <w:t xml:space="preserve">work with the PUCO Staff and OCC to </w:t>
      </w:r>
      <w:r w:rsidRPr="007B3402">
        <w:rPr>
          <w:rFonts w:cs="Times New Roman"/>
          <w:szCs w:val="24"/>
        </w:rPr>
        <w:t xml:space="preserve">amend its </w:t>
      </w:r>
      <w:r w:rsidRPr="007B3402">
        <w:rPr>
          <w:rFonts w:eastAsia="Times New Roman" w:cs="Times New Roman"/>
          <w:szCs w:val="24"/>
        </w:rPr>
        <w:t xml:space="preserve">policies and procedures </w:t>
      </w:r>
      <w:r w:rsidRPr="007B3402">
        <w:rPr>
          <w:rFonts w:cs="Times New Roman"/>
          <w:szCs w:val="24"/>
        </w:rPr>
        <w:t>to protect consumers from being charged for assets that are not used and useful or are overbuilt for growth projects that do not result in the expected growth.</w:t>
      </w:r>
      <w:r w:rsidRPr="007B3402" w:rsidR="0029455C">
        <w:rPr>
          <w:rFonts w:cs="Times New Roman"/>
          <w:szCs w:val="24"/>
        </w:rPr>
        <w:t xml:space="preserve"> </w:t>
      </w:r>
      <w:r w:rsidR="00FB215A">
        <w:rPr>
          <w:rFonts w:cs="Times New Roman"/>
          <w:szCs w:val="24"/>
        </w:rPr>
        <w:t>For example, Blue Ridge noted that putting main in a subdivision can be speculative, but utilities can cover such risk by asking builders/developers for refundable, interest bearing deposits.</w:t>
      </w:r>
      <w:r>
        <w:rPr>
          <w:rStyle w:val="FootnoteReference"/>
          <w:rFonts w:cs="Times New Roman"/>
          <w:szCs w:val="24"/>
        </w:rPr>
        <w:footnoteReference w:id="3"/>
      </w:r>
      <w:r w:rsidR="00FB215A">
        <w:rPr>
          <w:rFonts w:cs="Times New Roman"/>
          <w:szCs w:val="24"/>
        </w:rPr>
        <w:t xml:space="preserve"> </w:t>
      </w:r>
      <w:r w:rsidR="0094234E">
        <w:rPr>
          <w:rFonts w:cs="Times New Roman"/>
          <w:szCs w:val="24"/>
        </w:rPr>
        <w:t xml:space="preserve">The PUCO should direct </w:t>
      </w:r>
      <w:r w:rsidR="00A70027">
        <w:rPr>
          <w:rFonts w:cs="Times New Roman"/>
          <w:szCs w:val="24"/>
        </w:rPr>
        <w:t xml:space="preserve">Columbia </w:t>
      </w:r>
      <w:r w:rsidR="00AE0912">
        <w:rPr>
          <w:rFonts w:cs="Times New Roman"/>
          <w:szCs w:val="24"/>
        </w:rPr>
        <w:t>to</w:t>
      </w:r>
      <w:r w:rsidR="00A70027">
        <w:rPr>
          <w:rFonts w:cs="Times New Roman"/>
          <w:szCs w:val="24"/>
        </w:rPr>
        <w:t xml:space="preserve"> work with PUCO Staff and OCC to develop consumer-protection policies that prevent overbuilding, which can increase CEP charges to consumers.</w:t>
      </w:r>
    </w:p>
    <w:p w:rsidR="007953C0" w:rsidRPr="007B3402" w:rsidP="00F140F8">
      <w:pPr>
        <w:pStyle w:val="Heading2"/>
      </w:pPr>
      <w:bookmarkStart w:id="6" w:name="_Toc527383941"/>
      <w:r w:rsidRPr="007B3402">
        <w:t xml:space="preserve">Objection </w:t>
      </w:r>
      <w:r w:rsidRPr="007B3402" w:rsidR="00A30E4F">
        <w:t>2</w:t>
      </w:r>
      <w:r w:rsidRPr="007B3402">
        <w:t xml:space="preserve"> - </w:t>
      </w:r>
      <w:r w:rsidRPr="007B3402">
        <w:t xml:space="preserve">The </w:t>
      </w:r>
      <w:r w:rsidRPr="007B3402" w:rsidR="00BF790F">
        <w:t xml:space="preserve">PUCO </w:t>
      </w:r>
      <w:r w:rsidRPr="007B3402">
        <w:t xml:space="preserve">Staff Report </w:t>
      </w:r>
      <w:r w:rsidRPr="007B3402" w:rsidR="00A30E4F">
        <w:t xml:space="preserve">should have </w:t>
      </w:r>
      <w:r w:rsidRPr="007B3402" w:rsidR="00B309DC">
        <w:t>required</w:t>
      </w:r>
      <w:r w:rsidRPr="007B3402" w:rsidR="003A7C4C">
        <w:t xml:space="preserve"> Columbia </w:t>
      </w:r>
      <w:r w:rsidRPr="007B3402" w:rsidR="00B309DC">
        <w:t xml:space="preserve">to </w:t>
      </w:r>
      <w:r w:rsidRPr="007B3402" w:rsidR="003A7C4C">
        <w:t xml:space="preserve">identify meter relocation costs that should not have been </w:t>
      </w:r>
      <w:r w:rsidRPr="007B3402" w:rsidR="00876071">
        <w:t>charged to consumers under</w:t>
      </w:r>
      <w:r w:rsidRPr="007B3402" w:rsidR="003A7C4C">
        <w:t xml:space="preserve"> the CEP</w:t>
      </w:r>
      <w:r w:rsidRPr="007B3402" w:rsidR="00B309DC">
        <w:t xml:space="preserve"> and track the number and cost of meter relocations on an annual basis for relocated meters that are either expensed or capitalized</w:t>
      </w:r>
      <w:r w:rsidRPr="007B3402">
        <w:t>.</w:t>
      </w:r>
      <w:bookmarkEnd w:id="6"/>
    </w:p>
    <w:p w:rsidR="007953C0" w:rsidRPr="007B3402" w:rsidP="007953C0">
      <w:pPr>
        <w:spacing w:after="0" w:line="480" w:lineRule="auto"/>
        <w:rPr>
          <w:rFonts w:cs="Times New Roman"/>
          <w:szCs w:val="24"/>
        </w:rPr>
      </w:pPr>
      <w:r w:rsidRPr="007B3402">
        <w:rPr>
          <w:rFonts w:eastAsia="Times New Roman" w:cs="Times New Roman"/>
          <w:szCs w:val="24"/>
        </w:rPr>
        <w:tab/>
      </w:r>
      <w:r w:rsidRPr="007B3402">
        <w:rPr>
          <w:rFonts w:cs="Times New Roman"/>
          <w:szCs w:val="24"/>
        </w:rPr>
        <w:t xml:space="preserve">The </w:t>
      </w:r>
      <w:r w:rsidRPr="007B3402" w:rsidR="00432B07">
        <w:rPr>
          <w:rFonts w:cs="Times New Roman"/>
          <w:szCs w:val="24"/>
        </w:rPr>
        <w:t xml:space="preserve">PUCO </w:t>
      </w:r>
      <w:r w:rsidRPr="007B3402">
        <w:rPr>
          <w:rFonts w:cs="Times New Roman"/>
          <w:szCs w:val="24"/>
        </w:rPr>
        <w:t xml:space="preserve">Staff </w:t>
      </w:r>
      <w:r w:rsidRPr="007B3402" w:rsidR="00432B07">
        <w:rPr>
          <w:rFonts w:cs="Times New Roman"/>
          <w:szCs w:val="24"/>
        </w:rPr>
        <w:t>recommended</w:t>
      </w:r>
      <w:r w:rsidRPr="007B3402">
        <w:rPr>
          <w:rFonts w:cs="Times New Roman"/>
          <w:szCs w:val="24"/>
        </w:rPr>
        <w:t xml:space="preserve"> that Columbia work with the</w:t>
      </w:r>
      <w:r w:rsidRPr="007B3402" w:rsidR="00104321">
        <w:rPr>
          <w:rFonts w:cs="Times New Roman"/>
          <w:szCs w:val="24"/>
        </w:rPr>
        <w:t xml:space="preserve"> PUCO</w:t>
      </w:r>
      <w:r w:rsidRPr="007B3402">
        <w:rPr>
          <w:rFonts w:cs="Times New Roman"/>
          <w:szCs w:val="24"/>
        </w:rPr>
        <w:t xml:space="preserve"> Staff to better identify proper accounting for meter relocation projects.</w:t>
      </w:r>
      <w:r>
        <w:rPr>
          <w:rFonts w:cs="Times New Roman"/>
          <w:szCs w:val="24"/>
          <w:vertAlign w:val="superscript"/>
        </w:rPr>
        <w:footnoteReference w:id="4"/>
      </w:r>
      <w:r w:rsidRPr="007B3402">
        <w:rPr>
          <w:rFonts w:cs="Times New Roman"/>
          <w:szCs w:val="24"/>
        </w:rPr>
        <w:t xml:space="preserve">  </w:t>
      </w:r>
      <w:r w:rsidRPr="007B3402" w:rsidR="00A30E4F">
        <w:rPr>
          <w:rFonts w:cs="Times New Roman"/>
          <w:szCs w:val="24"/>
        </w:rPr>
        <w:t xml:space="preserve">More specifically, </w:t>
      </w:r>
      <w:r w:rsidRPr="007B3402" w:rsidR="00A30E4F">
        <w:rPr>
          <w:rFonts w:eastAsia="Times New Roman" w:cs="Times New Roman"/>
          <w:szCs w:val="24"/>
        </w:rPr>
        <w:t xml:space="preserve">the PUCO Staff recommended that Columbia work with Staff to </w:t>
      </w:r>
      <w:r w:rsidR="0094234E">
        <w:rPr>
          <w:rFonts w:eastAsia="Times New Roman" w:cs="Times New Roman"/>
          <w:szCs w:val="24"/>
        </w:rPr>
        <w:t>“</w:t>
      </w:r>
      <w:r w:rsidRPr="007B3402" w:rsidR="00A30E4F">
        <w:rPr>
          <w:rFonts w:eastAsia="Times New Roman" w:cs="Times New Roman"/>
          <w:szCs w:val="24"/>
        </w:rPr>
        <w:t>determine how the activity and costs should be tracked in order to clarify how meter movement should be recorded (capital or expense) in various situations and how to ensure the integrity of the process.”</w:t>
      </w:r>
      <w:r>
        <w:rPr>
          <w:rStyle w:val="FootnoteReference"/>
          <w:rFonts w:eastAsia="Times New Roman" w:cs="Times New Roman"/>
          <w:szCs w:val="24"/>
        </w:rPr>
        <w:footnoteReference w:id="5"/>
      </w:r>
      <w:r w:rsidRPr="007B3402" w:rsidR="00A30E4F">
        <w:rPr>
          <w:rFonts w:eastAsia="Times New Roman" w:cs="Times New Roman"/>
          <w:szCs w:val="24"/>
        </w:rPr>
        <w:t xml:space="preserve"> </w:t>
      </w:r>
      <w:r w:rsidRPr="007B3402" w:rsidR="0030510D">
        <w:rPr>
          <w:rFonts w:cs="Times New Roman"/>
          <w:szCs w:val="24"/>
        </w:rPr>
        <w:t xml:space="preserve">However, the PUCO Staff failed to identify meter relocation costs that should not have been collected from customers. </w:t>
      </w:r>
      <w:r w:rsidRPr="007B3402">
        <w:rPr>
          <w:rFonts w:cs="Times New Roman"/>
          <w:szCs w:val="24"/>
        </w:rPr>
        <w:t xml:space="preserve">Blue Ridge reported that when Columbia moves meters from inside to outside </w:t>
      </w:r>
      <w:r w:rsidRPr="007B3402" w:rsidR="001F2910">
        <w:rPr>
          <w:rFonts w:cs="Times New Roman"/>
          <w:szCs w:val="24"/>
        </w:rPr>
        <w:t>a</w:t>
      </w:r>
      <w:r w:rsidRPr="007B3402">
        <w:rPr>
          <w:rFonts w:cs="Times New Roman"/>
          <w:szCs w:val="24"/>
        </w:rPr>
        <w:t xml:space="preserve"> residence, the work is typically charged as an operations and maintenance (“O&amp;M”) expense.</w:t>
      </w:r>
      <w:r>
        <w:rPr>
          <w:rFonts w:cs="Times New Roman"/>
          <w:szCs w:val="24"/>
          <w:vertAlign w:val="superscript"/>
        </w:rPr>
        <w:footnoteReference w:id="6"/>
      </w:r>
      <w:r w:rsidRPr="007B3402">
        <w:rPr>
          <w:rFonts w:cs="Times New Roman"/>
          <w:szCs w:val="24"/>
        </w:rPr>
        <w:t xml:space="preserve"> However, when relocation of the meter is performed in conjunction with a service line replacement, the entire project is capitalized under the CEP.</w:t>
      </w:r>
      <w:r>
        <w:rPr>
          <w:rFonts w:cs="Times New Roman"/>
          <w:szCs w:val="24"/>
          <w:vertAlign w:val="superscript"/>
        </w:rPr>
        <w:footnoteReference w:id="7"/>
      </w:r>
      <w:r w:rsidRPr="007B3402">
        <w:rPr>
          <w:rFonts w:cs="Times New Roman"/>
          <w:szCs w:val="24"/>
        </w:rPr>
        <w:t xml:space="preserve">  Therefore, Columbia has an incentive to delay meter relocations until the work can </w:t>
      </w:r>
      <w:r w:rsidRPr="007B3402" w:rsidR="001F2910">
        <w:rPr>
          <w:rFonts w:cs="Times New Roman"/>
          <w:szCs w:val="24"/>
        </w:rPr>
        <w:t xml:space="preserve">be </w:t>
      </w:r>
      <w:r w:rsidRPr="007B3402">
        <w:rPr>
          <w:rFonts w:cs="Times New Roman"/>
          <w:szCs w:val="24"/>
        </w:rPr>
        <w:t xml:space="preserve">capitalized as part of a service line replacement.  Columbia does not track the number of meter relocations on an annual basis or know the cost for relocated meters that are either expensed or capitalized. </w:t>
      </w:r>
      <w:r>
        <w:rPr>
          <w:rFonts w:cs="Times New Roman"/>
          <w:szCs w:val="24"/>
          <w:vertAlign w:val="superscript"/>
        </w:rPr>
        <w:footnoteReference w:id="8"/>
      </w:r>
      <w:r w:rsidRPr="007B3402">
        <w:rPr>
          <w:rFonts w:cs="Times New Roman"/>
          <w:szCs w:val="24"/>
        </w:rPr>
        <w:t xml:space="preserve"> Blue Ridge recommended that Columbia track meter relocations more closely in order to demonstrate that the cost of meter relocations are properly included in </w:t>
      </w:r>
      <w:r w:rsidR="00BB2C3D">
        <w:rPr>
          <w:rFonts w:cs="Times New Roman"/>
          <w:szCs w:val="24"/>
        </w:rPr>
        <w:t xml:space="preserve">the </w:t>
      </w:r>
      <w:r w:rsidRPr="007B3402">
        <w:rPr>
          <w:rFonts w:cs="Times New Roman"/>
          <w:szCs w:val="24"/>
        </w:rPr>
        <w:t>CEP.</w:t>
      </w:r>
      <w:r>
        <w:rPr>
          <w:rFonts w:cs="Times New Roman"/>
          <w:szCs w:val="24"/>
          <w:vertAlign w:val="superscript"/>
        </w:rPr>
        <w:footnoteReference w:id="9"/>
      </w:r>
    </w:p>
    <w:p w:rsidR="00F140F8" w:rsidP="0094234E">
      <w:pPr>
        <w:spacing w:after="0" w:line="480" w:lineRule="auto"/>
        <w:ind w:firstLine="720"/>
        <w:rPr>
          <w:rFonts w:cs="Times New Roman"/>
          <w:szCs w:val="24"/>
        </w:rPr>
      </w:pPr>
      <w:r w:rsidRPr="007B3402">
        <w:rPr>
          <w:rFonts w:cs="Times New Roman"/>
          <w:szCs w:val="24"/>
        </w:rPr>
        <w:t>T</w:t>
      </w:r>
      <w:r w:rsidRPr="007B3402" w:rsidR="007953C0">
        <w:rPr>
          <w:rFonts w:cs="Times New Roman"/>
          <w:szCs w:val="24"/>
        </w:rPr>
        <w:t xml:space="preserve">he </w:t>
      </w:r>
      <w:r w:rsidRPr="007B3402" w:rsidR="00104321">
        <w:rPr>
          <w:rFonts w:cs="Times New Roman"/>
          <w:szCs w:val="24"/>
        </w:rPr>
        <w:t xml:space="preserve">PUCO </w:t>
      </w:r>
      <w:r w:rsidRPr="007B3402" w:rsidR="007953C0">
        <w:rPr>
          <w:rFonts w:cs="Times New Roman"/>
          <w:szCs w:val="24"/>
        </w:rPr>
        <w:t xml:space="preserve">Staff Report failed to recommend a disallowance for all meter relocation costs that Columbia has included in the CEP if </w:t>
      </w:r>
      <w:r w:rsidRPr="007B3402" w:rsidR="000D31DD">
        <w:rPr>
          <w:rFonts w:cs="Times New Roman"/>
          <w:szCs w:val="24"/>
        </w:rPr>
        <w:t>Columbia</w:t>
      </w:r>
      <w:r w:rsidRPr="007B3402" w:rsidR="007953C0">
        <w:rPr>
          <w:rFonts w:cs="Times New Roman"/>
          <w:szCs w:val="24"/>
        </w:rPr>
        <w:t xml:space="preserve"> is unable to demonstrate that the costs should have been capitalized under the CEP. </w:t>
      </w:r>
      <w:r w:rsidR="0094234E">
        <w:rPr>
          <w:rFonts w:cs="Times New Roman"/>
          <w:szCs w:val="24"/>
        </w:rPr>
        <w:t>T</w:t>
      </w:r>
      <w:r w:rsidR="00AE0912">
        <w:rPr>
          <w:rFonts w:cs="Times New Roman"/>
          <w:szCs w:val="24"/>
        </w:rPr>
        <w:t>he PUCO should direct</w:t>
      </w:r>
      <w:r w:rsidRPr="007B3402" w:rsidR="00AE0912">
        <w:rPr>
          <w:rFonts w:cs="Times New Roman"/>
          <w:szCs w:val="24"/>
        </w:rPr>
        <w:t xml:space="preserve"> </w:t>
      </w:r>
      <w:r w:rsidR="0094234E">
        <w:rPr>
          <w:rFonts w:cs="Times New Roman"/>
          <w:szCs w:val="24"/>
        </w:rPr>
        <w:t xml:space="preserve">the next CEP audit to identify those costs that should not have been capitalized under the CEP and charged to consumers. Further, the PUCO should direct </w:t>
      </w:r>
      <w:r w:rsidRPr="007B3402" w:rsidR="00AE0912">
        <w:rPr>
          <w:rFonts w:cs="Times New Roman"/>
          <w:szCs w:val="24"/>
        </w:rPr>
        <w:t xml:space="preserve">Columbia </w:t>
      </w:r>
      <w:r w:rsidR="00AE0912">
        <w:rPr>
          <w:rFonts w:cs="Times New Roman"/>
          <w:szCs w:val="24"/>
        </w:rPr>
        <w:t xml:space="preserve">to </w:t>
      </w:r>
      <w:r w:rsidRPr="007B3402" w:rsidR="00AE0912">
        <w:rPr>
          <w:rFonts w:cs="Times New Roman"/>
          <w:szCs w:val="24"/>
        </w:rPr>
        <w:t xml:space="preserve">work with </w:t>
      </w:r>
      <w:r w:rsidR="00AE0912">
        <w:rPr>
          <w:rFonts w:cs="Times New Roman"/>
          <w:szCs w:val="24"/>
        </w:rPr>
        <w:t xml:space="preserve">both </w:t>
      </w:r>
      <w:r w:rsidRPr="007B3402" w:rsidR="00AE0912">
        <w:rPr>
          <w:rFonts w:cs="Times New Roman"/>
          <w:szCs w:val="24"/>
        </w:rPr>
        <w:t xml:space="preserve">the PUCO Staff </w:t>
      </w:r>
      <w:r w:rsidR="00AE0912">
        <w:rPr>
          <w:rFonts w:cs="Times New Roman"/>
          <w:szCs w:val="24"/>
        </w:rPr>
        <w:t xml:space="preserve">and interested parties (such as OCC) </w:t>
      </w:r>
      <w:r w:rsidRPr="007B3402" w:rsidR="00AE0912">
        <w:rPr>
          <w:rFonts w:cs="Times New Roman"/>
          <w:szCs w:val="24"/>
        </w:rPr>
        <w:t>to better identify proper accounting for meter relocation projects</w:t>
      </w:r>
      <w:r w:rsidR="00AE0912">
        <w:rPr>
          <w:rFonts w:cs="Times New Roman"/>
          <w:szCs w:val="24"/>
        </w:rPr>
        <w:t xml:space="preserve">. </w:t>
      </w:r>
      <w:r w:rsidRPr="007B3402" w:rsidR="007953C0">
        <w:rPr>
          <w:rFonts w:cs="Times New Roman"/>
          <w:szCs w:val="24"/>
        </w:rPr>
        <w:t>Customers already pay meter relocation expenses in base rates and should not have to pay the same costs again under the CEP.</w:t>
      </w:r>
    </w:p>
    <w:p w:rsidR="00645396" w:rsidRPr="0094234E" w:rsidP="00645396">
      <w:pPr>
        <w:spacing w:after="0" w:line="240" w:lineRule="auto"/>
        <w:ind w:firstLine="720"/>
        <w:rPr>
          <w:rFonts w:cs="Times New Roman"/>
          <w:szCs w:val="24"/>
        </w:rPr>
      </w:pPr>
    </w:p>
    <w:p w:rsidR="000277E8" w:rsidRPr="007B3402" w:rsidP="00E57090">
      <w:pPr>
        <w:pStyle w:val="Heading1"/>
      </w:pPr>
      <w:bookmarkStart w:id="7" w:name="_Toc527383947"/>
      <w:r w:rsidRPr="007B3402">
        <w:t>III.</w:t>
      </w:r>
      <w:r w:rsidRPr="007B3402">
        <w:tab/>
      </w:r>
      <w:r w:rsidRPr="007B3402">
        <w:t>CONCLUSION</w:t>
      </w:r>
      <w:bookmarkEnd w:id="7"/>
    </w:p>
    <w:p w:rsidR="00F140F8" w:rsidRPr="007B3402" w:rsidP="007B3402">
      <w:pPr>
        <w:spacing w:after="0" w:line="480" w:lineRule="auto"/>
        <w:ind w:firstLine="720"/>
        <w:rPr>
          <w:rFonts w:cs="Times New Roman"/>
          <w:szCs w:val="24"/>
        </w:rPr>
      </w:pPr>
      <w:r w:rsidRPr="007B3402">
        <w:rPr>
          <w:rFonts w:eastAsia="Times New Roman" w:cs="Times New Roman"/>
          <w:szCs w:val="24"/>
        </w:rPr>
        <w:t xml:space="preserve">OCC’s recommendations, if adopted, would protect consumers from </w:t>
      </w:r>
      <w:r w:rsidRPr="007B3402" w:rsidR="00D76D04">
        <w:rPr>
          <w:rFonts w:eastAsia="Times New Roman" w:cs="Times New Roman"/>
          <w:szCs w:val="24"/>
        </w:rPr>
        <w:t xml:space="preserve">higher rates resulting from ever-increasing </w:t>
      </w:r>
      <w:r w:rsidRPr="007B3402">
        <w:rPr>
          <w:rFonts w:eastAsia="Times New Roman" w:cs="Times New Roman"/>
          <w:szCs w:val="24"/>
        </w:rPr>
        <w:t xml:space="preserve">capital </w:t>
      </w:r>
      <w:r w:rsidRPr="007B3402" w:rsidR="00104321">
        <w:rPr>
          <w:rFonts w:eastAsia="Times New Roman" w:cs="Times New Roman"/>
          <w:szCs w:val="24"/>
        </w:rPr>
        <w:t>spending by Columbia</w:t>
      </w:r>
      <w:r w:rsidRPr="007B3402">
        <w:rPr>
          <w:rFonts w:eastAsia="Times New Roman" w:cs="Times New Roman"/>
          <w:szCs w:val="24"/>
        </w:rPr>
        <w:t xml:space="preserve">. The PUCO Staff Report should have </w:t>
      </w:r>
      <w:r w:rsidRPr="007B3402" w:rsidR="00D76D04">
        <w:rPr>
          <w:rFonts w:eastAsia="Times New Roman" w:cs="Times New Roman"/>
          <w:szCs w:val="24"/>
        </w:rPr>
        <w:t>gone further</w:t>
      </w:r>
      <w:r w:rsidRPr="007B3402">
        <w:rPr>
          <w:rFonts w:eastAsia="Times New Roman" w:cs="Times New Roman"/>
          <w:szCs w:val="24"/>
        </w:rPr>
        <w:t xml:space="preserve"> to protect consumers from capital spending in excess of what was actually ne</w:t>
      </w:r>
      <w:r w:rsidRPr="007B3402" w:rsidR="005B7CB7">
        <w:rPr>
          <w:rFonts w:eastAsia="Times New Roman" w:cs="Times New Roman"/>
          <w:szCs w:val="24"/>
        </w:rPr>
        <w:t>eded</w:t>
      </w:r>
      <w:r w:rsidRPr="007B3402">
        <w:rPr>
          <w:rFonts w:eastAsia="Times New Roman" w:cs="Times New Roman"/>
          <w:szCs w:val="24"/>
        </w:rPr>
        <w:t>. Customers should not be forced to pay more than what is needed</w:t>
      </w:r>
      <w:r w:rsidR="00606B46">
        <w:rPr>
          <w:rFonts w:eastAsia="Times New Roman" w:cs="Times New Roman"/>
          <w:szCs w:val="24"/>
        </w:rPr>
        <w:t xml:space="preserve"> to provide them utility service</w:t>
      </w:r>
      <w:r w:rsidRPr="007B3402">
        <w:rPr>
          <w:rFonts w:eastAsia="Times New Roman" w:cs="Times New Roman"/>
          <w:szCs w:val="24"/>
        </w:rPr>
        <w:t>.</w:t>
      </w:r>
    </w:p>
    <w:p w:rsidR="00645396">
      <w:pPr>
        <w:rPr>
          <w:rFonts w:cs="Times New Roman"/>
          <w:szCs w:val="24"/>
        </w:rPr>
      </w:pPr>
      <w:r>
        <w:rPr>
          <w:rFonts w:cs="Times New Roman"/>
          <w:szCs w:val="24"/>
        </w:rPr>
        <w:br w:type="page"/>
      </w:r>
    </w:p>
    <w:p w:rsidR="00600A2D" w:rsidRPr="007B3402" w:rsidP="00447CFD">
      <w:pPr>
        <w:widowControl w:val="0"/>
        <w:spacing w:after="0" w:line="240" w:lineRule="auto"/>
        <w:ind w:left="2880" w:right="-672" w:firstLine="720"/>
        <w:rPr>
          <w:rFonts w:cs="Times New Roman"/>
          <w:szCs w:val="24"/>
        </w:rPr>
      </w:pPr>
      <w:r w:rsidRPr="007B3402">
        <w:rPr>
          <w:rFonts w:cs="Times New Roman"/>
          <w:szCs w:val="24"/>
        </w:rPr>
        <w:t>Respectfully submitted,</w:t>
      </w:r>
    </w:p>
    <w:p w:rsidR="00600A2D" w:rsidRPr="007B3402" w:rsidP="00600A2D">
      <w:pPr>
        <w:widowControl w:val="0"/>
        <w:spacing w:after="0" w:line="240" w:lineRule="auto"/>
        <w:ind w:left="3600" w:right="-672" w:firstLine="720"/>
        <w:rPr>
          <w:rFonts w:cs="Times New Roman"/>
          <w:szCs w:val="24"/>
        </w:rPr>
      </w:pPr>
    </w:p>
    <w:p w:rsidR="00447CFD" w:rsidRPr="007B3402" w:rsidP="00447CFD">
      <w:pPr>
        <w:spacing w:after="0" w:line="240" w:lineRule="auto"/>
        <w:ind w:left="3600"/>
        <w:rPr>
          <w:rFonts w:cs="Times New Roman"/>
          <w:szCs w:val="24"/>
        </w:rPr>
      </w:pPr>
      <w:r w:rsidRPr="007B3402">
        <w:rPr>
          <w:rFonts w:cs="Times New Roman"/>
          <w:szCs w:val="24"/>
        </w:rPr>
        <w:t xml:space="preserve">Bruce Weston </w:t>
      </w:r>
      <w:r w:rsidRPr="007B3402">
        <w:rPr>
          <w:rFonts w:cs="Times New Roman"/>
          <w:szCs w:val="24"/>
        </w:rPr>
        <w:t>(0016973)</w:t>
      </w:r>
    </w:p>
    <w:p w:rsidR="00447CFD" w:rsidRPr="007B3402" w:rsidP="00480BA8">
      <w:pPr>
        <w:spacing w:after="0" w:line="240" w:lineRule="auto"/>
        <w:ind w:left="2880" w:firstLine="720"/>
        <w:rPr>
          <w:rFonts w:cs="Times New Roman"/>
          <w:szCs w:val="24"/>
        </w:rPr>
      </w:pPr>
      <w:r w:rsidRPr="007B3402">
        <w:rPr>
          <w:rFonts w:cs="Times New Roman"/>
          <w:szCs w:val="24"/>
        </w:rPr>
        <w:t>Ohio Consumers’ Counsel</w:t>
      </w:r>
    </w:p>
    <w:p w:rsidR="00E57090" w:rsidRPr="007B3402" w:rsidP="00480BA8">
      <w:pPr>
        <w:spacing w:after="0" w:line="240" w:lineRule="auto"/>
        <w:ind w:left="2880" w:firstLine="720"/>
        <w:rPr>
          <w:rFonts w:cs="Times New Roman"/>
          <w:szCs w:val="24"/>
        </w:rPr>
      </w:pPr>
    </w:p>
    <w:p w:rsidR="00E57090" w:rsidRPr="007B3402" w:rsidP="00480BA8">
      <w:pPr>
        <w:spacing w:after="0" w:line="240" w:lineRule="auto"/>
        <w:ind w:left="2880" w:firstLine="720"/>
        <w:rPr>
          <w:rFonts w:cs="Times New Roman"/>
          <w:i/>
          <w:szCs w:val="24"/>
          <w:u w:val="single"/>
        </w:rPr>
      </w:pPr>
      <w:r w:rsidRPr="007B3402">
        <w:rPr>
          <w:rFonts w:cs="Times New Roman"/>
          <w:i/>
          <w:szCs w:val="24"/>
          <w:u w:val="single"/>
        </w:rPr>
        <w:t>/s/ Bryce A. McKenney</w:t>
      </w:r>
    </w:p>
    <w:p w:rsidR="00447CFD" w:rsidRPr="007B3402" w:rsidP="00447CFD">
      <w:pPr>
        <w:spacing w:after="0" w:line="240" w:lineRule="auto"/>
        <w:ind w:firstLine="3600"/>
        <w:rPr>
          <w:rFonts w:cs="Times New Roman"/>
          <w:szCs w:val="24"/>
        </w:rPr>
      </w:pPr>
      <w:r w:rsidRPr="007B3402">
        <w:rPr>
          <w:rFonts w:cs="Times New Roman"/>
          <w:szCs w:val="24"/>
        </w:rPr>
        <w:t>Bryce A. McKenney (0088203)</w:t>
      </w:r>
    </w:p>
    <w:p w:rsidR="00447CFD" w:rsidRPr="007B3402" w:rsidP="00447CFD">
      <w:pPr>
        <w:spacing w:after="0" w:line="240" w:lineRule="auto"/>
        <w:ind w:firstLine="3600"/>
        <w:rPr>
          <w:rFonts w:cs="Times New Roman"/>
          <w:szCs w:val="24"/>
        </w:rPr>
      </w:pPr>
      <w:r w:rsidRPr="007B3402">
        <w:rPr>
          <w:rFonts w:cs="Times New Roman"/>
          <w:szCs w:val="24"/>
        </w:rPr>
        <w:t>Counsel of Record</w:t>
      </w:r>
    </w:p>
    <w:p w:rsidR="00206DEA" w:rsidRPr="007B3402" w:rsidP="00206DEA">
      <w:pPr>
        <w:spacing w:after="0" w:line="240" w:lineRule="auto"/>
        <w:ind w:firstLine="3600"/>
        <w:rPr>
          <w:rFonts w:cs="Times New Roman"/>
          <w:szCs w:val="24"/>
        </w:rPr>
      </w:pPr>
      <w:r w:rsidRPr="007B3402">
        <w:rPr>
          <w:rFonts w:cs="Times New Roman"/>
          <w:szCs w:val="24"/>
        </w:rPr>
        <w:t>Ambrosia Logsdon (0096598)</w:t>
      </w:r>
    </w:p>
    <w:p w:rsidR="00206DEA" w:rsidRPr="007B3402" w:rsidP="00206DEA">
      <w:pPr>
        <w:spacing w:after="0" w:line="240" w:lineRule="auto"/>
        <w:ind w:firstLine="3600"/>
        <w:rPr>
          <w:rFonts w:cs="Times New Roman"/>
          <w:szCs w:val="24"/>
        </w:rPr>
      </w:pPr>
      <w:r w:rsidRPr="007B3402">
        <w:rPr>
          <w:rFonts w:cs="Times New Roman"/>
          <w:szCs w:val="24"/>
        </w:rPr>
        <w:t>Assistant Consumers’ Counsel</w:t>
      </w:r>
    </w:p>
    <w:p w:rsidR="00447CFD" w:rsidRPr="007B3402" w:rsidP="00447CFD">
      <w:pPr>
        <w:spacing w:after="0" w:line="240" w:lineRule="auto"/>
        <w:ind w:firstLine="3600"/>
        <w:rPr>
          <w:rFonts w:cs="Times New Roman"/>
          <w:szCs w:val="24"/>
        </w:rPr>
      </w:pPr>
    </w:p>
    <w:p w:rsidR="00447CFD" w:rsidRPr="007B3402" w:rsidP="00447CFD">
      <w:pPr>
        <w:spacing w:after="0" w:line="240" w:lineRule="auto"/>
        <w:ind w:firstLine="3600"/>
        <w:rPr>
          <w:rFonts w:cs="Times New Roman"/>
          <w:b/>
          <w:szCs w:val="24"/>
        </w:rPr>
      </w:pPr>
      <w:r w:rsidRPr="007B3402">
        <w:rPr>
          <w:rFonts w:cs="Times New Roman"/>
          <w:b/>
          <w:szCs w:val="24"/>
        </w:rPr>
        <w:t>Office of the Ohio Consumers’ Counsel</w:t>
      </w:r>
    </w:p>
    <w:p w:rsidR="00447CFD" w:rsidRPr="007B3402" w:rsidP="00447CFD">
      <w:pPr>
        <w:spacing w:after="0" w:line="240" w:lineRule="auto"/>
        <w:ind w:firstLine="3600"/>
        <w:rPr>
          <w:rFonts w:cs="Times New Roman"/>
          <w:szCs w:val="24"/>
        </w:rPr>
      </w:pPr>
      <w:r w:rsidRPr="007B3402">
        <w:rPr>
          <w:rFonts w:cs="Times New Roman"/>
          <w:szCs w:val="24"/>
        </w:rPr>
        <w:t>65 East State Street, 7</w:t>
      </w:r>
      <w:r w:rsidRPr="007B3402">
        <w:rPr>
          <w:rFonts w:cs="Times New Roman"/>
          <w:szCs w:val="24"/>
          <w:vertAlign w:val="superscript"/>
        </w:rPr>
        <w:t>th</w:t>
      </w:r>
      <w:r w:rsidRPr="007B3402">
        <w:rPr>
          <w:rFonts w:cs="Times New Roman"/>
          <w:szCs w:val="24"/>
        </w:rPr>
        <w:t xml:space="preserve"> Floor</w:t>
      </w:r>
    </w:p>
    <w:p w:rsidR="00447CFD" w:rsidRPr="007B3402" w:rsidP="00447CFD">
      <w:pPr>
        <w:spacing w:after="0" w:line="240" w:lineRule="auto"/>
        <w:ind w:firstLine="3600"/>
        <w:rPr>
          <w:rFonts w:cs="Times New Roman"/>
          <w:szCs w:val="24"/>
        </w:rPr>
      </w:pPr>
      <w:r w:rsidRPr="007B3402">
        <w:rPr>
          <w:rFonts w:cs="Times New Roman"/>
          <w:szCs w:val="24"/>
        </w:rPr>
        <w:t>Columbus, Ohio 43215-4213</w:t>
      </w:r>
    </w:p>
    <w:p w:rsidR="00447CFD" w:rsidRPr="007B3402" w:rsidP="00447CFD">
      <w:pPr>
        <w:spacing w:after="0" w:line="240" w:lineRule="auto"/>
        <w:ind w:firstLine="3600"/>
        <w:rPr>
          <w:rFonts w:cs="Times New Roman"/>
          <w:szCs w:val="24"/>
        </w:rPr>
      </w:pPr>
      <w:r w:rsidRPr="007B3402">
        <w:rPr>
          <w:rFonts w:cs="Times New Roman"/>
          <w:szCs w:val="24"/>
        </w:rPr>
        <w:t>Telephone:  McKenney Direct – 614-</w:t>
      </w:r>
      <w:r w:rsidRPr="007B3402" w:rsidR="00F140F8">
        <w:rPr>
          <w:rFonts w:cs="Times New Roman"/>
          <w:szCs w:val="24"/>
        </w:rPr>
        <w:t>466-</w:t>
      </w:r>
      <w:r w:rsidRPr="007B3402">
        <w:rPr>
          <w:rFonts w:cs="Times New Roman"/>
          <w:szCs w:val="24"/>
        </w:rPr>
        <w:t>9585</w:t>
      </w:r>
    </w:p>
    <w:p w:rsidR="00F140F8" w:rsidRPr="007B3402" w:rsidP="00447CFD">
      <w:pPr>
        <w:spacing w:after="0" w:line="240" w:lineRule="auto"/>
        <w:ind w:firstLine="3600"/>
        <w:rPr>
          <w:rFonts w:cs="Times New Roman"/>
          <w:szCs w:val="24"/>
        </w:rPr>
      </w:pPr>
      <w:r w:rsidRPr="007B3402">
        <w:rPr>
          <w:rFonts w:cs="Times New Roman"/>
          <w:szCs w:val="24"/>
        </w:rPr>
        <w:t>Telephone:  Logsdon Direct – 614-466-1292</w:t>
      </w:r>
    </w:p>
    <w:p w:rsidR="00F140F8" w:rsidRPr="007B3402" w:rsidP="00447CFD">
      <w:pPr>
        <w:spacing w:after="0" w:line="240" w:lineRule="auto"/>
        <w:ind w:firstLine="3600"/>
        <w:rPr>
          <w:rStyle w:val="Hyperlink"/>
          <w:rFonts w:cs="Times New Roman"/>
          <w:color w:val="auto"/>
          <w:szCs w:val="24"/>
          <w:u w:val="none"/>
        </w:rPr>
      </w:pPr>
      <w:r>
        <w:fldChar w:fldCharType="begin"/>
      </w:r>
      <w:r>
        <w:instrText xml:space="preserve"> HYPERLINK "mailto:Bryce.mckenney@occ.ohio.gov" </w:instrText>
      </w:r>
      <w:r>
        <w:fldChar w:fldCharType="separate"/>
      </w:r>
      <w:r w:rsidRPr="007B3402">
        <w:rPr>
          <w:rStyle w:val="Hyperlink"/>
          <w:rFonts w:cs="Times New Roman"/>
          <w:szCs w:val="24"/>
        </w:rPr>
        <w:t>Bryce.mckenney@occ.ohio.gov</w:t>
      </w:r>
      <w:r>
        <w:fldChar w:fldCharType="end"/>
      </w:r>
    </w:p>
    <w:p w:rsidR="00F140F8" w:rsidRPr="007B3402" w:rsidP="00447CFD">
      <w:pPr>
        <w:spacing w:after="0" w:line="240" w:lineRule="auto"/>
        <w:ind w:firstLine="3600"/>
        <w:rPr>
          <w:rFonts w:cs="Times New Roman"/>
          <w:szCs w:val="24"/>
        </w:rPr>
      </w:pPr>
      <w:r>
        <w:fldChar w:fldCharType="begin"/>
      </w:r>
      <w:r>
        <w:instrText xml:space="preserve"> HYPERLINK "mailto:Ambrosia.logsdon@occ.ohio.gov" </w:instrText>
      </w:r>
      <w:r>
        <w:fldChar w:fldCharType="separate"/>
      </w:r>
      <w:r w:rsidRPr="007B3402">
        <w:rPr>
          <w:rStyle w:val="Hyperlink"/>
          <w:rFonts w:cs="Times New Roman"/>
          <w:szCs w:val="24"/>
        </w:rPr>
        <w:t>Ambrosia.logsdon@occ.ohio.gov</w:t>
      </w:r>
      <w:r>
        <w:fldChar w:fldCharType="end"/>
      </w:r>
    </w:p>
    <w:p w:rsidR="00447CFD" w:rsidRPr="007B3402" w:rsidP="00447CFD">
      <w:pPr>
        <w:spacing w:after="0" w:line="240" w:lineRule="auto"/>
        <w:ind w:firstLine="3600"/>
        <w:rPr>
          <w:rFonts w:cs="Times New Roman"/>
          <w:szCs w:val="24"/>
        </w:rPr>
        <w:sectPr w:rsidSect="009D391C">
          <w:footerReference w:type="default" r:id="rId11"/>
          <w:pgSz w:w="12240" w:h="15840"/>
          <w:pgMar w:top="1350" w:right="1800" w:bottom="1440" w:left="1800" w:header="720" w:footer="720" w:gutter="0"/>
          <w:cols w:space="720"/>
          <w:docGrid w:linePitch="360"/>
        </w:sectPr>
      </w:pPr>
      <w:r w:rsidRPr="007B3402">
        <w:rPr>
          <w:rFonts w:cs="Times New Roman"/>
          <w:szCs w:val="24"/>
        </w:rPr>
        <w:t>(Will accept service via email)</w:t>
      </w:r>
    </w:p>
    <w:p w:rsidR="00600A2D" w:rsidRPr="007B3402" w:rsidP="00600A2D">
      <w:pPr>
        <w:spacing w:after="0" w:line="480" w:lineRule="auto"/>
        <w:ind w:firstLine="720"/>
        <w:jc w:val="center"/>
        <w:rPr>
          <w:rFonts w:eastAsiaTheme="minorEastAsia" w:cs="Times New Roman"/>
          <w:b/>
          <w:szCs w:val="24"/>
          <w:u w:val="single"/>
        </w:rPr>
      </w:pPr>
      <w:r w:rsidRPr="007B3402">
        <w:rPr>
          <w:rFonts w:eastAsiaTheme="minorEastAsia" w:cs="Times New Roman"/>
          <w:b/>
          <w:szCs w:val="24"/>
          <w:u w:val="single"/>
        </w:rPr>
        <w:t>CERTIFICATE OF SERVICE</w:t>
      </w:r>
    </w:p>
    <w:p w:rsidR="00600A2D" w:rsidRPr="007B3402" w:rsidP="00600A2D">
      <w:pPr>
        <w:spacing w:after="0" w:line="480" w:lineRule="auto"/>
        <w:ind w:firstLine="720"/>
        <w:rPr>
          <w:rFonts w:eastAsiaTheme="minorEastAsia" w:cs="Times New Roman"/>
          <w:szCs w:val="24"/>
        </w:rPr>
      </w:pPr>
      <w:r w:rsidRPr="007B3402">
        <w:rPr>
          <w:rFonts w:eastAsiaTheme="minorEastAsia" w:cs="Times New Roman"/>
          <w:szCs w:val="24"/>
        </w:rPr>
        <w:t>I hereby certify that a copy of th</w:t>
      </w:r>
      <w:r w:rsidRPr="007B3402" w:rsidR="00E57090">
        <w:rPr>
          <w:rFonts w:eastAsiaTheme="minorEastAsia" w:cs="Times New Roman"/>
          <w:szCs w:val="24"/>
        </w:rPr>
        <w:t>ese Objections</w:t>
      </w:r>
      <w:r w:rsidRPr="007B3402" w:rsidR="007E1D85">
        <w:rPr>
          <w:rFonts w:eastAsiaTheme="minorEastAsia" w:cs="Times New Roman"/>
          <w:szCs w:val="24"/>
        </w:rPr>
        <w:t xml:space="preserve"> </w:t>
      </w:r>
      <w:r w:rsidRPr="007B3402">
        <w:rPr>
          <w:rFonts w:eastAsiaTheme="minorEastAsia" w:cs="Times New Roman"/>
          <w:szCs w:val="24"/>
        </w:rPr>
        <w:t xml:space="preserve">was served on the persons stated below via electronic transmission, this </w:t>
      </w:r>
      <w:r w:rsidRPr="007B3402" w:rsidR="00151263">
        <w:rPr>
          <w:rFonts w:eastAsiaTheme="minorEastAsia" w:cs="Times New Roman"/>
          <w:szCs w:val="24"/>
        </w:rPr>
        <w:t>26</w:t>
      </w:r>
      <w:r w:rsidRPr="007B3402">
        <w:rPr>
          <w:rFonts w:eastAsiaTheme="minorEastAsia" w:cs="Times New Roman"/>
          <w:szCs w:val="24"/>
        </w:rPr>
        <w:t xml:space="preserve">th day of </w:t>
      </w:r>
      <w:r w:rsidRPr="007B3402" w:rsidR="00151263">
        <w:rPr>
          <w:rFonts w:eastAsiaTheme="minorEastAsia" w:cs="Times New Roman"/>
          <w:szCs w:val="24"/>
        </w:rPr>
        <w:t>July 2019</w:t>
      </w:r>
      <w:r w:rsidRPr="007B3402">
        <w:rPr>
          <w:rFonts w:eastAsiaTheme="minorEastAsia" w:cs="Times New Roman"/>
          <w:szCs w:val="24"/>
        </w:rPr>
        <w:t>.</w:t>
      </w:r>
    </w:p>
    <w:p w:rsidR="00600A2D" w:rsidRPr="007B3402" w:rsidP="00600A2D">
      <w:pPr>
        <w:spacing w:after="0" w:line="480" w:lineRule="auto"/>
        <w:ind w:firstLine="720"/>
        <w:rPr>
          <w:rFonts w:eastAsiaTheme="minorEastAsia" w:cs="Times New Roman"/>
          <w:szCs w:val="24"/>
        </w:rPr>
      </w:pPr>
    </w:p>
    <w:p w:rsidR="00600A2D" w:rsidRPr="007B3402" w:rsidP="00600A2D">
      <w:pPr>
        <w:tabs>
          <w:tab w:val="left" w:pos="4320"/>
        </w:tabs>
        <w:spacing w:after="0" w:line="240" w:lineRule="auto"/>
        <w:rPr>
          <w:rFonts w:cs="Times New Roman"/>
          <w:i/>
          <w:szCs w:val="24"/>
          <w:u w:val="single"/>
        </w:rPr>
      </w:pPr>
      <w:r w:rsidRPr="007B3402">
        <w:rPr>
          <w:rFonts w:cs="Times New Roman"/>
          <w:i/>
          <w:szCs w:val="24"/>
        </w:rPr>
        <w:tab/>
      </w:r>
      <w:r w:rsidRPr="007B3402">
        <w:rPr>
          <w:rFonts w:cs="Times New Roman"/>
          <w:i/>
          <w:szCs w:val="24"/>
          <w:u w:val="single"/>
        </w:rPr>
        <w:t xml:space="preserve">/s/ </w:t>
      </w:r>
      <w:r w:rsidRPr="007B3402" w:rsidR="00480BA8">
        <w:rPr>
          <w:rFonts w:cs="Times New Roman"/>
          <w:i/>
          <w:szCs w:val="24"/>
          <w:u w:val="single"/>
        </w:rPr>
        <w:t>Bryce McKenney</w:t>
      </w:r>
      <w:r w:rsidRPr="007B3402">
        <w:rPr>
          <w:rFonts w:cs="Times New Roman"/>
          <w:i/>
          <w:szCs w:val="24"/>
          <w:u w:val="single"/>
        </w:rPr>
        <w:t>__</w:t>
      </w:r>
    </w:p>
    <w:p w:rsidR="00600A2D" w:rsidRPr="007B3402" w:rsidP="00600A2D">
      <w:pPr>
        <w:tabs>
          <w:tab w:val="left" w:pos="4320"/>
        </w:tabs>
        <w:spacing w:after="0" w:line="240" w:lineRule="auto"/>
        <w:rPr>
          <w:rFonts w:cs="Times New Roman"/>
          <w:szCs w:val="24"/>
        </w:rPr>
      </w:pPr>
      <w:r w:rsidRPr="007B3402">
        <w:rPr>
          <w:rFonts w:cs="Times New Roman"/>
          <w:szCs w:val="24"/>
        </w:rPr>
        <w:tab/>
      </w:r>
      <w:r w:rsidRPr="007B3402" w:rsidR="00480BA8">
        <w:rPr>
          <w:rFonts w:cs="Times New Roman"/>
          <w:szCs w:val="24"/>
        </w:rPr>
        <w:t>Bryce A. McKenney</w:t>
      </w:r>
    </w:p>
    <w:p w:rsidR="00600A2D" w:rsidRPr="007B3402" w:rsidP="00600A2D">
      <w:pPr>
        <w:tabs>
          <w:tab w:val="left" w:pos="4320"/>
        </w:tabs>
        <w:spacing w:after="0" w:line="240" w:lineRule="auto"/>
        <w:rPr>
          <w:rFonts w:cs="Times New Roman"/>
          <w:szCs w:val="24"/>
        </w:rPr>
      </w:pPr>
      <w:r w:rsidRPr="007B3402">
        <w:rPr>
          <w:rFonts w:cs="Times New Roman"/>
          <w:szCs w:val="24"/>
        </w:rPr>
        <w:tab/>
      </w:r>
      <w:r w:rsidRPr="007B3402" w:rsidR="00480BA8">
        <w:rPr>
          <w:rFonts w:cs="Times New Roman"/>
          <w:szCs w:val="24"/>
        </w:rPr>
        <w:t>Assistant Consumers’ Counsel</w:t>
      </w:r>
    </w:p>
    <w:p w:rsidR="00600A2D" w:rsidRPr="007B3402" w:rsidP="00600A2D">
      <w:pPr>
        <w:tabs>
          <w:tab w:val="left" w:pos="4320"/>
        </w:tabs>
        <w:spacing w:after="0" w:line="240" w:lineRule="auto"/>
        <w:rPr>
          <w:rFonts w:cs="Times New Roman"/>
          <w:b/>
          <w:szCs w:val="24"/>
          <w:u w:val="single"/>
        </w:rPr>
      </w:pPr>
      <w:r w:rsidRPr="007B3402">
        <w:rPr>
          <w:rFonts w:cs="Times New Roman"/>
          <w:szCs w:val="24"/>
        </w:rPr>
        <w:tab/>
      </w:r>
    </w:p>
    <w:p w:rsidR="00600A2D" w:rsidP="00600A2D">
      <w:pPr>
        <w:pStyle w:val="CommentText"/>
        <w:jc w:val="center"/>
        <w:rPr>
          <w:b/>
          <w:u w:val="single"/>
        </w:rPr>
      </w:pPr>
    </w:p>
    <w:p w:rsidR="00AE3C73" w:rsidP="00AE3C73">
      <w:pPr>
        <w:pStyle w:val="CommentText"/>
        <w:jc w:val="center"/>
        <w:rPr>
          <w:b/>
          <w:u w:val="single"/>
        </w:rPr>
      </w:pPr>
      <w:r w:rsidRPr="00710E80">
        <w:rPr>
          <w:b/>
          <w:u w:val="single"/>
        </w:rPr>
        <w:t>SERVICE LIST</w:t>
      </w:r>
    </w:p>
    <w:p w:rsidR="00AE3C73" w:rsidP="00AE3C7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552A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AE3C73" w:rsidP="00F552AD">
            <w:pPr>
              <w:pStyle w:val="CommentText"/>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"mailto:jodi.bair@ohioattorneygeneral.gov" </w:instrText>
            </w:r>
            <w:r>
              <w:fldChar w:fldCharType="separate"/>
            </w:r>
            <w:r w:rsidRPr="003B142F">
              <w:rPr>
                <w:rStyle w:val="Hyperlink"/>
                <w:rFonts w:ascii="Times New Roman" w:eastAsia="Times New Roman" w:hAnsi="Times New Roman" w:cs="Times New Roman"/>
                <w:color w:val="0000FF"/>
                <w:sz w:val="24"/>
                <w:szCs w:val="24"/>
                <w:u w:val="single"/>
                <w:lang w:val="en-US" w:eastAsia="en-US" w:bidi="ar-SA"/>
              </w:rPr>
              <w:t>jodi.bair@ohioattorneygeneral.gov</w:t>
            </w:r>
            <w:r>
              <w:fldChar w:fldCharType="end"/>
            </w:r>
          </w:p>
          <w:p w:rsidR="00AE3C73" w:rsidRPr="00ED723F"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AE3C73"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rsidRPr="00ED723F">
              <w:rPr>
                <w:rFonts w:ascii="Times New Roman" w:eastAsia="Times New Roman" w:hAnsi="Times New Roman" w:cs="Times New Roman"/>
                <w:sz w:val="24"/>
                <w:szCs w:val="24"/>
                <w:lang w:val="en-US" w:eastAsia="en-US" w:bidi="ar-SA"/>
              </w:rPr>
              <w:t>Attorney Examiner:</w:t>
            </w:r>
          </w:p>
          <w:p w:rsidR="00AE3C73" w:rsidRPr="00ED723F"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AE3C73"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"mailto:patricia.schabo@puco.ohio.gov.state.oh.us" </w:instrText>
            </w:r>
            <w:r>
              <w:fldChar w:fldCharType="separate"/>
            </w:r>
            <w:r w:rsidRPr="004351CA">
              <w:rPr>
                <w:rStyle w:val="Hyperlink"/>
                <w:rFonts w:ascii="Times New Roman" w:eastAsia="Times New Roman" w:hAnsi="Times New Roman" w:cs="Times New Roman"/>
                <w:color w:val="0000FF"/>
                <w:sz w:val="24"/>
                <w:szCs w:val="24"/>
                <w:u w:val="single"/>
                <w:lang w:val="en-US" w:eastAsia="en-US" w:bidi="ar-SA"/>
              </w:rPr>
              <w:t>patricia.schabo@puco.ohio.gov.</w:t>
            </w:r>
            <w:r>
              <w:fldChar w:fldCharType="end"/>
            </w:r>
          </w:p>
          <w:p w:rsidR="00AE3C73" w:rsidRPr="00ED723F"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rsidRPr="00ED723F">
              <w:rPr>
                <w:rFonts w:ascii="Times New Roman" w:eastAsia="Times New Roman" w:hAnsi="Times New Roman" w:cs="Times New Roman"/>
                <w:sz w:val="24"/>
                <w:szCs w:val="24"/>
                <w:lang w:val="en-US" w:eastAsia="en-US" w:bidi="ar-SA"/>
              </w:rPr>
              <w:t xml:space="preserve">  </w:t>
            </w:r>
          </w:p>
        </w:tc>
        <w:tc>
          <w:tcPr>
            <w:tcW w:w="4315" w:type="dxa"/>
          </w:tcPr>
          <w:p w:rsidR="00AE3C73" w:rsidP="00F552AD">
            <w:pPr>
              <w:pStyle w:val="CommentText"/>
              <w:spacing w:after="0" w:line="240" w:lineRule="auto"/>
              <w:ind w:left="705"/>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"mailto:sseiple@nisource.com" </w:instrText>
            </w:r>
            <w:r>
              <w:fldChar w:fldCharType="separate"/>
            </w:r>
            <w:r w:rsidRPr="004351CA">
              <w:rPr>
                <w:rStyle w:val="Hyperlink"/>
                <w:rFonts w:ascii="Times New Roman" w:eastAsia="Times New Roman" w:hAnsi="Times New Roman" w:cs="Times New Roman"/>
                <w:color w:val="0000FF"/>
                <w:sz w:val="24"/>
                <w:szCs w:val="24"/>
                <w:u w:val="single"/>
                <w:lang w:val="en-US" w:eastAsia="en-US" w:bidi="ar-SA"/>
              </w:rPr>
              <w:t>sseiple@nisource.com</w:t>
            </w:r>
            <w:r>
              <w:fldChar w:fldCharType="end"/>
            </w:r>
          </w:p>
          <w:p w:rsidR="00AE3C73" w:rsidP="00F552AD">
            <w:pPr>
              <w:pStyle w:val="CommentText"/>
              <w:spacing w:after="0" w:line="240" w:lineRule="auto"/>
              <w:ind w:left="705"/>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"mailto:josephclark@nisource.com" </w:instrText>
            </w:r>
            <w:r>
              <w:fldChar w:fldCharType="separate"/>
            </w:r>
            <w:r w:rsidRPr="004351CA">
              <w:rPr>
                <w:rStyle w:val="Hyperlink"/>
                <w:rFonts w:ascii="Times New Roman" w:eastAsia="Times New Roman" w:hAnsi="Times New Roman" w:cs="Times New Roman"/>
                <w:color w:val="0000FF"/>
                <w:sz w:val="24"/>
                <w:szCs w:val="24"/>
                <w:u w:val="single"/>
                <w:lang w:val="en-US" w:eastAsia="en-US" w:bidi="ar-SA"/>
              </w:rPr>
              <w:t>josephclark@nisource.com</w:t>
            </w:r>
            <w:r>
              <w:fldChar w:fldCharType="end"/>
            </w:r>
          </w:p>
          <w:p w:rsidR="00AE3C73" w:rsidP="00F552AD">
            <w:pPr>
              <w:pStyle w:val="CommentText"/>
              <w:spacing w:after="0" w:line="240" w:lineRule="auto"/>
              <w:ind w:left="705"/>
              <w:rPr>
                <w:rStyle w:val="Hyperlink"/>
                <w:rFonts w:ascii="Times New Roman" w:eastAsia="Times New Roman" w:hAnsi="Times New Roman" w:cs="Times New Roman"/>
                <w:color w:val="0000FF"/>
                <w:sz w:val="24"/>
                <w:szCs w:val="24"/>
                <w:u w:val="single"/>
                <w:lang w:val="en-US" w:eastAsia="en-US" w:bidi="ar-SA"/>
              </w:rPr>
            </w:pPr>
          </w:p>
          <w:p w:rsidR="00AE3C73" w:rsidRPr="00ED723F" w:rsidP="00F552AD">
            <w:pPr>
              <w:pStyle w:val="CommentText"/>
              <w:spacing w:after="0" w:line="240" w:lineRule="auto"/>
              <w:ind w:left="705"/>
              <w:rPr>
                <w:rStyle w:val="DefaultParagraphFont"/>
                <w:rFonts w:ascii="Times New Roman" w:eastAsia="Times New Roman" w:hAnsi="Times New Roman" w:cs="Times New Roman"/>
                <w:sz w:val="24"/>
                <w:szCs w:val="24"/>
                <w:lang w:val="en-US" w:eastAsia="en-US" w:bidi="ar-SA"/>
              </w:rPr>
            </w:pPr>
            <w:r w:rsidRPr="00ED723F">
              <w:rPr>
                <w:rFonts w:ascii="Times New Roman" w:eastAsia="Times New Roman" w:hAnsi="Times New Roman" w:cs="Times New Roman"/>
                <w:sz w:val="24"/>
                <w:szCs w:val="24"/>
                <w:lang w:val="en-US" w:eastAsia="en-US" w:bidi="ar-SA"/>
              </w:rPr>
              <w:t xml:space="preserve"> </w:t>
            </w:r>
          </w:p>
          <w:p w:rsidR="00AE3C73" w:rsidRPr="00ED723F"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AE3C73" w:rsidRPr="00ED723F" w:rsidP="00F552AD">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tc>
      </w:tr>
    </w:tbl>
    <w:p w:rsidR="00D76EE6" w:rsidRPr="007B3402" w:rsidP="00D76EE6">
      <w:pPr>
        <w:pStyle w:val="CommentText"/>
        <w:jc w:val="center"/>
        <w:rPr>
          <w:b/>
          <w:u w:val="single"/>
        </w:rPr>
      </w:pPr>
    </w:p>
    <w:p w:rsidR="00600A2D" w:rsidRPr="007B3402" w:rsidP="00600A2D">
      <w:pPr>
        <w:pStyle w:val="CommentText"/>
        <w:jc w:val="center"/>
        <w:rPr>
          <w:b/>
          <w:u w:val="single"/>
        </w:rPr>
      </w:pPr>
    </w:p>
    <w:sectPr w:rsidSect="00600A2D">
      <w:footerReference w:type="default" r:id="rId12"/>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3402">
    <w:pPr>
      <w:pStyle w:val="Footer"/>
      <w:jc w:val="center"/>
    </w:pPr>
  </w:p>
  <w:p w:rsidR="00600A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D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756700"/>
      <w:docPartObj>
        <w:docPartGallery w:val="Page Numbers (Bottom of Page)"/>
        <w:docPartUnique/>
      </w:docPartObj>
    </w:sdtPr>
    <w:sdtEndPr>
      <w:rPr>
        <w:noProof/>
      </w:rPr>
    </w:sdtEndPr>
    <w:sdtContent>
      <w:p w:rsidR="007B3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B340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A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48E4" w:rsidP="00600A2D">
      <w:pPr>
        <w:spacing w:after="0" w:line="240" w:lineRule="auto"/>
      </w:pPr>
      <w:r>
        <w:separator/>
      </w:r>
    </w:p>
  </w:footnote>
  <w:footnote w:type="continuationSeparator" w:id="1">
    <w:p w:rsidR="00C648E4" w:rsidP="00600A2D">
      <w:pPr>
        <w:spacing w:after="0" w:line="240" w:lineRule="auto"/>
      </w:pPr>
      <w:r>
        <w:continuationSeparator/>
      </w:r>
    </w:p>
  </w:footnote>
  <w:footnote w:id="2">
    <w:p w:rsidR="00D76D04" w:rsidRPr="00645396" w:rsidP="007B3402">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Audit Report at 52; Staff Report at 3.</w:t>
      </w:r>
    </w:p>
  </w:footnote>
  <w:footnote w:id="3">
    <w:p w:rsidR="00FB215A" w:rsidRPr="00645396" w:rsidP="00645396">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Audit Report at 52.</w:t>
      </w:r>
    </w:p>
  </w:footnote>
  <w:footnote w:id="4">
    <w:p w:rsidR="00600A2D" w:rsidRPr="00645396" w:rsidP="00645396">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Staff Report at </w:t>
      </w:r>
      <w:r w:rsidRPr="00645396" w:rsidR="0094234E">
        <w:rPr>
          <w:rFonts w:ascii="Times New Roman" w:hAnsi="Times New Roman" w:cs="Times New Roman"/>
        </w:rPr>
        <w:t>3</w:t>
      </w:r>
      <w:r w:rsidRPr="00645396">
        <w:rPr>
          <w:rFonts w:ascii="Times New Roman" w:hAnsi="Times New Roman" w:cs="Times New Roman"/>
        </w:rPr>
        <w:t>.</w:t>
      </w:r>
    </w:p>
  </w:footnote>
  <w:footnote w:id="5">
    <w:p w:rsidR="00A30E4F" w:rsidRPr="00645396" w:rsidP="00645396">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w:t>
      </w:r>
      <w:r w:rsidRPr="00645396" w:rsidR="0094234E">
        <w:rPr>
          <w:rFonts w:ascii="Times New Roman" w:hAnsi="Times New Roman" w:cs="Times New Roman"/>
          <w:i/>
          <w:iCs/>
        </w:rPr>
        <w:t>Id</w:t>
      </w:r>
      <w:r w:rsidRPr="00645396">
        <w:rPr>
          <w:rFonts w:ascii="Times New Roman" w:hAnsi="Times New Roman" w:cs="Times New Roman"/>
        </w:rPr>
        <w:t>.</w:t>
      </w:r>
    </w:p>
  </w:footnote>
  <w:footnote w:id="6">
    <w:p w:rsidR="00600A2D" w:rsidRPr="00645396" w:rsidP="00645396">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Audit Report at </w:t>
      </w:r>
      <w:r w:rsidRPr="00645396" w:rsidR="00D76D04">
        <w:rPr>
          <w:rFonts w:ascii="Times New Roman" w:hAnsi="Times New Roman" w:cs="Times New Roman"/>
        </w:rPr>
        <w:t>11</w:t>
      </w:r>
      <w:r w:rsidRPr="00645396">
        <w:rPr>
          <w:rFonts w:ascii="Times New Roman" w:hAnsi="Times New Roman" w:cs="Times New Roman"/>
        </w:rPr>
        <w:t>.</w:t>
      </w:r>
    </w:p>
  </w:footnote>
  <w:footnote w:id="7">
    <w:p w:rsidR="00600A2D" w:rsidRPr="00645396" w:rsidP="00645396">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w:t>
      </w:r>
      <w:r w:rsidRPr="00A70A24">
        <w:rPr>
          <w:rFonts w:ascii="Times New Roman" w:hAnsi="Times New Roman" w:cs="Times New Roman"/>
          <w:i/>
          <w:iCs/>
        </w:rPr>
        <w:t>Id.</w:t>
      </w:r>
    </w:p>
  </w:footnote>
  <w:footnote w:id="8">
    <w:p w:rsidR="00600A2D" w:rsidRPr="00645396" w:rsidP="007B3402">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w:t>
      </w:r>
      <w:r w:rsidRPr="00645396" w:rsidR="0094234E">
        <w:rPr>
          <w:rFonts w:ascii="Times New Roman" w:hAnsi="Times New Roman" w:cs="Times New Roman"/>
        </w:rPr>
        <w:t>Audit Report at 11</w:t>
      </w:r>
      <w:r w:rsidRPr="00645396">
        <w:rPr>
          <w:rFonts w:ascii="Times New Roman" w:hAnsi="Times New Roman" w:cs="Times New Roman"/>
        </w:rPr>
        <w:t>.</w:t>
      </w:r>
    </w:p>
  </w:footnote>
  <w:footnote w:id="9">
    <w:p w:rsidR="00600A2D" w:rsidRPr="00645396" w:rsidP="007B3402">
      <w:pPr>
        <w:pStyle w:val="FootnoteText"/>
        <w:spacing w:after="120"/>
        <w:rPr>
          <w:rFonts w:ascii="Times New Roman" w:hAnsi="Times New Roman" w:cs="Times New Roman"/>
        </w:rPr>
      </w:pPr>
      <w:r w:rsidRPr="00645396">
        <w:rPr>
          <w:rStyle w:val="FootnoteReference"/>
          <w:rFonts w:ascii="Times New Roman" w:hAnsi="Times New Roman" w:cs="Times New Roman"/>
        </w:rPr>
        <w:footnoteRef/>
      </w:r>
      <w:r w:rsidRPr="00645396">
        <w:rPr>
          <w:rFonts w:ascii="Times New Roman" w:hAnsi="Times New Roman" w:cs="Times New Roman"/>
        </w:rPr>
        <w:t xml:space="preserve"> </w:t>
      </w:r>
      <w:r w:rsidRPr="00A70A24">
        <w:rPr>
          <w:rFonts w:ascii="Times New Roman" w:hAnsi="Times New Roman" w:cs="Times New Roman"/>
          <w:i/>
          <w:iCs/>
        </w:rPr>
        <w:t>Id</w:t>
      </w:r>
      <w:r w:rsidRPr="0064539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CB38AA2A"/>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844277D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93C805A"/>
    <w:lvl w:ilvl="0">
      <w:start w:val="1"/>
      <w:numFmt w:val="bullet"/>
      <w:lvlText w:val=""/>
      <w:lvlJc w:val="left"/>
      <w:pPr>
        <w:tabs>
          <w:tab w:val="num" w:pos="360"/>
        </w:tabs>
        <w:ind w:left="360" w:hanging="360"/>
      </w:pPr>
      <w:rPr>
        <w:rFonts w:ascii="Symbol" w:hAnsi="Symbol" w:hint="default"/>
      </w:rPr>
    </w:lvl>
  </w:abstractNum>
  <w:abstractNum w:abstractNumId="3">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23078B"/>
    <w:multiLevelType w:val="hybridMultilevel"/>
    <w:tmpl w:val="FE164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47848A7"/>
    <w:multiLevelType w:val="hybridMultilevel"/>
    <w:tmpl w:val="E28A5D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EDE51AB"/>
    <w:multiLevelType w:val="hybridMultilevel"/>
    <w:tmpl w:val="782A43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5021736"/>
    <w:multiLevelType w:val="hybridMultilevel"/>
    <w:tmpl w:val="E8CA4A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8"/>
  </w:num>
  <w:num w:numId="6">
    <w:abstractNumId w:val="11"/>
  </w:num>
  <w:num w:numId="7">
    <w:abstractNumId w:val="6"/>
  </w:num>
  <w:num w:numId="8">
    <w:abstractNumId w:val="7"/>
  </w:num>
  <w:num w:numId="9">
    <w:abstractNumId w:val="12"/>
  </w:num>
  <w:num w:numId="10">
    <w:abstractNumId w:val="1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90"/>
    <w:rPr>
      <w:rFonts w:ascii="Times New Roman" w:hAnsi="Times New Roman"/>
      <w:sz w:val="24"/>
    </w:rPr>
  </w:style>
  <w:style w:type="paragraph" w:styleId="Heading1">
    <w:name w:val="heading 1"/>
    <w:basedOn w:val="Normal"/>
    <w:next w:val="Normal"/>
    <w:link w:val="Heading1Char"/>
    <w:autoRedefine/>
    <w:uiPriority w:val="9"/>
    <w:qFormat/>
    <w:rsid w:val="009D391C"/>
    <w:pPr>
      <w:keepNext/>
      <w:keepLines/>
      <w:spacing w:after="240" w:line="240" w:lineRule="auto"/>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F140F8"/>
    <w:pPr>
      <w:spacing w:after="240" w:line="240" w:lineRule="auto"/>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E57090"/>
    <w:pPr>
      <w:keepNext/>
      <w:tabs>
        <w:tab w:val="left" w:pos="720"/>
        <w:tab w:val="left" w:pos="1440"/>
      </w:tabs>
      <w:spacing w:after="240" w:line="240" w:lineRule="auto"/>
      <w:ind w:left="144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090"/>
    <w:rPr>
      <w:rFonts w:ascii="Times New Roman Bold" w:hAnsi="Times New Roman Bold" w:eastAsiaTheme="majorEastAsia" w:cstheme="majorBidi"/>
      <w:b/>
      <w:bCs/>
      <w:sz w:val="24"/>
      <w:szCs w:val="20"/>
    </w:rPr>
  </w:style>
  <w:style w:type="character" w:styleId="Hyperlink">
    <w:name w:val="Hyperlink"/>
    <w:basedOn w:val="DefaultParagraphFont"/>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9D391C"/>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F140F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706D"/>
    <w:pPr>
      <w:tabs>
        <w:tab w:val="left" w:pos="720"/>
        <w:tab w:val="decimal" w:leader="dot" w:pos="8640"/>
      </w:tabs>
      <w:spacing w:after="240" w:line="240" w:lineRule="auto"/>
      <w:ind w:left="720" w:hanging="720"/>
      <w:outlineLvl w:val="0"/>
    </w:pPr>
  </w:style>
  <w:style w:type="paragraph" w:styleId="TOC2">
    <w:name w:val="toc 2"/>
    <w:basedOn w:val="Normal"/>
    <w:next w:val="Normal"/>
    <w:autoRedefine/>
    <w:uiPriority w:val="39"/>
    <w:unhideWhenUsed/>
    <w:qFormat/>
    <w:rsid w:val="00E57090"/>
    <w:pPr>
      <w:tabs>
        <w:tab w:val="left" w:pos="720"/>
        <w:tab w:val="decimal" w:leader="dot" w:pos="8640"/>
      </w:tabs>
      <w:spacing w:after="240" w:line="240" w:lineRule="auto"/>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
    <w:name w:val="Body Text"/>
    <w:basedOn w:val="Normal"/>
    <w:link w:val="BodyTextChar"/>
    <w:rsid w:val="00342E9A"/>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342E9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447CFD"/>
    <w:rPr>
      <w:color w:val="808080"/>
      <w:shd w:val="clear" w:color="auto" w:fill="E6E6E6"/>
    </w:rPr>
  </w:style>
  <w:style w:type="table" w:customStyle="1" w:styleId="TableGrid1">
    <w:name w:val="Table Grid1"/>
    <w:basedOn w:val="TableNormal"/>
    <w:next w:val="TableGrid"/>
    <w:uiPriority w:val="59"/>
    <w:rsid w:val="002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E6F1B3-B215-4B81-9FAF-0B874215FC28}">
  <we:reference id="wa104380757" version="1.0.0.0" store="en-US" storeType="OMEX"/>
  <we:alternateReferences>
    <we:reference id="wa104380757" version="1.0.0.0" store="WA10438075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COH CEP Objections (19-438-GA-RDR)  (00137065.DOCX;3)</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2019-07-26T13:56:29Z</dcterms:created>
  <dcterms:modified xsi:type="dcterms:W3CDTF">2019-07-26T13:56:29Z</dcterms:modified>
</cp:coreProperties>
</file>