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02087" w:rsidRPr="00B76A60" w:rsidP="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B76A60">
        <w:rPr>
          <w:rFonts w:ascii="Times New Roman" w:eastAsia="Calibri" w:hAnsi="Times New Roman" w:cs="Times New Roman"/>
          <w:b/>
          <w:bCs/>
          <w:sz w:val="24"/>
          <w:szCs w:val="24"/>
        </w:rPr>
        <w:t>BEFORE</w:t>
      </w:r>
    </w:p>
    <w:p w:rsidR="00402087" w:rsidRPr="00B76A60" w:rsidP="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76A60">
        <w:rPr>
          <w:rFonts w:ascii="Times New Roman" w:eastAsia="Calibri" w:hAnsi="Times New Roman" w:cs="Times New Roman"/>
          <w:b/>
          <w:bCs/>
          <w:sz w:val="24"/>
          <w:szCs w:val="24"/>
        </w:rPr>
        <w:t>THE PUBLIC UTILITIES COMMISSION OF OHIO</w:t>
      </w:r>
    </w:p>
    <w:p w:rsidR="00402087" w:rsidRPr="00B76A60" w:rsidP="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Look w:val="01E0"/>
      </w:tblPr>
      <w:tblGrid>
        <w:gridCol w:w="4332"/>
        <w:gridCol w:w="360"/>
        <w:gridCol w:w="4400"/>
      </w:tblGrid>
      <w:tr w:rsidTr="006677E5">
        <w:tblPrEx>
          <w:tblW w:w="9092" w:type="dxa"/>
          <w:tblInd w:w="-106" w:type="dxa"/>
          <w:tblLook w:val="01E0"/>
        </w:tblPrEx>
        <w:trPr>
          <w:trHeight w:val="807"/>
        </w:trPr>
        <w:tc>
          <w:tcPr>
            <w:tcW w:w="4332" w:type="dxa"/>
          </w:tcPr>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In the Matter of the Application of </w:t>
            </w: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the Dayton Power and Light Company for</w:t>
            </w: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Approval of its Electric Security Plan.</w:t>
            </w: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In the Matter of the Application of the Dayton Power and Light Company for Approval of Revised Tariffs.</w:t>
            </w: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In the Matter of the Application of the Dayton Power and Light Company for Approval of Certain Accounting Authority Pursuant to Ohio Rev. Code § 4905.13.</w:t>
            </w:r>
          </w:p>
        </w:tc>
        <w:tc>
          <w:tcPr>
            <w:tcW w:w="360" w:type="dxa"/>
            <w:hideMark/>
          </w:tcPr>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tc>
        <w:tc>
          <w:tcPr>
            <w:tcW w:w="4400" w:type="dxa"/>
          </w:tcPr>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Case No. 16-0395-EL-SSO</w:t>
            </w: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Case No. 16-0396-EL-ATA</w:t>
            </w: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Case No. 16-0397-EL-AAM</w:t>
            </w:r>
          </w:p>
          <w:p w:rsidR="00402087" w:rsidRPr="00B76A60" w:rsidP="006677E5">
            <w:pPr>
              <w:autoSpaceDE w:val="0"/>
              <w:autoSpaceDN w:val="0"/>
              <w:adjustRightInd w:val="0"/>
              <w:spacing w:after="0"/>
              <w:rPr>
                <w:rFonts w:ascii="Times New Roman" w:eastAsia="Calibri" w:hAnsi="Times New Roman" w:cs="Times New Roman"/>
                <w:sz w:val="24"/>
                <w:szCs w:val="24"/>
              </w:rPr>
            </w:pPr>
          </w:p>
          <w:p w:rsidR="00402087" w:rsidRPr="00B76A60" w:rsidP="0066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tc>
      </w:tr>
    </w:tbl>
    <w:p w:rsidR="00402087" w:rsidRPr="00B76A60" w:rsidP="0040208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402087" w:rsidRPr="00B76A60" w:rsidP="00402087">
      <w:pPr>
        <w:autoSpaceDE w:val="0"/>
        <w:autoSpaceDN w:val="0"/>
        <w:adjustRightInd w:val="0"/>
        <w:spacing w:after="0" w:line="240" w:lineRule="auto"/>
        <w:rPr>
          <w:rFonts w:ascii="Times New Roman" w:eastAsia="Calibri" w:hAnsi="Times New Roman" w:cs="Times New Roman"/>
          <w:sz w:val="20"/>
          <w:szCs w:val="24"/>
        </w:rPr>
      </w:pPr>
    </w:p>
    <w:p w:rsidR="00402087" w:rsidRPr="00B76A60" w:rsidP="00402087">
      <w:pPr>
        <w:autoSpaceDE w:val="0"/>
        <w:autoSpaceDN w:val="0"/>
        <w:adjustRightInd w:val="0"/>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REPLY BRIEF</w:t>
      </w:r>
    </w:p>
    <w:p w:rsidR="00402087" w:rsidRPr="00B76A60" w:rsidP="00402087">
      <w:pPr>
        <w:autoSpaceDE w:val="0"/>
        <w:autoSpaceDN w:val="0"/>
        <w:adjustRightInd w:val="0"/>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BY</w:t>
      </w:r>
    </w:p>
    <w:p w:rsidR="00402087" w:rsidRPr="00B76A60" w:rsidP="00402087">
      <w:pPr>
        <w:autoSpaceDE w:val="0"/>
        <w:autoSpaceDN w:val="0"/>
        <w:adjustRightInd w:val="0"/>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THE OFFICE OF THE OHIO CONSUMERS’ COUNSEL</w:t>
      </w:r>
    </w:p>
    <w:p w:rsidR="00402087" w:rsidRPr="00B76A60" w:rsidP="0040208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402087" w:rsidRPr="00B76A60" w:rsidP="00402087">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02087" w:rsidRPr="00B76A60" w:rsidP="0040208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BRUCE WESTON (0016973)</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OHIO CONSUMERS’ COUNSEL</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b/>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William J. Michael, (0070921)</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Counsel of Record</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Kevin F. Moore (0089228)</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Ajay Kumar (0092208)</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Andrew Garver (PHV-10193-2017)</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Assistant Consumers’ Counsel</w:t>
      </w:r>
    </w:p>
    <w:p w:rsidR="00402087" w:rsidRPr="00B76A60" w:rsidP="00402087">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b/>
      </w:r>
    </w:p>
    <w:p w:rsidR="00402087" w:rsidRPr="00B76A60" w:rsidP="00402087">
      <w:pPr>
        <w:spacing w:after="0" w:line="240" w:lineRule="auto"/>
        <w:ind w:left="4320"/>
        <w:rPr>
          <w:rFonts w:ascii="Times New Roman" w:eastAsia="Times New Roman" w:hAnsi="Times New Roman" w:cs="Times New Roman"/>
          <w:b/>
          <w:sz w:val="24"/>
          <w:szCs w:val="24"/>
        </w:rPr>
      </w:pPr>
      <w:r w:rsidRPr="00B76A60">
        <w:rPr>
          <w:rFonts w:ascii="Times New Roman" w:eastAsia="Times New Roman" w:hAnsi="Times New Roman" w:cs="Times New Roman"/>
          <w:b/>
          <w:sz w:val="24"/>
          <w:szCs w:val="24"/>
        </w:rPr>
        <w:t>Office of the Ohio Consumers’ Counsel</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10 West Broad Street, Suite 1800</w:t>
      </w:r>
    </w:p>
    <w:p w:rsidR="00402087" w:rsidRPr="00B76A60" w:rsidP="00402087">
      <w:pPr>
        <w:spacing w:after="0" w:line="240" w:lineRule="auto"/>
        <w:ind w:left="4320"/>
        <w:rPr>
          <w:rFonts w:ascii="Times New Roman" w:eastAsia="Times New Roman" w:hAnsi="Times New Roman" w:cs="Times New Roman"/>
          <w:b/>
          <w:sz w:val="24"/>
          <w:szCs w:val="24"/>
        </w:rPr>
      </w:pPr>
      <w:r w:rsidRPr="00B76A60">
        <w:rPr>
          <w:rFonts w:ascii="Times New Roman" w:eastAsia="Times New Roman" w:hAnsi="Times New Roman" w:cs="Times New Roman"/>
          <w:sz w:val="24"/>
          <w:szCs w:val="24"/>
        </w:rPr>
        <w:t>Columbus, Ohio 43215-3485</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[Michael] (614) 466-1291</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[Moore] (614) 387-2965</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[Kumar] (614) 466-1292</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[Garver] (614) 466-9569</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william.michael@occ.ohio.gov</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kevin.moore@occ.ohio.gov</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ajay.kumar@occ.ohio.gov</w:t>
      </w:r>
    </w:p>
    <w:p w:rsidR="00402087" w:rsidRPr="00B76A60" w:rsidP="00402087">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andrew.garver@occ.ohio.gov</w:t>
      </w:r>
    </w:p>
    <w:p w:rsidR="00865D92" w:rsidRPr="00B76A60" w:rsidP="00402087">
      <w:pPr>
        <w:spacing w:after="0" w:line="240" w:lineRule="auto"/>
        <w:rPr>
          <w:rFonts w:ascii="Times New Roman" w:eastAsia="Times New Roman" w:hAnsi="Times New Roman" w:cs="Times New Roman"/>
          <w:sz w:val="24"/>
          <w:szCs w:val="24"/>
        </w:rPr>
        <w:sectPr w:rsidSect="00EE3469">
          <w:pgSz w:w="12240" w:h="15840"/>
          <w:pgMar w:top="1440" w:right="1800" w:bottom="1440" w:left="1800" w:header="720" w:footer="720" w:gutter="0"/>
          <w:pgNumType w:fmt="lowerRoman" w:start="1"/>
          <w:cols w:space="720"/>
          <w:docGrid w:linePitch="360"/>
        </w:sectPr>
      </w:pPr>
      <w:r w:rsidRPr="00B76A60">
        <w:rPr>
          <w:rFonts w:ascii="Times New Roman" w:eastAsia="Times New Roman" w:hAnsi="Times New Roman" w:cs="Times New Roman"/>
          <w:sz w:val="24"/>
          <w:szCs w:val="24"/>
        </w:rPr>
        <w:t>May 15, 2017</w:t>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t xml:space="preserve">            (Will accept service via email)</w:t>
      </w:r>
    </w:p>
    <w:p w:rsidR="00402087" w:rsidRPr="00B76A60" w:rsidP="00402087">
      <w:pPr>
        <w:spacing w:after="0" w:line="240" w:lineRule="auto"/>
        <w:jc w:val="center"/>
        <w:rPr>
          <w:rFonts w:ascii="Times New Roman" w:eastAsia="Times New Roman" w:hAnsi="Times New Roman" w:cs="Times New Roman"/>
          <w:b/>
          <w:sz w:val="24"/>
          <w:szCs w:val="24"/>
        </w:rPr>
      </w:pPr>
      <w:r w:rsidRPr="00B76A60">
        <w:rPr>
          <w:rFonts w:ascii="Times New Roman" w:eastAsia="Times New Roman" w:hAnsi="Times New Roman" w:cs="Times New Roman"/>
          <w:b/>
          <w:sz w:val="24"/>
          <w:szCs w:val="24"/>
        </w:rPr>
        <w:t>TABLE OF CONTENTS</w:t>
      </w:r>
    </w:p>
    <w:p w:rsidR="00402087" w:rsidRPr="00B76A60" w:rsidP="00402087">
      <w:pPr>
        <w:spacing w:after="0" w:line="240" w:lineRule="auto"/>
        <w:jc w:val="center"/>
        <w:rPr>
          <w:rFonts w:ascii="Times New Roman" w:eastAsia="Times New Roman" w:hAnsi="Times New Roman" w:cs="Times New Roman"/>
          <w:sz w:val="24"/>
          <w:szCs w:val="24"/>
        </w:rPr>
      </w:pPr>
    </w:p>
    <w:p w:rsidR="00402087" w:rsidRPr="00B76A60" w:rsidP="00402087">
      <w:pPr>
        <w:spacing w:after="0" w:line="240" w:lineRule="auto"/>
        <w:jc w:val="center"/>
        <w:rPr>
          <w:rFonts w:ascii="Times New Roman" w:eastAsia="Times New Roman" w:hAnsi="Times New Roman" w:cs="Times New Roman"/>
          <w:b/>
          <w:sz w:val="24"/>
          <w:szCs w:val="24"/>
        </w:rPr>
      </w:pP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b/>
          <w:sz w:val="24"/>
          <w:szCs w:val="24"/>
        </w:rPr>
        <w:t>PAGE</w:t>
      </w:r>
    </w:p>
    <w:p w:rsidR="00402087" w:rsidRPr="00B76A60" w:rsidP="00402087">
      <w:pPr>
        <w:spacing w:after="0" w:line="240" w:lineRule="auto"/>
        <w:jc w:val="center"/>
        <w:rPr>
          <w:rFonts w:ascii="Times New Roman" w:eastAsia="Times New Roman" w:hAnsi="Times New Roman" w:cs="Times New Roman"/>
          <w:b/>
          <w:sz w:val="24"/>
          <w:szCs w:val="24"/>
        </w:rPr>
      </w:pPr>
    </w:p>
    <w:p w:rsidR="00D2088B">
      <w:pPr>
        <w:pStyle w:val="TOC1"/>
        <w:tabs>
          <w:tab w:val="right" w:leader="dot" w:pos="8630"/>
        </w:tabs>
        <w:rPr>
          <w:rFonts w:asciiTheme="minorHAnsi" w:eastAsiaTheme="minorEastAsia" w:hAnsiTheme="minorHAnsi"/>
          <w:noProof/>
          <w:sz w:val="22"/>
        </w:rPr>
      </w:pPr>
      <w:r w:rsidRPr="00B76A60">
        <w:rPr>
          <w:rFonts w:eastAsia="Calibri" w:cs="Times New Roman"/>
          <w:b/>
          <w:bCs/>
          <w:szCs w:val="24"/>
        </w:rPr>
        <w:fldChar w:fldCharType="begin"/>
      </w:r>
      <w:r w:rsidRPr="00B76A60">
        <w:rPr>
          <w:rFonts w:eastAsia="Calibri" w:cs="Times New Roman"/>
          <w:b/>
          <w:bCs/>
          <w:szCs w:val="24"/>
        </w:rPr>
        <w:instrText xml:space="preserve"> TOC \o "1-3" \h \z \u </w:instrText>
      </w:r>
      <w:r w:rsidRPr="00B76A60">
        <w:rPr>
          <w:rFonts w:eastAsia="Calibri" w:cs="Times New Roman"/>
          <w:b/>
          <w:bCs/>
          <w:szCs w:val="24"/>
        </w:rPr>
        <w:fldChar w:fldCharType="separate"/>
      </w:r>
      <w:r>
        <w:fldChar w:fldCharType="begin"/>
      </w:r>
      <w:r>
        <w:instrText xml:space="preserve"> HYPERLINK \l "_Toc482612430" </w:instrText>
      </w:r>
      <w:r>
        <w:fldChar w:fldCharType="separate"/>
      </w:r>
      <w:r w:rsidRPr="006A7491">
        <w:rPr>
          <w:rStyle w:val="Hyperlink"/>
          <w:noProof/>
        </w:rPr>
        <w:t>I.</w:t>
      </w:r>
      <w:r>
        <w:rPr>
          <w:rFonts w:asciiTheme="minorHAnsi" w:eastAsiaTheme="minorEastAsia" w:hAnsiTheme="minorHAnsi"/>
          <w:noProof/>
          <w:sz w:val="22"/>
        </w:rPr>
        <w:tab/>
      </w:r>
      <w:r w:rsidRPr="006A7491">
        <w:rPr>
          <w:rStyle w:val="Hyperlink"/>
          <w:noProof/>
        </w:rPr>
        <w:t>INTRODUCTION</w:t>
      </w:r>
      <w:r>
        <w:rPr>
          <w:noProof/>
          <w:webHidden/>
        </w:rPr>
        <w:tab/>
      </w:r>
      <w:r>
        <w:rPr>
          <w:noProof/>
          <w:webHidden/>
        </w:rPr>
        <w:fldChar w:fldCharType="begin"/>
      </w:r>
      <w:r>
        <w:rPr>
          <w:noProof/>
          <w:webHidden/>
        </w:rPr>
        <w:instrText xml:space="preserve"> PAGEREF _Toc482612430 \h </w:instrText>
      </w:r>
      <w:r>
        <w:rPr>
          <w:noProof/>
          <w:webHidden/>
        </w:rPr>
        <w:fldChar w:fldCharType="separate"/>
      </w:r>
      <w:r>
        <w:rPr>
          <w:noProof/>
          <w:webHidden/>
        </w:rPr>
        <w:t>2</w:t>
      </w:r>
      <w:r>
        <w:rPr>
          <w:noProof/>
          <w:webHidden/>
        </w:rPr>
        <w:fldChar w:fldCharType="end"/>
      </w:r>
      <w:r>
        <w:fldChar w:fldCharType="end"/>
      </w:r>
    </w:p>
    <w:p w:rsidR="00D2088B">
      <w:pPr>
        <w:pStyle w:val="TOC1"/>
        <w:tabs>
          <w:tab w:val="right" w:leader="dot" w:pos="8630"/>
        </w:tabs>
        <w:rPr>
          <w:rFonts w:asciiTheme="minorHAnsi" w:eastAsiaTheme="minorEastAsia" w:hAnsiTheme="minorHAnsi"/>
          <w:noProof/>
          <w:sz w:val="22"/>
        </w:rPr>
      </w:pPr>
      <w:r>
        <w:fldChar w:fldCharType="begin"/>
      </w:r>
      <w:r>
        <w:instrText xml:space="preserve"> HYPERLINK \l "_Toc482612431" </w:instrText>
      </w:r>
      <w:r>
        <w:fldChar w:fldCharType="separate"/>
      </w:r>
      <w:r w:rsidRPr="006A7491">
        <w:rPr>
          <w:rStyle w:val="Hyperlink"/>
          <w:noProof/>
        </w:rPr>
        <w:t>II.</w:t>
      </w:r>
      <w:r>
        <w:rPr>
          <w:rFonts w:asciiTheme="minorHAnsi" w:eastAsiaTheme="minorEastAsia" w:hAnsiTheme="minorHAnsi"/>
          <w:noProof/>
          <w:sz w:val="22"/>
        </w:rPr>
        <w:tab/>
      </w:r>
      <w:r w:rsidRPr="006A7491">
        <w:rPr>
          <w:rStyle w:val="Hyperlink"/>
          <w:noProof/>
        </w:rPr>
        <w:t>RECOMMENDATIONS</w:t>
      </w:r>
      <w:r>
        <w:rPr>
          <w:noProof/>
          <w:webHidden/>
        </w:rPr>
        <w:tab/>
      </w:r>
      <w:r>
        <w:rPr>
          <w:noProof/>
          <w:webHidden/>
        </w:rPr>
        <w:fldChar w:fldCharType="begin"/>
      </w:r>
      <w:r>
        <w:rPr>
          <w:noProof/>
          <w:webHidden/>
        </w:rPr>
        <w:instrText xml:space="preserve"> PAGEREF _Toc482612431 \h </w:instrText>
      </w:r>
      <w:r>
        <w:rPr>
          <w:noProof/>
          <w:webHidden/>
        </w:rPr>
        <w:fldChar w:fldCharType="separate"/>
      </w:r>
      <w:r>
        <w:rPr>
          <w:noProof/>
          <w:webHidden/>
        </w:rPr>
        <w:t>4</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"_Toc482612432" </w:instrText>
      </w:r>
      <w:r>
        <w:fldChar w:fldCharType="separate"/>
      </w:r>
      <w:r w:rsidRPr="006A7491">
        <w:rPr>
          <w:rStyle w:val="Hyperlink"/>
          <w:noProof/>
        </w:rPr>
        <w:t>A.</w:t>
      </w:r>
      <w:r>
        <w:rPr>
          <w:rFonts w:asciiTheme="minorHAnsi" w:eastAsiaTheme="minorEastAsia" w:hAnsiTheme="minorHAnsi"/>
          <w:noProof/>
          <w:sz w:val="22"/>
        </w:rPr>
        <w:tab/>
      </w:r>
      <w:r w:rsidRPr="006A7491">
        <w:rPr>
          <w:rStyle w:val="Hyperlink"/>
          <w:noProof/>
        </w:rPr>
        <w:t>To protect consumers, the PUCO should follow the Ohio Supreme Court’s directive and find the DMR is an unlawful transition charge or equivalent revenue that DP&amp;L seeks to collect from customers.</w:t>
      </w:r>
      <w:r>
        <w:rPr>
          <w:noProof/>
          <w:webHidden/>
        </w:rPr>
        <w:tab/>
      </w:r>
      <w:r>
        <w:rPr>
          <w:noProof/>
          <w:webHidden/>
        </w:rPr>
        <w:fldChar w:fldCharType="begin"/>
      </w:r>
      <w:r>
        <w:rPr>
          <w:noProof/>
          <w:webHidden/>
        </w:rPr>
        <w:instrText xml:space="preserve"> PAGEREF _Toc482612432 \h </w:instrText>
      </w:r>
      <w:r>
        <w:rPr>
          <w:noProof/>
          <w:webHidden/>
        </w:rPr>
        <w:fldChar w:fldCharType="separate"/>
      </w:r>
      <w:r>
        <w:rPr>
          <w:noProof/>
          <w:webHidden/>
        </w:rPr>
        <w:t>4</w:t>
      </w:r>
      <w:r>
        <w:rPr>
          <w:noProof/>
          <w:webHidden/>
        </w:rPr>
        <w:fldChar w:fldCharType="end"/>
      </w:r>
      <w:r>
        <w:fldChar w:fldCharType="end"/>
      </w:r>
    </w:p>
    <w:p w:rsidR="00D2088B">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"_Toc482612433" </w:instrText>
      </w:r>
      <w:r>
        <w:fldChar w:fldCharType="separate"/>
      </w:r>
      <w:r w:rsidRPr="006A7491">
        <w:rPr>
          <w:rStyle w:val="Hyperlink"/>
          <w:noProof/>
        </w:rPr>
        <w:t>1.</w:t>
      </w:r>
      <w:r>
        <w:rPr>
          <w:rFonts w:asciiTheme="minorHAnsi" w:eastAsiaTheme="minorEastAsia" w:hAnsiTheme="minorHAnsi"/>
          <w:noProof/>
          <w:sz w:val="22"/>
        </w:rPr>
        <w:tab/>
      </w:r>
      <w:r w:rsidRPr="006A7491">
        <w:rPr>
          <w:rStyle w:val="Hyperlink"/>
          <w:noProof/>
        </w:rPr>
        <w:t>The DMR is first, last, and always about paying off generation debt – it is an unlawful transition charge or equivalent revenue that should be rejected to protect consumers.</w:t>
      </w:r>
      <w:r>
        <w:rPr>
          <w:noProof/>
          <w:webHidden/>
        </w:rPr>
        <w:tab/>
      </w:r>
      <w:r>
        <w:rPr>
          <w:noProof/>
          <w:webHidden/>
        </w:rPr>
        <w:fldChar w:fldCharType="begin"/>
      </w:r>
      <w:r>
        <w:rPr>
          <w:noProof/>
          <w:webHidden/>
        </w:rPr>
        <w:instrText xml:space="preserve"> PAGEREF _Toc482612433 \h </w:instrText>
      </w:r>
      <w:r>
        <w:rPr>
          <w:noProof/>
          <w:webHidden/>
        </w:rPr>
        <w:fldChar w:fldCharType="separate"/>
      </w:r>
      <w:r>
        <w:rPr>
          <w:noProof/>
          <w:webHidden/>
        </w:rPr>
        <w:t>4</w:t>
      </w:r>
      <w:r>
        <w:rPr>
          <w:noProof/>
          <w:webHidden/>
        </w:rPr>
        <w:fldChar w:fldCharType="end"/>
      </w:r>
      <w:r>
        <w:fldChar w:fldCharType="end"/>
      </w:r>
    </w:p>
    <w:p w:rsidR="00D2088B">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"_Toc482612434" </w:instrText>
      </w:r>
      <w:r>
        <w:fldChar w:fldCharType="separate"/>
      </w:r>
      <w:r w:rsidRPr="006A7491">
        <w:rPr>
          <w:rStyle w:val="Hyperlink"/>
          <w:rFonts w:cs="Times New Roman"/>
          <w:noProof/>
        </w:rPr>
        <w:t>2.</w:t>
      </w:r>
      <w:r>
        <w:rPr>
          <w:rFonts w:asciiTheme="minorHAnsi" w:eastAsiaTheme="minorEastAsia" w:hAnsiTheme="minorHAnsi"/>
          <w:noProof/>
          <w:sz w:val="22"/>
        </w:rPr>
        <w:tab/>
      </w:r>
      <w:r w:rsidRPr="006A7491">
        <w:rPr>
          <w:rStyle w:val="Hyperlink"/>
          <w:noProof/>
        </w:rPr>
        <w:t xml:space="preserve">DP&amp;L’s technical defenses of the DMR are inadequate and should be </w:t>
      </w:r>
      <w:r w:rsidRPr="006A7491">
        <w:rPr>
          <w:rStyle w:val="Hyperlink"/>
          <w:rFonts w:cs="Times New Roman"/>
          <w:noProof/>
        </w:rPr>
        <w:t>rejected to protect consumers.</w:t>
      </w:r>
      <w:r>
        <w:rPr>
          <w:noProof/>
          <w:webHidden/>
        </w:rPr>
        <w:tab/>
      </w:r>
      <w:r>
        <w:rPr>
          <w:noProof/>
          <w:webHidden/>
        </w:rPr>
        <w:fldChar w:fldCharType="begin"/>
      </w:r>
      <w:r>
        <w:rPr>
          <w:noProof/>
          <w:webHidden/>
        </w:rPr>
        <w:instrText xml:space="preserve"> PAGEREF _Toc482612434 \h </w:instrText>
      </w:r>
      <w:r>
        <w:rPr>
          <w:noProof/>
          <w:webHidden/>
        </w:rPr>
        <w:fldChar w:fldCharType="separate"/>
      </w:r>
      <w:r>
        <w:rPr>
          <w:noProof/>
          <w:webHidden/>
        </w:rPr>
        <w:t>6</w:t>
      </w:r>
      <w:r>
        <w:rPr>
          <w:noProof/>
          <w:webHidden/>
        </w:rPr>
        <w:fldChar w:fldCharType="end"/>
      </w:r>
      <w:r>
        <w:fldChar w:fldCharType="end"/>
      </w:r>
    </w:p>
    <w:p w:rsidR="00D2088B">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"_Toc482612435" </w:instrText>
      </w:r>
      <w:r>
        <w:fldChar w:fldCharType="separate"/>
      </w:r>
      <w:r w:rsidRPr="006A7491">
        <w:rPr>
          <w:rStyle w:val="Hyperlink"/>
          <w:noProof/>
        </w:rPr>
        <w:t>3.</w:t>
      </w:r>
      <w:r>
        <w:rPr>
          <w:rFonts w:asciiTheme="minorHAnsi" w:eastAsiaTheme="minorEastAsia" w:hAnsiTheme="minorHAnsi"/>
          <w:noProof/>
          <w:sz w:val="22"/>
        </w:rPr>
        <w:tab/>
      </w:r>
      <w:r w:rsidRPr="006A7491">
        <w:rPr>
          <w:rStyle w:val="Hyperlink"/>
          <w:noProof/>
        </w:rPr>
        <w:t>The DMR proposed by DP&amp;L is not authorized under R.C. 4928.143(B)(2)(h), (d), or (i) and should be rejected to protect consumers.</w:t>
      </w:r>
      <w:r>
        <w:rPr>
          <w:noProof/>
          <w:webHidden/>
        </w:rPr>
        <w:tab/>
      </w:r>
      <w:r>
        <w:rPr>
          <w:noProof/>
          <w:webHidden/>
        </w:rPr>
        <w:fldChar w:fldCharType="begin"/>
      </w:r>
      <w:r>
        <w:rPr>
          <w:noProof/>
          <w:webHidden/>
        </w:rPr>
        <w:instrText xml:space="preserve"> PAGEREF _Toc482612435 \h </w:instrText>
      </w:r>
      <w:r>
        <w:rPr>
          <w:noProof/>
          <w:webHidden/>
        </w:rPr>
        <w:fldChar w:fldCharType="separate"/>
      </w:r>
      <w:r>
        <w:rPr>
          <w:noProof/>
          <w:webHidden/>
        </w:rPr>
        <w:t>7</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"_Toc482612436" </w:instrText>
      </w:r>
      <w:r>
        <w:fldChar w:fldCharType="separate"/>
      </w:r>
      <w:r w:rsidRPr="006A7491">
        <w:rPr>
          <w:rStyle w:val="Hyperlink"/>
          <w:noProof/>
        </w:rPr>
        <w:t>B.</w:t>
      </w:r>
      <w:r>
        <w:rPr>
          <w:rFonts w:asciiTheme="minorHAnsi" w:eastAsiaTheme="minorEastAsia" w:hAnsiTheme="minorHAnsi"/>
          <w:noProof/>
          <w:sz w:val="22"/>
        </w:rPr>
        <w:tab/>
      </w:r>
      <w:r w:rsidRPr="006A7491">
        <w:rPr>
          <w:rStyle w:val="Hyperlink"/>
          <w:noProof/>
        </w:rPr>
        <w:t>DP&amp;L mischaracterizes OCC witness testimony regarding DP&amp;L’s ability to provide safe and reliable service to its customers.</w:t>
      </w:r>
      <w:r>
        <w:rPr>
          <w:noProof/>
          <w:webHidden/>
        </w:rPr>
        <w:tab/>
      </w:r>
      <w:r>
        <w:rPr>
          <w:noProof/>
          <w:webHidden/>
        </w:rPr>
        <w:fldChar w:fldCharType="begin"/>
      </w:r>
      <w:r>
        <w:rPr>
          <w:noProof/>
          <w:webHidden/>
        </w:rPr>
        <w:instrText xml:space="preserve"> PAGEREF _Toc482612436 \h </w:instrText>
      </w:r>
      <w:r>
        <w:rPr>
          <w:noProof/>
          <w:webHidden/>
        </w:rPr>
        <w:fldChar w:fldCharType="separate"/>
      </w:r>
      <w:r>
        <w:rPr>
          <w:noProof/>
          <w:webHidden/>
        </w:rPr>
        <w:t>8</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"_Toc482612437" </w:instrText>
      </w:r>
      <w:r>
        <w:fldChar w:fldCharType="separate"/>
      </w:r>
      <w:r w:rsidRPr="006A7491">
        <w:rPr>
          <w:rStyle w:val="Hyperlink"/>
          <w:noProof/>
        </w:rPr>
        <w:t>C.</w:t>
      </w:r>
      <w:r>
        <w:rPr>
          <w:rFonts w:asciiTheme="minorHAnsi" w:eastAsiaTheme="minorEastAsia" w:hAnsiTheme="minorHAnsi"/>
          <w:noProof/>
          <w:sz w:val="22"/>
        </w:rPr>
        <w:tab/>
      </w:r>
      <w:r w:rsidRPr="006A7491">
        <w:rPr>
          <w:rStyle w:val="Hyperlink"/>
          <w:noProof/>
        </w:rPr>
        <w:t>DP&amp;L’s reliance on the Standard and Poor’s report is misguided – it supports rejecting the DMR thereby protecting consumers.</w:t>
      </w:r>
      <w:r>
        <w:rPr>
          <w:noProof/>
          <w:webHidden/>
        </w:rPr>
        <w:tab/>
      </w:r>
      <w:r>
        <w:rPr>
          <w:noProof/>
          <w:webHidden/>
        </w:rPr>
        <w:fldChar w:fldCharType="begin"/>
      </w:r>
      <w:r>
        <w:rPr>
          <w:noProof/>
          <w:webHidden/>
        </w:rPr>
        <w:instrText xml:space="preserve"> PAGEREF _Toc482612437 \h </w:instrText>
      </w:r>
      <w:r>
        <w:rPr>
          <w:noProof/>
          <w:webHidden/>
        </w:rPr>
        <w:fldChar w:fldCharType="separate"/>
      </w:r>
      <w:r>
        <w:rPr>
          <w:noProof/>
          <w:webHidden/>
        </w:rPr>
        <w:t>11</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"_Toc482612438" </w:instrText>
      </w:r>
      <w:r>
        <w:fldChar w:fldCharType="separate"/>
      </w:r>
      <w:r w:rsidRPr="006A7491">
        <w:rPr>
          <w:rStyle w:val="Hyperlink"/>
          <w:noProof/>
        </w:rPr>
        <w:t>D.</w:t>
      </w:r>
      <w:r>
        <w:rPr>
          <w:rFonts w:asciiTheme="minorHAnsi" w:eastAsiaTheme="minorEastAsia" w:hAnsiTheme="minorHAnsi"/>
          <w:noProof/>
          <w:sz w:val="22"/>
        </w:rPr>
        <w:tab/>
      </w:r>
      <w:r w:rsidRPr="006A7491">
        <w:rPr>
          <w:rStyle w:val="Hyperlink"/>
          <w:noProof/>
        </w:rPr>
        <w:t>The Settlement’s equity “investments” are misleading and do not protect consumers.</w:t>
      </w:r>
      <w:r>
        <w:rPr>
          <w:noProof/>
          <w:webHidden/>
        </w:rPr>
        <w:tab/>
      </w:r>
      <w:r>
        <w:rPr>
          <w:noProof/>
          <w:webHidden/>
        </w:rPr>
        <w:fldChar w:fldCharType="begin"/>
      </w:r>
      <w:r>
        <w:rPr>
          <w:noProof/>
          <w:webHidden/>
        </w:rPr>
        <w:instrText xml:space="preserve"> PAGEREF _Toc482612438 \h </w:instrText>
      </w:r>
      <w:r>
        <w:rPr>
          <w:noProof/>
          <w:webHidden/>
        </w:rPr>
        <w:fldChar w:fldCharType="separate"/>
      </w:r>
      <w:r>
        <w:rPr>
          <w:noProof/>
          <w:webHidden/>
        </w:rPr>
        <w:t>12</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"_Toc482612439" </w:instrText>
      </w:r>
      <w:r>
        <w:fldChar w:fldCharType="separate"/>
      </w:r>
      <w:r w:rsidRPr="006A7491">
        <w:rPr>
          <w:rStyle w:val="Hyperlink"/>
          <w:noProof/>
        </w:rPr>
        <w:t>E.</w:t>
      </w:r>
      <w:r>
        <w:rPr>
          <w:rFonts w:asciiTheme="minorHAnsi" w:eastAsiaTheme="minorEastAsia" w:hAnsiTheme="minorHAnsi"/>
          <w:noProof/>
          <w:sz w:val="22"/>
        </w:rPr>
        <w:tab/>
      </w:r>
      <w:r w:rsidRPr="006A7491">
        <w:rPr>
          <w:rStyle w:val="Hyperlink"/>
          <w:noProof/>
        </w:rPr>
        <w:t>DP&amp;L’s claimed rate decrease does not flow from the ESP embodied in the Settlement.</w:t>
      </w:r>
      <w:r>
        <w:rPr>
          <w:noProof/>
          <w:webHidden/>
        </w:rPr>
        <w:tab/>
      </w:r>
      <w:r>
        <w:rPr>
          <w:noProof/>
          <w:webHidden/>
        </w:rPr>
        <w:fldChar w:fldCharType="begin"/>
      </w:r>
      <w:r>
        <w:rPr>
          <w:noProof/>
          <w:webHidden/>
        </w:rPr>
        <w:instrText xml:space="preserve"> PAGEREF _Toc482612439 \h </w:instrText>
      </w:r>
      <w:r>
        <w:rPr>
          <w:noProof/>
          <w:webHidden/>
        </w:rPr>
        <w:fldChar w:fldCharType="separate"/>
      </w:r>
      <w:r>
        <w:rPr>
          <w:noProof/>
          <w:webHidden/>
        </w:rPr>
        <w:t>13</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"_Toc482612440" </w:instrText>
      </w:r>
      <w:r>
        <w:fldChar w:fldCharType="separate"/>
      </w:r>
      <w:r w:rsidRPr="006A7491">
        <w:rPr>
          <w:rStyle w:val="Hyperlink"/>
          <w:noProof/>
        </w:rPr>
        <w:t>F.</w:t>
      </w:r>
      <w:r>
        <w:rPr>
          <w:rFonts w:asciiTheme="minorHAnsi" w:eastAsiaTheme="minorEastAsia" w:hAnsiTheme="minorHAnsi"/>
          <w:noProof/>
          <w:sz w:val="22"/>
        </w:rPr>
        <w:tab/>
      </w:r>
      <w:r w:rsidRPr="006A7491">
        <w:rPr>
          <w:rStyle w:val="Hyperlink"/>
          <w:noProof/>
        </w:rPr>
        <w:t>DP&amp;L’s contention that the DMR would not violate the Merger Order is wrong and adopting it would harm consumers.</w:t>
      </w:r>
      <w:r>
        <w:rPr>
          <w:noProof/>
          <w:webHidden/>
        </w:rPr>
        <w:tab/>
      </w:r>
      <w:r>
        <w:rPr>
          <w:noProof/>
          <w:webHidden/>
        </w:rPr>
        <w:fldChar w:fldCharType="begin"/>
      </w:r>
      <w:r>
        <w:rPr>
          <w:noProof/>
          <w:webHidden/>
        </w:rPr>
        <w:instrText xml:space="preserve"> PAGEREF _Toc482612440 \h </w:instrText>
      </w:r>
      <w:r>
        <w:rPr>
          <w:noProof/>
          <w:webHidden/>
        </w:rPr>
        <w:fldChar w:fldCharType="separate"/>
      </w:r>
      <w:r>
        <w:rPr>
          <w:noProof/>
          <w:webHidden/>
        </w:rPr>
        <w:t>14</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"_Toc482612441" </w:instrText>
      </w:r>
      <w:r>
        <w:fldChar w:fldCharType="separate"/>
      </w:r>
      <w:r w:rsidRPr="006A7491">
        <w:rPr>
          <w:rStyle w:val="Hyperlink"/>
          <w:noProof/>
        </w:rPr>
        <w:t>G.</w:t>
      </w:r>
      <w:r>
        <w:rPr>
          <w:rFonts w:asciiTheme="minorHAnsi" w:eastAsiaTheme="minorEastAsia" w:hAnsiTheme="minorHAnsi"/>
          <w:noProof/>
          <w:sz w:val="22"/>
        </w:rPr>
        <w:tab/>
      </w:r>
      <w:r w:rsidRPr="006A7491">
        <w:rPr>
          <w:rStyle w:val="Hyperlink"/>
          <w:noProof/>
        </w:rPr>
        <w:t>The Settlement fails the MRO versus ESP test and should be rejected to protect consumers.</w:t>
      </w:r>
      <w:r>
        <w:rPr>
          <w:noProof/>
          <w:webHidden/>
        </w:rPr>
        <w:tab/>
      </w:r>
      <w:r>
        <w:rPr>
          <w:noProof/>
          <w:webHidden/>
        </w:rPr>
        <w:fldChar w:fldCharType="begin"/>
      </w:r>
      <w:r>
        <w:rPr>
          <w:noProof/>
          <w:webHidden/>
        </w:rPr>
        <w:instrText xml:space="preserve"> PAGEREF _Toc482612441 \h </w:instrText>
      </w:r>
      <w:r>
        <w:rPr>
          <w:noProof/>
          <w:webHidden/>
        </w:rPr>
        <w:fldChar w:fldCharType="separate"/>
      </w:r>
      <w:r>
        <w:rPr>
          <w:noProof/>
          <w:webHidden/>
        </w:rPr>
        <w:t>16</w:t>
      </w:r>
      <w:r>
        <w:rPr>
          <w:noProof/>
          <w:webHidden/>
        </w:rPr>
        <w:fldChar w:fldCharType="end"/>
      </w:r>
      <w:r>
        <w:fldChar w:fldCharType="end"/>
      </w:r>
    </w:p>
    <w:p w:rsidR="00D2088B">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"_Toc482612442" </w:instrText>
      </w:r>
      <w:r>
        <w:fldChar w:fldCharType="separate"/>
      </w:r>
      <w:r w:rsidRPr="006A7491">
        <w:rPr>
          <w:rStyle w:val="Hyperlink"/>
          <w:noProof/>
        </w:rPr>
        <w:t>1.</w:t>
      </w:r>
      <w:r>
        <w:rPr>
          <w:rFonts w:asciiTheme="minorHAnsi" w:eastAsiaTheme="minorEastAsia" w:hAnsiTheme="minorHAnsi"/>
          <w:noProof/>
          <w:sz w:val="22"/>
        </w:rPr>
        <w:tab/>
      </w:r>
      <w:r w:rsidRPr="006A7491">
        <w:rPr>
          <w:rStyle w:val="Hyperlink"/>
          <w:noProof/>
        </w:rPr>
        <w:t>“Benefits” that are “not required” are a “wash” under the MRO versus ESP test.</w:t>
      </w:r>
      <w:r>
        <w:rPr>
          <w:noProof/>
          <w:webHidden/>
        </w:rPr>
        <w:tab/>
      </w:r>
      <w:r>
        <w:rPr>
          <w:noProof/>
          <w:webHidden/>
        </w:rPr>
        <w:fldChar w:fldCharType="begin"/>
      </w:r>
      <w:r>
        <w:rPr>
          <w:noProof/>
          <w:webHidden/>
        </w:rPr>
        <w:instrText xml:space="preserve"> PAGEREF _Toc482612442 \h </w:instrText>
      </w:r>
      <w:r>
        <w:rPr>
          <w:noProof/>
          <w:webHidden/>
        </w:rPr>
        <w:fldChar w:fldCharType="separate"/>
      </w:r>
      <w:r>
        <w:rPr>
          <w:noProof/>
          <w:webHidden/>
        </w:rPr>
        <w:t>16</w:t>
      </w:r>
      <w:r>
        <w:rPr>
          <w:noProof/>
          <w:webHidden/>
        </w:rPr>
        <w:fldChar w:fldCharType="end"/>
      </w:r>
      <w:r>
        <w:fldChar w:fldCharType="end"/>
      </w:r>
    </w:p>
    <w:p w:rsidR="00D2088B">
      <w:pPr>
        <w:pStyle w:val="TOC3"/>
        <w:tabs>
          <w:tab w:val="left" w:pos="2160"/>
          <w:tab w:val="right" w:leader="dot" w:pos="8630"/>
        </w:tabs>
        <w:rPr>
          <w:rFonts w:asciiTheme="minorHAnsi" w:eastAsiaTheme="minorEastAsia" w:hAnsiTheme="minorHAnsi"/>
          <w:noProof/>
          <w:sz w:val="22"/>
        </w:rPr>
      </w:pPr>
      <w:r>
        <w:fldChar w:fldCharType="begin"/>
      </w:r>
      <w:r>
        <w:instrText xml:space="preserve"> HYPERLINK \l "_Toc482612443" </w:instrText>
      </w:r>
      <w:r>
        <w:fldChar w:fldCharType="separate"/>
      </w:r>
      <w:r w:rsidRPr="006A7491">
        <w:rPr>
          <w:rStyle w:val="Hyperlink"/>
          <w:noProof/>
        </w:rPr>
        <w:t>2.</w:t>
      </w:r>
      <w:r>
        <w:rPr>
          <w:rFonts w:asciiTheme="minorHAnsi" w:eastAsiaTheme="minorEastAsia" w:hAnsiTheme="minorHAnsi"/>
          <w:noProof/>
          <w:sz w:val="22"/>
        </w:rPr>
        <w:tab/>
      </w:r>
      <w:r w:rsidRPr="006A7491">
        <w:rPr>
          <w:rStyle w:val="Hyperlink"/>
          <w:noProof/>
        </w:rPr>
        <w:t>The “other riders” in the Settlement matter and favor the MRO to protect consumers.</w:t>
      </w:r>
      <w:r>
        <w:rPr>
          <w:noProof/>
          <w:webHidden/>
        </w:rPr>
        <w:tab/>
      </w:r>
      <w:r>
        <w:rPr>
          <w:noProof/>
          <w:webHidden/>
        </w:rPr>
        <w:fldChar w:fldCharType="begin"/>
      </w:r>
      <w:r>
        <w:rPr>
          <w:noProof/>
          <w:webHidden/>
        </w:rPr>
        <w:instrText xml:space="preserve"> PAGEREF _Toc482612443 \h </w:instrText>
      </w:r>
      <w:r>
        <w:rPr>
          <w:noProof/>
          <w:webHidden/>
        </w:rPr>
        <w:fldChar w:fldCharType="separate"/>
      </w:r>
      <w:r>
        <w:rPr>
          <w:noProof/>
          <w:webHidden/>
        </w:rPr>
        <w:t>18</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"_Toc482612444" </w:instrText>
      </w:r>
      <w:r>
        <w:fldChar w:fldCharType="separate"/>
      </w:r>
      <w:r w:rsidRPr="006A7491">
        <w:rPr>
          <w:rStyle w:val="Hyperlink"/>
          <w:noProof/>
        </w:rPr>
        <w:t>H.</w:t>
      </w:r>
      <w:r>
        <w:rPr>
          <w:rFonts w:asciiTheme="minorHAnsi" w:eastAsiaTheme="minorEastAsia" w:hAnsiTheme="minorHAnsi"/>
          <w:noProof/>
          <w:sz w:val="22"/>
        </w:rPr>
        <w:tab/>
      </w:r>
      <w:r w:rsidRPr="006A7491">
        <w:rPr>
          <w:rStyle w:val="Hyperlink"/>
          <w:noProof/>
        </w:rPr>
        <w:t>Approving the Settlement would give Staff “veto power,” contrary to consumers’ interests.</w:t>
      </w:r>
      <w:r>
        <w:rPr>
          <w:noProof/>
          <w:webHidden/>
        </w:rPr>
        <w:tab/>
      </w:r>
      <w:r>
        <w:rPr>
          <w:noProof/>
          <w:webHidden/>
        </w:rPr>
        <w:fldChar w:fldCharType="begin"/>
      </w:r>
      <w:r>
        <w:rPr>
          <w:noProof/>
          <w:webHidden/>
        </w:rPr>
        <w:instrText xml:space="preserve"> PAGEREF _Toc482612444 \h </w:instrText>
      </w:r>
      <w:r>
        <w:rPr>
          <w:noProof/>
          <w:webHidden/>
        </w:rPr>
        <w:fldChar w:fldCharType="separate"/>
      </w:r>
      <w:r>
        <w:rPr>
          <w:noProof/>
          <w:webHidden/>
        </w:rPr>
        <w:t>20</w:t>
      </w:r>
      <w:r>
        <w:rPr>
          <w:noProof/>
          <w:webHidden/>
        </w:rPr>
        <w:fldChar w:fldCharType="end"/>
      </w:r>
      <w:r>
        <w:fldChar w:fldCharType="end"/>
      </w:r>
    </w:p>
    <w:p w:rsidR="00D2088B">
      <w:pPr>
        <w:pStyle w:val="TOC2"/>
        <w:tabs>
          <w:tab w:val="left" w:pos="1440"/>
          <w:tab w:val="right" w:leader="dot" w:pos="8630"/>
        </w:tabs>
        <w:rPr>
          <w:rFonts w:asciiTheme="minorHAnsi" w:eastAsiaTheme="minorEastAsia" w:hAnsiTheme="minorHAnsi"/>
          <w:noProof/>
          <w:sz w:val="22"/>
        </w:rPr>
      </w:pPr>
      <w:r>
        <w:fldChar w:fldCharType="begin"/>
      </w:r>
      <w:r>
        <w:instrText xml:space="preserve"> HYPERLINK \l "_Toc482612445" </w:instrText>
      </w:r>
      <w:r>
        <w:fldChar w:fldCharType="separate"/>
      </w:r>
      <w:r w:rsidRPr="006A7491">
        <w:rPr>
          <w:rStyle w:val="Hyperlink"/>
          <w:noProof/>
        </w:rPr>
        <w:t>I.</w:t>
      </w:r>
      <w:r>
        <w:rPr>
          <w:rFonts w:asciiTheme="minorHAnsi" w:eastAsiaTheme="minorEastAsia" w:hAnsiTheme="minorHAnsi"/>
          <w:noProof/>
          <w:sz w:val="22"/>
        </w:rPr>
        <w:tab/>
      </w:r>
      <w:r w:rsidRPr="006A7491">
        <w:rPr>
          <w:rStyle w:val="Hyperlink"/>
          <w:noProof/>
        </w:rPr>
        <w:t>The cash payments included in the Settlement are not “justified” and would harm consumers.</w:t>
      </w:r>
      <w:r>
        <w:rPr>
          <w:noProof/>
          <w:webHidden/>
        </w:rPr>
        <w:tab/>
      </w:r>
      <w:r>
        <w:rPr>
          <w:noProof/>
          <w:webHidden/>
        </w:rPr>
        <w:fldChar w:fldCharType="begin"/>
      </w:r>
      <w:r>
        <w:rPr>
          <w:noProof/>
          <w:webHidden/>
        </w:rPr>
        <w:instrText xml:space="preserve"> PAGEREF _Toc482612445 \h </w:instrText>
      </w:r>
      <w:r>
        <w:rPr>
          <w:noProof/>
          <w:webHidden/>
        </w:rPr>
        <w:fldChar w:fldCharType="separate"/>
      </w:r>
      <w:r>
        <w:rPr>
          <w:noProof/>
          <w:webHidden/>
        </w:rPr>
        <w:t>22</w:t>
      </w:r>
      <w:r>
        <w:rPr>
          <w:noProof/>
          <w:webHidden/>
        </w:rPr>
        <w:fldChar w:fldCharType="end"/>
      </w:r>
      <w:r>
        <w:fldChar w:fldCharType="end"/>
      </w:r>
    </w:p>
    <w:p w:rsidR="00D2088B">
      <w:pPr>
        <w:pStyle w:val="TOC1"/>
        <w:tabs>
          <w:tab w:val="right" w:leader="dot" w:pos="8630"/>
        </w:tabs>
        <w:rPr>
          <w:rFonts w:asciiTheme="minorHAnsi" w:eastAsiaTheme="minorEastAsia" w:hAnsiTheme="minorHAnsi"/>
          <w:noProof/>
          <w:sz w:val="22"/>
        </w:rPr>
      </w:pPr>
      <w:r>
        <w:fldChar w:fldCharType="begin"/>
      </w:r>
      <w:r>
        <w:instrText xml:space="preserve"> HYPERLINK \l "_Toc482612446" </w:instrText>
      </w:r>
      <w:r>
        <w:fldChar w:fldCharType="separate"/>
      </w:r>
      <w:r w:rsidRPr="006A7491">
        <w:rPr>
          <w:rStyle w:val="Hyperlink"/>
          <w:noProof/>
        </w:rPr>
        <w:t>III.</w:t>
      </w:r>
      <w:r>
        <w:rPr>
          <w:rFonts w:asciiTheme="minorHAnsi" w:eastAsiaTheme="minorEastAsia" w:hAnsiTheme="minorHAnsi"/>
          <w:noProof/>
          <w:sz w:val="22"/>
        </w:rPr>
        <w:tab/>
      </w:r>
      <w:r w:rsidRPr="006A7491">
        <w:rPr>
          <w:rStyle w:val="Hyperlink"/>
          <w:noProof/>
        </w:rPr>
        <w:t>CONCLUSION</w:t>
      </w:r>
      <w:r>
        <w:rPr>
          <w:noProof/>
          <w:webHidden/>
        </w:rPr>
        <w:tab/>
      </w:r>
      <w:r>
        <w:rPr>
          <w:noProof/>
          <w:webHidden/>
        </w:rPr>
        <w:fldChar w:fldCharType="begin"/>
      </w:r>
      <w:r>
        <w:rPr>
          <w:noProof/>
          <w:webHidden/>
        </w:rPr>
        <w:instrText xml:space="preserve"> PAGEREF _Toc482612446 \h </w:instrText>
      </w:r>
      <w:r>
        <w:rPr>
          <w:noProof/>
          <w:webHidden/>
        </w:rPr>
        <w:fldChar w:fldCharType="separate"/>
      </w:r>
      <w:r>
        <w:rPr>
          <w:noProof/>
          <w:webHidden/>
        </w:rPr>
        <w:t>23</w:t>
      </w:r>
      <w:r>
        <w:rPr>
          <w:noProof/>
          <w:webHidden/>
        </w:rPr>
        <w:fldChar w:fldCharType="end"/>
      </w:r>
      <w:r>
        <w:fldChar w:fldCharType="end"/>
      </w:r>
    </w:p>
    <w:p w:rsidR="00402087" w:rsidRPr="00B76A60" w:rsidP="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fldChar w:fldCharType="end"/>
      </w:r>
    </w:p>
    <w:p w:rsidR="00865D92" w:rsidRPr="00B76A60">
      <w:pPr>
        <w:rPr>
          <w:rFonts w:ascii="Times New Roman" w:eastAsia="Calibri" w:hAnsi="Times New Roman" w:cs="Times New Roman"/>
          <w:b/>
          <w:bCs/>
          <w:sz w:val="24"/>
          <w:szCs w:val="24"/>
        </w:rPr>
        <w:sectPr w:rsidSect="00EE3469">
          <w:footerReference w:type="default" r:id="rId5"/>
          <w:pgSz w:w="12240" w:h="15840"/>
          <w:pgMar w:top="1440" w:right="1800" w:bottom="1440" w:left="1800" w:header="720" w:footer="720" w:gutter="0"/>
          <w:pgNumType w:fmt="lowerRoman" w:start="1"/>
          <w:cols w:space="720"/>
          <w:docGrid w:linePitch="360"/>
        </w:sectPr>
      </w:pP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BEFORE</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76A60">
        <w:rPr>
          <w:rFonts w:ascii="Times New Roman" w:eastAsia="Calibri" w:hAnsi="Times New Roman" w:cs="Times New Roman"/>
          <w:b/>
          <w:bCs/>
          <w:sz w:val="24"/>
          <w:szCs w:val="24"/>
        </w:rPr>
        <w:t>THE PUBLIC UTILITIES COMMISSION OF OHIO</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Look w:val="01E0"/>
      </w:tblPr>
      <w:tblGrid>
        <w:gridCol w:w="4332"/>
        <w:gridCol w:w="360"/>
        <w:gridCol w:w="4400"/>
      </w:tblGrid>
      <w:tr w:rsidTr="00C86495">
        <w:tblPrEx>
          <w:tblW w:w="9092" w:type="dxa"/>
          <w:tblInd w:w="-106" w:type="dxa"/>
          <w:tblLook w:val="01E0"/>
        </w:tblPrEx>
        <w:trPr>
          <w:trHeight w:val="807"/>
        </w:trPr>
        <w:tc>
          <w:tcPr>
            <w:tcW w:w="4332" w:type="dxa"/>
          </w:tcPr>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In the Matter of the Application of </w:t>
            </w: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the Dayton Power and Light Company for</w:t>
            </w: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Approval of its Electric Security Plan.</w:t>
            </w: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In the Matter of the Application of the Dayton Power and Light Company for Approval of Revised Tariffs.</w:t>
            </w: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In the Matter of the Application of the Dayton Power and Light Company for Approval of Certain Accounting Authority Pursuant to Ohio Rev. Code § 4905.13.</w:t>
            </w:r>
          </w:p>
        </w:tc>
        <w:tc>
          <w:tcPr>
            <w:tcW w:w="360" w:type="dxa"/>
            <w:hideMark/>
          </w:tcPr>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w:t>
            </w:r>
          </w:p>
        </w:tc>
        <w:tc>
          <w:tcPr>
            <w:tcW w:w="4400" w:type="dxa"/>
          </w:tcPr>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Case No. 16-0395-EL-SSO</w:t>
            </w: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Case No. 16-0396-EL-ATA</w:t>
            </w: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autoSpaceDE w:val="0"/>
              <w:autoSpaceDN w:val="0"/>
              <w:adjustRightInd w:val="0"/>
              <w:spacing w:after="0"/>
              <w:rPr>
                <w:rFonts w:ascii="Times New Roman" w:eastAsia="Calibri" w:hAnsi="Times New Roman" w:cs="Times New Roman"/>
                <w:sz w:val="24"/>
                <w:szCs w:val="24"/>
              </w:rPr>
            </w:pPr>
            <w:r w:rsidRPr="00B76A60">
              <w:rPr>
                <w:rFonts w:ascii="Times New Roman" w:eastAsia="Calibri" w:hAnsi="Times New Roman" w:cs="Times New Roman"/>
                <w:sz w:val="24"/>
                <w:szCs w:val="24"/>
              </w:rPr>
              <w:t>Case No. 16-0397-EL-AAM</w:t>
            </w:r>
          </w:p>
          <w:p w:rsidR="00C86495" w:rsidRPr="00B76A60" w:rsidP="00C86495">
            <w:pPr>
              <w:autoSpaceDE w:val="0"/>
              <w:autoSpaceDN w:val="0"/>
              <w:adjustRightInd w:val="0"/>
              <w:spacing w:after="0"/>
              <w:rPr>
                <w:rFonts w:ascii="Times New Roman" w:eastAsia="Calibri" w:hAnsi="Times New Roman" w:cs="Times New Roman"/>
                <w:sz w:val="24"/>
                <w:szCs w:val="24"/>
              </w:rPr>
            </w:pPr>
          </w:p>
          <w:p w:rsidR="00C86495" w:rsidRPr="00B76A60" w:rsidP="00C86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tc>
      </w:tr>
    </w:tbl>
    <w:p w:rsidR="00C86495" w:rsidRPr="00B76A60" w:rsidP="00C86495">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C86495" w:rsidRPr="00B76A60" w:rsidP="00C86495">
      <w:pPr>
        <w:autoSpaceDE w:val="0"/>
        <w:autoSpaceDN w:val="0"/>
        <w:adjustRightInd w:val="0"/>
        <w:spacing w:after="0" w:line="240" w:lineRule="auto"/>
        <w:rPr>
          <w:rFonts w:ascii="Times New Roman" w:eastAsia="Calibri" w:hAnsi="Times New Roman" w:cs="Times New Roman"/>
          <w:sz w:val="20"/>
          <w:szCs w:val="24"/>
        </w:rPr>
      </w:pPr>
    </w:p>
    <w:p w:rsidR="00C86495" w:rsidRPr="00B76A60"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REPLY BRIEF</w:t>
      </w:r>
    </w:p>
    <w:p w:rsidR="00C86495" w:rsidRPr="00B76A60"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BY</w:t>
      </w:r>
    </w:p>
    <w:p w:rsidR="00C86495" w:rsidRPr="00B76A60" w:rsidP="00C86495">
      <w:pPr>
        <w:autoSpaceDE w:val="0"/>
        <w:autoSpaceDN w:val="0"/>
        <w:adjustRightInd w:val="0"/>
        <w:spacing w:after="0" w:line="240" w:lineRule="auto"/>
        <w:jc w:val="center"/>
        <w:rPr>
          <w:rFonts w:ascii="Times New Roman" w:eastAsia="Calibri" w:hAnsi="Times New Roman" w:cs="Times New Roman"/>
          <w:b/>
          <w:bCs/>
          <w:sz w:val="24"/>
          <w:szCs w:val="24"/>
        </w:rPr>
      </w:pPr>
      <w:r w:rsidRPr="00B76A60">
        <w:rPr>
          <w:rFonts w:ascii="Times New Roman" w:eastAsia="Calibri" w:hAnsi="Times New Roman" w:cs="Times New Roman"/>
          <w:b/>
          <w:bCs/>
          <w:sz w:val="24"/>
          <w:szCs w:val="24"/>
        </w:rPr>
        <w:t>THE OFFICE OF THE OHIO CONSUMERS’ COUNSEL</w:t>
      </w:r>
    </w:p>
    <w:p w:rsidR="00C86495" w:rsidRPr="00B76A60" w:rsidP="00C86495">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C86495" w:rsidRPr="00B76A60" w:rsidP="00C86495">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667F0" w:rsidP="00831B8B">
      <w:pPr>
        <w:spacing w:after="0" w:line="480" w:lineRule="auto"/>
        <w:ind w:firstLine="720"/>
        <w:rPr>
          <w:rFonts w:ascii="Times New Roman" w:hAnsi="Times New Roman" w:cs="Times New Roman"/>
          <w:sz w:val="24"/>
          <w:szCs w:val="24"/>
        </w:rPr>
        <w:sectPr w:rsidSect="00070034">
          <w:footerReference w:type="default" r:id="rId6"/>
          <w:pgSz w:w="12240" w:h="15840"/>
          <w:pgMar w:top="1440" w:right="1800" w:bottom="1440" w:left="1800" w:header="720" w:footer="720" w:gutter="0"/>
          <w:pgNumType w:start="2"/>
          <w:cols w:space="720"/>
          <w:docGrid w:linePitch="360"/>
        </w:sectPr>
      </w:pPr>
      <w:r w:rsidRPr="00B76A60">
        <w:rPr>
          <w:rFonts w:ascii="Times New Roman" w:hAnsi="Times New Roman" w:cs="Times New Roman"/>
          <w:sz w:val="24"/>
          <w:szCs w:val="24"/>
        </w:rPr>
        <w:t>Th</w:t>
      </w:r>
      <w:r>
        <w:rPr>
          <w:rFonts w:ascii="Times New Roman" w:hAnsi="Times New Roman" w:cs="Times New Roman"/>
          <w:sz w:val="24"/>
          <w:szCs w:val="24"/>
        </w:rPr>
        <w:t>is</w:t>
      </w:r>
      <w:r w:rsidRPr="00B76A60">
        <w:rPr>
          <w:rFonts w:ascii="Times New Roman" w:hAnsi="Times New Roman" w:cs="Times New Roman"/>
          <w:sz w:val="24"/>
          <w:szCs w:val="24"/>
        </w:rPr>
        <w:t xml:space="preserve"> Settlement could add $432 (or much more) to Ohioans’ electric bills.  </w:t>
      </w:r>
      <w:r>
        <w:rPr>
          <w:rFonts w:ascii="Times New Roman" w:hAnsi="Times New Roman" w:cs="Times New Roman"/>
          <w:sz w:val="24"/>
          <w:szCs w:val="24"/>
        </w:rPr>
        <w:t>In large</w:t>
      </w:r>
      <w:r w:rsidRPr="00B76A60">
        <w:rPr>
          <w:rFonts w:ascii="Times New Roman" w:hAnsi="Times New Roman" w:cs="Times New Roman"/>
          <w:sz w:val="24"/>
          <w:szCs w:val="24"/>
        </w:rPr>
        <w:t xml:space="preserve"> part that cost-increase </w:t>
      </w:r>
      <w:r>
        <w:rPr>
          <w:rFonts w:ascii="Times New Roman" w:hAnsi="Times New Roman" w:cs="Times New Roman"/>
          <w:sz w:val="24"/>
          <w:szCs w:val="24"/>
        </w:rPr>
        <w:t xml:space="preserve">is attributable to </w:t>
      </w:r>
      <w:r w:rsidRPr="00B76A60">
        <w:rPr>
          <w:rFonts w:ascii="Times New Roman" w:hAnsi="Times New Roman" w:cs="Times New Roman"/>
          <w:sz w:val="24"/>
          <w:szCs w:val="24"/>
        </w:rPr>
        <w:t>the D</w:t>
      </w:r>
      <w:r>
        <w:rPr>
          <w:rFonts w:ascii="Times New Roman" w:hAnsi="Times New Roman" w:cs="Times New Roman"/>
          <w:sz w:val="24"/>
          <w:szCs w:val="24"/>
        </w:rPr>
        <w:t xml:space="preserve">istribution </w:t>
      </w:r>
      <w:r w:rsidRPr="00B76A60">
        <w:rPr>
          <w:rFonts w:ascii="Times New Roman" w:hAnsi="Times New Roman" w:cs="Times New Roman"/>
          <w:sz w:val="24"/>
          <w:szCs w:val="24"/>
        </w:rPr>
        <w:t>M</w:t>
      </w:r>
      <w:r>
        <w:rPr>
          <w:rFonts w:ascii="Times New Roman" w:hAnsi="Times New Roman" w:cs="Times New Roman"/>
          <w:sz w:val="24"/>
          <w:szCs w:val="24"/>
        </w:rPr>
        <w:t xml:space="preserve">odernization </w:t>
      </w:r>
      <w:r w:rsidRPr="00B76A60">
        <w:rPr>
          <w:rFonts w:ascii="Times New Roman" w:hAnsi="Times New Roman" w:cs="Times New Roman"/>
          <w:sz w:val="24"/>
          <w:szCs w:val="24"/>
        </w:rPr>
        <w:t>R</w:t>
      </w:r>
      <w:r>
        <w:rPr>
          <w:rFonts w:ascii="Times New Roman" w:hAnsi="Times New Roman" w:cs="Times New Roman"/>
          <w:sz w:val="24"/>
          <w:szCs w:val="24"/>
        </w:rPr>
        <w:t>ider (“DMR”)</w:t>
      </w:r>
      <w:r w:rsidRPr="00B76A60">
        <w:rPr>
          <w:rFonts w:ascii="Times New Roman" w:hAnsi="Times New Roman" w:cs="Times New Roman"/>
          <w:sz w:val="24"/>
          <w:szCs w:val="24"/>
        </w:rPr>
        <w:t xml:space="preserve">.  “DP&amp;L needs </w:t>
      </w:r>
      <w:r w:rsidRPr="00831B8B">
        <w:rPr>
          <w:rFonts w:ascii="Times New Roman" w:hAnsi="Times New Roman" w:cs="Times New Roman"/>
          <w:i/>
          <w:sz w:val="24"/>
          <w:szCs w:val="24"/>
        </w:rPr>
        <w:t>all</w:t>
      </w:r>
      <w:r w:rsidRPr="00B76A60">
        <w:rPr>
          <w:rFonts w:ascii="Times New Roman" w:hAnsi="Times New Roman" w:cs="Times New Roman"/>
          <w:sz w:val="24"/>
          <w:szCs w:val="24"/>
        </w:rPr>
        <w:t xml:space="preserve"> of the DMR funds </w:t>
      </w:r>
      <w:r w:rsidRPr="00831B8B">
        <w:rPr>
          <w:rFonts w:ascii="Times New Roman" w:hAnsi="Times New Roman" w:cs="Times New Roman"/>
          <w:i/>
          <w:sz w:val="24"/>
          <w:szCs w:val="24"/>
        </w:rPr>
        <w:t>to pay down debt</w:t>
      </w:r>
      <w:r w:rsidRPr="00B76A60">
        <w:rPr>
          <w:rFonts w:ascii="Times New Roman" w:hAnsi="Times New Roman" w:cs="Times New Roman"/>
          <w:sz w:val="24"/>
          <w:szCs w:val="24"/>
        </w:rPr>
        <w:t xml:space="preserve"> so that DP&amp;L can maintain its financial integrity.”</w:t>
      </w:r>
      <w:r>
        <w:rPr>
          <w:rStyle w:val="FootnoteReference"/>
          <w:rFonts w:ascii="Times New Roman" w:hAnsi="Times New Roman" w:cs="Times New Roman"/>
          <w:sz w:val="24"/>
          <w:szCs w:val="24"/>
        </w:rPr>
        <w:footnoteReference w:id="2"/>
      </w:r>
      <w:r w:rsidRPr="00B76A60">
        <w:rPr>
          <w:rFonts w:ascii="Times New Roman" w:hAnsi="Times New Roman" w:cs="Times New Roman"/>
          <w:sz w:val="24"/>
          <w:szCs w:val="24"/>
        </w:rPr>
        <w:t xml:space="preserve">  Though clarity is not always the law’s virtue, one thing</w:t>
      </w:r>
    </w:p>
    <w:p w:rsidR="00FE7102" w:rsidRPr="00B76A60" w:rsidP="001667F0">
      <w:pPr>
        <w:spacing w:after="0" w:line="480" w:lineRule="auto"/>
        <w:rPr>
          <w:rFonts w:ascii="Times New Roman" w:hAnsi="Times New Roman" w:cs="Times New Roman"/>
          <w:sz w:val="24"/>
          <w:szCs w:val="24"/>
        </w:rPr>
      </w:pPr>
      <w:r w:rsidRPr="00B76A60">
        <w:rPr>
          <w:rFonts w:ascii="Times New Roman" w:hAnsi="Times New Roman" w:cs="Times New Roman"/>
          <w:sz w:val="24"/>
          <w:szCs w:val="24"/>
        </w:rPr>
        <w:t xml:space="preserve"> is crystal clear:  The Public Utilities Commission of Ohio (“PUCO”) must look past form to substance when considering if a charge is an illegal transition charge or equivalent revenue.</w:t>
      </w:r>
      <w:r>
        <w:rPr>
          <w:rStyle w:val="FootnoteReference"/>
          <w:rFonts w:ascii="Times New Roman" w:hAnsi="Times New Roman" w:cs="Times New Roman"/>
          <w:sz w:val="24"/>
          <w:szCs w:val="24"/>
        </w:rPr>
        <w:footnoteReference w:id="3"/>
      </w:r>
      <w:r w:rsidRPr="00B76A60">
        <w:rPr>
          <w:rFonts w:ascii="Times New Roman" w:hAnsi="Times New Roman" w:cs="Times New Roman"/>
          <w:sz w:val="24"/>
          <w:szCs w:val="24"/>
        </w:rPr>
        <w:t xml:space="preserve">  DP&amp;L’s admissions confirm that the DMR is nothing but an illegal transition charge or equivalent revenue needed to pay-off generation debt.  In another instance of crystal-clarity, the Ohio Supreme Court (“Court”) has twice directed that the PUCO cannot authorize a transition charge or equivalent revenue after the market development period has ended.</w:t>
      </w:r>
      <w:r>
        <w:rPr>
          <w:rStyle w:val="FootnoteReference"/>
          <w:rFonts w:ascii="Times New Roman" w:hAnsi="Times New Roman" w:cs="Times New Roman"/>
          <w:sz w:val="24"/>
          <w:szCs w:val="24"/>
        </w:rPr>
        <w:footnoteReference w:id="4"/>
      </w:r>
      <w:r w:rsidRPr="00B76A60">
        <w:rPr>
          <w:rFonts w:ascii="Times New Roman" w:hAnsi="Times New Roman" w:cs="Times New Roman"/>
          <w:sz w:val="24"/>
          <w:szCs w:val="24"/>
        </w:rPr>
        <w:t xml:space="preserve">  To protect consumers – and to follow the law – the PUCO should reject the DMR.</w:t>
      </w:r>
    </w:p>
    <w:p w:rsidR="00A46E64" w:rsidRPr="00B76A60" w:rsidP="00FE7102">
      <w:pPr>
        <w:spacing w:after="0" w:line="480" w:lineRule="auto"/>
        <w:rPr>
          <w:rFonts w:ascii="Times New Roman" w:hAnsi="Times New Roman" w:cs="Times New Roman"/>
          <w:sz w:val="24"/>
          <w:szCs w:val="24"/>
        </w:rPr>
      </w:pPr>
      <w:r w:rsidRPr="00B76A60">
        <w:rPr>
          <w:rFonts w:ascii="Times New Roman" w:hAnsi="Times New Roman" w:cs="Times New Roman"/>
          <w:sz w:val="24"/>
          <w:szCs w:val="24"/>
        </w:rPr>
        <w:tab/>
        <w:t xml:space="preserve">In addition to the DMR, there is so much bad news for Ohioans in DP&amp;L’s proposed </w:t>
      </w:r>
      <w:r>
        <w:rPr>
          <w:rFonts w:ascii="Times New Roman" w:hAnsi="Times New Roman" w:cs="Times New Roman"/>
          <w:sz w:val="24"/>
          <w:szCs w:val="24"/>
        </w:rPr>
        <w:t>Amended Stipulation and Recommendation (“S</w:t>
      </w:r>
      <w:r w:rsidRPr="00B76A60">
        <w:rPr>
          <w:rFonts w:ascii="Times New Roman" w:hAnsi="Times New Roman" w:cs="Times New Roman"/>
          <w:sz w:val="24"/>
          <w:szCs w:val="24"/>
        </w:rPr>
        <w:t>ettlement</w:t>
      </w:r>
      <w:r>
        <w:rPr>
          <w:rFonts w:ascii="Times New Roman" w:hAnsi="Times New Roman" w:cs="Times New Roman"/>
          <w:sz w:val="24"/>
          <w:szCs w:val="24"/>
        </w:rPr>
        <w:t>”)</w:t>
      </w:r>
      <w:r w:rsidRPr="00B76A60">
        <w:rPr>
          <w:rFonts w:ascii="Times New Roman" w:hAnsi="Times New Roman" w:cs="Times New Roman"/>
          <w:sz w:val="24"/>
          <w:szCs w:val="24"/>
        </w:rPr>
        <w:t xml:space="preserve"> that the problems vie with each other for attention.  But as laid out in the Initial Post-Hearing Brief of the Office of the Ohio Consumers’ Counsel (“OCC”), and described below, the settlement is bad for consumers, bad public policy, and bad for Ohio.  It should be rejected.</w:t>
      </w:r>
    </w:p>
    <w:p w:rsidR="00886EE4" w:rsidRPr="00B76A60" w:rsidP="00886EE4">
      <w:pPr>
        <w:spacing w:after="0" w:line="240" w:lineRule="auto"/>
        <w:rPr>
          <w:rFonts w:ascii="Times New Roman" w:hAnsi="Times New Roman" w:cs="Times New Roman"/>
          <w:sz w:val="24"/>
          <w:szCs w:val="24"/>
        </w:rPr>
      </w:pPr>
    </w:p>
    <w:p w:rsidR="00A46E64" w:rsidRPr="00B76A60" w:rsidP="00886EE4">
      <w:pPr>
        <w:pStyle w:val="Heading1"/>
      </w:pPr>
      <w:bookmarkStart w:id="1" w:name="_Toc482612430"/>
      <w:r w:rsidRPr="00B76A60">
        <w:t>INTRODUCTION</w:t>
      </w:r>
      <w:bookmarkEnd w:id="1"/>
    </w:p>
    <w:p w:rsidR="00A46E64" w:rsidRPr="00B76A60" w:rsidP="00FE7102">
      <w:pPr>
        <w:spacing w:after="0" w:line="480" w:lineRule="auto"/>
        <w:rPr>
          <w:rFonts w:ascii="Times New Roman" w:hAnsi="Times New Roman" w:cs="Times New Roman"/>
          <w:sz w:val="24"/>
          <w:szCs w:val="24"/>
        </w:rPr>
      </w:pPr>
      <w:r w:rsidRPr="00B76A60">
        <w:rPr>
          <w:rFonts w:ascii="Times New Roman" w:hAnsi="Times New Roman" w:cs="Times New Roman"/>
          <w:b/>
          <w:sz w:val="24"/>
          <w:szCs w:val="24"/>
        </w:rPr>
        <w:tab/>
      </w:r>
      <w:r w:rsidRPr="00B76A60">
        <w:rPr>
          <w:rFonts w:ascii="Times New Roman" w:hAnsi="Times New Roman" w:cs="Times New Roman"/>
          <w:sz w:val="24"/>
          <w:szCs w:val="24"/>
        </w:rPr>
        <w:t xml:space="preserve">With but few exceptions, the parties that signed (or do not oppose) the Settlement ignore the hearing record, to the detriment of all consumers who must pay the unwarranted subsidy for uneconomic generation and other provisions included in the Settlement.  Judging by their initial briefs, the signatory parties and non-opposing parties act as if the evidentiary hearing never occurred.  </w:t>
      </w:r>
    </w:p>
    <w:p w:rsidR="00824324" w:rsidRPr="00B76A60" w:rsidP="00FE7102">
      <w:pPr>
        <w:spacing w:after="0" w:line="480" w:lineRule="auto"/>
        <w:rPr>
          <w:rFonts w:ascii="Times New Roman" w:hAnsi="Times New Roman" w:cs="Times New Roman"/>
          <w:sz w:val="24"/>
          <w:szCs w:val="24"/>
        </w:rPr>
      </w:pPr>
      <w:r w:rsidRPr="00B76A60">
        <w:rPr>
          <w:rFonts w:ascii="Times New Roman" w:hAnsi="Times New Roman" w:cs="Times New Roman"/>
          <w:sz w:val="24"/>
          <w:szCs w:val="24"/>
        </w:rPr>
        <w:tab/>
        <w:t>OCC pointed out in its Initial Post-Hearing Brief – based on uncontroverted record evidence from DP&amp;L’s own witnesses – that the debt that DP&amp;L is looking to pay-off with DMR funds is linked to its generation assets.</w:t>
      </w:r>
      <w:r>
        <w:rPr>
          <w:rStyle w:val="FootnoteReference"/>
          <w:rFonts w:ascii="Times New Roman" w:hAnsi="Times New Roman" w:cs="Times New Roman"/>
          <w:sz w:val="24"/>
          <w:szCs w:val="24"/>
        </w:rPr>
        <w:footnoteReference w:id="5"/>
      </w:r>
      <w:r w:rsidRPr="00B76A60">
        <w:rPr>
          <w:rFonts w:ascii="Times New Roman" w:hAnsi="Times New Roman" w:cs="Times New Roman"/>
          <w:sz w:val="24"/>
          <w:szCs w:val="24"/>
        </w:rPr>
        <w:t xml:space="preserve">  And notwithstanding DP&amp;L’s protestation that it will transfer its generation assets, the responsibility for paying the debt associated with those assets will remain with DP&amp;L, the regulated utility, and be paid by its customers.</w:t>
      </w:r>
      <w:r>
        <w:rPr>
          <w:rStyle w:val="FootnoteReference"/>
          <w:rFonts w:ascii="Times New Roman" w:hAnsi="Times New Roman" w:cs="Times New Roman"/>
          <w:sz w:val="24"/>
          <w:szCs w:val="24"/>
        </w:rPr>
        <w:footnoteReference w:id="6"/>
      </w:r>
      <w:r w:rsidRPr="00B76A60">
        <w:rPr>
          <w:rFonts w:ascii="Times New Roman" w:hAnsi="Times New Roman" w:cs="Times New Roman"/>
          <w:sz w:val="24"/>
          <w:szCs w:val="24"/>
        </w:rPr>
        <w:t xml:space="preserve">  The Court has been very clear that DP&amp;L, the other parties, </w:t>
      </w:r>
      <w:r>
        <w:rPr>
          <w:rFonts w:ascii="Times New Roman" w:hAnsi="Times New Roman" w:cs="Times New Roman"/>
          <w:sz w:val="24"/>
          <w:szCs w:val="24"/>
        </w:rPr>
        <w:t xml:space="preserve">and the PUCO </w:t>
      </w:r>
      <w:r w:rsidRPr="00B76A60">
        <w:rPr>
          <w:rFonts w:ascii="Times New Roman" w:hAnsi="Times New Roman" w:cs="Times New Roman"/>
          <w:sz w:val="24"/>
          <w:szCs w:val="24"/>
        </w:rPr>
        <w:t>cannot ignore this record evidence.</w:t>
      </w:r>
      <w:r>
        <w:rPr>
          <w:rStyle w:val="FootnoteReference"/>
          <w:rFonts w:ascii="Times New Roman" w:hAnsi="Times New Roman" w:cs="Times New Roman"/>
          <w:sz w:val="24"/>
          <w:szCs w:val="24"/>
        </w:rPr>
        <w:footnoteReference w:id="7"/>
      </w:r>
      <w:r w:rsidRPr="00B76A60">
        <w:rPr>
          <w:rFonts w:ascii="Times New Roman" w:hAnsi="Times New Roman" w:cs="Times New Roman"/>
          <w:sz w:val="24"/>
          <w:szCs w:val="24"/>
        </w:rPr>
        <w:t xml:space="preserve">  The DMR is an illegal transition charge or equivalent revenue that should be rejected.  </w:t>
      </w:r>
    </w:p>
    <w:p w:rsidR="00D41256" w:rsidRPr="00B76A60" w:rsidP="00CE4D01">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To make matters worse, the DMR would break the promise that AES Corporation (“AES”), DPL, Inc. (“DPL”), and DP&amp;L made to Ohioans – they would not charge customers costs related to the negotiation, approval, and closing associated with AES’s acquisition of DP&amp;L (“the Merger”).</w:t>
      </w:r>
      <w:r>
        <w:rPr>
          <w:rStyle w:val="FootnoteReference"/>
          <w:rFonts w:ascii="Times New Roman" w:hAnsi="Times New Roman" w:cs="Times New Roman"/>
          <w:sz w:val="24"/>
          <w:szCs w:val="24"/>
        </w:rPr>
        <w:footnoteReference w:id="8"/>
      </w:r>
      <w:r w:rsidRPr="00B76A60">
        <w:rPr>
          <w:rFonts w:ascii="Times New Roman" w:hAnsi="Times New Roman" w:cs="Times New Roman"/>
          <w:sz w:val="24"/>
          <w:szCs w:val="24"/>
        </w:rPr>
        <w:t xml:space="preserve">  The PUCO should not let this promise be broken. </w:t>
      </w:r>
    </w:p>
    <w:p w:rsidR="00D41256" w:rsidRPr="00B76A60" w:rsidP="00FE7102">
      <w:pPr>
        <w:spacing w:after="0" w:line="480" w:lineRule="auto"/>
        <w:rPr>
          <w:rFonts w:ascii="Times New Roman" w:hAnsi="Times New Roman" w:cs="Times New Roman"/>
          <w:sz w:val="24"/>
          <w:szCs w:val="24"/>
        </w:rPr>
      </w:pPr>
      <w:r w:rsidRPr="00B76A60">
        <w:rPr>
          <w:rFonts w:ascii="Times New Roman" w:hAnsi="Times New Roman" w:cs="Times New Roman"/>
          <w:sz w:val="24"/>
          <w:szCs w:val="24"/>
        </w:rPr>
        <w:tab/>
        <w:t>When the record is addressed, parties mischaracterize, misunderstand, selectively and inaccurately interpret, and set up straw men in critiquing OCC’s evidence.  Properly considered, the record evidence shows that the Settlement fails the three-part test.</w:t>
      </w:r>
      <w:r>
        <w:rPr>
          <w:rStyle w:val="FootnoteReference"/>
          <w:rFonts w:ascii="Times New Roman" w:hAnsi="Times New Roman" w:cs="Times New Roman"/>
          <w:sz w:val="24"/>
          <w:szCs w:val="24"/>
        </w:rPr>
        <w:footnoteReference w:id="9"/>
      </w:r>
      <w:r w:rsidRPr="00B76A60">
        <w:rPr>
          <w:rFonts w:ascii="Times New Roman" w:hAnsi="Times New Roman" w:cs="Times New Roman"/>
          <w:sz w:val="24"/>
          <w:szCs w:val="24"/>
        </w:rPr>
        <w:t xml:space="preserve">  Properly considered, the record evidence shows that the electric security plan (“ESP”) embodied in the Settlement fails the market rate offer (“MRO”) versus ESP test--it is not more favorable in the aggregate to consumers than a market rate offer.</w:t>
      </w:r>
      <w:r>
        <w:rPr>
          <w:rStyle w:val="FootnoteReference"/>
          <w:rFonts w:ascii="Times New Roman" w:hAnsi="Times New Roman" w:cs="Times New Roman"/>
          <w:sz w:val="24"/>
          <w:szCs w:val="24"/>
        </w:rPr>
        <w:footnoteReference w:id="10"/>
      </w:r>
      <w:r w:rsidRPr="00B76A60">
        <w:rPr>
          <w:rFonts w:ascii="Times New Roman" w:hAnsi="Times New Roman" w:cs="Times New Roman"/>
          <w:sz w:val="24"/>
          <w:szCs w:val="24"/>
        </w:rPr>
        <w:t xml:space="preserve"> Properly considered, evidence points in the same direction: Reject the Settlement. </w:t>
      </w:r>
    </w:p>
    <w:p w:rsidR="00FE7102" w:rsidRPr="00B76A60" w:rsidP="00886EE4">
      <w:pPr>
        <w:pStyle w:val="Heading1"/>
      </w:pPr>
      <w:bookmarkStart w:id="2" w:name="_Toc482612431"/>
      <w:r w:rsidRPr="00B76A60">
        <w:t>RECOMMENDATIONS</w:t>
      </w:r>
      <w:bookmarkEnd w:id="2"/>
      <w:r w:rsidRPr="00B76A60">
        <w:t xml:space="preserve">   </w:t>
      </w:r>
    </w:p>
    <w:p w:rsidR="00F92DE3" w:rsidRPr="00B76A60" w:rsidP="006677E5">
      <w:pPr>
        <w:pStyle w:val="Heading2"/>
      </w:pPr>
      <w:bookmarkStart w:id="3" w:name="_Toc482612432"/>
      <w:r w:rsidRPr="00B76A60">
        <w:t>To protect consumers, the PUCO should follow the Ohio Supreme Court’s directive and find the DMR is an unlawful transition charge or equivalent revenue that DP&amp;L seek</w:t>
      </w:r>
      <w:r>
        <w:t>s</w:t>
      </w:r>
      <w:r w:rsidRPr="00B76A60">
        <w:t xml:space="preserve"> to collect from customers</w:t>
      </w:r>
      <w:r>
        <w:t>.</w:t>
      </w:r>
      <w:bookmarkEnd w:id="3"/>
      <w:r w:rsidRPr="00B76A60">
        <w:t xml:space="preserve"> </w:t>
      </w:r>
    </w:p>
    <w:p w:rsidR="009F3B6F" w:rsidRPr="00B76A60" w:rsidP="000A7B60">
      <w:pPr>
        <w:pStyle w:val="Heading3"/>
      </w:pPr>
      <w:bookmarkStart w:id="4" w:name="_Toc482612433"/>
      <w:r w:rsidRPr="00B76A60">
        <w:t>The DMR is first, last, and always about paying off generation debt – it is an unlawful transition charge or equivalent revenue that should be rejected to protect consumers</w:t>
      </w:r>
      <w:r>
        <w:t>.</w:t>
      </w:r>
      <w:bookmarkEnd w:id="4"/>
    </w:p>
    <w:p w:rsidR="005E1956" w:rsidRPr="00B76A60" w:rsidP="00F17C7E">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DP&amp;L defends the DMR as predominantly being about grid modernization.</w:t>
      </w:r>
      <w:r>
        <w:rPr>
          <w:rStyle w:val="FootnoteReference"/>
          <w:rFonts w:ascii="Times New Roman" w:hAnsi="Times New Roman" w:cs="Times New Roman"/>
          <w:sz w:val="24"/>
          <w:szCs w:val="24"/>
        </w:rPr>
        <w:footnoteReference w:id="11"/>
      </w:r>
      <w:r w:rsidRPr="00B76A60">
        <w:rPr>
          <w:rFonts w:ascii="Times New Roman" w:hAnsi="Times New Roman" w:cs="Times New Roman"/>
          <w:sz w:val="24"/>
          <w:szCs w:val="24"/>
        </w:rPr>
        <w:t xml:space="preserve">  Revealingly, DP&amp;L highlights the PUCO Staff’s testimony, not its own, to this effect.</w:t>
      </w:r>
      <w:r>
        <w:rPr>
          <w:rStyle w:val="FootnoteReference"/>
          <w:rFonts w:ascii="Times New Roman" w:hAnsi="Times New Roman" w:cs="Times New Roman"/>
          <w:sz w:val="24"/>
          <w:szCs w:val="24"/>
        </w:rPr>
        <w:footnoteReference w:id="12"/>
      </w:r>
      <w:r w:rsidRPr="00B76A60">
        <w:rPr>
          <w:rFonts w:ascii="Times New Roman" w:hAnsi="Times New Roman" w:cs="Times New Roman"/>
          <w:sz w:val="24"/>
          <w:szCs w:val="24"/>
        </w:rPr>
        <w:t xml:space="preserve">  This is because DP&amp;L’s own testimony (that is, testimony from the party seeking the DMR and, thus, presumably </w:t>
      </w:r>
      <w:r>
        <w:rPr>
          <w:rFonts w:ascii="Times New Roman" w:hAnsi="Times New Roman" w:cs="Times New Roman"/>
          <w:sz w:val="24"/>
          <w:szCs w:val="24"/>
        </w:rPr>
        <w:t xml:space="preserve">the most </w:t>
      </w:r>
      <w:r w:rsidRPr="00B76A60">
        <w:rPr>
          <w:rFonts w:ascii="Times New Roman" w:hAnsi="Times New Roman" w:cs="Times New Roman"/>
          <w:sz w:val="24"/>
          <w:szCs w:val="24"/>
        </w:rPr>
        <w:t>informed about its purpose and intended use) confirms that 100% of DMR funds are going to be used to pay-off debt.</w:t>
      </w:r>
      <w:r>
        <w:rPr>
          <w:rStyle w:val="FootnoteReference"/>
          <w:rFonts w:ascii="Times New Roman" w:hAnsi="Times New Roman" w:cs="Times New Roman"/>
          <w:sz w:val="24"/>
          <w:szCs w:val="24"/>
        </w:rPr>
        <w:footnoteReference w:id="13"/>
      </w:r>
      <w:r w:rsidRPr="00B76A60">
        <w:rPr>
          <w:rFonts w:ascii="Times New Roman" w:hAnsi="Times New Roman" w:cs="Times New Roman"/>
          <w:sz w:val="24"/>
          <w:szCs w:val="24"/>
        </w:rPr>
        <w:t xml:space="preserve">  “DP&amp;L needs </w:t>
      </w:r>
      <w:r w:rsidRPr="00F4073A">
        <w:rPr>
          <w:rFonts w:ascii="Times New Roman" w:hAnsi="Times New Roman" w:cs="Times New Roman"/>
          <w:i/>
          <w:sz w:val="24"/>
          <w:szCs w:val="24"/>
        </w:rPr>
        <w:t>all</w:t>
      </w:r>
      <w:r w:rsidRPr="00B76A60">
        <w:rPr>
          <w:rFonts w:ascii="Times New Roman" w:hAnsi="Times New Roman" w:cs="Times New Roman"/>
          <w:sz w:val="24"/>
          <w:szCs w:val="24"/>
        </w:rPr>
        <w:t xml:space="preserve"> of the DMR funds </w:t>
      </w:r>
      <w:r w:rsidRPr="00F4073A">
        <w:rPr>
          <w:rFonts w:ascii="Times New Roman" w:hAnsi="Times New Roman" w:cs="Times New Roman"/>
          <w:i/>
          <w:sz w:val="24"/>
          <w:szCs w:val="24"/>
        </w:rPr>
        <w:t>to pay down debt</w:t>
      </w:r>
      <w:r w:rsidRPr="00B76A60">
        <w:rPr>
          <w:rFonts w:ascii="Times New Roman" w:hAnsi="Times New Roman" w:cs="Times New Roman"/>
          <w:sz w:val="24"/>
          <w:szCs w:val="24"/>
        </w:rPr>
        <w:t xml:space="preserve"> so that DP&amp;L can maintain its financial integrity.”</w:t>
      </w:r>
      <w:r>
        <w:rPr>
          <w:rStyle w:val="FootnoteReference"/>
          <w:rFonts w:ascii="Times New Roman" w:hAnsi="Times New Roman" w:cs="Times New Roman"/>
          <w:sz w:val="24"/>
          <w:szCs w:val="24"/>
        </w:rPr>
        <w:footnoteReference w:id="14"/>
      </w:r>
      <w:r w:rsidRPr="00B76A60">
        <w:rPr>
          <w:rFonts w:ascii="Times New Roman" w:hAnsi="Times New Roman" w:cs="Times New Roman"/>
          <w:sz w:val="24"/>
          <w:szCs w:val="24"/>
        </w:rPr>
        <w:t xml:space="preserve">  That debt is linked to its generation assets.</w:t>
      </w:r>
      <w:r>
        <w:rPr>
          <w:rStyle w:val="FootnoteReference"/>
          <w:rFonts w:ascii="Times New Roman" w:hAnsi="Times New Roman" w:cs="Times New Roman"/>
          <w:sz w:val="24"/>
          <w:szCs w:val="24"/>
        </w:rPr>
        <w:footnoteReference w:id="15"/>
      </w:r>
      <w:r w:rsidRPr="00B76A60">
        <w:rPr>
          <w:rFonts w:ascii="Times New Roman" w:hAnsi="Times New Roman" w:cs="Times New Roman"/>
          <w:sz w:val="24"/>
          <w:szCs w:val="24"/>
        </w:rPr>
        <w:t xml:space="preserve">  And the responsibility for paying that debt will remain with DP&amp;L, the regulated utility, and be paid by its customers.</w:t>
      </w:r>
      <w:r>
        <w:rPr>
          <w:rStyle w:val="FootnoteReference"/>
          <w:rFonts w:ascii="Times New Roman" w:hAnsi="Times New Roman" w:cs="Times New Roman"/>
          <w:sz w:val="24"/>
          <w:szCs w:val="24"/>
        </w:rPr>
        <w:footnoteReference w:id="16"/>
      </w:r>
      <w:r w:rsidRPr="00B76A60">
        <w:rPr>
          <w:rFonts w:ascii="Times New Roman" w:hAnsi="Times New Roman" w:cs="Times New Roman"/>
          <w:sz w:val="24"/>
          <w:szCs w:val="24"/>
        </w:rPr>
        <w:t xml:space="preserve">  The DMR is an illegal transition charge or equivalent revenue that should be rejected.</w:t>
      </w:r>
      <w:r>
        <w:rPr>
          <w:rStyle w:val="FootnoteReference"/>
          <w:rFonts w:ascii="Times New Roman" w:hAnsi="Times New Roman" w:cs="Times New Roman"/>
          <w:sz w:val="24"/>
          <w:szCs w:val="24"/>
        </w:rPr>
        <w:footnoteReference w:id="17"/>
      </w:r>
    </w:p>
    <w:p w:rsidR="009F3B6F" w:rsidRPr="00B76A60" w:rsidP="00F4073A">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Read most charitably, the defense of the DMR boils down to this:  DP&amp;L needs the DMR funds to pay-off generation debt so that it can borrow more money to spend on grid modernization.  Staff Witn</w:t>
      </w:r>
      <w:r w:rsidR="00D2088B">
        <w:rPr>
          <w:rFonts w:ascii="Times New Roman" w:hAnsi="Times New Roman" w:cs="Times New Roman"/>
          <w:sz w:val="24"/>
          <w:szCs w:val="24"/>
        </w:rPr>
        <w:t xml:space="preserve">ess Donlon, put it succinctly: </w:t>
      </w:r>
      <w:r w:rsidRPr="00B76A60">
        <w:rPr>
          <w:rFonts w:ascii="Times New Roman" w:hAnsi="Times New Roman" w:cs="Times New Roman"/>
          <w:sz w:val="24"/>
          <w:szCs w:val="24"/>
        </w:rPr>
        <w:t>“to get to that point, [DP&amp;L has] to pay down debt, so they can . . . go out and get new debt . . .</w:t>
      </w:r>
      <w:r>
        <w:rPr>
          <w:rFonts w:ascii="Times New Roman" w:hAnsi="Times New Roman" w:cs="Times New Roman"/>
          <w:sz w:val="24"/>
          <w:szCs w:val="24"/>
        </w:rPr>
        <w:t xml:space="preserve"> .</w:t>
      </w:r>
      <w:r w:rsidRPr="00B76A60">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B76A60">
        <w:rPr>
          <w:rFonts w:ascii="Times New Roman" w:hAnsi="Times New Roman" w:cs="Times New Roman"/>
          <w:sz w:val="24"/>
          <w:szCs w:val="24"/>
        </w:rPr>
        <w:t xml:space="preserve">  But the first step in the process – paying down existing generation debt with DMR funds – cannot be passed over to get to the second step – borrowing yet more money to (allegedly) spend on grid modernization.  That is because the first step is an unlawful transition charge or equivalent revenue tha</w:t>
      </w:r>
      <w:r>
        <w:rPr>
          <w:rFonts w:ascii="Times New Roman" w:hAnsi="Times New Roman" w:cs="Times New Roman"/>
          <w:sz w:val="24"/>
          <w:szCs w:val="24"/>
        </w:rPr>
        <w:t xml:space="preserve">t would require </w:t>
      </w:r>
      <w:r w:rsidRPr="00B76A60">
        <w:rPr>
          <w:rFonts w:ascii="Times New Roman" w:hAnsi="Times New Roman" w:cs="Times New Roman"/>
          <w:sz w:val="24"/>
          <w:szCs w:val="24"/>
        </w:rPr>
        <w:t>consumers to improperly subsidize unregulated</w:t>
      </w:r>
      <w:r>
        <w:rPr>
          <w:rFonts w:ascii="Times New Roman" w:hAnsi="Times New Roman" w:cs="Times New Roman"/>
          <w:sz w:val="24"/>
          <w:szCs w:val="24"/>
        </w:rPr>
        <w:t>,</w:t>
      </w:r>
      <w:r w:rsidRPr="00B76A60">
        <w:rPr>
          <w:rFonts w:ascii="Times New Roman" w:hAnsi="Times New Roman" w:cs="Times New Roman"/>
          <w:sz w:val="24"/>
          <w:szCs w:val="24"/>
        </w:rPr>
        <w:t xml:space="preserve"> competitive generation.</w:t>
      </w:r>
    </w:p>
    <w:p w:rsidR="00F92DE3" w:rsidRPr="00B76A60" w:rsidP="009F3B6F">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Ohio law bars the PUCO from authorizing “the receipt of transition revenues or </w:t>
      </w:r>
      <w:r w:rsidRPr="00F4073A">
        <w:rPr>
          <w:rFonts w:ascii="Times New Roman" w:hAnsi="Times New Roman" w:cs="Times New Roman"/>
          <w:bCs/>
          <w:i/>
          <w:iCs/>
          <w:sz w:val="24"/>
          <w:szCs w:val="24"/>
        </w:rPr>
        <w:t>any equivalent revenues</w:t>
      </w:r>
      <w:r w:rsidRPr="00F4073A">
        <w:rPr>
          <w:rFonts w:ascii="Times New Roman" w:hAnsi="Times New Roman" w:cs="Times New Roman"/>
          <w:b/>
          <w:bCs/>
          <w:i/>
          <w:iCs/>
          <w:sz w:val="24"/>
          <w:szCs w:val="24"/>
        </w:rPr>
        <w:t xml:space="preserve"> </w:t>
      </w:r>
      <w:r w:rsidRPr="00B76A60">
        <w:rPr>
          <w:rFonts w:ascii="Times New Roman" w:hAnsi="Times New Roman" w:cs="Times New Roman"/>
          <w:sz w:val="24"/>
          <w:szCs w:val="24"/>
        </w:rPr>
        <w:t>by an electric utility” after the market development period ended in 2005.</w:t>
      </w:r>
      <w:r>
        <w:rPr>
          <w:rStyle w:val="FootnoteReference"/>
          <w:rFonts w:ascii="Times New Roman" w:hAnsi="Times New Roman" w:cs="Times New Roman"/>
          <w:sz w:val="24"/>
          <w:szCs w:val="24"/>
        </w:rPr>
        <w:footnoteReference w:id="19"/>
      </w:r>
      <w:r w:rsidRPr="00B76A60">
        <w:rPr>
          <w:rFonts w:ascii="Times New Roman" w:hAnsi="Times New Roman" w:cs="Times New Roman"/>
          <w:sz w:val="16"/>
          <w:szCs w:val="16"/>
        </w:rPr>
        <w:t xml:space="preserve">  </w:t>
      </w:r>
      <w:r w:rsidRPr="00B76A60">
        <w:rPr>
          <w:rFonts w:ascii="Times New Roman" w:hAnsi="Times New Roman" w:cs="Times New Roman"/>
          <w:sz w:val="24"/>
          <w:szCs w:val="24"/>
        </w:rPr>
        <w:t>The Court has determined that even though something was not explicitly labeled as transition revenue, it can still be considered “transition revenue.”</w:t>
      </w:r>
      <w:r>
        <w:rPr>
          <w:rStyle w:val="FootnoteReference"/>
          <w:rFonts w:ascii="Times New Roman" w:hAnsi="Times New Roman" w:cs="Times New Roman"/>
          <w:sz w:val="24"/>
          <w:szCs w:val="24"/>
        </w:rPr>
        <w:footnoteReference w:id="20"/>
      </w:r>
      <w:r w:rsidRPr="00B76A60">
        <w:rPr>
          <w:rFonts w:ascii="Times New Roman" w:hAnsi="Times New Roman" w:cs="Times New Roman"/>
          <w:sz w:val="16"/>
          <w:szCs w:val="16"/>
        </w:rPr>
        <w:t xml:space="preserve">   </w:t>
      </w:r>
      <w:r w:rsidRPr="00B76A60">
        <w:rPr>
          <w:rFonts w:ascii="Times New Roman" w:hAnsi="Times New Roman" w:cs="Times New Roman"/>
          <w:sz w:val="24"/>
          <w:szCs w:val="24"/>
        </w:rPr>
        <w:t>As part of that case, the Court determined that AEP’s Retail Stability Rider (“RSR”) included the recovery of unlawful transition revenue. The Court overturned the PUCO’s approval of that rider.</w:t>
      </w:r>
      <w:r>
        <w:rPr>
          <w:rStyle w:val="FootnoteReference"/>
          <w:rFonts w:ascii="Times New Roman" w:hAnsi="Times New Roman" w:cs="Times New Roman"/>
          <w:sz w:val="24"/>
          <w:szCs w:val="24"/>
        </w:rPr>
        <w:footnoteReference w:id="21"/>
      </w:r>
      <w:r w:rsidRPr="00B76A60">
        <w:rPr>
          <w:rFonts w:ascii="Times New Roman" w:hAnsi="Times New Roman" w:cs="Times New Roman"/>
          <w:sz w:val="16"/>
          <w:szCs w:val="16"/>
        </w:rPr>
        <w:t xml:space="preserve">   </w:t>
      </w:r>
      <w:r w:rsidRPr="00B76A60">
        <w:rPr>
          <w:rFonts w:ascii="Times New Roman" w:hAnsi="Times New Roman" w:cs="Times New Roman"/>
          <w:sz w:val="24"/>
          <w:szCs w:val="24"/>
        </w:rPr>
        <w:t>When looking at AEP’s transition revenues the Court noted that Rider RSR was approved to “provide AEP-Ohio with sufficient revenue to ensure it maintains its financial integrity as well as its ability to attract capital.”</w:t>
      </w:r>
      <w:r>
        <w:rPr>
          <w:rStyle w:val="FootnoteReference"/>
          <w:rFonts w:ascii="Times New Roman" w:hAnsi="Times New Roman" w:cs="Times New Roman"/>
          <w:sz w:val="24"/>
          <w:szCs w:val="24"/>
        </w:rPr>
        <w:footnoteReference w:id="22"/>
      </w:r>
      <w:r w:rsidRPr="00B76A60">
        <w:rPr>
          <w:rFonts w:ascii="Times New Roman" w:hAnsi="Times New Roman" w:cs="Times New Roman"/>
          <w:sz w:val="24"/>
          <w:szCs w:val="24"/>
        </w:rPr>
        <w:t xml:space="preserve">  </w:t>
      </w:r>
      <w:r w:rsidRPr="00B76A60">
        <w:rPr>
          <w:rFonts w:ascii="Times New Roman" w:hAnsi="Times New Roman" w:cs="Times New Roman"/>
          <w:sz w:val="16"/>
          <w:szCs w:val="16"/>
        </w:rPr>
        <w:t xml:space="preserve"> </w:t>
      </w:r>
      <w:r w:rsidRPr="00B76A60">
        <w:rPr>
          <w:rFonts w:ascii="Times New Roman" w:hAnsi="Times New Roman" w:cs="Times New Roman"/>
          <w:sz w:val="24"/>
          <w:szCs w:val="24"/>
        </w:rPr>
        <w:t>The Court’s decision was subsequently reinforced when it recently and summarily rejected DP&amp;L’s service stability charge as an unlawful transition charge.</w:t>
      </w:r>
      <w:r>
        <w:rPr>
          <w:rStyle w:val="FootnoteReference"/>
          <w:rFonts w:ascii="Times New Roman" w:hAnsi="Times New Roman" w:cs="Times New Roman"/>
          <w:sz w:val="24"/>
          <w:szCs w:val="24"/>
        </w:rPr>
        <w:footnoteReference w:id="23"/>
      </w:r>
      <w:r w:rsidRPr="00B76A60">
        <w:rPr>
          <w:rFonts w:ascii="Times New Roman" w:hAnsi="Times New Roman" w:cs="Times New Roman"/>
          <w:sz w:val="24"/>
          <w:szCs w:val="24"/>
        </w:rPr>
        <w:t xml:space="preserve">  </w:t>
      </w:r>
    </w:p>
    <w:p w:rsidR="003D430D" w:rsidRPr="00B76A60" w:rsidP="009F3B6F">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The Environmental Defense Fund and Ohio Environmental Council put it well:</w:t>
      </w:r>
    </w:p>
    <w:p w:rsidR="003D430D" w:rsidRPr="00B76A60" w:rsidP="00886EE4">
      <w:pPr>
        <w:autoSpaceDE w:val="0"/>
        <w:autoSpaceDN w:val="0"/>
        <w:adjustRightInd w:val="0"/>
        <w:spacing w:after="0" w:line="240" w:lineRule="auto"/>
        <w:ind w:left="1440" w:right="720"/>
        <w:rPr>
          <w:rFonts w:ascii="Times New Roman" w:hAnsi="Times New Roman" w:cs="Times New Roman"/>
          <w:sz w:val="24"/>
          <w:szCs w:val="24"/>
        </w:rPr>
      </w:pPr>
      <w:r w:rsidRPr="00B76A60">
        <w:rPr>
          <w:rFonts w:ascii="Times New Roman" w:hAnsi="Times New Roman" w:cs="Times New Roman"/>
          <w:sz w:val="24"/>
          <w:szCs w:val="24"/>
        </w:rPr>
        <w:t>Customers do not owe the Company in any way beyond payment of Commission-approved rates for the cost of electric service.  The Company, in exchange for its monopoly power granted by the Commission, owes the customers the duty to stay healthy and provide reliable services.  It is not the Commission’s duty to bail out utilities that make bad business decisions and put it on the backs of blameless ratepayers.</w:t>
      </w:r>
      <w:r>
        <w:rPr>
          <w:rStyle w:val="FootnoteReference"/>
          <w:rFonts w:ascii="Times New Roman" w:hAnsi="Times New Roman" w:cs="Times New Roman"/>
          <w:sz w:val="24"/>
          <w:szCs w:val="24"/>
        </w:rPr>
        <w:footnoteReference w:id="24"/>
      </w:r>
    </w:p>
    <w:p w:rsidR="003D430D" w:rsidRPr="00B76A60" w:rsidP="003D430D">
      <w:pPr>
        <w:autoSpaceDE w:val="0"/>
        <w:autoSpaceDN w:val="0"/>
        <w:adjustRightInd w:val="0"/>
        <w:spacing w:after="0" w:line="240" w:lineRule="auto"/>
        <w:ind w:left="720"/>
        <w:rPr>
          <w:rFonts w:ascii="Times New Roman" w:hAnsi="Times New Roman" w:cs="Times New Roman"/>
          <w:sz w:val="24"/>
          <w:szCs w:val="24"/>
        </w:rPr>
      </w:pPr>
    </w:p>
    <w:p w:rsidR="00886EE4" w:rsidRPr="00B76A60" w:rsidP="000A7B60">
      <w:pPr>
        <w:pStyle w:val="Heading3"/>
        <w:rPr>
          <w:rFonts w:cs="Times New Roman"/>
        </w:rPr>
      </w:pPr>
      <w:bookmarkStart w:id="5" w:name="_Toc482612434"/>
      <w:r w:rsidRPr="00B76A60">
        <w:t>DP&amp;L’s</w:t>
      </w:r>
      <w:r>
        <w:t xml:space="preserve"> </w:t>
      </w:r>
      <w:r w:rsidRPr="00B76A60">
        <w:t xml:space="preserve">technical defenses of the DMR </w:t>
      </w:r>
      <w:r>
        <w:t xml:space="preserve">are inadequate and </w:t>
      </w:r>
      <w:r w:rsidRPr="00B76A60">
        <w:t xml:space="preserve">should be </w:t>
      </w:r>
      <w:r w:rsidRPr="00B76A60">
        <w:rPr>
          <w:rFonts w:cs="Times New Roman"/>
        </w:rPr>
        <w:t>rejected to protect consumers</w:t>
      </w:r>
      <w:r>
        <w:rPr>
          <w:rFonts w:cs="Times New Roman"/>
        </w:rPr>
        <w:t>.</w:t>
      </w:r>
      <w:bookmarkEnd w:id="5"/>
    </w:p>
    <w:p w:rsidR="008644B5" w:rsidRPr="00B76A60" w:rsidP="008644B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best </w:t>
      </w:r>
      <w:r w:rsidRPr="00B76A60">
        <w:rPr>
          <w:rFonts w:ascii="Times New Roman" w:hAnsi="Times New Roman" w:cs="Times New Roman"/>
          <w:sz w:val="24"/>
          <w:szCs w:val="24"/>
        </w:rPr>
        <w:t>defens</w:t>
      </w:r>
      <w:r>
        <w:rPr>
          <w:rFonts w:ascii="Times New Roman" w:hAnsi="Times New Roman" w:cs="Times New Roman"/>
          <w:sz w:val="24"/>
          <w:szCs w:val="24"/>
        </w:rPr>
        <w:t>es of</w:t>
      </w:r>
      <w:r w:rsidRPr="00B76A60">
        <w:rPr>
          <w:rFonts w:ascii="Times New Roman" w:hAnsi="Times New Roman" w:cs="Times New Roman"/>
          <w:sz w:val="24"/>
          <w:szCs w:val="24"/>
        </w:rPr>
        <w:t xml:space="preserve"> the DMR </w:t>
      </w:r>
      <w:r>
        <w:rPr>
          <w:rFonts w:ascii="Times New Roman" w:hAnsi="Times New Roman" w:cs="Times New Roman"/>
          <w:sz w:val="24"/>
          <w:szCs w:val="24"/>
        </w:rPr>
        <w:t>that DP&amp;L could come up with is that it</w:t>
      </w:r>
      <w:r w:rsidRPr="00B76A60">
        <w:rPr>
          <w:rFonts w:ascii="Times New Roman" w:hAnsi="Times New Roman" w:cs="Times New Roman"/>
          <w:sz w:val="24"/>
          <w:szCs w:val="24"/>
        </w:rPr>
        <w:t xml:space="preserve"> will no longer own generation assets, it allegedly allows DP&amp;L to invest in distribution service and modernization, and it is permissible under the “notwithstanding” clause in R.C. 4928.143(B)(2)(h).</w:t>
      </w:r>
      <w:r>
        <w:rPr>
          <w:rStyle w:val="FootnoteReference"/>
          <w:rFonts w:ascii="Times New Roman" w:hAnsi="Times New Roman" w:cs="Times New Roman"/>
          <w:sz w:val="24"/>
          <w:szCs w:val="24"/>
        </w:rPr>
        <w:footnoteReference w:id="25"/>
      </w:r>
      <w:r w:rsidRPr="00B76A60">
        <w:rPr>
          <w:rFonts w:ascii="Times New Roman" w:hAnsi="Times New Roman" w:cs="Times New Roman"/>
          <w:sz w:val="24"/>
          <w:szCs w:val="24"/>
        </w:rPr>
        <w:t xml:space="preserve">  Although DP&amp;L may not own any generation assets at some point in the Settlement’s wake, the debt linked to those assets</w:t>
      </w:r>
      <w:r>
        <w:rPr>
          <w:rFonts w:ascii="Times New Roman" w:hAnsi="Times New Roman" w:cs="Times New Roman"/>
          <w:sz w:val="24"/>
          <w:szCs w:val="24"/>
        </w:rPr>
        <w:t xml:space="preserve"> that</w:t>
      </w:r>
      <w:r w:rsidRPr="00B76A60">
        <w:rPr>
          <w:rFonts w:ascii="Times New Roman" w:hAnsi="Times New Roman" w:cs="Times New Roman"/>
          <w:sz w:val="24"/>
          <w:szCs w:val="24"/>
        </w:rPr>
        <w:t xml:space="preserve"> is the debt giving rise to the need for the DMR, will remain.</w:t>
      </w:r>
      <w:r>
        <w:rPr>
          <w:rStyle w:val="FootnoteReference"/>
          <w:rFonts w:ascii="Times New Roman" w:hAnsi="Times New Roman" w:cs="Times New Roman"/>
          <w:sz w:val="24"/>
          <w:szCs w:val="24"/>
        </w:rPr>
        <w:footnoteReference w:id="26"/>
      </w:r>
      <w:r w:rsidRPr="00B76A60">
        <w:rPr>
          <w:rFonts w:ascii="Times New Roman" w:hAnsi="Times New Roman" w:cs="Times New Roman"/>
          <w:sz w:val="24"/>
          <w:szCs w:val="24"/>
        </w:rPr>
        <w:t xml:space="preserve">  That debt will be paid with DMR funds taken from DP&amp;L’s customers.</w:t>
      </w:r>
      <w:r>
        <w:rPr>
          <w:rStyle w:val="FootnoteReference"/>
          <w:rFonts w:ascii="Times New Roman" w:hAnsi="Times New Roman" w:cs="Times New Roman"/>
          <w:sz w:val="24"/>
          <w:szCs w:val="24"/>
        </w:rPr>
        <w:footnoteReference w:id="27"/>
      </w:r>
      <w:r w:rsidRPr="00B76A60">
        <w:rPr>
          <w:rFonts w:ascii="Times New Roman" w:hAnsi="Times New Roman" w:cs="Times New Roman"/>
          <w:sz w:val="24"/>
          <w:szCs w:val="24"/>
        </w:rPr>
        <w:t xml:space="preserve">  According to DP&amp;L’s own testimony and the financial reality, 100% of the DMR funds will be used to pay debt.</w:t>
      </w:r>
      <w:r>
        <w:rPr>
          <w:rStyle w:val="FootnoteReference"/>
          <w:rFonts w:ascii="Times New Roman" w:hAnsi="Times New Roman" w:cs="Times New Roman"/>
          <w:sz w:val="24"/>
          <w:szCs w:val="24"/>
        </w:rPr>
        <w:footnoteReference w:id="28"/>
      </w:r>
      <w:r w:rsidRPr="00B76A60">
        <w:rPr>
          <w:rFonts w:ascii="Times New Roman" w:hAnsi="Times New Roman" w:cs="Times New Roman"/>
          <w:sz w:val="24"/>
          <w:szCs w:val="24"/>
        </w:rPr>
        <w:t xml:space="preserve">  So, none of the funds will be used to invest in distribution service or grid modernization.  As explained by Wal-Mart, DP&amp;L’s “customers receive no improvements in the utility service that they are already receiving or any universal benefit . . . .”</w:t>
      </w:r>
      <w:r>
        <w:rPr>
          <w:rStyle w:val="FootnoteReference"/>
          <w:rFonts w:ascii="Times New Roman" w:hAnsi="Times New Roman" w:cs="Times New Roman"/>
          <w:sz w:val="24"/>
          <w:szCs w:val="24"/>
        </w:rPr>
        <w:footnoteReference w:id="29"/>
      </w:r>
      <w:r w:rsidRPr="00B76A60">
        <w:rPr>
          <w:rFonts w:ascii="Times New Roman" w:hAnsi="Times New Roman" w:cs="Times New Roman"/>
          <w:sz w:val="24"/>
          <w:szCs w:val="24"/>
        </w:rPr>
        <w:t xml:space="preserve">  DP&amp;L raised its argument based on R.C. 4928.143(B)’s “notwithstanding” clause in the appeal to the Court on the Service Stability Rider.  It was rejected there, and should be here.</w:t>
      </w:r>
      <w:r>
        <w:rPr>
          <w:rStyle w:val="FootnoteReference"/>
          <w:rFonts w:ascii="Times New Roman" w:hAnsi="Times New Roman" w:cs="Times New Roman"/>
          <w:sz w:val="24"/>
          <w:szCs w:val="24"/>
        </w:rPr>
        <w:footnoteReference w:id="30"/>
      </w:r>
    </w:p>
    <w:p w:rsidR="00B7518C" w:rsidRPr="00B76A60" w:rsidP="000A7B60">
      <w:pPr>
        <w:pStyle w:val="Heading3"/>
      </w:pPr>
      <w:bookmarkStart w:id="6" w:name="_Toc482612435"/>
      <w:r w:rsidRPr="00B76A60">
        <w:t>The DMR proposed by DP&amp;L is not authorized under R.C. 4928.143(B)(2)(h), (d), or (i) and should be rejected to protect consumers</w:t>
      </w:r>
      <w:r>
        <w:t>.</w:t>
      </w:r>
      <w:bookmarkEnd w:id="6"/>
    </w:p>
    <w:p w:rsidR="00824324" w:rsidRPr="00B76A60" w:rsidP="00824324">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Not only should the DMR be rejected because it is an illegal transition charge or equivalent revenue, it (as proposed by DP&amp;L) is not authorized under R.C. 4928.143(B). DP&amp;L cannot show that sufficient resources are dedicated to grid modernization through the DMR and thus does not meet the requirements of R.C. 4928.143 (B)(2)(h).  In fact, no resources from the DMR are dedicated to grid modernization.  “DP&amp;L needs </w:t>
      </w:r>
      <w:r w:rsidRPr="004C5DC1">
        <w:rPr>
          <w:rFonts w:ascii="Times New Roman" w:hAnsi="Times New Roman" w:cs="Times New Roman"/>
          <w:i/>
          <w:sz w:val="24"/>
          <w:szCs w:val="24"/>
        </w:rPr>
        <w:t>all</w:t>
      </w:r>
      <w:r w:rsidRPr="00B76A60">
        <w:rPr>
          <w:rFonts w:ascii="Times New Roman" w:hAnsi="Times New Roman" w:cs="Times New Roman"/>
          <w:sz w:val="24"/>
          <w:szCs w:val="24"/>
        </w:rPr>
        <w:t xml:space="preserve"> of the DMR funds </w:t>
      </w:r>
      <w:r w:rsidRPr="004C5DC1">
        <w:rPr>
          <w:rFonts w:ascii="Times New Roman" w:hAnsi="Times New Roman" w:cs="Times New Roman"/>
          <w:i/>
          <w:sz w:val="24"/>
          <w:szCs w:val="24"/>
        </w:rPr>
        <w:t>to pay down debt</w:t>
      </w:r>
      <w:r w:rsidRPr="00B76A60">
        <w:rPr>
          <w:rFonts w:ascii="Times New Roman" w:hAnsi="Times New Roman" w:cs="Times New Roman"/>
          <w:sz w:val="24"/>
          <w:szCs w:val="24"/>
        </w:rPr>
        <w:t xml:space="preserve"> so that DP&amp;L can maintain its financial integrity.”</w:t>
      </w:r>
      <w:r>
        <w:rPr>
          <w:rStyle w:val="FootnoteReference"/>
          <w:rFonts w:ascii="Times New Roman" w:hAnsi="Times New Roman" w:cs="Times New Roman"/>
          <w:sz w:val="24"/>
          <w:szCs w:val="24"/>
        </w:rPr>
        <w:footnoteReference w:id="31"/>
      </w:r>
      <w:r w:rsidRPr="00B76A60">
        <w:rPr>
          <w:rFonts w:ascii="Times New Roman" w:hAnsi="Times New Roman" w:cs="Times New Roman"/>
          <w:sz w:val="24"/>
          <w:szCs w:val="24"/>
        </w:rPr>
        <w:t xml:space="preserve">  The DMR is </w:t>
      </w:r>
      <w:r w:rsidRPr="004C5DC1">
        <w:rPr>
          <w:rFonts w:ascii="Times New Roman" w:hAnsi="Times New Roman" w:cs="Times New Roman"/>
          <w:i/>
          <w:sz w:val="24"/>
          <w:szCs w:val="24"/>
        </w:rPr>
        <w:t xml:space="preserve">not </w:t>
      </w:r>
      <w:r w:rsidRPr="00B76A60">
        <w:rPr>
          <w:rFonts w:ascii="Times New Roman" w:hAnsi="Times New Roman" w:cs="Times New Roman"/>
          <w:sz w:val="24"/>
          <w:szCs w:val="24"/>
        </w:rPr>
        <w:t xml:space="preserve">necessary for DP&amp;L to provide safe and reliable service, so it does not stabilize or provide certainty regarding electric service as required by </w:t>
      </w:r>
      <w:r>
        <w:rPr>
          <w:rFonts w:ascii="Times New Roman" w:hAnsi="Times New Roman" w:cs="Times New Roman"/>
          <w:sz w:val="24"/>
          <w:szCs w:val="24"/>
        </w:rPr>
        <w:t xml:space="preserve">                         </w:t>
      </w:r>
      <w:r w:rsidRPr="00B76A60">
        <w:rPr>
          <w:rFonts w:ascii="Times New Roman" w:hAnsi="Times New Roman" w:cs="Times New Roman"/>
          <w:sz w:val="24"/>
          <w:szCs w:val="24"/>
        </w:rPr>
        <w:t>R.C.</w:t>
      </w:r>
      <w:r>
        <w:rPr>
          <w:rFonts w:ascii="Times New Roman" w:hAnsi="Times New Roman" w:cs="Times New Roman"/>
          <w:sz w:val="24"/>
          <w:szCs w:val="24"/>
        </w:rPr>
        <w:t xml:space="preserve"> 4928.143</w:t>
      </w:r>
      <w:r w:rsidRPr="00B76A60">
        <w:rPr>
          <w:rFonts w:ascii="Times New Roman" w:hAnsi="Times New Roman" w:cs="Times New Roman"/>
          <w:sz w:val="24"/>
          <w:szCs w:val="24"/>
        </w:rPr>
        <w:t>(B)(2)(d).</w:t>
      </w:r>
      <w:r>
        <w:rPr>
          <w:rStyle w:val="FootnoteReference"/>
          <w:rFonts w:ascii="Times New Roman" w:hAnsi="Times New Roman" w:cs="Times New Roman"/>
          <w:sz w:val="24"/>
          <w:szCs w:val="24"/>
        </w:rPr>
        <w:footnoteReference w:id="32"/>
      </w:r>
      <w:r w:rsidRPr="00B76A60">
        <w:rPr>
          <w:rFonts w:ascii="Times New Roman" w:hAnsi="Times New Roman" w:cs="Times New Roman"/>
          <w:sz w:val="24"/>
          <w:szCs w:val="24"/>
        </w:rPr>
        <w:t xml:space="preserve">  There are rules and procedures in place that ensure that DP&amp;L will provide safe and reliable service irrespective of the DMR.</w:t>
      </w:r>
      <w:r>
        <w:rPr>
          <w:rStyle w:val="FootnoteReference"/>
          <w:rFonts w:ascii="Times New Roman" w:hAnsi="Times New Roman" w:cs="Times New Roman"/>
          <w:sz w:val="24"/>
          <w:szCs w:val="24"/>
        </w:rPr>
        <w:footnoteReference w:id="33"/>
      </w:r>
      <w:r w:rsidRPr="00B76A60">
        <w:rPr>
          <w:rFonts w:ascii="Times New Roman" w:hAnsi="Times New Roman" w:cs="Times New Roman"/>
          <w:sz w:val="24"/>
          <w:szCs w:val="24"/>
        </w:rPr>
        <w:t xml:space="preserve">  </w:t>
      </w:r>
    </w:p>
    <w:p w:rsidR="00DE605B" w:rsidRPr="00B76A60" w:rsidP="00824324">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And the economic development provisions in R.C. 4928.143(B)(2)(i) do not save the DMR.  The purported economic development benefits described by DP&amp;L relate to grid modernization.  But 100% of the DMR is going to pay-off debt, not grid modernization.</w:t>
      </w:r>
      <w:r>
        <w:rPr>
          <w:rStyle w:val="FootnoteReference"/>
          <w:rFonts w:ascii="Times New Roman" w:hAnsi="Times New Roman" w:cs="Times New Roman"/>
          <w:sz w:val="24"/>
          <w:szCs w:val="24"/>
        </w:rPr>
        <w:footnoteReference w:id="34"/>
      </w:r>
    </w:p>
    <w:p w:rsidR="002B500F" w:rsidRPr="00B76A60" w:rsidP="00DD6059">
      <w:pPr>
        <w:pStyle w:val="Heading2"/>
      </w:pPr>
      <w:bookmarkStart w:id="7" w:name="_Toc482612436"/>
      <w:r w:rsidRPr="00B76A60">
        <w:t>DP&amp;L mischaracterizes OCC witness testimony regarding DP&amp;L’s ability to provide safe and reliable service to its customers</w:t>
      </w:r>
      <w:r>
        <w:t>.</w:t>
      </w:r>
      <w:bookmarkEnd w:id="7"/>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DP&amp;L claims that OCC witnesses conceded that they did not evaluate whether DP&amp;L could maintain its financial integrity or provide safe and reliable service without the DMR.</w:t>
      </w:r>
      <w:r>
        <w:rPr>
          <w:rStyle w:val="FootnoteReference"/>
          <w:rFonts w:ascii="Times New Roman" w:hAnsi="Times New Roman" w:cs="Times New Roman"/>
          <w:sz w:val="24"/>
          <w:szCs w:val="24"/>
        </w:rPr>
        <w:footnoteReference w:id="35"/>
      </w:r>
      <w:r w:rsidRPr="00B76A60">
        <w:rPr>
          <w:rFonts w:ascii="Times New Roman" w:hAnsi="Times New Roman" w:cs="Times New Roman"/>
          <w:sz w:val="24"/>
          <w:szCs w:val="24"/>
        </w:rPr>
        <w:t xml:space="preserve"> This is a gross mischaracterization. OCC Witness Williams explained that DP&amp;L has a regulatory obligation to provide its customers with safe and reliable service regardless of whether the DMR is established.</w:t>
      </w:r>
      <w:r>
        <w:rPr>
          <w:rStyle w:val="FootnoteReference"/>
          <w:rFonts w:ascii="Times New Roman" w:hAnsi="Times New Roman" w:cs="Times New Roman"/>
          <w:sz w:val="24"/>
          <w:szCs w:val="24"/>
        </w:rPr>
        <w:footnoteReference w:id="36"/>
      </w:r>
      <w:r w:rsidRPr="00B76A60">
        <w:rPr>
          <w:rFonts w:ascii="Times New Roman" w:hAnsi="Times New Roman" w:cs="Times New Roman"/>
          <w:sz w:val="24"/>
          <w:szCs w:val="24"/>
        </w:rPr>
        <w:t xml:space="preserve"> As stated in OCC’s initial brief, DP&amp;L is required to provide safe and reliable service under a set of standards and requirements that are completely unrelated to the DMR.</w:t>
      </w:r>
      <w:r>
        <w:rPr>
          <w:rStyle w:val="FootnoteReference"/>
          <w:rFonts w:ascii="Times New Roman" w:hAnsi="Times New Roman" w:cs="Times New Roman"/>
          <w:sz w:val="24"/>
          <w:szCs w:val="24"/>
        </w:rPr>
        <w:footnoteReference w:id="37"/>
      </w:r>
      <w:r w:rsidRPr="00B76A60">
        <w:rPr>
          <w:rFonts w:ascii="Times New Roman" w:hAnsi="Times New Roman" w:cs="Times New Roman"/>
          <w:sz w:val="24"/>
          <w:szCs w:val="24"/>
        </w:rPr>
        <w:t xml:space="preserve"> OCC witnesses further explained that if DP&amp;L truly has concerns about its ability to maintain safe and reliable service to its customers, then it should raise those concerns in a distribution rate case, possibly even the </w:t>
      </w:r>
      <w:r>
        <w:rPr>
          <w:rFonts w:ascii="Times New Roman" w:hAnsi="Times New Roman" w:cs="Times New Roman"/>
          <w:sz w:val="24"/>
          <w:szCs w:val="24"/>
        </w:rPr>
        <w:t>one</w:t>
      </w:r>
      <w:r w:rsidRPr="00B76A60">
        <w:rPr>
          <w:rFonts w:ascii="Times New Roman" w:hAnsi="Times New Roman" w:cs="Times New Roman"/>
          <w:sz w:val="24"/>
          <w:szCs w:val="24"/>
        </w:rPr>
        <w:t xml:space="preserve"> that is currently before the PUCO.</w:t>
      </w:r>
      <w:r>
        <w:rPr>
          <w:rStyle w:val="FootnoteReference"/>
          <w:rFonts w:ascii="Times New Roman" w:hAnsi="Times New Roman" w:cs="Times New Roman"/>
          <w:sz w:val="24"/>
          <w:szCs w:val="24"/>
        </w:rPr>
        <w:footnoteReference w:id="38"/>
      </w:r>
      <w:r w:rsidRPr="00B76A60">
        <w:rPr>
          <w:rFonts w:ascii="Times New Roman" w:hAnsi="Times New Roman" w:cs="Times New Roman"/>
          <w:sz w:val="24"/>
          <w:szCs w:val="24"/>
        </w:rPr>
        <w:t xml:space="preserve"> </w:t>
      </w:r>
    </w:p>
    <w:p w:rsidR="001667F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Further, DP&amp;L’s characterization </w:t>
      </w:r>
      <w:r>
        <w:rPr>
          <w:rFonts w:ascii="Times New Roman" w:hAnsi="Times New Roman" w:cs="Times New Roman"/>
          <w:sz w:val="24"/>
          <w:szCs w:val="24"/>
        </w:rPr>
        <w:t xml:space="preserve">that </w:t>
      </w:r>
      <w:r w:rsidRPr="00B76A60">
        <w:rPr>
          <w:rFonts w:ascii="Times New Roman" w:hAnsi="Times New Roman" w:cs="Times New Roman"/>
          <w:sz w:val="24"/>
          <w:szCs w:val="24"/>
        </w:rPr>
        <w:t xml:space="preserve">its assertion that the DMR is necessary to maintain financial integrity and that it cannot provide safe and reliable service without the DMR is “uncontested” </w:t>
      </w:r>
      <w:r>
        <w:rPr>
          <w:rFonts w:ascii="Times New Roman" w:hAnsi="Times New Roman" w:cs="Times New Roman"/>
          <w:sz w:val="24"/>
          <w:szCs w:val="24"/>
        </w:rPr>
        <w:t xml:space="preserve">is </w:t>
      </w:r>
      <w:r w:rsidRPr="00B76A60">
        <w:rPr>
          <w:rFonts w:ascii="Times New Roman" w:hAnsi="Times New Roman" w:cs="Times New Roman"/>
          <w:sz w:val="24"/>
          <w:szCs w:val="24"/>
        </w:rPr>
        <w:t>grossly inaccurate. OCC Witness Kahal explicitly states, “I do not believe that the excessive charges [DMR] to customers are required to provide safe and reliable service. Nor are the excessive charges to customers required for grid modernization.”</w:t>
      </w:r>
      <w:r>
        <w:rPr>
          <w:rStyle w:val="FootnoteReference"/>
          <w:rFonts w:ascii="Times New Roman" w:hAnsi="Times New Roman" w:cs="Times New Roman"/>
          <w:sz w:val="24"/>
          <w:szCs w:val="24"/>
        </w:rPr>
        <w:footnoteReference w:id="39"/>
      </w:r>
      <w:r w:rsidRPr="00B76A60">
        <w:rPr>
          <w:rFonts w:ascii="Times New Roman" w:hAnsi="Times New Roman" w:cs="Times New Roman"/>
          <w:sz w:val="24"/>
          <w:szCs w:val="24"/>
        </w:rPr>
        <w:t xml:space="preserve"> OCC Witness Kahal goes on to provide an explicit analysis of how DP&amp;L can prevent its parent’s financial condition from affecting its ability to provide safe and reliable service:</w:t>
      </w:r>
    </w:p>
    <w:p w:rsidR="001667F0">
      <w:pPr>
        <w:rPr>
          <w:rFonts w:ascii="Times New Roman" w:hAnsi="Times New Roman" w:cs="Times New Roman"/>
          <w:sz w:val="24"/>
          <w:szCs w:val="24"/>
        </w:rPr>
      </w:pPr>
      <w:r>
        <w:rPr>
          <w:rFonts w:ascii="Times New Roman" w:hAnsi="Times New Roman" w:cs="Times New Roman"/>
          <w:sz w:val="24"/>
          <w:szCs w:val="24"/>
        </w:rPr>
        <w:br w:type="page"/>
      </w:r>
    </w:p>
    <w:p w:rsidR="002B500F" w:rsidRPr="00B76A60" w:rsidP="00886EE4">
      <w:pPr>
        <w:spacing w:after="240" w:line="240" w:lineRule="auto"/>
        <w:ind w:left="1440" w:right="720"/>
        <w:rPr>
          <w:rFonts w:ascii="Times New Roman" w:hAnsi="Times New Roman" w:cs="Times New Roman"/>
          <w:sz w:val="24"/>
          <w:szCs w:val="24"/>
        </w:rPr>
      </w:pPr>
      <w:r w:rsidRPr="00B76A60">
        <w:rPr>
          <w:rFonts w:ascii="Times New Roman" w:hAnsi="Times New Roman" w:cs="Times New Roman"/>
          <w:sz w:val="24"/>
          <w:szCs w:val="24"/>
        </w:rPr>
        <w:t>As explained in my Direct Testimony, DMR should not be viewed as providing a public interest benefit because the DP&amp;L financial integrity could be better protected, without the use of customer-funded subsidies, by using a combination of ring fencing and equity contributions from AES.  This could take the form of asset divestiture/sales, dividend payment reductions by AES (including AES simply slowing its anticipated rapid increases in dividend payout), and AES applying its substantial surplus cash flow to DPL, Inc. debt reduction.  AES certainly has the financial capability to replace the approximately $67.2 million per year of (after-tax) DMR customer payments with cash equity transfers to DPL, Inc.  Moreover, it is AES’s corporate responsibility to do so, not that of its captive customers.…If AES would take these reasonable and responsible actions, then DP&amp;L’s financial integrity and access to capital on favorable terms would be preserved without the need for the burdensome DMR.  This could be further ensured by implementing ring fencing for DP&amp;L to further assure investors of bankruptcy protection.</w:t>
      </w:r>
      <w:r>
        <w:rPr>
          <w:rStyle w:val="FootnoteReference"/>
          <w:rFonts w:ascii="Times New Roman" w:hAnsi="Times New Roman" w:cs="Times New Roman"/>
          <w:sz w:val="24"/>
          <w:szCs w:val="24"/>
        </w:rPr>
        <w:footnoteReference w:id="40"/>
      </w:r>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This analysis shows the flaws in DP&amp;L’s argument that it must pay DPL’s debt to protect DP&amp;L.</w:t>
      </w:r>
      <w:r>
        <w:rPr>
          <w:rStyle w:val="FootnoteReference"/>
          <w:rFonts w:ascii="Times New Roman" w:hAnsi="Times New Roman" w:cs="Times New Roman"/>
          <w:sz w:val="24"/>
          <w:szCs w:val="24"/>
        </w:rPr>
        <w:footnoteReference w:id="41"/>
      </w:r>
      <w:r w:rsidRPr="00B76A60">
        <w:rPr>
          <w:rFonts w:ascii="Times New Roman" w:hAnsi="Times New Roman" w:cs="Times New Roman"/>
          <w:sz w:val="24"/>
          <w:szCs w:val="24"/>
        </w:rPr>
        <w:t xml:space="preserve"> And, as DP&amp;L Witness Malinak acknowledged, it is possible for a company with a junk issuer rating </w:t>
      </w:r>
      <w:r>
        <w:rPr>
          <w:rFonts w:ascii="Times New Roman" w:hAnsi="Times New Roman" w:cs="Times New Roman"/>
          <w:sz w:val="24"/>
          <w:szCs w:val="24"/>
        </w:rPr>
        <w:t xml:space="preserve">to </w:t>
      </w:r>
      <w:r w:rsidRPr="00B76A60">
        <w:rPr>
          <w:rFonts w:ascii="Times New Roman" w:hAnsi="Times New Roman" w:cs="Times New Roman"/>
          <w:sz w:val="24"/>
          <w:szCs w:val="24"/>
        </w:rPr>
        <w:t>have an investment grade debt issuance if it is sufficiently collateralized.</w:t>
      </w:r>
      <w:r>
        <w:rPr>
          <w:rStyle w:val="FootnoteReference"/>
          <w:rFonts w:ascii="Times New Roman" w:hAnsi="Times New Roman" w:cs="Times New Roman"/>
          <w:sz w:val="24"/>
          <w:szCs w:val="24"/>
        </w:rPr>
        <w:footnoteReference w:id="42"/>
      </w:r>
      <w:r w:rsidRPr="00B76A60">
        <w:rPr>
          <w:rFonts w:ascii="Times New Roman" w:hAnsi="Times New Roman" w:cs="Times New Roman"/>
          <w:sz w:val="24"/>
          <w:szCs w:val="24"/>
        </w:rPr>
        <w:t xml:space="preserve"> Even without resorting to these measures, with ring-fencing and additional equity infusions from AES, DP&amp;L would not need to illegally charge consumers for DPL’s debt. </w:t>
      </w:r>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OCC Witness Williams provides testimony that DP&amp;L must provide safe and reliable service regardless of its financial condition.  OCC Witness Kahal specifically lays out how DP&amp;L can continue to do so without resorting to a charge that directly harms consumers. It is disingenuous for DP&amp;L to now say that OCC witnesses provided no testimony on the subjects, and to characterize </w:t>
      </w:r>
      <w:r>
        <w:rPr>
          <w:rFonts w:ascii="Times New Roman" w:hAnsi="Times New Roman" w:cs="Times New Roman"/>
          <w:sz w:val="24"/>
          <w:szCs w:val="24"/>
        </w:rPr>
        <w:t>its</w:t>
      </w:r>
      <w:r w:rsidRPr="00B76A60">
        <w:rPr>
          <w:rFonts w:ascii="Times New Roman" w:hAnsi="Times New Roman" w:cs="Times New Roman"/>
          <w:sz w:val="24"/>
          <w:szCs w:val="24"/>
        </w:rPr>
        <w:t xml:space="preserve"> assertions as “uncontested.</w:t>
      </w:r>
      <w:r>
        <w:rPr>
          <w:rFonts w:ascii="Times New Roman" w:hAnsi="Times New Roman" w:cs="Times New Roman"/>
          <w:sz w:val="24"/>
          <w:szCs w:val="24"/>
        </w:rPr>
        <w:t>”</w:t>
      </w:r>
    </w:p>
    <w:p w:rsidR="002B500F" w:rsidRPr="00B76A60" w:rsidP="00DD6059">
      <w:pPr>
        <w:pStyle w:val="Heading2"/>
      </w:pPr>
      <w:bookmarkStart w:id="8" w:name="_Toc482612437"/>
      <w:r w:rsidRPr="00B76A60">
        <w:t>DP&amp;L’s reliance on the Standard and Poor’s report is misguided – it supports rejecting the DMR thereby protecting consumers</w:t>
      </w:r>
      <w:r>
        <w:t>.</w:t>
      </w:r>
      <w:bookmarkEnd w:id="8"/>
    </w:p>
    <w:p w:rsidR="00DD6059" w:rsidRPr="00B76A60" w:rsidP="004D03F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DP&amp;L also relies heavily on a report that was issued by Standard and Poor’s (“S&amp;P”) that lowered DPL’s credit rating, but kept DP&amp;L’s credit rating as investment grade.</w:t>
      </w:r>
      <w:r>
        <w:rPr>
          <w:rStyle w:val="FootnoteReference"/>
          <w:rFonts w:ascii="Times New Roman" w:hAnsi="Times New Roman" w:cs="Times New Roman"/>
          <w:sz w:val="24"/>
          <w:szCs w:val="24"/>
        </w:rPr>
        <w:footnoteReference w:id="43"/>
      </w:r>
      <w:r w:rsidRPr="00B76A60">
        <w:rPr>
          <w:rFonts w:ascii="Times New Roman" w:hAnsi="Times New Roman" w:cs="Times New Roman"/>
          <w:sz w:val="24"/>
          <w:szCs w:val="24"/>
        </w:rPr>
        <w:t xml:space="preserve"> DP&amp;L seems to claim that this credit rating adds further urgency to its DMR request.</w:t>
      </w:r>
      <w:r>
        <w:rPr>
          <w:rStyle w:val="FootnoteReference"/>
          <w:rFonts w:ascii="Times New Roman" w:hAnsi="Times New Roman" w:cs="Times New Roman"/>
          <w:sz w:val="24"/>
          <w:szCs w:val="24"/>
        </w:rPr>
        <w:footnoteReference w:id="44"/>
      </w:r>
      <w:r w:rsidRPr="00B76A60">
        <w:rPr>
          <w:rFonts w:ascii="Times New Roman" w:hAnsi="Times New Roman" w:cs="Times New Roman"/>
          <w:sz w:val="24"/>
          <w:szCs w:val="24"/>
        </w:rPr>
        <w:t xml:space="preserve"> But, as OCC Witness Parcell testified, this is not true. DPL was not investment grade before the report, and DP&amp;L </w:t>
      </w:r>
      <w:r w:rsidRPr="004C5DC1">
        <w:rPr>
          <w:rFonts w:ascii="Times New Roman" w:hAnsi="Times New Roman" w:cs="Times New Roman"/>
          <w:i/>
          <w:sz w:val="24"/>
          <w:szCs w:val="24"/>
        </w:rPr>
        <w:t>is</w:t>
      </w:r>
      <w:r>
        <w:rPr>
          <w:rFonts w:ascii="Times New Roman" w:hAnsi="Times New Roman" w:cs="Times New Roman"/>
          <w:sz w:val="24"/>
          <w:szCs w:val="24"/>
        </w:rPr>
        <w:t xml:space="preserve"> </w:t>
      </w:r>
      <w:r w:rsidRPr="00B76A60">
        <w:rPr>
          <w:rFonts w:ascii="Times New Roman" w:hAnsi="Times New Roman" w:cs="Times New Roman"/>
          <w:sz w:val="24"/>
          <w:szCs w:val="24"/>
        </w:rPr>
        <w:t xml:space="preserve">still investment grade: </w:t>
      </w:r>
    </w:p>
    <w:p w:rsidR="002B500F" w:rsidRPr="00B76A60" w:rsidP="00886EE4">
      <w:pPr>
        <w:spacing w:after="240" w:line="240" w:lineRule="auto"/>
        <w:ind w:left="1440" w:right="720"/>
        <w:rPr>
          <w:rFonts w:ascii="Times New Roman" w:hAnsi="Times New Roman" w:cs="Times New Roman"/>
          <w:sz w:val="24"/>
          <w:szCs w:val="24"/>
        </w:rPr>
      </w:pPr>
      <w:r w:rsidRPr="00B76A60">
        <w:rPr>
          <w:rFonts w:ascii="Times New Roman" w:hAnsi="Times New Roman" w:cs="Times New Roman"/>
          <w:sz w:val="24"/>
          <w:szCs w:val="24"/>
        </w:rPr>
        <w:t xml:space="preserve">They </w:t>
      </w:r>
      <w:r>
        <w:rPr>
          <w:rFonts w:ascii="Times New Roman" w:hAnsi="Times New Roman" w:cs="Times New Roman"/>
          <w:sz w:val="24"/>
          <w:szCs w:val="24"/>
        </w:rPr>
        <w:t xml:space="preserve">[DPL] </w:t>
      </w:r>
      <w:r w:rsidRPr="00B76A60">
        <w:rPr>
          <w:rFonts w:ascii="Times New Roman" w:hAnsi="Times New Roman" w:cs="Times New Roman"/>
          <w:sz w:val="24"/>
          <w:szCs w:val="24"/>
        </w:rPr>
        <w:t>went from BB to B. Neither of those are investment grade. BB is not investment grade. BBB is investment grade. So DPL was not investment grade before, but the following bullet point showed DP&amp;L's rating was affirmed, not downgraded, and it</w:t>
      </w:r>
      <w:r>
        <w:rPr>
          <w:rFonts w:ascii="Times New Roman" w:hAnsi="Times New Roman" w:cs="Times New Roman"/>
          <w:sz w:val="24"/>
          <w:szCs w:val="24"/>
        </w:rPr>
        <w:t>’</w:t>
      </w:r>
      <w:r w:rsidRPr="00B76A60">
        <w:rPr>
          <w:rFonts w:ascii="Times New Roman" w:hAnsi="Times New Roman" w:cs="Times New Roman"/>
          <w:sz w:val="24"/>
          <w:szCs w:val="24"/>
        </w:rPr>
        <w:t>s BBB which is investment grade.</w:t>
      </w:r>
      <w:r>
        <w:rPr>
          <w:rStyle w:val="FootnoteReference"/>
          <w:rFonts w:ascii="Times New Roman" w:hAnsi="Times New Roman" w:cs="Times New Roman"/>
          <w:sz w:val="24"/>
          <w:szCs w:val="24"/>
        </w:rPr>
        <w:footnoteReference w:id="45"/>
      </w:r>
    </w:p>
    <w:p w:rsidR="002B500F" w:rsidRPr="00B76A60" w:rsidP="002B50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Pr="00B76A60">
        <w:rPr>
          <w:rFonts w:ascii="Times New Roman" w:hAnsi="Times New Roman" w:cs="Times New Roman"/>
          <w:sz w:val="24"/>
          <w:szCs w:val="24"/>
        </w:rPr>
        <w:t>DP&amp;L claim</w:t>
      </w:r>
      <w:r>
        <w:rPr>
          <w:rFonts w:ascii="Times New Roman" w:hAnsi="Times New Roman" w:cs="Times New Roman"/>
          <w:sz w:val="24"/>
          <w:szCs w:val="24"/>
        </w:rPr>
        <w:t>s</w:t>
      </w:r>
      <w:r w:rsidRPr="00B76A60">
        <w:rPr>
          <w:rFonts w:ascii="Times New Roman" w:hAnsi="Times New Roman" w:cs="Times New Roman"/>
          <w:sz w:val="24"/>
          <w:szCs w:val="24"/>
        </w:rPr>
        <w:t xml:space="preserve"> that OCC Witness Kahal concedes that S&amp;P is critical of the Settlement and that the DMR is too low.</w:t>
      </w:r>
      <w:r>
        <w:rPr>
          <w:rStyle w:val="FootnoteReference"/>
          <w:rFonts w:ascii="Times New Roman" w:hAnsi="Times New Roman" w:cs="Times New Roman"/>
          <w:sz w:val="24"/>
          <w:szCs w:val="24"/>
        </w:rPr>
        <w:footnoteReference w:id="46"/>
      </w:r>
      <w:r w:rsidRPr="00B76A60">
        <w:rPr>
          <w:rFonts w:ascii="Times New Roman" w:hAnsi="Times New Roman" w:cs="Times New Roman"/>
          <w:sz w:val="24"/>
          <w:szCs w:val="24"/>
        </w:rPr>
        <w:t xml:space="preserve"> Far from any meaningful concession that supports DP&amp;L’s proposals here, OCC Witness Kahal’s cross</w:t>
      </w:r>
      <w:r>
        <w:rPr>
          <w:rFonts w:ascii="Times New Roman" w:hAnsi="Times New Roman" w:cs="Times New Roman"/>
          <w:sz w:val="24"/>
          <w:szCs w:val="24"/>
        </w:rPr>
        <w:t>-examination</w:t>
      </w:r>
      <w:r w:rsidRPr="00B76A60">
        <w:rPr>
          <w:rFonts w:ascii="Times New Roman" w:hAnsi="Times New Roman" w:cs="Times New Roman"/>
          <w:sz w:val="24"/>
          <w:szCs w:val="24"/>
        </w:rPr>
        <w:t xml:space="preserve"> is extremely sensible in light of his filed testimony. He repeatedly states in his testimony that the DMR is an excessive charge on customers and the best methods to address financial integrity matters are ring fencing and equity infusions from AES.</w:t>
      </w:r>
      <w:r>
        <w:rPr>
          <w:rStyle w:val="FootnoteReference"/>
          <w:rFonts w:ascii="Times New Roman" w:hAnsi="Times New Roman" w:cs="Times New Roman"/>
          <w:sz w:val="24"/>
          <w:szCs w:val="24"/>
        </w:rPr>
        <w:footnoteReference w:id="47"/>
      </w:r>
      <w:r w:rsidRPr="00B76A60">
        <w:rPr>
          <w:rFonts w:ascii="Times New Roman" w:hAnsi="Times New Roman" w:cs="Times New Roman"/>
          <w:sz w:val="24"/>
          <w:szCs w:val="24"/>
        </w:rPr>
        <w:t xml:space="preserve"> </w:t>
      </w:r>
    </w:p>
    <w:p w:rsidR="002B500F" w:rsidRPr="00B76A60" w:rsidP="002B500F">
      <w:pPr>
        <w:spacing w:after="0" w:line="480" w:lineRule="auto"/>
        <w:ind w:firstLine="720"/>
        <w:rPr>
          <w:rFonts w:ascii="Times New Roman" w:hAnsi="Times New Roman" w:cs="Times New Roman"/>
          <w:b/>
          <w:sz w:val="24"/>
          <w:szCs w:val="24"/>
        </w:rPr>
      </w:pPr>
      <w:r w:rsidRPr="00B76A60">
        <w:rPr>
          <w:rFonts w:ascii="Times New Roman" w:hAnsi="Times New Roman" w:cs="Times New Roman"/>
          <w:sz w:val="24"/>
          <w:szCs w:val="24"/>
        </w:rPr>
        <w:t>DP&amp;L’s blatant attempts to twist the words of OCC witnesses are misguided and flawed. The PUCO should listen to S&amp;P and OCC Witness Kahal.  It should not continue to throw good money after bad. It should reject the Settlement.  It should certainly reject the DMR and, if necessary, adopt the recommendations of OCC’s witnesses by engaging in appropriate ring fencing to preserve DP&amp;L’s finances and customers’ money.</w:t>
      </w:r>
    </w:p>
    <w:p w:rsidR="002B500F" w:rsidRPr="00B76A60" w:rsidP="00886EE4">
      <w:pPr>
        <w:pStyle w:val="Heading2"/>
      </w:pPr>
      <w:bookmarkStart w:id="9" w:name="_Toc482612438"/>
      <w:r w:rsidRPr="00B76A60">
        <w:t>The Settlement’s equity “investments” are misleading and do not protect consumers</w:t>
      </w:r>
      <w:r>
        <w:t>.</w:t>
      </w:r>
      <w:bookmarkEnd w:id="9"/>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DP&amp;L contends that the settlement contains a number of provisions that constitute equity infusions from </w:t>
      </w:r>
      <w:r>
        <w:rPr>
          <w:rFonts w:ascii="Times New Roman" w:hAnsi="Times New Roman" w:cs="Times New Roman"/>
          <w:sz w:val="24"/>
          <w:szCs w:val="24"/>
        </w:rPr>
        <w:t xml:space="preserve">AES, </w:t>
      </w:r>
      <w:r w:rsidRPr="00B76A60">
        <w:rPr>
          <w:rFonts w:ascii="Times New Roman" w:hAnsi="Times New Roman" w:cs="Times New Roman"/>
          <w:sz w:val="24"/>
          <w:szCs w:val="24"/>
        </w:rPr>
        <w:t>DP&amp;L’s ultimate parent.</w:t>
      </w:r>
      <w:r>
        <w:rPr>
          <w:rStyle w:val="FootnoteReference"/>
          <w:rFonts w:ascii="Times New Roman" w:hAnsi="Times New Roman" w:cs="Times New Roman"/>
          <w:sz w:val="24"/>
          <w:szCs w:val="24"/>
        </w:rPr>
        <w:footnoteReference w:id="48"/>
      </w:r>
      <w:r w:rsidRPr="00B76A60">
        <w:rPr>
          <w:rFonts w:ascii="Times New Roman" w:hAnsi="Times New Roman" w:cs="Times New Roman"/>
          <w:sz w:val="24"/>
          <w:szCs w:val="24"/>
        </w:rPr>
        <w:t xml:space="preserve"> But the infusions were already in place </w:t>
      </w:r>
      <w:r w:rsidRPr="00E07369">
        <w:rPr>
          <w:rFonts w:ascii="Times New Roman" w:hAnsi="Times New Roman" w:cs="Times New Roman"/>
          <w:i/>
          <w:sz w:val="24"/>
          <w:szCs w:val="24"/>
        </w:rPr>
        <w:t>before</w:t>
      </w:r>
      <w:r w:rsidRPr="00B76A60">
        <w:rPr>
          <w:rFonts w:ascii="Times New Roman" w:hAnsi="Times New Roman" w:cs="Times New Roman"/>
          <w:sz w:val="24"/>
          <w:szCs w:val="24"/>
        </w:rPr>
        <w:t xml:space="preserve"> the Settlement.  AES was not receiving dividends since 2012 and had suspended the tax liability payments for some time as well.</w:t>
      </w:r>
      <w:r>
        <w:rPr>
          <w:rStyle w:val="FootnoteReference"/>
          <w:rFonts w:ascii="Times New Roman" w:hAnsi="Times New Roman" w:cs="Times New Roman"/>
          <w:sz w:val="24"/>
          <w:szCs w:val="24"/>
        </w:rPr>
        <w:footnoteReference w:id="49"/>
      </w:r>
      <w:r w:rsidRPr="00B76A60">
        <w:rPr>
          <w:rFonts w:ascii="Times New Roman" w:hAnsi="Times New Roman" w:cs="Times New Roman"/>
          <w:sz w:val="24"/>
          <w:szCs w:val="24"/>
        </w:rPr>
        <w:t xml:space="preserve"> For DP&amp;L to now tout these provisions as new and beneficial is simply wrong.</w:t>
      </w:r>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Further, the provisions do not </w:t>
      </w:r>
      <w:r>
        <w:rPr>
          <w:rFonts w:ascii="Times New Roman" w:hAnsi="Times New Roman" w:cs="Times New Roman"/>
          <w:sz w:val="24"/>
          <w:szCs w:val="24"/>
        </w:rPr>
        <w:t>(as Staff Witness Donlon</w:t>
      </w:r>
      <w:r w:rsidRPr="00B76A60">
        <w:rPr>
          <w:rFonts w:ascii="Times New Roman" w:hAnsi="Times New Roman" w:cs="Times New Roman"/>
          <w:sz w:val="24"/>
          <w:szCs w:val="24"/>
        </w:rPr>
        <w:t xml:space="preserve"> believes) constitute ring-fencing.</w:t>
      </w:r>
      <w:r>
        <w:rPr>
          <w:rStyle w:val="FootnoteReference"/>
          <w:rFonts w:ascii="Times New Roman" w:hAnsi="Times New Roman" w:cs="Times New Roman"/>
          <w:sz w:val="24"/>
          <w:szCs w:val="24"/>
        </w:rPr>
        <w:footnoteReference w:id="50"/>
      </w:r>
      <w:r w:rsidRPr="00B76A60">
        <w:rPr>
          <w:rFonts w:ascii="Times New Roman" w:hAnsi="Times New Roman" w:cs="Times New Roman"/>
          <w:sz w:val="24"/>
          <w:szCs w:val="24"/>
        </w:rPr>
        <w:t xml:space="preserve"> OCC Witness Kahal lays out a series of concrete proposals for ring fencing in his original direct testimony. These concrete proposals include 12 separate provisions.</w:t>
      </w:r>
      <w:r>
        <w:rPr>
          <w:rStyle w:val="FootnoteReference"/>
          <w:rFonts w:ascii="Times New Roman" w:hAnsi="Times New Roman" w:cs="Times New Roman"/>
          <w:sz w:val="24"/>
          <w:szCs w:val="24"/>
        </w:rPr>
        <w:footnoteReference w:id="51"/>
      </w:r>
      <w:r w:rsidRPr="00B76A60">
        <w:rPr>
          <w:rFonts w:ascii="Times New Roman" w:hAnsi="Times New Roman" w:cs="Times New Roman"/>
          <w:sz w:val="24"/>
          <w:szCs w:val="24"/>
        </w:rPr>
        <w:t xml:space="preserve"> For Staff Witness Donlon to now say that this “equity infusion” constitutes ring-fencing disregards the facts. </w:t>
      </w:r>
    </w:p>
    <w:p w:rsidR="002B500F" w:rsidRPr="00B76A60" w:rsidP="002B500F">
      <w:pPr>
        <w:spacing w:after="0" w:line="480" w:lineRule="auto"/>
        <w:ind w:firstLine="720"/>
        <w:rPr>
          <w:rFonts w:ascii="Times New Roman" w:hAnsi="Times New Roman" w:cs="Times New Roman"/>
          <w:b/>
          <w:sz w:val="24"/>
          <w:szCs w:val="24"/>
        </w:rPr>
      </w:pPr>
      <w:r w:rsidRPr="00B76A60">
        <w:rPr>
          <w:rFonts w:ascii="Times New Roman" w:hAnsi="Times New Roman" w:cs="Times New Roman"/>
          <w:sz w:val="24"/>
          <w:szCs w:val="24"/>
        </w:rPr>
        <w:t xml:space="preserve">The equity contributions cited by DP&amp;L are both inadequate and have already been in place for years. They do not constitute ring-fencing.  The PUCO should not buy-into misleading assertions to the contrary.  It should reject the Settlement.  </w:t>
      </w:r>
    </w:p>
    <w:p w:rsidR="0056346A" w:rsidRPr="00B76A60" w:rsidP="00DD6059">
      <w:pPr>
        <w:pStyle w:val="Heading2"/>
      </w:pPr>
      <w:bookmarkStart w:id="10" w:name="_Toc482612439"/>
      <w:r w:rsidRPr="00B76A60">
        <w:t>DP&amp;L’s claimed rate decrease does not flow from the ESP embodied in the Settlement</w:t>
      </w:r>
      <w:r>
        <w:t>.</w:t>
      </w:r>
      <w:bookmarkEnd w:id="10"/>
    </w:p>
    <w:p w:rsidR="002B500F" w:rsidRPr="00B76A60" w:rsidP="002B500F">
      <w:pPr>
        <w:spacing w:after="0" w:line="480" w:lineRule="auto"/>
        <w:rPr>
          <w:rFonts w:ascii="Times New Roman" w:hAnsi="Times New Roman" w:cs="Times New Roman"/>
          <w:sz w:val="24"/>
          <w:szCs w:val="24"/>
        </w:rPr>
      </w:pPr>
      <w:r w:rsidRPr="00B76A60">
        <w:rPr>
          <w:rFonts w:ascii="Times New Roman" w:hAnsi="Times New Roman" w:cs="Times New Roman"/>
          <w:b/>
          <w:sz w:val="24"/>
          <w:szCs w:val="24"/>
        </w:rPr>
        <w:tab/>
      </w:r>
      <w:r w:rsidRPr="00B76A60">
        <w:rPr>
          <w:rFonts w:ascii="Times New Roman" w:hAnsi="Times New Roman" w:cs="Times New Roman"/>
          <w:sz w:val="24"/>
          <w:szCs w:val="24"/>
        </w:rPr>
        <w:t>The purported rate reduction is not related to the Settlement. DP&amp;L cites OCC Witness Kahal as stating that the rate reduction is “surprisingly modest.”</w:t>
      </w:r>
      <w:r>
        <w:rPr>
          <w:rStyle w:val="FootnoteReference"/>
          <w:rFonts w:ascii="Times New Roman" w:hAnsi="Times New Roman" w:cs="Times New Roman"/>
          <w:sz w:val="24"/>
          <w:szCs w:val="24"/>
        </w:rPr>
        <w:footnoteReference w:id="52"/>
      </w:r>
      <w:r w:rsidRPr="00B76A60">
        <w:rPr>
          <w:rFonts w:ascii="Times New Roman" w:hAnsi="Times New Roman" w:cs="Times New Roman"/>
          <w:sz w:val="24"/>
          <w:szCs w:val="24"/>
        </w:rPr>
        <w:t xml:space="preserve">  But DP&amp;L simply cherry-picks this phrase without providing any context.  OCC Witness Kahal actually describes how the rate decrease results not from the ESP, but from the expiration of the Rate Stability Charge and reductions in the market-based SSO.</w:t>
      </w:r>
      <w:r>
        <w:rPr>
          <w:rStyle w:val="FootnoteReference"/>
          <w:rFonts w:ascii="Times New Roman" w:hAnsi="Times New Roman" w:cs="Times New Roman"/>
          <w:sz w:val="24"/>
          <w:szCs w:val="24"/>
        </w:rPr>
        <w:footnoteReference w:id="53"/>
      </w:r>
      <w:r w:rsidRPr="00B76A60">
        <w:rPr>
          <w:rFonts w:ascii="Times New Roman" w:hAnsi="Times New Roman" w:cs="Times New Roman"/>
          <w:sz w:val="24"/>
          <w:szCs w:val="24"/>
        </w:rPr>
        <w:t xml:space="preserve"> His conclusion is that the same rate decrease (and not the costs associated with the DMR) would be available under an MRO.</w:t>
      </w:r>
      <w:r>
        <w:rPr>
          <w:rStyle w:val="FootnoteReference"/>
          <w:rFonts w:ascii="Times New Roman" w:hAnsi="Times New Roman" w:cs="Times New Roman"/>
          <w:sz w:val="24"/>
          <w:szCs w:val="24"/>
        </w:rPr>
        <w:footnoteReference w:id="54"/>
      </w:r>
      <w:r w:rsidRPr="00B76A60">
        <w:rPr>
          <w:rFonts w:ascii="Times New Roman" w:hAnsi="Times New Roman" w:cs="Times New Roman"/>
          <w:sz w:val="24"/>
          <w:szCs w:val="24"/>
        </w:rPr>
        <w:t xml:space="preserve"> </w:t>
      </w:r>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Further, OCC Witness Williams provided a cogent explanation of how this “rate decrease” is not really a decrease at all:</w:t>
      </w:r>
    </w:p>
    <w:p w:rsidR="002B500F" w:rsidRPr="00B76A60" w:rsidP="00886EE4">
      <w:pPr>
        <w:spacing w:after="0" w:line="240" w:lineRule="auto"/>
        <w:ind w:left="1440" w:right="720"/>
        <w:rPr>
          <w:rFonts w:ascii="Times New Roman" w:hAnsi="Times New Roman" w:cs="Times New Roman"/>
          <w:sz w:val="24"/>
          <w:szCs w:val="24"/>
        </w:rPr>
      </w:pPr>
      <w:r w:rsidRPr="00B76A60">
        <w:rPr>
          <w:rFonts w:ascii="Times New Roman" w:hAnsi="Times New Roman" w:cs="Times New Roman"/>
          <w:sz w:val="24"/>
          <w:szCs w:val="24"/>
        </w:rPr>
        <w:t>DP&amp;L bills are lower today because DP&amp;L is finally providing customers with some of the benefits of lower priced energy from competitive auctions even though these benefits are 16 years after Ohio restructured the electric industry.  Also, the rate impact is understated considering that DP&amp;L is collecting $73 million in unlawful stability charges from customers. Customers should be able to finally enjoy the benefits of lower energy prices that were contemplated by lawmakers sixteen years ago before DP&amp;L again unnecessarily raises the costs of electric bills through unwarranted and unnecessary charges.</w:t>
      </w:r>
      <w:r>
        <w:rPr>
          <w:rStyle w:val="FootnoteReference"/>
          <w:rFonts w:ascii="Times New Roman" w:hAnsi="Times New Roman" w:cs="Times New Roman"/>
          <w:sz w:val="24"/>
          <w:szCs w:val="24"/>
        </w:rPr>
        <w:footnoteReference w:id="55"/>
      </w:r>
    </w:p>
    <w:p w:rsidR="002B500F" w:rsidRPr="00B76A60" w:rsidP="002B500F">
      <w:pPr>
        <w:spacing w:after="0" w:line="240" w:lineRule="auto"/>
        <w:ind w:left="720"/>
        <w:rPr>
          <w:rFonts w:ascii="Times New Roman" w:hAnsi="Times New Roman" w:cs="Times New Roman"/>
          <w:sz w:val="24"/>
          <w:szCs w:val="24"/>
        </w:rPr>
      </w:pPr>
    </w:p>
    <w:p w:rsidR="002B500F" w:rsidRPr="00B76A60" w:rsidP="002B500F">
      <w:pPr>
        <w:spacing w:after="0" w:line="480" w:lineRule="auto"/>
        <w:ind w:firstLine="720"/>
        <w:rPr>
          <w:rFonts w:ascii="Times New Roman" w:hAnsi="Times New Roman" w:cs="Times New Roman"/>
          <w:b/>
          <w:sz w:val="24"/>
          <w:szCs w:val="24"/>
        </w:rPr>
      </w:pPr>
      <w:r w:rsidRPr="00B76A60">
        <w:rPr>
          <w:rFonts w:ascii="Times New Roman" w:hAnsi="Times New Roman" w:cs="Times New Roman"/>
          <w:sz w:val="24"/>
          <w:szCs w:val="24"/>
        </w:rPr>
        <w:t>DP&amp;L’s argument that the Settlement results in a rate reduction is actually an attempt to capitalize on low wholesale energy prices and pile excessive charges on customers.  It should be rejected, along with the Settlement.</w:t>
      </w:r>
    </w:p>
    <w:p w:rsidR="002B500F" w:rsidRPr="00B76A60" w:rsidP="00DD6059">
      <w:pPr>
        <w:pStyle w:val="Heading2"/>
      </w:pPr>
      <w:bookmarkStart w:id="11" w:name="_Toc482612440"/>
      <w:r w:rsidRPr="00B76A60">
        <w:t>DP&amp;L’s contention that the DMR would not violate the Merger Order is wrong and adopting it would harm consumers</w:t>
      </w:r>
      <w:r>
        <w:t>.</w:t>
      </w:r>
      <w:bookmarkEnd w:id="11"/>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 DP&amp;L’s assertion that it is not collecting an acquisition premium is not only wrong, but misleading.</w:t>
      </w:r>
      <w:r>
        <w:rPr>
          <w:rStyle w:val="FootnoteReference"/>
          <w:rFonts w:ascii="Times New Roman" w:hAnsi="Times New Roman" w:cs="Times New Roman"/>
          <w:sz w:val="24"/>
          <w:szCs w:val="24"/>
        </w:rPr>
        <w:footnoteReference w:id="56"/>
      </w:r>
      <w:r w:rsidRPr="00B76A60">
        <w:rPr>
          <w:rFonts w:ascii="Times New Roman" w:hAnsi="Times New Roman" w:cs="Times New Roman"/>
          <w:sz w:val="24"/>
          <w:szCs w:val="24"/>
        </w:rPr>
        <w:t xml:space="preserve"> It claims that OCC Witness Kahal “abandoned” his opinion that the DMR would charge consumers for costs associated with the Merger.</w:t>
      </w:r>
      <w:r>
        <w:rPr>
          <w:rStyle w:val="FootnoteReference"/>
          <w:rFonts w:ascii="Times New Roman" w:hAnsi="Times New Roman" w:cs="Times New Roman"/>
          <w:sz w:val="24"/>
          <w:szCs w:val="24"/>
        </w:rPr>
        <w:footnoteReference w:id="57"/>
      </w:r>
      <w:r w:rsidRPr="00B76A60">
        <w:rPr>
          <w:rFonts w:ascii="Times New Roman" w:hAnsi="Times New Roman" w:cs="Times New Roman"/>
          <w:sz w:val="24"/>
          <w:szCs w:val="24"/>
        </w:rPr>
        <w:t xml:space="preserve">  But OCC Witness Kahal was simply responding to DP&amp;L counsel’s question regarding calculations of a </w:t>
      </w:r>
      <w:r w:rsidRPr="00E07369">
        <w:rPr>
          <w:rFonts w:ascii="Times New Roman" w:hAnsi="Times New Roman" w:cs="Times New Roman"/>
          <w:sz w:val="24"/>
          <w:szCs w:val="24"/>
        </w:rPr>
        <w:t>specific</w:t>
      </w:r>
      <w:r w:rsidRPr="00B76A60">
        <w:rPr>
          <w:rFonts w:ascii="Times New Roman" w:hAnsi="Times New Roman" w:cs="Times New Roman"/>
          <w:sz w:val="24"/>
          <w:szCs w:val="24"/>
        </w:rPr>
        <w:t xml:space="preserve"> acquisition premium.</w:t>
      </w:r>
      <w:r>
        <w:rPr>
          <w:rStyle w:val="FootnoteReference"/>
          <w:rFonts w:ascii="Times New Roman" w:hAnsi="Times New Roman" w:cs="Times New Roman"/>
          <w:sz w:val="24"/>
          <w:szCs w:val="24"/>
        </w:rPr>
        <w:footnoteReference w:id="58"/>
      </w:r>
      <w:r w:rsidRPr="00B76A60">
        <w:rPr>
          <w:rFonts w:ascii="Times New Roman" w:hAnsi="Times New Roman" w:cs="Times New Roman"/>
          <w:sz w:val="24"/>
          <w:szCs w:val="24"/>
        </w:rPr>
        <w:t xml:space="preserve"> In both his direct and supplemental testimony, OCC Witness Kahal remarks at length on the excessive debt that was caused by the Merger being pushed down to consumers.</w:t>
      </w:r>
      <w:r>
        <w:rPr>
          <w:rStyle w:val="FootnoteReference"/>
          <w:rFonts w:ascii="Times New Roman" w:hAnsi="Times New Roman" w:cs="Times New Roman"/>
          <w:sz w:val="24"/>
          <w:szCs w:val="24"/>
        </w:rPr>
        <w:footnoteReference w:id="59"/>
      </w:r>
      <w:r w:rsidRPr="00B76A60">
        <w:rPr>
          <w:rFonts w:ascii="Times New Roman" w:hAnsi="Times New Roman" w:cs="Times New Roman"/>
          <w:sz w:val="24"/>
          <w:szCs w:val="24"/>
        </w:rPr>
        <w:t xml:space="preserve"> In fact, Kahal lays out exactly how this occurred:</w:t>
      </w:r>
    </w:p>
    <w:p w:rsidR="002B500F" w:rsidRPr="00B76A60" w:rsidP="00886EE4">
      <w:pPr>
        <w:spacing w:after="240" w:line="240" w:lineRule="auto"/>
        <w:ind w:left="1440" w:right="720"/>
        <w:rPr>
          <w:rFonts w:ascii="Times New Roman" w:hAnsi="Times New Roman" w:cs="Times New Roman"/>
          <w:sz w:val="24"/>
          <w:szCs w:val="24"/>
        </w:rPr>
      </w:pPr>
      <w:r w:rsidRPr="00B76A60">
        <w:rPr>
          <w:rFonts w:ascii="Times New Roman" w:hAnsi="Times New Roman" w:cs="Times New Roman"/>
          <w:sz w:val="24"/>
          <w:szCs w:val="24"/>
        </w:rPr>
        <w:t>An important contributing factor causing the excess debt is unquestionably from the AES Corporation acquisition of DPL, Inc. in 2011.  AES choose to finance the acquisition as an all cash transaction instead of an exchange of stock or even a combination of stock and cash.  The cash nature of the transaction necessitated the issuance of massive amounts of new debt because AES lacked the cash on hand.  As part of the merger financing arrangements, DPL, Inc. issued $1.25 billion of new debt.   This merger financing decision, imposed on DPL, Inc. by AES Corporation, is clearly a major reason why DPL, Inc. has excess debt leverage and weak credit ratings, and therefore an important reason supporting the asserted need for the $1.015 billion DMR being proposed.  In other words, customers are being asked today to pay for merger financing from five years ago.</w:t>
      </w:r>
      <w:r>
        <w:rPr>
          <w:rStyle w:val="FootnoteReference"/>
          <w:rFonts w:ascii="Times New Roman" w:hAnsi="Times New Roman" w:cs="Times New Roman"/>
          <w:sz w:val="24"/>
          <w:szCs w:val="24"/>
        </w:rPr>
        <w:footnoteReference w:id="60"/>
      </w:r>
      <w:r w:rsidRPr="00B76A60">
        <w:rPr>
          <w:rFonts w:ascii="Times New Roman" w:hAnsi="Times New Roman" w:cs="Times New Roman"/>
          <w:sz w:val="24"/>
          <w:szCs w:val="24"/>
        </w:rPr>
        <w:t xml:space="preserve"> </w:t>
      </w:r>
    </w:p>
    <w:p w:rsidR="002B500F" w:rsidRPr="00B76A60" w:rsidP="002B500F">
      <w:pPr>
        <w:spacing w:after="0" w:line="480" w:lineRule="auto"/>
        <w:rPr>
          <w:rFonts w:ascii="Times New Roman" w:hAnsi="Times New Roman" w:cs="Times New Roman"/>
          <w:sz w:val="24"/>
          <w:szCs w:val="24"/>
        </w:rPr>
      </w:pPr>
      <w:r w:rsidRPr="00B76A60">
        <w:rPr>
          <w:rFonts w:ascii="Times New Roman" w:hAnsi="Times New Roman" w:cs="Times New Roman"/>
          <w:sz w:val="24"/>
          <w:szCs w:val="24"/>
        </w:rPr>
        <w:t>DP&amp;L itself acknowledges that it and DPL incurred debt related to the Merger.</w:t>
      </w:r>
      <w:r>
        <w:rPr>
          <w:rStyle w:val="FootnoteReference"/>
          <w:rFonts w:ascii="Times New Roman" w:hAnsi="Times New Roman" w:cs="Times New Roman"/>
          <w:sz w:val="24"/>
          <w:szCs w:val="24"/>
        </w:rPr>
        <w:footnoteReference w:id="61"/>
      </w:r>
      <w:r w:rsidRPr="00B76A60">
        <w:rPr>
          <w:rFonts w:ascii="Times New Roman" w:hAnsi="Times New Roman" w:cs="Times New Roman"/>
          <w:sz w:val="24"/>
          <w:szCs w:val="24"/>
        </w:rPr>
        <w:t xml:space="preserve">  And through the DMR, DP&amp;L plans to </w:t>
      </w:r>
      <w:r>
        <w:rPr>
          <w:rFonts w:ascii="Times New Roman" w:hAnsi="Times New Roman" w:cs="Times New Roman"/>
          <w:sz w:val="24"/>
          <w:szCs w:val="24"/>
        </w:rPr>
        <w:t xml:space="preserve">break its commitments to the PUCO and </w:t>
      </w:r>
      <w:r w:rsidRPr="00B76A60">
        <w:rPr>
          <w:rFonts w:ascii="Times New Roman" w:hAnsi="Times New Roman" w:cs="Times New Roman"/>
          <w:sz w:val="24"/>
          <w:szCs w:val="24"/>
        </w:rPr>
        <w:t xml:space="preserve">pay off that debt </w:t>
      </w:r>
      <w:r>
        <w:rPr>
          <w:rFonts w:ascii="Times New Roman" w:hAnsi="Times New Roman" w:cs="Times New Roman"/>
          <w:sz w:val="24"/>
          <w:szCs w:val="24"/>
        </w:rPr>
        <w:t xml:space="preserve">with </w:t>
      </w:r>
      <w:r w:rsidRPr="00B76A60">
        <w:rPr>
          <w:rFonts w:ascii="Times New Roman" w:hAnsi="Times New Roman" w:cs="Times New Roman"/>
          <w:sz w:val="24"/>
          <w:szCs w:val="24"/>
        </w:rPr>
        <w:t>consumers</w:t>
      </w:r>
      <w:r>
        <w:rPr>
          <w:rFonts w:ascii="Times New Roman" w:hAnsi="Times New Roman" w:cs="Times New Roman"/>
          <w:sz w:val="24"/>
          <w:szCs w:val="24"/>
        </w:rPr>
        <w:t>’ money</w:t>
      </w:r>
      <w:r w:rsidRPr="00B76A60">
        <w:rPr>
          <w:rFonts w:ascii="Times New Roman" w:hAnsi="Times New Roman" w:cs="Times New Roman"/>
          <w:sz w:val="24"/>
          <w:szCs w:val="24"/>
        </w:rPr>
        <w:t>.</w:t>
      </w:r>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DP&amp;L then asserts that the debt associated with the Merger is not an “acquisition premium” by narrowly defining “premium” based </w:t>
      </w:r>
      <w:r>
        <w:rPr>
          <w:rFonts w:ascii="Times New Roman" w:hAnsi="Times New Roman" w:cs="Times New Roman"/>
          <w:sz w:val="24"/>
          <w:szCs w:val="24"/>
        </w:rPr>
        <w:t xml:space="preserve">on </w:t>
      </w:r>
      <w:r w:rsidRPr="00B76A60">
        <w:rPr>
          <w:rFonts w:ascii="Times New Roman" w:hAnsi="Times New Roman" w:cs="Times New Roman"/>
          <w:sz w:val="24"/>
          <w:szCs w:val="24"/>
        </w:rPr>
        <w:t>a dictionary definition.</w:t>
      </w:r>
      <w:r>
        <w:rPr>
          <w:rStyle w:val="FootnoteReference"/>
          <w:rFonts w:ascii="Times New Roman" w:hAnsi="Times New Roman" w:cs="Times New Roman"/>
          <w:sz w:val="24"/>
          <w:szCs w:val="24"/>
        </w:rPr>
        <w:footnoteReference w:id="62"/>
      </w:r>
      <w:r w:rsidRPr="00B76A60">
        <w:rPr>
          <w:rFonts w:ascii="Times New Roman" w:hAnsi="Times New Roman" w:cs="Times New Roman"/>
          <w:sz w:val="24"/>
          <w:szCs w:val="24"/>
        </w:rPr>
        <w:t xml:space="preserve"> The Merger Order is not so narrow.  In it, the PUCO states that DP&amp;L represented that “they are not seeking to recover </w:t>
      </w:r>
      <w:r w:rsidRPr="00C239BD">
        <w:rPr>
          <w:rFonts w:ascii="Times New Roman" w:hAnsi="Times New Roman" w:cs="Times New Roman"/>
          <w:i/>
          <w:sz w:val="24"/>
          <w:szCs w:val="24"/>
        </w:rPr>
        <w:t>any</w:t>
      </w:r>
      <w:r w:rsidRPr="00B76A60">
        <w:rPr>
          <w:rFonts w:ascii="Times New Roman" w:hAnsi="Times New Roman" w:cs="Times New Roman"/>
          <w:sz w:val="24"/>
          <w:szCs w:val="24"/>
        </w:rPr>
        <w:t xml:space="preserve"> costs of the merger through customers[.]”</w:t>
      </w:r>
      <w:r>
        <w:rPr>
          <w:rStyle w:val="FootnoteReference"/>
          <w:rFonts w:ascii="Times New Roman" w:hAnsi="Times New Roman" w:cs="Times New Roman"/>
          <w:sz w:val="24"/>
          <w:szCs w:val="24"/>
        </w:rPr>
        <w:footnoteReference w:id="63"/>
      </w:r>
      <w:r w:rsidRPr="00B76A60">
        <w:rPr>
          <w:rFonts w:ascii="Times New Roman" w:hAnsi="Times New Roman" w:cs="Times New Roman"/>
          <w:sz w:val="24"/>
          <w:szCs w:val="24"/>
        </w:rPr>
        <w:t xml:space="preserve"> Further, the PUCO </w:t>
      </w:r>
      <w:r>
        <w:rPr>
          <w:rFonts w:ascii="Times New Roman" w:hAnsi="Times New Roman" w:cs="Times New Roman"/>
          <w:sz w:val="24"/>
          <w:szCs w:val="24"/>
        </w:rPr>
        <w:t>ordered</w:t>
      </w:r>
      <w:r w:rsidRPr="00B76A60">
        <w:rPr>
          <w:rFonts w:ascii="Times New Roman" w:hAnsi="Times New Roman" w:cs="Times New Roman"/>
          <w:sz w:val="24"/>
          <w:szCs w:val="24"/>
        </w:rPr>
        <w:t xml:space="preserve"> that “neither the costs incurred directly related to the negotiation, approval</w:t>
      </w:r>
      <w:r>
        <w:rPr>
          <w:rFonts w:ascii="Times New Roman" w:hAnsi="Times New Roman" w:cs="Times New Roman"/>
          <w:sz w:val="24"/>
          <w:szCs w:val="24"/>
        </w:rPr>
        <w:t>[,]</w:t>
      </w:r>
      <w:r w:rsidRPr="00B76A60">
        <w:rPr>
          <w:rFonts w:ascii="Times New Roman" w:hAnsi="Times New Roman" w:cs="Times New Roman"/>
          <w:sz w:val="24"/>
          <w:szCs w:val="24"/>
        </w:rPr>
        <w:t xml:space="preserve"> and closing of the merger nor any acquisition premium shall be eligible for inclusion in rates and charges applicable to retail electric service provided by DP&amp;L.”</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Such an order</w:t>
      </w:r>
      <w:r w:rsidRPr="00B76A60">
        <w:rPr>
          <w:rFonts w:ascii="Times New Roman" w:hAnsi="Times New Roman" w:cs="Times New Roman"/>
          <w:sz w:val="24"/>
          <w:szCs w:val="24"/>
        </w:rPr>
        <w:t xml:space="preserve"> goes far beyond simply specifying an “acquisition premium.”  It prevents DP&amp;L from charging consumers for any of the costs associated with the Merger. </w:t>
      </w:r>
    </w:p>
    <w:p w:rsidR="002B500F" w:rsidRPr="00B76A60" w:rsidP="002B500F">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The debt that DP&amp;L is looking to pay-off with DMR funds is from “costs incurred directly related to the negotiation, approval and closing of the merger” and an “acquisition premium.”  Under the Merger Order, which enshrines DP&amp;L’s prior commitment to the PUCO, it </w:t>
      </w:r>
      <w:r>
        <w:rPr>
          <w:rFonts w:ascii="Times New Roman" w:hAnsi="Times New Roman" w:cs="Times New Roman"/>
          <w:sz w:val="24"/>
          <w:szCs w:val="24"/>
        </w:rPr>
        <w:t>is</w:t>
      </w:r>
      <w:r w:rsidRPr="00B76A60">
        <w:rPr>
          <w:rFonts w:ascii="Times New Roman" w:hAnsi="Times New Roman" w:cs="Times New Roman"/>
          <w:sz w:val="24"/>
          <w:szCs w:val="24"/>
        </w:rPr>
        <w:t xml:space="preserve"> inappropriate to allow DP&amp;L to pay the debt </w:t>
      </w:r>
      <w:r>
        <w:rPr>
          <w:rFonts w:ascii="Times New Roman" w:hAnsi="Times New Roman" w:cs="Times New Roman"/>
          <w:sz w:val="24"/>
          <w:szCs w:val="24"/>
        </w:rPr>
        <w:t xml:space="preserve">by </w:t>
      </w:r>
      <w:r w:rsidRPr="00B76A60">
        <w:rPr>
          <w:rFonts w:ascii="Times New Roman" w:hAnsi="Times New Roman" w:cs="Times New Roman"/>
          <w:sz w:val="24"/>
          <w:szCs w:val="24"/>
        </w:rPr>
        <w:t>charg</w:t>
      </w:r>
      <w:r>
        <w:rPr>
          <w:rFonts w:ascii="Times New Roman" w:hAnsi="Times New Roman" w:cs="Times New Roman"/>
          <w:sz w:val="24"/>
          <w:szCs w:val="24"/>
        </w:rPr>
        <w:t>ing</w:t>
      </w:r>
      <w:r w:rsidRPr="00B76A60">
        <w:rPr>
          <w:rFonts w:ascii="Times New Roman" w:hAnsi="Times New Roman" w:cs="Times New Roman"/>
          <w:sz w:val="24"/>
          <w:szCs w:val="24"/>
        </w:rPr>
        <w:t xml:space="preserve"> customers. The PUCO should reject the Settlement. </w:t>
      </w:r>
    </w:p>
    <w:p w:rsidR="00541166" w:rsidRPr="00B76A60" w:rsidP="00886EE4">
      <w:pPr>
        <w:pStyle w:val="Heading2"/>
      </w:pPr>
      <w:bookmarkStart w:id="12" w:name="_Toc482612441"/>
      <w:r w:rsidRPr="00B76A60">
        <w:t>The Settlement fails the MRO versus ESP test and should be rejected to protect consumers</w:t>
      </w:r>
      <w:r>
        <w:t>.</w:t>
      </w:r>
      <w:bookmarkEnd w:id="12"/>
    </w:p>
    <w:p w:rsidR="00DD6059" w:rsidRPr="00B76A60" w:rsidP="000A7B60">
      <w:pPr>
        <w:pStyle w:val="Heading3"/>
        <w:numPr>
          <w:ilvl w:val="0"/>
          <w:numId w:val="5"/>
        </w:numPr>
      </w:pPr>
      <w:bookmarkStart w:id="13" w:name="_Toc482612442"/>
      <w:r w:rsidRPr="00B76A60">
        <w:t>“Benefits” that are “not required” are a “wash” under the MRO versus ESP test</w:t>
      </w:r>
      <w:r>
        <w:t>.</w:t>
      </w:r>
      <w:bookmarkEnd w:id="13"/>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Both DP&amp;L and Staff find that the Settlement passes the MRO versus ESP test primarily because of the purported “direct benefits” that are paid by DP&amp;L’s shareholders.</w:t>
      </w:r>
      <w:r>
        <w:rPr>
          <w:rStyle w:val="FootnoteReference"/>
          <w:rFonts w:ascii="Times New Roman" w:hAnsi="Times New Roman" w:cs="Times New Roman"/>
          <w:sz w:val="24"/>
          <w:szCs w:val="24"/>
        </w:rPr>
        <w:footnoteReference w:id="65"/>
      </w:r>
      <w:r w:rsidRPr="00B76A60">
        <w:rPr>
          <w:rFonts w:ascii="Times New Roman" w:hAnsi="Times New Roman" w:cs="Times New Roman"/>
          <w:sz w:val="24"/>
          <w:szCs w:val="24"/>
        </w:rPr>
        <w:t xml:space="preserve">  For example, DP&amp;L says that the “numerous benefits that are funded by shareholders” would not be provided under an MRO because there is “no provision[] in the MRO statute that require[s] those benefits.”</w:t>
      </w:r>
      <w:r>
        <w:rPr>
          <w:rStyle w:val="FootnoteReference"/>
          <w:rFonts w:ascii="Times New Roman" w:hAnsi="Times New Roman" w:cs="Times New Roman"/>
          <w:sz w:val="24"/>
          <w:szCs w:val="24"/>
        </w:rPr>
        <w:footnoteReference w:id="66"/>
      </w:r>
      <w:r w:rsidRPr="00B76A60">
        <w:rPr>
          <w:rFonts w:ascii="Times New Roman" w:hAnsi="Times New Roman" w:cs="Times New Roman"/>
          <w:sz w:val="24"/>
          <w:szCs w:val="24"/>
        </w:rPr>
        <w:t xml:space="preserve">  But the mere fact that shareholder payments are not required under an MRO does not make them required under an ESP – they are not.</w:t>
      </w:r>
      <w:r>
        <w:rPr>
          <w:rStyle w:val="FootnoteReference"/>
          <w:rFonts w:ascii="Times New Roman" w:hAnsi="Times New Roman" w:cs="Times New Roman"/>
          <w:sz w:val="24"/>
          <w:szCs w:val="24"/>
        </w:rPr>
        <w:footnoteReference w:id="67"/>
      </w:r>
      <w:r w:rsidRPr="00B76A60">
        <w:rPr>
          <w:rFonts w:ascii="Times New Roman" w:hAnsi="Times New Roman" w:cs="Times New Roman"/>
          <w:sz w:val="24"/>
          <w:szCs w:val="24"/>
        </w:rPr>
        <w:t xml:space="preserve">  Neither DP&amp;L nor Staff can point to any provision of the ESP statute requiring these benefits.  Under DP&amp;L’s and Staff’s logic, these purported “direct benefits” from shareholders would be a “wash” under the MRO versus ESP test.</w:t>
      </w:r>
      <w:r>
        <w:rPr>
          <w:rStyle w:val="FootnoteReference"/>
          <w:rFonts w:ascii="Times New Roman" w:hAnsi="Times New Roman" w:cs="Times New Roman"/>
          <w:sz w:val="24"/>
          <w:szCs w:val="24"/>
        </w:rPr>
        <w:footnoteReference w:id="68"/>
      </w:r>
      <w:r w:rsidRPr="00B76A60">
        <w:rPr>
          <w:rFonts w:ascii="Times New Roman" w:hAnsi="Times New Roman" w:cs="Times New Roman"/>
          <w:sz w:val="24"/>
          <w:szCs w:val="24"/>
        </w:rPr>
        <w:t xml:space="preserve">  Accordingly, they do not make the ESP embodied in the Settlement more favorable in the aggregate than the expected results under an MRO.</w:t>
      </w:r>
      <w:r>
        <w:rPr>
          <w:rStyle w:val="FootnoteReference"/>
          <w:rFonts w:ascii="Times New Roman" w:hAnsi="Times New Roman" w:cs="Times New Roman"/>
          <w:sz w:val="24"/>
          <w:szCs w:val="24"/>
        </w:rPr>
        <w:footnoteReference w:id="69"/>
      </w:r>
    </w:p>
    <w:p w:rsidR="00EE013C"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Although DP&amp;L and the PUCO Staff exclude purported qualitative benefits under an MRO because they are “not required,” they ironically include qualitative benefits under the ESP even though they are “not required.”</w:t>
      </w:r>
      <w:r>
        <w:rPr>
          <w:rStyle w:val="FootnoteReference"/>
          <w:rFonts w:ascii="Times New Roman" w:hAnsi="Times New Roman" w:cs="Times New Roman"/>
          <w:sz w:val="24"/>
          <w:szCs w:val="24"/>
        </w:rPr>
        <w:footnoteReference w:id="70"/>
      </w:r>
      <w:r w:rsidRPr="00B76A60">
        <w:rPr>
          <w:rFonts w:ascii="Times New Roman" w:hAnsi="Times New Roman" w:cs="Times New Roman"/>
          <w:sz w:val="24"/>
          <w:szCs w:val="24"/>
        </w:rPr>
        <w:t xml:space="preserve">  For example, DP&amp;L includes “[c]ommitments by AES” as non-quantifiable benefits under the ESP,</w:t>
      </w:r>
      <w:r>
        <w:rPr>
          <w:rStyle w:val="FootnoteReference"/>
          <w:rFonts w:ascii="Times New Roman" w:hAnsi="Times New Roman" w:cs="Times New Roman"/>
          <w:sz w:val="24"/>
          <w:szCs w:val="24"/>
        </w:rPr>
        <w:footnoteReference w:id="71"/>
      </w:r>
      <w:r w:rsidRPr="00B76A60">
        <w:rPr>
          <w:rFonts w:ascii="Times New Roman" w:hAnsi="Times New Roman" w:cs="Times New Roman"/>
          <w:sz w:val="24"/>
          <w:szCs w:val="24"/>
        </w:rPr>
        <w:t xml:space="preserve"> but admits earlier in its brief that such benefits are “[o]therwise not [r]equired” under an ESP or even “[j]urisdictional” to the PUCO.</w:t>
      </w:r>
      <w:r>
        <w:rPr>
          <w:rStyle w:val="FootnoteReference"/>
          <w:rFonts w:ascii="Times New Roman" w:hAnsi="Times New Roman" w:cs="Times New Roman"/>
          <w:sz w:val="24"/>
          <w:szCs w:val="24"/>
        </w:rPr>
        <w:footnoteReference w:id="72"/>
      </w:r>
      <w:r w:rsidRPr="00B76A60">
        <w:rPr>
          <w:rFonts w:ascii="Times New Roman" w:hAnsi="Times New Roman" w:cs="Times New Roman"/>
          <w:sz w:val="24"/>
          <w:szCs w:val="24"/>
        </w:rPr>
        <w:t xml:space="preserve">  Staff Witness Donlon admitted the same.</w:t>
      </w:r>
      <w:r>
        <w:rPr>
          <w:rStyle w:val="FootnoteReference"/>
          <w:rFonts w:ascii="Times New Roman" w:hAnsi="Times New Roman" w:cs="Times New Roman"/>
          <w:sz w:val="24"/>
          <w:szCs w:val="24"/>
        </w:rPr>
        <w:footnoteReference w:id="73"/>
      </w:r>
      <w:r w:rsidRPr="00B76A60">
        <w:rPr>
          <w:rFonts w:ascii="Times New Roman" w:hAnsi="Times New Roman" w:cs="Times New Roman"/>
          <w:sz w:val="24"/>
          <w:szCs w:val="24"/>
        </w:rPr>
        <w:t xml:space="preserve">  </w:t>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DP&amp;L and the PUCO Staff cannot have it both ways.  They have not provided a single justification as to why “not required” quantitative benefits should be handled differently than “not required” qualitative benefits.  There is absolutely no basis for the argument that </w:t>
      </w:r>
      <w:r>
        <w:rPr>
          <w:rFonts w:ascii="Times New Roman" w:hAnsi="Times New Roman" w:cs="Times New Roman"/>
          <w:sz w:val="24"/>
          <w:szCs w:val="24"/>
        </w:rPr>
        <w:t xml:space="preserve">these benefits should be excluded from the MRO because </w:t>
      </w:r>
      <w:r w:rsidRPr="00B76A60">
        <w:rPr>
          <w:rFonts w:ascii="Times New Roman" w:hAnsi="Times New Roman" w:cs="Times New Roman"/>
          <w:sz w:val="24"/>
          <w:szCs w:val="24"/>
        </w:rPr>
        <w:t>the PUCO Staff would have been able to negotiate such benefits into an ESP settlement but not under an MRO settlement.</w:t>
      </w:r>
      <w:r>
        <w:rPr>
          <w:rStyle w:val="FootnoteReference"/>
          <w:rFonts w:ascii="Times New Roman" w:hAnsi="Times New Roman" w:cs="Times New Roman"/>
          <w:sz w:val="24"/>
          <w:szCs w:val="24"/>
        </w:rPr>
        <w:footnoteReference w:id="74"/>
      </w:r>
      <w:r w:rsidRPr="00B76A60">
        <w:rPr>
          <w:rFonts w:ascii="Times New Roman" w:hAnsi="Times New Roman" w:cs="Times New Roman"/>
          <w:sz w:val="24"/>
          <w:szCs w:val="24"/>
        </w:rPr>
        <w:t xml:space="preserve">  As such, these purported benefits should also be a “wash” under the MRO versus ESP test.  They therefore do not support approving the ESP embodied in the Settlement. </w:t>
      </w:r>
    </w:p>
    <w:p w:rsidR="00541166" w:rsidRPr="00B76A60" w:rsidP="000A7B60">
      <w:pPr>
        <w:pStyle w:val="Heading3"/>
      </w:pPr>
      <w:bookmarkStart w:id="14" w:name="_Toc482612443"/>
      <w:r w:rsidRPr="00B76A60">
        <w:t>The “other riders” in the Settlement matter and favor the MRO to protect consumers</w:t>
      </w:r>
      <w:r>
        <w:t>.</w:t>
      </w:r>
      <w:bookmarkEnd w:id="14"/>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DP&amp;L and Staff argue that none of the riders in the Settlement matter for purposes of the MRO versus ESP test.</w:t>
      </w:r>
      <w:r>
        <w:rPr>
          <w:rStyle w:val="FootnoteReference"/>
          <w:rFonts w:ascii="Times New Roman" w:hAnsi="Times New Roman" w:cs="Times New Roman"/>
          <w:sz w:val="24"/>
          <w:szCs w:val="24"/>
        </w:rPr>
        <w:footnoteReference w:id="75"/>
      </w:r>
      <w:r w:rsidRPr="00B76A60">
        <w:rPr>
          <w:rFonts w:ascii="Times New Roman" w:hAnsi="Times New Roman" w:cs="Times New Roman"/>
          <w:sz w:val="24"/>
          <w:szCs w:val="24"/>
        </w:rPr>
        <w:t xml:space="preserve">  Particularly, Staff argues that there are “two particularly salient things that must be understood in implementing this test, context matters and not all benefits can </w:t>
      </w:r>
      <w:r>
        <w:rPr>
          <w:rFonts w:ascii="Times New Roman" w:hAnsi="Times New Roman" w:cs="Times New Roman"/>
          <w:sz w:val="24"/>
          <w:szCs w:val="24"/>
        </w:rPr>
        <w:t xml:space="preserve">be </w:t>
      </w:r>
      <w:r w:rsidRPr="00B76A60">
        <w:rPr>
          <w:rFonts w:ascii="Times New Roman" w:hAnsi="Times New Roman" w:cs="Times New Roman"/>
          <w:sz w:val="24"/>
          <w:szCs w:val="24"/>
        </w:rPr>
        <w:t>quantified.”</w:t>
      </w:r>
      <w:r>
        <w:rPr>
          <w:rStyle w:val="FootnoteReference"/>
          <w:rFonts w:ascii="Times New Roman" w:hAnsi="Times New Roman" w:cs="Times New Roman"/>
          <w:sz w:val="24"/>
          <w:szCs w:val="24"/>
        </w:rPr>
        <w:footnoteReference w:id="76"/>
      </w:r>
      <w:r w:rsidRPr="00B76A60">
        <w:rPr>
          <w:rFonts w:ascii="Times New Roman" w:hAnsi="Times New Roman" w:cs="Times New Roman"/>
          <w:sz w:val="24"/>
          <w:szCs w:val="24"/>
        </w:rPr>
        <w:t xml:space="preserve">  , Staff disregards the most important thing that must be understood and rigorously applied in implementing the MRO versus ESP test: the law.  </w:t>
      </w:r>
    </w:p>
    <w:p w:rsidR="00EE013C"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For example, Staff argues that irrespective of whether SSO service is provided under an MRO or an ESP, “storm damage [] would need to be repaired.”  That is true.  But if done (appropriately) in a rate case, the law requires a thorough review of all of DP&amp;L’s costs to make sure that all were incurred prudently for used and useful investments.</w:t>
      </w:r>
      <w:r>
        <w:rPr>
          <w:rStyle w:val="FootnoteReference"/>
          <w:rFonts w:ascii="Times New Roman" w:hAnsi="Times New Roman" w:cs="Times New Roman"/>
          <w:sz w:val="24"/>
          <w:szCs w:val="24"/>
        </w:rPr>
        <w:footnoteReference w:id="77"/>
      </w:r>
      <w:r w:rsidRPr="00B76A60">
        <w:rPr>
          <w:rFonts w:ascii="Times New Roman" w:hAnsi="Times New Roman" w:cs="Times New Roman"/>
          <w:sz w:val="24"/>
          <w:szCs w:val="24"/>
        </w:rPr>
        <w:t xml:space="preserve">  This in-depth analysis that protects and benefits customers will not be done under this Settlement.</w:t>
      </w:r>
      <w:r>
        <w:rPr>
          <w:rStyle w:val="FootnoteReference"/>
          <w:rFonts w:ascii="Times New Roman" w:hAnsi="Times New Roman" w:cs="Times New Roman"/>
          <w:sz w:val="24"/>
          <w:szCs w:val="24"/>
        </w:rPr>
        <w:footnoteReference w:id="78"/>
      </w:r>
      <w:r w:rsidRPr="00B76A60">
        <w:rPr>
          <w:rFonts w:ascii="Times New Roman" w:hAnsi="Times New Roman" w:cs="Times New Roman"/>
          <w:sz w:val="24"/>
          <w:szCs w:val="24"/>
        </w:rPr>
        <w:t xml:space="preserve">  </w:t>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As another example, Staff argues that irrespective of whether SSO service is provided under an MRO or an ESP, “[e]conomic development would still be needed.”</w:t>
      </w:r>
      <w:r>
        <w:rPr>
          <w:rStyle w:val="FootnoteReference"/>
          <w:rFonts w:ascii="Times New Roman" w:hAnsi="Times New Roman" w:cs="Times New Roman"/>
          <w:sz w:val="24"/>
          <w:szCs w:val="24"/>
        </w:rPr>
        <w:footnoteReference w:id="79"/>
      </w:r>
      <w:r w:rsidRPr="00B76A60">
        <w:rPr>
          <w:rFonts w:ascii="Times New Roman" w:hAnsi="Times New Roman" w:cs="Times New Roman"/>
          <w:sz w:val="24"/>
          <w:szCs w:val="24"/>
        </w:rPr>
        <w:t xml:space="preserve">  This is also true.  But if done (appropriately) under the reasonable arrangement law, companies that receive economic development incentives would actually have to retain or create jobs</w:t>
      </w:r>
      <w:r>
        <w:rPr>
          <w:rStyle w:val="FootnoteReference"/>
          <w:rFonts w:ascii="Times New Roman" w:hAnsi="Times New Roman" w:cs="Times New Roman"/>
          <w:sz w:val="24"/>
          <w:szCs w:val="24"/>
        </w:rPr>
        <w:footnoteReference w:id="80"/>
      </w:r>
      <w:r w:rsidRPr="00B76A60">
        <w:rPr>
          <w:rFonts w:ascii="Times New Roman" w:hAnsi="Times New Roman" w:cs="Times New Roman"/>
          <w:sz w:val="24"/>
          <w:szCs w:val="24"/>
        </w:rPr>
        <w:t xml:space="preserve"> – something that is not required in this Settlement.</w:t>
      </w:r>
      <w:r>
        <w:rPr>
          <w:rStyle w:val="FootnoteReference"/>
          <w:rFonts w:ascii="Times New Roman" w:hAnsi="Times New Roman" w:cs="Times New Roman"/>
          <w:sz w:val="24"/>
          <w:szCs w:val="24"/>
        </w:rPr>
        <w:footnoteReference w:id="81"/>
      </w:r>
      <w:r w:rsidRPr="00B76A60">
        <w:rPr>
          <w:rFonts w:ascii="Times New Roman" w:hAnsi="Times New Roman" w:cs="Times New Roman"/>
          <w:sz w:val="24"/>
          <w:szCs w:val="24"/>
        </w:rPr>
        <w:t xml:space="preserve">  Recovering storm costs after a rigorous analysis in a rate case, or allowing for economic development incentives via more stringent requirements (to take but two examples) could result in cost-savings for customers.  It would certainly provide more consumer protection.  Allowing DP&amp;L to charge consumers for such things as a result of the Settlement in an electric security plan case has neither benefit.  </w:t>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Additionally, Staff argues that “[t]o obtain the benefits of smart grid, the financial problem would need to be addressed whether that were through a determination of an emergency under R.C. 4928.142(D)(4) or through a rate case doesn’t matter.  Relief would be provisioned, it has to be.  Since the need and the means to address that need remain the same under either scenario, the presence of the DMR is irrelevant to the ESP v. MRO test.”</w:t>
      </w:r>
      <w:r>
        <w:rPr>
          <w:rStyle w:val="FootnoteReference"/>
          <w:rFonts w:ascii="Times New Roman" w:hAnsi="Times New Roman" w:cs="Times New Roman"/>
          <w:sz w:val="24"/>
          <w:szCs w:val="24"/>
        </w:rPr>
        <w:footnoteReference w:id="82"/>
      </w:r>
      <w:r w:rsidRPr="00B76A60">
        <w:rPr>
          <w:rFonts w:ascii="Times New Roman" w:hAnsi="Times New Roman" w:cs="Times New Roman"/>
          <w:sz w:val="24"/>
          <w:szCs w:val="24"/>
        </w:rPr>
        <w:t xml:space="preserve">  This argument also disregards the law.  The MRO and ESP statutes delineate exactly which utility needs can be addressed, in what manner, and according to which standards.</w:t>
      </w:r>
      <w:r>
        <w:rPr>
          <w:rStyle w:val="FootnoteReference"/>
          <w:rFonts w:ascii="Times New Roman" w:hAnsi="Times New Roman" w:cs="Times New Roman"/>
          <w:sz w:val="24"/>
          <w:szCs w:val="24"/>
        </w:rPr>
        <w:footnoteReference w:id="83"/>
      </w:r>
      <w:r w:rsidRPr="00B76A60">
        <w:rPr>
          <w:rFonts w:ascii="Times New Roman" w:hAnsi="Times New Roman" w:cs="Times New Roman"/>
          <w:sz w:val="24"/>
          <w:szCs w:val="24"/>
        </w:rPr>
        <w:t xml:space="preserve">  The “means to address [these] needs” are specifically laid out in the relevant statutes.  They are not the “same” as Staff argues. They cannot be ignored.  All riders in the Settlement must be taken into account within the specific context of the governing statute, whether MRO or ESP.  They tip the analysis in favor of an MRO.  The Settlement fails the MRO versus ESP test and must be rejected.</w:t>
      </w:r>
      <w:r>
        <w:rPr>
          <w:rStyle w:val="FootnoteReference"/>
          <w:rFonts w:ascii="Times New Roman" w:hAnsi="Times New Roman" w:cs="Times New Roman"/>
          <w:sz w:val="24"/>
          <w:szCs w:val="24"/>
        </w:rPr>
        <w:footnoteReference w:id="84"/>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In addition to ignoring the law, DP&amp;L and Staff’s arguments would make the MRO versus ESP test meaningless.  Following DP&amp;L’s and Staff’s logic, a utility could file an ESP with limitless riders that cost consumers billions of dollars.  But all of these riders would be a “wash” under the MRO versus ESP test because they could be gotten through some other means.  Thus, any proposed ESP would pass the MRO versus ESP test as long as the utility’s shareholders made some sort of “direct benefit” payment, no matter how small.  This is a slippery slope that the PUCO should refuse to go down.  These riders do matter and make the ESP less favorable in the aggregate than the expected outcome under an MRO.  Therefore, the Settlement fails the MRO versus ESP test and should be rejected.</w:t>
      </w:r>
    </w:p>
    <w:p w:rsidR="00541166" w:rsidRPr="00B76A60" w:rsidP="00865D92">
      <w:pPr>
        <w:pStyle w:val="Heading2"/>
      </w:pPr>
      <w:bookmarkStart w:id="15" w:name="_Toc482612444"/>
      <w:r w:rsidRPr="00B76A60">
        <w:t>Approving the Settlement would give Staff “veto power,” contrary to consumers’ interests</w:t>
      </w:r>
      <w:r>
        <w:t>.</w:t>
      </w:r>
      <w:bookmarkEnd w:id="15"/>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Both DP&amp;L and OPAE argue that, under the first prong of the three-prong test, the OCC does not have veto power over a Settlement.</w:t>
      </w:r>
      <w:r>
        <w:rPr>
          <w:rStyle w:val="FootnoteReference"/>
          <w:rFonts w:ascii="Times New Roman" w:hAnsi="Times New Roman" w:cs="Times New Roman"/>
          <w:sz w:val="24"/>
          <w:szCs w:val="24"/>
        </w:rPr>
        <w:footnoteReference w:id="85"/>
      </w:r>
      <w:r w:rsidRPr="00B76A60">
        <w:rPr>
          <w:rFonts w:ascii="Times New Roman" w:hAnsi="Times New Roman" w:cs="Times New Roman"/>
          <w:sz w:val="24"/>
          <w:szCs w:val="24"/>
        </w:rPr>
        <w:t xml:space="preserve">  They argue that the PUCO has held that “one party cannot effectively nullify a stipulation.”</w:t>
      </w:r>
      <w:r>
        <w:rPr>
          <w:rStyle w:val="FootnoteReference"/>
          <w:rFonts w:ascii="Times New Roman" w:hAnsi="Times New Roman" w:cs="Times New Roman"/>
          <w:sz w:val="24"/>
          <w:szCs w:val="24"/>
        </w:rPr>
        <w:footnoteReference w:id="86"/>
      </w:r>
      <w:r w:rsidRPr="00B76A60">
        <w:rPr>
          <w:rFonts w:ascii="Times New Roman" w:hAnsi="Times New Roman" w:cs="Times New Roman"/>
          <w:sz w:val="24"/>
          <w:szCs w:val="24"/>
        </w:rPr>
        <w:t xml:space="preserve">  But approving this Settlement would do exactly that.  It would create dangerous precedent fostering uncertainty, chilling settlements, and give a party an after-the-fact veto power in the settlement process – a prospect that the PUCO,</w:t>
      </w:r>
      <w:r>
        <w:rPr>
          <w:rStyle w:val="FootnoteReference"/>
          <w:rFonts w:ascii="Times New Roman" w:hAnsi="Times New Roman" w:cs="Times New Roman"/>
          <w:sz w:val="24"/>
          <w:szCs w:val="24"/>
        </w:rPr>
        <w:footnoteReference w:id="87"/>
      </w:r>
      <w:r w:rsidRPr="00B76A60">
        <w:rPr>
          <w:rFonts w:ascii="Times New Roman" w:hAnsi="Times New Roman" w:cs="Times New Roman"/>
          <w:sz w:val="24"/>
          <w:szCs w:val="24"/>
        </w:rPr>
        <w:t xml:space="preserve"> and the PUCO Staff itself,</w:t>
      </w:r>
      <w:r>
        <w:rPr>
          <w:rStyle w:val="FootnoteReference"/>
          <w:rFonts w:ascii="Times New Roman" w:hAnsi="Times New Roman" w:cs="Times New Roman"/>
          <w:sz w:val="24"/>
          <w:szCs w:val="24"/>
        </w:rPr>
        <w:footnoteReference w:id="88"/>
      </w:r>
      <w:r w:rsidRPr="00B76A60">
        <w:rPr>
          <w:rFonts w:ascii="Times New Roman" w:hAnsi="Times New Roman" w:cs="Times New Roman"/>
          <w:sz w:val="24"/>
          <w:szCs w:val="24"/>
        </w:rPr>
        <w:t xml:space="preserve"> recognizes as inappropriate.  </w:t>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eastAsiaTheme="majorEastAsia" w:cs="Times New Roman"/>
          <w:iCs/>
          <w:sz w:val="24"/>
          <w:szCs w:val="24"/>
        </w:rPr>
        <w:t>Approving the Settlement effectively gives the PUCO Staff an after-the-fact veto power in the settlement process, fostering uncertainty and chilling settlements.  A stipulation was signed and filed in this docket on January 30, 2017.</w:t>
      </w:r>
      <w:r>
        <w:rPr>
          <w:rStyle w:val="FootnoteReference"/>
          <w:rFonts w:ascii="Times New Roman" w:hAnsi="Times New Roman" w:eastAsiaTheme="majorEastAsia" w:cs="Times New Roman"/>
          <w:iCs/>
          <w:sz w:val="24"/>
          <w:szCs w:val="24"/>
        </w:rPr>
        <w:footnoteReference w:id="89"/>
      </w:r>
      <w:r w:rsidRPr="00B76A60">
        <w:rPr>
          <w:rFonts w:ascii="Times New Roman" w:hAnsi="Times New Roman" w:eastAsiaTheme="majorEastAsia" w:cs="Times New Roman"/>
          <w:iCs/>
          <w:sz w:val="24"/>
          <w:szCs w:val="24"/>
        </w:rPr>
        <w:t xml:space="preserve">  That stipulation was not signed by the PUCO Staff.</w:t>
      </w:r>
      <w:r>
        <w:rPr>
          <w:rStyle w:val="FootnoteReference"/>
          <w:rFonts w:ascii="Times New Roman" w:hAnsi="Times New Roman" w:eastAsiaTheme="majorEastAsia" w:cs="Times New Roman"/>
          <w:iCs/>
          <w:sz w:val="24"/>
          <w:szCs w:val="24"/>
        </w:rPr>
        <w:footnoteReference w:id="90"/>
      </w:r>
      <w:r w:rsidRPr="00B76A60">
        <w:rPr>
          <w:rFonts w:ascii="Times New Roman" w:hAnsi="Times New Roman" w:eastAsiaTheme="majorEastAsia" w:cs="Times New Roman"/>
          <w:iCs/>
          <w:sz w:val="24"/>
          <w:szCs w:val="24"/>
        </w:rPr>
        <w:t xml:space="preserve">  DP&amp;L changed its settlement position to get the PUCO Staff on-board, which resulted in the Settlement and numerous original signatory parties receiving less than they bargained for in the January 30, 2017 settlement (e.g., OEC, RESA, IGS, MAREC, etc.).</w:t>
      </w:r>
      <w:r>
        <w:rPr>
          <w:rStyle w:val="FootnoteReference"/>
          <w:rFonts w:ascii="Times New Roman" w:hAnsi="Times New Roman" w:eastAsiaTheme="majorEastAsia" w:cs="Times New Roman"/>
          <w:iCs/>
          <w:sz w:val="24"/>
          <w:szCs w:val="24"/>
        </w:rPr>
        <w:footnoteReference w:id="91"/>
      </w:r>
      <w:r w:rsidRPr="00B76A60">
        <w:rPr>
          <w:rFonts w:ascii="Times New Roman" w:hAnsi="Times New Roman" w:eastAsiaTheme="majorEastAsia" w:cs="Times New Roman"/>
          <w:iCs/>
          <w:sz w:val="24"/>
          <w:szCs w:val="24"/>
        </w:rPr>
        <w:t xml:space="preserve">  In the process, DP&amp;L initially lost the support and non-opposition of three parties.</w:t>
      </w:r>
      <w:r>
        <w:rPr>
          <w:rStyle w:val="FootnoteReference"/>
          <w:rFonts w:ascii="Times New Roman" w:hAnsi="Times New Roman" w:eastAsiaTheme="majorEastAsia" w:cs="Times New Roman"/>
          <w:iCs/>
          <w:sz w:val="24"/>
          <w:szCs w:val="24"/>
        </w:rPr>
        <w:footnoteReference w:id="92"/>
      </w:r>
      <w:r w:rsidRPr="00B76A60">
        <w:rPr>
          <w:rFonts w:ascii="Times New Roman" w:hAnsi="Times New Roman" w:eastAsiaTheme="majorEastAsia" w:cs="Times New Roman"/>
          <w:iCs/>
          <w:sz w:val="24"/>
          <w:szCs w:val="24"/>
        </w:rPr>
        <w:t xml:space="preserve">  Only after DP&amp;L paid off MAREC with $200,000 did DP&amp;L gain two of the three parties back.</w:t>
      </w:r>
      <w:r>
        <w:rPr>
          <w:rStyle w:val="FootnoteReference"/>
          <w:rFonts w:ascii="Times New Roman" w:hAnsi="Times New Roman" w:eastAsiaTheme="majorEastAsia" w:cs="Times New Roman"/>
          <w:iCs/>
          <w:sz w:val="24"/>
          <w:szCs w:val="24"/>
        </w:rPr>
        <w:footnoteReference w:id="93"/>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eastAsiaTheme="majorEastAsia" w:cs="Times New Roman"/>
          <w:iCs/>
          <w:sz w:val="24"/>
          <w:szCs w:val="24"/>
        </w:rPr>
        <w:t xml:space="preserve">DP&amp;L presumably seriously bargained with the parties that signed the January 30, 2017 stipulation.  It abandoned the results of that serious bargaining to (presumably) seriously bargain a second time to get the PUCO Staff’s support.  In doing so, it left numerous parties worse off and receiving less than they initially “seriously” bargained for.  Were the Settlement approved, future settlement negotiations would be chilled because no settlement without the PUCO Staff would be signed for fear that it could change (and result in less than what was originally bargained for).  The result of approving the Settlement would, therefore, effectively give the PUCO Staff a veto power on settlements.  And to make matters worse, this veto power could be exercised after a stipulation has been signed and filed.  The Settlement should not be approved.       </w:t>
      </w:r>
    </w:p>
    <w:p w:rsidR="00541166" w:rsidRPr="00B76A60" w:rsidP="00865D92">
      <w:pPr>
        <w:pStyle w:val="Heading2"/>
      </w:pPr>
      <w:bookmarkStart w:id="16" w:name="_Toc482612445"/>
      <w:r w:rsidRPr="00B76A60">
        <w:t>The cash payments included in the Settlement are not “justified” and would harm consumers</w:t>
      </w:r>
      <w:r>
        <w:t>.</w:t>
      </w:r>
      <w:bookmarkEnd w:id="16"/>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In discussing the third prong of the PUCO’s three-prong test for evaluating settlements, OPAE cites to a case</w:t>
      </w:r>
      <w:r>
        <w:rPr>
          <w:rStyle w:val="FootnoteReference"/>
          <w:rFonts w:ascii="Times New Roman" w:hAnsi="Times New Roman" w:cs="Times New Roman"/>
          <w:sz w:val="24"/>
          <w:szCs w:val="24"/>
        </w:rPr>
        <w:footnoteReference w:id="94"/>
      </w:r>
      <w:r w:rsidRPr="00B76A60">
        <w:rPr>
          <w:rFonts w:ascii="Times New Roman" w:hAnsi="Times New Roman" w:cs="Times New Roman"/>
          <w:sz w:val="24"/>
          <w:szCs w:val="24"/>
        </w:rPr>
        <w:t xml:space="preserve"> (cited by the OCC for the holding that the PUCO does not favor cash payments</w:t>
      </w:r>
      <w:r>
        <w:rPr>
          <w:rStyle w:val="FootnoteReference"/>
          <w:rFonts w:ascii="Times New Roman" w:hAnsi="Times New Roman" w:cs="Times New Roman"/>
          <w:sz w:val="24"/>
          <w:szCs w:val="24"/>
        </w:rPr>
        <w:footnoteReference w:id="95"/>
      </w:r>
      <w:r w:rsidRPr="00B76A60">
        <w:rPr>
          <w:rFonts w:ascii="Times New Roman" w:hAnsi="Times New Roman" w:cs="Times New Roman"/>
          <w:sz w:val="24"/>
          <w:szCs w:val="24"/>
        </w:rPr>
        <w:t>) and suggests that “cash payments are justified” because parties “worked hard” during a “lengthy procedural history.”</w:t>
      </w:r>
      <w:r>
        <w:rPr>
          <w:rStyle w:val="FootnoteReference"/>
          <w:rFonts w:ascii="Times New Roman" w:hAnsi="Times New Roman" w:cs="Times New Roman"/>
          <w:sz w:val="24"/>
          <w:szCs w:val="24"/>
        </w:rPr>
        <w:footnoteReference w:id="96"/>
      </w:r>
      <w:r w:rsidRPr="00B76A60">
        <w:rPr>
          <w:rFonts w:ascii="Times New Roman" w:hAnsi="Times New Roman" w:cs="Times New Roman"/>
          <w:sz w:val="24"/>
          <w:szCs w:val="24"/>
        </w:rPr>
        <w:t xml:space="preserve">  OPAE argues that based on the “circumstances of hard work over a long period of time on the part of the signatory and non-opposing parties” in this case, the cash payments in the Settlement should be approved.</w:t>
      </w:r>
      <w:r>
        <w:rPr>
          <w:rStyle w:val="FootnoteReference"/>
          <w:rFonts w:ascii="Times New Roman" w:hAnsi="Times New Roman" w:cs="Times New Roman"/>
          <w:sz w:val="24"/>
          <w:szCs w:val="24"/>
        </w:rPr>
        <w:footnoteReference w:id="97"/>
      </w:r>
      <w:r w:rsidRPr="00B76A60">
        <w:rPr>
          <w:rFonts w:ascii="Times New Roman" w:hAnsi="Times New Roman" w:cs="Times New Roman"/>
          <w:sz w:val="24"/>
          <w:szCs w:val="24"/>
        </w:rPr>
        <w:t xml:space="preserve">  </w:t>
      </w:r>
    </w:p>
    <w:p w:rsidR="00541166"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A simple review of the facts demonstrates that OPAE’s characterization of the 05-376-EL-UNC case is incorrect.  For example, Case No. 05-376-EL-UNC was originally filed in March 2005, approved in 2006 (originally and on rehearing),</w:t>
      </w:r>
      <w:r>
        <w:rPr>
          <w:rStyle w:val="FootnoteReference"/>
          <w:rFonts w:ascii="Times New Roman" w:hAnsi="Times New Roman" w:cs="Times New Roman"/>
          <w:sz w:val="24"/>
          <w:szCs w:val="24"/>
        </w:rPr>
        <w:footnoteReference w:id="98"/>
      </w:r>
      <w:r w:rsidRPr="00B76A60">
        <w:rPr>
          <w:rFonts w:ascii="Times New Roman" w:hAnsi="Times New Roman" w:cs="Times New Roman"/>
          <w:sz w:val="24"/>
          <w:szCs w:val="24"/>
        </w:rPr>
        <w:t xml:space="preserve"> went through an application to the Ohio Power Siting Board (that required that AEP must commence a “continuous course of construction” within five years – something that was determined AEP failed to do in 2012),</w:t>
      </w:r>
      <w:r>
        <w:rPr>
          <w:rStyle w:val="FootnoteReference"/>
          <w:rFonts w:ascii="Times New Roman" w:hAnsi="Times New Roman" w:cs="Times New Roman"/>
          <w:sz w:val="24"/>
          <w:szCs w:val="24"/>
        </w:rPr>
        <w:footnoteReference w:id="99"/>
      </w:r>
      <w:r w:rsidRPr="00B76A60">
        <w:rPr>
          <w:rFonts w:ascii="Times New Roman" w:hAnsi="Times New Roman" w:cs="Times New Roman"/>
          <w:sz w:val="24"/>
          <w:szCs w:val="24"/>
        </w:rPr>
        <w:t xml:space="preserve"> appeals to (and remands from) the Court, and more litigation at the PUCO.</w:t>
      </w:r>
      <w:r>
        <w:rPr>
          <w:rStyle w:val="FootnoteReference"/>
          <w:rFonts w:ascii="Times New Roman" w:hAnsi="Times New Roman" w:cs="Times New Roman"/>
          <w:sz w:val="24"/>
          <w:szCs w:val="24"/>
        </w:rPr>
        <w:footnoteReference w:id="100"/>
      </w:r>
      <w:r w:rsidRPr="00B76A60">
        <w:rPr>
          <w:rFonts w:ascii="Times New Roman" w:hAnsi="Times New Roman" w:cs="Times New Roman"/>
          <w:sz w:val="24"/>
          <w:szCs w:val="24"/>
        </w:rPr>
        <w:t xml:space="preserve">  Ultimately, another hearing on the remanded issues was set in December 2014 but was continued to allow settlement discussions.  A settlement – that the PUCO found “no party opposes” – was reached and approved by the PUCO in 2015.</w:t>
      </w:r>
      <w:r>
        <w:rPr>
          <w:rStyle w:val="FootnoteReference"/>
          <w:rFonts w:ascii="Times New Roman" w:hAnsi="Times New Roman" w:cs="Times New Roman"/>
          <w:sz w:val="24"/>
          <w:szCs w:val="24"/>
        </w:rPr>
        <w:footnoteReference w:id="101"/>
      </w:r>
    </w:p>
    <w:p w:rsidR="002B500F" w:rsidRPr="00B76A60" w:rsidP="00541166">
      <w:pPr>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Thus, OPAE’s reliance on this case for the existence of “hard work” and a “lengthy procedural history” as being sufficient to approve cash payments is misplaced.  That case covered nearly 10 years, numerous rounds of litigation at the PUCO and the Ohio Power Siting Board, and appeals to the Court.  Here, OPAE admits that the “hard work” is limited to “hours” of negotiations and the procedural history merely spanned a “period of months.”</w:t>
      </w:r>
      <w:r>
        <w:rPr>
          <w:rStyle w:val="FootnoteReference"/>
          <w:rFonts w:ascii="Times New Roman" w:hAnsi="Times New Roman" w:cs="Times New Roman"/>
          <w:sz w:val="24"/>
          <w:szCs w:val="24"/>
        </w:rPr>
        <w:footnoteReference w:id="102"/>
      </w:r>
      <w:r w:rsidRPr="00B76A60">
        <w:rPr>
          <w:rFonts w:ascii="Times New Roman" w:hAnsi="Times New Roman" w:cs="Times New Roman"/>
          <w:sz w:val="24"/>
          <w:szCs w:val="24"/>
        </w:rPr>
        <w:t xml:space="preserve">  Further, unlike the facts in Case No. 05-376, parties oppose the Settlement at issue here.  The case cited by OPAE does not support the notion that the PUCO “justifies” “cash payments” when there is hard work and a lengthy procedural history.  If so, those circumstances are clearly not present here.  OPAE’s argument – and the Settlement that includes cash payments – should be rejected.  </w:t>
      </w:r>
    </w:p>
    <w:p w:rsidR="00865D92" w:rsidRPr="00B76A60" w:rsidP="00865D92">
      <w:pPr>
        <w:spacing w:after="0" w:line="240" w:lineRule="auto"/>
        <w:ind w:firstLine="720"/>
        <w:rPr>
          <w:rFonts w:ascii="Times New Roman" w:hAnsi="Times New Roman" w:cs="Times New Roman"/>
          <w:sz w:val="24"/>
          <w:szCs w:val="24"/>
        </w:rPr>
      </w:pPr>
    </w:p>
    <w:p w:rsidR="00DE605B" w:rsidRPr="00B76A60" w:rsidP="00865D92">
      <w:pPr>
        <w:pStyle w:val="Heading1"/>
      </w:pPr>
      <w:bookmarkStart w:id="17" w:name="_Toc482612446"/>
      <w:r w:rsidRPr="00B76A60">
        <w:t>CONCLUSION</w:t>
      </w:r>
      <w:bookmarkEnd w:id="17"/>
      <w:r w:rsidRPr="00B76A60">
        <w:t xml:space="preserve">      </w:t>
      </w:r>
    </w:p>
    <w:p w:rsidR="00DE605B" w:rsidRPr="00B76A60" w:rsidP="00DE605B">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The Settlement could add $432 (or much more) to the cost of hard-working Ohioans’ electric bills.  A big part of that cost-increase flows from the DMR.  By DP&amp;L’s own admissions, 100% of DMR funds are going to be used to pay generation debt.  It is an illegal transition charge or equivalent revenue.  Ohioans bills should not be increased based on illegal charges.  The Settlement and its DMR should be rejected. </w:t>
      </w:r>
    </w:p>
    <w:p w:rsidR="00DE605B" w:rsidRPr="00B76A60" w:rsidP="00DE605B">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Ohioans’ bills should also not be increased due to a utility’s broken promises.  In the Merger Finding and Order, AES, DPL, and DP&amp;L promised that they would not charge consumers for the Merger. This is exactly what the Settlement does now.</w:t>
      </w:r>
    </w:p>
    <w:p w:rsidR="00A546AB" w:rsidP="004D03F6">
      <w:pPr>
        <w:autoSpaceDE w:val="0"/>
        <w:autoSpaceDN w:val="0"/>
        <w:adjustRightInd w:val="0"/>
        <w:spacing w:after="0" w:line="480" w:lineRule="auto"/>
        <w:ind w:firstLine="720"/>
        <w:rPr>
          <w:rFonts w:ascii="Times New Roman" w:hAnsi="Times New Roman" w:cs="Times New Roman"/>
          <w:sz w:val="24"/>
          <w:szCs w:val="24"/>
        </w:rPr>
      </w:pPr>
      <w:r w:rsidRPr="00B76A60">
        <w:rPr>
          <w:rFonts w:ascii="Times New Roman" w:hAnsi="Times New Roman" w:cs="Times New Roman"/>
          <w:sz w:val="24"/>
          <w:szCs w:val="24"/>
        </w:rPr>
        <w:t xml:space="preserve">The PUCO should protect consumers and the electric markets that serve them, as intended by the Ohio General Assembly, so that consumers can reap the continued benefits.  </w:t>
      </w:r>
      <w:r>
        <w:rPr>
          <w:rFonts w:ascii="Times New Roman" w:hAnsi="Times New Roman" w:cs="Times New Roman"/>
          <w:sz w:val="24"/>
          <w:szCs w:val="24"/>
        </w:rPr>
        <w:t>The best place to</w:t>
      </w:r>
      <w:r w:rsidRPr="00B76A60">
        <w:rPr>
          <w:rFonts w:ascii="Times New Roman" w:hAnsi="Times New Roman" w:cs="Times New Roman"/>
          <w:sz w:val="24"/>
          <w:szCs w:val="24"/>
        </w:rPr>
        <w:t xml:space="preserve"> start is rejecting this Settlement.</w:t>
      </w:r>
      <w:r w:rsidRPr="00B76A60">
        <w:rPr>
          <w:rFonts w:ascii="Times New Roman" w:hAnsi="Times New Roman" w:cs="Times New Roman"/>
          <w:sz w:val="24"/>
          <w:szCs w:val="24"/>
        </w:rPr>
        <w:br/>
      </w:r>
    </w:p>
    <w:p w:rsidR="001667F0" w:rsidP="001667F0">
      <w:pPr>
        <w:autoSpaceDE w:val="0"/>
        <w:autoSpaceDN w:val="0"/>
        <w:adjustRightInd w:val="0"/>
        <w:spacing w:after="0" w:line="480" w:lineRule="auto"/>
        <w:ind w:firstLine="4320"/>
        <w:rPr>
          <w:rFonts w:ascii="Times New Roman" w:hAnsi="Times New Roman" w:cs="Times New Roman"/>
          <w:sz w:val="24"/>
          <w:szCs w:val="24"/>
        </w:rPr>
      </w:pPr>
      <w:r>
        <w:rPr>
          <w:rFonts w:ascii="Times New Roman" w:hAnsi="Times New Roman" w:cs="Times New Roman"/>
          <w:sz w:val="24"/>
          <w:szCs w:val="24"/>
        </w:rPr>
        <w:t>Respectfully submitted,</w:t>
      </w:r>
    </w:p>
    <w:p w:rsidR="001667F0" w:rsidRPr="00B76A60" w:rsidP="001667F0">
      <w:pPr>
        <w:autoSpaceDE w:val="0"/>
        <w:autoSpaceDN w:val="0"/>
        <w:adjustRightInd w:val="0"/>
        <w:spacing w:after="0" w:line="240" w:lineRule="auto"/>
        <w:ind w:firstLine="4320"/>
        <w:rPr>
          <w:rFonts w:ascii="Times New Roman" w:hAnsi="Times New Roman" w:cs="Times New Roman"/>
          <w:sz w:val="24"/>
          <w:szCs w:val="24"/>
        </w:rPr>
      </w:pPr>
    </w:p>
    <w:p w:rsidR="00C86495" w:rsidRPr="00B76A60" w:rsidP="00C86495">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BRUCE WESTON (0016973)</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OHIO CONSUMERS’ COUNSEL</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AD1C7E">
        <w:rPr>
          <w:rFonts w:ascii="Times New Roman" w:eastAsia="Times New Roman" w:hAnsi="Times New Roman" w:cs="Times New Roman"/>
          <w:i/>
          <w:sz w:val="24"/>
          <w:szCs w:val="24"/>
          <w:u w:val="single"/>
        </w:rPr>
        <w:t xml:space="preserve">/s/ </w:t>
      </w:r>
      <w:r w:rsidRPr="00AD1C7E">
        <w:rPr>
          <w:rFonts w:ascii="Times New Roman" w:eastAsia="Times New Roman" w:hAnsi="Times New Roman" w:cs="Times New Roman"/>
          <w:sz w:val="24"/>
          <w:szCs w:val="24"/>
          <w:u w:val="single"/>
        </w:rPr>
        <w:t>William  J. Michael</w:t>
      </w:r>
      <w:r w:rsidRPr="00B76A60">
        <w:rPr>
          <w:rFonts w:ascii="Times New Roman" w:eastAsia="Times New Roman" w:hAnsi="Times New Roman" w:cs="Times New Roman"/>
          <w:sz w:val="24"/>
          <w:szCs w:val="24"/>
        </w:rPr>
        <w:tab/>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William J. Michael, (0070921)</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Counsel of Record</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Kevin F. Moore (0089228)</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Ajay Kumar (0092208)</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Andrew Garver (PHV-10193-2017)</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Assistant Consumers’ Counsel</w:t>
      </w:r>
    </w:p>
    <w:p w:rsidR="00C86495" w:rsidRPr="00B76A60" w:rsidP="00C86495">
      <w:pPr>
        <w:tabs>
          <w:tab w:val="left" w:pos="4320"/>
        </w:tabs>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ab/>
      </w:r>
    </w:p>
    <w:p w:rsidR="00C86495" w:rsidRPr="00B76A60" w:rsidP="00C86495">
      <w:pPr>
        <w:spacing w:after="0" w:line="240" w:lineRule="auto"/>
        <w:ind w:left="4320"/>
        <w:rPr>
          <w:rFonts w:ascii="Times New Roman" w:eastAsia="Times New Roman" w:hAnsi="Times New Roman" w:cs="Times New Roman"/>
          <w:b/>
          <w:sz w:val="24"/>
          <w:szCs w:val="24"/>
        </w:rPr>
      </w:pPr>
      <w:r w:rsidRPr="00B76A60">
        <w:rPr>
          <w:rFonts w:ascii="Times New Roman" w:eastAsia="Times New Roman" w:hAnsi="Times New Roman" w:cs="Times New Roman"/>
          <w:b/>
          <w:sz w:val="24"/>
          <w:szCs w:val="24"/>
        </w:rPr>
        <w:t>Office of the Ohio Consumers’ Counsel</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10 West Broad Street, Suite 1800</w:t>
      </w:r>
    </w:p>
    <w:p w:rsidR="00C86495" w:rsidRPr="00B76A60" w:rsidP="00C86495">
      <w:pPr>
        <w:spacing w:after="0" w:line="240" w:lineRule="auto"/>
        <w:ind w:left="4320"/>
        <w:rPr>
          <w:rFonts w:ascii="Times New Roman" w:eastAsia="Times New Roman" w:hAnsi="Times New Roman" w:cs="Times New Roman"/>
          <w:b/>
          <w:sz w:val="24"/>
          <w:szCs w:val="24"/>
        </w:rPr>
      </w:pPr>
      <w:r w:rsidRPr="00B76A60">
        <w:rPr>
          <w:rFonts w:ascii="Times New Roman" w:eastAsia="Times New Roman" w:hAnsi="Times New Roman" w:cs="Times New Roman"/>
          <w:sz w:val="24"/>
          <w:szCs w:val="24"/>
        </w:rPr>
        <w:t>Columbus, Ohio 43215-3485</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[Michael] (614) 466-1291</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[Moore] (614) 387-2965</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[Kumar] (614) 466-1292</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sz w:val="24"/>
          <w:szCs w:val="24"/>
        </w:rPr>
        <w:t>Telephone: [Garver] (614) 466-9569</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william.michael@occ.ohio.gov</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kevin.moore@occ.ohio.gov</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ajay.kumar@occ.ohio.gov</w:t>
      </w:r>
    </w:p>
    <w:p w:rsidR="00C86495" w:rsidRPr="00B76A60" w:rsidP="00C86495">
      <w:pPr>
        <w:spacing w:after="0" w:line="240" w:lineRule="auto"/>
        <w:ind w:left="4320"/>
        <w:rPr>
          <w:rFonts w:ascii="Times New Roman" w:eastAsia="Times New Roman" w:hAnsi="Times New Roman" w:cs="Times New Roman"/>
          <w:sz w:val="24"/>
          <w:szCs w:val="24"/>
        </w:rPr>
      </w:pPr>
      <w:r w:rsidRPr="00B76A60">
        <w:rPr>
          <w:rFonts w:ascii="Times New Roman" w:eastAsia="Times New Roman" w:hAnsi="Times New Roman" w:cs="Times New Roman"/>
          <w:color w:val="0000FF" w:themeColor="hyperlink"/>
          <w:sz w:val="24"/>
          <w:szCs w:val="24"/>
          <w:u w:val="single"/>
        </w:rPr>
        <w:t>andrew.garver@occ.ohio.gov</w:t>
      </w:r>
    </w:p>
    <w:p w:rsidR="005A0C60" w:rsidRPr="00B76A60" w:rsidP="005A0C60">
      <w:pPr>
        <w:spacing w:after="0" w:line="240" w:lineRule="auto"/>
        <w:rPr>
          <w:rFonts w:ascii="Times New Roman" w:eastAsia="Times New Roman" w:hAnsi="Times New Roman" w:cs="Times New Roman"/>
          <w:sz w:val="24"/>
          <w:szCs w:val="24"/>
        </w:rPr>
        <w:sectPr w:rsidSect="00070034">
          <w:footerReference w:type="default" r:id="rId7"/>
          <w:pgSz w:w="12240" w:h="15840"/>
          <w:pgMar w:top="1440" w:right="1800" w:bottom="1440" w:left="1800" w:header="720" w:footer="720" w:gutter="0"/>
          <w:pgNumType w:start="2"/>
          <w:cols w:space="720"/>
          <w:docGrid w:linePitch="360"/>
        </w:sectPr>
      </w:pP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r>
      <w:r w:rsidRPr="00B76A60">
        <w:rPr>
          <w:rFonts w:ascii="Times New Roman" w:eastAsia="Times New Roman" w:hAnsi="Times New Roman" w:cs="Times New Roman"/>
          <w:sz w:val="24"/>
          <w:szCs w:val="24"/>
        </w:rPr>
        <w:tab/>
        <w:t xml:space="preserve">            (All will accept service via email)</w:t>
      </w:r>
    </w:p>
    <w:p w:rsidR="00C86495" w:rsidRPr="00B76A60" w:rsidP="005A0C60">
      <w:pPr>
        <w:spacing w:after="0" w:line="240" w:lineRule="auto"/>
        <w:jc w:val="center"/>
        <w:rPr>
          <w:rFonts w:ascii="Times New Roman" w:eastAsia="Calibri" w:hAnsi="Times New Roman" w:cs="Times New Roman"/>
          <w:b/>
          <w:bCs/>
          <w:sz w:val="24"/>
          <w:szCs w:val="24"/>
          <w:u w:val="single"/>
        </w:rPr>
      </w:pPr>
      <w:r w:rsidRPr="00B76A60">
        <w:rPr>
          <w:rFonts w:ascii="Times New Roman" w:eastAsia="Calibri" w:hAnsi="Times New Roman" w:cs="Times New Roman"/>
          <w:b/>
          <w:bCs/>
          <w:sz w:val="24"/>
          <w:szCs w:val="24"/>
          <w:u w:val="single"/>
        </w:rPr>
        <w:t>CERTIFICATE OF SERVICE</w:t>
      </w:r>
    </w:p>
    <w:p w:rsidR="00C86495" w:rsidRPr="00B76A60" w:rsidP="0071101E">
      <w:pPr>
        <w:spacing w:after="0" w:line="480" w:lineRule="atLeast"/>
        <w:ind w:firstLine="720"/>
        <w:rPr>
          <w:rFonts w:ascii="Times New Roman" w:eastAsia="Calibri" w:hAnsi="Times New Roman" w:cs="Times New Roman"/>
          <w:sz w:val="24"/>
          <w:szCs w:val="24"/>
        </w:rPr>
      </w:pPr>
      <w:r w:rsidRPr="00B76A60">
        <w:rPr>
          <w:rFonts w:ascii="Times New Roman" w:eastAsia="Calibri" w:hAnsi="Times New Roman" w:cs="Times New Roman"/>
          <w:sz w:val="24"/>
          <w:szCs w:val="24"/>
        </w:rPr>
        <w:t>I hereby certify that a copy of this Initial Post-Hearing Brief was served on the persons stated below via electronic service, this 15</w:t>
      </w:r>
      <w:r w:rsidRPr="00B76A60">
        <w:rPr>
          <w:rFonts w:ascii="Times New Roman" w:eastAsia="Calibri" w:hAnsi="Times New Roman" w:cs="Times New Roman"/>
          <w:sz w:val="24"/>
          <w:szCs w:val="24"/>
          <w:vertAlign w:val="superscript"/>
        </w:rPr>
        <w:t>th</w:t>
      </w:r>
      <w:r w:rsidRPr="00B76A60">
        <w:rPr>
          <w:rFonts w:ascii="Times New Roman" w:eastAsia="Calibri" w:hAnsi="Times New Roman" w:cs="Times New Roman"/>
          <w:sz w:val="24"/>
          <w:szCs w:val="24"/>
        </w:rPr>
        <w:t xml:space="preserve"> day of May 2017.</w:t>
      </w:r>
    </w:p>
    <w:p w:rsidR="00C86495" w:rsidRPr="00B76A60" w:rsidP="00C86495">
      <w:pPr>
        <w:spacing w:after="0" w:line="240" w:lineRule="auto"/>
        <w:rPr>
          <w:rFonts w:ascii="Times New Roman" w:eastAsia="Calibri" w:hAnsi="Times New Roman" w:cs="Times New Roman"/>
          <w:sz w:val="24"/>
          <w:szCs w:val="24"/>
        </w:rPr>
      </w:pPr>
    </w:p>
    <w:p w:rsidR="00C86495" w:rsidRPr="00AD1C7E" w:rsidP="00C86495">
      <w:pPr>
        <w:tabs>
          <w:tab w:val="left" w:pos="4320"/>
        </w:tabs>
        <w:spacing w:after="0" w:line="240" w:lineRule="auto"/>
        <w:rPr>
          <w:rFonts w:ascii="Times New Roman" w:eastAsia="Calibri" w:hAnsi="Times New Roman" w:cs="Times New Roman"/>
          <w:iCs/>
          <w:sz w:val="24"/>
          <w:szCs w:val="24"/>
          <w:u w:val="single"/>
        </w:rPr>
      </w:pPr>
      <w:r w:rsidRPr="00B76A60">
        <w:rPr>
          <w:rFonts w:ascii="Times New Roman" w:eastAsia="Calibri" w:hAnsi="Times New Roman" w:cs="Times New Roman"/>
          <w:iCs/>
          <w:sz w:val="24"/>
          <w:szCs w:val="24"/>
        </w:rPr>
        <w:tab/>
      </w:r>
      <w:r w:rsidRPr="00B76A60">
        <w:rPr>
          <w:rFonts w:ascii="Times New Roman" w:eastAsia="Calibri" w:hAnsi="Times New Roman" w:cs="Times New Roman"/>
          <w:iCs/>
          <w:sz w:val="24"/>
          <w:szCs w:val="24"/>
        </w:rPr>
        <w:tab/>
      </w:r>
      <w:r w:rsidRPr="00AD1C7E">
        <w:rPr>
          <w:rFonts w:ascii="Times New Roman" w:eastAsia="Calibri" w:hAnsi="Times New Roman" w:cs="Times New Roman"/>
          <w:iCs/>
          <w:sz w:val="24"/>
          <w:szCs w:val="24"/>
          <w:u w:val="single"/>
        </w:rPr>
        <w:t>/s/ William J. Michael</w:t>
      </w:r>
    </w:p>
    <w:p w:rsidR="00C86495" w:rsidRPr="00B76A60" w:rsidP="00C86495">
      <w:pPr>
        <w:tabs>
          <w:tab w:val="left" w:pos="4320"/>
        </w:tabs>
        <w:spacing w:after="0" w:line="240" w:lineRule="auto"/>
        <w:rPr>
          <w:rFonts w:ascii="Times New Roman" w:eastAsia="Calibri" w:hAnsi="Times New Roman" w:cs="Times New Roman"/>
          <w:iCs/>
          <w:sz w:val="24"/>
          <w:szCs w:val="24"/>
        </w:rPr>
      </w:pPr>
      <w:r w:rsidRPr="00B76A60">
        <w:rPr>
          <w:rFonts w:ascii="Times New Roman" w:eastAsia="Calibri" w:hAnsi="Times New Roman" w:cs="Times New Roman"/>
          <w:iCs/>
          <w:sz w:val="24"/>
          <w:szCs w:val="24"/>
        </w:rPr>
        <w:tab/>
      </w:r>
      <w:r w:rsidRPr="00B76A60">
        <w:rPr>
          <w:rFonts w:ascii="Times New Roman" w:eastAsia="Calibri" w:hAnsi="Times New Roman" w:cs="Times New Roman"/>
          <w:iCs/>
          <w:sz w:val="24"/>
          <w:szCs w:val="24"/>
        </w:rPr>
        <w:tab/>
        <w:t xml:space="preserve">William J. Michael </w:t>
      </w:r>
    </w:p>
    <w:p w:rsidR="00C86495" w:rsidRPr="00B76A60" w:rsidP="00C86495">
      <w:pPr>
        <w:tabs>
          <w:tab w:val="left" w:pos="4320"/>
        </w:tabs>
        <w:spacing w:after="0" w:line="240" w:lineRule="auto"/>
        <w:rPr>
          <w:rFonts w:ascii="Times New Roman" w:eastAsia="Calibri" w:hAnsi="Times New Roman" w:cs="Times New Roman"/>
          <w:iCs/>
          <w:sz w:val="24"/>
          <w:szCs w:val="24"/>
        </w:rPr>
      </w:pPr>
      <w:r w:rsidRPr="00B76A60">
        <w:rPr>
          <w:rFonts w:ascii="Times New Roman" w:eastAsia="Calibri" w:hAnsi="Times New Roman" w:cs="Times New Roman"/>
          <w:iCs/>
          <w:sz w:val="24"/>
          <w:szCs w:val="24"/>
        </w:rPr>
        <w:tab/>
      </w:r>
      <w:r w:rsidRPr="00B76A60">
        <w:rPr>
          <w:rFonts w:ascii="Times New Roman" w:eastAsia="Calibri" w:hAnsi="Times New Roman" w:cs="Times New Roman"/>
          <w:iCs/>
          <w:sz w:val="24"/>
          <w:szCs w:val="24"/>
        </w:rPr>
        <w:tab/>
        <w:t>Assistant Consumers’ Counsel</w:t>
      </w:r>
    </w:p>
    <w:p w:rsidR="00C86495" w:rsidRPr="00B76A60" w:rsidP="00C86495">
      <w:pPr>
        <w:spacing w:after="0" w:line="240" w:lineRule="auto"/>
        <w:rPr>
          <w:rFonts w:ascii="Times New Roman" w:eastAsia="Times New Roman" w:hAnsi="Times New Roman" w:cs="Times New Roman"/>
          <w:sz w:val="24"/>
          <w:szCs w:val="24"/>
        </w:rPr>
      </w:pPr>
    </w:p>
    <w:p w:rsidR="00C86495" w:rsidRPr="00B76A60" w:rsidP="00C86495">
      <w:pPr>
        <w:spacing w:after="0" w:line="240" w:lineRule="auto"/>
        <w:jc w:val="center"/>
        <w:rPr>
          <w:rFonts w:ascii="Times New Roman" w:eastAsia="Times New Roman" w:hAnsi="Times New Roman" w:cs="Times New Roman"/>
          <w:b/>
          <w:bCs/>
          <w:sz w:val="24"/>
          <w:szCs w:val="24"/>
          <w:u w:val="single"/>
        </w:rPr>
      </w:pPr>
      <w:r w:rsidRPr="00B76A60">
        <w:rPr>
          <w:rFonts w:ascii="Times New Roman" w:eastAsia="Times New Roman" w:hAnsi="Times New Roman" w:cs="Times New Roman"/>
          <w:b/>
          <w:bCs/>
          <w:sz w:val="24"/>
          <w:szCs w:val="24"/>
          <w:u w:val="single"/>
        </w:rPr>
        <w:t>SERVICE LIST</w:t>
      </w:r>
    </w:p>
    <w:p w:rsidR="00C86495" w:rsidRPr="00B76A60" w:rsidP="00C86495">
      <w:pPr>
        <w:spacing w:after="0" w:line="240" w:lineRule="auto"/>
        <w:jc w:val="center"/>
        <w:rPr>
          <w:rFonts w:ascii="Times New Roman" w:eastAsia="Times New Roman" w:hAnsi="Times New Roman" w:cs="Times New Roman"/>
          <w:b/>
          <w:bCs/>
          <w:sz w:val="1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Tr="00865D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william.wright@ohioattorneygeneral.gov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dboehm@bkllawfirm.com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mkurtz@bkllawfirm.com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jkylercohn@bkllawfirm.com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kboehm@bkllawfirm.com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fdarr@mwncmh.com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mpritchard@mwncmh.com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mjsettineri@vorys.com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smhoward@vorys.com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glpetrucci@vorys.com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ibatikov@vorys.com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wasieck@vorys.com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tdougherty@theOEC.org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cmooney@ohiopartners.org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joliker@igsenergy.com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mswhite@igsenergy.com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ebetterton@igsenergy.com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Slesser@calfee.com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jlang@calfee.com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talexander@calfee.com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mkeaney@calfee.com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slesser@calfee.com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jlang@calfee.com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amy.spiller@duke-energy.com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elizabeth.watts@duke-energy.com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jeanne.kingery@duke-energy.com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gthomas@gtpowergroup.com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stheodore@epsa.org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laurac@chappelleconsulting.net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todonnell@dickinsonwright.com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sz w:val="24"/>
                <w:szCs w:val="24"/>
              </w:rPr>
            </w:pPr>
            <w:r w:rsidRPr="00B76A60">
              <w:rPr>
                <w:rFonts w:eastAsia="Calibri"/>
                <w:sz w:val="24"/>
                <w:szCs w:val="24"/>
              </w:rPr>
              <w:t xml:space="preserve">rseiler@dickinsonwright.com </w:t>
            </w:r>
          </w:p>
          <w:p w:rsidR="00402087" w:rsidRPr="00B76A60" w:rsidP="00402087">
            <w:pPr>
              <w:autoSpaceDE w:val="0"/>
              <w:autoSpaceDN w:val="0"/>
              <w:adjustRightInd w:val="0"/>
              <w:rPr>
                <w:rFonts w:eastAsia="Calibri"/>
                <w:szCs w:val="24"/>
              </w:rPr>
            </w:pP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Attorney Examiners:</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gregory.price@puc.state.oh.us </w:t>
            </w:r>
            <w:r w:rsidRPr="00B76A60">
              <w:rPr>
                <w:rFonts w:eastAsia="Calibri"/>
                <w:color w:val="0000FF"/>
                <w:sz w:val="24"/>
                <w:szCs w:val="24"/>
              </w:rPr>
              <w:t xml:space="preserve"> </w:t>
            </w:r>
          </w:p>
          <w:p w:rsidR="00402087" w:rsidRPr="00B76A60" w:rsidP="00402087">
            <w:pPr>
              <w:rPr>
                <w:sz w:val="24"/>
                <w:szCs w:val="24"/>
              </w:rPr>
            </w:pPr>
            <w:r w:rsidRPr="00B76A60">
              <w:rPr>
                <w:rFonts w:eastAsia="Calibri"/>
                <w:sz w:val="24"/>
                <w:szCs w:val="24"/>
              </w:rPr>
              <w:t xml:space="preserve">bryce.mckenney@puc.state.oh.us </w:t>
            </w:r>
            <w:r w:rsidRPr="00B76A60">
              <w:rPr>
                <w:rFonts w:eastAsia="Calibri"/>
                <w:color w:val="0000FF"/>
                <w:sz w:val="24"/>
                <w:szCs w:val="24"/>
              </w:rPr>
              <w:t xml:space="preserve"> </w:t>
            </w:r>
          </w:p>
        </w:tc>
        <w:tc>
          <w:tcPr>
            <w:tcW w:w="4428" w:type="dxa"/>
          </w:tcPr>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michael.schuler@aes.com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cfaruki@ficlaw.com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djireland@ficlaw.com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jsharkey@ficlaw.com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mfleisher@elpc.org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kfield@elpc.org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jeffrey.mayes@monitoringanalytics.com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evelyn.robinson@pjm.com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schmidt@sppgrp.com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rsahli@columbus.rr.com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tony.mendoza@sierraclub.org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kristin.henry@sierraclub.org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gpoulos@enernoc.com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mdortch@kravitzllc.com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rparsons@kravitzllc.com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Bojko@carpenterlipps.com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perko@carpenterlipps.com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Ghiloni@carpenterlipps.com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paul@carpenterlipps.com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sechler@carpenterlipps.com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rick.sites@ohiohospitals.org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mwarnock@bricker.com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dparram@bricker.com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dborchers@bricker.com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lhawrot@spilmanlaw.com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dwilliamson@spilmanlaw.com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charris@spilmanlaw.com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sz w:val="24"/>
                <w:szCs w:val="24"/>
              </w:rPr>
            </w:pPr>
            <w:r w:rsidRPr="00B76A60">
              <w:rPr>
                <w:rFonts w:eastAsia="Calibri"/>
                <w:sz w:val="24"/>
                <w:szCs w:val="24"/>
              </w:rPr>
              <w:t xml:space="preserve">ejacobs@ablelaw.org </w:t>
            </w:r>
            <w:r w:rsidRPr="00B76A60">
              <w:rPr>
                <w:rFonts w:eastAsia="Calibri"/>
                <w:color w:val="0000FF"/>
                <w:sz w:val="24"/>
                <w:szCs w:val="24"/>
              </w:rPr>
              <w:t xml:space="preserve"> </w:t>
            </w:r>
            <w:r w:rsidRPr="00B76A60">
              <w:rPr>
                <w:rFonts w:eastAsia="Calibri"/>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cpirik@dickinsonwright.com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wvorys@dickinsonwright.com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jdoll@djflawfirm.com </w:t>
            </w:r>
            <w:r w:rsidRPr="00B76A60">
              <w:rPr>
                <w:rFonts w:eastAsia="Calibri"/>
                <w:color w:val="0000FF"/>
                <w:sz w:val="24"/>
                <w:szCs w:val="24"/>
              </w:rPr>
              <w:t xml:space="preserve"> </w:t>
            </w:r>
          </w:p>
          <w:p w:rsidR="00402087" w:rsidRPr="00B76A60" w:rsidP="00402087">
            <w:pPr>
              <w:autoSpaceDE w:val="0"/>
              <w:autoSpaceDN w:val="0"/>
              <w:adjustRightInd w:val="0"/>
              <w:rPr>
                <w:rFonts w:eastAsia="Calibri"/>
                <w:color w:val="0000FF"/>
                <w:sz w:val="24"/>
                <w:szCs w:val="24"/>
              </w:rPr>
            </w:pPr>
            <w:r w:rsidRPr="00B76A60">
              <w:rPr>
                <w:rFonts w:eastAsia="Calibri"/>
                <w:sz w:val="24"/>
                <w:szCs w:val="24"/>
              </w:rPr>
              <w:t xml:space="preserve">mcrawford@djflawfirm.com </w:t>
            </w:r>
            <w:r w:rsidRPr="00B76A60">
              <w:rPr>
                <w:rFonts w:eastAsia="Calibri"/>
                <w:color w:val="0000FF"/>
                <w:sz w:val="24"/>
                <w:szCs w:val="24"/>
              </w:rPr>
              <w:t xml:space="preserve"> </w:t>
            </w:r>
          </w:p>
          <w:p w:rsidR="00402087" w:rsidRPr="00B76A60">
            <w:pPr>
              <w:rPr>
                <w:sz w:val="24"/>
                <w:szCs w:val="24"/>
              </w:rPr>
            </w:pPr>
          </w:p>
        </w:tc>
      </w:tr>
    </w:tbl>
    <w:p w:rsidR="00C86495" w:rsidRPr="00B76A60">
      <w:pPr>
        <w:rPr>
          <w:rFonts w:ascii="Times New Roman" w:hAnsi="Times New Roman" w:cs="Times New Roman"/>
          <w:sz w:val="24"/>
          <w:szCs w:val="24"/>
        </w:rPr>
      </w:pPr>
    </w:p>
    <w:sectPr w:rsidSect="00EE3469">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3376504"/>
      <w:docPartObj>
        <w:docPartGallery w:val="Page Numbers (Bottom of Page)"/>
        <w:docPartUnique/>
      </w:docPartObj>
    </w:sdtPr>
    <w:sdtEndPr>
      <w:rPr>
        <w:rFonts w:ascii="Times New Roman" w:hAnsi="Times New Roman" w:cs="Times New Roman"/>
        <w:noProof/>
        <w:sz w:val="24"/>
      </w:rPr>
    </w:sdtEndPr>
    <w:sdtContent>
      <w:p w:rsidR="00831B8B" w:rsidRPr="006706FC">
        <w:pPr>
          <w:pStyle w:val="Footer"/>
          <w:jc w:val="center"/>
          <w:rPr>
            <w:rFonts w:ascii="Times New Roman" w:hAnsi="Times New Roman" w:cs="Times New Roman"/>
            <w:sz w:val="24"/>
          </w:rPr>
        </w:pPr>
        <w:r w:rsidRPr="006706FC">
          <w:rPr>
            <w:rFonts w:ascii="Times New Roman" w:hAnsi="Times New Roman" w:cs="Times New Roman"/>
            <w:sz w:val="24"/>
          </w:rPr>
          <w:fldChar w:fldCharType="begin"/>
        </w:r>
        <w:r w:rsidRPr="006706FC">
          <w:rPr>
            <w:rFonts w:ascii="Times New Roman" w:hAnsi="Times New Roman" w:cs="Times New Roman"/>
            <w:sz w:val="24"/>
          </w:rPr>
          <w:instrText xml:space="preserve"> PAGE   \* MERGEFORMAT </w:instrText>
        </w:r>
        <w:r w:rsidRPr="006706FC">
          <w:rPr>
            <w:rFonts w:ascii="Times New Roman" w:hAnsi="Times New Roman" w:cs="Times New Roman"/>
            <w:sz w:val="24"/>
          </w:rPr>
          <w:fldChar w:fldCharType="separate"/>
        </w:r>
        <w:r w:rsidR="00F83D93">
          <w:rPr>
            <w:rFonts w:ascii="Times New Roman" w:hAnsi="Times New Roman" w:cs="Times New Roman"/>
            <w:noProof/>
            <w:sz w:val="24"/>
          </w:rPr>
          <w:t>i</w:t>
        </w:r>
        <w:r w:rsidRPr="006706FC">
          <w:rPr>
            <w:rFonts w:ascii="Times New Roman" w:hAnsi="Times New Roman" w:cs="Times New Roman"/>
            <w:noProof/>
            <w:sz w:val="24"/>
          </w:rPr>
          <w:fldChar w:fldCharType="end"/>
        </w:r>
      </w:p>
    </w:sdtContent>
  </w:sdt>
  <w:p w:rsidR="00831B8B" w:rsidRPr="00670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4770332"/>
      <w:docPartObj>
        <w:docPartGallery w:val="Page Numbers (Bottom of Page)"/>
        <w:docPartUnique/>
      </w:docPartObj>
    </w:sdtPr>
    <w:sdtEndPr>
      <w:rPr>
        <w:noProof/>
      </w:rPr>
    </w:sdtEndPr>
    <w:sdtContent>
      <w:p w:rsidR="001667F0">
        <w:pPr>
          <w:pStyle w:val="Footer"/>
          <w:jc w:val="center"/>
        </w:pPr>
      </w:p>
    </w:sdtContent>
  </w:sdt>
  <w:p w:rsidR="00831B8B" w:rsidRPr="006706FC">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8299982"/>
      <w:docPartObj>
        <w:docPartGallery w:val="Page Numbers (Bottom of Page)"/>
        <w:docPartUnique/>
      </w:docPartObj>
    </w:sdtPr>
    <w:sdtEndPr>
      <w:rPr>
        <w:rFonts w:ascii="Times New Roman" w:hAnsi="Times New Roman" w:cs="Times New Roman"/>
        <w:noProof/>
        <w:sz w:val="24"/>
      </w:rPr>
    </w:sdtEndPr>
    <w:sdtContent>
      <w:p w:rsidR="001667F0" w:rsidRPr="001667F0">
        <w:pPr>
          <w:pStyle w:val="Footer"/>
          <w:jc w:val="center"/>
          <w:rPr>
            <w:rFonts w:ascii="Times New Roman" w:hAnsi="Times New Roman" w:cs="Times New Roman"/>
            <w:sz w:val="24"/>
          </w:rPr>
        </w:pPr>
        <w:r w:rsidRPr="001667F0">
          <w:rPr>
            <w:rFonts w:ascii="Times New Roman" w:hAnsi="Times New Roman" w:cs="Times New Roman"/>
            <w:sz w:val="24"/>
          </w:rPr>
          <w:fldChar w:fldCharType="begin"/>
        </w:r>
        <w:r w:rsidRPr="001667F0">
          <w:rPr>
            <w:rFonts w:ascii="Times New Roman" w:hAnsi="Times New Roman" w:cs="Times New Roman"/>
            <w:sz w:val="24"/>
          </w:rPr>
          <w:instrText xml:space="preserve"> PAGE   \* MERGEFORMAT </w:instrText>
        </w:r>
        <w:r w:rsidRPr="001667F0">
          <w:rPr>
            <w:rFonts w:ascii="Times New Roman" w:hAnsi="Times New Roman" w:cs="Times New Roman"/>
            <w:sz w:val="24"/>
          </w:rPr>
          <w:fldChar w:fldCharType="separate"/>
        </w:r>
        <w:r>
          <w:rPr>
            <w:rFonts w:ascii="Times New Roman" w:hAnsi="Times New Roman" w:cs="Times New Roman"/>
            <w:noProof/>
            <w:sz w:val="24"/>
          </w:rPr>
          <w:t>24</w:t>
        </w:r>
        <w:r w:rsidRPr="001667F0">
          <w:rPr>
            <w:rFonts w:ascii="Times New Roman" w:hAnsi="Times New Roman" w:cs="Times New Roman"/>
            <w:noProof/>
            <w:sz w:val="24"/>
          </w:rPr>
          <w:fldChar w:fldCharType="end"/>
        </w:r>
      </w:p>
    </w:sdtContent>
  </w:sdt>
  <w:p w:rsidR="001667F0" w:rsidRPr="006706FC">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B8B" w:rsidRPr="006706FC">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1B8B" w:rsidP="00D62829">
      <w:pPr>
        <w:spacing w:after="0" w:line="240" w:lineRule="auto"/>
      </w:pPr>
      <w:r>
        <w:separator/>
      </w:r>
    </w:p>
  </w:footnote>
  <w:footnote w:type="continuationSeparator" w:id="1">
    <w:p w:rsidR="00831B8B" w:rsidP="00D62829">
      <w:pPr>
        <w:spacing w:after="0" w:line="240" w:lineRule="auto"/>
      </w:pPr>
      <w:r>
        <w:continuationSeparator/>
      </w:r>
    </w:p>
  </w:footnote>
  <w:footnote w:id="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The Dayton Power and Light Company’s (“DP&amp;L”) Initial Post-Hearing Brief Public Version (“DP&amp;L Brief”) at 44 (italics added).  This is not an isolated admission.  DP&amp;L’s Brief (consistent with hearing testimony) is replete with confirmations that </w:t>
      </w:r>
      <w:r w:rsidRPr="001667F0">
        <w:rPr>
          <w:rFonts w:ascii="Times New Roman" w:hAnsi="Times New Roman" w:cs="Times New Roman"/>
          <w:i/>
        </w:rPr>
        <w:t>all</w:t>
      </w:r>
      <w:r w:rsidRPr="001667F0">
        <w:rPr>
          <w:rFonts w:ascii="Times New Roman" w:hAnsi="Times New Roman" w:cs="Times New Roman"/>
        </w:rPr>
        <w:t xml:space="preserve"> DMR funds are needed to pay-off generation debt and will </w:t>
      </w:r>
      <w:r w:rsidRPr="001667F0">
        <w:rPr>
          <w:rFonts w:ascii="Times New Roman" w:hAnsi="Times New Roman" w:cs="Times New Roman"/>
          <w:i/>
        </w:rPr>
        <w:t>not</w:t>
      </w:r>
      <w:r w:rsidRPr="001667F0">
        <w:rPr>
          <w:rFonts w:ascii="Times New Roman" w:hAnsi="Times New Roman" w:cs="Times New Roman"/>
        </w:rPr>
        <w:t xml:space="preserve"> go to distribution modernization.  See, e.g., id. (“As demonstrated at length above, DP&amp;L needs </w:t>
      </w:r>
      <w:r w:rsidRPr="001667F0">
        <w:rPr>
          <w:rFonts w:ascii="Times New Roman" w:hAnsi="Times New Roman" w:cs="Times New Roman"/>
          <w:u w:val="single"/>
        </w:rPr>
        <w:t>all</w:t>
      </w:r>
      <w:r w:rsidRPr="001667F0">
        <w:rPr>
          <w:rFonts w:ascii="Times New Roman" w:hAnsi="Times New Roman" w:cs="Times New Roman"/>
        </w:rPr>
        <w:t xml:space="preserve"> of the DMR funds to pay down debt so that DP&amp;L can maintain its financial integrity . . . .”) (underline in original); id. at 45 (DMR funds are used for “debt reduction.  They are going straight to debt reduction.”) (quoting from DP&amp;L Witness Malinak’s hearing testimony, Hearing Transcript, Vol. I at 226); id. at 45 (“the full $105 million DMR – including that $36 million [saved from AES foregoing collecting the tax sharing liability from DPL, Inc.] – [will be used] to pay down debt.”); Id. (the “change in the corporate tax rate, however, would have no effect on the need to use the </w:t>
      </w:r>
      <w:r w:rsidRPr="001667F0">
        <w:rPr>
          <w:rFonts w:ascii="Times New Roman" w:hAnsi="Times New Roman" w:cs="Times New Roman"/>
          <w:i/>
        </w:rPr>
        <w:t xml:space="preserve">full </w:t>
      </w:r>
      <w:r w:rsidRPr="001667F0">
        <w:rPr>
          <w:rFonts w:ascii="Times New Roman" w:hAnsi="Times New Roman" w:cs="Times New Roman"/>
        </w:rPr>
        <w:t xml:space="preserve">DMR to pay down debt.”) (citing to DP&amp;L Witness Jackson’s hearing testimony, Hearing Transcript, Vol. I at 78-79) (italics added); id. at 45 (“the Stipulation would still establish that </w:t>
      </w:r>
      <w:r w:rsidRPr="001667F0">
        <w:rPr>
          <w:rFonts w:ascii="Times New Roman" w:hAnsi="Times New Roman" w:cs="Times New Roman"/>
          <w:i/>
        </w:rPr>
        <w:t>the full $105 million DMR</w:t>
      </w:r>
      <w:r w:rsidRPr="001667F0">
        <w:rPr>
          <w:rFonts w:ascii="Times New Roman" w:hAnsi="Times New Roman" w:cs="Times New Roman"/>
        </w:rPr>
        <w:t xml:space="preserve"> – including that $16 million [saved if the corporate tax rate were lowered] – </w:t>
      </w:r>
      <w:r w:rsidRPr="001667F0">
        <w:rPr>
          <w:rFonts w:ascii="Times New Roman" w:hAnsi="Times New Roman" w:cs="Times New Roman"/>
          <w:i/>
        </w:rPr>
        <w:t>would be used to pay down debt</w:t>
      </w:r>
      <w:r w:rsidRPr="001667F0">
        <w:rPr>
          <w:rFonts w:ascii="Times New Roman" w:hAnsi="Times New Roman" w:cs="Times New Roman"/>
        </w:rPr>
        <w:t xml:space="preserve">.”) (citing Stipulation) (italics added); id. at 46 (“DP&amp;L thus needs and </w:t>
      </w:r>
      <w:r w:rsidRPr="001667F0">
        <w:rPr>
          <w:rFonts w:ascii="Times New Roman" w:hAnsi="Times New Roman" w:cs="Times New Roman"/>
          <w:i/>
        </w:rPr>
        <w:t>will use the full $105 million DMR</w:t>
      </w:r>
      <w:r w:rsidRPr="001667F0">
        <w:rPr>
          <w:rFonts w:ascii="Times New Roman" w:hAnsi="Times New Roman" w:cs="Times New Roman"/>
        </w:rPr>
        <w:t xml:space="preserve"> </w:t>
      </w:r>
      <w:r w:rsidRPr="001667F0">
        <w:rPr>
          <w:rFonts w:ascii="Times New Roman" w:hAnsi="Times New Roman" w:cs="Times New Roman"/>
          <w:i/>
        </w:rPr>
        <w:t>to pay debt</w:t>
      </w:r>
      <w:r w:rsidRPr="001667F0">
        <w:rPr>
          <w:rFonts w:ascii="Times New Roman" w:hAnsi="Times New Roman" w:cs="Times New Roman"/>
        </w:rPr>
        <w:t xml:space="preserve">, regardless of whether the corporate tax rate is 35%, 15%, or some other number.”) (citing Malinak and Jackson hearing testimony, Hearing Transcript, Vol. I at 78-79; 226) (italics added).   </w:t>
      </w:r>
    </w:p>
  </w:footnote>
  <w:footnote w:id="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t>
      </w:r>
      <w:r w:rsidRPr="001667F0">
        <w:rPr>
          <w:rFonts w:ascii="Times New Roman" w:hAnsi="Times New Roman" w:cs="Times New Roman"/>
          <w:i/>
        </w:rPr>
        <w:t>In re Application of Columbus Southern Power Co.</w:t>
      </w:r>
      <w:r w:rsidRPr="001667F0">
        <w:rPr>
          <w:rFonts w:ascii="Times New Roman" w:hAnsi="Times New Roman" w:cs="Times New Roman"/>
        </w:rPr>
        <w:t xml:space="preserve">, 147 Ohio St. 3d 439 (2016); </w:t>
      </w:r>
      <w:r w:rsidRPr="001667F0">
        <w:rPr>
          <w:rFonts w:ascii="Times New Roman" w:hAnsi="Times New Roman" w:cs="Times New Roman"/>
          <w:i/>
        </w:rPr>
        <w:t>In re Dayton Power &amp; Light Co.</w:t>
      </w:r>
      <w:r w:rsidRPr="001667F0">
        <w:rPr>
          <w:rFonts w:ascii="Times New Roman" w:hAnsi="Times New Roman" w:cs="Times New Roman"/>
        </w:rPr>
        <w:t>, 147 Ohio St. 3d 166 (2016).</w:t>
      </w:r>
    </w:p>
  </w:footnote>
  <w:footnote w:id="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w:t>
      </w:r>
    </w:p>
  </w:footnote>
  <w:footnote w:id="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OCC’s Initial Post-Hearing Brief at 12-16.</w:t>
      </w:r>
    </w:p>
  </w:footnote>
  <w:footnote w:id="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at 13.</w:t>
      </w:r>
    </w:p>
  </w:footnote>
  <w:footnote w:id="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e.g., </w:t>
      </w:r>
      <w:r w:rsidRPr="001667F0">
        <w:rPr>
          <w:rFonts w:ascii="Times New Roman" w:hAnsi="Times New Roman" w:cs="Times New Roman"/>
          <w:i/>
        </w:rPr>
        <w:t>Tongren v. PUC</w:t>
      </w:r>
      <w:r w:rsidRPr="001667F0">
        <w:rPr>
          <w:rFonts w:ascii="Times New Roman" w:hAnsi="Times New Roman" w:cs="Times New Roman"/>
        </w:rPr>
        <w:t>, 85 Ohio St. 3d 87 (1999); see also R.C. §4903.09.</w:t>
      </w:r>
    </w:p>
  </w:footnote>
  <w:footnote w:id="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w:t>
      </w:r>
      <w:r w:rsidRPr="001667F0">
        <w:rPr>
          <w:rFonts w:ascii="Times New Roman" w:hAnsi="Times New Roman" w:cs="Times New Roman"/>
          <w:i/>
        </w:rPr>
        <w:t>In the Matter of the Application of the AES Corporation</w:t>
      </w:r>
      <w:r w:rsidRPr="001667F0">
        <w:rPr>
          <w:rFonts w:ascii="Times New Roman" w:hAnsi="Times New Roman" w:cs="Times New Roman"/>
        </w:rPr>
        <w:t>, Case No. 11-3002-EL-MER, Finding and Order at 9 (November 22, 2011) (“Merger Order”); see also OCC’s Initial Post-Hearing Brief at 27-28.</w:t>
      </w:r>
    </w:p>
  </w:footnote>
  <w:footnote w:id="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w:t>
      </w:r>
      <w:r w:rsidRPr="001667F0">
        <w:rPr>
          <w:rFonts w:ascii="Times New Roman" w:hAnsi="Times New Roman" w:cs="Times New Roman"/>
          <w:i/>
        </w:rPr>
        <w:t>Consumers’ Counsel v. PUC</w:t>
      </w:r>
      <w:r w:rsidRPr="001667F0">
        <w:rPr>
          <w:rFonts w:ascii="Times New Roman" w:hAnsi="Times New Roman" w:cs="Times New Roman"/>
        </w:rPr>
        <w:t xml:space="preserve">, 64 Ohio St. 3d 123 (1992). </w:t>
      </w:r>
    </w:p>
  </w:footnote>
  <w:footnote w:id="1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R.C. 4928.143(C)(1).</w:t>
      </w:r>
    </w:p>
  </w:footnote>
  <w:footnote w:id="1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e.g., DP&amp;L’s Initial Brief at 12-16.</w:t>
      </w:r>
    </w:p>
  </w:footnote>
  <w:footnote w:id="1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e.g., id. at 13 (quoting Staff Witness Donlon’s testimony).</w:t>
      </w:r>
    </w:p>
  </w:footnote>
  <w:footnote w:id="1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note 1, supra.  In addition to confirming that the DMR is an illegal transition charge or equivalent revenue, DP&amp;L’s assertion that any reduction in taxes should not be passed on to consumers is unreasonable and should be rejected.  See DP&amp;L’s Initial Brief at 44-46.  If consumers bear the burden of paying the current tax rate, they should also get the benefit if the tax rate is reduced.  This is the PUCO’s past practice.  See In the Matter of the Commission’s Investigation of the Financial Impact of the Tax Reform Act of 1986 on Regulated Ohio Utility Companies, Case No. 87-831-AU-COI, </w:t>
      </w:r>
      <w:r>
        <w:rPr>
          <w:rFonts w:ascii="Times New Roman" w:hAnsi="Times New Roman" w:cs="Times New Roman"/>
        </w:rPr>
        <w:t xml:space="preserve">Entry (June 9, 1987) (ordering </w:t>
      </w:r>
      <w:r w:rsidRPr="001667F0">
        <w:rPr>
          <w:rFonts w:ascii="Times New Roman" w:hAnsi="Times New Roman" w:cs="Times New Roman"/>
        </w:rPr>
        <w:t xml:space="preserve">utilities to file “an application to reduce rates or a statement to show cause why their rates should not be reduced as a result of the TRA ’86 tax rate changes” and that companies who reduced their rates should “file application reduce their rates” reflecting the lower tax rates).  </w:t>
      </w:r>
    </w:p>
  </w:footnote>
  <w:footnote w:id="1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Post-Hearing Brief Public Version at 44 (italics added).  </w:t>
      </w:r>
    </w:p>
  </w:footnote>
  <w:footnote w:id="1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OCC’s Initial Post-Hearing Brief at 12-16.</w:t>
      </w:r>
    </w:p>
  </w:footnote>
  <w:footnote w:id="1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at 13.</w:t>
      </w:r>
    </w:p>
  </w:footnote>
  <w:footnote w:id="1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t>
      </w:r>
      <w:r w:rsidRPr="001667F0">
        <w:rPr>
          <w:rFonts w:ascii="Times New Roman" w:hAnsi="Times New Roman" w:cs="Times New Roman"/>
          <w:i/>
        </w:rPr>
        <w:t>In re Application of Columbus Southern Power Co.</w:t>
      </w:r>
      <w:r w:rsidRPr="001667F0">
        <w:rPr>
          <w:rFonts w:ascii="Times New Roman" w:hAnsi="Times New Roman" w:cs="Times New Roman"/>
        </w:rPr>
        <w:t xml:space="preserve">, 147 Ohio St. 3d 439 (2016); </w:t>
      </w:r>
      <w:r w:rsidRPr="001667F0">
        <w:rPr>
          <w:rFonts w:ascii="Times New Roman" w:hAnsi="Times New Roman" w:cs="Times New Roman"/>
          <w:i/>
        </w:rPr>
        <w:t>In re Dayton Power &amp; Light Co.</w:t>
      </w:r>
      <w:r w:rsidRPr="001667F0">
        <w:rPr>
          <w:rFonts w:ascii="Times New Roman" w:hAnsi="Times New Roman" w:cs="Times New Roman"/>
        </w:rPr>
        <w:t>, 147 Ohio St. 3d 166 (2016).</w:t>
      </w:r>
    </w:p>
  </w:footnote>
  <w:footnote w:id="1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V at 875-76; see also DP&amp;L’s Initial Brief at 13; Hearing Transcript, Vol. I at 106-107 (DP&amp;L Witness Jackson explained that “[t]he DMR will enable us to pay down debt to put us in a position in the future to be able to access the debt and equity markets.”).  The irony of allowing DP&amp;L to charge consumers so that it can pay debt that it cannot now pay so that it can go out and borrow yet more money has apparently been lost thus far.  As a matter of public policy and consumer protection, it should be found.  The DMR should be rejected.</w:t>
      </w:r>
    </w:p>
  </w:footnote>
  <w:footnote w:id="1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R.C. 4928.38 (italics added).</w:t>
      </w:r>
    </w:p>
  </w:footnote>
  <w:footnote w:id="2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“But the fact that AEP did not explicitly seek transition revenues does not foreclose a finding that the Company is receiving the equivalent of transition revenue under the guise of RSR.”  </w:t>
      </w:r>
      <w:r w:rsidRPr="001667F0">
        <w:rPr>
          <w:rFonts w:ascii="Times New Roman" w:hAnsi="Times New Roman" w:cs="Times New Roman"/>
          <w:i/>
        </w:rPr>
        <w:t>In re Application of Columbus Southern Power Co.</w:t>
      </w:r>
      <w:r w:rsidRPr="001667F0">
        <w:rPr>
          <w:rFonts w:ascii="Times New Roman" w:hAnsi="Times New Roman" w:cs="Times New Roman"/>
        </w:rPr>
        <w:t xml:space="preserve">, 147 Ohio St. 3d at 444.  </w:t>
      </w:r>
    </w:p>
  </w:footnote>
  <w:footnote w:id="2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at 449.</w:t>
      </w:r>
    </w:p>
  </w:footnote>
  <w:footnote w:id="2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at 448.</w:t>
      </w:r>
    </w:p>
  </w:footnote>
  <w:footnote w:id="2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t>
      </w:r>
      <w:r w:rsidRPr="001667F0">
        <w:rPr>
          <w:rFonts w:ascii="Times New Roman" w:hAnsi="Times New Roman" w:cs="Times New Roman"/>
          <w:i/>
        </w:rPr>
        <w:t>In re Dayton Power &amp; Light Co.</w:t>
      </w:r>
      <w:r w:rsidRPr="001667F0">
        <w:rPr>
          <w:rFonts w:ascii="Times New Roman" w:hAnsi="Times New Roman" w:cs="Times New Roman"/>
        </w:rPr>
        <w:t>, 147 Ohio St. 3d 166 (2016).</w:t>
      </w:r>
    </w:p>
  </w:footnote>
  <w:footnote w:id="2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Joint Initial Post-Hearing Brief of Environmental Defense Fund and Ohio Environmental Council at 10.</w:t>
      </w:r>
    </w:p>
  </w:footnote>
  <w:footnote w:id="2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DP&amp;L’s Initial Brief at 33-36.  DP&amp;L throws in that it will provide 100% of SSO service through competitive bidding, and that that was cited as a “factor” by the PUCO when it concluded that FirstEnergy’s DMR was not a transition charge.  That “factor”, by itself, is insufficient to support DMR here.  And because all of DP&amp;L’s other defenses of DMR fail, as explained herein, that “factor” should be disregarded.  Further, the factor did not save a previous, similar charge from the Supreme Court declaring it illegal.</w:t>
      </w:r>
      <w:r w:rsidRPr="001667F0">
        <w:rPr>
          <w:rFonts w:ascii="Times New Roman" w:hAnsi="Times New Roman" w:cs="Times New Roman"/>
          <w:i/>
        </w:rPr>
        <w:t xml:space="preserve">  </w:t>
      </w:r>
      <w:r w:rsidRPr="001667F0">
        <w:rPr>
          <w:rFonts w:ascii="Times New Roman" w:hAnsi="Times New Roman" w:cs="Times New Roman"/>
        </w:rPr>
        <w:t xml:space="preserve">See </w:t>
      </w:r>
      <w:r w:rsidRPr="001667F0">
        <w:rPr>
          <w:rFonts w:ascii="Times New Roman" w:hAnsi="Times New Roman" w:cs="Times New Roman"/>
          <w:i/>
        </w:rPr>
        <w:t>In re Application of Columbus Southern Power Co.</w:t>
      </w:r>
      <w:r w:rsidRPr="001667F0">
        <w:rPr>
          <w:rFonts w:ascii="Times New Roman" w:hAnsi="Times New Roman" w:cs="Times New Roman"/>
        </w:rPr>
        <w:t xml:space="preserve">, 147 Ohio St. 3d 439 (2016).  It should not here, either.   </w:t>
      </w:r>
    </w:p>
  </w:footnote>
  <w:footnote w:id="2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OCC’s Initial Post-Hearing Brief at 12-16; see also ED and OEC Joint Post-Hearing Brief at 13.</w:t>
      </w:r>
    </w:p>
  </w:footnote>
  <w:footnote w:id="2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id.</w:t>
      </w:r>
    </w:p>
  </w:footnote>
  <w:footnote w:id="2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note 1, supra.</w:t>
      </w:r>
    </w:p>
  </w:footnote>
  <w:footnote w:id="2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Wal-Mart Stores East, LP and Sam’s East, Inc.’s Post-Hearing Brief at 3.</w:t>
      </w:r>
    </w:p>
  </w:footnote>
  <w:footnote w:id="3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t>
      </w:r>
      <w:r w:rsidRPr="001667F0">
        <w:rPr>
          <w:rFonts w:ascii="Times New Roman" w:hAnsi="Times New Roman" w:cs="Times New Roman"/>
          <w:i/>
        </w:rPr>
        <w:t>In re Dayton Power &amp; Light Co.</w:t>
      </w:r>
      <w:r w:rsidRPr="001667F0">
        <w:rPr>
          <w:rFonts w:ascii="Times New Roman" w:hAnsi="Times New Roman" w:cs="Times New Roman"/>
        </w:rPr>
        <w:t xml:space="preserve">, 147 Ohio St. 3d 166 (2016).  The issue was briefed before the Supreme Court in </w:t>
      </w:r>
      <w:r w:rsidRPr="001667F0">
        <w:rPr>
          <w:rFonts w:ascii="Times New Roman" w:hAnsi="Times New Roman" w:cs="Times New Roman"/>
          <w:i/>
        </w:rPr>
        <w:t>In re Dayton Power &amp; Light Co.</w:t>
      </w:r>
      <w:r w:rsidRPr="001667F0">
        <w:rPr>
          <w:rFonts w:ascii="Times New Roman" w:hAnsi="Times New Roman" w:cs="Times New Roman"/>
        </w:rPr>
        <w:t xml:space="preserve">, including in supplemental briefs.  Further, the majority in </w:t>
      </w:r>
      <w:r w:rsidRPr="001667F0">
        <w:rPr>
          <w:rFonts w:ascii="Times New Roman" w:hAnsi="Times New Roman" w:cs="Times New Roman"/>
          <w:i/>
        </w:rPr>
        <w:t>In re Dayton Power &amp; Light Co.</w:t>
      </w:r>
      <w:r w:rsidRPr="001667F0">
        <w:rPr>
          <w:rFonts w:ascii="Times New Roman" w:hAnsi="Times New Roman" w:cs="Times New Roman"/>
        </w:rPr>
        <w:t xml:space="preserve"> held the Service Stability Rider illegal notwithstanding the opinions concurring in part and dissenting in part in </w:t>
      </w:r>
      <w:r w:rsidRPr="001667F0">
        <w:rPr>
          <w:rFonts w:ascii="Times New Roman" w:hAnsi="Times New Roman" w:cs="Times New Roman"/>
          <w:i/>
        </w:rPr>
        <w:t>In re Application of Columbus Southern Power</w:t>
      </w:r>
      <w:r w:rsidRPr="001667F0">
        <w:rPr>
          <w:rFonts w:ascii="Times New Roman" w:hAnsi="Times New Roman" w:cs="Times New Roman"/>
        </w:rPr>
        <w:t xml:space="preserve">, which discussed the “notwithstanding” clause.  Because the issue was squarely before the Court, and the Court nonetheless held the Service Stability Rider illegal, it is apparent that the “notwithstanding” clause cannot save the DMR.  The same goes for DP&amp;L’s “later-enacted statute” argument.  See DP&amp;L Initial Brief at 36.  It was raised in the Service Stability Rider case.  Because the issue was squarely before the Court, and the Court nonetheless held the Service Stability rider illegal, it is apparent that the “later-enacted statute” clause cannot save the DMR.  Also, as shown infra, the DMR proposed by DP&amp;L is not authorized under R.C. 4928.143(B)(2)(h), (d), or (i). </w:t>
      </w:r>
    </w:p>
  </w:footnote>
  <w:footnote w:id="3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Post-Hearing Brief Public Version at 44 (italics added); see also note 1, supra.  </w:t>
      </w:r>
    </w:p>
  </w:footnote>
  <w:footnote w:id="3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e.g., Hearing Transcript, Vol. II at 275:11-14; 291:3-9; Williams Supp. Dir. At 18:11-19:15; OCC’s Initial Post-Hearing Brief at 31-33.</w:t>
      </w:r>
    </w:p>
  </w:footnote>
  <w:footnote w:id="3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Ohio Admin. Code 4901:1-20 et seq.</w:t>
      </w:r>
    </w:p>
  </w:footnote>
  <w:footnote w:id="3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note 1, supra.  Further, the PUCO should recognize that DP&amp;L itself recognizes that the DMR is inadequate for its stated purposes.  It says that it needs DMR for five years.  See, e.g., DP&amp;L Initial Brief at 8.  But the proposal before the PUCO is for a three-year DMR.  See Settlement.  Also, DP&amp;L Witness Jackson conceded that DP&amp;L may have reliability issues even with the DMR.  See DP&amp;L’s Initial Brief at 11 (quoting DP&amp;L Witness Jackson).  As noted by Wal-Mart: “Nor does the Company contend that the DMR, which is outside the normal regulatory compact, will actually correct the Company’s alleged financial crisis; at best, it hopes to be placed </w:t>
      </w:r>
      <w:r w:rsidRPr="001667F0">
        <w:rPr>
          <w:rFonts w:ascii="Times New Roman" w:hAnsi="Times New Roman" w:cs="Times New Roman"/>
          <w:i/>
        </w:rPr>
        <w:t xml:space="preserve">on a path </w:t>
      </w:r>
      <w:r w:rsidRPr="001667F0">
        <w:rPr>
          <w:rFonts w:ascii="Times New Roman" w:hAnsi="Times New Roman" w:cs="Times New Roman"/>
        </w:rPr>
        <w:t xml:space="preserve">towards maintaining an investment grade rating.”  Wal-Mart’s Post-Hearing Brief at 7 (citations omitted, italics in original).  There is no justification for approving </w:t>
      </w:r>
      <w:r w:rsidRPr="001667F0" w:rsidR="00D2088B">
        <w:rPr>
          <w:rFonts w:ascii="Times New Roman" w:hAnsi="Times New Roman" w:cs="Times New Roman"/>
        </w:rPr>
        <w:t>$315 million-dollar</w:t>
      </w:r>
      <w:r w:rsidRPr="001667F0">
        <w:rPr>
          <w:rFonts w:ascii="Times New Roman" w:hAnsi="Times New Roman" w:cs="Times New Roman"/>
        </w:rPr>
        <w:t xml:space="preserve"> charge on Ohioans that, by DP&amp;L’s own admission, will not solve anything.  </w:t>
      </w:r>
    </w:p>
  </w:footnote>
  <w:footnote w:id="3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7-8. </w:t>
      </w:r>
    </w:p>
  </w:footnote>
  <w:footnote w:id="3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Williams Supp. Dir. at 4:17-19. </w:t>
      </w:r>
    </w:p>
  </w:footnote>
  <w:footnote w:id="3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OCC Initial Brief at 31-32. </w:t>
      </w:r>
    </w:p>
  </w:footnote>
  <w:footnote w:id="3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Williams Supp. Dir. at 18:5-8.</w:t>
      </w:r>
    </w:p>
  </w:footnote>
  <w:footnote w:id="3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Supp. Dir. at 19:1-5.</w:t>
      </w:r>
    </w:p>
  </w:footnote>
  <w:footnote w:id="4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Supp. Dir. at 29-30:4-2. </w:t>
      </w:r>
    </w:p>
  </w:footnote>
  <w:footnote w:id="4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38-41. </w:t>
      </w:r>
    </w:p>
  </w:footnote>
  <w:footnote w:id="4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I at 140: 8-14; 20-25. </w:t>
      </w:r>
    </w:p>
  </w:footnote>
  <w:footnote w:id="4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9. </w:t>
      </w:r>
    </w:p>
  </w:footnote>
  <w:footnote w:id="4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9. </w:t>
      </w:r>
    </w:p>
  </w:footnote>
  <w:footnote w:id="4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V at 847:6-12. </w:t>
      </w:r>
    </w:p>
  </w:footnote>
  <w:footnote w:id="4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9-10. </w:t>
      </w:r>
    </w:p>
  </w:footnote>
  <w:footnote w:id="4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Supp. Dir. at 29-30:4-2.</w:t>
      </w:r>
    </w:p>
  </w:footnote>
  <w:footnote w:id="4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6-7. </w:t>
      </w:r>
    </w:p>
  </w:footnote>
  <w:footnote w:id="4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V at 849:16-21 (DPL not paying dividends since 2012); id. at 850:5-8 (DPL not paying taxes to AES). </w:t>
      </w:r>
    </w:p>
  </w:footnote>
  <w:footnote w:id="5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V at 883:11-884:5.</w:t>
      </w:r>
    </w:p>
  </w:footnote>
  <w:footnote w:id="5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Direct Testimony of OCC Witness Kahal at Schedule MIK-1 (Nov. 21, 2016). </w:t>
      </w:r>
    </w:p>
  </w:footnote>
  <w:footnote w:id="5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22. </w:t>
      </w:r>
    </w:p>
  </w:footnote>
  <w:footnote w:id="5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Supp. Dir. at 17:5-12.</w:t>
      </w:r>
    </w:p>
  </w:footnote>
  <w:footnote w:id="5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Supp. Dir. at 17:12-16. </w:t>
      </w:r>
    </w:p>
  </w:footnote>
  <w:footnote w:id="5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Williams Supp. Dir. at 11-12:19-5. </w:t>
      </w:r>
    </w:p>
  </w:footnote>
  <w:footnote w:id="5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DP&amp;L’s Initial Brief at 42-44.</w:t>
      </w:r>
    </w:p>
  </w:footnote>
  <w:footnote w:id="5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 Initial Brief at 42. </w:t>
      </w:r>
    </w:p>
  </w:footnote>
  <w:footnote w:id="5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IV at 713:8-14.</w:t>
      </w:r>
    </w:p>
  </w:footnote>
  <w:footnote w:id="5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Dir. at 26-27:12-2; Kahal Supp. Dir. at 30-31:16-2. </w:t>
      </w:r>
    </w:p>
  </w:footnote>
  <w:footnote w:id="6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Kahal Dir. at 26-27:12-2.</w:t>
      </w:r>
    </w:p>
  </w:footnote>
  <w:footnote w:id="6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42. </w:t>
      </w:r>
    </w:p>
  </w:footnote>
  <w:footnote w:id="6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id.</w:t>
      </w:r>
    </w:p>
  </w:footnote>
  <w:footnote w:id="6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Merger Order at ¶15 (italics added). </w:t>
      </w:r>
    </w:p>
  </w:footnote>
  <w:footnote w:id="6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Merger Order at ¶19(d).</w:t>
      </w:r>
    </w:p>
  </w:footnote>
  <w:footnote w:id="6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24-26; Staff Brief at 12-13 (citing to Staff Ex. 2 at 5).  Staff does not provide any support as to why such “direct benefits” would be available under an ESP but not under an MRO.  See Staff Ex. 2 at 5-6 (merely listing $9 million of “direct benefits” as “quantitative measures” that Staff Witness Donlon considered “in regard to the ESP versus MRO test” but not taking any position on whether these measures are available under an ESP, MRO, both, or neither).  </w:t>
      </w:r>
    </w:p>
  </w:footnote>
  <w:footnote w:id="6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24-25 (internal citations omitted).  DP&amp;L makes the same argument for certain, purported qualitative benefits.  DP&amp;L at 25 (citing to DP&amp;L Ex.2B at 64-70) (“The Stipulation also includes significant non-quantifiable benefits that would not be required under an MRO.”).  Likewise, DP&amp;L does not point to – and cannot point to – any portion of the ESP statute that “requires” such purported benefits.</w:t>
      </w:r>
    </w:p>
  </w:footnote>
  <w:footnote w:id="6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R.C. §4928.143; see also OCC’s Initial Post-Hearing Brief at 58-60.</w:t>
      </w:r>
    </w:p>
  </w:footnote>
  <w:footnote w:id="6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OCC’s Initial Post-Hearing Brief at 58-60.</w:t>
      </w:r>
    </w:p>
  </w:footnote>
  <w:footnote w:id="6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R.C. 4928.143(C)(1).</w:t>
      </w:r>
    </w:p>
  </w:footnote>
  <w:footnote w:id="7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DP&amp;L’s Initial Brief at 25 (listing “commitments by AES” under non-quantifiable benefits).  </w:t>
      </w:r>
    </w:p>
  </w:footnote>
  <w:footnote w:id="7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DP&amp;L’s Initial Brief at 25 (listing “commitments by AES” under non-quantifiable benefits).  </w:t>
      </w:r>
    </w:p>
  </w:footnote>
  <w:footnote w:id="7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16-17.</w:t>
      </w:r>
    </w:p>
  </w:footnote>
  <w:footnote w:id="7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e.g., Hearing Transcript, Vol. V at 883 (“through this stipulation [Staff was] able to negotiate . . . something that is outside of the Commission’s actual authority to be able to do in an order without the company in a stipulation); id. at 884-87 (explaining that Staff was able to negotiate with AES Corporation to provide appropriate measures that can be implemented only through a stipulation).  </w:t>
      </w:r>
    </w:p>
  </w:footnote>
  <w:footnote w:id="7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In fact, it is likely that Staff or other intervenors may be able to negotiate more favorable terms under an MRO because the utility does not have the unilateral ability to withdraw its application.  See R.C. §4928.143(C)(2)(a).  The PUCO has recognized that a utility’s unilateral ability to withdraw means that “the remaining parties certainly do not possess equal bargaining power in an ESP action before the Commission.”  </w:t>
      </w:r>
      <w:r w:rsidRPr="001667F0">
        <w:rPr>
          <w:rFonts w:ascii="Times New Roman" w:hAnsi="Times New Roman" w:cs="Times New Roman"/>
          <w:i/>
        </w:rPr>
        <w:t>In re FirstEnergy’s 2008 ESP Case</w:t>
      </w:r>
      <w:r w:rsidRPr="001667F0">
        <w:rPr>
          <w:rFonts w:ascii="Times New Roman" w:hAnsi="Times New Roman" w:cs="Times New Roman"/>
        </w:rPr>
        <w:t>, Case No. 08-935-EL-SSO, Second Opinion and Order, Opinion of Commissioner Cheryl L. Roberto Concurring in Part and Dissenting in Part at 1-2 (Mar. 25, 2009).  See also id. at Opinion of Commissioners Paul A. Centolella and Valerie A Lemmie, Concurring at 2.</w:t>
      </w:r>
    </w:p>
  </w:footnote>
  <w:footnote w:id="7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24-25; Staff Brief at 11.</w:t>
      </w:r>
    </w:p>
  </w:footnote>
  <w:footnote w:id="7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Staff Brief at 11.</w:t>
      </w:r>
    </w:p>
  </w:footnote>
  <w:footnote w:id="7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Williams Supp. Dir. at 23-27.</w:t>
      </w:r>
    </w:p>
  </w:footnote>
  <w:footnote w:id="7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w:t>
      </w:r>
    </w:p>
  </w:footnote>
  <w:footnote w:id="79">
    <w:p w:rsidR="00831B8B" w:rsidRPr="001667F0" w:rsidP="001667F0">
      <w:pPr>
        <w:pStyle w:val="FootnoteText"/>
        <w:spacing w:after="120"/>
        <w:rPr>
          <w:rFonts w:ascii="Times New Roman" w:hAnsi="Times New Roman" w:cs="Times New Roman"/>
          <w:highlight w:val="yellow"/>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Staff Brief at 11.</w:t>
      </w:r>
    </w:p>
  </w:footnote>
  <w:footnote w:id="80">
    <w:p w:rsidR="00831B8B" w:rsidRPr="001667F0" w:rsidP="001667F0">
      <w:pPr>
        <w:pStyle w:val="FootnoteText"/>
        <w:spacing w:after="120"/>
        <w:rPr>
          <w:rFonts w:ascii="Times New Roman" w:hAnsi="Times New Roman" w:cs="Times New Roman"/>
          <w:highlight w:val="yellow"/>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R.C. §4905.31; Haugh Testimony at 8-9 and 10:16-21. </w:t>
      </w:r>
    </w:p>
  </w:footnote>
  <w:footnote w:id="8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Hearing Transcript, Vol. II at 330:16-331:16; OCC’s Initial Post-Hearing Brief at 67, footnote 340.</w:t>
      </w:r>
    </w:p>
  </w:footnote>
  <w:footnote w:id="8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Staff Brief at 12 (internal citations omitted).</w:t>
      </w:r>
    </w:p>
  </w:footnote>
  <w:footnote w:id="8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R.C. 4928.142 and 143.</w:t>
      </w:r>
    </w:p>
  </w:footnote>
  <w:footnote w:id="8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OCC’s Initial Post-Hearing Brief at 56-69.</w:t>
      </w:r>
    </w:p>
  </w:footnote>
  <w:footnote w:id="8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DP&amp;L’s Initial Brief at 4-5; OPAE Brief at 5-6.</w:t>
      </w:r>
    </w:p>
  </w:footnote>
  <w:footnote w:id="8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OPAE Brief at 6 (citations omitted).  </w:t>
      </w:r>
    </w:p>
  </w:footnote>
  <w:footnote w:id="8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e.g., </w:t>
      </w:r>
      <w:r w:rsidRPr="001667F0">
        <w:rPr>
          <w:rFonts w:ascii="Times New Roman" w:hAnsi="Times New Roman" w:cs="Times New Roman"/>
          <w:i/>
        </w:rPr>
        <w:t>In the Matter of the Application of Ohio Edison Company, The Cleveland Electric Illuminating Company, and The Toledo Edison Company for Authority to Provide for a Standard Service Offer Pursuant to R.C. 4928.143 in the Form of an Electric Security Plan</w:t>
      </w:r>
      <w:r w:rsidRPr="001667F0">
        <w:rPr>
          <w:rFonts w:ascii="Times New Roman" w:hAnsi="Times New Roman" w:cs="Times New Roman"/>
        </w:rPr>
        <w:t>, Case No. 14-1297-EL-SSO, Opinion and Order at 43 (March 31, 2016).</w:t>
      </w:r>
    </w:p>
  </w:footnote>
  <w:footnote w:id="8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Hearing Transcript, Vol. V at 865:19-866:5.</w:t>
      </w:r>
    </w:p>
  </w:footnote>
  <w:footnote w:id="8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January 30, 2017 Stipulation and Recommendation.</w:t>
      </w:r>
    </w:p>
  </w:footnote>
  <w:footnote w:id="9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id.</w:t>
      </w:r>
    </w:p>
  </w:footnote>
  <w:footnote w:id="9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Schroder Testimony at 4:9-17.</w:t>
      </w:r>
    </w:p>
  </w:footnote>
  <w:footnote w:id="9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Those parties are the Ohio Environmental Counsel (“OEC”), RESA, and the Mid-Atlantic Renewable Energy Coalition (“MAREC”).  See January 30, 2017 Stipulation and Recommendation (OEC agrees not to oppose, RESA and MAREC support); Settlement at 40, note 17 (RESA’s signature only effective if all signatory parties to the January 30, 2017 Stipulation and Recommendation sign the Settlement or agree not to oppose; MAREC neither a signatory party nor a non-opposing party).</w:t>
      </w:r>
    </w:p>
  </w:footnote>
  <w:footnote w:id="93">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MAREC as a non-opposing party and RESA as a signatory party.  See The Dayton Power and Light Company’s Notice of Filing its Letter Agreement with Mid-Atlantic Renewable Energy Coalition (OCC Ex. 4); see also Settlement at 40, note 17.</w:t>
      </w:r>
    </w:p>
  </w:footnote>
  <w:footnote w:id="94">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w:t>
      </w:r>
      <w:r w:rsidRPr="001667F0">
        <w:rPr>
          <w:rFonts w:ascii="Times New Roman" w:hAnsi="Times New Roman" w:cs="Times New Roman"/>
          <w:i/>
        </w:rPr>
        <w:t>In the Matter of the Application of Columbus Southern Power Company and Ohio Power Company for Authority to Recover Costs Associated with the Ultimate Construction and Operation of an Integrated Gasification Combined Cycle Electric Generation Facility</w:t>
      </w:r>
      <w:r w:rsidRPr="001667F0">
        <w:rPr>
          <w:rFonts w:ascii="Times New Roman" w:hAnsi="Times New Roman" w:cs="Times New Roman"/>
        </w:rPr>
        <w:t xml:space="preserve">, Case No. 05-376-EL-UNC, Order on Remand (Feb. 11, 2015).  </w:t>
      </w:r>
    </w:p>
  </w:footnote>
  <w:footnote w:id="95">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See Haugh Testimony at 12.</w:t>
      </w:r>
    </w:p>
  </w:footnote>
  <w:footnote w:id="96">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OPAE Brief at 16.</w:t>
      </w:r>
    </w:p>
  </w:footnote>
  <w:footnote w:id="97">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OPAE Brief at 15-16.  </w:t>
      </w:r>
    </w:p>
  </w:footnote>
  <w:footnote w:id="98">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Case No. 05-376-EL-UNC Order on Remand at 2.</w:t>
      </w:r>
    </w:p>
  </w:footnote>
  <w:footnote w:id="99">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at 3-4.</w:t>
      </w:r>
    </w:p>
  </w:footnote>
  <w:footnote w:id="100">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w:t>
      </w:r>
    </w:p>
  </w:footnote>
  <w:footnote w:id="101">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Id. at 11.</w:t>
      </w:r>
    </w:p>
  </w:footnote>
  <w:footnote w:id="102">
    <w:p w:rsidR="00831B8B" w:rsidRPr="001667F0" w:rsidP="001667F0">
      <w:pPr>
        <w:pStyle w:val="FootnoteText"/>
        <w:spacing w:after="120"/>
        <w:rPr>
          <w:rFonts w:ascii="Times New Roman" w:hAnsi="Times New Roman" w:cs="Times New Roman"/>
        </w:rPr>
      </w:pPr>
      <w:r w:rsidRPr="001667F0">
        <w:rPr>
          <w:rStyle w:val="FootnoteReference"/>
          <w:rFonts w:ascii="Times New Roman" w:hAnsi="Times New Roman" w:cs="Times New Roman"/>
        </w:rPr>
        <w:footnoteRef/>
      </w:r>
      <w:r w:rsidRPr="001667F0">
        <w:rPr>
          <w:rFonts w:ascii="Times New Roman" w:hAnsi="Times New Roman" w:cs="Times New Roman"/>
        </w:rPr>
        <w:t xml:space="preserve"> OPAE Brief at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E8D6D9D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58D948EC"/>
    <w:multiLevelType w:val="hybridMultilevel"/>
    <w:tmpl w:val="A314B54A"/>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5CAB515C"/>
    <w:multiLevelType w:val="hybridMultilevel"/>
    <w:tmpl w:val="ACACE358"/>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86EE4"/>
    <w:pPr>
      <w:keepNext/>
      <w:keepLines/>
      <w:numPr>
        <w:numId w:val="1"/>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886EE4"/>
    <w:pPr>
      <w:keepNext/>
      <w:keepLines/>
      <w:numPr>
        <w:numId w:val="2"/>
      </w:numPr>
      <w:spacing w:after="240" w:line="240" w:lineRule="auto"/>
      <w:ind w:left="1440" w:righ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0A7B60"/>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D62829"/>
    <w:pPr>
      <w:spacing w:after="0" w:line="240" w:lineRule="auto"/>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D62829"/>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886EE4"/>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iPriority w:val="99"/>
    <w:semiHidden/>
    <w:unhideWhenUsed/>
    <w:rsid w:val="00775C0C"/>
    <w:pPr>
      <w:spacing w:line="240" w:lineRule="auto"/>
    </w:pPr>
    <w:rPr>
      <w:sz w:val="20"/>
      <w:szCs w:val="20"/>
    </w:rPr>
  </w:style>
  <w:style w:type="character" w:customStyle="1" w:styleId="CommentTextChar">
    <w:name w:val="Comment Text Char"/>
    <w:basedOn w:val="DefaultParagraphFont"/>
    <w:link w:val="CommentText"/>
    <w:uiPriority w:val="99"/>
    <w:semiHidden/>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6EE4"/>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0A7B60"/>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865D92"/>
    <w:pPr>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2017-05-15T15:57:54Z</dcterms:created>
  <dcterms:modified xsi:type="dcterms:W3CDTF">2017-05-15T15:57:54Z</dcterms:modified>
</cp:coreProperties>
</file>