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E3097" w14:textId="77777777" w:rsidR="001841F6" w:rsidRPr="00BD1AA7" w:rsidRDefault="002713C9" w:rsidP="001841F6">
      <w:pPr>
        <w:pStyle w:val="Title"/>
      </w:pPr>
      <w:r w:rsidRPr="00BD1AA7">
        <w:t>BEFORE</w:t>
      </w:r>
    </w:p>
    <w:p w14:paraId="44FB1481" w14:textId="77777777" w:rsidR="001841F6" w:rsidRPr="00BD1AA7" w:rsidRDefault="002713C9" w:rsidP="001841F6">
      <w:pPr>
        <w:autoSpaceDE w:val="0"/>
        <w:autoSpaceDN w:val="0"/>
        <w:adjustRightInd w:val="0"/>
        <w:jc w:val="center"/>
        <w:rPr>
          <w:b/>
          <w:bCs w:val="0"/>
          <w:szCs w:val="24"/>
        </w:rPr>
      </w:pPr>
      <w:r w:rsidRPr="00BD1AA7">
        <w:rPr>
          <w:b/>
          <w:szCs w:val="24"/>
        </w:rPr>
        <w:t>THE PUBLIC UTILITIES COMMISSION OF OHIO</w:t>
      </w:r>
    </w:p>
    <w:p w14:paraId="6F4E783F" w14:textId="77777777" w:rsidR="001841F6" w:rsidRPr="0057602B" w:rsidRDefault="001841F6" w:rsidP="001841F6">
      <w:pPr>
        <w:autoSpaceDE w:val="0"/>
        <w:autoSpaceDN w:val="0"/>
        <w:adjustRightInd w:val="0"/>
        <w:jc w:val="center"/>
        <w:rPr>
          <w:b/>
          <w:bCs w:val="0"/>
          <w:szCs w:val="24"/>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298"/>
        <w:gridCol w:w="4341"/>
      </w:tblGrid>
      <w:tr w:rsidR="00E10325" w14:paraId="114D1E7C" w14:textId="77777777" w:rsidTr="009964D5">
        <w:trPr>
          <w:trHeight w:val="985"/>
        </w:trPr>
        <w:tc>
          <w:tcPr>
            <w:tcW w:w="4631" w:type="dxa"/>
            <w:tcBorders>
              <w:top w:val="nil"/>
              <w:left w:val="nil"/>
              <w:bottom w:val="nil"/>
              <w:right w:val="nil"/>
            </w:tcBorders>
          </w:tcPr>
          <w:p w14:paraId="3067EB7E" w14:textId="77777777" w:rsidR="001841F6" w:rsidRPr="0057602B" w:rsidRDefault="002713C9" w:rsidP="00F021B7">
            <w:pPr>
              <w:autoSpaceDE w:val="0"/>
              <w:autoSpaceDN w:val="0"/>
              <w:adjustRightInd w:val="0"/>
              <w:rPr>
                <w:szCs w:val="24"/>
              </w:rPr>
            </w:pPr>
            <w:r w:rsidRPr="0057602B">
              <w:rPr>
                <w:szCs w:val="24"/>
              </w:rPr>
              <w:br w:type="page"/>
              <w:t>In the Matter of the Review of th</w:t>
            </w:r>
            <w:r>
              <w:rPr>
                <w:szCs w:val="24"/>
              </w:rPr>
              <w:t xml:space="preserve">e Reconciliation Rider of The Dayton Power and Light Company. </w:t>
            </w:r>
          </w:p>
        </w:tc>
        <w:tc>
          <w:tcPr>
            <w:tcW w:w="298" w:type="dxa"/>
            <w:tcBorders>
              <w:top w:val="nil"/>
              <w:left w:val="nil"/>
              <w:bottom w:val="nil"/>
              <w:right w:val="nil"/>
            </w:tcBorders>
          </w:tcPr>
          <w:p w14:paraId="1DC21C1D" w14:textId="77777777" w:rsidR="001841F6" w:rsidRPr="0057602B" w:rsidRDefault="002713C9" w:rsidP="003A3B20">
            <w:pPr>
              <w:contextualSpacing/>
              <w:rPr>
                <w:szCs w:val="24"/>
              </w:rPr>
            </w:pPr>
            <w:r w:rsidRPr="0057602B">
              <w:rPr>
                <w:szCs w:val="24"/>
              </w:rPr>
              <w:t>)</w:t>
            </w:r>
          </w:p>
          <w:p w14:paraId="3ABD481F" w14:textId="77777777" w:rsidR="001841F6" w:rsidRPr="0057602B" w:rsidRDefault="002713C9" w:rsidP="003A3B20">
            <w:pPr>
              <w:contextualSpacing/>
              <w:rPr>
                <w:szCs w:val="24"/>
              </w:rPr>
            </w:pPr>
            <w:r w:rsidRPr="0057602B">
              <w:rPr>
                <w:szCs w:val="24"/>
              </w:rPr>
              <w:t>)</w:t>
            </w:r>
          </w:p>
          <w:p w14:paraId="0A84A0F6" w14:textId="77777777" w:rsidR="001841F6" w:rsidRPr="0057602B" w:rsidRDefault="002713C9" w:rsidP="003A3B20">
            <w:pPr>
              <w:contextualSpacing/>
              <w:rPr>
                <w:szCs w:val="24"/>
              </w:rPr>
            </w:pPr>
            <w:r w:rsidRPr="0057602B">
              <w:rPr>
                <w:szCs w:val="24"/>
              </w:rPr>
              <w:t>)</w:t>
            </w:r>
          </w:p>
        </w:tc>
        <w:tc>
          <w:tcPr>
            <w:tcW w:w="4341" w:type="dxa"/>
            <w:tcBorders>
              <w:top w:val="nil"/>
              <w:left w:val="nil"/>
              <w:bottom w:val="nil"/>
              <w:right w:val="nil"/>
            </w:tcBorders>
          </w:tcPr>
          <w:p w14:paraId="1D1FACB9" w14:textId="77777777" w:rsidR="001841F6" w:rsidRPr="0057602B" w:rsidRDefault="001841F6" w:rsidP="003A3B20">
            <w:pPr>
              <w:contextualSpacing/>
              <w:rPr>
                <w:szCs w:val="24"/>
              </w:rPr>
            </w:pPr>
          </w:p>
          <w:p w14:paraId="63320740" w14:textId="77777777" w:rsidR="001841F6" w:rsidRPr="0057602B" w:rsidRDefault="002713C9" w:rsidP="003A3B20">
            <w:pPr>
              <w:autoSpaceDE w:val="0"/>
              <w:autoSpaceDN w:val="0"/>
              <w:adjustRightInd w:val="0"/>
              <w:rPr>
                <w:szCs w:val="24"/>
              </w:rPr>
            </w:pPr>
            <w:r w:rsidRPr="0057602B">
              <w:rPr>
                <w:szCs w:val="24"/>
              </w:rPr>
              <w:t xml:space="preserve">Case No. </w:t>
            </w:r>
            <w:r>
              <w:rPr>
                <w:szCs w:val="24"/>
              </w:rPr>
              <w:t>20-165</w:t>
            </w:r>
            <w:r w:rsidRPr="0057602B">
              <w:rPr>
                <w:szCs w:val="24"/>
              </w:rPr>
              <w:t xml:space="preserve">-EL-RDR </w:t>
            </w:r>
          </w:p>
        </w:tc>
      </w:tr>
    </w:tbl>
    <w:p w14:paraId="569734AA" w14:textId="77777777" w:rsidR="001841F6" w:rsidRPr="0057602B" w:rsidRDefault="001841F6" w:rsidP="001841F6">
      <w:pPr>
        <w:pBdr>
          <w:bottom w:val="single" w:sz="12" w:space="0" w:color="auto"/>
        </w:pBdr>
        <w:rPr>
          <w:b/>
          <w:szCs w:val="24"/>
        </w:rPr>
      </w:pPr>
    </w:p>
    <w:p w14:paraId="01CC51C0" w14:textId="77777777" w:rsidR="001841F6" w:rsidRPr="0057602B" w:rsidRDefault="001841F6" w:rsidP="001841F6">
      <w:pPr>
        <w:rPr>
          <w:b/>
          <w:szCs w:val="24"/>
        </w:rPr>
      </w:pPr>
    </w:p>
    <w:p w14:paraId="3E33791A" w14:textId="77777777" w:rsidR="000E0C6B" w:rsidRDefault="002713C9" w:rsidP="001841F6">
      <w:pPr>
        <w:jc w:val="center"/>
        <w:rPr>
          <w:b/>
          <w:szCs w:val="24"/>
        </w:rPr>
      </w:pPr>
      <w:r>
        <w:rPr>
          <w:b/>
          <w:szCs w:val="24"/>
        </w:rPr>
        <w:t xml:space="preserve">MEMORANDUM CONTRA </w:t>
      </w:r>
    </w:p>
    <w:p w14:paraId="1668ED1F" w14:textId="61707CDF" w:rsidR="001841F6" w:rsidRDefault="002713C9" w:rsidP="001841F6">
      <w:pPr>
        <w:jc w:val="center"/>
        <w:rPr>
          <w:b/>
          <w:szCs w:val="24"/>
        </w:rPr>
      </w:pPr>
      <w:r>
        <w:rPr>
          <w:b/>
          <w:szCs w:val="24"/>
        </w:rPr>
        <w:t xml:space="preserve">MOTION OF DP&amp;L TO QUASH OCC’S </w:t>
      </w:r>
      <w:r w:rsidR="000E0C6B">
        <w:rPr>
          <w:b/>
          <w:szCs w:val="24"/>
        </w:rPr>
        <w:t>SUBPOENA TO OVEC</w:t>
      </w:r>
      <w:r>
        <w:rPr>
          <w:b/>
          <w:szCs w:val="24"/>
        </w:rPr>
        <w:t xml:space="preserve"> </w:t>
      </w:r>
    </w:p>
    <w:p w14:paraId="525D84D9" w14:textId="77777777" w:rsidR="001841F6" w:rsidRDefault="002713C9" w:rsidP="001841F6">
      <w:pPr>
        <w:jc w:val="center"/>
        <w:rPr>
          <w:b/>
          <w:szCs w:val="24"/>
        </w:rPr>
      </w:pPr>
      <w:r>
        <w:rPr>
          <w:b/>
          <w:szCs w:val="24"/>
        </w:rPr>
        <w:t>BY</w:t>
      </w:r>
    </w:p>
    <w:p w14:paraId="68BE475B" w14:textId="77777777" w:rsidR="001841F6" w:rsidRDefault="002713C9" w:rsidP="001841F6">
      <w:pPr>
        <w:jc w:val="center"/>
        <w:rPr>
          <w:b/>
          <w:szCs w:val="24"/>
        </w:rPr>
      </w:pPr>
      <w:r>
        <w:rPr>
          <w:b/>
          <w:szCs w:val="24"/>
        </w:rPr>
        <w:t xml:space="preserve">OFFICE OF THE OHIO CONSUMERS’ COUNSEL </w:t>
      </w:r>
    </w:p>
    <w:p w14:paraId="543BEA57" w14:textId="77777777" w:rsidR="001841F6" w:rsidRPr="0057602B" w:rsidRDefault="001841F6" w:rsidP="001841F6">
      <w:pPr>
        <w:pBdr>
          <w:bottom w:val="single" w:sz="12" w:space="1" w:color="auto"/>
        </w:pBdr>
        <w:jc w:val="center"/>
        <w:rPr>
          <w:b/>
          <w:szCs w:val="24"/>
        </w:rPr>
      </w:pPr>
    </w:p>
    <w:p w14:paraId="6471B60D" w14:textId="2C2437C5" w:rsidR="001841F6" w:rsidRDefault="001841F6" w:rsidP="001841F6">
      <w:pPr>
        <w:ind w:left="4410"/>
        <w:rPr>
          <w:b/>
          <w:bCs w:val="0"/>
          <w:szCs w:val="24"/>
        </w:rPr>
      </w:pPr>
    </w:p>
    <w:p w14:paraId="6C28D9CD" w14:textId="77777777" w:rsidR="00F021B7" w:rsidRDefault="00F021B7" w:rsidP="001841F6">
      <w:pPr>
        <w:ind w:left="4320"/>
        <w:rPr>
          <w:szCs w:val="24"/>
        </w:rPr>
      </w:pPr>
    </w:p>
    <w:p w14:paraId="6EE2C2BB" w14:textId="77777777" w:rsidR="00F021B7" w:rsidRDefault="00F021B7" w:rsidP="001841F6">
      <w:pPr>
        <w:ind w:left="4320"/>
        <w:rPr>
          <w:szCs w:val="24"/>
        </w:rPr>
      </w:pPr>
    </w:p>
    <w:p w14:paraId="47D9882F" w14:textId="77777777" w:rsidR="00F021B7" w:rsidRDefault="00F021B7" w:rsidP="001841F6">
      <w:pPr>
        <w:ind w:left="4320"/>
        <w:rPr>
          <w:szCs w:val="24"/>
        </w:rPr>
      </w:pPr>
    </w:p>
    <w:p w14:paraId="5373AD48" w14:textId="0C5584EF" w:rsidR="001841F6" w:rsidRPr="00F95DDE" w:rsidRDefault="002713C9" w:rsidP="001841F6">
      <w:pPr>
        <w:ind w:left="4320"/>
        <w:rPr>
          <w:b/>
          <w:bCs w:val="0"/>
          <w:szCs w:val="24"/>
        </w:rPr>
      </w:pPr>
      <w:r w:rsidRPr="00F95DDE">
        <w:rPr>
          <w:szCs w:val="24"/>
        </w:rPr>
        <w:t>Bruce Weston (0016973)</w:t>
      </w:r>
    </w:p>
    <w:p w14:paraId="17CB7CB3" w14:textId="77777777" w:rsidR="001841F6" w:rsidRPr="00F95DDE" w:rsidRDefault="002713C9" w:rsidP="001841F6">
      <w:pPr>
        <w:ind w:left="4320"/>
        <w:rPr>
          <w:szCs w:val="24"/>
        </w:rPr>
      </w:pPr>
      <w:r w:rsidRPr="00F95DDE">
        <w:rPr>
          <w:szCs w:val="24"/>
        </w:rPr>
        <w:t>Ohio Consumers’ Counsel</w:t>
      </w:r>
    </w:p>
    <w:p w14:paraId="747B94D3" w14:textId="77777777" w:rsidR="001841F6" w:rsidRPr="00F95DDE" w:rsidRDefault="001841F6" w:rsidP="001841F6">
      <w:pPr>
        <w:ind w:left="4320"/>
        <w:rPr>
          <w:b/>
          <w:bCs w:val="0"/>
          <w:szCs w:val="24"/>
        </w:rPr>
      </w:pPr>
    </w:p>
    <w:p w14:paraId="44094C87" w14:textId="77777777" w:rsidR="001841F6" w:rsidRPr="00F95DDE" w:rsidRDefault="002713C9" w:rsidP="001841F6">
      <w:pPr>
        <w:ind w:left="4320"/>
        <w:rPr>
          <w:szCs w:val="24"/>
        </w:rPr>
      </w:pPr>
      <w:r w:rsidRPr="00F95DDE">
        <w:rPr>
          <w:szCs w:val="24"/>
        </w:rPr>
        <w:t>William J. Michael (0070921)</w:t>
      </w:r>
    </w:p>
    <w:p w14:paraId="33C9A3D8" w14:textId="77777777" w:rsidR="001841F6" w:rsidRPr="00F95DDE" w:rsidRDefault="002713C9" w:rsidP="001841F6">
      <w:pPr>
        <w:ind w:left="4320"/>
        <w:rPr>
          <w:szCs w:val="24"/>
        </w:rPr>
      </w:pPr>
      <w:r w:rsidRPr="00F95DDE">
        <w:rPr>
          <w:szCs w:val="24"/>
        </w:rPr>
        <w:t>Counsel of Record</w:t>
      </w:r>
    </w:p>
    <w:p w14:paraId="599F7646" w14:textId="77777777" w:rsidR="001841F6" w:rsidRPr="00F95DDE" w:rsidRDefault="002713C9" w:rsidP="001841F6">
      <w:pPr>
        <w:ind w:left="4320"/>
        <w:rPr>
          <w:szCs w:val="24"/>
        </w:rPr>
      </w:pPr>
      <w:r w:rsidRPr="00F95DDE">
        <w:rPr>
          <w:szCs w:val="24"/>
        </w:rPr>
        <w:t xml:space="preserve">Amy Botschner O’Brien (0074423) </w:t>
      </w:r>
    </w:p>
    <w:p w14:paraId="55894F58" w14:textId="77777777" w:rsidR="001841F6" w:rsidRPr="00F95DDE" w:rsidRDefault="002713C9" w:rsidP="001841F6">
      <w:pPr>
        <w:ind w:left="4320"/>
        <w:rPr>
          <w:szCs w:val="24"/>
        </w:rPr>
      </w:pPr>
      <w:r w:rsidRPr="00F95DDE">
        <w:rPr>
          <w:szCs w:val="24"/>
        </w:rPr>
        <w:t>John Finnigan (0018689)</w:t>
      </w:r>
    </w:p>
    <w:p w14:paraId="0FB5BCBC" w14:textId="77777777" w:rsidR="001841F6" w:rsidRPr="00F95DDE" w:rsidRDefault="002713C9" w:rsidP="001841F6">
      <w:pPr>
        <w:ind w:left="4320"/>
        <w:rPr>
          <w:szCs w:val="24"/>
        </w:rPr>
      </w:pPr>
      <w:r w:rsidRPr="00F95DDE">
        <w:rPr>
          <w:szCs w:val="24"/>
        </w:rPr>
        <w:t>Assistant Consumers’ Counsel</w:t>
      </w:r>
    </w:p>
    <w:p w14:paraId="4A164300" w14:textId="77777777" w:rsidR="001841F6" w:rsidRPr="00F95DDE" w:rsidRDefault="001841F6" w:rsidP="001841F6">
      <w:pPr>
        <w:ind w:left="4320"/>
        <w:rPr>
          <w:szCs w:val="24"/>
        </w:rPr>
      </w:pPr>
    </w:p>
    <w:p w14:paraId="53153482" w14:textId="77777777" w:rsidR="001841F6" w:rsidRPr="00F95DDE" w:rsidRDefault="002713C9" w:rsidP="001841F6">
      <w:pPr>
        <w:pStyle w:val="ListParagraph"/>
        <w:spacing w:after="0"/>
        <w:ind w:left="4320"/>
        <w:rPr>
          <w:rFonts w:ascii="Times New Roman" w:hAnsi="Times New Roman"/>
          <w:b/>
          <w:bCs/>
          <w:sz w:val="24"/>
          <w:szCs w:val="24"/>
        </w:rPr>
      </w:pPr>
      <w:r w:rsidRPr="00F95DDE">
        <w:rPr>
          <w:rFonts w:ascii="Times New Roman" w:hAnsi="Times New Roman"/>
          <w:b/>
          <w:sz w:val="24"/>
          <w:szCs w:val="24"/>
        </w:rPr>
        <w:t>Office of the Ohio Consumers’ Counsel</w:t>
      </w:r>
    </w:p>
    <w:p w14:paraId="6F8C5370" w14:textId="4DE4502E" w:rsidR="001841F6" w:rsidRPr="00F95DDE" w:rsidRDefault="002713C9" w:rsidP="001841F6">
      <w:pPr>
        <w:ind w:left="4320"/>
        <w:rPr>
          <w:szCs w:val="24"/>
        </w:rPr>
      </w:pPr>
      <w:r w:rsidRPr="00F95DDE">
        <w:rPr>
          <w:szCs w:val="24"/>
        </w:rPr>
        <w:t xml:space="preserve">65 East State Street, </w:t>
      </w:r>
      <w:r w:rsidR="005A5190">
        <w:rPr>
          <w:szCs w:val="24"/>
        </w:rPr>
        <w:t>Suite 700</w:t>
      </w:r>
    </w:p>
    <w:p w14:paraId="7569E552" w14:textId="77777777" w:rsidR="001841F6" w:rsidRPr="00F95DDE" w:rsidRDefault="002713C9" w:rsidP="001841F6">
      <w:pPr>
        <w:ind w:left="4320"/>
        <w:rPr>
          <w:szCs w:val="24"/>
        </w:rPr>
      </w:pPr>
      <w:r w:rsidRPr="00F95DDE">
        <w:rPr>
          <w:szCs w:val="24"/>
        </w:rPr>
        <w:t>Columbus, Ohio 43215</w:t>
      </w:r>
    </w:p>
    <w:p w14:paraId="7A8F81E2" w14:textId="77777777" w:rsidR="001841F6" w:rsidRPr="00F95DDE" w:rsidRDefault="002713C9" w:rsidP="001841F6">
      <w:pPr>
        <w:autoSpaceDE w:val="0"/>
        <w:autoSpaceDN w:val="0"/>
        <w:adjustRightInd w:val="0"/>
        <w:ind w:left="4320"/>
        <w:rPr>
          <w:szCs w:val="24"/>
        </w:rPr>
      </w:pPr>
      <w:r w:rsidRPr="00F95DDE">
        <w:rPr>
          <w:szCs w:val="24"/>
        </w:rPr>
        <w:t>Telephone [Michael]: (614) 466-1291</w:t>
      </w:r>
    </w:p>
    <w:p w14:paraId="6E76A81F" w14:textId="77777777" w:rsidR="001841F6" w:rsidRPr="00F95DDE" w:rsidRDefault="002713C9" w:rsidP="001841F6">
      <w:pPr>
        <w:autoSpaceDE w:val="0"/>
        <w:autoSpaceDN w:val="0"/>
        <w:adjustRightInd w:val="0"/>
        <w:ind w:left="4320"/>
        <w:rPr>
          <w:szCs w:val="24"/>
        </w:rPr>
      </w:pPr>
      <w:r w:rsidRPr="00F95DDE">
        <w:rPr>
          <w:szCs w:val="24"/>
        </w:rPr>
        <w:t>Telephone [Botschner O’Brien]: (614) 466-9575</w:t>
      </w:r>
    </w:p>
    <w:p w14:paraId="591C9230" w14:textId="77777777" w:rsidR="001841F6" w:rsidRPr="00F95DDE" w:rsidRDefault="002713C9" w:rsidP="001841F6">
      <w:pPr>
        <w:pStyle w:val="ListParagraph"/>
        <w:autoSpaceDE w:val="0"/>
        <w:autoSpaceDN w:val="0"/>
        <w:adjustRightInd w:val="0"/>
        <w:spacing w:after="0"/>
        <w:ind w:left="4320"/>
        <w:rPr>
          <w:rFonts w:ascii="Times New Roman" w:hAnsi="Times New Roman"/>
          <w:sz w:val="24"/>
          <w:szCs w:val="24"/>
        </w:rPr>
      </w:pPr>
      <w:r w:rsidRPr="00F95DDE">
        <w:rPr>
          <w:rFonts w:ascii="Times New Roman" w:hAnsi="Times New Roman"/>
          <w:sz w:val="24"/>
          <w:szCs w:val="24"/>
        </w:rPr>
        <w:t>Telephone [Finnigan]: (614) 466-9585</w:t>
      </w:r>
    </w:p>
    <w:p w14:paraId="38212F0D" w14:textId="77777777" w:rsidR="001841F6" w:rsidRPr="00F95DDE" w:rsidRDefault="002713C9" w:rsidP="001841F6">
      <w:pPr>
        <w:pStyle w:val="ListParagraph"/>
        <w:autoSpaceDE w:val="0"/>
        <w:autoSpaceDN w:val="0"/>
        <w:adjustRightInd w:val="0"/>
        <w:spacing w:after="0"/>
        <w:ind w:left="4320"/>
        <w:rPr>
          <w:rFonts w:ascii="Times New Roman" w:hAnsi="Times New Roman"/>
          <w:sz w:val="24"/>
          <w:szCs w:val="24"/>
        </w:rPr>
      </w:pPr>
      <w:hyperlink r:id="rId8" w:history="1">
        <w:r w:rsidR="00CC68BA" w:rsidRPr="00F95DDE">
          <w:rPr>
            <w:rStyle w:val="Hyperlink"/>
            <w:rFonts w:ascii="Times New Roman" w:hAnsi="Times New Roman"/>
            <w:sz w:val="24"/>
            <w:szCs w:val="24"/>
          </w:rPr>
          <w:t>william.michael@occ.ohio.gov</w:t>
        </w:r>
      </w:hyperlink>
    </w:p>
    <w:p w14:paraId="6C16E9F9" w14:textId="77777777" w:rsidR="001841F6" w:rsidRPr="00F95DDE" w:rsidRDefault="002713C9" w:rsidP="001841F6">
      <w:pPr>
        <w:autoSpaceDE w:val="0"/>
        <w:autoSpaceDN w:val="0"/>
        <w:adjustRightInd w:val="0"/>
        <w:ind w:left="4320" w:firstLine="15"/>
        <w:rPr>
          <w:color w:val="0000FF"/>
          <w:szCs w:val="24"/>
          <w:u w:val="single"/>
        </w:rPr>
      </w:pPr>
      <w:r>
        <w:rPr>
          <w:color w:val="0000FF"/>
          <w:szCs w:val="24"/>
          <w:u w:val="single"/>
        </w:rPr>
        <w:t>a</w:t>
      </w:r>
      <w:r w:rsidRPr="00F95DDE">
        <w:rPr>
          <w:color w:val="0000FF"/>
          <w:szCs w:val="24"/>
          <w:u w:val="single"/>
        </w:rPr>
        <w:t xml:space="preserve">my.botschner.obrien@occ.ohio.gov </w:t>
      </w:r>
    </w:p>
    <w:p w14:paraId="461AF702" w14:textId="77777777" w:rsidR="001841F6" w:rsidRPr="00F95DDE" w:rsidRDefault="002713C9" w:rsidP="00C577C6">
      <w:pPr>
        <w:pStyle w:val="ListParagraph"/>
        <w:autoSpaceDE w:val="0"/>
        <w:autoSpaceDN w:val="0"/>
        <w:adjustRightInd w:val="0"/>
        <w:spacing w:after="0"/>
        <w:ind w:left="4320" w:firstLine="15"/>
        <w:rPr>
          <w:rStyle w:val="Hyperlink"/>
          <w:rFonts w:ascii="Times New Roman" w:hAnsi="Times New Roman"/>
          <w:sz w:val="24"/>
          <w:szCs w:val="24"/>
        </w:rPr>
      </w:pPr>
      <w:hyperlink r:id="rId9" w:history="1">
        <w:r w:rsidR="00CC68BA" w:rsidRPr="00F95DDE">
          <w:rPr>
            <w:rStyle w:val="Hyperlink"/>
            <w:rFonts w:ascii="Times New Roman" w:hAnsi="Times New Roman"/>
            <w:sz w:val="24"/>
            <w:szCs w:val="24"/>
          </w:rPr>
          <w:t>john.finnigan@occ.ohio.gov</w:t>
        </w:r>
      </w:hyperlink>
    </w:p>
    <w:p w14:paraId="1382E3D1" w14:textId="202F94EC" w:rsidR="001841F6" w:rsidRPr="00C577C6" w:rsidRDefault="002713C9" w:rsidP="00C577C6">
      <w:pPr>
        <w:autoSpaceDE w:val="0"/>
        <w:autoSpaceDN w:val="0"/>
        <w:adjustRightInd w:val="0"/>
        <w:rPr>
          <w:rStyle w:val="Hyperlink"/>
          <w:color w:val="auto"/>
          <w:szCs w:val="24"/>
          <w:u w:val="none"/>
        </w:rPr>
      </w:pPr>
      <w:r>
        <w:rPr>
          <w:rStyle w:val="Hyperlink"/>
          <w:color w:val="auto"/>
          <w:szCs w:val="24"/>
          <w:u w:val="none"/>
        </w:rPr>
        <w:t xml:space="preserve">December </w:t>
      </w:r>
      <w:r w:rsidR="009964D5">
        <w:rPr>
          <w:rStyle w:val="Hyperlink"/>
          <w:color w:val="auto"/>
          <w:szCs w:val="24"/>
          <w:u w:val="none"/>
        </w:rPr>
        <w:t>1</w:t>
      </w:r>
      <w:r>
        <w:rPr>
          <w:rStyle w:val="Hyperlink"/>
          <w:color w:val="auto"/>
          <w:szCs w:val="24"/>
          <w:u w:val="none"/>
        </w:rPr>
        <w:t>, 2021</w:t>
      </w:r>
      <w:r>
        <w:rPr>
          <w:rStyle w:val="Hyperlink"/>
          <w:color w:val="auto"/>
          <w:szCs w:val="24"/>
          <w:u w:val="none"/>
        </w:rPr>
        <w:tab/>
      </w:r>
      <w:r>
        <w:rPr>
          <w:rStyle w:val="Hyperlink"/>
          <w:color w:val="auto"/>
          <w:szCs w:val="24"/>
          <w:u w:val="none"/>
        </w:rPr>
        <w:tab/>
      </w:r>
      <w:r>
        <w:rPr>
          <w:rStyle w:val="Hyperlink"/>
          <w:color w:val="auto"/>
          <w:szCs w:val="24"/>
          <w:u w:val="none"/>
        </w:rPr>
        <w:tab/>
      </w:r>
      <w:r>
        <w:rPr>
          <w:rStyle w:val="Hyperlink"/>
          <w:color w:val="auto"/>
          <w:szCs w:val="24"/>
          <w:u w:val="none"/>
        </w:rPr>
        <w:tab/>
      </w:r>
      <w:r w:rsidRPr="00C577C6">
        <w:rPr>
          <w:rStyle w:val="Hyperlink"/>
          <w:color w:val="auto"/>
          <w:szCs w:val="24"/>
          <w:u w:val="none"/>
        </w:rPr>
        <w:t>(willing to accept service by e-mail)</w:t>
      </w:r>
    </w:p>
    <w:p w14:paraId="047C4AE6" w14:textId="2F52143A" w:rsidR="001841F6" w:rsidRDefault="001841F6" w:rsidP="001841F6">
      <w:pPr>
        <w:ind w:left="4410"/>
        <w:rPr>
          <w:b/>
          <w:bCs w:val="0"/>
          <w:szCs w:val="24"/>
        </w:rPr>
      </w:pPr>
    </w:p>
    <w:p w14:paraId="020C118E" w14:textId="48D10A20" w:rsidR="001841F6" w:rsidRDefault="001841F6" w:rsidP="00855ADD">
      <w:pPr>
        <w:pStyle w:val="Title"/>
      </w:pPr>
    </w:p>
    <w:p w14:paraId="167E5734" w14:textId="77777777" w:rsidR="001841F6" w:rsidRPr="001841F6" w:rsidRDefault="001841F6" w:rsidP="001841F6"/>
    <w:p w14:paraId="34428467" w14:textId="77777777" w:rsidR="001841F6" w:rsidRDefault="001841F6" w:rsidP="001841F6"/>
    <w:p w14:paraId="7A754DE6" w14:textId="240A2537" w:rsidR="001841F6" w:rsidRPr="001841F6" w:rsidRDefault="001841F6" w:rsidP="001841F6">
      <w:pPr>
        <w:sectPr w:rsidR="001841F6" w:rsidRPr="001841F6" w:rsidSect="00E10FA6">
          <w:footerReference w:type="default" r:id="rId10"/>
          <w:pgSz w:w="12240" w:h="15840"/>
          <w:pgMar w:top="1440" w:right="1440" w:bottom="1440" w:left="1440" w:header="720" w:footer="720" w:gutter="0"/>
          <w:cols w:space="720"/>
          <w:titlePg/>
          <w:docGrid w:linePitch="360"/>
        </w:sectPr>
      </w:pPr>
    </w:p>
    <w:p w14:paraId="010D3CBE" w14:textId="4D6DBBC8" w:rsidR="00297E12" w:rsidRPr="00297E12" w:rsidRDefault="002713C9" w:rsidP="00855ADD">
      <w:pPr>
        <w:pStyle w:val="Title"/>
        <w:rPr>
          <w:u w:val="single"/>
        </w:rPr>
      </w:pPr>
      <w:r w:rsidRPr="00297E12">
        <w:rPr>
          <w:u w:val="single"/>
        </w:rPr>
        <w:lastRenderedPageBreak/>
        <w:t>TABLE OF CONTENTS</w:t>
      </w:r>
    </w:p>
    <w:p w14:paraId="05C9BECD" w14:textId="27A97B77" w:rsidR="00297E12" w:rsidRPr="00297E12" w:rsidRDefault="00297E12" w:rsidP="00297E12">
      <w:pPr>
        <w:rPr>
          <w:b/>
        </w:rPr>
      </w:pPr>
    </w:p>
    <w:p w14:paraId="2BF25887" w14:textId="1E84AC69" w:rsidR="00297E12" w:rsidRDefault="002713C9" w:rsidP="00297E12">
      <w:pPr>
        <w:jc w:val="right"/>
        <w:rPr>
          <w:b/>
        </w:rPr>
      </w:pPr>
      <w:r w:rsidRPr="00297E12">
        <w:rPr>
          <w:b/>
        </w:rPr>
        <w:t>PAGE</w:t>
      </w:r>
    </w:p>
    <w:p w14:paraId="62D70039" w14:textId="0DA20295" w:rsidR="00297E12" w:rsidRDefault="00297E12" w:rsidP="00297E12">
      <w:pPr>
        <w:jc w:val="right"/>
        <w:rPr>
          <w:b/>
        </w:rPr>
      </w:pPr>
    </w:p>
    <w:p w14:paraId="6E821FF7" w14:textId="7A436B7D" w:rsidR="00CC68BA" w:rsidRDefault="002713C9">
      <w:pPr>
        <w:pStyle w:val="TOC1"/>
        <w:rPr>
          <w:rFonts w:asciiTheme="minorHAnsi" w:eastAsiaTheme="minorEastAsia" w:hAnsiTheme="minorHAnsi" w:cstheme="minorBidi"/>
          <w:bCs w:val="0"/>
          <w:noProof/>
          <w:color w:val="auto"/>
          <w:sz w:val="22"/>
          <w:szCs w:val="22"/>
        </w:rPr>
      </w:pPr>
      <w:r>
        <w:rPr>
          <w:b/>
        </w:rPr>
        <w:fldChar w:fldCharType="begin"/>
      </w:r>
      <w:r>
        <w:rPr>
          <w:b/>
        </w:rPr>
        <w:instrText xml:space="preserve"> TOC \o "1-3" \h \z \u </w:instrText>
      </w:r>
      <w:r>
        <w:rPr>
          <w:b/>
        </w:rPr>
        <w:fldChar w:fldCharType="separate"/>
      </w:r>
      <w:hyperlink w:anchor="_Toc89259207" w:history="1">
        <w:r w:rsidRPr="00660AF1">
          <w:rPr>
            <w:rStyle w:val="Hyperlink"/>
            <w:noProof/>
          </w:rPr>
          <w:t>I.</w:t>
        </w:r>
        <w:r>
          <w:rPr>
            <w:rFonts w:asciiTheme="minorHAnsi" w:eastAsiaTheme="minorEastAsia" w:hAnsiTheme="minorHAnsi" w:cstheme="minorBidi"/>
            <w:bCs w:val="0"/>
            <w:noProof/>
            <w:color w:val="auto"/>
            <w:sz w:val="22"/>
            <w:szCs w:val="22"/>
          </w:rPr>
          <w:tab/>
        </w:r>
        <w:r w:rsidRPr="00660AF1">
          <w:rPr>
            <w:rStyle w:val="Hyperlink"/>
            <w:noProof/>
          </w:rPr>
          <w:t>INTRODUCTION</w:t>
        </w:r>
        <w:r>
          <w:rPr>
            <w:noProof/>
            <w:webHidden/>
          </w:rPr>
          <w:tab/>
        </w:r>
        <w:r>
          <w:rPr>
            <w:noProof/>
            <w:webHidden/>
          </w:rPr>
          <w:fldChar w:fldCharType="begin"/>
        </w:r>
        <w:r>
          <w:rPr>
            <w:noProof/>
            <w:webHidden/>
          </w:rPr>
          <w:instrText xml:space="preserve"> PAGEREF _Toc89259207 \h </w:instrText>
        </w:r>
        <w:r>
          <w:rPr>
            <w:noProof/>
            <w:webHidden/>
          </w:rPr>
        </w:r>
        <w:r>
          <w:rPr>
            <w:noProof/>
            <w:webHidden/>
          </w:rPr>
          <w:fldChar w:fldCharType="separate"/>
        </w:r>
        <w:r>
          <w:rPr>
            <w:noProof/>
            <w:webHidden/>
          </w:rPr>
          <w:t>1</w:t>
        </w:r>
        <w:r>
          <w:rPr>
            <w:noProof/>
            <w:webHidden/>
          </w:rPr>
          <w:fldChar w:fldCharType="end"/>
        </w:r>
      </w:hyperlink>
    </w:p>
    <w:p w14:paraId="11112E36" w14:textId="4C740DDB" w:rsidR="00CC68BA" w:rsidRDefault="002713C9">
      <w:pPr>
        <w:pStyle w:val="TOC1"/>
        <w:rPr>
          <w:rFonts w:asciiTheme="minorHAnsi" w:eastAsiaTheme="minorEastAsia" w:hAnsiTheme="minorHAnsi" w:cstheme="minorBidi"/>
          <w:bCs w:val="0"/>
          <w:noProof/>
          <w:color w:val="auto"/>
          <w:sz w:val="22"/>
          <w:szCs w:val="22"/>
        </w:rPr>
      </w:pPr>
      <w:hyperlink w:anchor="_Toc89259208" w:history="1">
        <w:r w:rsidR="00B0016B" w:rsidRPr="00660AF1">
          <w:rPr>
            <w:rStyle w:val="Hyperlink"/>
            <w:noProof/>
          </w:rPr>
          <w:t>II.</w:t>
        </w:r>
        <w:r w:rsidR="00B0016B">
          <w:rPr>
            <w:rFonts w:asciiTheme="minorHAnsi" w:eastAsiaTheme="minorEastAsia" w:hAnsiTheme="minorHAnsi" w:cstheme="minorBidi"/>
            <w:bCs w:val="0"/>
            <w:noProof/>
            <w:color w:val="auto"/>
            <w:sz w:val="22"/>
            <w:szCs w:val="22"/>
          </w:rPr>
          <w:tab/>
        </w:r>
        <w:r w:rsidR="00B0016B" w:rsidRPr="00660AF1">
          <w:rPr>
            <w:rStyle w:val="Hyperlink"/>
            <w:noProof/>
          </w:rPr>
          <w:t>LAW AND ARGUMENT</w:t>
        </w:r>
        <w:r w:rsidR="00B0016B">
          <w:rPr>
            <w:noProof/>
            <w:webHidden/>
          </w:rPr>
          <w:tab/>
        </w:r>
        <w:r w:rsidR="00B0016B">
          <w:rPr>
            <w:noProof/>
            <w:webHidden/>
          </w:rPr>
          <w:fldChar w:fldCharType="begin"/>
        </w:r>
        <w:r w:rsidR="00B0016B">
          <w:rPr>
            <w:noProof/>
            <w:webHidden/>
          </w:rPr>
          <w:instrText xml:space="preserve"> PAGEREF _Toc89259208 \h </w:instrText>
        </w:r>
        <w:r w:rsidR="00B0016B">
          <w:rPr>
            <w:noProof/>
            <w:webHidden/>
          </w:rPr>
        </w:r>
        <w:r w:rsidR="00B0016B">
          <w:rPr>
            <w:noProof/>
            <w:webHidden/>
          </w:rPr>
          <w:fldChar w:fldCharType="separate"/>
        </w:r>
        <w:r w:rsidR="00B0016B">
          <w:rPr>
            <w:noProof/>
            <w:webHidden/>
          </w:rPr>
          <w:t>4</w:t>
        </w:r>
        <w:r w:rsidR="00B0016B">
          <w:rPr>
            <w:noProof/>
            <w:webHidden/>
          </w:rPr>
          <w:fldChar w:fldCharType="end"/>
        </w:r>
      </w:hyperlink>
    </w:p>
    <w:p w14:paraId="5B267B3F" w14:textId="09A70E2D" w:rsidR="00CC68BA" w:rsidRDefault="002713C9">
      <w:pPr>
        <w:pStyle w:val="TOC2"/>
        <w:tabs>
          <w:tab w:val="left" w:pos="1440"/>
          <w:tab w:val="right" w:leader="dot" w:pos="9350"/>
        </w:tabs>
        <w:rPr>
          <w:rFonts w:asciiTheme="minorHAnsi" w:eastAsiaTheme="minorEastAsia" w:hAnsiTheme="minorHAnsi" w:cstheme="minorBidi"/>
          <w:bCs w:val="0"/>
          <w:noProof/>
          <w:color w:val="auto"/>
          <w:sz w:val="22"/>
          <w:szCs w:val="22"/>
        </w:rPr>
      </w:pPr>
      <w:hyperlink w:anchor="_Toc89259209" w:history="1">
        <w:r w:rsidR="00B0016B" w:rsidRPr="00660AF1">
          <w:rPr>
            <w:rStyle w:val="Hyperlink"/>
            <w:noProof/>
          </w:rPr>
          <w:t>A.</w:t>
        </w:r>
        <w:r w:rsidR="00B0016B">
          <w:rPr>
            <w:rFonts w:asciiTheme="minorHAnsi" w:eastAsiaTheme="minorEastAsia" w:hAnsiTheme="minorHAnsi" w:cstheme="minorBidi"/>
            <w:bCs w:val="0"/>
            <w:noProof/>
            <w:color w:val="auto"/>
            <w:sz w:val="22"/>
            <w:szCs w:val="22"/>
          </w:rPr>
          <w:tab/>
        </w:r>
        <w:r w:rsidR="00B0016B" w:rsidRPr="00660AF1">
          <w:rPr>
            <w:rStyle w:val="Hyperlink"/>
            <w:noProof/>
          </w:rPr>
          <w:t>The PUCO should deny DP&amp;L’s motion to quash because DP&amp;L failed to demonstrate that the subpoena is “unreasonable or oppressive.”</w:t>
        </w:r>
        <w:r w:rsidR="00B0016B">
          <w:rPr>
            <w:noProof/>
            <w:webHidden/>
          </w:rPr>
          <w:tab/>
        </w:r>
        <w:r w:rsidR="00B0016B">
          <w:rPr>
            <w:noProof/>
            <w:webHidden/>
          </w:rPr>
          <w:fldChar w:fldCharType="begin"/>
        </w:r>
        <w:r w:rsidR="00B0016B">
          <w:rPr>
            <w:noProof/>
            <w:webHidden/>
          </w:rPr>
          <w:instrText xml:space="preserve"> PAGEREF _Toc89259209 \h </w:instrText>
        </w:r>
        <w:r w:rsidR="00B0016B">
          <w:rPr>
            <w:noProof/>
            <w:webHidden/>
          </w:rPr>
        </w:r>
        <w:r w:rsidR="00B0016B">
          <w:rPr>
            <w:noProof/>
            <w:webHidden/>
          </w:rPr>
          <w:fldChar w:fldCharType="separate"/>
        </w:r>
        <w:r w:rsidR="00B0016B">
          <w:rPr>
            <w:noProof/>
            <w:webHidden/>
          </w:rPr>
          <w:t>4</w:t>
        </w:r>
        <w:r w:rsidR="00B0016B">
          <w:rPr>
            <w:noProof/>
            <w:webHidden/>
          </w:rPr>
          <w:fldChar w:fldCharType="end"/>
        </w:r>
      </w:hyperlink>
    </w:p>
    <w:p w14:paraId="6E53117A" w14:textId="7A7B8F59" w:rsidR="00CC68BA" w:rsidRDefault="002713C9">
      <w:pPr>
        <w:pStyle w:val="TOC2"/>
        <w:tabs>
          <w:tab w:val="left" w:pos="1440"/>
          <w:tab w:val="right" w:leader="dot" w:pos="9350"/>
        </w:tabs>
        <w:rPr>
          <w:rFonts w:asciiTheme="minorHAnsi" w:eastAsiaTheme="minorEastAsia" w:hAnsiTheme="minorHAnsi" w:cstheme="minorBidi"/>
          <w:bCs w:val="0"/>
          <w:noProof/>
          <w:color w:val="auto"/>
          <w:sz w:val="22"/>
          <w:szCs w:val="22"/>
        </w:rPr>
      </w:pPr>
      <w:hyperlink w:anchor="_Toc89259210" w:history="1">
        <w:r w:rsidR="00B0016B" w:rsidRPr="00660AF1">
          <w:rPr>
            <w:rStyle w:val="Hyperlink"/>
            <w:rFonts w:eastAsia="Calibri"/>
            <w:noProof/>
          </w:rPr>
          <w:t>B.</w:t>
        </w:r>
        <w:r w:rsidR="00B0016B">
          <w:rPr>
            <w:rFonts w:asciiTheme="minorHAnsi" w:eastAsiaTheme="minorEastAsia" w:hAnsiTheme="minorHAnsi" w:cstheme="minorBidi"/>
            <w:bCs w:val="0"/>
            <w:noProof/>
            <w:color w:val="auto"/>
            <w:sz w:val="22"/>
            <w:szCs w:val="22"/>
          </w:rPr>
          <w:tab/>
        </w:r>
        <w:r w:rsidR="00B0016B" w:rsidRPr="00660AF1">
          <w:rPr>
            <w:rStyle w:val="Hyperlink"/>
            <w:noProof/>
          </w:rPr>
          <w:t xml:space="preserve">OCC has a right to take depositions for consumer protection under Ohio law </w:t>
        </w:r>
        <w:r w:rsidR="00B0016B">
          <w:rPr>
            <w:rStyle w:val="Hyperlink"/>
            <w:noProof/>
          </w:rPr>
          <w:br/>
        </w:r>
        <w:r w:rsidR="00B0016B" w:rsidRPr="00660AF1">
          <w:rPr>
            <w:rStyle w:val="Hyperlink"/>
            <w:noProof/>
          </w:rPr>
          <w:t>and the Ohio Administrative Code.</w:t>
        </w:r>
        <w:r w:rsidR="00B0016B">
          <w:rPr>
            <w:noProof/>
            <w:webHidden/>
          </w:rPr>
          <w:tab/>
        </w:r>
        <w:r w:rsidR="00B0016B">
          <w:rPr>
            <w:noProof/>
            <w:webHidden/>
          </w:rPr>
          <w:fldChar w:fldCharType="begin"/>
        </w:r>
        <w:r w:rsidR="00B0016B">
          <w:rPr>
            <w:noProof/>
            <w:webHidden/>
          </w:rPr>
          <w:instrText xml:space="preserve"> PAGEREF _Toc89259210 \h </w:instrText>
        </w:r>
        <w:r w:rsidR="00B0016B">
          <w:rPr>
            <w:noProof/>
            <w:webHidden/>
          </w:rPr>
        </w:r>
        <w:r w:rsidR="00B0016B">
          <w:rPr>
            <w:noProof/>
            <w:webHidden/>
          </w:rPr>
          <w:fldChar w:fldCharType="separate"/>
        </w:r>
        <w:r w:rsidR="00B0016B">
          <w:rPr>
            <w:noProof/>
            <w:webHidden/>
          </w:rPr>
          <w:t>5</w:t>
        </w:r>
        <w:r w:rsidR="00B0016B">
          <w:rPr>
            <w:noProof/>
            <w:webHidden/>
          </w:rPr>
          <w:fldChar w:fldCharType="end"/>
        </w:r>
      </w:hyperlink>
    </w:p>
    <w:p w14:paraId="03D25D40" w14:textId="578BA077" w:rsidR="00CC68BA" w:rsidRDefault="002713C9">
      <w:pPr>
        <w:pStyle w:val="TOC2"/>
        <w:tabs>
          <w:tab w:val="left" w:pos="1440"/>
          <w:tab w:val="right" w:leader="dot" w:pos="9350"/>
        </w:tabs>
        <w:rPr>
          <w:rFonts w:asciiTheme="minorHAnsi" w:eastAsiaTheme="minorEastAsia" w:hAnsiTheme="minorHAnsi" w:cstheme="minorBidi"/>
          <w:bCs w:val="0"/>
          <w:noProof/>
          <w:color w:val="auto"/>
          <w:sz w:val="22"/>
          <w:szCs w:val="22"/>
        </w:rPr>
      </w:pPr>
      <w:hyperlink w:anchor="_Toc89259211" w:history="1">
        <w:r w:rsidR="00B0016B" w:rsidRPr="00660AF1">
          <w:rPr>
            <w:rStyle w:val="Hyperlink"/>
            <w:noProof/>
          </w:rPr>
          <w:t>C.</w:t>
        </w:r>
        <w:r w:rsidR="00B0016B">
          <w:rPr>
            <w:rFonts w:asciiTheme="minorHAnsi" w:eastAsiaTheme="minorEastAsia" w:hAnsiTheme="minorHAnsi" w:cstheme="minorBidi"/>
            <w:bCs w:val="0"/>
            <w:noProof/>
            <w:color w:val="auto"/>
            <w:sz w:val="22"/>
            <w:szCs w:val="22"/>
          </w:rPr>
          <w:tab/>
        </w:r>
        <w:r w:rsidR="00B0016B" w:rsidRPr="00660AF1">
          <w:rPr>
            <w:rStyle w:val="Hyperlink"/>
            <w:noProof/>
          </w:rPr>
          <w:t>Parties are not limited to choosing one form of discovery over another.</w:t>
        </w:r>
        <w:r w:rsidR="00B0016B">
          <w:rPr>
            <w:noProof/>
            <w:webHidden/>
          </w:rPr>
          <w:tab/>
        </w:r>
        <w:r w:rsidR="00B0016B">
          <w:rPr>
            <w:noProof/>
            <w:webHidden/>
          </w:rPr>
          <w:fldChar w:fldCharType="begin"/>
        </w:r>
        <w:r w:rsidR="00B0016B">
          <w:rPr>
            <w:noProof/>
            <w:webHidden/>
          </w:rPr>
          <w:instrText xml:space="preserve"> PAGEREF _Toc89259211 \h </w:instrText>
        </w:r>
        <w:r w:rsidR="00B0016B">
          <w:rPr>
            <w:noProof/>
            <w:webHidden/>
          </w:rPr>
        </w:r>
        <w:r w:rsidR="00B0016B">
          <w:rPr>
            <w:noProof/>
            <w:webHidden/>
          </w:rPr>
          <w:fldChar w:fldCharType="separate"/>
        </w:r>
        <w:r w:rsidR="00B0016B">
          <w:rPr>
            <w:noProof/>
            <w:webHidden/>
          </w:rPr>
          <w:t>6</w:t>
        </w:r>
        <w:r w:rsidR="00B0016B">
          <w:rPr>
            <w:noProof/>
            <w:webHidden/>
          </w:rPr>
          <w:fldChar w:fldCharType="end"/>
        </w:r>
      </w:hyperlink>
    </w:p>
    <w:p w14:paraId="38501154" w14:textId="6E7ADCF5" w:rsidR="00CC68BA" w:rsidRDefault="002713C9">
      <w:pPr>
        <w:pStyle w:val="TOC2"/>
        <w:tabs>
          <w:tab w:val="left" w:pos="1440"/>
          <w:tab w:val="right" w:leader="dot" w:pos="9350"/>
        </w:tabs>
        <w:rPr>
          <w:rFonts w:asciiTheme="minorHAnsi" w:eastAsiaTheme="minorEastAsia" w:hAnsiTheme="minorHAnsi" w:cstheme="minorBidi"/>
          <w:bCs w:val="0"/>
          <w:noProof/>
          <w:color w:val="auto"/>
          <w:sz w:val="22"/>
          <w:szCs w:val="22"/>
        </w:rPr>
      </w:pPr>
      <w:hyperlink w:anchor="_Toc89259212" w:history="1">
        <w:r w:rsidR="00B0016B" w:rsidRPr="00660AF1">
          <w:rPr>
            <w:rStyle w:val="Hyperlink"/>
            <w:noProof/>
          </w:rPr>
          <w:t>D.</w:t>
        </w:r>
        <w:r w:rsidR="00B0016B">
          <w:rPr>
            <w:rFonts w:asciiTheme="minorHAnsi" w:eastAsiaTheme="minorEastAsia" w:hAnsiTheme="minorHAnsi" w:cstheme="minorBidi"/>
            <w:bCs w:val="0"/>
            <w:noProof/>
            <w:color w:val="auto"/>
            <w:sz w:val="22"/>
            <w:szCs w:val="22"/>
          </w:rPr>
          <w:tab/>
        </w:r>
        <w:r w:rsidR="00B0016B" w:rsidRPr="00660AF1">
          <w:rPr>
            <w:rStyle w:val="Hyperlink"/>
            <w:noProof/>
          </w:rPr>
          <w:t xml:space="preserve">Neither the Ohio Administrative Code nor PUCO precedent precludes </w:t>
        </w:r>
        <w:r w:rsidR="00B0016B">
          <w:rPr>
            <w:rStyle w:val="Hyperlink"/>
            <w:noProof/>
          </w:rPr>
          <w:br/>
        </w:r>
        <w:r w:rsidR="00B0016B" w:rsidRPr="00660AF1">
          <w:rPr>
            <w:rStyle w:val="Hyperlink"/>
            <w:noProof/>
          </w:rPr>
          <w:t>depositions from being conducted in cases that have not been set for hearing.</w:t>
        </w:r>
        <w:r w:rsidR="00B0016B">
          <w:rPr>
            <w:noProof/>
            <w:webHidden/>
          </w:rPr>
          <w:tab/>
        </w:r>
        <w:r w:rsidR="00B0016B">
          <w:rPr>
            <w:noProof/>
            <w:webHidden/>
          </w:rPr>
          <w:fldChar w:fldCharType="begin"/>
        </w:r>
        <w:r w:rsidR="00B0016B">
          <w:rPr>
            <w:noProof/>
            <w:webHidden/>
          </w:rPr>
          <w:instrText xml:space="preserve"> PAGEREF _Toc89259212 \h </w:instrText>
        </w:r>
        <w:r w:rsidR="00B0016B">
          <w:rPr>
            <w:noProof/>
            <w:webHidden/>
          </w:rPr>
        </w:r>
        <w:r w:rsidR="00B0016B">
          <w:rPr>
            <w:noProof/>
            <w:webHidden/>
          </w:rPr>
          <w:fldChar w:fldCharType="separate"/>
        </w:r>
        <w:r w:rsidR="00B0016B">
          <w:rPr>
            <w:noProof/>
            <w:webHidden/>
          </w:rPr>
          <w:t>8</w:t>
        </w:r>
        <w:r w:rsidR="00B0016B">
          <w:rPr>
            <w:noProof/>
            <w:webHidden/>
          </w:rPr>
          <w:fldChar w:fldCharType="end"/>
        </w:r>
      </w:hyperlink>
    </w:p>
    <w:p w14:paraId="72B59C61" w14:textId="508E91AA" w:rsidR="00CC68BA" w:rsidRDefault="002713C9">
      <w:pPr>
        <w:pStyle w:val="TOC1"/>
        <w:rPr>
          <w:rFonts w:asciiTheme="minorHAnsi" w:eastAsiaTheme="minorEastAsia" w:hAnsiTheme="minorHAnsi" w:cstheme="minorBidi"/>
          <w:bCs w:val="0"/>
          <w:noProof/>
          <w:color w:val="auto"/>
          <w:sz w:val="22"/>
          <w:szCs w:val="22"/>
        </w:rPr>
      </w:pPr>
      <w:hyperlink w:anchor="_Toc89259213" w:history="1">
        <w:r w:rsidR="00B0016B" w:rsidRPr="00660AF1">
          <w:rPr>
            <w:rStyle w:val="Hyperlink"/>
            <w:noProof/>
          </w:rPr>
          <w:t>III.</w:t>
        </w:r>
        <w:r w:rsidR="00B0016B">
          <w:rPr>
            <w:rFonts w:asciiTheme="minorHAnsi" w:eastAsiaTheme="minorEastAsia" w:hAnsiTheme="minorHAnsi" w:cstheme="minorBidi"/>
            <w:bCs w:val="0"/>
            <w:noProof/>
            <w:color w:val="auto"/>
            <w:sz w:val="22"/>
            <w:szCs w:val="22"/>
          </w:rPr>
          <w:tab/>
        </w:r>
        <w:r w:rsidR="00B0016B" w:rsidRPr="00660AF1">
          <w:rPr>
            <w:rStyle w:val="Hyperlink"/>
            <w:noProof/>
          </w:rPr>
          <w:t>CONCLUSION</w:t>
        </w:r>
        <w:r w:rsidR="00B0016B">
          <w:rPr>
            <w:noProof/>
            <w:webHidden/>
          </w:rPr>
          <w:tab/>
        </w:r>
        <w:r w:rsidR="00B0016B">
          <w:rPr>
            <w:noProof/>
            <w:webHidden/>
          </w:rPr>
          <w:fldChar w:fldCharType="begin"/>
        </w:r>
        <w:r w:rsidR="00B0016B">
          <w:rPr>
            <w:noProof/>
            <w:webHidden/>
          </w:rPr>
          <w:instrText xml:space="preserve"> PAGEREF _Toc89259213 \h </w:instrText>
        </w:r>
        <w:r w:rsidR="00B0016B">
          <w:rPr>
            <w:noProof/>
            <w:webHidden/>
          </w:rPr>
        </w:r>
        <w:r w:rsidR="00B0016B">
          <w:rPr>
            <w:noProof/>
            <w:webHidden/>
          </w:rPr>
          <w:fldChar w:fldCharType="separate"/>
        </w:r>
        <w:r w:rsidR="00B0016B">
          <w:rPr>
            <w:noProof/>
            <w:webHidden/>
          </w:rPr>
          <w:t>9</w:t>
        </w:r>
        <w:r w:rsidR="00B0016B">
          <w:rPr>
            <w:noProof/>
            <w:webHidden/>
          </w:rPr>
          <w:fldChar w:fldCharType="end"/>
        </w:r>
      </w:hyperlink>
    </w:p>
    <w:p w14:paraId="1B49C953" w14:textId="3C3D1F6A" w:rsidR="00297E12" w:rsidRDefault="002713C9" w:rsidP="00297E12">
      <w:pPr>
        <w:jc w:val="right"/>
        <w:rPr>
          <w:b/>
        </w:rPr>
      </w:pPr>
      <w:r>
        <w:rPr>
          <w:b/>
        </w:rPr>
        <w:fldChar w:fldCharType="end"/>
      </w:r>
    </w:p>
    <w:p w14:paraId="0EA69951" w14:textId="28546084" w:rsidR="00297E12" w:rsidRDefault="00297E12" w:rsidP="00297E12">
      <w:pPr>
        <w:jc w:val="right"/>
        <w:rPr>
          <w:b/>
        </w:rPr>
      </w:pPr>
    </w:p>
    <w:p w14:paraId="4807623F" w14:textId="77777777" w:rsidR="00297E12" w:rsidRPr="00297E12" w:rsidRDefault="00297E12" w:rsidP="00297E12">
      <w:pPr>
        <w:jc w:val="right"/>
        <w:rPr>
          <w:b/>
        </w:rPr>
      </w:pPr>
    </w:p>
    <w:p w14:paraId="737AEA97" w14:textId="77777777" w:rsidR="00297E12" w:rsidRDefault="00297E12" w:rsidP="00297E12"/>
    <w:p w14:paraId="1C78878B" w14:textId="73E0005D" w:rsidR="00297E12" w:rsidRPr="00297E12" w:rsidRDefault="00297E12" w:rsidP="00297E12">
      <w:pPr>
        <w:sectPr w:rsidR="00297E12" w:rsidRPr="00297E12" w:rsidSect="00297E12">
          <w:footerReference w:type="first" r:id="rId11"/>
          <w:pgSz w:w="12240" w:h="15840"/>
          <w:pgMar w:top="1440" w:right="1440" w:bottom="1440" w:left="1440" w:header="720" w:footer="720" w:gutter="0"/>
          <w:pgNumType w:fmt="lowerRoman" w:start="1"/>
          <w:cols w:space="720"/>
          <w:titlePg/>
          <w:docGrid w:linePitch="360"/>
        </w:sectPr>
      </w:pPr>
    </w:p>
    <w:p w14:paraId="522A0B3C" w14:textId="55AE5826" w:rsidR="00855ADD" w:rsidRPr="00BD1AA7" w:rsidRDefault="002713C9" w:rsidP="00855ADD">
      <w:pPr>
        <w:pStyle w:val="Title"/>
      </w:pPr>
      <w:r w:rsidRPr="00BD1AA7">
        <w:lastRenderedPageBreak/>
        <w:t>BEFORE</w:t>
      </w:r>
    </w:p>
    <w:p w14:paraId="31FDE852" w14:textId="77777777" w:rsidR="00855ADD" w:rsidRPr="00BD1AA7" w:rsidRDefault="002713C9" w:rsidP="00855ADD">
      <w:pPr>
        <w:autoSpaceDE w:val="0"/>
        <w:autoSpaceDN w:val="0"/>
        <w:adjustRightInd w:val="0"/>
        <w:jc w:val="center"/>
        <w:rPr>
          <w:b/>
          <w:bCs w:val="0"/>
          <w:szCs w:val="24"/>
        </w:rPr>
      </w:pPr>
      <w:r w:rsidRPr="00BD1AA7">
        <w:rPr>
          <w:b/>
          <w:szCs w:val="24"/>
        </w:rPr>
        <w:t>THE PUBLIC UTILITIES COMMISSION OF OHIO</w:t>
      </w:r>
    </w:p>
    <w:p w14:paraId="74C65E5D" w14:textId="77777777" w:rsidR="00855ADD" w:rsidRPr="0057602B" w:rsidRDefault="00855ADD" w:rsidP="00855ADD">
      <w:pPr>
        <w:autoSpaceDE w:val="0"/>
        <w:autoSpaceDN w:val="0"/>
        <w:adjustRightInd w:val="0"/>
        <w:jc w:val="center"/>
        <w:rPr>
          <w:b/>
          <w:bCs w:val="0"/>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298"/>
        <w:gridCol w:w="4631"/>
      </w:tblGrid>
      <w:tr w:rsidR="00E10325" w14:paraId="2C1E4701" w14:textId="77777777" w:rsidTr="005206E8">
        <w:trPr>
          <w:trHeight w:val="985"/>
        </w:trPr>
        <w:tc>
          <w:tcPr>
            <w:tcW w:w="4631" w:type="dxa"/>
            <w:tcBorders>
              <w:top w:val="nil"/>
              <w:left w:val="nil"/>
              <w:bottom w:val="nil"/>
              <w:right w:val="nil"/>
            </w:tcBorders>
          </w:tcPr>
          <w:p w14:paraId="791F080C" w14:textId="2E9CA513" w:rsidR="00855ADD" w:rsidRPr="0057602B" w:rsidRDefault="002713C9" w:rsidP="00F021B7">
            <w:pPr>
              <w:autoSpaceDE w:val="0"/>
              <w:autoSpaceDN w:val="0"/>
              <w:adjustRightInd w:val="0"/>
              <w:rPr>
                <w:szCs w:val="24"/>
              </w:rPr>
            </w:pPr>
            <w:r w:rsidRPr="0057602B">
              <w:rPr>
                <w:szCs w:val="24"/>
              </w:rPr>
              <w:br w:type="page"/>
              <w:t>In the Matter of the Review of th</w:t>
            </w:r>
            <w:r>
              <w:rPr>
                <w:szCs w:val="24"/>
              </w:rPr>
              <w:t xml:space="preserve">e </w:t>
            </w:r>
            <w:r>
              <w:rPr>
                <w:szCs w:val="24"/>
              </w:rPr>
              <w:t>Reconciliation Rider of The Dayton Power and Light Company.</w:t>
            </w:r>
            <w:r w:rsidR="00D635D7">
              <w:rPr>
                <w:szCs w:val="24"/>
              </w:rPr>
              <w:t xml:space="preserve"> </w:t>
            </w:r>
          </w:p>
        </w:tc>
        <w:tc>
          <w:tcPr>
            <w:tcW w:w="298" w:type="dxa"/>
            <w:tcBorders>
              <w:top w:val="nil"/>
              <w:left w:val="nil"/>
              <w:bottom w:val="nil"/>
              <w:right w:val="nil"/>
            </w:tcBorders>
          </w:tcPr>
          <w:p w14:paraId="3684B4B6" w14:textId="77777777" w:rsidR="00855ADD" w:rsidRPr="0057602B" w:rsidRDefault="002713C9" w:rsidP="005206E8">
            <w:pPr>
              <w:contextualSpacing/>
              <w:rPr>
                <w:szCs w:val="24"/>
              </w:rPr>
            </w:pPr>
            <w:r w:rsidRPr="0057602B">
              <w:rPr>
                <w:szCs w:val="24"/>
              </w:rPr>
              <w:t>)</w:t>
            </w:r>
          </w:p>
          <w:p w14:paraId="1C1589CE" w14:textId="77777777" w:rsidR="00855ADD" w:rsidRPr="0057602B" w:rsidRDefault="002713C9" w:rsidP="005206E8">
            <w:pPr>
              <w:contextualSpacing/>
              <w:rPr>
                <w:szCs w:val="24"/>
              </w:rPr>
            </w:pPr>
            <w:r w:rsidRPr="0057602B">
              <w:rPr>
                <w:szCs w:val="24"/>
              </w:rPr>
              <w:t>)</w:t>
            </w:r>
          </w:p>
          <w:p w14:paraId="01545598" w14:textId="77777777" w:rsidR="00855ADD" w:rsidRPr="0057602B" w:rsidRDefault="002713C9" w:rsidP="005206E8">
            <w:pPr>
              <w:contextualSpacing/>
              <w:rPr>
                <w:szCs w:val="24"/>
              </w:rPr>
            </w:pPr>
            <w:r w:rsidRPr="0057602B">
              <w:rPr>
                <w:szCs w:val="24"/>
              </w:rPr>
              <w:t>)</w:t>
            </w:r>
          </w:p>
        </w:tc>
        <w:tc>
          <w:tcPr>
            <w:tcW w:w="4631" w:type="dxa"/>
            <w:tcBorders>
              <w:top w:val="nil"/>
              <w:left w:val="nil"/>
              <w:bottom w:val="nil"/>
              <w:right w:val="nil"/>
            </w:tcBorders>
          </w:tcPr>
          <w:p w14:paraId="1B644CB6" w14:textId="77777777" w:rsidR="00855ADD" w:rsidRPr="0057602B" w:rsidRDefault="00855ADD" w:rsidP="005206E8">
            <w:pPr>
              <w:contextualSpacing/>
              <w:rPr>
                <w:szCs w:val="24"/>
              </w:rPr>
            </w:pPr>
          </w:p>
          <w:p w14:paraId="71DFA733" w14:textId="77777777" w:rsidR="00855ADD" w:rsidRPr="0057602B" w:rsidRDefault="002713C9" w:rsidP="005206E8">
            <w:pPr>
              <w:autoSpaceDE w:val="0"/>
              <w:autoSpaceDN w:val="0"/>
              <w:adjustRightInd w:val="0"/>
              <w:rPr>
                <w:szCs w:val="24"/>
              </w:rPr>
            </w:pPr>
            <w:r w:rsidRPr="0057602B">
              <w:rPr>
                <w:szCs w:val="24"/>
              </w:rPr>
              <w:t xml:space="preserve">Case No. </w:t>
            </w:r>
            <w:r>
              <w:rPr>
                <w:szCs w:val="24"/>
              </w:rPr>
              <w:t>20-165</w:t>
            </w:r>
            <w:r w:rsidRPr="0057602B">
              <w:rPr>
                <w:szCs w:val="24"/>
              </w:rPr>
              <w:t xml:space="preserve">-EL-RDR </w:t>
            </w:r>
          </w:p>
        </w:tc>
      </w:tr>
    </w:tbl>
    <w:p w14:paraId="2096A9C9" w14:textId="77777777" w:rsidR="00855ADD" w:rsidRPr="0057602B" w:rsidRDefault="00855ADD" w:rsidP="00855ADD">
      <w:pPr>
        <w:pBdr>
          <w:bottom w:val="single" w:sz="12" w:space="0" w:color="auto"/>
        </w:pBdr>
        <w:rPr>
          <w:b/>
          <w:szCs w:val="24"/>
        </w:rPr>
      </w:pPr>
    </w:p>
    <w:p w14:paraId="4EFC553E" w14:textId="77777777" w:rsidR="00855ADD" w:rsidRPr="0057602B" w:rsidRDefault="00855ADD" w:rsidP="00855ADD">
      <w:pPr>
        <w:rPr>
          <w:b/>
          <w:szCs w:val="24"/>
        </w:rPr>
      </w:pPr>
    </w:p>
    <w:p w14:paraId="38F36EEE" w14:textId="77777777" w:rsidR="000E0C6B" w:rsidRDefault="002713C9" w:rsidP="00E10FA6">
      <w:pPr>
        <w:jc w:val="center"/>
        <w:rPr>
          <w:b/>
          <w:szCs w:val="24"/>
        </w:rPr>
      </w:pPr>
      <w:r>
        <w:rPr>
          <w:b/>
          <w:szCs w:val="24"/>
        </w:rPr>
        <w:t xml:space="preserve">MEMORANDUM CONTRA </w:t>
      </w:r>
    </w:p>
    <w:p w14:paraId="3B7AE994" w14:textId="39D387E0" w:rsidR="00855ADD" w:rsidRDefault="002713C9" w:rsidP="00E10FA6">
      <w:pPr>
        <w:jc w:val="center"/>
        <w:rPr>
          <w:b/>
          <w:szCs w:val="24"/>
        </w:rPr>
      </w:pPr>
      <w:r>
        <w:rPr>
          <w:b/>
          <w:szCs w:val="24"/>
        </w:rPr>
        <w:t xml:space="preserve">MOTION OF </w:t>
      </w:r>
      <w:r w:rsidR="00574250">
        <w:rPr>
          <w:b/>
          <w:szCs w:val="24"/>
        </w:rPr>
        <w:t xml:space="preserve">DP&amp;L </w:t>
      </w:r>
      <w:r>
        <w:rPr>
          <w:b/>
          <w:szCs w:val="24"/>
        </w:rPr>
        <w:t xml:space="preserve">TO QUASH </w:t>
      </w:r>
      <w:r w:rsidR="00574250">
        <w:rPr>
          <w:b/>
          <w:szCs w:val="24"/>
        </w:rPr>
        <w:t xml:space="preserve">OCC’S </w:t>
      </w:r>
      <w:r w:rsidR="000E0C6B">
        <w:rPr>
          <w:b/>
          <w:szCs w:val="24"/>
        </w:rPr>
        <w:t>SUBPOENA TO OVEC</w:t>
      </w:r>
      <w:r>
        <w:rPr>
          <w:b/>
          <w:szCs w:val="24"/>
        </w:rPr>
        <w:t xml:space="preserve"> </w:t>
      </w:r>
    </w:p>
    <w:p w14:paraId="3A37BE85" w14:textId="0C37DAFA" w:rsidR="00BB7FFC" w:rsidRDefault="002713C9" w:rsidP="00E10FA6">
      <w:pPr>
        <w:jc w:val="center"/>
        <w:rPr>
          <w:b/>
          <w:szCs w:val="24"/>
        </w:rPr>
      </w:pPr>
      <w:r>
        <w:rPr>
          <w:b/>
          <w:szCs w:val="24"/>
        </w:rPr>
        <w:t>BY</w:t>
      </w:r>
    </w:p>
    <w:p w14:paraId="2F0EA665" w14:textId="16778F36" w:rsidR="00574250" w:rsidRDefault="002713C9" w:rsidP="00E10FA6">
      <w:pPr>
        <w:jc w:val="center"/>
        <w:rPr>
          <w:b/>
          <w:szCs w:val="24"/>
        </w:rPr>
      </w:pPr>
      <w:r>
        <w:rPr>
          <w:b/>
          <w:szCs w:val="24"/>
        </w:rPr>
        <w:t xml:space="preserve">OFFICE OF THE OHIO CONSUMERS’ COUNSEL </w:t>
      </w:r>
    </w:p>
    <w:p w14:paraId="755FB3F2" w14:textId="77777777" w:rsidR="00855ADD" w:rsidRPr="0057602B" w:rsidRDefault="00855ADD" w:rsidP="00855ADD">
      <w:pPr>
        <w:pBdr>
          <w:bottom w:val="single" w:sz="12" w:space="1" w:color="auto"/>
        </w:pBdr>
        <w:jc w:val="center"/>
        <w:rPr>
          <w:b/>
          <w:szCs w:val="24"/>
        </w:rPr>
      </w:pPr>
    </w:p>
    <w:p w14:paraId="601C7B0C" w14:textId="17E15950" w:rsidR="00C21F22" w:rsidRDefault="00C21F22" w:rsidP="00E10FA6">
      <w:pPr>
        <w:rPr>
          <w:b/>
          <w:bCs w:val="0"/>
        </w:rPr>
      </w:pPr>
    </w:p>
    <w:p w14:paraId="7A67A52D" w14:textId="5D8175C2" w:rsidR="000C59E9" w:rsidRPr="002E75C1" w:rsidRDefault="002713C9" w:rsidP="00BF03A0">
      <w:pPr>
        <w:pStyle w:val="Heading1"/>
        <w:numPr>
          <w:ilvl w:val="0"/>
          <w:numId w:val="9"/>
        </w:numPr>
        <w:ind w:left="720"/>
        <w:rPr>
          <w:bCs w:val="0"/>
        </w:rPr>
      </w:pPr>
      <w:bookmarkStart w:id="0" w:name="_Toc89259207"/>
      <w:r w:rsidRPr="002E75C1">
        <w:t>INTRODUCTION</w:t>
      </w:r>
      <w:bookmarkEnd w:id="0"/>
    </w:p>
    <w:p w14:paraId="17CD7273" w14:textId="5C70F5BA" w:rsidR="00671C28" w:rsidRDefault="002713C9" w:rsidP="00695A86">
      <w:pPr>
        <w:spacing w:line="480" w:lineRule="auto"/>
        <w:ind w:firstLine="720"/>
        <w:rPr>
          <w:bCs w:val="0"/>
        </w:rPr>
      </w:pPr>
      <w:r>
        <w:rPr>
          <w:bCs w:val="0"/>
        </w:rPr>
        <w:t xml:space="preserve">On November </w:t>
      </w:r>
      <w:r w:rsidR="003F35FF">
        <w:rPr>
          <w:bCs w:val="0"/>
        </w:rPr>
        <w:t xml:space="preserve">9, 2021, the Office of the Ohio Consumers’ Counsel (“OCC”) filed a motion </w:t>
      </w:r>
      <w:r w:rsidR="00176A29">
        <w:rPr>
          <w:bCs w:val="0"/>
        </w:rPr>
        <w:t>to</w:t>
      </w:r>
      <w:r w:rsidR="003F35FF">
        <w:rPr>
          <w:bCs w:val="0"/>
        </w:rPr>
        <w:t xml:space="preserve"> subpoena the Ohio Valley Electric Corporation (“OVEC”) to appear at a </w:t>
      </w:r>
      <w:r w:rsidR="00172F01">
        <w:rPr>
          <w:bCs w:val="0"/>
        </w:rPr>
        <w:t xml:space="preserve">discovery </w:t>
      </w:r>
      <w:r w:rsidR="003F35FF">
        <w:rPr>
          <w:bCs w:val="0"/>
        </w:rPr>
        <w:t>deposition.</w:t>
      </w:r>
      <w:r w:rsidR="00A4588D">
        <w:rPr>
          <w:bCs w:val="0"/>
        </w:rPr>
        <w:t xml:space="preserve"> </w:t>
      </w:r>
      <w:r w:rsidR="003F35FF">
        <w:rPr>
          <w:bCs w:val="0"/>
        </w:rPr>
        <w:t>DP&amp;L</w:t>
      </w:r>
      <w:r w:rsidR="003B43B1">
        <w:rPr>
          <w:bCs w:val="0"/>
        </w:rPr>
        <w:t xml:space="preserve"> – </w:t>
      </w:r>
      <w:r w:rsidR="00090EA6">
        <w:rPr>
          <w:bCs w:val="0"/>
        </w:rPr>
        <w:t xml:space="preserve">an ungrateful recipient </w:t>
      </w:r>
      <w:r w:rsidR="009761FB">
        <w:rPr>
          <w:bCs w:val="0"/>
        </w:rPr>
        <w:t xml:space="preserve">of </w:t>
      </w:r>
      <w:r w:rsidR="00090EA6">
        <w:rPr>
          <w:bCs w:val="0"/>
        </w:rPr>
        <w:t xml:space="preserve">corporate welfare that it collects from consumers for </w:t>
      </w:r>
      <w:r w:rsidR="00F0145A">
        <w:rPr>
          <w:bCs w:val="0"/>
        </w:rPr>
        <w:t xml:space="preserve">outmoded and </w:t>
      </w:r>
      <w:r w:rsidR="00A8597C">
        <w:rPr>
          <w:bCs w:val="0"/>
        </w:rPr>
        <w:t>pollutin</w:t>
      </w:r>
      <w:r w:rsidR="00F0145A">
        <w:rPr>
          <w:bCs w:val="0"/>
        </w:rPr>
        <w:t>g</w:t>
      </w:r>
      <w:r w:rsidR="00090EA6">
        <w:rPr>
          <w:bCs w:val="0"/>
        </w:rPr>
        <w:t xml:space="preserve"> </w:t>
      </w:r>
      <w:r w:rsidR="009761FB">
        <w:rPr>
          <w:bCs w:val="0"/>
        </w:rPr>
        <w:t xml:space="preserve">OVEC </w:t>
      </w:r>
      <w:r w:rsidR="00090EA6">
        <w:rPr>
          <w:bCs w:val="0"/>
        </w:rPr>
        <w:t>coal plants</w:t>
      </w:r>
      <w:r w:rsidR="003B43B1">
        <w:rPr>
          <w:bCs w:val="0"/>
        </w:rPr>
        <w:t xml:space="preserve"> –</w:t>
      </w:r>
      <w:r w:rsidR="00090EA6">
        <w:rPr>
          <w:bCs w:val="0"/>
        </w:rPr>
        <w:t xml:space="preserve"> wants the PUCO to prevent Ohio’s consumer advocate from inquiring into </w:t>
      </w:r>
      <w:r w:rsidR="009761FB">
        <w:rPr>
          <w:bCs w:val="0"/>
        </w:rPr>
        <w:t>those subsidies</w:t>
      </w:r>
      <w:r w:rsidR="00090EA6">
        <w:rPr>
          <w:bCs w:val="0"/>
        </w:rPr>
        <w:t xml:space="preserve">. </w:t>
      </w:r>
      <w:r w:rsidR="00820BE1">
        <w:rPr>
          <w:bCs w:val="0"/>
        </w:rPr>
        <w:t>On November 19</w:t>
      </w:r>
      <w:r w:rsidR="00651B56">
        <w:rPr>
          <w:bCs w:val="0"/>
        </w:rPr>
        <w:t>, 2021</w:t>
      </w:r>
      <w:r w:rsidR="00820BE1">
        <w:rPr>
          <w:bCs w:val="0"/>
        </w:rPr>
        <w:t xml:space="preserve">, </w:t>
      </w:r>
      <w:r w:rsidR="003F35FF">
        <w:rPr>
          <w:bCs w:val="0"/>
        </w:rPr>
        <w:t>DP&amp;L filed to quash</w:t>
      </w:r>
      <w:r w:rsidR="00D561CF">
        <w:rPr>
          <w:bCs w:val="0"/>
        </w:rPr>
        <w:t xml:space="preserve"> OCC’s subpoena to depose OVEC</w:t>
      </w:r>
      <w:r w:rsidR="003F35FF">
        <w:rPr>
          <w:bCs w:val="0"/>
        </w:rPr>
        <w:t>.</w:t>
      </w:r>
      <w:r w:rsidR="00A4588D">
        <w:rPr>
          <w:bCs w:val="0"/>
        </w:rPr>
        <w:t xml:space="preserve"> </w:t>
      </w:r>
      <w:r w:rsidR="008746A1">
        <w:rPr>
          <w:bCs w:val="0"/>
        </w:rPr>
        <w:t xml:space="preserve">But DP&amp;L’s bargain for </w:t>
      </w:r>
      <w:r w:rsidR="009761FB">
        <w:rPr>
          <w:bCs w:val="0"/>
        </w:rPr>
        <w:t>its</w:t>
      </w:r>
      <w:r w:rsidR="008746A1">
        <w:rPr>
          <w:bCs w:val="0"/>
        </w:rPr>
        <w:t xml:space="preserve"> privilege of serving consumers as an electric monopoly </w:t>
      </w:r>
      <w:r w:rsidR="009761FB">
        <w:rPr>
          <w:bCs w:val="0"/>
        </w:rPr>
        <w:t xml:space="preserve">is </w:t>
      </w:r>
      <w:r w:rsidR="00F0145A">
        <w:rPr>
          <w:bCs w:val="0"/>
        </w:rPr>
        <w:t xml:space="preserve">the </w:t>
      </w:r>
      <w:r w:rsidR="009761FB">
        <w:rPr>
          <w:bCs w:val="0"/>
        </w:rPr>
        <w:t>state</w:t>
      </w:r>
      <w:r w:rsidR="00F0145A">
        <w:rPr>
          <w:bCs w:val="0"/>
        </w:rPr>
        <w:t>’s</w:t>
      </w:r>
      <w:r w:rsidR="009761FB">
        <w:rPr>
          <w:bCs w:val="0"/>
        </w:rPr>
        <w:t xml:space="preserve"> regulation of its charges. </w:t>
      </w:r>
      <w:r w:rsidR="00E2126A">
        <w:t xml:space="preserve">And former Chair Haque wrote that </w:t>
      </w:r>
      <w:r w:rsidR="00E2126A" w:rsidRPr="0075303A">
        <w:rPr>
          <w:szCs w:val="24"/>
        </w:rPr>
        <w:t>“</w:t>
      </w:r>
      <w:r w:rsidR="00E2126A">
        <w:rPr>
          <w:szCs w:val="24"/>
        </w:rPr>
        <w:t>[t]</w:t>
      </w:r>
      <w:r w:rsidR="00E2126A" w:rsidRPr="0075303A">
        <w:rPr>
          <w:szCs w:val="24"/>
        </w:rPr>
        <w:t>his should not be perceived as a blank check, and consumers should not be treated like a trust account”</w:t>
      </w:r>
      <w:r>
        <w:rPr>
          <w:rStyle w:val="FootnoteReference"/>
          <w:szCs w:val="24"/>
        </w:rPr>
        <w:footnoteReference w:id="1"/>
      </w:r>
      <w:r w:rsidR="00E2126A">
        <w:rPr>
          <w:szCs w:val="24"/>
        </w:rPr>
        <w:t xml:space="preserve"> </w:t>
      </w:r>
      <w:r w:rsidR="009761FB">
        <w:rPr>
          <w:bCs w:val="0"/>
        </w:rPr>
        <w:t>OCC is exercising its right under R.C. 4903.082 to conduct discovery</w:t>
      </w:r>
      <w:r w:rsidR="00B33EA7">
        <w:rPr>
          <w:bCs w:val="0"/>
        </w:rPr>
        <w:t xml:space="preserve"> in th</w:t>
      </w:r>
      <w:r w:rsidR="00E2126A">
        <w:rPr>
          <w:bCs w:val="0"/>
        </w:rPr>
        <w:t>e</w:t>
      </w:r>
      <w:r w:rsidR="00B33EA7">
        <w:rPr>
          <w:bCs w:val="0"/>
        </w:rPr>
        <w:t xml:space="preserve"> regulatory process</w:t>
      </w:r>
      <w:r w:rsidR="00E2126A">
        <w:rPr>
          <w:bCs w:val="0"/>
        </w:rPr>
        <w:t xml:space="preserve"> that goes with DP&amp;L’s monopoly</w:t>
      </w:r>
      <w:r w:rsidR="009761FB">
        <w:rPr>
          <w:bCs w:val="0"/>
        </w:rPr>
        <w:t>. The Supreme Court recently upheld OCC’s discovery rights in reversing the PUCO’s violation of that right in the FirstEnergy Advisors case.</w:t>
      </w:r>
      <w:r>
        <w:rPr>
          <w:rStyle w:val="FootnoteReference"/>
          <w:bCs w:val="0"/>
        </w:rPr>
        <w:footnoteReference w:id="2"/>
      </w:r>
      <w:r w:rsidR="009761FB">
        <w:rPr>
          <w:bCs w:val="0"/>
        </w:rPr>
        <w:t xml:space="preserve"> </w:t>
      </w:r>
      <w:r w:rsidR="008746A1">
        <w:rPr>
          <w:bCs w:val="0"/>
        </w:rPr>
        <w:t xml:space="preserve"> </w:t>
      </w:r>
    </w:p>
    <w:p w14:paraId="5A43896F" w14:textId="4C3062E3" w:rsidR="000C59E9" w:rsidRDefault="002713C9" w:rsidP="00695A86">
      <w:pPr>
        <w:spacing w:line="480" w:lineRule="auto"/>
        <w:ind w:firstLine="720"/>
      </w:pPr>
      <w:r>
        <w:rPr>
          <w:bCs w:val="0"/>
        </w:rPr>
        <w:lastRenderedPageBreak/>
        <w:t xml:space="preserve">As background, </w:t>
      </w:r>
      <w:r w:rsidR="005B1312">
        <w:rPr>
          <w:bCs w:val="0"/>
        </w:rPr>
        <w:t xml:space="preserve">the PUCO </w:t>
      </w:r>
      <w:r>
        <w:t>require</w:t>
      </w:r>
      <w:r w:rsidR="005B1312">
        <w:t>d DP&amp;L’s</w:t>
      </w:r>
      <w:r>
        <w:t xml:space="preserve"> customers (at DP&amp;L’s request) to </w:t>
      </w:r>
      <w:r w:rsidR="005B1312">
        <w:t>subsidize</w:t>
      </w:r>
      <w:r>
        <w:t xml:space="preserve"> electricity from two </w:t>
      </w:r>
      <w:r w:rsidR="005B1312">
        <w:t>outdated</w:t>
      </w:r>
      <w:r w:rsidR="001A0019">
        <w:t>,</w:t>
      </w:r>
      <w:r>
        <w:t xml:space="preserve"> </w:t>
      </w:r>
      <w:r w:rsidR="007E14F5">
        <w:t>uneconomic</w:t>
      </w:r>
      <w:r w:rsidR="003E75B9">
        <w:t xml:space="preserve"> </w:t>
      </w:r>
      <w:r>
        <w:t xml:space="preserve">coal </w:t>
      </w:r>
      <w:r w:rsidR="005B1312">
        <w:t xml:space="preserve">power </w:t>
      </w:r>
      <w:r>
        <w:t>plants</w:t>
      </w:r>
      <w:r w:rsidR="005B1312">
        <w:t xml:space="preserve"> that are polluting the planet, as</w:t>
      </w:r>
      <w:r>
        <w:t xml:space="preserve"> operated by OVEC</w:t>
      </w:r>
      <w:r w:rsidR="005B1312">
        <w:t xml:space="preserve">. The utilities then </w:t>
      </w:r>
      <w:r w:rsidR="004552D3">
        <w:t xml:space="preserve">apparently used their influence </w:t>
      </w:r>
      <w:r w:rsidR="00F837BB">
        <w:t>to</w:t>
      </w:r>
      <w:r w:rsidR="005B1312">
        <w:t xml:space="preserve"> convinc</w:t>
      </w:r>
      <w:r w:rsidR="00F837BB">
        <w:t>e</w:t>
      </w:r>
      <w:r w:rsidR="005B1312">
        <w:t xml:space="preserve"> the legislature to codify the subsidy in scandal-ridden House Bill 6. PUCO</w:t>
      </w:r>
      <w:r>
        <w:t xml:space="preserve"> audits of the OVEC </w:t>
      </w:r>
      <w:r w:rsidR="005B1312">
        <w:t>charge</w:t>
      </w:r>
      <w:r w:rsidR="0032310C">
        <w:t>s (</w:t>
      </w:r>
      <w:r w:rsidR="005B1312">
        <w:t xml:space="preserve">that </w:t>
      </w:r>
      <w:r w:rsidR="0032310C">
        <w:t>are</w:t>
      </w:r>
      <w:r w:rsidR="00863BCC">
        <w:t xml:space="preserve"> </w:t>
      </w:r>
      <w:r w:rsidR="00F7571F">
        <w:t xml:space="preserve">paid by </w:t>
      </w:r>
      <w:r w:rsidR="00613575">
        <w:t>utility consumers to</w:t>
      </w:r>
      <w:r>
        <w:t xml:space="preserve"> DP&amp;L, AEP Ohio</w:t>
      </w:r>
      <w:r w:rsidR="00863BCC">
        <w:t>,</w:t>
      </w:r>
      <w:r>
        <w:t xml:space="preserve"> </w:t>
      </w:r>
      <w:r w:rsidR="00613575">
        <w:t xml:space="preserve">and </w:t>
      </w:r>
      <w:r>
        <w:t>Duk</w:t>
      </w:r>
      <w:r w:rsidR="005B1312">
        <w:t>e</w:t>
      </w:r>
      <w:r w:rsidR="00613575">
        <w:t>)</w:t>
      </w:r>
      <w:r w:rsidR="0032310C">
        <w:t xml:space="preserve"> </w:t>
      </w:r>
      <w:r>
        <w:t>confirmed that “the OVEC</w:t>
      </w:r>
      <w:r>
        <w:t xml:space="preserve"> plants cost more than they earn.”</w:t>
      </w:r>
      <w:r>
        <w:rPr>
          <w:rStyle w:val="FootnoteReference"/>
        </w:rPr>
        <w:footnoteReference w:id="3"/>
      </w:r>
      <w:r>
        <w:t xml:space="preserve"> </w:t>
      </w:r>
      <w:r w:rsidR="00803A7D">
        <w:t>It’s a</w:t>
      </w:r>
      <w:r w:rsidR="004D5214">
        <w:t xml:space="preserve"> </w:t>
      </w:r>
      <w:r w:rsidR="00E678C2">
        <w:t>bad</w:t>
      </w:r>
      <w:r w:rsidR="00803A7D">
        <w:t xml:space="preserve"> deal</w:t>
      </w:r>
      <w:r w:rsidR="00E678C2">
        <w:t xml:space="preserve"> </w:t>
      </w:r>
      <w:r w:rsidR="004D5214">
        <w:t>for consumers paying the subsidies.</w:t>
      </w:r>
    </w:p>
    <w:p w14:paraId="10E6B1FB" w14:textId="2AD198A6" w:rsidR="00EC3DE9" w:rsidRPr="00695A86" w:rsidRDefault="002713C9" w:rsidP="00BB7FFC">
      <w:pPr>
        <w:pStyle w:val="ListParagraph"/>
        <w:spacing w:after="0" w:line="480" w:lineRule="auto"/>
        <w:ind w:left="0" w:firstLine="720"/>
        <w:contextualSpacing w:val="0"/>
        <w:rPr>
          <w:rFonts w:ascii="Times New Roman" w:hAnsi="Times New Roman"/>
          <w:sz w:val="24"/>
          <w:szCs w:val="24"/>
        </w:rPr>
      </w:pPr>
      <w:r w:rsidRPr="002E75C1">
        <w:rPr>
          <w:rFonts w:ascii="Times New Roman" w:hAnsi="Times New Roman"/>
          <w:sz w:val="24"/>
          <w:szCs w:val="24"/>
        </w:rPr>
        <w:t xml:space="preserve">As we have found through the years, those like DP&amp;L who feed at the public trough can display a sense of entitlement to their corporate welfare. </w:t>
      </w:r>
      <w:r w:rsidR="00D5147E">
        <w:rPr>
          <w:rFonts w:ascii="Times New Roman" w:hAnsi="Times New Roman"/>
          <w:sz w:val="24"/>
          <w:szCs w:val="24"/>
        </w:rPr>
        <w:t xml:space="preserve">Instead of an open-book approach to its utility costs and charges, </w:t>
      </w:r>
      <w:r w:rsidRPr="002E75C1">
        <w:rPr>
          <w:rFonts w:ascii="Times New Roman" w:hAnsi="Times New Roman"/>
          <w:sz w:val="24"/>
          <w:szCs w:val="24"/>
        </w:rPr>
        <w:t xml:space="preserve">DP&amp;L seeks to </w:t>
      </w:r>
      <w:r w:rsidR="000E0C6B">
        <w:rPr>
          <w:rFonts w:ascii="Times New Roman" w:hAnsi="Times New Roman"/>
          <w:sz w:val="24"/>
          <w:szCs w:val="24"/>
        </w:rPr>
        <w:t xml:space="preserve">quash </w:t>
      </w:r>
      <w:r w:rsidR="00D5147E">
        <w:rPr>
          <w:rFonts w:ascii="Times New Roman" w:hAnsi="Times New Roman"/>
          <w:sz w:val="24"/>
          <w:szCs w:val="24"/>
        </w:rPr>
        <w:t xml:space="preserve">OCC’s </w:t>
      </w:r>
      <w:r w:rsidR="000E0C6B">
        <w:rPr>
          <w:rFonts w:ascii="Times New Roman" w:hAnsi="Times New Roman"/>
          <w:sz w:val="24"/>
          <w:szCs w:val="24"/>
        </w:rPr>
        <w:t>subpoena</w:t>
      </w:r>
      <w:r w:rsidR="00D5147E">
        <w:rPr>
          <w:rFonts w:ascii="Times New Roman" w:hAnsi="Times New Roman"/>
          <w:sz w:val="24"/>
          <w:szCs w:val="24"/>
        </w:rPr>
        <w:t xml:space="preserve"> and avoid state scrutiny.</w:t>
      </w:r>
      <w:r w:rsidRPr="002E75C1">
        <w:rPr>
          <w:rFonts w:ascii="Times New Roman" w:hAnsi="Times New Roman"/>
          <w:sz w:val="24"/>
          <w:szCs w:val="24"/>
        </w:rPr>
        <w:t xml:space="preserve"> </w:t>
      </w:r>
      <w:r w:rsidR="00D5147E">
        <w:rPr>
          <w:rFonts w:ascii="Times New Roman" w:hAnsi="Times New Roman"/>
          <w:sz w:val="24"/>
          <w:szCs w:val="24"/>
        </w:rPr>
        <w:t xml:space="preserve">That is DP&amp;L’s approach </w:t>
      </w:r>
      <w:r w:rsidR="000E0C6B">
        <w:rPr>
          <w:rFonts w:ascii="Times New Roman" w:hAnsi="Times New Roman"/>
          <w:sz w:val="24"/>
          <w:szCs w:val="24"/>
        </w:rPr>
        <w:t>despite</w:t>
      </w:r>
      <w:r w:rsidR="00DD34D3">
        <w:rPr>
          <w:rFonts w:ascii="Times New Roman" w:hAnsi="Times New Roman"/>
          <w:sz w:val="24"/>
          <w:szCs w:val="24"/>
        </w:rPr>
        <w:t xml:space="preserve"> its status as a regulated monopoly utility, its charges for millions of dollars in corporate welfare, and</w:t>
      </w:r>
      <w:r w:rsidR="000E0C6B">
        <w:rPr>
          <w:rFonts w:ascii="Times New Roman" w:hAnsi="Times New Roman"/>
          <w:sz w:val="24"/>
          <w:szCs w:val="24"/>
        </w:rPr>
        <w:t xml:space="preserve"> </w:t>
      </w:r>
      <w:r w:rsidRPr="002E75C1">
        <w:rPr>
          <w:rFonts w:ascii="Times New Roman" w:hAnsi="Times New Roman"/>
          <w:sz w:val="24"/>
          <w:szCs w:val="24"/>
        </w:rPr>
        <w:t xml:space="preserve">the </w:t>
      </w:r>
      <w:r w:rsidR="00EC0DDB" w:rsidRPr="002E75C1">
        <w:rPr>
          <w:rFonts w:ascii="Times New Roman" w:hAnsi="Times New Roman"/>
          <w:sz w:val="24"/>
          <w:szCs w:val="24"/>
        </w:rPr>
        <w:t>ample discovery rights guaranteed under Ohio law, PUCO rules and PUCO precedent.</w:t>
      </w:r>
      <w:r>
        <w:rPr>
          <w:rStyle w:val="FootnoteReference"/>
          <w:rFonts w:ascii="Times New Roman" w:hAnsi="Times New Roman"/>
          <w:sz w:val="24"/>
          <w:szCs w:val="24"/>
        </w:rPr>
        <w:footnoteReference w:id="4"/>
      </w:r>
      <w:r w:rsidR="00207593" w:rsidRPr="002E75C1">
        <w:rPr>
          <w:rFonts w:ascii="Times New Roman" w:hAnsi="Times New Roman"/>
          <w:sz w:val="24"/>
          <w:szCs w:val="24"/>
        </w:rPr>
        <w:t xml:space="preserve"> </w:t>
      </w:r>
    </w:p>
    <w:p w14:paraId="414C3C62" w14:textId="5051AC22" w:rsidR="00411224" w:rsidRDefault="002713C9" w:rsidP="00411224">
      <w:pPr>
        <w:spacing w:line="480" w:lineRule="auto"/>
        <w:ind w:firstLine="720"/>
      </w:pPr>
      <w:r>
        <w:t xml:space="preserve">The longstanding Ohio Administrative Code provisions for discovery, some of which date back to 1981 in their current form, are meant to facilitate thorough and adequate </w:t>
      </w:r>
      <w:r>
        <w:t>preparation…” in PUCO cases.</w:t>
      </w:r>
      <w:r>
        <w:rPr>
          <w:rStyle w:val="FootnoteReference"/>
        </w:rPr>
        <w:footnoteReference w:id="5"/>
      </w:r>
      <w:r w:rsidR="00D635D7">
        <w:t xml:space="preserve"> </w:t>
      </w:r>
      <w:r>
        <w:t>And they’re “intended to minimize commission intervention in the discovery process.”</w:t>
      </w:r>
      <w:r>
        <w:rPr>
          <w:rStyle w:val="FootnoteReference"/>
        </w:rPr>
        <w:footnoteReference w:id="6"/>
      </w:r>
      <w:r>
        <w:t xml:space="preserve"> </w:t>
      </w:r>
    </w:p>
    <w:p w14:paraId="46280452" w14:textId="7878C4A7" w:rsidR="007217F5" w:rsidRPr="007217F5" w:rsidRDefault="002713C9" w:rsidP="00411224">
      <w:pPr>
        <w:spacing w:line="480" w:lineRule="auto"/>
        <w:ind w:firstLine="720"/>
        <w:rPr>
          <w:szCs w:val="24"/>
        </w:rPr>
      </w:pPr>
      <w:r>
        <w:lastRenderedPageBreak/>
        <w:t xml:space="preserve">Here, the PUCO </w:t>
      </w:r>
      <w:r w:rsidR="00172F01">
        <w:t>conducted</w:t>
      </w:r>
      <w:r>
        <w:t xml:space="preserve"> annual audits of the charges to consumers for the coal </w:t>
      </w:r>
      <w:r w:rsidR="00EC3DE9">
        <w:t xml:space="preserve">power </w:t>
      </w:r>
      <w:r>
        <w:t xml:space="preserve">plant subsidies. </w:t>
      </w:r>
      <w:r w:rsidR="00664158">
        <w:t>P</w:t>
      </w:r>
      <w:r w:rsidR="003E75B9">
        <w:t>arties may</w:t>
      </w:r>
      <w:r>
        <w:t xml:space="preserve"> consider any subsidy c</w:t>
      </w:r>
      <w:r>
        <w:t>harge for these coal plants to be unreasonable and anti-competitive for consumers to pay.</w:t>
      </w:r>
      <w:r w:rsidR="00D635D7">
        <w:t xml:space="preserve"> </w:t>
      </w:r>
      <w:r>
        <w:t xml:space="preserve">It is </w:t>
      </w:r>
      <w:r w:rsidR="00172F01">
        <w:t>OCC’s</w:t>
      </w:r>
      <w:r>
        <w:t xml:space="preserve"> right under law to do so.  </w:t>
      </w:r>
    </w:p>
    <w:p w14:paraId="1CF86EB2" w14:textId="2B94695C" w:rsidR="00015EFB" w:rsidRDefault="002713C9" w:rsidP="007217F5">
      <w:pPr>
        <w:spacing w:line="480" w:lineRule="auto"/>
        <w:ind w:firstLine="720"/>
      </w:pPr>
      <w:r>
        <w:t>The use of discovery</w:t>
      </w:r>
      <w:r w:rsidR="001A0019">
        <w:t xml:space="preserve"> </w:t>
      </w:r>
      <w:r w:rsidR="001E4313">
        <w:t xml:space="preserve">especially </w:t>
      </w:r>
      <w:r>
        <w:t>is important in this case</w:t>
      </w:r>
      <w:r w:rsidR="00D3228D">
        <w:t>. That’s</w:t>
      </w:r>
      <w:r>
        <w:t xml:space="preserve"> because</w:t>
      </w:r>
      <w:r w:rsidR="003F35FF">
        <w:t xml:space="preserve">, </w:t>
      </w:r>
      <w:r w:rsidR="00D3228D">
        <w:t>incredibly</w:t>
      </w:r>
      <w:r w:rsidR="003F35FF">
        <w:t>,</w:t>
      </w:r>
      <w:r>
        <w:t xml:space="preserve"> the </w:t>
      </w:r>
      <w:r w:rsidR="00D3228D">
        <w:t xml:space="preserve">report of the </w:t>
      </w:r>
      <w:r w:rsidR="00EC3DE9">
        <w:t>PUCO</w:t>
      </w:r>
      <w:r w:rsidR="00D3228D">
        <w:t xml:space="preserve">-hired </w:t>
      </w:r>
      <w:r w:rsidR="00BC4FEC">
        <w:t xml:space="preserve">auditor </w:t>
      </w:r>
      <w:r w:rsidR="002F0C0C">
        <w:t>(</w:t>
      </w:r>
      <w:r w:rsidR="00DD0667">
        <w:t>Vantage Energy Consulting</w:t>
      </w:r>
      <w:r w:rsidR="002F0C0C">
        <w:t>)</w:t>
      </w:r>
      <w:r w:rsidR="00DD0667">
        <w:t xml:space="preserve"> </w:t>
      </w:r>
      <w:r w:rsidR="00D3228D">
        <w:t>was filed without an</w:t>
      </w:r>
      <w:r>
        <w:t xml:space="preserve"> analysis of </w:t>
      </w:r>
      <w:r w:rsidR="00D3228D">
        <w:t xml:space="preserve">OVEC’s </w:t>
      </w:r>
      <w:r w:rsidR="003E75B9">
        <w:t>committing</w:t>
      </w:r>
      <w:r w:rsidR="00D3228D">
        <w:t xml:space="preserve"> of</w:t>
      </w:r>
      <w:r w:rsidR="003E75B9">
        <w:t xml:space="preserve"> the </w:t>
      </w:r>
      <w:r w:rsidR="00D3228D">
        <w:t xml:space="preserve">coal </w:t>
      </w:r>
      <w:r w:rsidR="003E75B9">
        <w:t xml:space="preserve">plants into the PJM day ahead energy market as must-run </w:t>
      </w:r>
      <w:r w:rsidR="00D3228D">
        <w:t>(</w:t>
      </w:r>
      <w:r w:rsidR="003E75B9">
        <w:t>v</w:t>
      </w:r>
      <w:r w:rsidR="00401173">
        <w:t>ersus</w:t>
      </w:r>
      <w:r w:rsidR="003E75B9">
        <w:t xml:space="preserve"> economic</w:t>
      </w:r>
      <w:r w:rsidR="00D3228D">
        <w:t>)</w:t>
      </w:r>
      <w:r>
        <w:t>.</w:t>
      </w:r>
      <w:r w:rsidR="00D3228D">
        <w:t xml:space="preserve"> </w:t>
      </w:r>
      <w:r w:rsidR="00334C3E">
        <w:t>The</w:t>
      </w:r>
      <w:r w:rsidR="009F0BBC">
        <w:t xml:space="preserve"> analysis was needed because the</w:t>
      </w:r>
      <w:r w:rsidR="00334C3E">
        <w:t xml:space="preserve"> plants</w:t>
      </w:r>
      <w:r w:rsidR="00D3228D">
        <w:t xml:space="preserve"> tend to lose money for consumers when they run</w:t>
      </w:r>
      <w:r w:rsidR="0007460D">
        <w:t>.</w:t>
      </w:r>
      <w:r w:rsidR="00D3228D">
        <w:t xml:space="preserve"> </w:t>
      </w:r>
      <w:r w:rsidR="0007460D">
        <w:t>But despite the potential to lose money (meaning consumers’ money, thanks to the PUCO’s approval of the subsidy),</w:t>
      </w:r>
      <w:r w:rsidR="00334C3E">
        <w:t xml:space="preserve"> the utilities and OVEC had them </w:t>
      </w:r>
      <w:r w:rsidR="00D3228D">
        <w:t>running a lot. The auditor in the AEP and Duke cases addressed th</w:t>
      </w:r>
      <w:r w:rsidR="00334C3E">
        <w:t>is consumer</w:t>
      </w:r>
      <w:r w:rsidR="00D3228D">
        <w:t xml:space="preserve"> issue</w:t>
      </w:r>
      <w:r w:rsidR="00334C3E">
        <w:t>, but not so for DP&amp;L consumers.</w:t>
      </w:r>
      <w:r>
        <w:rPr>
          <w:rStyle w:val="FootnoteReference"/>
        </w:rPr>
        <w:footnoteReference w:id="7"/>
      </w:r>
      <w:r w:rsidR="00D3228D">
        <w:t xml:space="preserve"> </w:t>
      </w:r>
      <w:r w:rsidR="00D635D7">
        <w:t xml:space="preserve"> </w:t>
      </w:r>
    </w:p>
    <w:p w14:paraId="5BADDD61" w14:textId="1892DEFE" w:rsidR="003F35FF" w:rsidRDefault="002713C9" w:rsidP="00207593">
      <w:pPr>
        <w:spacing w:line="480" w:lineRule="auto"/>
        <w:ind w:firstLine="720"/>
      </w:pPr>
      <w:r>
        <w:t xml:space="preserve">In the audit </w:t>
      </w:r>
      <w:r w:rsidR="00EC3DE9">
        <w:t>for protecting AEP’s consumers</w:t>
      </w:r>
      <w:r>
        <w:t>, the auditor</w:t>
      </w:r>
      <w:r w:rsidR="00E94DF9">
        <w:t xml:space="preserve"> noted</w:t>
      </w:r>
      <w:r w:rsidR="00633E90">
        <w:t xml:space="preserve"> that</w:t>
      </w:r>
      <w:r w:rsidR="00F27379">
        <w:t xml:space="preserve"> </w:t>
      </w:r>
      <w:r w:rsidR="00E94DF9">
        <w:t>OVEC co</w:t>
      </w:r>
      <w:r w:rsidR="00633E90">
        <w:t>ntinued running</w:t>
      </w:r>
      <w:r w:rsidR="00E94DF9">
        <w:t xml:space="preserve"> the plants </w:t>
      </w:r>
      <w:r w:rsidR="00F27379">
        <w:t>on days when</w:t>
      </w:r>
      <w:r w:rsidR="00E94DF9">
        <w:t xml:space="preserve"> the plants earned less revenue from selling electricity than the </w:t>
      </w:r>
      <w:r w:rsidR="00F27379">
        <w:t xml:space="preserve">plants’ </w:t>
      </w:r>
      <w:r w:rsidR="00E94DF9">
        <w:t>variable operating costs.</w:t>
      </w:r>
      <w:r>
        <w:rPr>
          <w:rStyle w:val="FootnoteReference"/>
        </w:rPr>
        <w:footnoteReference w:id="8"/>
      </w:r>
      <w:r w:rsidR="00D635D7">
        <w:t xml:space="preserve"> </w:t>
      </w:r>
      <w:r w:rsidR="00E94DF9">
        <w:t>Accordingly, the</w:t>
      </w:r>
      <w:r>
        <w:t xml:space="preserve"> PUCO</w:t>
      </w:r>
      <w:r w:rsidR="00A845D4">
        <w:t xml:space="preserve"> </w:t>
      </w:r>
      <w:r w:rsidR="00E94DF9">
        <w:t>auditor</w:t>
      </w:r>
      <w:r>
        <w:t xml:space="preserve"> in the AEP case</w:t>
      </w:r>
      <w:r w:rsidR="00E94DF9">
        <w:t xml:space="preserve"> recommended that OVEC reconsider its must-run offer strategy that caused these losses.</w:t>
      </w:r>
      <w:r>
        <w:rPr>
          <w:rStyle w:val="FootnoteReference"/>
        </w:rPr>
        <w:footnoteReference w:id="9"/>
      </w:r>
      <w:r w:rsidR="00E94DF9">
        <w:t xml:space="preserve"> </w:t>
      </w:r>
    </w:p>
    <w:p w14:paraId="1017ABBA" w14:textId="560CD306" w:rsidR="0091636E" w:rsidRDefault="002713C9" w:rsidP="00207593">
      <w:pPr>
        <w:spacing w:line="480" w:lineRule="auto"/>
        <w:ind w:firstLine="720"/>
      </w:pPr>
      <w:r>
        <w:t xml:space="preserve">OCC’s need for discovery is also prompted by a recent Michigan Public Service Commission (“MPSC”) </w:t>
      </w:r>
      <w:r w:rsidR="009A2059">
        <w:t>order</w:t>
      </w:r>
      <w:r>
        <w:t xml:space="preserve"> involving Indiana Michigan Power Company’s (an AEP affiliate) fuel adjustment clause case, which included costs from the OVEC plants (Indiana Michigan receives 7.85% of OVEC’s output under the Inter-Company Power Agreement)</w:t>
      </w:r>
      <w:r>
        <w:t xml:space="preserve">. </w:t>
      </w:r>
      <w:r>
        <w:t>In that</w:t>
      </w:r>
      <w:r>
        <w:t xml:space="preserve"> case, the </w:t>
      </w:r>
      <w:r>
        <w:lastRenderedPageBreak/>
        <w:t>MPSC reviewed several forecasts showing the OVEC’s costs for energy and capacity will exceed PJM market prices; therefore, the MPSC issued the following warning:</w:t>
      </w:r>
    </w:p>
    <w:p w14:paraId="3A922A6F" w14:textId="607F5977" w:rsidR="0091636E" w:rsidRDefault="002713C9" w:rsidP="0091636E">
      <w:pPr>
        <w:ind w:left="1440" w:right="1440"/>
        <w:rPr>
          <w:sz w:val="23"/>
          <w:szCs w:val="23"/>
        </w:rPr>
      </w:pPr>
      <w:r>
        <w:rPr>
          <w:sz w:val="23"/>
          <w:szCs w:val="23"/>
        </w:rPr>
        <w:t xml:space="preserve">The company is put on notice that the Commission is unlikely to permit the utility </w:t>
      </w:r>
      <w:r>
        <w:rPr>
          <w:sz w:val="23"/>
          <w:szCs w:val="23"/>
        </w:rPr>
        <w:t>to recover these uneconomic costs from its customers in rates, rate schedules, or PSCR factors established in the future without good faith efforts to manage existing contracts such as meaningful attempts to renegotiate contract provisions to ensure contin</w:t>
      </w:r>
      <w:r>
        <w:rPr>
          <w:sz w:val="23"/>
          <w:szCs w:val="23"/>
        </w:rPr>
        <w:t>ued value for ratepayers.</w:t>
      </w:r>
      <w:r>
        <w:rPr>
          <w:rStyle w:val="FootnoteReference"/>
          <w:sz w:val="23"/>
          <w:szCs w:val="23"/>
        </w:rPr>
        <w:footnoteReference w:id="10"/>
      </w:r>
    </w:p>
    <w:p w14:paraId="24698A19" w14:textId="7FE3ACFB" w:rsidR="009A2059" w:rsidRDefault="009A2059" w:rsidP="009A2059">
      <w:pPr>
        <w:ind w:right="1440"/>
        <w:rPr>
          <w:sz w:val="23"/>
          <w:szCs w:val="23"/>
        </w:rPr>
      </w:pPr>
    </w:p>
    <w:p w14:paraId="5C701976" w14:textId="05185B4F" w:rsidR="009A2059" w:rsidRDefault="002713C9" w:rsidP="009A2059">
      <w:pPr>
        <w:spacing w:line="480" w:lineRule="auto"/>
        <w:rPr>
          <w:sz w:val="23"/>
          <w:szCs w:val="23"/>
        </w:rPr>
      </w:pPr>
      <w:r>
        <w:rPr>
          <w:sz w:val="23"/>
          <w:szCs w:val="23"/>
        </w:rPr>
        <w:tab/>
        <w:t>OCC needs to obtain discovery on this issue of what</w:t>
      </w:r>
      <w:r w:rsidR="00EE273C">
        <w:rPr>
          <w:sz w:val="23"/>
          <w:szCs w:val="23"/>
        </w:rPr>
        <w:t>, if anything,</w:t>
      </w:r>
      <w:r>
        <w:rPr>
          <w:sz w:val="23"/>
          <w:szCs w:val="23"/>
        </w:rPr>
        <w:t xml:space="preserve"> Indiana Michigan and the other OVEC owners like DP&amp;L</w:t>
      </w:r>
      <w:r w:rsidR="00EE273C">
        <w:rPr>
          <w:sz w:val="23"/>
          <w:szCs w:val="23"/>
        </w:rPr>
        <w:t xml:space="preserve"> are doing to “renegotiate contract provisions to ensure continued value for ratepayers.”</w:t>
      </w:r>
    </w:p>
    <w:p w14:paraId="3E95B5AC" w14:textId="6030B0E0" w:rsidR="001E4313" w:rsidRDefault="002713C9" w:rsidP="00207593">
      <w:pPr>
        <w:spacing w:line="480" w:lineRule="auto"/>
        <w:ind w:firstLine="720"/>
      </w:pPr>
      <w:r>
        <w:t>DP&amp;L’s motion to quash OCC’s subpoena and the consumer protection it represents should be denied.</w:t>
      </w:r>
    </w:p>
    <w:p w14:paraId="461FE6AA" w14:textId="77777777" w:rsidR="00BF03A0" w:rsidRDefault="00BF03A0" w:rsidP="00BF03A0">
      <w:pPr>
        <w:ind w:firstLine="720"/>
      </w:pPr>
    </w:p>
    <w:p w14:paraId="7F494F52" w14:textId="3E5D30F9" w:rsidR="00AB21C3" w:rsidRPr="00DD0667" w:rsidRDefault="002713C9" w:rsidP="00BF03A0">
      <w:pPr>
        <w:pStyle w:val="Heading1"/>
      </w:pPr>
      <w:bookmarkStart w:id="1" w:name="_Toc89259208"/>
      <w:r>
        <w:t>II.</w:t>
      </w:r>
      <w:r>
        <w:tab/>
        <w:t>LAW AND ARGUMENT</w:t>
      </w:r>
      <w:bookmarkEnd w:id="1"/>
    </w:p>
    <w:p w14:paraId="78631B5F" w14:textId="240BCDFF" w:rsidR="00AB21C3" w:rsidRDefault="002713C9" w:rsidP="00BF03A0">
      <w:pPr>
        <w:pStyle w:val="Default"/>
        <w:numPr>
          <w:ilvl w:val="0"/>
          <w:numId w:val="6"/>
        </w:numPr>
        <w:rPr>
          <w:b/>
          <w:bCs w:val="0"/>
        </w:rPr>
      </w:pPr>
      <w:bookmarkStart w:id="2" w:name="_Toc89259209"/>
      <w:r w:rsidRPr="00BF03A0">
        <w:rPr>
          <w:rStyle w:val="Heading2Char"/>
        </w:rPr>
        <w:t xml:space="preserve">The PUCO should </w:t>
      </w:r>
      <w:r w:rsidR="00E23CEF">
        <w:rPr>
          <w:rStyle w:val="Heading2Char"/>
        </w:rPr>
        <w:t>deny</w:t>
      </w:r>
      <w:r w:rsidR="00E23CEF" w:rsidRPr="00BF03A0">
        <w:rPr>
          <w:rStyle w:val="Heading2Char"/>
        </w:rPr>
        <w:t xml:space="preserve"> </w:t>
      </w:r>
      <w:r w:rsidRPr="00BF03A0">
        <w:rPr>
          <w:rStyle w:val="Heading2Char"/>
        </w:rPr>
        <w:t xml:space="preserve">DP&amp;L’s motion </w:t>
      </w:r>
      <w:r>
        <w:rPr>
          <w:rStyle w:val="Heading2Char"/>
        </w:rPr>
        <w:t xml:space="preserve">to quash </w:t>
      </w:r>
      <w:r w:rsidRPr="00BF03A0">
        <w:rPr>
          <w:rStyle w:val="Heading2Char"/>
        </w:rPr>
        <w:t>be</w:t>
      </w:r>
      <w:r w:rsidRPr="00BF03A0">
        <w:rPr>
          <w:rStyle w:val="Heading2Char"/>
        </w:rPr>
        <w:t>cause</w:t>
      </w:r>
      <w:r>
        <w:rPr>
          <w:rStyle w:val="Heading2Char"/>
        </w:rPr>
        <w:t xml:space="preserve"> DP&amp;L failed to demonstrate that the subpoena is “unreasonable or oppressive.”</w:t>
      </w:r>
      <w:bookmarkEnd w:id="2"/>
    </w:p>
    <w:p w14:paraId="52C3E5CC" w14:textId="77777777" w:rsidR="00BF03A0" w:rsidRPr="00327386" w:rsidRDefault="00BF03A0" w:rsidP="00BF03A0">
      <w:pPr>
        <w:pStyle w:val="Default"/>
        <w:ind w:left="1440"/>
        <w:rPr>
          <w:b/>
          <w:bCs w:val="0"/>
        </w:rPr>
      </w:pPr>
    </w:p>
    <w:p w14:paraId="0A91D324" w14:textId="77777777" w:rsidR="001141A5" w:rsidRDefault="002713C9" w:rsidP="00AB21C3">
      <w:pPr>
        <w:pStyle w:val="Default"/>
        <w:spacing w:line="480" w:lineRule="auto"/>
        <w:ind w:firstLine="720"/>
      </w:pPr>
      <w:r>
        <w:t>A</w:t>
      </w:r>
      <w:r w:rsidR="00AB21C3">
        <w:t xml:space="preserve"> </w:t>
      </w:r>
      <w:r w:rsidR="000E02AA">
        <w:t>person who receives a subpoena may seek to quash it if the subpoena is “unreasonable or oppressive.”</w:t>
      </w:r>
      <w:r>
        <w:rPr>
          <w:rStyle w:val="FootnoteReference"/>
        </w:rPr>
        <w:footnoteReference w:id="11"/>
      </w:r>
      <w:r w:rsidR="00A4588D">
        <w:t xml:space="preserve"> </w:t>
      </w:r>
      <w:r w:rsidR="000E02AA">
        <w:t>DP&amp;L cannot demonstrate that the subpoena is unreasonable or oppressive because the deposition does not require DP&amp;L to do anything.</w:t>
      </w:r>
      <w:r w:rsidR="00A4588D">
        <w:t xml:space="preserve"> </w:t>
      </w:r>
      <w:r w:rsidR="00870AD2">
        <w:t>OCC’s subpoena asks OVEC, not DP&amp;L, to appear at deposition and produce documents.</w:t>
      </w:r>
      <w:r w:rsidR="00A4588D">
        <w:t xml:space="preserve"> </w:t>
      </w:r>
      <w:r w:rsidR="00870AD2">
        <w:t xml:space="preserve">The PUCO should dismiss DP&amp;L’s motion to quash because DP&amp;L cannot demonstrate that the subpoena is unreasonable or oppressive. </w:t>
      </w:r>
    </w:p>
    <w:p w14:paraId="28D2D7FE" w14:textId="3EF318AF" w:rsidR="00AB21C3" w:rsidRDefault="002713C9" w:rsidP="001141A5">
      <w:pPr>
        <w:pStyle w:val="Default"/>
        <w:spacing w:line="480" w:lineRule="auto"/>
        <w:ind w:firstLine="720"/>
      </w:pPr>
      <w:r>
        <w:lastRenderedPageBreak/>
        <w:t>Further</w:t>
      </w:r>
      <w:r w:rsidR="00E23CEF">
        <w:t xml:space="preserve">, the subpoena is an entirely reasonable and ordinary use of discovery. </w:t>
      </w:r>
      <w:r>
        <w:t xml:space="preserve">OCC </w:t>
      </w:r>
      <w:r w:rsidR="00870AD2">
        <w:t>has</w:t>
      </w:r>
      <w:r>
        <w:t xml:space="preserve"> a clear right to conduct discovery “to facilitate thorough and adequate preparation in commission proceedings”</w:t>
      </w:r>
      <w:r w:rsidR="00AE618E">
        <w:t xml:space="preserve"> and under R.C. 4903.082.</w:t>
      </w:r>
      <w:r>
        <w:rPr>
          <w:rStyle w:val="FootnoteReference"/>
        </w:rPr>
        <w:footnoteReference w:id="12"/>
      </w:r>
      <w:r>
        <w:t xml:space="preserve"> DP&amp;L wan</w:t>
      </w:r>
      <w:r>
        <w:t>ts the PUCO to tilt the justice system toward it and away from consumers, where consumers are denied the opportunity to present relevant information to the PUCO. DP&amp;L is taking a page from FirstEnergy Advisors’ recent playbook.</w:t>
      </w:r>
      <w:r w:rsidR="00D635D7">
        <w:t xml:space="preserve"> </w:t>
      </w:r>
      <w:r>
        <w:t xml:space="preserve">The PUCO should </w:t>
      </w:r>
      <w:r w:rsidR="00F868AD">
        <w:t>deny</w:t>
      </w:r>
      <w:r>
        <w:t xml:space="preserve"> a motio</w:t>
      </w:r>
      <w:r>
        <w:t xml:space="preserve">n to quash when, as in this case, the party seeking to </w:t>
      </w:r>
      <w:r w:rsidR="00A529DB">
        <w:t>“</w:t>
      </w:r>
      <w:r>
        <w:t>quash</w:t>
      </w:r>
      <w:r w:rsidR="00A529DB">
        <w:t>”</w:t>
      </w:r>
      <w:r>
        <w:t xml:space="preserve"> a deposition has not provide</w:t>
      </w:r>
      <w:r w:rsidR="000D4F3D">
        <w:t>d</w:t>
      </w:r>
      <w:r>
        <w:t xml:space="preserve"> any specific grounds </w:t>
      </w:r>
      <w:r w:rsidR="000D4F3D">
        <w:t>to establish</w:t>
      </w:r>
      <w:r w:rsidR="00870AD2">
        <w:t xml:space="preserve"> that the deposition would be unreasonable or oppressive</w:t>
      </w:r>
      <w:r w:rsidR="00A529DB">
        <w:t>. Those grounds are required to be shown, under O</w:t>
      </w:r>
      <w:r w:rsidR="00870AD2">
        <w:t>.A.C.</w:t>
      </w:r>
      <w:r w:rsidR="004A484E">
        <w:t xml:space="preserve"> 4901-1-2</w:t>
      </w:r>
      <w:r w:rsidR="00870AD2">
        <w:t>5(C)</w:t>
      </w:r>
      <w:r>
        <w:t xml:space="preserve">. </w:t>
      </w:r>
    </w:p>
    <w:p w14:paraId="4F61C803" w14:textId="7EE554AE" w:rsidR="00471452" w:rsidRPr="009964D5" w:rsidRDefault="002713C9" w:rsidP="009964D5">
      <w:pPr>
        <w:pStyle w:val="ListParagraph"/>
        <w:numPr>
          <w:ilvl w:val="0"/>
          <w:numId w:val="6"/>
        </w:numPr>
        <w:rPr>
          <w:b/>
          <w:sz w:val="24"/>
          <w:szCs w:val="24"/>
        </w:rPr>
      </w:pPr>
      <w:bookmarkStart w:id="3" w:name="_Toc89259210"/>
      <w:r w:rsidRPr="009964D5">
        <w:rPr>
          <w:rStyle w:val="Heading2Char"/>
          <w:sz w:val="24"/>
          <w:szCs w:val="24"/>
        </w:rPr>
        <w:t xml:space="preserve">OCC </w:t>
      </w:r>
      <w:r w:rsidR="00986819" w:rsidRPr="009964D5">
        <w:rPr>
          <w:rStyle w:val="Heading2Char"/>
          <w:sz w:val="24"/>
          <w:szCs w:val="24"/>
        </w:rPr>
        <w:t>has</w:t>
      </w:r>
      <w:r w:rsidRPr="009964D5">
        <w:rPr>
          <w:rStyle w:val="Heading2Char"/>
          <w:sz w:val="24"/>
          <w:szCs w:val="24"/>
        </w:rPr>
        <w:t xml:space="preserve"> a right to take depositions for consumer protection under Ohio law and the Ohio Administrative Code.</w:t>
      </w:r>
      <w:bookmarkEnd w:id="3"/>
    </w:p>
    <w:p w14:paraId="08AE7C6A" w14:textId="5624476F" w:rsidR="001133BD" w:rsidRDefault="002713C9" w:rsidP="00076046">
      <w:pPr>
        <w:spacing w:line="480" w:lineRule="auto"/>
      </w:pPr>
      <w:r>
        <w:tab/>
        <w:t>OCC</w:t>
      </w:r>
      <w:r w:rsidR="00171078">
        <w:t xml:space="preserve"> </w:t>
      </w:r>
      <w:r>
        <w:t xml:space="preserve">reasonably </w:t>
      </w:r>
      <w:r w:rsidR="00AE0EB5">
        <w:t>concluded</w:t>
      </w:r>
      <w:r>
        <w:t xml:space="preserve"> that</w:t>
      </w:r>
      <w:r w:rsidR="00890B4A">
        <w:t>, for consumer protection,</w:t>
      </w:r>
      <w:r>
        <w:t xml:space="preserve"> a deposition is </w:t>
      </w:r>
      <w:r w:rsidR="00890B4A">
        <w:t xml:space="preserve">an appropriate </w:t>
      </w:r>
      <w:r>
        <w:t>tool for investigating</w:t>
      </w:r>
      <w:r w:rsidR="00171078">
        <w:t xml:space="preserve"> </w:t>
      </w:r>
      <w:r w:rsidR="00B53D54">
        <w:t xml:space="preserve">the reasonableness of OVEC costs collected by DP&amp;L and the other Ohio utilities. </w:t>
      </w:r>
      <w:r w:rsidR="00075138">
        <w:t>Th</w:t>
      </w:r>
      <w:r w:rsidR="00B53D54">
        <w:t>is</w:t>
      </w:r>
      <w:r w:rsidR="00075138">
        <w:t xml:space="preserve"> is </w:t>
      </w:r>
      <w:r w:rsidR="00986819">
        <w:t>OCC’s</w:t>
      </w:r>
      <w:r w:rsidR="00075138">
        <w:t xml:space="preserve"> choice</w:t>
      </w:r>
      <w:r w:rsidR="000738AD">
        <w:t xml:space="preserve"> to make.</w:t>
      </w:r>
      <w:r w:rsidR="00D635D7">
        <w:t xml:space="preserve"> </w:t>
      </w:r>
    </w:p>
    <w:p w14:paraId="7F572069" w14:textId="777E4625" w:rsidR="00341738" w:rsidRDefault="002713C9" w:rsidP="00B53D54">
      <w:pPr>
        <w:spacing w:line="480" w:lineRule="auto"/>
        <w:ind w:firstLine="720"/>
      </w:pPr>
      <w:r>
        <w:t>Consumers paid the costs for two coal plants owned and operated by OVEC.</w:t>
      </w:r>
      <w:r w:rsidR="00A4588D">
        <w:t xml:space="preserve"> </w:t>
      </w:r>
      <w:r w:rsidR="00986819">
        <w:t xml:space="preserve">OVEC </w:t>
      </w:r>
      <w:r w:rsidR="007F1AE0">
        <w:t>ha</w:t>
      </w:r>
      <w:r w:rsidR="00890B4A">
        <w:t>s</w:t>
      </w:r>
      <w:r w:rsidR="007F1AE0">
        <w:t xml:space="preserve"> relevant information on th</w:t>
      </w:r>
      <w:r>
        <w:t>e reasonableness of such costs</w:t>
      </w:r>
      <w:r w:rsidR="007F1AE0">
        <w:t>.</w:t>
      </w:r>
      <w:r w:rsidR="00D635D7">
        <w:t xml:space="preserve"> </w:t>
      </w:r>
      <w:r w:rsidR="007F1AE0">
        <w:t xml:space="preserve">This discovery goes to whether </w:t>
      </w:r>
      <w:r>
        <w:t xml:space="preserve">OVEC and </w:t>
      </w:r>
      <w:r>
        <w:t xml:space="preserve">the Ohio utilities </w:t>
      </w:r>
      <w:r w:rsidR="007F1AE0">
        <w:t xml:space="preserve">acted prudently </w:t>
      </w:r>
      <w:r w:rsidR="003D6533">
        <w:t xml:space="preserve">and in the best interests of its customers </w:t>
      </w:r>
      <w:r w:rsidR="00B902BC">
        <w:t xml:space="preserve">in </w:t>
      </w:r>
      <w:r w:rsidR="007F1AE0">
        <w:t>its management of OVEC costs</w:t>
      </w:r>
      <w:r w:rsidR="00E367DF" w:rsidRPr="00E367DF">
        <w:rPr>
          <w:rFonts w:ascii="Arial" w:hAnsi="Arial" w:cs="Arial"/>
          <w:color w:val="666666"/>
          <w:sz w:val="20"/>
          <w:szCs w:val="20"/>
          <w:shd w:val="clear" w:color="auto" w:fill="FFFFFF"/>
        </w:rPr>
        <w:t xml:space="preserve"> </w:t>
      </w:r>
      <w:r w:rsidR="00E367DF">
        <w:rPr>
          <w:rFonts w:ascii="Arial" w:hAnsi="Arial" w:cs="Arial"/>
          <w:color w:val="666666"/>
          <w:sz w:val="20"/>
          <w:szCs w:val="20"/>
          <w:shd w:val="clear" w:color="auto" w:fill="FFFFFF"/>
        </w:rPr>
        <w:t>—</w:t>
      </w:r>
      <w:r w:rsidR="00E367DF">
        <w:t xml:space="preserve"> the stated</w:t>
      </w:r>
      <w:r w:rsidR="001B72A7">
        <w:t xml:space="preserve"> purpose</w:t>
      </w:r>
      <w:r w:rsidR="00E367DF">
        <w:t xml:space="preserve"> of this audit.</w:t>
      </w:r>
      <w:r>
        <w:rPr>
          <w:rStyle w:val="FootnoteReference"/>
        </w:rPr>
        <w:footnoteReference w:id="13"/>
      </w:r>
      <w:r w:rsidR="00A4588D">
        <w:t xml:space="preserve"> </w:t>
      </w:r>
      <w:r>
        <w:t xml:space="preserve">This type of complex issue is </w:t>
      </w:r>
      <w:r w:rsidR="00890B4A">
        <w:t xml:space="preserve">appropriately </w:t>
      </w:r>
      <w:r>
        <w:t xml:space="preserve">explored in a deposition, where a witness can be asked to </w:t>
      </w:r>
      <w:r>
        <w:t>explain the details involved.</w:t>
      </w:r>
      <w:r w:rsidR="00D635D7">
        <w:t xml:space="preserve"> </w:t>
      </w:r>
    </w:p>
    <w:p w14:paraId="66F7127C" w14:textId="50A3D218" w:rsidR="00890B4A" w:rsidRDefault="002713C9" w:rsidP="00890B4A">
      <w:pPr>
        <w:spacing w:line="480" w:lineRule="auto"/>
        <w:ind w:firstLine="720"/>
      </w:pPr>
      <w:r>
        <w:lastRenderedPageBreak/>
        <w:t>Depositions are considered an important tool in an attorney’s case preparation.</w:t>
      </w:r>
      <w:r w:rsidR="00D635D7">
        <w:t xml:space="preserve"> </w:t>
      </w:r>
      <w:r>
        <w:t>They can allow for much more information to be gleaned and sooner, as compared to written discovery.</w:t>
      </w:r>
      <w:r w:rsidR="00D635D7">
        <w:t xml:space="preserve"> </w:t>
      </w:r>
      <w:r>
        <w:t>Depositions, most importantly, allow for ins</w:t>
      </w:r>
      <w:r>
        <w:t>tantaneous follow-up to questions that are posed.</w:t>
      </w:r>
      <w:r w:rsidR="00D635D7">
        <w:t xml:space="preserve"> </w:t>
      </w:r>
      <w:r>
        <w:t>Depositions allow attorneys to press for more information if answers are not detailed or forthcoming.</w:t>
      </w:r>
      <w:r w:rsidR="00A4588D">
        <w:t xml:space="preserve"> </w:t>
      </w:r>
    </w:p>
    <w:p w14:paraId="707D2A39" w14:textId="4C4EE774" w:rsidR="00DE5D79" w:rsidRDefault="002713C9" w:rsidP="009964D5">
      <w:pPr>
        <w:spacing w:line="480" w:lineRule="auto"/>
        <w:ind w:firstLine="720"/>
      </w:pPr>
      <w:r>
        <w:t>In reality, t</w:t>
      </w:r>
      <w:r w:rsidR="00471452">
        <w:t>hese well-known fundamentals of the deposition explain why DP&amp;L wants the PUCO to prevent OCC</w:t>
      </w:r>
      <w:r w:rsidR="00B53D54">
        <w:t xml:space="preserve"> </w:t>
      </w:r>
      <w:r w:rsidR="00471452">
        <w:t>and other parties from taking d</w:t>
      </w:r>
      <w:r w:rsidR="00A4588D">
        <w:t>epo</w:t>
      </w:r>
      <w:r w:rsidR="00471452">
        <w:t>sitions.</w:t>
      </w:r>
      <w:r w:rsidR="00D635D7">
        <w:t xml:space="preserve"> </w:t>
      </w:r>
      <w:r w:rsidR="001133BD">
        <w:t xml:space="preserve">But again, the conducting of discovery and the form of discovery is </w:t>
      </w:r>
      <w:r w:rsidR="005938B9">
        <w:t>the intervenor</w:t>
      </w:r>
      <w:r w:rsidR="00B53D54">
        <w:t>’</w:t>
      </w:r>
      <w:r w:rsidR="005938B9">
        <w:t>s</w:t>
      </w:r>
      <w:r w:rsidR="001133BD">
        <w:t xml:space="preserve"> choice to make, under </w:t>
      </w:r>
      <w:r w:rsidR="00B53D54">
        <w:t xml:space="preserve">Ohio </w:t>
      </w:r>
      <w:r w:rsidR="001133BD">
        <w:t>law and rule.</w:t>
      </w:r>
      <w:r w:rsidR="00625CCC">
        <w:t xml:space="preserve"> </w:t>
      </w:r>
      <w:r w:rsidR="00BB7FFC">
        <w:t xml:space="preserve">DP&amp;L’s </w:t>
      </w:r>
      <w:r w:rsidR="00986819">
        <w:t>m</w:t>
      </w:r>
      <w:r w:rsidR="00BB7FFC">
        <w:t xml:space="preserve">otion to </w:t>
      </w:r>
      <w:r w:rsidR="00986819">
        <w:t>q</w:t>
      </w:r>
      <w:r w:rsidR="00BB7FFC">
        <w:t xml:space="preserve">uash should </w:t>
      </w:r>
      <w:r w:rsidR="00B53D54">
        <w:t xml:space="preserve">therefore </w:t>
      </w:r>
      <w:r w:rsidR="00BB7FFC">
        <w:t>be denied.</w:t>
      </w:r>
      <w:r w:rsidR="00A4588D">
        <w:t xml:space="preserve"> </w:t>
      </w:r>
    </w:p>
    <w:p w14:paraId="102DE572" w14:textId="0A123512" w:rsidR="00DE5D79" w:rsidRDefault="002713C9" w:rsidP="002B737C">
      <w:pPr>
        <w:pStyle w:val="Heading2"/>
      </w:pPr>
      <w:bookmarkStart w:id="4" w:name="_Toc89259211"/>
      <w:r>
        <w:t>C.</w:t>
      </w:r>
      <w:r w:rsidR="004B036D">
        <w:tab/>
      </w:r>
      <w:r w:rsidR="008C0223" w:rsidRPr="003E032F">
        <w:t>Parties are not limited to choosing one form of discovery over another.</w:t>
      </w:r>
      <w:bookmarkEnd w:id="4"/>
      <w:r w:rsidR="00A4588D">
        <w:t xml:space="preserve"> </w:t>
      </w:r>
      <w:r>
        <w:t xml:space="preserve"> </w:t>
      </w:r>
    </w:p>
    <w:p w14:paraId="27EF56FB" w14:textId="4996189E" w:rsidR="008C0223" w:rsidRDefault="002713C9" w:rsidP="004B036D">
      <w:pPr>
        <w:spacing w:line="480" w:lineRule="auto"/>
        <w:ind w:firstLine="720"/>
        <w:rPr>
          <w:szCs w:val="24"/>
        </w:rPr>
      </w:pPr>
      <w:r>
        <w:t xml:space="preserve">In the present case, </w:t>
      </w:r>
      <w:r w:rsidR="00752562">
        <w:t>DP&amp;L</w:t>
      </w:r>
      <w:r>
        <w:t xml:space="preserve"> argues that OCC should not be permitted to take a deposition </w:t>
      </w:r>
      <w:r w:rsidR="00B53D54">
        <w:t xml:space="preserve">from OVEC </w:t>
      </w:r>
      <w:r>
        <w:t>to investigate th</w:t>
      </w:r>
      <w:r w:rsidR="00B53D54">
        <w:t>e</w:t>
      </w:r>
      <w:r>
        <w:t xml:space="preserve"> complex issue</w:t>
      </w:r>
      <w:r w:rsidR="00B53D54">
        <w:t>s in this case</w:t>
      </w:r>
      <w:r w:rsidR="00A16744">
        <w:t xml:space="preserve"> because </w:t>
      </w:r>
      <w:r w:rsidR="00986819">
        <w:t>DP&amp;L has already produced documents to OCC</w:t>
      </w:r>
      <w:r>
        <w:t>.</w:t>
      </w:r>
      <w:r>
        <w:rPr>
          <w:rStyle w:val="FootnoteReference"/>
        </w:rPr>
        <w:footnoteReference w:id="14"/>
      </w:r>
      <w:r w:rsidR="00D635D7">
        <w:t xml:space="preserve"> </w:t>
      </w:r>
      <w:r w:rsidR="000A4C89">
        <w:rPr>
          <w:szCs w:val="24"/>
        </w:rPr>
        <w:t>In doing so</w:t>
      </w:r>
      <w:r w:rsidR="00304846">
        <w:rPr>
          <w:szCs w:val="24"/>
        </w:rPr>
        <w:t>,</w:t>
      </w:r>
      <w:r w:rsidR="000A4C89">
        <w:rPr>
          <w:szCs w:val="24"/>
        </w:rPr>
        <w:t xml:space="preserve"> </w:t>
      </w:r>
      <w:r w:rsidR="008C64DB">
        <w:rPr>
          <w:szCs w:val="24"/>
        </w:rPr>
        <w:t>DP&amp;L</w:t>
      </w:r>
      <w:r w:rsidR="00A16744">
        <w:rPr>
          <w:szCs w:val="24"/>
        </w:rPr>
        <w:t xml:space="preserve"> improperly seeks to control OVEC’s choice of discovery methods</w:t>
      </w:r>
      <w:r w:rsidR="007D4AA0">
        <w:rPr>
          <w:szCs w:val="24"/>
        </w:rPr>
        <w:t>.</w:t>
      </w:r>
    </w:p>
    <w:p w14:paraId="4AEF4E9F" w14:textId="25645932" w:rsidR="006D0C71" w:rsidRDefault="002713C9" w:rsidP="008C0223">
      <w:pPr>
        <w:spacing w:line="480" w:lineRule="auto"/>
        <w:ind w:firstLine="720"/>
        <w:rPr>
          <w:szCs w:val="24"/>
        </w:rPr>
      </w:pPr>
      <w:r w:rsidRPr="00F45046">
        <w:rPr>
          <w:szCs w:val="24"/>
        </w:rPr>
        <w:t>Each method has distinct advantages and disadvantages.</w:t>
      </w:r>
      <w:r w:rsidR="00D635D7">
        <w:rPr>
          <w:szCs w:val="24"/>
        </w:rPr>
        <w:t xml:space="preserve"> </w:t>
      </w:r>
      <w:r w:rsidRPr="00F45046">
        <w:rPr>
          <w:szCs w:val="24"/>
        </w:rPr>
        <w:t>For example, depositions provide intervenors with an opportunity for spontaneous, direct contact with the deponent</w:t>
      </w:r>
      <w:r w:rsidRPr="00283EBB">
        <w:rPr>
          <w:szCs w:val="24"/>
        </w:rPr>
        <w:t xml:space="preserve"> and the</w:t>
      </w:r>
      <w:r w:rsidRPr="00283EBB">
        <w:rPr>
          <w:szCs w:val="24"/>
        </w:rPr>
        <w:t xml:space="preserve"> immediate ability to ask </w:t>
      </w:r>
      <w:r w:rsidR="00304846">
        <w:rPr>
          <w:szCs w:val="24"/>
        </w:rPr>
        <w:t>clarifying or follow-</w:t>
      </w:r>
      <w:r w:rsidRPr="0007187C">
        <w:rPr>
          <w:szCs w:val="24"/>
        </w:rPr>
        <w:t>up questions.</w:t>
      </w:r>
      <w:r>
        <w:rPr>
          <w:rStyle w:val="FootnoteReference"/>
          <w:szCs w:val="24"/>
        </w:rPr>
        <w:footnoteReference w:id="15"/>
      </w:r>
      <w:r w:rsidR="00D635D7">
        <w:rPr>
          <w:szCs w:val="24"/>
        </w:rPr>
        <w:t xml:space="preserve"> </w:t>
      </w:r>
      <w:r w:rsidRPr="00F45046">
        <w:rPr>
          <w:szCs w:val="24"/>
        </w:rPr>
        <w:t xml:space="preserve">Limiting the methods of discovery available in this case would </w:t>
      </w:r>
      <w:r>
        <w:rPr>
          <w:szCs w:val="24"/>
        </w:rPr>
        <w:t xml:space="preserve">thwart a full and complete development of the record and </w:t>
      </w:r>
      <w:r w:rsidRPr="00F45046">
        <w:rPr>
          <w:szCs w:val="24"/>
        </w:rPr>
        <w:t>impair the ability of intervenors to protect their real and substantial i</w:t>
      </w:r>
      <w:r w:rsidRPr="00F45046">
        <w:rPr>
          <w:szCs w:val="24"/>
        </w:rPr>
        <w:t>nterests in this proceeding.</w:t>
      </w:r>
      <w:r w:rsidR="00D635D7">
        <w:rPr>
          <w:szCs w:val="24"/>
        </w:rPr>
        <w:t xml:space="preserve"> </w:t>
      </w:r>
    </w:p>
    <w:p w14:paraId="378B1FEB" w14:textId="33CC48D4" w:rsidR="008C0223" w:rsidRDefault="002713C9" w:rsidP="008C0223">
      <w:pPr>
        <w:spacing w:line="480" w:lineRule="auto"/>
        <w:ind w:firstLine="720"/>
      </w:pPr>
      <w:r>
        <w:t xml:space="preserve">Moreover, </w:t>
      </w:r>
      <w:r w:rsidR="005938B9">
        <w:t xml:space="preserve">the </w:t>
      </w:r>
      <w:r w:rsidR="00F868AD">
        <w:t xml:space="preserve">Ohio Administrative Code </w:t>
      </w:r>
      <w:r>
        <w:t>leave</w:t>
      </w:r>
      <w:r w:rsidR="00F868AD">
        <w:t>s</w:t>
      </w:r>
      <w:r>
        <w:t xml:space="preserve"> case preparation to the parties, pe</w:t>
      </w:r>
      <w:r w:rsidR="00A16744">
        <w:t>r O.A.C.</w:t>
      </w:r>
      <w:r>
        <w:t xml:space="preserve"> 4901-1-16(A).</w:t>
      </w:r>
      <w:r w:rsidR="00A4588D">
        <w:t xml:space="preserve"> </w:t>
      </w:r>
      <w:r w:rsidR="00A16744">
        <w:t xml:space="preserve">OCC has </w:t>
      </w:r>
      <w:r w:rsidRPr="00935273">
        <w:t xml:space="preserve">the right to prepare </w:t>
      </w:r>
      <w:r w:rsidR="00A16744">
        <w:t>its</w:t>
      </w:r>
      <w:r w:rsidRPr="00935273">
        <w:t xml:space="preserve"> own case using the discovery tools </w:t>
      </w:r>
      <w:r w:rsidR="00A16744">
        <w:t>it</w:t>
      </w:r>
      <w:r w:rsidRPr="00935273">
        <w:t xml:space="preserve"> </w:t>
      </w:r>
      <w:r w:rsidRPr="00935273">
        <w:lastRenderedPageBreak/>
        <w:t>choose</w:t>
      </w:r>
      <w:r w:rsidR="00A16744">
        <w:t>s</w:t>
      </w:r>
      <w:r w:rsidRPr="00935273">
        <w:t xml:space="preserve">, not the ones that </w:t>
      </w:r>
      <w:r w:rsidR="007C7F9C">
        <w:t>DP&amp;L</w:t>
      </w:r>
      <w:r w:rsidRPr="00935273">
        <w:t xml:space="preserve"> would like to choos</w:t>
      </w:r>
      <w:r w:rsidRPr="00935273">
        <w:t>e for OCC to hinder our consumer advocacy</w:t>
      </w:r>
      <w:r w:rsidRPr="00327386">
        <w:rPr>
          <w:i/>
          <w:iCs/>
        </w:rPr>
        <w:t>.</w:t>
      </w:r>
      <w:r w:rsidR="00D635D7">
        <w:rPr>
          <w:i/>
          <w:iCs/>
        </w:rPr>
        <w:t xml:space="preserve"> </w:t>
      </w:r>
      <w:r w:rsidR="006D0C71">
        <w:t xml:space="preserve">DP&amp;L is wasting </w:t>
      </w:r>
      <w:r w:rsidR="005938B9">
        <w:t>the parties’</w:t>
      </w:r>
      <w:r w:rsidR="006D0C71">
        <w:t xml:space="preserve"> time and the PUCO’s time with its obstruction.</w:t>
      </w:r>
    </w:p>
    <w:p w14:paraId="0FCBD5E3" w14:textId="4EE8987D" w:rsidR="000A4C89" w:rsidRDefault="002713C9" w:rsidP="00E10FA6">
      <w:pPr>
        <w:spacing w:line="480" w:lineRule="auto"/>
        <w:ind w:firstLine="720"/>
        <w:rPr>
          <w:szCs w:val="24"/>
        </w:rPr>
      </w:pPr>
      <w:r>
        <w:rPr>
          <w:szCs w:val="24"/>
        </w:rPr>
        <w:t>In addition to glossing over fundamental differences between discovery methods, DP&amp;L’s argument defies PUCO precedent.</w:t>
      </w:r>
      <w:r w:rsidR="00D635D7">
        <w:rPr>
          <w:szCs w:val="24"/>
        </w:rPr>
        <w:t xml:space="preserve"> </w:t>
      </w:r>
      <w:r>
        <w:rPr>
          <w:szCs w:val="24"/>
        </w:rPr>
        <w:t>T</w:t>
      </w:r>
      <w:r w:rsidR="00A929A6">
        <w:rPr>
          <w:szCs w:val="24"/>
        </w:rPr>
        <w:t>he PUCO</w:t>
      </w:r>
      <w:r>
        <w:rPr>
          <w:szCs w:val="24"/>
        </w:rPr>
        <w:t xml:space="preserve"> has determined</w:t>
      </w:r>
      <w:r w:rsidR="00A929A6" w:rsidRPr="00E728A6">
        <w:rPr>
          <w:szCs w:val="24"/>
        </w:rPr>
        <w:t xml:space="preserve"> that “depositions are not necessarily improper because substantial information (such as written testimony) is already available to a party and that the use of oral depositions in such a situation need not be precluded.”</w:t>
      </w:r>
      <w:r>
        <w:rPr>
          <w:rStyle w:val="FootnoteReference"/>
          <w:szCs w:val="24"/>
        </w:rPr>
        <w:footnoteReference w:id="16"/>
      </w:r>
    </w:p>
    <w:p w14:paraId="4C834EDC" w14:textId="79D4BB19" w:rsidR="00AE0EB5" w:rsidRDefault="002713C9" w:rsidP="00076046">
      <w:pPr>
        <w:spacing w:line="480" w:lineRule="auto"/>
      </w:pPr>
      <w:r>
        <w:rPr>
          <w:szCs w:val="24"/>
        </w:rPr>
        <w:tab/>
      </w:r>
      <w:r w:rsidR="008C64DB">
        <w:t xml:space="preserve">Furthermore, </w:t>
      </w:r>
      <w:r w:rsidR="0044451A">
        <w:t xml:space="preserve">in </w:t>
      </w:r>
      <w:r w:rsidR="00A845D4">
        <w:t>this case,</w:t>
      </w:r>
      <w:r w:rsidR="0044451A">
        <w:t xml:space="preserve"> </w:t>
      </w:r>
      <w:r w:rsidR="00A16744">
        <w:t>OCC used</w:t>
      </w:r>
      <w:r w:rsidR="00304846">
        <w:t xml:space="preserve"> written discovery requests to investigate </w:t>
      </w:r>
      <w:r w:rsidR="0044451A">
        <w:t>complex issues</w:t>
      </w:r>
      <w:r w:rsidR="00455526">
        <w:t>,</w:t>
      </w:r>
      <w:r w:rsidR="00A845D4">
        <w:t xml:space="preserve"> </w:t>
      </w:r>
      <w:r w:rsidR="00304846">
        <w:t>but</w:t>
      </w:r>
      <w:r w:rsidR="00A845D4">
        <w:t xml:space="preserve"> DP&amp;L objected</w:t>
      </w:r>
      <w:r w:rsidR="00304846">
        <w:t>.</w:t>
      </w:r>
      <w:r w:rsidR="00D635D7">
        <w:t xml:space="preserve"> </w:t>
      </w:r>
      <w:r w:rsidR="00304846">
        <w:t xml:space="preserve">For example, in response to OCC’s written requests, </w:t>
      </w:r>
      <w:r w:rsidR="00AA3E68">
        <w:t xml:space="preserve">DP&amp;L stated that </w:t>
      </w:r>
      <w:r w:rsidR="00AB0107">
        <w:t xml:space="preserve">OCC should </w:t>
      </w:r>
      <w:r w:rsidR="00A03A81">
        <w:t xml:space="preserve">have </w:t>
      </w:r>
      <w:r w:rsidR="00AB0107">
        <w:t>use</w:t>
      </w:r>
      <w:r w:rsidR="00A03A81">
        <w:t>d</w:t>
      </w:r>
      <w:r w:rsidR="00AB0107">
        <w:t xml:space="preserve"> depositions to investigate complex issues</w:t>
      </w:r>
      <w:r w:rsidR="003548AC">
        <w:t>, as shown below</w:t>
      </w:r>
      <w:r w:rsidR="007B478B">
        <w:t>:</w:t>
      </w:r>
    </w:p>
    <w:p w14:paraId="64752B5B" w14:textId="6A3BE7F0" w:rsidR="00843F8F" w:rsidRDefault="002713C9" w:rsidP="00843F8F">
      <w:pPr>
        <w:pStyle w:val="Default"/>
        <w:ind w:left="1440" w:right="1440"/>
      </w:pPr>
      <w:r w:rsidRPr="00843F8F">
        <w:t>DP&amp;L object</w:t>
      </w:r>
      <w:r w:rsidRPr="00843F8F">
        <w:t xml:space="preserve">s to each and every interrogatory that can be answered more efficiently by the production of documents </w:t>
      </w:r>
      <w:r w:rsidRPr="000A4C89">
        <w:t>or</w:t>
      </w:r>
      <w:r w:rsidRPr="000A4C89">
        <w:rPr>
          <w:b/>
        </w:rPr>
        <w:t xml:space="preserve"> by</w:t>
      </w:r>
      <w:r w:rsidRPr="000A4C89">
        <w:t xml:space="preserve"> </w:t>
      </w:r>
      <w:r w:rsidRPr="00E10FA6">
        <w:rPr>
          <w:b/>
        </w:rPr>
        <w:t>the taking of depositions</w:t>
      </w:r>
      <w:r w:rsidRPr="00843F8F">
        <w:t xml:space="preserve">. Under the comparable Ohio Civil Rules, "[a]n interrogatory seeks an </w:t>
      </w:r>
      <w:r w:rsidR="00D635D7" w:rsidRPr="00843F8F">
        <w:t>admission,</w:t>
      </w:r>
      <w:r w:rsidRPr="00843F8F">
        <w:t xml:space="preserve"> or it seeks information of major signific</w:t>
      </w:r>
      <w:r w:rsidRPr="00843F8F">
        <w:t>ance in the trial or in the preparation for trial. It does not contemplate an array of details or outlines of evidence, a function reserved by rules for depositions." Penn Cent. Transp. Co. v. Armco Steel Corp., 27 Ohio Misc. 76, 77, 272 N.E.2d 877, 878 (M</w:t>
      </w:r>
      <w:r w:rsidRPr="00843F8F">
        <w:t>ontgomery Cty. 1971). As Penn further noted, interrogatories that ask one to "describe in detail," "state in detail," or "describe in particulars" are "open end invitation[s] without limit on its comprehensive nature with no guide for the court to determin</w:t>
      </w:r>
      <w:r w:rsidRPr="00843F8F">
        <w:t xml:space="preserve">e if the voluminous response is what the party sought in the first place." Id., 272 N.E.2d at 878. </w:t>
      </w:r>
      <w:r>
        <w:rPr>
          <w:rStyle w:val="FootnoteReference"/>
        </w:rPr>
        <w:footnoteReference w:id="17"/>
      </w:r>
    </w:p>
    <w:p w14:paraId="7E0D2F4D" w14:textId="77777777" w:rsidR="00843F8F" w:rsidRDefault="00843F8F" w:rsidP="00843F8F">
      <w:pPr>
        <w:pStyle w:val="Default"/>
        <w:ind w:right="1440"/>
      </w:pPr>
    </w:p>
    <w:p w14:paraId="478A9271" w14:textId="0A409E22" w:rsidR="002D220F" w:rsidRDefault="002713C9" w:rsidP="00AB0107">
      <w:pPr>
        <w:pStyle w:val="Default"/>
        <w:spacing w:line="480" w:lineRule="auto"/>
      </w:pPr>
      <w:r>
        <w:tab/>
      </w:r>
      <w:r w:rsidR="00A845D4">
        <w:t xml:space="preserve">Now that OCC </w:t>
      </w:r>
      <w:r w:rsidR="00304846">
        <w:t xml:space="preserve">and others </w:t>
      </w:r>
      <w:r w:rsidR="00A845D4">
        <w:t xml:space="preserve">seek a deposition to investigate complex issues, </w:t>
      </w:r>
      <w:r w:rsidR="002413D0">
        <w:t xml:space="preserve">as a response to DP&amp;L’s objection to OCC’s written discovery, DP&amp;L </w:t>
      </w:r>
      <w:r w:rsidR="00A16744">
        <w:t xml:space="preserve">attempts to </w:t>
      </w:r>
      <w:r w:rsidR="00A03A81">
        <w:t xml:space="preserve">whipsaw </w:t>
      </w:r>
      <w:r w:rsidR="00A16744">
        <w:t>OCC</w:t>
      </w:r>
      <w:r w:rsidR="00171078">
        <w:t xml:space="preserve"> </w:t>
      </w:r>
      <w:r w:rsidR="00A03A81">
        <w:t xml:space="preserve">by </w:t>
      </w:r>
      <w:r w:rsidR="002413D0">
        <w:t>argu</w:t>
      </w:r>
      <w:r w:rsidR="00A03A81">
        <w:t>ing</w:t>
      </w:r>
      <w:r w:rsidR="002413D0">
        <w:t xml:space="preserve"> </w:t>
      </w:r>
      <w:r w:rsidR="002413D0">
        <w:lastRenderedPageBreak/>
        <w:t xml:space="preserve">that </w:t>
      </w:r>
      <w:r w:rsidR="00A16744">
        <w:t>OCC</w:t>
      </w:r>
      <w:r w:rsidR="002413D0">
        <w:t xml:space="preserve"> should not be </w:t>
      </w:r>
      <w:r w:rsidR="00A16744">
        <w:t>permitted to obtain</w:t>
      </w:r>
      <w:r w:rsidR="002413D0">
        <w:t xml:space="preserve"> a deposition</w:t>
      </w:r>
      <w:r w:rsidR="00A03A81">
        <w:t xml:space="preserve"> </w:t>
      </w:r>
      <w:r w:rsidR="00A16744">
        <w:t xml:space="preserve">from OVEC </w:t>
      </w:r>
      <w:r w:rsidR="00A03A81">
        <w:t>either</w:t>
      </w:r>
      <w:r w:rsidR="002413D0">
        <w:t>.</w:t>
      </w:r>
      <w:r w:rsidR="00D171B6">
        <w:t xml:space="preserve"> It should not be difficult for the PUCO to see through DP&amp;L’s shallow arguments and to understand that DP&amp;L</w:t>
      </w:r>
      <w:r w:rsidR="00A9373D">
        <w:t>’s</w:t>
      </w:r>
      <w:r w:rsidR="00D171B6">
        <w:t xml:space="preserve"> </w:t>
      </w:r>
      <w:r w:rsidR="00A9373D">
        <w:t>tactic is</w:t>
      </w:r>
      <w:r w:rsidR="00D171B6">
        <w:t xml:space="preserve"> to prevent or delay OCC’s </w:t>
      </w:r>
      <w:r w:rsidR="00A9373D">
        <w:t>consumer advocacy</w:t>
      </w:r>
      <w:r w:rsidR="00D171B6">
        <w:t>.</w:t>
      </w:r>
      <w:r w:rsidR="00A9373D">
        <w:t xml:space="preserve"> </w:t>
      </w:r>
      <w:r w:rsidR="008C64DB">
        <w:t xml:space="preserve"> </w:t>
      </w:r>
      <w:r w:rsidR="00A9373D">
        <w:t>That is unlawful.</w:t>
      </w:r>
    </w:p>
    <w:p w14:paraId="583DA9AC" w14:textId="761B7A29" w:rsidR="00A845D4" w:rsidRDefault="002713C9" w:rsidP="00DD0667">
      <w:pPr>
        <w:pStyle w:val="Default"/>
        <w:spacing w:line="480" w:lineRule="auto"/>
        <w:ind w:firstLine="720"/>
      </w:pPr>
      <w:r>
        <w:t>DP&amp;L’s objections are inconsistent with the PUCO’s objective</w:t>
      </w:r>
      <w:r w:rsidR="00BF1DBD">
        <w:t xml:space="preserve"> (and the Ohio Supreme Court’s determination)</w:t>
      </w:r>
      <w:r>
        <w:t xml:space="preserve"> that parties shall have broad rights to discovery “to facilitate thorough and adequate preparation for participat</w:t>
      </w:r>
      <w:r>
        <w:t>ion in commission proceedings.”</w:t>
      </w:r>
      <w:r>
        <w:rPr>
          <w:rStyle w:val="FootnoteReference"/>
        </w:rPr>
        <w:footnoteReference w:id="18"/>
      </w:r>
      <w:r w:rsidR="00D635D7">
        <w:t xml:space="preserve"> </w:t>
      </w:r>
      <w:r w:rsidR="009005BC" w:rsidRPr="00F45046">
        <w:t xml:space="preserve">That is exactly what </w:t>
      </w:r>
      <w:r w:rsidR="00172F01">
        <w:t>OCC</w:t>
      </w:r>
      <w:r w:rsidR="009005BC" w:rsidRPr="00F45046">
        <w:t xml:space="preserve"> seek</w:t>
      </w:r>
      <w:r w:rsidR="00172F01">
        <w:t>s</w:t>
      </w:r>
      <w:r w:rsidR="009005BC" w:rsidRPr="00F45046">
        <w:t xml:space="preserve"> thr</w:t>
      </w:r>
      <w:r w:rsidR="009005BC">
        <w:t xml:space="preserve">ough a deposition of </w:t>
      </w:r>
      <w:r w:rsidR="00172F01">
        <w:t>OVEC</w:t>
      </w:r>
      <w:r w:rsidR="009005BC">
        <w:t xml:space="preserve">: </w:t>
      </w:r>
      <w:r w:rsidR="009005BC" w:rsidRPr="00F45046">
        <w:t>discovery during the prehearing phase of the proceeding to adequately participate in the proceeding</w:t>
      </w:r>
      <w:r w:rsidR="009005BC" w:rsidRPr="00283EBB">
        <w:t>.</w:t>
      </w:r>
      <w:r w:rsidR="00D635D7">
        <w:t xml:space="preserve"> </w:t>
      </w:r>
      <w:r w:rsidR="009005BC" w:rsidRPr="00574F2B">
        <w:t>The rule does not require that a hearing be held; it only explains the timing of the dis</w:t>
      </w:r>
      <w:r w:rsidR="009005BC" w:rsidRPr="00E728A6">
        <w:t>covery.</w:t>
      </w:r>
      <w:r w:rsidR="00D635D7">
        <w:t xml:space="preserve"> </w:t>
      </w:r>
    </w:p>
    <w:p w14:paraId="71EEA26F" w14:textId="0438D577" w:rsidR="007C7F9C" w:rsidRDefault="002713C9" w:rsidP="00DD0667">
      <w:pPr>
        <w:pStyle w:val="Default"/>
        <w:spacing w:line="480" w:lineRule="auto"/>
        <w:ind w:firstLine="720"/>
      </w:pPr>
      <w:r>
        <w:t>Ohio Adm.</w:t>
      </w:r>
      <w:r w:rsidR="00D635D7">
        <w:t xml:space="preserve"> </w:t>
      </w:r>
      <w:r>
        <w:t>Code 4901-1-16(B) states: “</w:t>
      </w:r>
      <w:r w:rsidRPr="003A0071">
        <w:t>Discovery may be obtained through interrogatories, requests for the production of documents and things or permission to enter upon land or other property, depositions, and requests f</w:t>
      </w:r>
      <w:r w:rsidRPr="003A0071">
        <w:t>or admission.</w:t>
      </w:r>
      <w:r>
        <w:t>”</w:t>
      </w:r>
      <w:r w:rsidR="00D635D7">
        <w:t xml:space="preserve"> </w:t>
      </w:r>
      <w:r w:rsidR="006421F6">
        <w:t xml:space="preserve">Under law and rule, </w:t>
      </w:r>
      <w:r w:rsidR="00172F01">
        <w:t>OCC</w:t>
      </w:r>
      <w:r w:rsidR="006421F6">
        <w:t xml:space="preserve"> chose a deposition. That is </w:t>
      </w:r>
      <w:r w:rsidR="00172F01">
        <w:t xml:space="preserve">OCC’s </w:t>
      </w:r>
      <w:r w:rsidR="006421F6">
        <w:t xml:space="preserve">choice to make. </w:t>
      </w:r>
    </w:p>
    <w:p w14:paraId="28314ACF" w14:textId="099445DF" w:rsidR="00173336" w:rsidRPr="009964D5" w:rsidRDefault="002713C9" w:rsidP="009964D5">
      <w:pPr>
        <w:pStyle w:val="Heading2"/>
        <w:numPr>
          <w:ilvl w:val="0"/>
          <w:numId w:val="12"/>
        </w:numPr>
        <w:ind w:left="1440" w:hanging="720"/>
        <w:rPr>
          <w:b w:val="0"/>
          <w:bCs w:val="0"/>
        </w:rPr>
      </w:pPr>
      <w:bookmarkStart w:id="5" w:name="_Toc89259212"/>
      <w:r w:rsidRPr="009964D5">
        <w:rPr>
          <w:rStyle w:val="Heading2Char"/>
          <w:b/>
          <w:bCs w:val="0"/>
        </w:rPr>
        <w:t>Neither the Ohio Administrative Code nor PUCO precedent precludes</w:t>
      </w:r>
      <w:r w:rsidRPr="009964D5">
        <w:rPr>
          <w:b w:val="0"/>
          <w:bCs w:val="0"/>
        </w:rPr>
        <w:t xml:space="preserve"> depositions from being conducted in cases that have not been set for hearing.</w:t>
      </w:r>
      <w:bookmarkEnd w:id="5"/>
    </w:p>
    <w:p w14:paraId="27047B7B" w14:textId="7D8C08E1" w:rsidR="00962F66" w:rsidRDefault="002713C9" w:rsidP="00AB0107">
      <w:pPr>
        <w:pStyle w:val="Default"/>
        <w:spacing w:line="480" w:lineRule="auto"/>
      </w:pPr>
      <w:r>
        <w:tab/>
      </w:r>
      <w:r w:rsidR="00752562">
        <w:t>DP&amp;L</w:t>
      </w:r>
      <w:r>
        <w:t xml:space="preserve"> </w:t>
      </w:r>
      <w:r w:rsidR="00340172">
        <w:t>also seeks to quash the deposition on the ground that</w:t>
      </w:r>
      <w:r>
        <w:t xml:space="preserve"> a deposition is improper </w:t>
      </w:r>
      <w:r w:rsidR="00340172">
        <w:t>because no evidentiary hearing has been scheduled.</w:t>
      </w:r>
      <w:r>
        <w:rPr>
          <w:rStyle w:val="FootnoteReference"/>
        </w:rPr>
        <w:footnoteReference w:id="19"/>
      </w:r>
      <w:r w:rsidR="00D635D7">
        <w:t xml:space="preserve"> </w:t>
      </w:r>
      <w:r w:rsidR="0034062C">
        <w:t>The utilities have been trotting out that tired old argument for years to interpose delay. But, a</w:t>
      </w:r>
      <w:r w:rsidR="002D68FB">
        <w:t>s previously explained, t</w:t>
      </w:r>
      <w:r>
        <w:t xml:space="preserve">he </w:t>
      </w:r>
      <w:r w:rsidR="00F868AD">
        <w:t>Ohio Administrative Code</w:t>
      </w:r>
      <w:r>
        <w:t xml:space="preserve"> do</w:t>
      </w:r>
      <w:r w:rsidR="00F868AD">
        <w:t>es</w:t>
      </w:r>
      <w:r>
        <w:t xml:space="preserve"> not </w:t>
      </w:r>
      <w:r w:rsidR="00626757">
        <w:t xml:space="preserve">bar </w:t>
      </w:r>
      <w:r>
        <w:t>the use of depositions in cases where no hearing is scheduled.</w:t>
      </w:r>
      <w:r w:rsidR="00D635D7">
        <w:t xml:space="preserve"> </w:t>
      </w:r>
      <w:r>
        <w:t xml:space="preserve">To the contrary, the </w:t>
      </w:r>
      <w:r w:rsidR="000B4C01">
        <w:t xml:space="preserve">Code </w:t>
      </w:r>
      <w:r>
        <w:t>broadly provide</w:t>
      </w:r>
      <w:r w:rsidR="000B4C01">
        <w:t>s</w:t>
      </w:r>
      <w:r>
        <w:t xml:space="preserve"> parties with an unlimited </w:t>
      </w:r>
      <w:r>
        <w:t xml:space="preserve">right to take depositions: </w:t>
      </w:r>
    </w:p>
    <w:p w14:paraId="7201EDEE" w14:textId="77777777" w:rsidR="00962F66" w:rsidRDefault="002713C9" w:rsidP="00962F66">
      <w:pPr>
        <w:pStyle w:val="Default"/>
        <w:ind w:left="1440" w:right="1440"/>
      </w:pPr>
      <w:r w:rsidRPr="00962F66">
        <w:t xml:space="preserve">Any party to a pending commission proceeding may take the testimony of any other party or person, other than a member of the commission staff, by deposition upon oral examination with </w:t>
      </w:r>
      <w:r w:rsidRPr="00962F66">
        <w:lastRenderedPageBreak/>
        <w:t>respect to any matter within the scope of di</w:t>
      </w:r>
      <w:r w:rsidRPr="00962F66">
        <w:t>scovery set forth in rule </w:t>
      </w:r>
      <w:hyperlink r:id="rId12" w:tooltip="General provisions and scope of discovery" w:history="1">
        <w:r w:rsidRPr="00962F66">
          <w:t>4901-1-16</w:t>
        </w:r>
      </w:hyperlink>
      <w:r w:rsidRPr="00962F66">
        <w:t> of the Administrative Code.</w:t>
      </w:r>
      <w:r>
        <w:rPr>
          <w:rStyle w:val="FootnoteReference"/>
        </w:rPr>
        <w:footnoteReference w:id="20"/>
      </w:r>
    </w:p>
    <w:p w14:paraId="4F11B1E8" w14:textId="77777777" w:rsidR="00F27379" w:rsidRDefault="00F27379" w:rsidP="00962F66">
      <w:pPr>
        <w:pStyle w:val="Default"/>
        <w:ind w:left="1440" w:right="1440"/>
      </w:pPr>
    </w:p>
    <w:p w14:paraId="3C237685" w14:textId="6C1D2E64" w:rsidR="004502DE" w:rsidRDefault="002713C9" w:rsidP="00D766F9">
      <w:pPr>
        <w:pStyle w:val="Default"/>
        <w:spacing w:line="480" w:lineRule="auto"/>
      </w:pPr>
      <w:r>
        <w:tab/>
      </w:r>
      <w:r w:rsidR="006A3823">
        <w:t xml:space="preserve">By arguing that depositions can be used only in cases involving a hearing, </w:t>
      </w:r>
      <w:r w:rsidR="00752562">
        <w:t>DP&amp;L</w:t>
      </w:r>
      <w:r>
        <w:t xml:space="preserve"> is</w:t>
      </w:r>
      <w:r w:rsidR="006A3823">
        <w:t xml:space="preserve"> </w:t>
      </w:r>
      <w:r w:rsidR="00851F0C">
        <w:t xml:space="preserve">unlawfully </w:t>
      </w:r>
      <w:r w:rsidR="006A3823">
        <w:t xml:space="preserve">attempting to re-write the </w:t>
      </w:r>
      <w:r w:rsidR="000B4C01">
        <w:t xml:space="preserve">Ohio </w:t>
      </w:r>
      <w:r w:rsidR="00B903BE">
        <w:t>Administrative</w:t>
      </w:r>
      <w:r w:rsidR="000B4C01">
        <w:t xml:space="preserve"> Code </w:t>
      </w:r>
      <w:r w:rsidR="006A3823">
        <w:t>rule on depositions</w:t>
      </w:r>
      <w:r>
        <w:rPr>
          <w:rStyle w:val="FootnoteReference"/>
        </w:rPr>
        <w:footnoteReference w:id="21"/>
      </w:r>
      <w:r w:rsidR="006A3823">
        <w:t xml:space="preserve"> and create a new limitation on depositions that the PUCO did not choose to </w:t>
      </w:r>
      <w:r w:rsidR="00F27379">
        <w:t>include</w:t>
      </w:r>
      <w:r w:rsidR="006A3823">
        <w:t xml:space="preserve"> when it adopted the rule.</w:t>
      </w:r>
      <w:r w:rsidR="00D635D7">
        <w:t xml:space="preserve"> </w:t>
      </w:r>
      <w:r w:rsidR="00173336">
        <w:t>Not even JCARR does that.</w:t>
      </w:r>
      <w:r w:rsidR="00D635D7">
        <w:t xml:space="preserve"> </w:t>
      </w:r>
      <w:r w:rsidR="00C3438F">
        <w:t>In any event, intervenors are typically afforded full discovery rights, even in proceedings without scheduled hearings.</w:t>
      </w:r>
      <w:r>
        <w:rPr>
          <w:rStyle w:val="FootnoteReference"/>
        </w:rPr>
        <w:footnoteReference w:id="22"/>
      </w:r>
      <w:r w:rsidR="00D635D7">
        <w:t xml:space="preserve"> </w:t>
      </w:r>
      <w:r w:rsidR="006A3823">
        <w:t>The PUCO should</w:t>
      </w:r>
      <w:r w:rsidR="00340172">
        <w:t xml:space="preserve"> therefore</w:t>
      </w:r>
      <w:r w:rsidR="006A3823">
        <w:t xml:space="preserve"> reject this argument</w:t>
      </w:r>
      <w:r w:rsidR="00063DCD">
        <w:t>.</w:t>
      </w:r>
    </w:p>
    <w:p w14:paraId="36C2131D" w14:textId="77777777" w:rsidR="001C64E6" w:rsidRDefault="001C64E6" w:rsidP="001C64E6">
      <w:pPr>
        <w:pStyle w:val="Default"/>
      </w:pPr>
    </w:p>
    <w:p w14:paraId="272D8315" w14:textId="42B6791E" w:rsidR="00AB0107" w:rsidRPr="004502DE" w:rsidRDefault="002713C9" w:rsidP="00A57ADD">
      <w:pPr>
        <w:pStyle w:val="Heading1"/>
        <w:rPr>
          <w:bCs w:val="0"/>
        </w:rPr>
      </w:pPr>
      <w:bookmarkStart w:id="6" w:name="_Toc89259213"/>
      <w:r>
        <w:rPr>
          <w:bCs w:val="0"/>
        </w:rPr>
        <w:t>III.</w:t>
      </w:r>
      <w:r>
        <w:rPr>
          <w:bCs w:val="0"/>
        </w:rPr>
        <w:tab/>
      </w:r>
      <w:r w:rsidR="009F1308" w:rsidRPr="004502DE">
        <w:rPr>
          <w:bCs w:val="0"/>
        </w:rPr>
        <w:t>CONCLUSION</w:t>
      </w:r>
      <w:bookmarkEnd w:id="6"/>
    </w:p>
    <w:p w14:paraId="66B1A87E" w14:textId="3689A1E6" w:rsidR="004D27BD" w:rsidRDefault="002713C9" w:rsidP="00D766F9">
      <w:pPr>
        <w:pStyle w:val="Default"/>
        <w:spacing w:line="480" w:lineRule="auto"/>
      </w:pPr>
      <w:r>
        <w:tab/>
        <w:t xml:space="preserve">The </w:t>
      </w:r>
      <w:r w:rsidR="00BF1DBD">
        <w:t>Ohio Administrative Code</w:t>
      </w:r>
      <w:r>
        <w:t xml:space="preserve"> recognize</w:t>
      </w:r>
      <w:r w:rsidR="00BF1DBD">
        <w:t>s</w:t>
      </w:r>
      <w:r>
        <w:t xml:space="preserve"> how important discovery is “to facilitate thorough and adequate preparation for participation in commission proceedings.”</w:t>
      </w:r>
      <w:r>
        <w:rPr>
          <w:rStyle w:val="FootnoteReference"/>
        </w:rPr>
        <w:footnoteReference w:id="23"/>
      </w:r>
      <w:r w:rsidR="00A9182A">
        <w:t xml:space="preserve"> R.C. 4903.082 ensures discovery rights for OCC.</w:t>
      </w:r>
      <w:r w:rsidR="009D6E2B" w:rsidRPr="009D6E2B">
        <w:t xml:space="preserve"> </w:t>
      </w:r>
      <w:r w:rsidR="009D6E2B">
        <w:t>The Supreme Court of Ohio has admonished the PUCO that discovery is a right.</w:t>
      </w:r>
      <w:r w:rsidR="00D635D7">
        <w:t xml:space="preserve"> </w:t>
      </w:r>
      <w:r w:rsidR="00172F01">
        <w:t>OCC is</w:t>
      </w:r>
      <w:r w:rsidR="00A9182A">
        <w:t xml:space="preserve"> exercising </w:t>
      </w:r>
      <w:r w:rsidR="00172F01">
        <w:t>its</w:t>
      </w:r>
      <w:r w:rsidR="00A9182A">
        <w:t xml:space="preserve"> right to take a deposition of </w:t>
      </w:r>
      <w:r w:rsidR="00172F01">
        <w:t>OVEC</w:t>
      </w:r>
      <w:r w:rsidR="00A9182A">
        <w:t>.</w:t>
      </w:r>
      <w:r>
        <w:t xml:space="preserve"> </w:t>
      </w:r>
      <w:r w:rsidR="00752562">
        <w:t>DP&amp;L</w:t>
      </w:r>
      <w:r>
        <w:t xml:space="preserve"> has advanced several </w:t>
      </w:r>
      <w:r w:rsidR="00BF1DBD">
        <w:t xml:space="preserve">shallow and </w:t>
      </w:r>
      <w:r w:rsidR="00A9182A">
        <w:t xml:space="preserve">meritless </w:t>
      </w:r>
      <w:r>
        <w:t xml:space="preserve">arguments for </w:t>
      </w:r>
      <w:r w:rsidR="00A03A81">
        <w:t xml:space="preserve">quashing </w:t>
      </w:r>
      <w:r w:rsidR="00172F01">
        <w:t xml:space="preserve">a subpoena </w:t>
      </w:r>
      <w:r w:rsidR="00172F01" w:rsidRPr="007F608B">
        <w:t>that is not even directed at DP&amp;L</w:t>
      </w:r>
      <w:r w:rsidRPr="007F608B">
        <w:t>.</w:t>
      </w:r>
      <w:r>
        <w:t xml:space="preserve"> The PUCO should reject </w:t>
      </w:r>
      <w:r w:rsidR="00752562">
        <w:t>DP&amp;L</w:t>
      </w:r>
      <w:r>
        <w:t xml:space="preserve">’s motion </w:t>
      </w:r>
      <w:r w:rsidR="00A03A81">
        <w:t xml:space="preserve">to quash the </w:t>
      </w:r>
      <w:r w:rsidR="00172F01">
        <w:t>subpoena.</w:t>
      </w:r>
    </w:p>
    <w:p w14:paraId="5E33954A" w14:textId="4E640106" w:rsidR="001C64E6" w:rsidRDefault="002713C9">
      <w:pPr>
        <w:rPr>
          <w:szCs w:val="24"/>
        </w:rPr>
      </w:pPr>
      <w:r>
        <w:rPr>
          <w:szCs w:val="24"/>
        </w:rPr>
        <w:br w:type="page"/>
      </w:r>
    </w:p>
    <w:p w14:paraId="4EB1545D" w14:textId="54360CCA" w:rsidR="00001F07" w:rsidRDefault="002713C9" w:rsidP="00D766F9">
      <w:pPr>
        <w:ind w:left="3780"/>
        <w:rPr>
          <w:szCs w:val="24"/>
        </w:rPr>
      </w:pPr>
      <w:r>
        <w:rPr>
          <w:szCs w:val="24"/>
        </w:rPr>
        <w:lastRenderedPageBreak/>
        <w:t xml:space="preserve">   </w:t>
      </w:r>
      <w:r w:rsidRPr="00C675E3">
        <w:rPr>
          <w:szCs w:val="24"/>
        </w:rPr>
        <w:t>Respectfully submitted</w:t>
      </w:r>
      <w:r w:rsidRPr="00C675E3">
        <w:rPr>
          <w:szCs w:val="24"/>
        </w:rPr>
        <w:t>,</w:t>
      </w:r>
    </w:p>
    <w:p w14:paraId="03FE459C" w14:textId="77777777" w:rsidR="00001F07" w:rsidRPr="00C675E3" w:rsidRDefault="00001F07" w:rsidP="00001F07">
      <w:pPr>
        <w:ind w:left="4410"/>
        <w:rPr>
          <w:b/>
          <w:bCs w:val="0"/>
          <w:szCs w:val="24"/>
        </w:rPr>
      </w:pPr>
    </w:p>
    <w:p w14:paraId="66A517BB" w14:textId="77777777" w:rsidR="00A57ADD" w:rsidRPr="00F95DDE" w:rsidRDefault="002713C9" w:rsidP="00A57ADD">
      <w:pPr>
        <w:ind w:left="4000"/>
        <w:rPr>
          <w:b/>
          <w:bCs w:val="0"/>
          <w:szCs w:val="24"/>
        </w:rPr>
      </w:pPr>
      <w:r w:rsidRPr="00F95DDE">
        <w:rPr>
          <w:szCs w:val="24"/>
        </w:rPr>
        <w:t>Bruce Weston (0016973)</w:t>
      </w:r>
    </w:p>
    <w:p w14:paraId="668C4B1B" w14:textId="77777777" w:rsidR="00A57ADD" w:rsidRPr="00F95DDE" w:rsidRDefault="002713C9" w:rsidP="00A57ADD">
      <w:pPr>
        <w:ind w:left="4000"/>
        <w:rPr>
          <w:szCs w:val="24"/>
        </w:rPr>
      </w:pPr>
      <w:r w:rsidRPr="00F95DDE">
        <w:rPr>
          <w:szCs w:val="24"/>
        </w:rPr>
        <w:t>Ohio Consumers’ Counsel</w:t>
      </w:r>
    </w:p>
    <w:p w14:paraId="2F2A4A6A" w14:textId="77777777" w:rsidR="00A57ADD" w:rsidRPr="00F95DDE" w:rsidRDefault="00A57ADD" w:rsidP="00A57ADD">
      <w:pPr>
        <w:ind w:left="4000"/>
        <w:rPr>
          <w:b/>
          <w:bCs w:val="0"/>
          <w:szCs w:val="24"/>
        </w:rPr>
      </w:pPr>
    </w:p>
    <w:p w14:paraId="047584CD" w14:textId="77777777" w:rsidR="00A57ADD" w:rsidRPr="00F95DDE" w:rsidRDefault="002713C9" w:rsidP="00A57ADD">
      <w:pPr>
        <w:pStyle w:val="ListParagraph"/>
        <w:spacing w:after="0"/>
        <w:ind w:left="4000"/>
        <w:rPr>
          <w:rFonts w:ascii="Times New Roman" w:hAnsi="Times New Roman"/>
          <w:i/>
          <w:iCs/>
          <w:sz w:val="24"/>
          <w:szCs w:val="24"/>
          <w:u w:val="single"/>
        </w:rPr>
      </w:pPr>
      <w:r w:rsidRPr="00F95DDE">
        <w:rPr>
          <w:rFonts w:ascii="Times New Roman" w:hAnsi="Times New Roman"/>
          <w:i/>
          <w:iCs/>
          <w:sz w:val="24"/>
          <w:szCs w:val="24"/>
          <w:u w:val="single"/>
        </w:rPr>
        <w:t>/s/ John Finnigan</w:t>
      </w:r>
      <w:r w:rsidRPr="00F95DDE">
        <w:rPr>
          <w:rFonts w:ascii="Times New Roman" w:hAnsi="Times New Roman"/>
          <w:i/>
          <w:iCs/>
          <w:sz w:val="24"/>
          <w:szCs w:val="24"/>
          <w:u w:val="single"/>
        </w:rPr>
        <w:tab/>
      </w:r>
      <w:r w:rsidRPr="00F95DDE">
        <w:rPr>
          <w:rFonts w:ascii="Times New Roman" w:hAnsi="Times New Roman"/>
          <w:i/>
          <w:iCs/>
          <w:sz w:val="24"/>
          <w:szCs w:val="24"/>
          <w:u w:val="single"/>
        </w:rPr>
        <w:tab/>
      </w:r>
    </w:p>
    <w:p w14:paraId="2B745A1B" w14:textId="77777777" w:rsidR="00A57ADD" w:rsidRPr="00F95DDE" w:rsidRDefault="002713C9" w:rsidP="00A57ADD">
      <w:pPr>
        <w:ind w:left="4000"/>
        <w:rPr>
          <w:szCs w:val="24"/>
        </w:rPr>
      </w:pPr>
      <w:r w:rsidRPr="00F95DDE">
        <w:rPr>
          <w:szCs w:val="24"/>
        </w:rPr>
        <w:t>William J. Michael (0070921)</w:t>
      </w:r>
    </w:p>
    <w:p w14:paraId="29B1890A" w14:textId="77777777" w:rsidR="00A57ADD" w:rsidRPr="00F95DDE" w:rsidRDefault="002713C9" w:rsidP="00A57ADD">
      <w:pPr>
        <w:ind w:left="4000"/>
        <w:rPr>
          <w:szCs w:val="24"/>
        </w:rPr>
      </w:pPr>
      <w:r w:rsidRPr="00F95DDE">
        <w:rPr>
          <w:szCs w:val="24"/>
        </w:rPr>
        <w:t>Counsel of Record</w:t>
      </w:r>
    </w:p>
    <w:p w14:paraId="1AE30633" w14:textId="77777777" w:rsidR="00A57ADD" w:rsidRPr="00F95DDE" w:rsidRDefault="002713C9" w:rsidP="00A57ADD">
      <w:pPr>
        <w:ind w:left="4000"/>
        <w:rPr>
          <w:szCs w:val="24"/>
        </w:rPr>
      </w:pPr>
      <w:r w:rsidRPr="00F95DDE">
        <w:rPr>
          <w:szCs w:val="24"/>
        </w:rPr>
        <w:t xml:space="preserve">Amy Botschner O’Brien (0074423) </w:t>
      </w:r>
    </w:p>
    <w:p w14:paraId="12718389" w14:textId="77777777" w:rsidR="00A57ADD" w:rsidRPr="00F95DDE" w:rsidRDefault="002713C9" w:rsidP="00A57ADD">
      <w:pPr>
        <w:ind w:left="4000"/>
        <w:rPr>
          <w:szCs w:val="24"/>
        </w:rPr>
      </w:pPr>
      <w:r w:rsidRPr="00F95DDE">
        <w:rPr>
          <w:szCs w:val="24"/>
        </w:rPr>
        <w:t>John Finnigan (0018689)</w:t>
      </w:r>
    </w:p>
    <w:p w14:paraId="27CFCA4E" w14:textId="77777777" w:rsidR="00A57ADD" w:rsidRPr="00F95DDE" w:rsidRDefault="002713C9" w:rsidP="00A57ADD">
      <w:pPr>
        <w:ind w:left="4000"/>
        <w:rPr>
          <w:szCs w:val="24"/>
        </w:rPr>
      </w:pPr>
      <w:r w:rsidRPr="00F95DDE">
        <w:rPr>
          <w:szCs w:val="24"/>
        </w:rPr>
        <w:t>Assistant Consumers’ Counsel</w:t>
      </w:r>
    </w:p>
    <w:p w14:paraId="6990DA44" w14:textId="77777777" w:rsidR="00A57ADD" w:rsidRPr="00F95DDE" w:rsidRDefault="00A57ADD" w:rsidP="00A57ADD">
      <w:pPr>
        <w:ind w:left="4000"/>
        <w:rPr>
          <w:szCs w:val="24"/>
        </w:rPr>
      </w:pPr>
    </w:p>
    <w:p w14:paraId="75124AED" w14:textId="77777777" w:rsidR="00A57ADD" w:rsidRPr="00F95DDE" w:rsidRDefault="002713C9" w:rsidP="00A57ADD">
      <w:pPr>
        <w:pStyle w:val="ListParagraph"/>
        <w:spacing w:after="0"/>
        <w:ind w:left="4000"/>
        <w:rPr>
          <w:rFonts w:ascii="Times New Roman" w:hAnsi="Times New Roman"/>
          <w:b/>
          <w:bCs/>
          <w:sz w:val="24"/>
          <w:szCs w:val="24"/>
        </w:rPr>
      </w:pPr>
      <w:r w:rsidRPr="00F95DDE">
        <w:rPr>
          <w:rFonts w:ascii="Times New Roman" w:hAnsi="Times New Roman"/>
          <w:b/>
          <w:sz w:val="24"/>
          <w:szCs w:val="24"/>
        </w:rPr>
        <w:t>Office of the Ohio Consumers’ Counsel</w:t>
      </w:r>
    </w:p>
    <w:p w14:paraId="59D15956" w14:textId="77777777" w:rsidR="00A57ADD" w:rsidRPr="00F95DDE" w:rsidRDefault="002713C9" w:rsidP="00A57ADD">
      <w:pPr>
        <w:ind w:left="4000"/>
        <w:rPr>
          <w:szCs w:val="24"/>
        </w:rPr>
      </w:pPr>
      <w:r w:rsidRPr="00F95DDE">
        <w:rPr>
          <w:szCs w:val="24"/>
        </w:rPr>
        <w:t xml:space="preserve">65 East State Street, </w:t>
      </w:r>
      <w:r>
        <w:rPr>
          <w:szCs w:val="24"/>
        </w:rPr>
        <w:t>Suite 700</w:t>
      </w:r>
    </w:p>
    <w:p w14:paraId="4F5D202B" w14:textId="77777777" w:rsidR="00A57ADD" w:rsidRPr="00F95DDE" w:rsidRDefault="002713C9" w:rsidP="00A57ADD">
      <w:pPr>
        <w:ind w:left="4000"/>
        <w:rPr>
          <w:szCs w:val="24"/>
        </w:rPr>
      </w:pPr>
      <w:r w:rsidRPr="00F95DDE">
        <w:rPr>
          <w:szCs w:val="24"/>
        </w:rPr>
        <w:t>Columbus, Ohio 43215</w:t>
      </w:r>
    </w:p>
    <w:p w14:paraId="42A7E8FD" w14:textId="77777777" w:rsidR="00A57ADD" w:rsidRPr="00F95DDE" w:rsidRDefault="002713C9" w:rsidP="00A57ADD">
      <w:pPr>
        <w:autoSpaceDE w:val="0"/>
        <w:autoSpaceDN w:val="0"/>
        <w:adjustRightInd w:val="0"/>
        <w:ind w:left="4000"/>
        <w:rPr>
          <w:szCs w:val="24"/>
        </w:rPr>
      </w:pPr>
      <w:r w:rsidRPr="00F95DDE">
        <w:rPr>
          <w:szCs w:val="24"/>
        </w:rPr>
        <w:t>Telephone [Michael]: (614) 466-1291</w:t>
      </w:r>
    </w:p>
    <w:p w14:paraId="3EA203CF" w14:textId="77777777" w:rsidR="00A57ADD" w:rsidRPr="00F95DDE" w:rsidRDefault="002713C9" w:rsidP="00A57ADD">
      <w:pPr>
        <w:autoSpaceDE w:val="0"/>
        <w:autoSpaceDN w:val="0"/>
        <w:adjustRightInd w:val="0"/>
        <w:ind w:left="4000"/>
        <w:rPr>
          <w:szCs w:val="24"/>
        </w:rPr>
      </w:pPr>
      <w:r w:rsidRPr="00F95DDE">
        <w:rPr>
          <w:szCs w:val="24"/>
        </w:rPr>
        <w:t>Telephone [Botschner O’Brien]: (614) 466-9575</w:t>
      </w:r>
    </w:p>
    <w:p w14:paraId="6878E421" w14:textId="77777777" w:rsidR="00A57ADD" w:rsidRPr="00F95DDE" w:rsidRDefault="002713C9" w:rsidP="00A57ADD">
      <w:pPr>
        <w:pStyle w:val="ListParagraph"/>
        <w:autoSpaceDE w:val="0"/>
        <w:autoSpaceDN w:val="0"/>
        <w:adjustRightInd w:val="0"/>
        <w:spacing w:after="0"/>
        <w:ind w:left="4000"/>
        <w:rPr>
          <w:rFonts w:ascii="Times New Roman" w:hAnsi="Times New Roman"/>
          <w:sz w:val="24"/>
          <w:szCs w:val="24"/>
        </w:rPr>
      </w:pPr>
      <w:r w:rsidRPr="00F95DDE">
        <w:rPr>
          <w:rFonts w:ascii="Times New Roman" w:hAnsi="Times New Roman"/>
          <w:sz w:val="24"/>
          <w:szCs w:val="24"/>
        </w:rPr>
        <w:t>Telephone [Finnigan]: (614) 466-9585</w:t>
      </w:r>
    </w:p>
    <w:p w14:paraId="00D4AE38" w14:textId="77777777" w:rsidR="00A57ADD" w:rsidRPr="00F95DDE" w:rsidRDefault="002713C9" w:rsidP="00A57ADD">
      <w:pPr>
        <w:pStyle w:val="ListParagraph"/>
        <w:autoSpaceDE w:val="0"/>
        <w:autoSpaceDN w:val="0"/>
        <w:adjustRightInd w:val="0"/>
        <w:spacing w:after="0"/>
        <w:ind w:left="4000"/>
        <w:rPr>
          <w:rFonts w:ascii="Times New Roman" w:hAnsi="Times New Roman"/>
          <w:sz w:val="24"/>
          <w:szCs w:val="24"/>
        </w:rPr>
      </w:pPr>
      <w:hyperlink r:id="rId13" w:history="1">
        <w:r w:rsidR="00CC68BA" w:rsidRPr="00F95DDE">
          <w:rPr>
            <w:rStyle w:val="Hyperlink"/>
            <w:rFonts w:ascii="Times New Roman" w:hAnsi="Times New Roman"/>
            <w:sz w:val="24"/>
            <w:szCs w:val="24"/>
          </w:rPr>
          <w:t>william.michael@occ.ohio.gov</w:t>
        </w:r>
      </w:hyperlink>
    </w:p>
    <w:p w14:paraId="7A2C40DB" w14:textId="77777777" w:rsidR="00A57ADD" w:rsidRPr="00F95DDE" w:rsidRDefault="002713C9" w:rsidP="00A57ADD">
      <w:pPr>
        <w:autoSpaceDE w:val="0"/>
        <w:autoSpaceDN w:val="0"/>
        <w:adjustRightInd w:val="0"/>
        <w:ind w:left="4000" w:firstLine="15"/>
        <w:rPr>
          <w:color w:val="0000FF"/>
          <w:szCs w:val="24"/>
          <w:u w:val="single"/>
        </w:rPr>
      </w:pPr>
      <w:r>
        <w:rPr>
          <w:color w:val="0000FF"/>
          <w:szCs w:val="24"/>
          <w:u w:val="single"/>
        </w:rPr>
        <w:t>a</w:t>
      </w:r>
      <w:r w:rsidRPr="00F95DDE">
        <w:rPr>
          <w:color w:val="0000FF"/>
          <w:szCs w:val="24"/>
          <w:u w:val="single"/>
        </w:rPr>
        <w:t xml:space="preserve">my.botschner.obrien@occ.ohio.gov </w:t>
      </w:r>
    </w:p>
    <w:p w14:paraId="0EC0F957" w14:textId="77777777" w:rsidR="00A57ADD" w:rsidRPr="00F95DDE" w:rsidRDefault="002713C9" w:rsidP="00A57ADD">
      <w:pPr>
        <w:pStyle w:val="ListParagraph"/>
        <w:autoSpaceDE w:val="0"/>
        <w:autoSpaceDN w:val="0"/>
        <w:adjustRightInd w:val="0"/>
        <w:ind w:left="4000" w:firstLine="15"/>
        <w:rPr>
          <w:rStyle w:val="Hyperlink"/>
          <w:rFonts w:ascii="Times New Roman" w:hAnsi="Times New Roman"/>
          <w:sz w:val="24"/>
          <w:szCs w:val="24"/>
        </w:rPr>
      </w:pPr>
      <w:hyperlink r:id="rId14" w:history="1">
        <w:r w:rsidR="00CC68BA" w:rsidRPr="00F95DDE">
          <w:rPr>
            <w:rStyle w:val="Hyperlink"/>
            <w:rFonts w:ascii="Times New Roman" w:hAnsi="Times New Roman"/>
            <w:sz w:val="24"/>
            <w:szCs w:val="24"/>
          </w:rPr>
          <w:t>john.finnigan@occ.ohio.gov</w:t>
        </w:r>
      </w:hyperlink>
    </w:p>
    <w:p w14:paraId="1C2A2D4A" w14:textId="77777777" w:rsidR="00A57ADD" w:rsidRPr="00F95DDE" w:rsidRDefault="002713C9" w:rsidP="00A57ADD">
      <w:pPr>
        <w:pStyle w:val="ListParagraph"/>
        <w:autoSpaceDE w:val="0"/>
        <w:autoSpaceDN w:val="0"/>
        <w:adjustRightInd w:val="0"/>
        <w:ind w:left="4000" w:firstLine="15"/>
        <w:rPr>
          <w:rFonts w:ascii="Times New Roman" w:hAnsi="Times New Roman"/>
          <w:sz w:val="24"/>
          <w:szCs w:val="24"/>
        </w:rPr>
      </w:pPr>
      <w:r w:rsidRPr="00F95DDE">
        <w:rPr>
          <w:rStyle w:val="Hyperlink"/>
          <w:rFonts w:ascii="Times New Roman" w:hAnsi="Times New Roman"/>
          <w:color w:val="auto"/>
          <w:sz w:val="24"/>
          <w:szCs w:val="24"/>
          <w:u w:val="none"/>
        </w:rPr>
        <w:t>(willing to accept service by e-mail)</w:t>
      </w:r>
    </w:p>
    <w:p w14:paraId="1A5DB62B" w14:textId="77777777" w:rsidR="00001F07" w:rsidRPr="00C675E3" w:rsidRDefault="00001F07" w:rsidP="00001F07">
      <w:pPr>
        <w:ind w:left="4320"/>
        <w:rPr>
          <w:b/>
          <w:bCs w:val="0"/>
          <w:szCs w:val="24"/>
        </w:rPr>
      </w:pPr>
    </w:p>
    <w:p w14:paraId="18224ABE" w14:textId="77777777" w:rsidR="00001F07" w:rsidRDefault="002713C9" w:rsidP="00001F07">
      <w:r>
        <w:br w:type="page"/>
      </w:r>
    </w:p>
    <w:p w14:paraId="769A1A8F" w14:textId="77777777" w:rsidR="00001F07" w:rsidRPr="00C675E3" w:rsidRDefault="002713C9" w:rsidP="00001F07">
      <w:pPr>
        <w:jc w:val="center"/>
        <w:rPr>
          <w:b/>
          <w:bCs w:val="0"/>
          <w:szCs w:val="24"/>
          <w:u w:val="single"/>
        </w:rPr>
      </w:pPr>
      <w:r w:rsidRPr="00C675E3">
        <w:rPr>
          <w:b/>
          <w:szCs w:val="24"/>
          <w:u w:val="single"/>
        </w:rPr>
        <w:lastRenderedPageBreak/>
        <w:t>CERTIFICATE OF SERVICE</w:t>
      </w:r>
    </w:p>
    <w:p w14:paraId="10F9E15B" w14:textId="77777777" w:rsidR="00001F07" w:rsidRPr="00C675E3" w:rsidRDefault="00001F07" w:rsidP="00001F07">
      <w:pPr>
        <w:jc w:val="center"/>
        <w:rPr>
          <w:szCs w:val="24"/>
          <w:u w:val="single"/>
        </w:rPr>
      </w:pPr>
    </w:p>
    <w:p w14:paraId="5D4707D8" w14:textId="37396480" w:rsidR="00001F07" w:rsidRPr="00C675E3" w:rsidRDefault="002713C9" w:rsidP="00001F07">
      <w:pPr>
        <w:spacing w:line="480" w:lineRule="auto"/>
        <w:rPr>
          <w:b/>
          <w:bCs w:val="0"/>
          <w:szCs w:val="24"/>
        </w:rPr>
      </w:pPr>
      <w:r w:rsidRPr="00C675E3">
        <w:rPr>
          <w:szCs w:val="24"/>
        </w:rPr>
        <w:tab/>
        <w:t>I hereby certify that a copy of th</w:t>
      </w:r>
      <w:r>
        <w:rPr>
          <w:szCs w:val="24"/>
        </w:rPr>
        <w:t>is</w:t>
      </w:r>
      <w:r w:rsidR="00A7467D">
        <w:rPr>
          <w:szCs w:val="24"/>
        </w:rPr>
        <w:t xml:space="preserve"> </w:t>
      </w:r>
      <w:r>
        <w:rPr>
          <w:szCs w:val="24"/>
        </w:rPr>
        <w:t xml:space="preserve">Memorandum Contra </w:t>
      </w:r>
      <w:r w:rsidRPr="00C675E3">
        <w:rPr>
          <w:szCs w:val="24"/>
        </w:rPr>
        <w:t>w</w:t>
      </w:r>
      <w:r>
        <w:rPr>
          <w:szCs w:val="24"/>
        </w:rPr>
        <w:t>as</w:t>
      </w:r>
      <w:r w:rsidRPr="00C675E3">
        <w:rPr>
          <w:szCs w:val="24"/>
        </w:rPr>
        <w:t xml:space="preserve"> served on the persons stated below via electric transmission this </w:t>
      </w:r>
      <w:r w:rsidR="003558A5">
        <w:rPr>
          <w:szCs w:val="24"/>
        </w:rPr>
        <w:t>1st</w:t>
      </w:r>
      <w:r w:rsidRPr="00C675E3">
        <w:rPr>
          <w:szCs w:val="24"/>
        </w:rPr>
        <w:t xml:space="preserve"> day of </w:t>
      </w:r>
      <w:r w:rsidR="00F021B7">
        <w:rPr>
          <w:szCs w:val="24"/>
        </w:rPr>
        <w:t>December</w:t>
      </w:r>
      <w:r w:rsidRPr="00C675E3">
        <w:rPr>
          <w:szCs w:val="24"/>
        </w:rPr>
        <w:t xml:space="preserve"> 202</w:t>
      </w:r>
      <w:r>
        <w:rPr>
          <w:szCs w:val="24"/>
        </w:rPr>
        <w:t>1</w:t>
      </w:r>
      <w:r w:rsidRPr="00C675E3">
        <w:rPr>
          <w:szCs w:val="24"/>
        </w:rPr>
        <w:t>.</w:t>
      </w:r>
    </w:p>
    <w:p w14:paraId="0904D49F" w14:textId="77777777" w:rsidR="00001F07" w:rsidRPr="00C675E3" w:rsidRDefault="002713C9" w:rsidP="00001F07">
      <w:pPr>
        <w:rPr>
          <w:b/>
          <w:bCs w:val="0"/>
          <w:szCs w:val="24"/>
        </w:rPr>
      </w:pPr>
      <w:r w:rsidRPr="00C675E3">
        <w:rPr>
          <w:szCs w:val="24"/>
        </w:rPr>
        <w:tab/>
      </w:r>
      <w:r w:rsidRPr="00C675E3">
        <w:rPr>
          <w:szCs w:val="24"/>
        </w:rPr>
        <w:tab/>
      </w:r>
      <w:r w:rsidRPr="00C675E3">
        <w:rPr>
          <w:szCs w:val="24"/>
        </w:rPr>
        <w:tab/>
      </w:r>
      <w:r w:rsidRPr="00C675E3">
        <w:rPr>
          <w:szCs w:val="24"/>
        </w:rPr>
        <w:tab/>
      </w:r>
      <w:r w:rsidRPr="00C675E3">
        <w:rPr>
          <w:szCs w:val="24"/>
        </w:rPr>
        <w:tab/>
      </w:r>
      <w:r w:rsidRPr="00C675E3">
        <w:rPr>
          <w:szCs w:val="24"/>
        </w:rPr>
        <w:tab/>
      </w:r>
    </w:p>
    <w:p w14:paraId="195D8180" w14:textId="77777777" w:rsidR="00001F07" w:rsidRPr="00C675E3" w:rsidRDefault="002713C9" w:rsidP="00001F07">
      <w:pPr>
        <w:rPr>
          <w:b/>
          <w:bCs w:val="0"/>
          <w:i/>
          <w:iCs/>
          <w:szCs w:val="24"/>
          <w:u w:val="single"/>
        </w:rPr>
      </w:pPr>
      <w:r w:rsidRPr="00C675E3">
        <w:rPr>
          <w:szCs w:val="24"/>
        </w:rPr>
        <w:tab/>
      </w:r>
      <w:r w:rsidRPr="00C675E3">
        <w:rPr>
          <w:szCs w:val="24"/>
        </w:rPr>
        <w:tab/>
      </w:r>
      <w:r w:rsidRPr="00C675E3">
        <w:rPr>
          <w:szCs w:val="24"/>
        </w:rPr>
        <w:tab/>
      </w:r>
      <w:r w:rsidRPr="00C675E3">
        <w:rPr>
          <w:szCs w:val="24"/>
        </w:rPr>
        <w:tab/>
      </w:r>
      <w:r w:rsidRPr="00C675E3">
        <w:rPr>
          <w:szCs w:val="24"/>
        </w:rPr>
        <w:tab/>
      </w:r>
      <w:r w:rsidRPr="00C675E3">
        <w:rPr>
          <w:szCs w:val="24"/>
        </w:rPr>
        <w:tab/>
      </w:r>
      <w:r w:rsidRPr="00C675E3">
        <w:rPr>
          <w:i/>
          <w:iCs/>
          <w:szCs w:val="24"/>
          <w:u w:val="single"/>
        </w:rPr>
        <w:t>/s/ John Finnigan</w:t>
      </w:r>
      <w:r>
        <w:rPr>
          <w:i/>
          <w:iCs/>
          <w:szCs w:val="24"/>
          <w:u w:val="single"/>
        </w:rPr>
        <w:tab/>
      </w:r>
    </w:p>
    <w:p w14:paraId="333DC5A5" w14:textId="77777777" w:rsidR="00001F07" w:rsidRPr="00C675E3" w:rsidRDefault="002713C9" w:rsidP="00001F07">
      <w:pPr>
        <w:rPr>
          <w:b/>
          <w:bCs w:val="0"/>
          <w:szCs w:val="24"/>
        </w:rPr>
      </w:pPr>
      <w:r w:rsidRPr="00C675E3">
        <w:rPr>
          <w:szCs w:val="24"/>
        </w:rPr>
        <w:tab/>
      </w:r>
      <w:r w:rsidRPr="00C675E3">
        <w:rPr>
          <w:szCs w:val="24"/>
        </w:rPr>
        <w:tab/>
      </w:r>
      <w:r w:rsidRPr="00C675E3">
        <w:rPr>
          <w:szCs w:val="24"/>
        </w:rPr>
        <w:tab/>
      </w:r>
      <w:r w:rsidRPr="00C675E3">
        <w:rPr>
          <w:szCs w:val="24"/>
        </w:rPr>
        <w:tab/>
      </w:r>
      <w:r w:rsidRPr="00C675E3">
        <w:rPr>
          <w:szCs w:val="24"/>
        </w:rPr>
        <w:tab/>
      </w:r>
      <w:r w:rsidRPr="00C675E3">
        <w:rPr>
          <w:szCs w:val="24"/>
        </w:rPr>
        <w:tab/>
        <w:t>John Finnigan (0018689)</w:t>
      </w:r>
    </w:p>
    <w:p w14:paraId="63D422FB" w14:textId="77777777" w:rsidR="00001F07" w:rsidRPr="00C675E3" w:rsidRDefault="002713C9" w:rsidP="00001F07">
      <w:pPr>
        <w:rPr>
          <w:b/>
          <w:bCs w:val="0"/>
          <w:szCs w:val="24"/>
        </w:rPr>
      </w:pPr>
      <w:r w:rsidRPr="00C675E3">
        <w:rPr>
          <w:szCs w:val="24"/>
        </w:rPr>
        <w:tab/>
      </w:r>
      <w:r w:rsidRPr="00C675E3">
        <w:rPr>
          <w:szCs w:val="24"/>
        </w:rPr>
        <w:tab/>
      </w:r>
      <w:r w:rsidRPr="00C675E3">
        <w:rPr>
          <w:szCs w:val="24"/>
        </w:rPr>
        <w:tab/>
      </w:r>
      <w:r w:rsidRPr="00C675E3">
        <w:rPr>
          <w:szCs w:val="24"/>
        </w:rPr>
        <w:tab/>
      </w:r>
      <w:r w:rsidRPr="00C675E3">
        <w:rPr>
          <w:szCs w:val="24"/>
        </w:rPr>
        <w:tab/>
      </w:r>
      <w:r w:rsidRPr="00C675E3">
        <w:rPr>
          <w:szCs w:val="24"/>
        </w:rPr>
        <w:tab/>
        <w:t>Assistant Consumers’ Counsel</w:t>
      </w:r>
    </w:p>
    <w:p w14:paraId="5C4EE16E" w14:textId="77777777" w:rsidR="00001F07" w:rsidRPr="00C675E3" w:rsidRDefault="00001F07" w:rsidP="00001F07">
      <w:pPr>
        <w:pStyle w:val="ListParagraph"/>
        <w:ind w:left="0"/>
        <w:rPr>
          <w:b/>
          <w:bCs/>
          <w:szCs w:val="24"/>
        </w:rPr>
      </w:pPr>
    </w:p>
    <w:p w14:paraId="592B2887" w14:textId="77777777" w:rsidR="00001F07" w:rsidRPr="00C675E3" w:rsidRDefault="002713C9" w:rsidP="00001F07">
      <w:pPr>
        <w:rPr>
          <w:b/>
          <w:bCs w:val="0"/>
          <w:szCs w:val="24"/>
        </w:rPr>
      </w:pPr>
      <w:r w:rsidRPr="00C675E3">
        <w:rPr>
          <w:szCs w:val="24"/>
        </w:rPr>
        <w:t xml:space="preserve">The PUCO’s e-filing system will electronically serve notice of </w:t>
      </w:r>
      <w:r w:rsidRPr="00C675E3">
        <w:rPr>
          <w:szCs w:val="24"/>
        </w:rPr>
        <w:t>the filing of this document on the following parties:</w:t>
      </w:r>
    </w:p>
    <w:p w14:paraId="67BEAEA3" w14:textId="77777777" w:rsidR="00001F07" w:rsidRPr="00C675E3" w:rsidRDefault="00001F07" w:rsidP="00001F07">
      <w:pPr>
        <w:rPr>
          <w:b/>
          <w:bCs w:val="0"/>
          <w:szCs w:val="24"/>
        </w:rPr>
      </w:pPr>
    </w:p>
    <w:p w14:paraId="193E9D20" w14:textId="77777777" w:rsidR="00001F07" w:rsidRDefault="002713C9" w:rsidP="00001F07">
      <w:pPr>
        <w:pStyle w:val="CommentText"/>
        <w:jc w:val="center"/>
        <w:rPr>
          <w:b/>
          <w:bCs w:val="0"/>
          <w:sz w:val="24"/>
          <w:szCs w:val="24"/>
          <w:u w:val="single"/>
        </w:rPr>
      </w:pPr>
      <w:r w:rsidRPr="00C675E3">
        <w:rPr>
          <w:b/>
          <w:sz w:val="24"/>
          <w:szCs w:val="24"/>
          <w:u w:val="single"/>
        </w:rPr>
        <w:t>SERVICE LIST</w:t>
      </w:r>
    </w:p>
    <w:p w14:paraId="121E9C69" w14:textId="77777777" w:rsidR="00001F07" w:rsidRPr="00C675E3" w:rsidRDefault="00001F07" w:rsidP="00001F07">
      <w:pPr>
        <w:pStyle w:val="CommentText"/>
        <w:jc w:val="center"/>
        <w:rPr>
          <w:b/>
          <w:bCs w:val="0"/>
          <w:sz w:val="24"/>
          <w:szCs w:val="24"/>
          <w:u w:val="single"/>
        </w:rPr>
      </w:pPr>
    </w:p>
    <w:tbl>
      <w:tblPr>
        <w:tblW w:w="0" w:type="auto"/>
        <w:tblLook w:val="01E0" w:firstRow="1" w:lastRow="1" w:firstColumn="1" w:lastColumn="1" w:noHBand="0" w:noVBand="0"/>
      </w:tblPr>
      <w:tblGrid>
        <w:gridCol w:w="4428"/>
        <w:gridCol w:w="4428"/>
      </w:tblGrid>
      <w:tr w:rsidR="00E10325" w14:paraId="0392AE54" w14:textId="77777777" w:rsidTr="00E14882">
        <w:tc>
          <w:tcPr>
            <w:tcW w:w="4428" w:type="dxa"/>
            <w:shd w:val="clear" w:color="auto" w:fill="auto"/>
          </w:tcPr>
          <w:p w14:paraId="3B631C12" w14:textId="77777777" w:rsidR="00001F07" w:rsidRPr="00E20C06" w:rsidRDefault="002713C9" w:rsidP="00E14882">
            <w:pPr>
              <w:pStyle w:val="BodyText"/>
              <w:spacing w:line="240" w:lineRule="auto"/>
              <w:rPr>
                <w:rStyle w:val="Hyperlink"/>
                <w:bCs/>
              </w:rPr>
            </w:pPr>
            <w:hyperlink r:id="rId15" w:history="1">
              <w:r w:rsidR="00CC68BA" w:rsidRPr="00E20C06">
                <w:rPr>
                  <w:rStyle w:val="Hyperlink"/>
                </w:rPr>
                <w:t>kyle</w:t>
              </w:r>
              <w:r w:rsidR="00CC68BA" w:rsidRPr="00E20C06">
                <w:rPr>
                  <w:rStyle w:val="Hyperlink"/>
                  <w:bCs/>
                </w:rPr>
                <w:t>.kern@ohioattorneygeneral.gov</w:t>
              </w:r>
            </w:hyperlink>
          </w:p>
          <w:p w14:paraId="6438B3A8" w14:textId="77777777" w:rsidR="00001F07" w:rsidRPr="00E20C06" w:rsidRDefault="002713C9" w:rsidP="00E14882">
            <w:pPr>
              <w:pStyle w:val="BodyText"/>
              <w:spacing w:line="240" w:lineRule="auto"/>
              <w:rPr>
                <w:rStyle w:val="Hyperlink"/>
                <w:bCs/>
              </w:rPr>
            </w:pPr>
            <w:hyperlink r:id="rId16" w:history="1">
              <w:r w:rsidR="00CC68BA" w:rsidRPr="00C43258">
                <w:rPr>
                  <w:rStyle w:val="Hyperlink"/>
                  <w:bCs/>
                </w:rPr>
                <w:t>thomas.lindgren@ohioattorneygeneral.gov</w:t>
              </w:r>
            </w:hyperlink>
          </w:p>
          <w:p w14:paraId="6E511B0E" w14:textId="77777777" w:rsidR="00001F07" w:rsidRDefault="00001F07" w:rsidP="00E14882">
            <w:pPr>
              <w:pStyle w:val="BodyText"/>
              <w:rPr>
                <w:bCs/>
              </w:rPr>
            </w:pPr>
          </w:p>
          <w:p w14:paraId="3887DEEC" w14:textId="77777777" w:rsidR="00001F07" w:rsidRPr="00E20C06" w:rsidRDefault="002713C9" w:rsidP="00E14882">
            <w:pPr>
              <w:pStyle w:val="BodyText"/>
              <w:spacing w:line="240" w:lineRule="auto"/>
              <w:rPr>
                <w:bCs/>
              </w:rPr>
            </w:pPr>
            <w:r w:rsidRPr="00E20C06">
              <w:rPr>
                <w:bCs/>
              </w:rPr>
              <w:t>Attorney Examiners:</w:t>
            </w:r>
          </w:p>
          <w:p w14:paraId="4F7FE0DF" w14:textId="77777777" w:rsidR="00001F07" w:rsidRPr="00E20C06" w:rsidRDefault="002713C9" w:rsidP="00E14882">
            <w:pPr>
              <w:pStyle w:val="BodyText"/>
              <w:spacing w:line="240" w:lineRule="auto"/>
              <w:rPr>
                <w:bCs/>
              </w:rPr>
            </w:pPr>
            <w:hyperlink r:id="rId17" w:history="1">
              <w:r w:rsidR="00CC68BA" w:rsidRPr="00771090">
                <w:rPr>
                  <w:rStyle w:val="Hyperlink"/>
                </w:rPr>
                <w:t>patricia</w:t>
              </w:r>
              <w:r w:rsidR="00CC68BA" w:rsidRPr="00771090">
                <w:rPr>
                  <w:rStyle w:val="Hyperlink"/>
                  <w:bCs/>
                </w:rPr>
                <w:t>.schabo@puco.ohio.gov</w:t>
              </w:r>
            </w:hyperlink>
          </w:p>
          <w:p w14:paraId="77E29C61" w14:textId="77777777" w:rsidR="00001F07" w:rsidRDefault="002713C9" w:rsidP="00E14882">
            <w:pPr>
              <w:pStyle w:val="BodyText"/>
              <w:rPr>
                <w:bCs/>
              </w:rPr>
            </w:pPr>
            <w:hyperlink r:id="rId18" w:history="1">
              <w:r w:rsidR="00CC68BA" w:rsidRPr="00771090">
                <w:rPr>
                  <w:rStyle w:val="Hyperlink"/>
                  <w:bCs/>
                </w:rPr>
                <w:t>michael.williams@puco.ohio.gov</w:t>
              </w:r>
            </w:hyperlink>
          </w:p>
          <w:p w14:paraId="4B963F7B" w14:textId="77777777" w:rsidR="00001F07" w:rsidRPr="00E20C06" w:rsidRDefault="00001F07" w:rsidP="00E14882">
            <w:pPr>
              <w:pStyle w:val="BodyText"/>
              <w:rPr>
                <w:bCs/>
              </w:rPr>
            </w:pPr>
          </w:p>
        </w:tc>
        <w:tc>
          <w:tcPr>
            <w:tcW w:w="4428" w:type="dxa"/>
            <w:shd w:val="clear" w:color="auto" w:fill="auto"/>
          </w:tcPr>
          <w:p w14:paraId="61663CD0" w14:textId="77777777" w:rsidR="00001F07" w:rsidRDefault="002713C9" w:rsidP="00E14882">
            <w:pPr>
              <w:autoSpaceDE w:val="0"/>
              <w:autoSpaceDN w:val="0"/>
              <w:adjustRightInd w:val="0"/>
              <w:ind w:left="1247"/>
              <w:rPr>
                <w:rStyle w:val="Hyperlink"/>
                <w:bCs w:val="0"/>
                <w:szCs w:val="24"/>
              </w:rPr>
            </w:pPr>
            <w:hyperlink r:id="rId19" w:history="1">
              <w:r w:rsidR="00CC68BA" w:rsidRPr="00935365">
                <w:rPr>
                  <w:rStyle w:val="Hyperlink"/>
                  <w:szCs w:val="24"/>
                </w:rPr>
                <w:t>paul@carpenterlipps.com</w:t>
              </w:r>
            </w:hyperlink>
          </w:p>
          <w:p w14:paraId="2A37F3DF" w14:textId="77777777" w:rsidR="00001F07" w:rsidRDefault="002713C9" w:rsidP="00E14882">
            <w:pPr>
              <w:autoSpaceDE w:val="0"/>
              <w:autoSpaceDN w:val="0"/>
              <w:adjustRightInd w:val="0"/>
              <w:ind w:left="1247"/>
              <w:rPr>
                <w:rStyle w:val="Hyperlink"/>
              </w:rPr>
            </w:pPr>
            <w:hyperlink r:id="rId20" w:history="1">
              <w:r w:rsidR="00CC68BA" w:rsidRPr="00935365">
                <w:rPr>
                  <w:rStyle w:val="Hyperlink"/>
                </w:rPr>
                <w:t>bojko@carpenterlipps.com</w:t>
              </w:r>
            </w:hyperlink>
          </w:p>
          <w:p w14:paraId="3F93729A" w14:textId="77777777" w:rsidR="00001F07" w:rsidRDefault="002713C9" w:rsidP="00E14882">
            <w:pPr>
              <w:autoSpaceDE w:val="0"/>
              <w:autoSpaceDN w:val="0"/>
              <w:adjustRightInd w:val="0"/>
              <w:ind w:left="1247"/>
              <w:rPr>
                <w:bCs w:val="0"/>
                <w:szCs w:val="24"/>
              </w:rPr>
            </w:pPr>
            <w:hyperlink r:id="rId21" w:history="1">
              <w:r w:rsidR="00CC68BA" w:rsidRPr="00935365">
                <w:rPr>
                  <w:rStyle w:val="Hyperlink"/>
                  <w:szCs w:val="24"/>
                </w:rPr>
                <w:t>donadio@carpenterlipps.com</w:t>
              </w:r>
            </w:hyperlink>
          </w:p>
          <w:p w14:paraId="16A04774" w14:textId="77777777" w:rsidR="00001F07" w:rsidRDefault="002713C9" w:rsidP="00E14882">
            <w:pPr>
              <w:autoSpaceDE w:val="0"/>
              <w:autoSpaceDN w:val="0"/>
              <w:adjustRightInd w:val="0"/>
              <w:ind w:left="1247"/>
              <w:rPr>
                <w:bCs w:val="0"/>
                <w:szCs w:val="24"/>
              </w:rPr>
            </w:pPr>
            <w:hyperlink r:id="rId22" w:history="1">
              <w:r w:rsidR="00CC68BA" w:rsidRPr="003D34A7">
                <w:rPr>
                  <w:rStyle w:val="Hyperlink"/>
                  <w:bCs w:val="0"/>
                  <w:szCs w:val="24"/>
                </w:rPr>
                <w:t>randall.griffin@aes.com</w:t>
              </w:r>
            </w:hyperlink>
          </w:p>
          <w:p w14:paraId="1DE1E7E3" w14:textId="77777777" w:rsidR="00001F07" w:rsidRDefault="00001F07" w:rsidP="00E14882">
            <w:pPr>
              <w:autoSpaceDE w:val="0"/>
              <w:autoSpaceDN w:val="0"/>
              <w:adjustRightInd w:val="0"/>
              <w:ind w:left="1247"/>
              <w:rPr>
                <w:bCs w:val="0"/>
                <w:szCs w:val="24"/>
              </w:rPr>
            </w:pPr>
          </w:p>
          <w:p w14:paraId="7E89B286" w14:textId="77777777" w:rsidR="00001F07" w:rsidRPr="00E20C06" w:rsidRDefault="00001F07" w:rsidP="00E14882">
            <w:pPr>
              <w:autoSpaceDE w:val="0"/>
              <w:autoSpaceDN w:val="0"/>
              <w:adjustRightInd w:val="0"/>
              <w:ind w:left="1247"/>
              <w:rPr>
                <w:bCs w:val="0"/>
                <w:szCs w:val="24"/>
              </w:rPr>
            </w:pPr>
          </w:p>
        </w:tc>
      </w:tr>
    </w:tbl>
    <w:p w14:paraId="2D367281" w14:textId="77777777" w:rsidR="00001F07" w:rsidRPr="00843F8F" w:rsidRDefault="00001F07" w:rsidP="00001F07"/>
    <w:p w14:paraId="1CD39C3A" w14:textId="77777777" w:rsidR="00001F07" w:rsidRPr="00843F8F" w:rsidRDefault="00001F07" w:rsidP="00001F07">
      <w:pPr>
        <w:pStyle w:val="Default"/>
        <w:spacing w:line="480" w:lineRule="auto"/>
      </w:pPr>
    </w:p>
    <w:p w14:paraId="5248D21C" w14:textId="77777777" w:rsidR="00001F07" w:rsidRPr="00843F8F" w:rsidRDefault="00001F07" w:rsidP="00001F07">
      <w:pPr>
        <w:pStyle w:val="Default"/>
        <w:spacing w:line="480" w:lineRule="auto"/>
        <w:ind w:firstLine="720"/>
      </w:pPr>
    </w:p>
    <w:sectPr w:rsidR="00001F07" w:rsidRPr="00843F8F" w:rsidSect="00297E1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C0E08" w14:textId="77777777" w:rsidR="00000000" w:rsidRDefault="002713C9">
      <w:r>
        <w:separator/>
      </w:r>
    </w:p>
  </w:endnote>
  <w:endnote w:type="continuationSeparator" w:id="0">
    <w:p w14:paraId="0A9BB535" w14:textId="77777777" w:rsidR="00000000" w:rsidRDefault="0027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467437"/>
      <w:docPartObj>
        <w:docPartGallery w:val="Page Numbers (Bottom of Page)"/>
        <w:docPartUnique/>
      </w:docPartObj>
    </w:sdtPr>
    <w:sdtEndPr>
      <w:rPr>
        <w:noProof/>
      </w:rPr>
    </w:sdtEndPr>
    <w:sdtContent>
      <w:p w14:paraId="50720575" w14:textId="0BE9117F" w:rsidR="0033189A" w:rsidRDefault="002713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664458"/>
      <w:docPartObj>
        <w:docPartGallery w:val="Page Numbers (Bottom of Page)"/>
        <w:docPartUnique/>
      </w:docPartObj>
    </w:sdtPr>
    <w:sdtEndPr>
      <w:rPr>
        <w:noProof/>
      </w:rPr>
    </w:sdtEndPr>
    <w:sdtContent>
      <w:p w14:paraId="67DBFC1E" w14:textId="0138DF90" w:rsidR="00297E12" w:rsidRDefault="002713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88091"/>
      <w:docPartObj>
        <w:docPartGallery w:val="Page Numbers (Bottom of Page)"/>
        <w:docPartUnique/>
      </w:docPartObj>
    </w:sdtPr>
    <w:sdtEndPr>
      <w:rPr>
        <w:noProof/>
      </w:rPr>
    </w:sdtEndPr>
    <w:sdtContent>
      <w:p w14:paraId="1761C1A0" w14:textId="7133F2AA" w:rsidR="00297E12" w:rsidRDefault="002713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D702D" w14:textId="77777777" w:rsidR="00DB6121" w:rsidRDefault="002713C9" w:rsidP="00076046">
      <w:r>
        <w:separator/>
      </w:r>
    </w:p>
  </w:footnote>
  <w:footnote w:type="continuationSeparator" w:id="0">
    <w:p w14:paraId="5F5D7BCF" w14:textId="77777777" w:rsidR="00DB6121" w:rsidRDefault="002713C9" w:rsidP="00076046">
      <w:r>
        <w:continuationSeparator/>
      </w:r>
    </w:p>
  </w:footnote>
  <w:footnote w:id="1">
    <w:p w14:paraId="6DD637B1" w14:textId="1ABCD749" w:rsidR="00E2126A" w:rsidRDefault="002713C9" w:rsidP="009964D5">
      <w:pPr>
        <w:pStyle w:val="FootnoteText"/>
        <w:spacing w:after="120"/>
      </w:pPr>
      <w:r>
        <w:rPr>
          <w:rStyle w:val="FootnoteReference"/>
        </w:rPr>
        <w:footnoteRef/>
      </w:r>
      <w:r>
        <w:t xml:space="preserve"> </w:t>
      </w:r>
      <w:r w:rsidRPr="0075303A">
        <w:rPr>
          <w:i/>
          <w:iCs/>
        </w:rPr>
        <w:t>In the Matter of the Application Seeking Approval of Ohio Power Company’s Proposal to Enter into an Affiliate Purchase Power Agreement</w:t>
      </w:r>
      <w:r w:rsidRPr="0075303A">
        <w:t>, Case</w:t>
      </w:r>
      <w:r>
        <w:t xml:space="preserve"> No.</w:t>
      </w:r>
      <w:r w:rsidRPr="0075303A">
        <w:t xml:space="preserve"> 14-1693-EL-RDR, Opinion and Order, Concurring Opinion of Chairman Haque at p.5 (Mar</w:t>
      </w:r>
      <w:r>
        <w:t>.</w:t>
      </w:r>
      <w:r w:rsidRPr="0075303A">
        <w:t xml:space="preserve"> 31, 2016)</w:t>
      </w:r>
      <w:r>
        <w:t>.</w:t>
      </w:r>
    </w:p>
  </w:footnote>
  <w:footnote w:id="2">
    <w:p w14:paraId="5B1301B6" w14:textId="50A69F4F" w:rsidR="00B33EA7" w:rsidRPr="007217F5" w:rsidRDefault="002713C9" w:rsidP="009964D5">
      <w:pPr>
        <w:pStyle w:val="FootnoteText"/>
        <w:spacing w:after="120"/>
      </w:pPr>
      <w:r>
        <w:rPr>
          <w:rStyle w:val="FootnoteReference"/>
        </w:rPr>
        <w:footnoteRef/>
      </w:r>
      <w:r>
        <w:t xml:space="preserve"> </w:t>
      </w:r>
      <w:r w:rsidR="007217F5" w:rsidRPr="009964D5">
        <w:rPr>
          <w:i/>
          <w:iCs/>
        </w:rPr>
        <w:t>In re Application of FirstEnergy Advisors for Certification as a Competitive Retail Elec. Serv. Power Broker &amp; Aggregator</w:t>
      </w:r>
      <w:r w:rsidR="007217F5" w:rsidRPr="009964D5">
        <w:t>, Slip Opinion No. 2021-Ohio-3630</w:t>
      </w:r>
      <w:r w:rsidR="00BB72DC">
        <w:t>, 2021 Ohio LEXIS 2065, 2021 WL 4783198</w:t>
      </w:r>
      <w:r w:rsidR="007217F5" w:rsidRPr="009964D5">
        <w:t>.</w:t>
      </w:r>
    </w:p>
  </w:footnote>
  <w:footnote w:id="3">
    <w:p w14:paraId="6BFC4E6C" w14:textId="5B22C64B" w:rsidR="000C59E9" w:rsidRPr="00CA5929" w:rsidRDefault="002713C9" w:rsidP="009964D5">
      <w:pPr>
        <w:pStyle w:val="FootnoteText"/>
        <w:spacing w:after="120"/>
      </w:pPr>
      <w:r w:rsidRPr="00CA5929">
        <w:rPr>
          <w:rStyle w:val="FootnoteReference"/>
        </w:rPr>
        <w:footnoteRef/>
      </w:r>
      <w:r w:rsidRPr="00CA5929">
        <w:t xml:space="preserve"> </w:t>
      </w:r>
      <w:r w:rsidRPr="00CA5929">
        <w:rPr>
          <w:i/>
          <w:iCs/>
        </w:rPr>
        <w:t xml:space="preserve">In the Matter of the Review of the Power Purchase Agreement Rider of Ohio Power Company for 2018 and 2019, </w:t>
      </w:r>
      <w:r w:rsidRPr="00CA5929">
        <w:t xml:space="preserve">Case Nos. 18-1004-EL-RDR and 18-1759-EL-RDR London Economics International, LLC, Audit of the OVEC Power </w:t>
      </w:r>
      <w:r w:rsidRPr="00CA5929">
        <w:t>Purchase Agreement Rider of Ohio Power Company</w:t>
      </w:r>
      <w:r w:rsidRPr="00CA5929">
        <w:rPr>
          <w:i/>
          <w:iCs/>
        </w:rPr>
        <w:t xml:space="preserve"> </w:t>
      </w:r>
      <w:r w:rsidRPr="00CA5929">
        <w:t>at 31 (Sept. 16, 2020).</w:t>
      </w:r>
    </w:p>
  </w:footnote>
  <w:footnote w:id="4">
    <w:p w14:paraId="72090CF5" w14:textId="7D67CF9F" w:rsidR="00D41D2A" w:rsidRPr="00CA5929" w:rsidRDefault="002713C9" w:rsidP="009964D5">
      <w:pPr>
        <w:pStyle w:val="FootnoteText"/>
        <w:spacing w:after="120"/>
      </w:pPr>
      <w:r w:rsidRPr="00CA5929">
        <w:rPr>
          <w:rStyle w:val="FootnoteReference"/>
        </w:rPr>
        <w:footnoteRef/>
      </w:r>
      <w:r w:rsidRPr="00CA5929">
        <w:t xml:space="preserve"> For purposes of discovery, Ohio Adm. Code 4901-1-16(H) defines</w:t>
      </w:r>
      <w:r w:rsidR="00855ADD" w:rsidRPr="00CA5929">
        <w:t xml:space="preserve"> a</w:t>
      </w:r>
      <w:r w:rsidRPr="00CA5929">
        <w:t xml:space="preserve"> party as any person who has filed a motion to intervene (“F</w:t>
      </w:r>
      <w:r w:rsidRPr="00CA5929">
        <w:rPr>
          <w:shd w:val="clear" w:color="auto" w:fill="FFFFFF"/>
        </w:rPr>
        <w:t xml:space="preserve">or purposes of rules 4901-1-16 to </w:t>
      </w:r>
      <w:hyperlink r:id="rId1" w:tgtFrame="_new" w:tooltip="Motions for protective orders" w:history="1">
        <w:r w:rsidRPr="00CA5929">
          <w:rPr>
            <w:rStyle w:val="Hyperlink"/>
            <w:color w:val="auto"/>
          </w:rPr>
          <w:t>4901-1-24</w:t>
        </w:r>
      </w:hyperlink>
      <w:r w:rsidRPr="00CA5929">
        <w:rPr>
          <w:shd w:val="clear" w:color="auto" w:fill="FFFFFF"/>
        </w:rPr>
        <w:t xml:space="preserve"> of the Administrative Code, the term ‘</w:t>
      </w:r>
      <w:r w:rsidRPr="00CA5929">
        <w:rPr>
          <w:shd w:val="clear" w:color="auto" w:fill="FFFFFF"/>
        </w:rPr>
        <w:t>party’ includes any person who has filed a motion to intervene which is pending at the time a discovery request or motion is to be served or filed.</w:t>
      </w:r>
      <w:r w:rsidRPr="00CA5929">
        <w:t>”).</w:t>
      </w:r>
    </w:p>
  </w:footnote>
  <w:footnote w:id="5">
    <w:p w14:paraId="6CE47AA8" w14:textId="7B10242D" w:rsidR="00411224" w:rsidRPr="00CA5929" w:rsidRDefault="002713C9" w:rsidP="009964D5">
      <w:pPr>
        <w:pStyle w:val="FootnoteText"/>
        <w:spacing w:after="120"/>
      </w:pPr>
      <w:r w:rsidRPr="00CA5929">
        <w:rPr>
          <w:rStyle w:val="FootnoteReference"/>
        </w:rPr>
        <w:footnoteRef/>
      </w:r>
      <w:r w:rsidRPr="00CA5929">
        <w:t xml:space="preserve"> O</w:t>
      </w:r>
      <w:r w:rsidR="00D766F9" w:rsidRPr="00CA5929">
        <w:t>.A.C.</w:t>
      </w:r>
      <w:r w:rsidRPr="00CA5929">
        <w:t xml:space="preserve"> 4901-1-16(A).</w:t>
      </w:r>
    </w:p>
  </w:footnote>
  <w:footnote w:id="6">
    <w:p w14:paraId="14426922" w14:textId="77777777" w:rsidR="00411224" w:rsidRPr="00CA5929" w:rsidRDefault="002713C9" w:rsidP="009964D5">
      <w:pPr>
        <w:pStyle w:val="FootnoteText"/>
        <w:spacing w:after="120"/>
      </w:pPr>
      <w:r w:rsidRPr="00CA5929">
        <w:rPr>
          <w:rStyle w:val="FootnoteReference"/>
        </w:rPr>
        <w:footnoteRef/>
      </w:r>
      <w:r w:rsidRPr="00CA5929">
        <w:t xml:space="preserve"> </w:t>
      </w:r>
      <w:r w:rsidRPr="00CA5929">
        <w:rPr>
          <w:i/>
          <w:iCs/>
        </w:rPr>
        <w:t>Id</w:t>
      </w:r>
      <w:r w:rsidRPr="00CA5929">
        <w:t>.</w:t>
      </w:r>
    </w:p>
  </w:footnote>
  <w:footnote w:id="7">
    <w:p w14:paraId="6E3B1EA9" w14:textId="77777777" w:rsidR="00D3228D" w:rsidRPr="00CA5929" w:rsidRDefault="002713C9" w:rsidP="009964D5">
      <w:pPr>
        <w:pStyle w:val="FootnoteText"/>
        <w:spacing w:after="120"/>
      </w:pPr>
      <w:r w:rsidRPr="00CA5929">
        <w:rPr>
          <w:rStyle w:val="FootnoteReference"/>
        </w:rPr>
        <w:footnoteRef/>
      </w:r>
      <w:r w:rsidRPr="00CA5929">
        <w:t xml:space="preserve"> </w:t>
      </w:r>
      <w:r w:rsidRPr="00CA5929">
        <w:rPr>
          <w:i/>
          <w:iCs/>
        </w:rPr>
        <w:t xml:space="preserve">In the Matter of the Review of the Power Purchase Agreement Rider of Ohio Power Company for 2018 and 2019, </w:t>
      </w:r>
      <w:r w:rsidRPr="00CA5929">
        <w:t>Case Nos. 18-1004-EL-RDR and 18-1759-EL-RDR London Economics International, LLC, Audit of the OVEC Power Purchase Agreement Rider of Ohio Power Compa</w:t>
      </w:r>
      <w:r w:rsidRPr="00CA5929">
        <w:t>ny</w:t>
      </w:r>
      <w:r w:rsidRPr="00CA5929">
        <w:rPr>
          <w:i/>
          <w:iCs/>
        </w:rPr>
        <w:t xml:space="preserve"> </w:t>
      </w:r>
      <w:r w:rsidRPr="00CA5929">
        <w:t xml:space="preserve">at 9 (Sept. 16, 2020); </w:t>
      </w:r>
      <w:r w:rsidRPr="00CA5929">
        <w:rPr>
          <w:i/>
          <w:iCs/>
        </w:rPr>
        <w:t>In the Matter of the Review of the Reconciliation Rider of Duke Energy Ohio, Inc.</w:t>
      </w:r>
      <w:r w:rsidRPr="00CA5929">
        <w:t>, Case No. 20-167-EL-RDR London Economics International, LLC, Audit of the OVEC Power Purchase Agreement Rider of Ohio Power Company</w:t>
      </w:r>
      <w:r w:rsidRPr="00CA5929">
        <w:rPr>
          <w:i/>
          <w:iCs/>
        </w:rPr>
        <w:t xml:space="preserve"> </w:t>
      </w:r>
      <w:r w:rsidRPr="00CA5929">
        <w:t xml:space="preserve">at 10 (Oct. 15, </w:t>
      </w:r>
      <w:r w:rsidRPr="00CA5929">
        <w:t>2020).</w:t>
      </w:r>
    </w:p>
  </w:footnote>
  <w:footnote w:id="8">
    <w:p w14:paraId="33CB3B38" w14:textId="7B69B5C4" w:rsidR="00E94DF9" w:rsidRPr="00CA5929" w:rsidRDefault="002713C9" w:rsidP="009964D5">
      <w:pPr>
        <w:pStyle w:val="FootnoteText"/>
        <w:spacing w:after="120"/>
      </w:pPr>
      <w:r w:rsidRPr="00CA5929">
        <w:rPr>
          <w:rStyle w:val="FootnoteReference"/>
        </w:rPr>
        <w:footnoteRef/>
      </w:r>
      <w:r w:rsidRPr="00CA5929">
        <w:t xml:space="preserve"> </w:t>
      </w:r>
      <w:r w:rsidRPr="00CA5929">
        <w:rPr>
          <w:i/>
          <w:iCs/>
        </w:rPr>
        <w:t xml:space="preserve">Id. </w:t>
      </w:r>
      <w:r w:rsidRPr="00CA5929">
        <w:t>at 9.</w:t>
      </w:r>
    </w:p>
  </w:footnote>
  <w:footnote w:id="9">
    <w:p w14:paraId="16AB9D73" w14:textId="3DFBF5CF" w:rsidR="00E94DF9" w:rsidRPr="00CA5929" w:rsidRDefault="002713C9" w:rsidP="009964D5">
      <w:pPr>
        <w:pStyle w:val="FootnoteText"/>
        <w:spacing w:after="120"/>
        <w:rPr>
          <w:i/>
          <w:iCs/>
        </w:rPr>
      </w:pPr>
      <w:r w:rsidRPr="00CA5929">
        <w:rPr>
          <w:rStyle w:val="FootnoteReference"/>
        </w:rPr>
        <w:footnoteRef/>
      </w:r>
      <w:r w:rsidRPr="00CA5929">
        <w:t xml:space="preserve"> </w:t>
      </w:r>
      <w:r w:rsidRPr="00CA5929">
        <w:rPr>
          <w:i/>
          <w:iCs/>
        </w:rPr>
        <w:t>Id.</w:t>
      </w:r>
    </w:p>
  </w:footnote>
  <w:footnote w:id="10">
    <w:p w14:paraId="28659E5A" w14:textId="5FC66B0D" w:rsidR="009A2059" w:rsidRPr="009A2059" w:rsidRDefault="002713C9" w:rsidP="009964D5">
      <w:pPr>
        <w:pStyle w:val="FootnoteText"/>
        <w:spacing w:after="120"/>
      </w:pPr>
      <w:r>
        <w:rPr>
          <w:rStyle w:val="FootnoteReference"/>
        </w:rPr>
        <w:footnoteRef/>
      </w:r>
      <w:r>
        <w:t xml:space="preserve"> </w:t>
      </w:r>
      <w:r>
        <w:rPr>
          <w:i/>
          <w:iCs/>
        </w:rPr>
        <w:t xml:space="preserve">In the Matter of the Application of Indiana Michigan Power Company for Approval to Implement a Power Supply Cost Recovery Plan for the Twelve Months Ending December 31, 2021, </w:t>
      </w:r>
      <w:r>
        <w:t>Case No. U-20804, Order at 20 (Mich. Pub. Serv. Comm.)</w:t>
      </w:r>
      <w:r>
        <w:t xml:space="preserve"> (Nov. 18, 2021).</w:t>
      </w:r>
    </w:p>
  </w:footnote>
  <w:footnote w:id="11">
    <w:p w14:paraId="50A2DC0B" w14:textId="2182546E" w:rsidR="00D766F9" w:rsidRPr="00CA5929" w:rsidRDefault="002713C9" w:rsidP="009964D5">
      <w:pPr>
        <w:pStyle w:val="FootnoteText"/>
        <w:spacing w:after="120"/>
      </w:pPr>
      <w:r w:rsidRPr="00CA5929">
        <w:rPr>
          <w:rStyle w:val="FootnoteReference"/>
        </w:rPr>
        <w:footnoteRef/>
      </w:r>
      <w:r w:rsidRPr="00CA5929">
        <w:t xml:space="preserve"> O.A.C. 4901-1-25(C).</w:t>
      </w:r>
    </w:p>
  </w:footnote>
  <w:footnote w:id="12">
    <w:p w14:paraId="25956783" w14:textId="472A84E9" w:rsidR="00AB21C3" w:rsidRPr="00CA5929" w:rsidRDefault="002713C9" w:rsidP="009964D5">
      <w:pPr>
        <w:pStyle w:val="FootnoteText"/>
        <w:spacing w:after="120"/>
      </w:pPr>
      <w:r w:rsidRPr="00CA5929">
        <w:rPr>
          <w:rStyle w:val="FootnoteReference"/>
        </w:rPr>
        <w:footnoteRef/>
      </w:r>
      <w:r w:rsidRPr="00CA5929">
        <w:t xml:space="preserve"> O</w:t>
      </w:r>
      <w:r w:rsidR="00D766F9" w:rsidRPr="00CA5929">
        <w:t>.A.C.</w:t>
      </w:r>
      <w:r w:rsidRPr="00CA5929">
        <w:t xml:space="preserve"> 4901-1-16(A).</w:t>
      </w:r>
      <w:r w:rsidR="00D635D7" w:rsidRPr="00CA5929">
        <w:t xml:space="preserve"> </w:t>
      </w:r>
    </w:p>
  </w:footnote>
  <w:footnote w:id="13">
    <w:p w14:paraId="08F32043" w14:textId="15ED26E5" w:rsidR="00E367DF" w:rsidRPr="00CA5929" w:rsidRDefault="002713C9" w:rsidP="009964D5">
      <w:pPr>
        <w:pStyle w:val="FootnoteText"/>
        <w:spacing w:after="120"/>
      </w:pPr>
      <w:r w:rsidRPr="00CA5929">
        <w:rPr>
          <w:rStyle w:val="FootnoteReference"/>
        </w:rPr>
        <w:footnoteRef/>
      </w:r>
      <w:r w:rsidRPr="00CA5929">
        <w:t xml:space="preserve"> “The Commission selects Vantage Energy Consulting, LLC to conduct the audit services necessary to assist the Commission in </w:t>
      </w:r>
      <w:r w:rsidRPr="00CA5929">
        <w:rPr>
          <w:b/>
        </w:rPr>
        <w:t>the prudency and performance audit</w:t>
      </w:r>
      <w:r w:rsidRPr="00CA5929">
        <w:t xml:space="preserve"> of the Dayton Power and Light C</w:t>
      </w:r>
      <w:r w:rsidRPr="00CA5929">
        <w:t>ompany’s reconciliation rider for the period of November 1, 2018 through December 31, 2019.” Entry at ¶ 1</w:t>
      </w:r>
      <w:r w:rsidR="00C47E90" w:rsidRPr="00CA5929">
        <w:t xml:space="preserve"> </w:t>
      </w:r>
      <w:r w:rsidRPr="00CA5929">
        <w:t>(Mar</w:t>
      </w:r>
      <w:r w:rsidR="00D635D7" w:rsidRPr="00CA5929">
        <w:t>.</w:t>
      </w:r>
      <w:r w:rsidRPr="00CA5929">
        <w:t xml:space="preserve"> 11, 2020) (emphasis added). </w:t>
      </w:r>
    </w:p>
  </w:footnote>
  <w:footnote w:id="14">
    <w:p w14:paraId="0CC95CBE" w14:textId="42BABC89" w:rsidR="0044451A" w:rsidRPr="00CA5929" w:rsidRDefault="002713C9" w:rsidP="009964D5">
      <w:pPr>
        <w:pStyle w:val="FootnoteText"/>
        <w:spacing w:after="120"/>
      </w:pPr>
      <w:r w:rsidRPr="00CA5929">
        <w:rPr>
          <w:rStyle w:val="FootnoteReference"/>
        </w:rPr>
        <w:footnoteRef/>
      </w:r>
      <w:r w:rsidRPr="00CA5929">
        <w:t xml:space="preserve"> </w:t>
      </w:r>
      <w:r w:rsidR="007F1AE0" w:rsidRPr="00CA5929">
        <w:t xml:space="preserve">Motion to Quash at </w:t>
      </w:r>
      <w:r w:rsidR="00986819" w:rsidRPr="00CA5929">
        <w:t>4-5</w:t>
      </w:r>
      <w:r w:rsidR="007F1AE0" w:rsidRPr="00CA5929">
        <w:t>.</w:t>
      </w:r>
    </w:p>
  </w:footnote>
  <w:footnote w:id="15">
    <w:p w14:paraId="04EDCD62" w14:textId="7C0AD580" w:rsidR="008C64DB" w:rsidRPr="00CA5929" w:rsidRDefault="002713C9" w:rsidP="009964D5">
      <w:pPr>
        <w:shd w:val="clear" w:color="auto" w:fill="FFFFFF"/>
        <w:spacing w:after="120"/>
        <w:rPr>
          <w:rFonts w:eastAsia="Times New Roman"/>
          <w:sz w:val="20"/>
          <w:szCs w:val="20"/>
        </w:rPr>
      </w:pPr>
      <w:r w:rsidRPr="00CA5929">
        <w:rPr>
          <w:rStyle w:val="FootnoteReference"/>
          <w:sz w:val="20"/>
          <w:szCs w:val="20"/>
        </w:rPr>
        <w:footnoteRef/>
      </w:r>
      <w:r w:rsidR="00107D26" w:rsidRPr="00CA5929">
        <w:rPr>
          <w:sz w:val="20"/>
          <w:szCs w:val="20"/>
        </w:rPr>
        <w:t xml:space="preserve"> </w:t>
      </w:r>
      <w:r w:rsidRPr="00CA5929">
        <w:rPr>
          <w:rFonts w:eastAsia="Times New Roman"/>
          <w:sz w:val="20"/>
          <w:szCs w:val="20"/>
        </w:rPr>
        <w:t xml:space="preserve">§ </w:t>
      </w:r>
      <w:r w:rsidR="00A4588D" w:rsidRPr="00CA5929">
        <w:rPr>
          <w:rFonts w:eastAsia="Times New Roman"/>
          <w:sz w:val="20"/>
          <w:szCs w:val="20"/>
        </w:rPr>
        <w:t>38:2. Advantages</w:t>
      </w:r>
      <w:r w:rsidRPr="00CA5929">
        <w:rPr>
          <w:rFonts w:eastAsia="Times New Roman"/>
          <w:sz w:val="20"/>
          <w:szCs w:val="20"/>
        </w:rPr>
        <w:t xml:space="preserve"> and disadvantages of depositions, 5 Ohio Jur. Pl. &amp; Pr. Forms § 38:2 (2018 ed.).</w:t>
      </w:r>
    </w:p>
  </w:footnote>
  <w:footnote w:id="16">
    <w:p w14:paraId="385A70FD" w14:textId="118DDFFB" w:rsidR="00A929A6" w:rsidRPr="00CA5929" w:rsidRDefault="002713C9" w:rsidP="009964D5">
      <w:pPr>
        <w:pStyle w:val="FootnoteText"/>
        <w:spacing w:after="120"/>
      </w:pPr>
      <w:r w:rsidRPr="00CA5929">
        <w:rPr>
          <w:rStyle w:val="FootnoteReference"/>
        </w:rPr>
        <w:footnoteRef/>
      </w:r>
      <w:r w:rsidRPr="00CA5929">
        <w:t xml:space="preserve"> </w:t>
      </w:r>
      <w:r w:rsidRPr="00CA5929">
        <w:rPr>
          <w:i/>
        </w:rPr>
        <w:t>In the Matter of the Application of the Ohio Bell Telephone Company for Authority to Increase and Adjust its Rates and Charges and to Change Regulations and Practices Affec</w:t>
      </w:r>
      <w:r w:rsidRPr="00CA5929">
        <w:rPr>
          <w:i/>
        </w:rPr>
        <w:t>ting the Same</w:t>
      </w:r>
      <w:r w:rsidRPr="00CA5929">
        <w:t>, Case No. 79-1184-TP-AIR, 1980 WL 625298, Entry at ¶ 5</w:t>
      </w:r>
      <w:r w:rsidR="00D635D7" w:rsidRPr="00CA5929">
        <w:t xml:space="preserve"> </w:t>
      </w:r>
      <w:r w:rsidRPr="00CA5929">
        <w:t>(Aug</w:t>
      </w:r>
      <w:r w:rsidR="00D635D7" w:rsidRPr="00CA5929">
        <w:t>.</w:t>
      </w:r>
      <w:r w:rsidRPr="00CA5929">
        <w:t xml:space="preserve"> 4, 1980). </w:t>
      </w:r>
    </w:p>
  </w:footnote>
  <w:footnote w:id="17">
    <w:p w14:paraId="23F78AF0" w14:textId="0630081B" w:rsidR="00843F8F" w:rsidRPr="00CA5929" w:rsidRDefault="002713C9" w:rsidP="009964D5">
      <w:pPr>
        <w:pStyle w:val="FootnoteText"/>
        <w:spacing w:after="120"/>
      </w:pPr>
      <w:r w:rsidRPr="00CA5929">
        <w:rPr>
          <w:rStyle w:val="FootnoteReference"/>
        </w:rPr>
        <w:footnoteRef/>
      </w:r>
      <w:r w:rsidRPr="00CA5929">
        <w:t xml:space="preserve"> </w:t>
      </w:r>
      <w:r w:rsidR="0044451A" w:rsidRPr="00CA5929">
        <w:rPr>
          <w:i/>
          <w:iCs/>
        </w:rPr>
        <w:t>In the Matter of the Review of the Reconciliation Rider of The Dayton Power &amp; Light Company</w:t>
      </w:r>
      <w:r w:rsidR="0044451A" w:rsidRPr="00CA5929">
        <w:t>, Case No. 20-165-EL-RDR The Dayton Power &amp; Light Company’s Objections and Responses to the Ohio Consumers’ Counsel’s Interrogatories and Requests for Production of Documents (Second Set) at 3 (Jan. 6, 2021)</w:t>
      </w:r>
      <w:r w:rsidR="000A4C89" w:rsidRPr="00CA5929">
        <w:t xml:space="preserve"> (emphasis added). </w:t>
      </w:r>
    </w:p>
  </w:footnote>
  <w:footnote w:id="18">
    <w:p w14:paraId="3212E1D3" w14:textId="1FEDC9B1" w:rsidR="00D766F9" w:rsidRPr="00CA5929" w:rsidRDefault="002713C9" w:rsidP="009964D5">
      <w:pPr>
        <w:pStyle w:val="FootnoteText"/>
        <w:spacing w:after="120"/>
      </w:pPr>
      <w:r w:rsidRPr="00CA5929">
        <w:rPr>
          <w:rStyle w:val="FootnoteReference"/>
        </w:rPr>
        <w:footnoteRef/>
      </w:r>
      <w:r w:rsidRPr="00CA5929">
        <w:t xml:space="preserve"> O.A.C. 4901-1-16(A).</w:t>
      </w:r>
    </w:p>
  </w:footnote>
  <w:footnote w:id="19">
    <w:p w14:paraId="32800609" w14:textId="005F5AF4" w:rsidR="00D766F9" w:rsidRPr="00CA5929" w:rsidRDefault="002713C9" w:rsidP="009964D5">
      <w:pPr>
        <w:pStyle w:val="FootnoteText"/>
        <w:spacing w:after="120"/>
      </w:pPr>
      <w:r w:rsidRPr="00CA5929">
        <w:rPr>
          <w:rStyle w:val="FootnoteReference"/>
        </w:rPr>
        <w:footnoteRef/>
      </w:r>
      <w:r w:rsidRPr="00CA5929">
        <w:t xml:space="preserve"> </w:t>
      </w:r>
      <w:r w:rsidR="00464562" w:rsidRPr="00CA5929">
        <w:t xml:space="preserve">Motion to Quash at </w:t>
      </w:r>
      <w:r w:rsidR="00986819" w:rsidRPr="00CA5929">
        <w:t>1</w:t>
      </w:r>
      <w:r w:rsidR="00464562" w:rsidRPr="00CA5929">
        <w:t xml:space="preserve">. </w:t>
      </w:r>
    </w:p>
  </w:footnote>
  <w:footnote w:id="20">
    <w:p w14:paraId="2D6E1B7C" w14:textId="6530F956" w:rsidR="00D766F9" w:rsidRPr="00CA5929" w:rsidRDefault="002713C9" w:rsidP="009964D5">
      <w:pPr>
        <w:pStyle w:val="FootnoteText"/>
        <w:spacing w:after="120"/>
      </w:pPr>
      <w:r w:rsidRPr="00CA5929">
        <w:rPr>
          <w:rStyle w:val="FootnoteReference"/>
        </w:rPr>
        <w:footnoteRef/>
      </w:r>
      <w:r w:rsidRPr="00CA5929">
        <w:t xml:space="preserve"> O</w:t>
      </w:r>
      <w:r w:rsidR="00986819" w:rsidRPr="00CA5929">
        <w:t>.A.C.</w:t>
      </w:r>
      <w:r w:rsidRPr="00CA5929">
        <w:t xml:space="preserve"> 4901-1-21(</w:t>
      </w:r>
      <w:r w:rsidR="002814B4" w:rsidRPr="00CA5929">
        <w:t>A</w:t>
      </w:r>
      <w:r w:rsidRPr="00CA5929">
        <w:t>).</w:t>
      </w:r>
    </w:p>
  </w:footnote>
  <w:footnote w:id="21">
    <w:p w14:paraId="4FD2BE78" w14:textId="70BBB4A9" w:rsidR="00851F0C" w:rsidRPr="00CA5929" w:rsidRDefault="002713C9" w:rsidP="009964D5">
      <w:pPr>
        <w:spacing w:after="120"/>
        <w:rPr>
          <w:sz w:val="20"/>
        </w:rPr>
      </w:pPr>
      <w:r w:rsidRPr="00CA5929">
        <w:rPr>
          <w:rStyle w:val="FootnoteReference"/>
          <w:sz w:val="20"/>
          <w:szCs w:val="20"/>
        </w:rPr>
        <w:footnoteRef/>
      </w:r>
      <w:r w:rsidRPr="00CA5929">
        <w:rPr>
          <w:sz w:val="20"/>
          <w:szCs w:val="20"/>
        </w:rPr>
        <w:t xml:space="preserve"> </w:t>
      </w:r>
      <w:r w:rsidR="005E14C8" w:rsidRPr="00CA5929">
        <w:rPr>
          <w:i/>
          <w:iCs/>
          <w:sz w:val="20"/>
          <w:szCs w:val="20"/>
        </w:rPr>
        <w:t>See</w:t>
      </w:r>
      <w:r w:rsidR="005E14C8" w:rsidRPr="00CA5929">
        <w:rPr>
          <w:i/>
          <w:sz w:val="20"/>
          <w:szCs w:val="20"/>
        </w:rPr>
        <w:t xml:space="preserve"> State ex rel. Colvin v. Brunner</w:t>
      </w:r>
      <w:r w:rsidR="005E14C8" w:rsidRPr="00CA5929">
        <w:rPr>
          <w:sz w:val="20"/>
          <w:szCs w:val="20"/>
        </w:rPr>
        <w:t xml:space="preserve">, 120 Ohio St.3d 110, 2008-Ohio-5041, 896 N.E.2d 979, ¶ 45 (2008) (“we cannot generally add a requirement that does not exist in the Constitution or a statute”); </w:t>
      </w:r>
      <w:r w:rsidR="005E14C8" w:rsidRPr="00CA5929">
        <w:rPr>
          <w:i/>
          <w:sz w:val="20"/>
          <w:szCs w:val="20"/>
        </w:rPr>
        <w:t>Wachendorf v. Shaver</w:t>
      </w:r>
      <w:r w:rsidR="005E14C8" w:rsidRPr="00CA5929">
        <w:rPr>
          <w:sz w:val="20"/>
          <w:szCs w:val="20"/>
        </w:rPr>
        <w:t xml:space="preserve">, 149 Ohio St. 231, 237, 78 N.E.2d 370, 374 (1948) (“it is a general rule that courts, in the interpretation of a statute, may not take, strike or read anything out of a statute, or delete, subtract or omit anything therefrom.”). </w:t>
      </w:r>
    </w:p>
  </w:footnote>
  <w:footnote w:id="22">
    <w:p w14:paraId="4A314203" w14:textId="12874AA1" w:rsidR="00C3438F" w:rsidRPr="00CA5929" w:rsidRDefault="002713C9" w:rsidP="009964D5">
      <w:pPr>
        <w:pStyle w:val="FootnoteText"/>
        <w:spacing w:after="120"/>
      </w:pPr>
      <w:r w:rsidRPr="00CA5929">
        <w:rPr>
          <w:rStyle w:val="FootnoteReference"/>
        </w:rPr>
        <w:footnoteRef/>
      </w:r>
      <w:r w:rsidR="00D635D7" w:rsidRPr="00CA5929">
        <w:t xml:space="preserve"> </w:t>
      </w:r>
      <w:r w:rsidRPr="00CA5929">
        <w:rPr>
          <w:i/>
          <w:iCs/>
        </w:rPr>
        <w:t>See, e.g., In the Matter of the Commission’s Investigation into P</w:t>
      </w:r>
      <w:r w:rsidRPr="00CA5929">
        <w:rPr>
          <w:i/>
          <w:iCs/>
        </w:rPr>
        <w:t>ALMco Power OH, LLC DBA Indra Energy and PALMco Energy OH, LLC DBA Indra Energy’s Compliance with the Ohio Administrative Code and Potential Remedial Actions for Non-Compliance</w:t>
      </w:r>
      <w:r w:rsidRPr="00CA5929">
        <w:t>, Case No. 19-2153-GE-COI Entry at ¶ 15 (Mar</w:t>
      </w:r>
      <w:r w:rsidR="008A1AFF" w:rsidRPr="00CA5929">
        <w:t>.</w:t>
      </w:r>
      <w:r w:rsidRPr="00CA5929">
        <w:t xml:space="preserve"> 9, 2020) (scheduling a discovery c</w:t>
      </w:r>
      <w:r w:rsidRPr="00CA5929">
        <w:t xml:space="preserve">onference in a Commission investigation prior to granting any stakeholder intervention or determining that a hearing would be held); </w:t>
      </w:r>
      <w:r w:rsidRPr="00CA5929">
        <w:rPr>
          <w:i/>
          <w:iCs/>
        </w:rPr>
        <w:t>In the Matter of the Application of Verde Energy USA Ohio, LLC for Certification as a Competitive Retail Electric Service S</w:t>
      </w:r>
      <w:r w:rsidRPr="00CA5929">
        <w:rPr>
          <w:i/>
          <w:iCs/>
        </w:rPr>
        <w:t>upplier</w:t>
      </w:r>
      <w:r w:rsidRPr="00CA5929">
        <w:t>, Case Nos. 11-5886-EL-CRS, et al., Entry at ¶ 11 (Mar</w:t>
      </w:r>
      <w:r w:rsidR="008A1AFF" w:rsidRPr="00CA5929">
        <w:t>.</w:t>
      </w:r>
      <w:r w:rsidRPr="00CA5929">
        <w:t xml:space="preserve"> 3, 2020) (establishing a deadline to respond to discovery requests in a Commission investigation before granting any stakeholder intervention or determining that a hearing would be held).</w:t>
      </w:r>
    </w:p>
  </w:footnote>
  <w:footnote w:id="23">
    <w:p w14:paraId="77A46939" w14:textId="6EBC8988" w:rsidR="009F1308" w:rsidRPr="00CA5929" w:rsidRDefault="002713C9" w:rsidP="009964D5">
      <w:pPr>
        <w:pStyle w:val="FootnoteText"/>
        <w:spacing w:after="120"/>
      </w:pPr>
      <w:r w:rsidRPr="00CA5929">
        <w:rPr>
          <w:rStyle w:val="FootnoteReference"/>
        </w:rPr>
        <w:footnoteRef/>
      </w:r>
      <w:r w:rsidRPr="00CA5929">
        <w:t xml:space="preserve"> O</w:t>
      </w:r>
      <w:r w:rsidR="00D766F9" w:rsidRPr="00CA5929">
        <w:t>.A.C.</w:t>
      </w:r>
      <w:r w:rsidRPr="00CA5929">
        <w:t xml:space="preserve"> 4901-1-16(A).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5DDE"/>
    <w:multiLevelType w:val="hybridMultilevel"/>
    <w:tmpl w:val="3F62E11E"/>
    <w:lvl w:ilvl="0" w:tplc="4FDACF00">
      <w:start w:val="1"/>
      <w:numFmt w:val="decimal"/>
      <w:lvlText w:val="%1."/>
      <w:lvlJc w:val="left"/>
      <w:pPr>
        <w:ind w:left="1080" w:hanging="360"/>
      </w:pPr>
      <w:rPr>
        <w:rFonts w:hint="default"/>
        <w:b/>
        <w:bCs w:val="0"/>
      </w:rPr>
    </w:lvl>
    <w:lvl w:ilvl="1" w:tplc="CE922C8A" w:tentative="1">
      <w:start w:val="1"/>
      <w:numFmt w:val="lowerLetter"/>
      <w:lvlText w:val="%2."/>
      <w:lvlJc w:val="left"/>
      <w:pPr>
        <w:ind w:left="1800" w:hanging="360"/>
      </w:pPr>
    </w:lvl>
    <w:lvl w:ilvl="2" w:tplc="16AAC5BE" w:tentative="1">
      <w:start w:val="1"/>
      <w:numFmt w:val="lowerRoman"/>
      <w:lvlText w:val="%3."/>
      <w:lvlJc w:val="right"/>
      <w:pPr>
        <w:ind w:left="2520" w:hanging="180"/>
      </w:pPr>
    </w:lvl>
    <w:lvl w:ilvl="3" w:tplc="B844BEB8" w:tentative="1">
      <w:start w:val="1"/>
      <w:numFmt w:val="decimal"/>
      <w:lvlText w:val="%4."/>
      <w:lvlJc w:val="left"/>
      <w:pPr>
        <w:ind w:left="3240" w:hanging="360"/>
      </w:pPr>
    </w:lvl>
    <w:lvl w:ilvl="4" w:tplc="4BF0B588" w:tentative="1">
      <w:start w:val="1"/>
      <w:numFmt w:val="lowerLetter"/>
      <w:lvlText w:val="%5."/>
      <w:lvlJc w:val="left"/>
      <w:pPr>
        <w:ind w:left="3960" w:hanging="360"/>
      </w:pPr>
    </w:lvl>
    <w:lvl w:ilvl="5" w:tplc="93489DB0" w:tentative="1">
      <w:start w:val="1"/>
      <w:numFmt w:val="lowerRoman"/>
      <w:lvlText w:val="%6."/>
      <w:lvlJc w:val="right"/>
      <w:pPr>
        <w:ind w:left="4680" w:hanging="180"/>
      </w:pPr>
    </w:lvl>
    <w:lvl w:ilvl="6" w:tplc="103E71C2" w:tentative="1">
      <w:start w:val="1"/>
      <w:numFmt w:val="decimal"/>
      <w:lvlText w:val="%7."/>
      <w:lvlJc w:val="left"/>
      <w:pPr>
        <w:ind w:left="5400" w:hanging="360"/>
      </w:pPr>
    </w:lvl>
    <w:lvl w:ilvl="7" w:tplc="8AECE338" w:tentative="1">
      <w:start w:val="1"/>
      <w:numFmt w:val="lowerLetter"/>
      <w:lvlText w:val="%8."/>
      <w:lvlJc w:val="left"/>
      <w:pPr>
        <w:ind w:left="6120" w:hanging="360"/>
      </w:pPr>
    </w:lvl>
    <w:lvl w:ilvl="8" w:tplc="9760CD98" w:tentative="1">
      <w:start w:val="1"/>
      <w:numFmt w:val="lowerRoman"/>
      <w:lvlText w:val="%9."/>
      <w:lvlJc w:val="right"/>
      <w:pPr>
        <w:ind w:left="6840" w:hanging="180"/>
      </w:pPr>
    </w:lvl>
  </w:abstractNum>
  <w:abstractNum w:abstractNumId="1" w15:restartNumberingAfterBreak="0">
    <w:nsid w:val="18484A81"/>
    <w:multiLevelType w:val="hybridMultilevel"/>
    <w:tmpl w:val="3066003A"/>
    <w:lvl w:ilvl="0" w:tplc="1980A506">
      <w:start w:val="4"/>
      <w:numFmt w:val="upperLetter"/>
      <w:lvlText w:val="%1."/>
      <w:lvlJc w:val="left"/>
      <w:pPr>
        <w:ind w:left="1080" w:hanging="360"/>
      </w:pPr>
      <w:rPr>
        <w:rFonts w:hint="default"/>
        <w:b/>
      </w:rPr>
    </w:lvl>
    <w:lvl w:ilvl="1" w:tplc="66121F92" w:tentative="1">
      <w:start w:val="1"/>
      <w:numFmt w:val="lowerLetter"/>
      <w:lvlText w:val="%2."/>
      <w:lvlJc w:val="left"/>
      <w:pPr>
        <w:ind w:left="1800" w:hanging="360"/>
      </w:pPr>
    </w:lvl>
    <w:lvl w:ilvl="2" w:tplc="7750CB88" w:tentative="1">
      <w:start w:val="1"/>
      <w:numFmt w:val="lowerRoman"/>
      <w:lvlText w:val="%3."/>
      <w:lvlJc w:val="right"/>
      <w:pPr>
        <w:ind w:left="2520" w:hanging="180"/>
      </w:pPr>
    </w:lvl>
    <w:lvl w:ilvl="3" w:tplc="A4D4DA5E" w:tentative="1">
      <w:start w:val="1"/>
      <w:numFmt w:val="decimal"/>
      <w:lvlText w:val="%4."/>
      <w:lvlJc w:val="left"/>
      <w:pPr>
        <w:ind w:left="3240" w:hanging="360"/>
      </w:pPr>
    </w:lvl>
    <w:lvl w:ilvl="4" w:tplc="C6820E9A" w:tentative="1">
      <w:start w:val="1"/>
      <w:numFmt w:val="lowerLetter"/>
      <w:lvlText w:val="%5."/>
      <w:lvlJc w:val="left"/>
      <w:pPr>
        <w:ind w:left="3960" w:hanging="360"/>
      </w:pPr>
    </w:lvl>
    <w:lvl w:ilvl="5" w:tplc="73889DA8" w:tentative="1">
      <w:start w:val="1"/>
      <w:numFmt w:val="lowerRoman"/>
      <w:lvlText w:val="%6."/>
      <w:lvlJc w:val="right"/>
      <w:pPr>
        <w:ind w:left="4680" w:hanging="180"/>
      </w:pPr>
    </w:lvl>
    <w:lvl w:ilvl="6" w:tplc="C708083C" w:tentative="1">
      <w:start w:val="1"/>
      <w:numFmt w:val="decimal"/>
      <w:lvlText w:val="%7."/>
      <w:lvlJc w:val="left"/>
      <w:pPr>
        <w:ind w:left="5400" w:hanging="360"/>
      </w:pPr>
    </w:lvl>
    <w:lvl w:ilvl="7" w:tplc="2674ACCE" w:tentative="1">
      <w:start w:val="1"/>
      <w:numFmt w:val="lowerLetter"/>
      <w:lvlText w:val="%8."/>
      <w:lvlJc w:val="left"/>
      <w:pPr>
        <w:ind w:left="6120" w:hanging="360"/>
      </w:pPr>
    </w:lvl>
    <w:lvl w:ilvl="8" w:tplc="F70640E4" w:tentative="1">
      <w:start w:val="1"/>
      <w:numFmt w:val="lowerRoman"/>
      <w:lvlText w:val="%9."/>
      <w:lvlJc w:val="right"/>
      <w:pPr>
        <w:ind w:left="6840" w:hanging="180"/>
      </w:pPr>
    </w:lvl>
  </w:abstractNum>
  <w:abstractNum w:abstractNumId="2" w15:restartNumberingAfterBreak="0">
    <w:nsid w:val="187624A9"/>
    <w:multiLevelType w:val="hybridMultilevel"/>
    <w:tmpl w:val="52667206"/>
    <w:lvl w:ilvl="0" w:tplc="7DA470D6">
      <w:start w:val="3"/>
      <w:numFmt w:val="upperLetter"/>
      <w:lvlText w:val="%1."/>
      <w:lvlJc w:val="left"/>
      <w:pPr>
        <w:ind w:left="720" w:hanging="360"/>
      </w:pPr>
      <w:rPr>
        <w:rFonts w:ascii="Times New Roman" w:hAnsi="Times New Roman" w:cs="Times New Roman" w:hint="default"/>
        <w:sz w:val="24"/>
        <w:szCs w:val="24"/>
      </w:rPr>
    </w:lvl>
    <w:lvl w:ilvl="1" w:tplc="643E23B0" w:tentative="1">
      <w:start w:val="1"/>
      <w:numFmt w:val="lowerLetter"/>
      <w:lvlText w:val="%2."/>
      <w:lvlJc w:val="left"/>
      <w:pPr>
        <w:ind w:left="1440" w:hanging="360"/>
      </w:pPr>
    </w:lvl>
    <w:lvl w:ilvl="2" w:tplc="7ED8AAB8" w:tentative="1">
      <w:start w:val="1"/>
      <w:numFmt w:val="lowerRoman"/>
      <w:lvlText w:val="%3."/>
      <w:lvlJc w:val="right"/>
      <w:pPr>
        <w:ind w:left="2160" w:hanging="180"/>
      </w:pPr>
    </w:lvl>
    <w:lvl w:ilvl="3" w:tplc="F1B68ADE" w:tentative="1">
      <w:start w:val="1"/>
      <w:numFmt w:val="decimal"/>
      <w:lvlText w:val="%4."/>
      <w:lvlJc w:val="left"/>
      <w:pPr>
        <w:ind w:left="2880" w:hanging="360"/>
      </w:pPr>
    </w:lvl>
    <w:lvl w:ilvl="4" w:tplc="0C4AC2D6" w:tentative="1">
      <w:start w:val="1"/>
      <w:numFmt w:val="lowerLetter"/>
      <w:lvlText w:val="%5."/>
      <w:lvlJc w:val="left"/>
      <w:pPr>
        <w:ind w:left="3600" w:hanging="360"/>
      </w:pPr>
    </w:lvl>
    <w:lvl w:ilvl="5" w:tplc="0E448C28" w:tentative="1">
      <w:start w:val="1"/>
      <w:numFmt w:val="lowerRoman"/>
      <w:lvlText w:val="%6."/>
      <w:lvlJc w:val="right"/>
      <w:pPr>
        <w:ind w:left="4320" w:hanging="180"/>
      </w:pPr>
    </w:lvl>
    <w:lvl w:ilvl="6" w:tplc="76C27BB4" w:tentative="1">
      <w:start w:val="1"/>
      <w:numFmt w:val="decimal"/>
      <w:lvlText w:val="%7."/>
      <w:lvlJc w:val="left"/>
      <w:pPr>
        <w:ind w:left="5040" w:hanging="360"/>
      </w:pPr>
    </w:lvl>
    <w:lvl w:ilvl="7" w:tplc="2A3809A8" w:tentative="1">
      <w:start w:val="1"/>
      <w:numFmt w:val="lowerLetter"/>
      <w:lvlText w:val="%8."/>
      <w:lvlJc w:val="left"/>
      <w:pPr>
        <w:ind w:left="5760" w:hanging="360"/>
      </w:pPr>
    </w:lvl>
    <w:lvl w:ilvl="8" w:tplc="E3700152" w:tentative="1">
      <w:start w:val="1"/>
      <w:numFmt w:val="lowerRoman"/>
      <w:lvlText w:val="%9."/>
      <w:lvlJc w:val="right"/>
      <w:pPr>
        <w:ind w:left="6480" w:hanging="180"/>
      </w:pPr>
    </w:lvl>
  </w:abstractNum>
  <w:abstractNum w:abstractNumId="3" w15:restartNumberingAfterBreak="0">
    <w:nsid w:val="245C1F46"/>
    <w:multiLevelType w:val="hybridMultilevel"/>
    <w:tmpl w:val="25AA32D8"/>
    <w:lvl w:ilvl="0" w:tplc="A90A69A4">
      <w:start w:val="1"/>
      <w:numFmt w:val="decimal"/>
      <w:lvlText w:val="%1."/>
      <w:lvlJc w:val="left"/>
      <w:pPr>
        <w:ind w:left="1080" w:hanging="360"/>
      </w:pPr>
      <w:rPr>
        <w:rFonts w:hint="default"/>
        <w:b/>
        <w:bCs/>
      </w:rPr>
    </w:lvl>
    <w:lvl w:ilvl="1" w:tplc="4F5003CE" w:tentative="1">
      <w:start w:val="1"/>
      <w:numFmt w:val="lowerLetter"/>
      <w:lvlText w:val="%2."/>
      <w:lvlJc w:val="left"/>
      <w:pPr>
        <w:ind w:left="1800" w:hanging="360"/>
      </w:pPr>
    </w:lvl>
    <w:lvl w:ilvl="2" w:tplc="3DF68B92" w:tentative="1">
      <w:start w:val="1"/>
      <w:numFmt w:val="lowerRoman"/>
      <w:lvlText w:val="%3."/>
      <w:lvlJc w:val="right"/>
      <w:pPr>
        <w:ind w:left="2520" w:hanging="180"/>
      </w:pPr>
    </w:lvl>
    <w:lvl w:ilvl="3" w:tplc="D65C34DA" w:tentative="1">
      <w:start w:val="1"/>
      <w:numFmt w:val="decimal"/>
      <w:lvlText w:val="%4."/>
      <w:lvlJc w:val="left"/>
      <w:pPr>
        <w:ind w:left="3240" w:hanging="360"/>
      </w:pPr>
    </w:lvl>
    <w:lvl w:ilvl="4" w:tplc="EB6A0000" w:tentative="1">
      <w:start w:val="1"/>
      <w:numFmt w:val="lowerLetter"/>
      <w:lvlText w:val="%5."/>
      <w:lvlJc w:val="left"/>
      <w:pPr>
        <w:ind w:left="3960" w:hanging="360"/>
      </w:pPr>
    </w:lvl>
    <w:lvl w:ilvl="5" w:tplc="55D2E3AA" w:tentative="1">
      <w:start w:val="1"/>
      <w:numFmt w:val="lowerRoman"/>
      <w:lvlText w:val="%6."/>
      <w:lvlJc w:val="right"/>
      <w:pPr>
        <w:ind w:left="4680" w:hanging="180"/>
      </w:pPr>
    </w:lvl>
    <w:lvl w:ilvl="6" w:tplc="A76ED6E0" w:tentative="1">
      <w:start w:val="1"/>
      <w:numFmt w:val="decimal"/>
      <w:lvlText w:val="%7."/>
      <w:lvlJc w:val="left"/>
      <w:pPr>
        <w:ind w:left="5400" w:hanging="360"/>
      </w:pPr>
    </w:lvl>
    <w:lvl w:ilvl="7" w:tplc="F240132C" w:tentative="1">
      <w:start w:val="1"/>
      <w:numFmt w:val="lowerLetter"/>
      <w:lvlText w:val="%8."/>
      <w:lvlJc w:val="left"/>
      <w:pPr>
        <w:ind w:left="6120" w:hanging="360"/>
      </w:pPr>
    </w:lvl>
    <w:lvl w:ilvl="8" w:tplc="F9503E2A" w:tentative="1">
      <w:start w:val="1"/>
      <w:numFmt w:val="lowerRoman"/>
      <w:lvlText w:val="%9."/>
      <w:lvlJc w:val="right"/>
      <w:pPr>
        <w:ind w:left="6840" w:hanging="180"/>
      </w:pPr>
    </w:lvl>
  </w:abstractNum>
  <w:abstractNum w:abstractNumId="4" w15:restartNumberingAfterBreak="0">
    <w:nsid w:val="353F7930"/>
    <w:multiLevelType w:val="hybridMultilevel"/>
    <w:tmpl w:val="A8206DA6"/>
    <w:lvl w:ilvl="0" w:tplc="2BC4847A">
      <w:start w:val="1"/>
      <w:numFmt w:val="upperRoman"/>
      <w:lvlText w:val="%1."/>
      <w:lvlJc w:val="left"/>
      <w:pPr>
        <w:ind w:left="1080" w:hanging="720"/>
      </w:pPr>
      <w:rPr>
        <w:rFonts w:hint="default"/>
      </w:rPr>
    </w:lvl>
    <w:lvl w:ilvl="1" w:tplc="A3E2A81E" w:tentative="1">
      <w:start w:val="1"/>
      <w:numFmt w:val="lowerLetter"/>
      <w:lvlText w:val="%2."/>
      <w:lvlJc w:val="left"/>
      <w:pPr>
        <w:ind w:left="1440" w:hanging="360"/>
      </w:pPr>
    </w:lvl>
    <w:lvl w:ilvl="2" w:tplc="1C9C020C" w:tentative="1">
      <w:start w:val="1"/>
      <w:numFmt w:val="lowerRoman"/>
      <w:lvlText w:val="%3."/>
      <w:lvlJc w:val="right"/>
      <w:pPr>
        <w:ind w:left="2160" w:hanging="180"/>
      </w:pPr>
    </w:lvl>
    <w:lvl w:ilvl="3" w:tplc="CC78D722" w:tentative="1">
      <w:start w:val="1"/>
      <w:numFmt w:val="decimal"/>
      <w:lvlText w:val="%4."/>
      <w:lvlJc w:val="left"/>
      <w:pPr>
        <w:ind w:left="2880" w:hanging="360"/>
      </w:pPr>
    </w:lvl>
    <w:lvl w:ilvl="4" w:tplc="D93200E4" w:tentative="1">
      <w:start w:val="1"/>
      <w:numFmt w:val="lowerLetter"/>
      <w:lvlText w:val="%5."/>
      <w:lvlJc w:val="left"/>
      <w:pPr>
        <w:ind w:left="3600" w:hanging="360"/>
      </w:pPr>
    </w:lvl>
    <w:lvl w:ilvl="5" w:tplc="6B64595A" w:tentative="1">
      <w:start w:val="1"/>
      <w:numFmt w:val="lowerRoman"/>
      <w:lvlText w:val="%6."/>
      <w:lvlJc w:val="right"/>
      <w:pPr>
        <w:ind w:left="4320" w:hanging="180"/>
      </w:pPr>
    </w:lvl>
    <w:lvl w:ilvl="6" w:tplc="258003C0" w:tentative="1">
      <w:start w:val="1"/>
      <w:numFmt w:val="decimal"/>
      <w:lvlText w:val="%7."/>
      <w:lvlJc w:val="left"/>
      <w:pPr>
        <w:ind w:left="5040" w:hanging="360"/>
      </w:pPr>
    </w:lvl>
    <w:lvl w:ilvl="7" w:tplc="369096D6" w:tentative="1">
      <w:start w:val="1"/>
      <w:numFmt w:val="lowerLetter"/>
      <w:lvlText w:val="%8."/>
      <w:lvlJc w:val="left"/>
      <w:pPr>
        <w:ind w:left="5760" w:hanging="360"/>
      </w:pPr>
    </w:lvl>
    <w:lvl w:ilvl="8" w:tplc="0C58D572" w:tentative="1">
      <w:start w:val="1"/>
      <w:numFmt w:val="lowerRoman"/>
      <w:lvlText w:val="%9."/>
      <w:lvlJc w:val="right"/>
      <w:pPr>
        <w:ind w:left="6480" w:hanging="180"/>
      </w:pPr>
    </w:lvl>
  </w:abstractNum>
  <w:abstractNum w:abstractNumId="5" w15:restartNumberingAfterBreak="0">
    <w:nsid w:val="4A8E7E0C"/>
    <w:multiLevelType w:val="hybridMultilevel"/>
    <w:tmpl w:val="65305CDE"/>
    <w:lvl w:ilvl="0" w:tplc="B4F0EF80">
      <w:start w:val="1"/>
      <w:numFmt w:val="upperRoman"/>
      <w:lvlText w:val="%1."/>
      <w:lvlJc w:val="left"/>
      <w:pPr>
        <w:ind w:left="1080" w:hanging="720"/>
      </w:pPr>
      <w:rPr>
        <w:rFonts w:hint="default"/>
      </w:rPr>
    </w:lvl>
    <w:lvl w:ilvl="1" w:tplc="85407B72" w:tentative="1">
      <w:start w:val="1"/>
      <w:numFmt w:val="lowerLetter"/>
      <w:lvlText w:val="%2."/>
      <w:lvlJc w:val="left"/>
      <w:pPr>
        <w:ind w:left="1440" w:hanging="360"/>
      </w:pPr>
    </w:lvl>
    <w:lvl w:ilvl="2" w:tplc="4F04A90C" w:tentative="1">
      <w:start w:val="1"/>
      <w:numFmt w:val="lowerRoman"/>
      <w:lvlText w:val="%3."/>
      <w:lvlJc w:val="right"/>
      <w:pPr>
        <w:ind w:left="2160" w:hanging="180"/>
      </w:pPr>
    </w:lvl>
    <w:lvl w:ilvl="3" w:tplc="A1802124" w:tentative="1">
      <w:start w:val="1"/>
      <w:numFmt w:val="decimal"/>
      <w:lvlText w:val="%4."/>
      <w:lvlJc w:val="left"/>
      <w:pPr>
        <w:ind w:left="2880" w:hanging="360"/>
      </w:pPr>
    </w:lvl>
    <w:lvl w:ilvl="4" w:tplc="DC64A92A" w:tentative="1">
      <w:start w:val="1"/>
      <w:numFmt w:val="lowerLetter"/>
      <w:lvlText w:val="%5."/>
      <w:lvlJc w:val="left"/>
      <w:pPr>
        <w:ind w:left="3600" w:hanging="360"/>
      </w:pPr>
    </w:lvl>
    <w:lvl w:ilvl="5" w:tplc="1C343A94" w:tentative="1">
      <w:start w:val="1"/>
      <w:numFmt w:val="lowerRoman"/>
      <w:lvlText w:val="%6."/>
      <w:lvlJc w:val="right"/>
      <w:pPr>
        <w:ind w:left="4320" w:hanging="180"/>
      </w:pPr>
    </w:lvl>
    <w:lvl w:ilvl="6" w:tplc="88DA870A" w:tentative="1">
      <w:start w:val="1"/>
      <w:numFmt w:val="decimal"/>
      <w:lvlText w:val="%7."/>
      <w:lvlJc w:val="left"/>
      <w:pPr>
        <w:ind w:left="5040" w:hanging="360"/>
      </w:pPr>
    </w:lvl>
    <w:lvl w:ilvl="7" w:tplc="24DEC402" w:tentative="1">
      <w:start w:val="1"/>
      <w:numFmt w:val="lowerLetter"/>
      <w:lvlText w:val="%8."/>
      <w:lvlJc w:val="left"/>
      <w:pPr>
        <w:ind w:left="5760" w:hanging="360"/>
      </w:pPr>
    </w:lvl>
    <w:lvl w:ilvl="8" w:tplc="1D12B124" w:tentative="1">
      <w:start w:val="1"/>
      <w:numFmt w:val="lowerRoman"/>
      <w:lvlText w:val="%9."/>
      <w:lvlJc w:val="right"/>
      <w:pPr>
        <w:ind w:left="6480" w:hanging="180"/>
      </w:pPr>
    </w:lvl>
  </w:abstractNum>
  <w:abstractNum w:abstractNumId="6" w15:restartNumberingAfterBreak="0">
    <w:nsid w:val="4EB41B55"/>
    <w:multiLevelType w:val="hybridMultilevel"/>
    <w:tmpl w:val="81AC4B42"/>
    <w:lvl w:ilvl="0" w:tplc="AC4663F0">
      <w:start w:val="1"/>
      <w:numFmt w:val="upperRoman"/>
      <w:lvlText w:val="%1."/>
      <w:lvlJc w:val="left"/>
      <w:pPr>
        <w:ind w:left="1080" w:hanging="720"/>
      </w:pPr>
      <w:rPr>
        <w:rFonts w:ascii="Times New Roman" w:hAnsi="Times New Roman" w:cs="Times New Roman" w:hint="default"/>
        <w:b/>
        <w:bCs w:val="0"/>
        <w:sz w:val="24"/>
        <w:szCs w:val="24"/>
      </w:rPr>
    </w:lvl>
    <w:lvl w:ilvl="1" w:tplc="65DE7B3A" w:tentative="1">
      <w:start w:val="1"/>
      <w:numFmt w:val="lowerLetter"/>
      <w:lvlText w:val="%2."/>
      <w:lvlJc w:val="left"/>
      <w:pPr>
        <w:ind w:left="1440" w:hanging="360"/>
      </w:pPr>
    </w:lvl>
    <w:lvl w:ilvl="2" w:tplc="D5189166" w:tentative="1">
      <w:start w:val="1"/>
      <w:numFmt w:val="lowerRoman"/>
      <w:lvlText w:val="%3."/>
      <w:lvlJc w:val="right"/>
      <w:pPr>
        <w:ind w:left="2160" w:hanging="180"/>
      </w:pPr>
    </w:lvl>
    <w:lvl w:ilvl="3" w:tplc="78FCBDFC" w:tentative="1">
      <w:start w:val="1"/>
      <w:numFmt w:val="decimal"/>
      <w:lvlText w:val="%4."/>
      <w:lvlJc w:val="left"/>
      <w:pPr>
        <w:ind w:left="2880" w:hanging="360"/>
      </w:pPr>
    </w:lvl>
    <w:lvl w:ilvl="4" w:tplc="23560F36" w:tentative="1">
      <w:start w:val="1"/>
      <w:numFmt w:val="lowerLetter"/>
      <w:lvlText w:val="%5."/>
      <w:lvlJc w:val="left"/>
      <w:pPr>
        <w:ind w:left="3600" w:hanging="360"/>
      </w:pPr>
    </w:lvl>
    <w:lvl w:ilvl="5" w:tplc="02364F14" w:tentative="1">
      <w:start w:val="1"/>
      <w:numFmt w:val="lowerRoman"/>
      <w:lvlText w:val="%6."/>
      <w:lvlJc w:val="right"/>
      <w:pPr>
        <w:ind w:left="4320" w:hanging="180"/>
      </w:pPr>
    </w:lvl>
    <w:lvl w:ilvl="6" w:tplc="343AE16C" w:tentative="1">
      <w:start w:val="1"/>
      <w:numFmt w:val="decimal"/>
      <w:lvlText w:val="%7."/>
      <w:lvlJc w:val="left"/>
      <w:pPr>
        <w:ind w:left="5040" w:hanging="360"/>
      </w:pPr>
    </w:lvl>
    <w:lvl w:ilvl="7" w:tplc="94D8AC2A" w:tentative="1">
      <w:start w:val="1"/>
      <w:numFmt w:val="lowerLetter"/>
      <w:lvlText w:val="%8."/>
      <w:lvlJc w:val="left"/>
      <w:pPr>
        <w:ind w:left="5760" w:hanging="360"/>
      </w:pPr>
    </w:lvl>
    <w:lvl w:ilvl="8" w:tplc="675E1D26" w:tentative="1">
      <w:start w:val="1"/>
      <w:numFmt w:val="lowerRoman"/>
      <w:lvlText w:val="%9."/>
      <w:lvlJc w:val="right"/>
      <w:pPr>
        <w:ind w:left="6480" w:hanging="180"/>
      </w:pPr>
    </w:lvl>
  </w:abstractNum>
  <w:abstractNum w:abstractNumId="7" w15:restartNumberingAfterBreak="0">
    <w:nsid w:val="51015AE4"/>
    <w:multiLevelType w:val="hybridMultilevel"/>
    <w:tmpl w:val="3D0C7E22"/>
    <w:lvl w:ilvl="0" w:tplc="9EF49F02">
      <w:start w:val="2"/>
      <w:numFmt w:val="upperLetter"/>
      <w:lvlText w:val="%1."/>
      <w:lvlJc w:val="left"/>
      <w:pPr>
        <w:ind w:left="1440" w:hanging="360"/>
      </w:pPr>
      <w:rPr>
        <w:rFonts w:hint="default"/>
        <w:b/>
        <w:bCs/>
      </w:rPr>
    </w:lvl>
    <w:lvl w:ilvl="1" w:tplc="C20242C8" w:tentative="1">
      <w:start w:val="1"/>
      <w:numFmt w:val="lowerLetter"/>
      <w:lvlText w:val="%2."/>
      <w:lvlJc w:val="left"/>
      <w:pPr>
        <w:ind w:left="2160" w:hanging="360"/>
      </w:pPr>
    </w:lvl>
    <w:lvl w:ilvl="2" w:tplc="4CB63DF6" w:tentative="1">
      <w:start w:val="1"/>
      <w:numFmt w:val="lowerRoman"/>
      <w:lvlText w:val="%3."/>
      <w:lvlJc w:val="right"/>
      <w:pPr>
        <w:ind w:left="2880" w:hanging="180"/>
      </w:pPr>
    </w:lvl>
    <w:lvl w:ilvl="3" w:tplc="6B228FA0" w:tentative="1">
      <w:start w:val="1"/>
      <w:numFmt w:val="decimal"/>
      <w:lvlText w:val="%4."/>
      <w:lvlJc w:val="left"/>
      <w:pPr>
        <w:ind w:left="3600" w:hanging="360"/>
      </w:pPr>
    </w:lvl>
    <w:lvl w:ilvl="4" w:tplc="55D05EE0" w:tentative="1">
      <w:start w:val="1"/>
      <w:numFmt w:val="lowerLetter"/>
      <w:lvlText w:val="%5."/>
      <w:lvlJc w:val="left"/>
      <w:pPr>
        <w:ind w:left="4320" w:hanging="360"/>
      </w:pPr>
    </w:lvl>
    <w:lvl w:ilvl="5" w:tplc="1668F9AC" w:tentative="1">
      <w:start w:val="1"/>
      <w:numFmt w:val="lowerRoman"/>
      <w:lvlText w:val="%6."/>
      <w:lvlJc w:val="right"/>
      <w:pPr>
        <w:ind w:left="5040" w:hanging="180"/>
      </w:pPr>
    </w:lvl>
    <w:lvl w:ilvl="6" w:tplc="CB980342" w:tentative="1">
      <w:start w:val="1"/>
      <w:numFmt w:val="decimal"/>
      <w:lvlText w:val="%7."/>
      <w:lvlJc w:val="left"/>
      <w:pPr>
        <w:ind w:left="5760" w:hanging="360"/>
      </w:pPr>
    </w:lvl>
    <w:lvl w:ilvl="7" w:tplc="66C658EE" w:tentative="1">
      <w:start w:val="1"/>
      <w:numFmt w:val="lowerLetter"/>
      <w:lvlText w:val="%8."/>
      <w:lvlJc w:val="left"/>
      <w:pPr>
        <w:ind w:left="6480" w:hanging="360"/>
      </w:pPr>
    </w:lvl>
    <w:lvl w:ilvl="8" w:tplc="2DE4E40E" w:tentative="1">
      <w:start w:val="1"/>
      <w:numFmt w:val="lowerRoman"/>
      <w:lvlText w:val="%9."/>
      <w:lvlJc w:val="right"/>
      <w:pPr>
        <w:ind w:left="7200" w:hanging="180"/>
      </w:pPr>
    </w:lvl>
  </w:abstractNum>
  <w:abstractNum w:abstractNumId="8" w15:restartNumberingAfterBreak="0">
    <w:nsid w:val="5D2E6C5F"/>
    <w:multiLevelType w:val="hybridMultilevel"/>
    <w:tmpl w:val="F378ED6C"/>
    <w:lvl w:ilvl="0" w:tplc="3D74094A">
      <w:start w:val="5"/>
      <w:numFmt w:val="upperLetter"/>
      <w:lvlText w:val="%1."/>
      <w:lvlJc w:val="left"/>
      <w:pPr>
        <w:ind w:left="720" w:hanging="360"/>
      </w:pPr>
      <w:rPr>
        <w:rFonts w:hint="default"/>
      </w:rPr>
    </w:lvl>
    <w:lvl w:ilvl="1" w:tplc="D116C0C0" w:tentative="1">
      <w:start w:val="1"/>
      <w:numFmt w:val="lowerLetter"/>
      <w:lvlText w:val="%2."/>
      <w:lvlJc w:val="left"/>
      <w:pPr>
        <w:ind w:left="1440" w:hanging="360"/>
      </w:pPr>
    </w:lvl>
    <w:lvl w:ilvl="2" w:tplc="31BEAAC0" w:tentative="1">
      <w:start w:val="1"/>
      <w:numFmt w:val="lowerRoman"/>
      <w:lvlText w:val="%3."/>
      <w:lvlJc w:val="right"/>
      <w:pPr>
        <w:ind w:left="2160" w:hanging="180"/>
      </w:pPr>
    </w:lvl>
    <w:lvl w:ilvl="3" w:tplc="F13884D2" w:tentative="1">
      <w:start w:val="1"/>
      <w:numFmt w:val="decimal"/>
      <w:lvlText w:val="%4."/>
      <w:lvlJc w:val="left"/>
      <w:pPr>
        <w:ind w:left="2880" w:hanging="360"/>
      </w:pPr>
    </w:lvl>
    <w:lvl w:ilvl="4" w:tplc="FFD41DDC" w:tentative="1">
      <w:start w:val="1"/>
      <w:numFmt w:val="lowerLetter"/>
      <w:lvlText w:val="%5."/>
      <w:lvlJc w:val="left"/>
      <w:pPr>
        <w:ind w:left="3600" w:hanging="360"/>
      </w:pPr>
    </w:lvl>
    <w:lvl w:ilvl="5" w:tplc="E3EA1C5C" w:tentative="1">
      <w:start w:val="1"/>
      <w:numFmt w:val="lowerRoman"/>
      <w:lvlText w:val="%6."/>
      <w:lvlJc w:val="right"/>
      <w:pPr>
        <w:ind w:left="4320" w:hanging="180"/>
      </w:pPr>
    </w:lvl>
    <w:lvl w:ilvl="6" w:tplc="4C049994" w:tentative="1">
      <w:start w:val="1"/>
      <w:numFmt w:val="decimal"/>
      <w:lvlText w:val="%7."/>
      <w:lvlJc w:val="left"/>
      <w:pPr>
        <w:ind w:left="5040" w:hanging="360"/>
      </w:pPr>
    </w:lvl>
    <w:lvl w:ilvl="7" w:tplc="52166A32" w:tentative="1">
      <w:start w:val="1"/>
      <w:numFmt w:val="lowerLetter"/>
      <w:lvlText w:val="%8."/>
      <w:lvlJc w:val="left"/>
      <w:pPr>
        <w:ind w:left="5760" w:hanging="360"/>
      </w:pPr>
    </w:lvl>
    <w:lvl w:ilvl="8" w:tplc="751A0160" w:tentative="1">
      <w:start w:val="1"/>
      <w:numFmt w:val="lowerRoman"/>
      <w:lvlText w:val="%9."/>
      <w:lvlJc w:val="right"/>
      <w:pPr>
        <w:ind w:left="6480" w:hanging="180"/>
      </w:pPr>
    </w:lvl>
  </w:abstractNum>
  <w:abstractNum w:abstractNumId="9" w15:restartNumberingAfterBreak="0">
    <w:nsid w:val="5F4F341A"/>
    <w:multiLevelType w:val="hybridMultilevel"/>
    <w:tmpl w:val="A62A2CE2"/>
    <w:lvl w:ilvl="0" w:tplc="D35E3308">
      <w:start w:val="5"/>
      <w:numFmt w:val="upperLetter"/>
      <w:lvlText w:val="%1."/>
      <w:lvlJc w:val="left"/>
      <w:pPr>
        <w:ind w:left="1080" w:hanging="360"/>
      </w:pPr>
      <w:rPr>
        <w:rFonts w:hint="default"/>
        <w:b w:val="0"/>
      </w:rPr>
    </w:lvl>
    <w:lvl w:ilvl="1" w:tplc="19CE5B8E" w:tentative="1">
      <w:start w:val="1"/>
      <w:numFmt w:val="lowerLetter"/>
      <w:lvlText w:val="%2."/>
      <w:lvlJc w:val="left"/>
      <w:pPr>
        <w:ind w:left="1800" w:hanging="360"/>
      </w:pPr>
    </w:lvl>
    <w:lvl w:ilvl="2" w:tplc="DCFA1FF8" w:tentative="1">
      <w:start w:val="1"/>
      <w:numFmt w:val="lowerRoman"/>
      <w:lvlText w:val="%3."/>
      <w:lvlJc w:val="right"/>
      <w:pPr>
        <w:ind w:left="2520" w:hanging="180"/>
      </w:pPr>
    </w:lvl>
    <w:lvl w:ilvl="3" w:tplc="E7EE1930" w:tentative="1">
      <w:start w:val="1"/>
      <w:numFmt w:val="decimal"/>
      <w:lvlText w:val="%4."/>
      <w:lvlJc w:val="left"/>
      <w:pPr>
        <w:ind w:left="3240" w:hanging="360"/>
      </w:pPr>
    </w:lvl>
    <w:lvl w:ilvl="4" w:tplc="A77CB234" w:tentative="1">
      <w:start w:val="1"/>
      <w:numFmt w:val="lowerLetter"/>
      <w:lvlText w:val="%5."/>
      <w:lvlJc w:val="left"/>
      <w:pPr>
        <w:ind w:left="3960" w:hanging="360"/>
      </w:pPr>
    </w:lvl>
    <w:lvl w:ilvl="5" w:tplc="F5100424" w:tentative="1">
      <w:start w:val="1"/>
      <w:numFmt w:val="lowerRoman"/>
      <w:lvlText w:val="%6."/>
      <w:lvlJc w:val="right"/>
      <w:pPr>
        <w:ind w:left="4680" w:hanging="180"/>
      </w:pPr>
    </w:lvl>
    <w:lvl w:ilvl="6" w:tplc="2C44768C" w:tentative="1">
      <w:start w:val="1"/>
      <w:numFmt w:val="decimal"/>
      <w:lvlText w:val="%7."/>
      <w:lvlJc w:val="left"/>
      <w:pPr>
        <w:ind w:left="5400" w:hanging="360"/>
      </w:pPr>
    </w:lvl>
    <w:lvl w:ilvl="7" w:tplc="71C8633A" w:tentative="1">
      <w:start w:val="1"/>
      <w:numFmt w:val="lowerLetter"/>
      <w:lvlText w:val="%8."/>
      <w:lvlJc w:val="left"/>
      <w:pPr>
        <w:ind w:left="6120" w:hanging="360"/>
      </w:pPr>
    </w:lvl>
    <w:lvl w:ilvl="8" w:tplc="29C0155A" w:tentative="1">
      <w:start w:val="1"/>
      <w:numFmt w:val="lowerRoman"/>
      <w:lvlText w:val="%9."/>
      <w:lvlJc w:val="right"/>
      <w:pPr>
        <w:ind w:left="6840" w:hanging="180"/>
      </w:pPr>
    </w:lvl>
  </w:abstractNum>
  <w:abstractNum w:abstractNumId="10" w15:restartNumberingAfterBreak="0">
    <w:nsid w:val="77392037"/>
    <w:multiLevelType w:val="hybridMultilevel"/>
    <w:tmpl w:val="7CA2F626"/>
    <w:lvl w:ilvl="0" w:tplc="FEB0621E">
      <w:start w:val="3"/>
      <w:numFmt w:val="upperRoman"/>
      <w:lvlText w:val="%1."/>
      <w:lvlJc w:val="left"/>
      <w:pPr>
        <w:ind w:left="1080" w:hanging="720"/>
      </w:pPr>
      <w:rPr>
        <w:rFonts w:hint="default"/>
      </w:rPr>
    </w:lvl>
    <w:lvl w:ilvl="1" w:tplc="76D2D42C" w:tentative="1">
      <w:start w:val="1"/>
      <w:numFmt w:val="lowerLetter"/>
      <w:lvlText w:val="%2."/>
      <w:lvlJc w:val="left"/>
      <w:pPr>
        <w:ind w:left="1440" w:hanging="360"/>
      </w:pPr>
    </w:lvl>
    <w:lvl w:ilvl="2" w:tplc="134A602E" w:tentative="1">
      <w:start w:val="1"/>
      <w:numFmt w:val="lowerRoman"/>
      <w:lvlText w:val="%3."/>
      <w:lvlJc w:val="right"/>
      <w:pPr>
        <w:ind w:left="2160" w:hanging="180"/>
      </w:pPr>
    </w:lvl>
    <w:lvl w:ilvl="3" w:tplc="1E3C3F24" w:tentative="1">
      <w:start w:val="1"/>
      <w:numFmt w:val="decimal"/>
      <w:lvlText w:val="%4."/>
      <w:lvlJc w:val="left"/>
      <w:pPr>
        <w:ind w:left="2880" w:hanging="360"/>
      </w:pPr>
    </w:lvl>
    <w:lvl w:ilvl="4" w:tplc="C052C0CA" w:tentative="1">
      <w:start w:val="1"/>
      <w:numFmt w:val="lowerLetter"/>
      <w:lvlText w:val="%5."/>
      <w:lvlJc w:val="left"/>
      <w:pPr>
        <w:ind w:left="3600" w:hanging="360"/>
      </w:pPr>
    </w:lvl>
    <w:lvl w:ilvl="5" w:tplc="835A90B6" w:tentative="1">
      <w:start w:val="1"/>
      <w:numFmt w:val="lowerRoman"/>
      <w:lvlText w:val="%6."/>
      <w:lvlJc w:val="right"/>
      <w:pPr>
        <w:ind w:left="4320" w:hanging="180"/>
      </w:pPr>
    </w:lvl>
    <w:lvl w:ilvl="6" w:tplc="0C683608" w:tentative="1">
      <w:start w:val="1"/>
      <w:numFmt w:val="decimal"/>
      <w:lvlText w:val="%7."/>
      <w:lvlJc w:val="left"/>
      <w:pPr>
        <w:ind w:left="5040" w:hanging="360"/>
      </w:pPr>
    </w:lvl>
    <w:lvl w:ilvl="7" w:tplc="2EACDE28" w:tentative="1">
      <w:start w:val="1"/>
      <w:numFmt w:val="lowerLetter"/>
      <w:lvlText w:val="%8."/>
      <w:lvlJc w:val="left"/>
      <w:pPr>
        <w:ind w:left="5760" w:hanging="360"/>
      </w:pPr>
    </w:lvl>
    <w:lvl w:ilvl="8" w:tplc="4E0C8004" w:tentative="1">
      <w:start w:val="1"/>
      <w:numFmt w:val="lowerRoman"/>
      <w:lvlText w:val="%9."/>
      <w:lvlJc w:val="right"/>
      <w:pPr>
        <w:ind w:left="6480" w:hanging="180"/>
      </w:pPr>
    </w:lvl>
  </w:abstractNum>
  <w:abstractNum w:abstractNumId="11" w15:restartNumberingAfterBreak="0">
    <w:nsid w:val="77B8300C"/>
    <w:multiLevelType w:val="hybridMultilevel"/>
    <w:tmpl w:val="93687ED4"/>
    <w:lvl w:ilvl="0" w:tplc="95EC0224">
      <w:start w:val="1"/>
      <w:numFmt w:val="upperLetter"/>
      <w:lvlText w:val="%1."/>
      <w:lvlJc w:val="left"/>
      <w:pPr>
        <w:ind w:left="1440" w:hanging="720"/>
      </w:pPr>
      <w:rPr>
        <w:rFonts w:ascii="Times New Roman" w:hAnsi="Times New Roman" w:cs="Times New Roman" w:hint="default"/>
        <w:b/>
        <w:bCs w:val="0"/>
      </w:rPr>
    </w:lvl>
    <w:lvl w:ilvl="1" w:tplc="7506D0E4" w:tentative="1">
      <w:start w:val="1"/>
      <w:numFmt w:val="lowerLetter"/>
      <w:lvlText w:val="%2."/>
      <w:lvlJc w:val="left"/>
      <w:pPr>
        <w:ind w:left="1800" w:hanging="360"/>
      </w:pPr>
    </w:lvl>
    <w:lvl w:ilvl="2" w:tplc="5DDC1FD8" w:tentative="1">
      <w:start w:val="1"/>
      <w:numFmt w:val="lowerRoman"/>
      <w:lvlText w:val="%3."/>
      <w:lvlJc w:val="right"/>
      <w:pPr>
        <w:ind w:left="2520" w:hanging="180"/>
      </w:pPr>
    </w:lvl>
    <w:lvl w:ilvl="3" w:tplc="1BFE1ED2" w:tentative="1">
      <w:start w:val="1"/>
      <w:numFmt w:val="decimal"/>
      <w:lvlText w:val="%4."/>
      <w:lvlJc w:val="left"/>
      <w:pPr>
        <w:ind w:left="3240" w:hanging="360"/>
      </w:pPr>
    </w:lvl>
    <w:lvl w:ilvl="4" w:tplc="C4FA273C" w:tentative="1">
      <w:start w:val="1"/>
      <w:numFmt w:val="lowerLetter"/>
      <w:lvlText w:val="%5."/>
      <w:lvlJc w:val="left"/>
      <w:pPr>
        <w:ind w:left="3960" w:hanging="360"/>
      </w:pPr>
    </w:lvl>
    <w:lvl w:ilvl="5" w:tplc="7728BB22" w:tentative="1">
      <w:start w:val="1"/>
      <w:numFmt w:val="lowerRoman"/>
      <w:lvlText w:val="%6."/>
      <w:lvlJc w:val="right"/>
      <w:pPr>
        <w:ind w:left="4680" w:hanging="180"/>
      </w:pPr>
    </w:lvl>
    <w:lvl w:ilvl="6" w:tplc="BFC8F482" w:tentative="1">
      <w:start w:val="1"/>
      <w:numFmt w:val="decimal"/>
      <w:lvlText w:val="%7."/>
      <w:lvlJc w:val="left"/>
      <w:pPr>
        <w:ind w:left="5400" w:hanging="360"/>
      </w:pPr>
    </w:lvl>
    <w:lvl w:ilvl="7" w:tplc="A8C07940" w:tentative="1">
      <w:start w:val="1"/>
      <w:numFmt w:val="lowerLetter"/>
      <w:lvlText w:val="%8."/>
      <w:lvlJc w:val="left"/>
      <w:pPr>
        <w:ind w:left="6120" w:hanging="360"/>
      </w:pPr>
    </w:lvl>
    <w:lvl w:ilvl="8" w:tplc="25A22EFE"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3"/>
  </w:num>
  <w:num w:numId="5">
    <w:abstractNumId w:val="7"/>
  </w:num>
  <w:num w:numId="6">
    <w:abstractNumId w:val="11"/>
  </w:num>
  <w:num w:numId="7">
    <w:abstractNumId w:val="8"/>
  </w:num>
  <w:num w:numId="8">
    <w:abstractNumId w:val="2"/>
  </w:num>
  <w:num w:numId="9">
    <w:abstractNumId w:val="5"/>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BD"/>
    <w:rsid w:val="00001F07"/>
    <w:rsid w:val="0000342E"/>
    <w:rsid w:val="00015EFB"/>
    <w:rsid w:val="00052AC7"/>
    <w:rsid w:val="000563D1"/>
    <w:rsid w:val="00060363"/>
    <w:rsid w:val="00063DCD"/>
    <w:rsid w:val="00071637"/>
    <w:rsid w:val="0007187C"/>
    <w:rsid w:val="00072CEA"/>
    <w:rsid w:val="000738AD"/>
    <w:rsid w:val="0007460D"/>
    <w:rsid w:val="00075138"/>
    <w:rsid w:val="00076046"/>
    <w:rsid w:val="00090EA6"/>
    <w:rsid w:val="0009154E"/>
    <w:rsid w:val="000A4C89"/>
    <w:rsid w:val="000B4C01"/>
    <w:rsid w:val="000C3C0D"/>
    <w:rsid w:val="000C59E9"/>
    <w:rsid w:val="000D4F3D"/>
    <w:rsid w:val="000E02AA"/>
    <w:rsid w:val="000E0C6B"/>
    <w:rsid w:val="001029AE"/>
    <w:rsid w:val="00104B08"/>
    <w:rsid w:val="00107D26"/>
    <w:rsid w:val="001133BD"/>
    <w:rsid w:val="001141A5"/>
    <w:rsid w:val="00156316"/>
    <w:rsid w:val="00171078"/>
    <w:rsid w:val="00172817"/>
    <w:rsid w:val="00172F01"/>
    <w:rsid w:val="00173336"/>
    <w:rsid w:val="00173DE2"/>
    <w:rsid w:val="00176A29"/>
    <w:rsid w:val="00177043"/>
    <w:rsid w:val="001818FD"/>
    <w:rsid w:val="001841F6"/>
    <w:rsid w:val="001A0019"/>
    <w:rsid w:val="001B72A7"/>
    <w:rsid w:val="001C64E6"/>
    <w:rsid w:val="001D08AB"/>
    <w:rsid w:val="001E4313"/>
    <w:rsid w:val="001F05EE"/>
    <w:rsid w:val="002070D9"/>
    <w:rsid w:val="00207593"/>
    <w:rsid w:val="0021094A"/>
    <w:rsid w:val="00227910"/>
    <w:rsid w:val="002413D0"/>
    <w:rsid w:val="002604A3"/>
    <w:rsid w:val="00262B6D"/>
    <w:rsid w:val="002713A4"/>
    <w:rsid w:val="002713C9"/>
    <w:rsid w:val="002814B4"/>
    <w:rsid w:val="00283EBB"/>
    <w:rsid w:val="0029479F"/>
    <w:rsid w:val="00297E12"/>
    <w:rsid w:val="002A245D"/>
    <w:rsid w:val="002A5D19"/>
    <w:rsid w:val="002B0910"/>
    <w:rsid w:val="002B737C"/>
    <w:rsid w:val="002C41F8"/>
    <w:rsid w:val="002D220F"/>
    <w:rsid w:val="002D68FB"/>
    <w:rsid w:val="002E75C1"/>
    <w:rsid w:val="002F0C0C"/>
    <w:rsid w:val="00304846"/>
    <w:rsid w:val="00321599"/>
    <w:rsid w:val="0032310C"/>
    <w:rsid w:val="00327386"/>
    <w:rsid w:val="0033189A"/>
    <w:rsid w:val="00334C3E"/>
    <w:rsid w:val="00340172"/>
    <w:rsid w:val="0034062C"/>
    <w:rsid w:val="00341738"/>
    <w:rsid w:val="0034432A"/>
    <w:rsid w:val="003548AC"/>
    <w:rsid w:val="003558A5"/>
    <w:rsid w:val="003630E3"/>
    <w:rsid w:val="00363940"/>
    <w:rsid w:val="003673B3"/>
    <w:rsid w:val="003737CD"/>
    <w:rsid w:val="0038194E"/>
    <w:rsid w:val="003909E0"/>
    <w:rsid w:val="003A0071"/>
    <w:rsid w:val="003A3B20"/>
    <w:rsid w:val="003A4557"/>
    <w:rsid w:val="003B2E7B"/>
    <w:rsid w:val="003B43B1"/>
    <w:rsid w:val="003D0D32"/>
    <w:rsid w:val="003D34A7"/>
    <w:rsid w:val="003D616F"/>
    <w:rsid w:val="003D6533"/>
    <w:rsid w:val="003E032F"/>
    <w:rsid w:val="003E75B9"/>
    <w:rsid w:val="003F35FF"/>
    <w:rsid w:val="003F5D99"/>
    <w:rsid w:val="003F68AF"/>
    <w:rsid w:val="00401173"/>
    <w:rsid w:val="00411224"/>
    <w:rsid w:val="0042424F"/>
    <w:rsid w:val="00434856"/>
    <w:rsid w:val="0044451A"/>
    <w:rsid w:val="004502DE"/>
    <w:rsid w:val="004552D3"/>
    <w:rsid w:val="00455526"/>
    <w:rsid w:val="00455FCC"/>
    <w:rsid w:val="004562B3"/>
    <w:rsid w:val="00464562"/>
    <w:rsid w:val="00470851"/>
    <w:rsid w:val="00471452"/>
    <w:rsid w:val="00475AEB"/>
    <w:rsid w:val="004A484E"/>
    <w:rsid w:val="004A4F2A"/>
    <w:rsid w:val="004A53D3"/>
    <w:rsid w:val="004B036D"/>
    <w:rsid w:val="004B0608"/>
    <w:rsid w:val="004B4606"/>
    <w:rsid w:val="004B7523"/>
    <w:rsid w:val="004D00EC"/>
    <w:rsid w:val="004D06C5"/>
    <w:rsid w:val="004D27BD"/>
    <w:rsid w:val="004D308F"/>
    <w:rsid w:val="004D3242"/>
    <w:rsid w:val="004D4140"/>
    <w:rsid w:val="004D5214"/>
    <w:rsid w:val="004D6B22"/>
    <w:rsid w:val="004F5711"/>
    <w:rsid w:val="004F5D17"/>
    <w:rsid w:val="005206E8"/>
    <w:rsid w:val="00543812"/>
    <w:rsid w:val="00556DD2"/>
    <w:rsid w:val="00571F13"/>
    <w:rsid w:val="00574250"/>
    <w:rsid w:val="00574F2B"/>
    <w:rsid w:val="0057602B"/>
    <w:rsid w:val="0059052B"/>
    <w:rsid w:val="005938B9"/>
    <w:rsid w:val="005A5190"/>
    <w:rsid w:val="005B1312"/>
    <w:rsid w:val="005B7284"/>
    <w:rsid w:val="005C334A"/>
    <w:rsid w:val="005D0D6B"/>
    <w:rsid w:val="005D29BE"/>
    <w:rsid w:val="005E14C8"/>
    <w:rsid w:val="0060704C"/>
    <w:rsid w:val="006105B0"/>
    <w:rsid w:val="00612465"/>
    <w:rsid w:val="00613575"/>
    <w:rsid w:val="00625CCC"/>
    <w:rsid w:val="00626757"/>
    <w:rsid w:val="00633E90"/>
    <w:rsid w:val="006421F6"/>
    <w:rsid w:val="00651B56"/>
    <w:rsid w:val="006565CA"/>
    <w:rsid w:val="00660AF1"/>
    <w:rsid w:val="00664158"/>
    <w:rsid w:val="00671C28"/>
    <w:rsid w:val="006749B2"/>
    <w:rsid w:val="00680619"/>
    <w:rsid w:val="006835AF"/>
    <w:rsid w:val="00695A86"/>
    <w:rsid w:val="006A3823"/>
    <w:rsid w:val="006D0C71"/>
    <w:rsid w:val="00715FB2"/>
    <w:rsid w:val="007217F5"/>
    <w:rsid w:val="007254B9"/>
    <w:rsid w:val="0072786A"/>
    <w:rsid w:val="00740E56"/>
    <w:rsid w:val="00752562"/>
    <w:rsid w:val="0075303A"/>
    <w:rsid w:val="007534BE"/>
    <w:rsid w:val="007671AE"/>
    <w:rsid w:val="00771090"/>
    <w:rsid w:val="00790FB6"/>
    <w:rsid w:val="007A5995"/>
    <w:rsid w:val="007B0AF4"/>
    <w:rsid w:val="007B478B"/>
    <w:rsid w:val="007B56E2"/>
    <w:rsid w:val="007B7A1B"/>
    <w:rsid w:val="007C4BF3"/>
    <w:rsid w:val="007C7F9C"/>
    <w:rsid w:val="007D4AA0"/>
    <w:rsid w:val="007E0020"/>
    <w:rsid w:val="007E14F5"/>
    <w:rsid w:val="007F1AE0"/>
    <w:rsid w:val="007F608B"/>
    <w:rsid w:val="00803A7D"/>
    <w:rsid w:val="00820BE1"/>
    <w:rsid w:val="00836D23"/>
    <w:rsid w:val="00843F8F"/>
    <w:rsid w:val="00851F0C"/>
    <w:rsid w:val="00855ADD"/>
    <w:rsid w:val="00863BCC"/>
    <w:rsid w:val="00866FA5"/>
    <w:rsid w:val="00870AD2"/>
    <w:rsid w:val="008746A1"/>
    <w:rsid w:val="00876F13"/>
    <w:rsid w:val="00890B4A"/>
    <w:rsid w:val="00891FC7"/>
    <w:rsid w:val="0089734B"/>
    <w:rsid w:val="008A00C3"/>
    <w:rsid w:val="008A1AFF"/>
    <w:rsid w:val="008A5127"/>
    <w:rsid w:val="008B611F"/>
    <w:rsid w:val="008C0223"/>
    <w:rsid w:val="008C64DB"/>
    <w:rsid w:val="008D0E1C"/>
    <w:rsid w:val="008D2E9D"/>
    <w:rsid w:val="008D5AD4"/>
    <w:rsid w:val="008E18F0"/>
    <w:rsid w:val="009005BC"/>
    <w:rsid w:val="00905A79"/>
    <w:rsid w:val="009130FB"/>
    <w:rsid w:val="0091636E"/>
    <w:rsid w:val="00921D10"/>
    <w:rsid w:val="00935273"/>
    <w:rsid w:val="00935365"/>
    <w:rsid w:val="00943907"/>
    <w:rsid w:val="00962F66"/>
    <w:rsid w:val="0097291A"/>
    <w:rsid w:val="009761FB"/>
    <w:rsid w:val="00980F8F"/>
    <w:rsid w:val="00986819"/>
    <w:rsid w:val="00993439"/>
    <w:rsid w:val="009964D5"/>
    <w:rsid w:val="00997D58"/>
    <w:rsid w:val="009A2059"/>
    <w:rsid w:val="009D525E"/>
    <w:rsid w:val="009D6E2B"/>
    <w:rsid w:val="009E2D6A"/>
    <w:rsid w:val="009E38CE"/>
    <w:rsid w:val="009F0BBC"/>
    <w:rsid w:val="009F1308"/>
    <w:rsid w:val="009F586B"/>
    <w:rsid w:val="009F5BB4"/>
    <w:rsid w:val="00A03A81"/>
    <w:rsid w:val="00A046FB"/>
    <w:rsid w:val="00A04BAC"/>
    <w:rsid w:val="00A16744"/>
    <w:rsid w:val="00A24347"/>
    <w:rsid w:val="00A25472"/>
    <w:rsid w:val="00A2609B"/>
    <w:rsid w:val="00A2728B"/>
    <w:rsid w:val="00A35A63"/>
    <w:rsid w:val="00A4588D"/>
    <w:rsid w:val="00A529DB"/>
    <w:rsid w:val="00A57ADD"/>
    <w:rsid w:val="00A6176B"/>
    <w:rsid w:val="00A73A29"/>
    <w:rsid w:val="00A7467D"/>
    <w:rsid w:val="00A76371"/>
    <w:rsid w:val="00A772D4"/>
    <w:rsid w:val="00A83655"/>
    <w:rsid w:val="00A845D4"/>
    <w:rsid w:val="00A8597C"/>
    <w:rsid w:val="00A9182A"/>
    <w:rsid w:val="00A929A6"/>
    <w:rsid w:val="00A9373D"/>
    <w:rsid w:val="00A95FDA"/>
    <w:rsid w:val="00A96B6E"/>
    <w:rsid w:val="00AA3E68"/>
    <w:rsid w:val="00AB0107"/>
    <w:rsid w:val="00AB21C3"/>
    <w:rsid w:val="00AB5AAB"/>
    <w:rsid w:val="00AC4A77"/>
    <w:rsid w:val="00AD1D93"/>
    <w:rsid w:val="00AD7B18"/>
    <w:rsid w:val="00AE0EB5"/>
    <w:rsid w:val="00AE618E"/>
    <w:rsid w:val="00AF356E"/>
    <w:rsid w:val="00B0016B"/>
    <w:rsid w:val="00B14BED"/>
    <w:rsid w:val="00B273B8"/>
    <w:rsid w:val="00B30656"/>
    <w:rsid w:val="00B33EA7"/>
    <w:rsid w:val="00B42FA9"/>
    <w:rsid w:val="00B46C96"/>
    <w:rsid w:val="00B53D54"/>
    <w:rsid w:val="00B6417E"/>
    <w:rsid w:val="00B76AC5"/>
    <w:rsid w:val="00B84C12"/>
    <w:rsid w:val="00B86362"/>
    <w:rsid w:val="00B902BC"/>
    <w:rsid w:val="00B903BE"/>
    <w:rsid w:val="00BB72DC"/>
    <w:rsid w:val="00BB76E9"/>
    <w:rsid w:val="00BB7FFC"/>
    <w:rsid w:val="00BC4FEC"/>
    <w:rsid w:val="00BC7623"/>
    <w:rsid w:val="00BD1AA7"/>
    <w:rsid w:val="00BF03A0"/>
    <w:rsid w:val="00BF1DBD"/>
    <w:rsid w:val="00BF4A54"/>
    <w:rsid w:val="00C21F22"/>
    <w:rsid w:val="00C3438F"/>
    <w:rsid w:val="00C40919"/>
    <w:rsid w:val="00C41B48"/>
    <w:rsid w:val="00C43258"/>
    <w:rsid w:val="00C47E90"/>
    <w:rsid w:val="00C577C6"/>
    <w:rsid w:val="00C63E0C"/>
    <w:rsid w:val="00C675E3"/>
    <w:rsid w:val="00C71C77"/>
    <w:rsid w:val="00C82B68"/>
    <w:rsid w:val="00C92BD4"/>
    <w:rsid w:val="00C95E02"/>
    <w:rsid w:val="00C97C92"/>
    <w:rsid w:val="00CA5929"/>
    <w:rsid w:val="00CC2486"/>
    <w:rsid w:val="00CC249A"/>
    <w:rsid w:val="00CC68BA"/>
    <w:rsid w:val="00CE567D"/>
    <w:rsid w:val="00D03D31"/>
    <w:rsid w:val="00D171B6"/>
    <w:rsid w:val="00D26F40"/>
    <w:rsid w:val="00D302F7"/>
    <w:rsid w:val="00D3228D"/>
    <w:rsid w:val="00D362C0"/>
    <w:rsid w:val="00D41D2A"/>
    <w:rsid w:val="00D42F51"/>
    <w:rsid w:val="00D433AE"/>
    <w:rsid w:val="00D509BD"/>
    <w:rsid w:val="00D5147E"/>
    <w:rsid w:val="00D561CF"/>
    <w:rsid w:val="00D61D6F"/>
    <w:rsid w:val="00D635D7"/>
    <w:rsid w:val="00D66C0D"/>
    <w:rsid w:val="00D746FD"/>
    <w:rsid w:val="00D766F9"/>
    <w:rsid w:val="00D87F92"/>
    <w:rsid w:val="00D92D96"/>
    <w:rsid w:val="00DA0CCF"/>
    <w:rsid w:val="00DA75FB"/>
    <w:rsid w:val="00DA7968"/>
    <w:rsid w:val="00DB6121"/>
    <w:rsid w:val="00DC2B31"/>
    <w:rsid w:val="00DC4EDD"/>
    <w:rsid w:val="00DD0667"/>
    <w:rsid w:val="00DD303B"/>
    <w:rsid w:val="00DD34D3"/>
    <w:rsid w:val="00DE5D79"/>
    <w:rsid w:val="00E10325"/>
    <w:rsid w:val="00E10FA6"/>
    <w:rsid w:val="00E1117F"/>
    <w:rsid w:val="00E14882"/>
    <w:rsid w:val="00E20C06"/>
    <w:rsid w:val="00E2126A"/>
    <w:rsid w:val="00E23CEF"/>
    <w:rsid w:val="00E33531"/>
    <w:rsid w:val="00E367DF"/>
    <w:rsid w:val="00E47094"/>
    <w:rsid w:val="00E61477"/>
    <w:rsid w:val="00E678C2"/>
    <w:rsid w:val="00E728A6"/>
    <w:rsid w:val="00E72EA2"/>
    <w:rsid w:val="00E741B1"/>
    <w:rsid w:val="00E94DF9"/>
    <w:rsid w:val="00EA043E"/>
    <w:rsid w:val="00EA438E"/>
    <w:rsid w:val="00EA63C9"/>
    <w:rsid w:val="00EB08AA"/>
    <w:rsid w:val="00EB7FF6"/>
    <w:rsid w:val="00EC0DDB"/>
    <w:rsid w:val="00EC3DE9"/>
    <w:rsid w:val="00ED3B21"/>
    <w:rsid w:val="00EE273C"/>
    <w:rsid w:val="00EF4F79"/>
    <w:rsid w:val="00F0145A"/>
    <w:rsid w:val="00F021B7"/>
    <w:rsid w:val="00F17514"/>
    <w:rsid w:val="00F2209D"/>
    <w:rsid w:val="00F24CEA"/>
    <w:rsid w:val="00F27379"/>
    <w:rsid w:val="00F339FB"/>
    <w:rsid w:val="00F42FAA"/>
    <w:rsid w:val="00F440EF"/>
    <w:rsid w:val="00F45046"/>
    <w:rsid w:val="00F56B4D"/>
    <w:rsid w:val="00F6714A"/>
    <w:rsid w:val="00F7571F"/>
    <w:rsid w:val="00F76ADA"/>
    <w:rsid w:val="00F837BB"/>
    <w:rsid w:val="00F8452F"/>
    <w:rsid w:val="00F868AD"/>
    <w:rsid w:val="00F95DDE"/>
    <w:rsid w:val="00FC273C"/>
    <w:rsid w:val="00FC7AAA"/>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1F6"/>
  </w:style>
  <w:style w:type="paragraph" w:styleId="Heading1">
    <w:name w:val="heading 1"/>
    <w:basedOn w:val="Normal"/>
    <w:next w:val="Normal"/>
    <w:link w:val="Heading1Char"/>
    <w:uiPriority w:val="9"/>
    <w:qFormat/>
    <w:rsid w:val="00BF03A0"/>
    <w:pPr>
      <w:keepNext/>
      <w:keepLines/>
      <w:spacing w:after="240"/>
      <w:ind w:left="720" w:hanging="720"/>
      <w:outlineLvl w:val="0"/>
    </w:pPr>
    <w:rPr>
      <w:rFonts w:ascii="Times New Roman Bold" w:eastAsiaTheme="majorEastAsia" w:hAnsi="Times New Roman Bold" w:cstheme="majorBidi"/>
      <w:b/>
      <w:color w:val="auto"/>
      <w:szCs w:val="32"/>
    </w:rPr>
  </w:style>
  <w:style w:type="paragraph" w:styleId="Heading2">
    <w:name w:val="heading 2"/>
    <w:basedOn w:val="Normal"/>
    <w:next w:val="Normal"/>
    <w:link w:val="Heading2Char"/>
    <w:uiPriority w:val="9"/>
    <w:unhideWhenUsed/>
    <w:qFormat/>
    <w:rsid w:val="00BF03A0"/>
    <w:pPr>
      <w:keepNext/>
      <w:keepLines/>
      <w:spacing w:after="240"/>
      <w:ind w:left="1440" w:hanging="720"/>
      <w:outlineLvl w:val="1"/>
    </w:pPr>
    <w:rPr>
      <w:rFonts w:ascii="Times New Roman Bold" w:eastAsiaTheme="majorEastAsia" w:hAnsi="Times New Roman Bold" w:cstheme="majorBidi"/>
      <w:b/>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076046"/>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076046"/>
    <w:rPr>
      <w:sz w:val="20"/>
      <w:szCs w:val="20"/>
    </w:rPr>
  </w:style>
  <w:style w:type="character" w:styleId="FootnoteReference">
    <w:name w:val="footnote reference"/>
    <w:basedOn w:val="DefaultParagraphFont"/>
    <w:uiPriority w:val="99"/>
    <w:semiHidden/>
    <w:unhideWhenUsed/>
    <w:rsid w:val="00076046"/>
    <w:rPr>
      <w:vertAlign w:val="superscript"/>
    </w:rPr>
  </w:style>
  <w:style w:type="paragraph" w:styleId="Header">
    <w:name w:val="header"/>
    <w:basedOn w:val="Normal"/>
    <w:link w:val="HeaderChar"/>
    <w:uiPriority w:val="99"/>
    <w:unhideWhenUsed/>
    <w:rsid w:val="00AE0EB5"/>
    <w:pPr>
      <w:tabs>
        <w:tab w:val="center" w:pos="4680"/>
        <w:tab w:val="right" w:pos="9360"/>
      </w:tabs>
    </w:pPr>
  </w:style>
  <w:style w:type="character" w:customStyle="1" w:styleId="HeaderChar">
    <w:name w:val="Header Char"/>
    <w:basedOn w:val="DefaultParagraphFont"/>
    <w:link w:val="Header"/>
    <w:uiPriority w:val="99"/>
    <w:rsid w:val="00AE0EB5"/>
  </w:style>
  <w:style w:type="paragraph" w:styleId="Footer">
    <w:name w:val="footer"/>
    <w:basedOn w:val="Normal"/>
    <w:link w:val="FooterChar"/>
    <w:uiPriority w:val="99"/>
    <w:unhideWhenUsed/>
    <w:rsid w:val="00AE0EB5"/>
    <w:pPr>
      <w:tabs>
        <w:tab w:val="center" w:pos="4680"/>
        <w:tab w:val="right" w:pos="9360"/>
      </w:tabs>
    </w:pPr>
  </w:style>
  <w:style w:type="character" w:customStyle="1" w:styleId="FooterChar">
    <w:name w:val="Footer Char"/>
    <w:basedOn w:val="DefaultParagraphFont"/>
    <w:link w:val="Footer"/>
    <w:uiPriority w:val="99"/>
    <w:rsid w:val="00AE0EB5"/>
  </w:style>
  <w:style w:type="paragraph" w:customStyle="1" w:styleId="Default">
    <w:name w:val="Default"/>
    <w:rsid w:val="00843F8F"/>
    <w:pPr>
      <w:autoSpaceDE w:val="0"/>
      <w:autoSpaceDN w:val="0"/>
      <w:adjustRightInd w:val="0"/>
    </w:pPr>
    <w:rPr>
      <w:szCs w:val="24"/>
    </w:rPr>
  </w:style>
  <w:style w:type="character" w:styleId="Hyperlink">
    <w:name w:val="Hyperlink"/>
    <w:basedOn w:val="DefaultParagraphFont"/>
    <w:uiPriority w:val="99"/>
    <w:unhideWhenUsed/>
    <w:rsid w:val="00962F66"/>
    <w:rPr>
      <w:color w:val="0000FF"/>
      <w:u w:val="single"/>
    </w:rPr>
  </w:style>
  <w:style w:type="paragraph" w:styleId="BalloonText">
    <w:name w:val="Balloon Text"/>
    <w:basedOn w:val="Normal"/>
    <w:link w:val="BalloonTextChar"/>
    <w:uiPriority w:val="99"/>
    <w:semiHidden/>
    <w:unhideWhenUsed/>
    <w:rsid w:val="004D0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EC"/>
    <w:rPr>
      <w:rFonts w:ascii="Segoe UI" w:hAnsi="Segoe UI" w:cs="Segoe UI"/>
      <w:sz w:val="18"/>
      <w:szCs w:val="18"/>
    </w:rPr>
  </w:style>
  <w:style w:type="paragraph" w:styleId="ListParagraph">
    <w:name w:val="List Paragraph"/>
    <w:basedOn w:val="Normal"/>
    <w:uiPriority w:val="34"/>
    <w:qFormat/>
    <w:rsid w:val="00612465"/>
    <w:pPr>
      <w:spacing w:after="200" w:line="276" w:lineRule="auto"/>
      <w:ind w:left="720"/>
      <w:contextualSpacing/>
    </w:pPr>
    <w:rPr>
      <w:rFonts w:ascii="Calibri" w:eastAsia="Calibri" w:hAnsi="Calibri"/>
      <w:bCs w:val="0"/>
      <w:color w:val="auto"/>
      <w:sz w:val="22"/>
      <w:szCs w:val="22"/>
    </w:rPr>
  </w:style>
  <w:style w:type="paragraph" w:styleId="Title">
    <w:name w:val="Title"/>
    <w:basedOn w:val="Normal"/>
    <w:next w:val="Normal"/>
    <w:link w:val="TitleChar"/>
    <w:uiPriority w:val="10"/>
    <w:qFormat/>
    <w:rsid w:val="00855ADD"/>
    <w:pPr>
      <w:contextualSpacing/>
      <w:jc w:val="center"/>
    </w:pPr>
    <w:rPr>
      <w:rFonts w:eastAsia="Calibri"/>
      <w:b/>
      <w:color w:val="auto"/>
      <w:szCs w:val="24"/>
    </w:rPr>
  </w:style>
  <w:style w:type="character" w:customStyle="1" w:styleId="TitleChar">
    <w:name w:val="Title Char"/>
    <w:basedOn w:val="DefaultParagraphFont"/>
    <w:link w:val="Title"/>
    <w:uiPriority w:val="10"/>
    <w:rsid w:val="00855ADD"/>
    <w:rPr>
      <w:rFonts w:eastAsia="Calibri"/>
      <w:b/>
      <w:color w:val="auto"/>
      <w:szCs w:val="24"/>
    </w:rPr>
  </w:style>
  <w:style w:type="character" w:styleId="CommentReference">
    <w:name w:val="annotation reference"/>
    <w:basedOn w:val="DefaultParagraphFont"/>
    <w:uiPriority w:val="99"/>
    <w:semiHidden/>
    <w:unhideWhenUsed/>
    <w:rsid w:val="008A5127"/>
    <w:rPr>
      <w:sz w:val="16"/>
      <w:szCs w:val="16"/>
    </w:rPr>
  </w:style>
  <w:style w:type="paragraph" w:styleId="CommentText">
    <w:name w:val="annotation text"/>
    <w:basedOn w:val="Normal"/>
    <w:link w:val="CommentTextChar"/>
    <w:unhideWhenUsed/>
    <w:rsid w:val="008A5127"/>
    <w:rPr>
      <w:sz w:val="20"/>
      <w:szCs w:val="20"/>
    </w:rPr>
  </w:style>
  <w:style w:type="character" w:customStyle="1" w:styleId="CommentTextChar">
    <w:name w:val="Comment Text Char"/>
    <w:basedOn w:val="DefaultParagraphFont"/>
    <w:link w:val="CommentText"/>
    <w:rsid w:val="008A5127"/>
    <w:rPr>
      <w:sz w:val="20"/>
      <w:szCs w:val="20"/>
    </w:rPr>
  </w:style>
  <w:style w:type="paragraph" w:styleId="CommentSubject">
    <w:name w:val="annotation subject"/>
    <w:basedOn w:val="CommentText"/>
    <w:next w:val="CommentText"/>
    <w:link w:val="CommentSubjectChar"/>
    <w:uiPriority w:val="99"/>
    <w:semiHidden/>
    <w:unhideWhenUsed/>
    <w:rsid w:val="008A5127"/>
    <w:rPr>
      <w:b/>
    </w:rPr>
  </w:style>
  <w:style w:type="character" w:customStyle="1" w:styleId="CommentSubjectChar">
    <w:name w:val="Comment Subject Char"/>
    <w:basedOn w:val="CommentTextChar"/>
    <w:link w:val="CommentSubject"/>
    <w:uiPriority w:val="99"/>
    <w:semiHidden/>
    <w:rsid w:val="008A5127"/>
    <w:rPr>
      <w:b/>
      <w:sz w:val="20"/>
      <w:szCs w:val="20"/>
    </w:rPr>
  </w:style>
  <w:style w:type="paragraph" w:styleId="BodyText">
    <w:name w:val="Body Text"/>
    <w:basedOn w:val="Normal"/>
    <w:link w:val="BodyTextChar"/>
    <w:uiPriority w:val="99"/>
    <w:rsid w:val="00001F07"/>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sid w:val="00001F07"/>
    <w:rPr>
      <w:rFonts w:eastAsia="Times New Roman"/>
      <w:bCs w:val="0"/>
      <w:color w:val="auto"/>
      <w:szCs w:val="24"/>
    </w:rPr>
  </w:style>
  <w:style w:type="table" w:styleId="TableGrid">
    <w:name w:val="Table Grid"/>
    <w:basedOn w:val="TableNormal"/>
    <w:rsid w:val="00001F07"/>
    <w:rPr>
      <w:rFonts w:eastAsia="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3A0"/>
    <w:rPr>
      <w:rFonts w:ascii="Times New Roman Bold" w:eastAsiaTheme="majorEastAsia" w:hAnsi="Times New Roman Bold" w:cstheme="majorBidi"/>
      <w:b/>
      <w:color w:val="auto"/>
      <w:szCs w:val="32"/>
    </w:rPr>
  </w:style>
  <w:style w:type="character" w:customStyle="1" w:styleId="Heading2Char">
    <w:name w:val="Heading 2 Char"/>
    <w:basedOn w:val="DefaultParagraphFont"/>
    <w:link w:val="Heading2"/>
    <w:uiPriority w:val="9"/>
    <w:rsid w:val="00BF03A0"/>
    <w:rPr>
      <w:rFonts w:ascii="Times New Roman Bold" w:eastAsiaTheme="majorEastAsia" w:hAnsi="Times New Roman Bold" w:cstheme="majorBidi"/>
      <w:b/>
      <w:color w:val="auto"/>
      <w:szCs w:val="26"/>
    </w:rPr>
  </w:style>
  <w:style w:type="paragraph" w:styleId="TOC2">
    <w:name w:val="toc 2"/>
    <w:basedOn w:val="Normal"/>
    <w:next w:val="Normal"/>
    <w:autoRedefine/>
    <w:uiPriority w:val="39"/>
    <w:unhideWhenUsed/>
    <w:rsid w:val="0033189A"/>
    <w:pPr>
      <w:spacing w:after="240"/>
      <w:ind w:left="1440" w:hanging="720"/>
    </w:pPr>
  </w:style>
  <w:style w:type="paragraph" w:styleId="TOC1">
    <w:name w:val="toc 1"/>
    <w:basedOn w:val="Normal"/>
    <w:next w:val="Normal"/>
    <w:autoRedefine/>
    <w:uiPriority w:val="39"/>
    <w:unhideWhenUsed/>
    <w:rsid w:val="0033189A"/>
    <w:pPr>
      <w:tabs>
        <w:tab w:val="decimal" w:leader="dot" w:pos="9360"/>
      </w:tabs>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michael@occ.ohio.gov" TargetMode="External"/><Relationship Id="rId13" Type="http://schemas.openxmlformats.org/officeDocument/2006/relationships/hyperlink" Target="mailto:william.michael@occ.ohio.gov" TargetMode="External"/><Relationship Id="rId18" Type="http://schemas.openxmlformats.org/officeDocument/2006/relationships/hyperlink" Target="mailto:michael.williams@puco.ohio.gov" TargetMode="External"/><Relationship Id="rId3" Type="http://schemas.openxmlformats.org/officeDocument/2006/relationships/styles" Target="styles.xml"/><Relationship Id="rId21" Type="http://schemas.openxmlformats.org/officeDocument/2006/relationships/hyperlink" Target="mailto:donadio@carpenterlipps.com" TargetMode="External"/><Relationship Id="rId7" Type="http://schemas.openxmlformats.org/officeDocument/2006/relationships/endnotes" Target="endnotes.xml"/><Relationship Id="rId12" Type="http://schemas.openxmlformats.org/officeDocument/2006/relationships/hyperlink" Target="http://codes.ohio.gov/oac/4901-1-16" TargetMode="External"/><Relationship Id="rId17" Type="http://schemas.openxmlformats.org/officeDocument/2006/relationships/hyperlink" Target="mailto:patricia.schabo@puco.ohio.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homas.lindgren@ohioattorneygeneral.gov" TargetMode="External"/><Relationship Id="rId20" Type="http://schemas.openxmlformats.org/officeDocument/2006/relationships/hyperlink" Target="mailto:bojko@carpenterlip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yle.kern@ohioattorneygeneral.gov"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paul@carpenterlipps.com" TargetMode="External"/><Relationship Id="rId4" Type="http://schemas.openxmlformats.org/officeDocument/2006/relationships/settings" Target="settings.xml"/><Relationship Id="rId9" Type="http://schemas.openxmlformats.org/officeDocument/2006/relationships/hyperlink" Target="mailto:john.finnigan@occ.ohio.gov" TargetMode="External"/><Relationship Id="rId14" Type="http://schemas.openxmlformats.org/officeDocument/2006/relationships/hyperlink" Target="mailto:john.finnigan@occ.ohio.gov" TargetMode="External"/><Relationship Id="rId22" Type="http://schemas.openxmlformats.org/officeDocument/2006/relationships/hyperlink" Target="mailto:randall.griffin@ae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des.ohio.gov/NLLXML/ohiocodesGetcode.aspx?userid=PRODSG&amp;interface=OHCODES&amp;statecd=OH&amp;codesec=4901-1-24&amp;sessionyr=2020&amp;Title=4901&amp;datatype=D&amp;noheader=0&amp;nojumpmsg=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2A9C-ADEB-49E2-B3CF-EF220079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2650</Words>
  <Characters>14926</Characters>
  <Application>Microsoft Office Word</Application>
  <DocSecurity>0</DocSecurity>
  <Lines>240</Lines>
  <Paragraphs>278</Paragraphs>
  <ScaleCrop>false</ScaleCrop>
  <HeadingPairs>
    <vt:vector size="2" baseType="variant">
      <vt:variant>
        <vt:lpstr>Title</vt:lpstr>
      </vt:variant>
      <vt:variant>
        <vt:i4>1</vt:i4>
      </vt:variant>
    </vt:vector>
  </HeadingPairs>
  <TitlesOfParts>
    <vt:vector size="1" baseType="lpstr">
      <vt:lpstr>Draft OCC-OMAEG Memo Contra;  DPL Motion to Quash (20-165-EL-RDR) (818461).DOCX</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2021-12-01T19:29:00Z</dcterms:created>
  <dcterms:modified xsi:type="dcterms:W3CDTF">2021-12-01T19:43:00Z</dcterms:modified>
</cp:coreProperties>
</file>