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A0" w:rsidRPr="00B55D3F" w:rsidRDefault="007063A0" w:rsidP="007162D9">
      <w:pPr>
        <w:pStyle w:val="Closing"/>
        <w:ind w:left="5760"/>
        <w:rPr>
          <w:i/>
        </w:rPr>
      </w:pPr>
      <w:bookmarkStart w:id="0" w:name="_GoBack"/>
      <w:bookmarkEnd w:id="0"/>
      <w:r w:rsidRPr="00B55D3F">
        <w:rPr>
          <w:i/>
        </w:rPr>
        <w:t>OCC EXHIBIT</w:t>
      </w:r>
      <w:r w:rsidR="00B55D3F" w:rsidRPr="00B55D3F">
        <w:rPr>
          <w:i/>
        </w:rPr>
        <w:t xml:space="preserve"> NO.</w:t>
      </w:r>
      <w:r w:rsidRPr="00B55D3F">
        <w:rPr>
          <w:i/>
        </w:rPr>
        <w:t xml:space="preserve"> _____</w:t>
      </w:r>
    </w:p>
    <w:p w:rsidR="007063A0" w:rsidRDefault="007063A0" w:rsidP="00305489">
      <w:pPr>
        <w:jc w:val="center"/>
        <w:rPr>
          <w:b/>
          <w:szCs w:val="24"/>
        </w:rPr>
      </w:pPr>
    </w:p>
    <w:p w:rsidR="007063A0" w:rsidRDefault="007063A0" w:rsidP="00305489">
      <w:pPr>
        <w:jc w:val="center"/>
        <w:rPr>
          <w:b/>
          <w:szCs w:val="24"/>
        </w:rPr>
      </w:pPr>
    </w:p>
    <w:p w:rsidR="007063A0" w:rsidRDefault="007063A0" w:rsidP="00305489">
      <w:pPr>
        <w:jc w:val="center"/>
        <w:rPr>
          <w:b/>
          <w:szCs w:val="24"/>
        </w:rPr>
      </w:pPr>
      <w:r>
        <w:rPr>
          <w:b/>
          <w:szCs w:val="24"/>
        </w:rPr>
        <w:t>BEFORE</w:t>
      </w:r>
    </w:p>
    <w:p w:rsidR="007063A0" w:rsidRDefault="007063A0" w:rsidP="00305489">
      <w:pPr>
        <w:jc w:val="center"/>
        <w:rPr>
          <w:b/>
          <w:szCs w:val="24"/>
        </w:rPr>
      </w:pPr>
      <w:r>
        <w:rPr>
          <w:b/>
          <w:szCs w:val="24"/>
        </w:rPr>
        <w:t>THE PUBLIC UTILITIES COMMISSION OF OHIO</w:t>
      </w:r>
    </w:p>
    <w:p w:rsidR="005C2637" w:rsidRPr="005C2637" w:rsidRDefault="005C2637" w:rsidP="005C2637">
      <w:pPr>
        <w:jc w:val="center"/>
        <w:rPr>
          <w:rFonts w:eastAsia="Times New Roman"/>
          <w:b/>
          <w:szCs w:val="24"/>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9092" w:type="dxa"/>
        <w:tblLook w:val="01E0" w:firstRow="1" w:lastRow="1" w:firstColumn="1" w:lastColumn="1" w:noHBand="0" w:noVBand="0"/>
      </w:tblPr>
      <w:tblGrid>
        <w:gridCol w:w="4332"/>
        <w:gridCol w:w="360"/>
        <w:gridCol w:w="4400"/>
      </w:tblGrid>
      <w:tr w:rsidR="005C2637" w:rsidRPr="005C2637" w:rsidTr="00E30F2B">
        <w:trPr>
          <w:trHeight w:val="807"/>
        </w:trPr>
        <w:tc>
          <w:tcPr>
            <w:tcW w:w="4332" w:type="dxa"/>
            <w:shd w:val="clear" w:color="auto" w:fill="auto"/>
          </w:tcPr>
          <w:p w:rsidR="005C2637" w:rsidRPr="005C2637" w:rsidRDefault="005C2637" w:rsidP="005C2637">
            <w:pPr>
              <w:autoSpaceDE w:val="0"/>
              <w:autoSpaceDN w:val="0"/>
              <w:adjustRightInd w:val="0"/>
              <w:rPr>
                <w:rFonts w:eastAsia="Times New Roman"/>
                <w:szCs w:val="24"/>
              </w:rPr>
            </w:pPr>
            <w:r w:rsidRPr="005C2637">
              <w:rPr>
                <w:rFonts w:eastAsia="Times New Roman"/>
                <w:szCs w:val="24"/>
              </w:rPr>
              <w:t>In the Matter of the Application of Duke</w:t>
            </w:r>
          </w:p>
          <w:p w:rsidR="005C2637" w:rsidRPr="005C2637" w:rsidRDefault="005C2637" w:rsidP="005C2637">
            <w:pPr>
              <w:autoSpaceDE w:val="0"/>
              <w:autoSpaceDN w:val="0"/>
              <w:adjustRightInd w:val="0"/>
              <w:rPr>
                <w:rFonts w:eastAsia="Times New Roman"/>
                <w:szCs w:val="24"/>
              </w:rPr>
            </w:pPr>
            <w:r w:rsidRPr="005C2637">
              <w:rPr>
                <w:rFonts w:eastAsia="Times New Roman"/>
                <w:szCs w:val="24"/>
              </w:rPr>
              <w:t>Energy Ohio for Authority to Establish a</w:t>
            </w:r>
          </w:p>
          <w:p w:rsidR="005C2637" w:rsidRPr="005C2637" w:rsidRDefault="005C2637" w:rsidP="005C2637">
            <w:pPr>
              <w:autoSpaceDE w:val="0"/>
              <w:autoSpaceDN w:val="0"/>
              <w:adjustRightInd w:val="0"/>
              <w:rPr>
                <w:rFonts w:eastAsia="Times New Roman"/>
                <w:szCs w:val="24"/>
              </w:rPr>
            </w:pPr>
            <w:r w:rsidRPr="005C2637">
              <w:rPr>
                <w:rFonts w:eastAsia="Times New Roman"/>
                <w:szCs w:val="24"/>
              </w:rPr>
              <w:t>Standard Service Offer Pursuant to Section 4928.143, Revised Code, in the Form of an Electric Security Plan, Accounting Modifications and Tariffs for Generation Service.</w:t>
            </w:r>
          </w:p>
          <w:p w:rsidR="005C2637" w:rsidRPr="005C2637" w:rsidRDefault="005C2637" w:rsidP="005C2637">
            <w:pPr>
              <w:autoSpaceDE w:val="0"/>
              <w:autoSpaceDN w:val="0"/>
              <w:adjustRightInd w:val="0"/>
              <w:rPr>
                <w:rFonts w:eastAsia="Times New Roman"/>
                <w:szCs w:val="24"/>
              </w:rPr>
            </w:pPr>
          </w:p>
          <w:p w:rsidR="005C2637" w:rsidRPr="005C2637" w:rsidRDefault="005C2637" w:rsidP="005C2637">
            <w:pPr>
              <w:autoSpaceDE w:val="0"/>
              <w:autoSpaceDN w:val="0"/>
              <w:adjustRightInd w:val="0"/>
              <w:rPr>
                <w:rFonts w:eastAsia="Times New Roman"/>
                <w:szCs w:val="24"/>
              </w:rPr>
            </w:pPr>
            <w:r w:rsidRPr="005C2637">
              <w:rPr>
                <w:rFonts w:eastAsia="Times New Roman"/>
                <w:szCs w:val="24"/>
              </w:rPr>
              <w:t>In the Matter of the Application of Duke</w:t>
            </w:r>
          </w:p>
          <w:p w:rsidR="005C2637" w:rsidRPr="005C2637" w:rsidRDefault="005C2637" w:rsidP="005C2637">
            <w:pPr>
              <w:autoSpaceDE w:val="0"/>
              <w:autoSpaceDN w:val="0"/>
              <w:adjustRightInd w:val="0"/>
              <w:rPr>
                <w:rFonts w:eastAsia="Times New Roman"/>
                <w:szCs w:val="24"/>
              </w:rPr>
            </w:pPr>
            <w:r w:rsidRPr="005C2637">
              <w:rPr>
                <w:rFonts w:eastAsia="Times New Roman"/>
                <w:szCs w:val="24"/>
              </w:rPr>
              <w:t>Energy Ohio for Authority to Amend its</w:t>
            </w:r>
          </w:p>
          <w:p w:rsidR="005C2637" w:rsidRPr="005C2637" w:rsidRDefault="005C2637" w:rsidP="005C2637">
            <w:pPr>
              <w:rPr>
                <w:rFonts w:eastAsia="Times New Roman"/>
                <w:szCs w:val="24"/>
              </w:rPr>
            </w:pPr>
            <w:r w:rsidRPr="005C2637">
              <w:rPr>
                <w:rFonts w:eastAsia="Times New Roman"/>
                <w:szCs w:val="24"/>
              </w:rPr>
              <w:t xml:space="preserve">Certified Supplier Tariff, P.U.C.O. </w:t>
            </w:r>
          </w:p>
          <w:p w:rsidR="005C2637" w:rsidRPr="005C2637" w:rsidRDefault="005C2637" w:rsidP="005C2637">
            <w:pPr>
              <w:rPr>
                <w:rFonts w:eastAsia="Times New Roman"/>
                <w:szCs w:val="24"/>
              </w:rPr>
            </w:pPr>
            <w:r w:rsidRPr="005C2637">
              <w:rPr>
                <w:rFonts w:eastAsia="Times New Roman"/>
                <w:szCs w:val="24"/>
              </w:rPr>
              <w:t xml:space="preserve">No. 20. </w:t>
            </w:r>
          </w:p>
        </w:tc>
        <w:tc>
          <w:tcPr>
            <w:tcW w:w="360" w:type="dxa"/>
            <w:shd w:val="clear" w:color="auto" w:fill="auto"/>
          </w:tcPr>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w:t>
            </w:r>
          </w:p>
        </w:tc>
        <w:tc>
          <w:tcPr>
            <w:tcW w:w="4400" w:type="dxa"/>
            <w:shd w:val="clear" w:color="auto" w:fill="auto"/>
          </w:tcPr>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080541" w:rsidRDefault="00080541"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080541" w:rsidRDefault="00080541"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Case No. 14-841-EL-SSO</w:t>
            </w: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5C2637" w:rsidRPr="005C2637" w:rsidRDefault="005C2637" w:rsidP="005C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5C2637">
              <w:rPr>
                <w:rFonts w:eastAsia="Courier New" w:cs="Courier New"/>
              </w:rPr>
              <w:t>Case No. 14-842-EL-ATA</w:t>
            </w:r>
          </w:p>
        </w:tc>
      </w:tr>
    </w:tbl>
    <w:p w:rsidR="00316E16" w:rsidRDefault="00316E16" w:rsidP="000D22CC">
      <w:pPr>
        <w:jc w:val="center"/>
        <w:rPr>
          <w:color w:val="993300"/>
          <w:szCs w:val="24"/>
        </w:rPr>
      </w:pPr>
    </w:p>
    <w:p w:rsidR="007063A0" w:rsidRDefault="007063A0" w:rsidP="00305489">
      <w:pPr>
        <w:pStyle w:val="PlainText"/>
        <w:jc w:val="center"/>
        <w:rPr>
          <w:rFonts w:ascii="Times New Roman" w:hAnsi="Times New Roman"/>
          <w:b/>
          <w:bCs/>
          <w:sz w:val="24"/>
          <w:szCs w:val="24"/>
        </w:rPr>
      </w:pPr>
    </w:p>
    <w:p w:rsidR="007063A0" w:rsidRDefault="007063A0" w:rsidP="00305489">
      <w:pPr>
        <w:pStyle w:val="PlainText"/>
        <w:jc w:val="center"/>
        <w:rPr>
          <w:rFonts w:ascii="Times New Roman" w:hAnsi="Times New Roman"/>
          <w:b/>
          <w:bCs/>
          <w:sz w:val="24"/>
          <w:szCs w:val="24"/>
        </w:rPr>
      </w:pPr>
    </w:p>
    <w:p w:rsidR="007063A0" w:rsidRDefault="007063A0" w:rsidP="00305489">
      <w:pPr>
        <w:pStyle w:val="PlainText"/>
        <w:jc w:val="center"/>
        <w:rPr>
          <w:rFonts w:ascii="Times New Roman" w:hAnsi="Times New Roman"/>
          <w:b/>
          <w:bCs/>
          <w:sz w:val="24"/>
          <w:szCs w:val="24"/>
        </w:rPr>
      </w:pPr>
      <w:r>
        <w:rPr>
          <w:rFonts w:ascii="Times New Roman" w:hAnsi="Times New Roman"/>
          <w:b/>
          <w:bCs/>
          <w:sz w:val="24"/>
          <w:szCs w:val="24"/>
        </w:rPr>
        <w:t>DIRECT TESTIMONY</w:t>
      </w:r>
    </w:p>
    <w:p w:rsidR="007063A0" w:rsidRDefault="007063A0" w:rsidP="00305489">
      <w:pPr>
        <w:pStyle w:val="PlainText"/>
        <w:jc w:val="center"/>
        <w:rPr>
          <w:rFonts w:ascii="Times New Roman" w:hAnsi="Times New Roman"/>
          <w:b/>
          <w:bCs/>
          <w:sz w:val="24"/>
          <w:szCs w:val="24"/>
        </w:rPr>
      </w:pPr>
      <w:r>
        <w:rPr>
          <w:rFonts w:ascii="Times New Roman" w:hAnsi="Times New Roman"/>
          <w:b/>
          <w:bCs/>
          <w:sz w:val="24"/>
          <w:szCs w:val="24"/>
        </w:rPr>
        <w:t>of</w:t>
      </w:r>
    </w:p>
    <w:p w:rsidR="007063A0" w:rsidRDefault="007063A0" w:rsidP="00305489">
      <w:pPr>
        <w:pStyle w:val="List2"/>
        <w:ind w:left="540" w:hanging="540"/>
        <w:jc w:val="center"/>
        <w:rPr>
          <w:b/>
          <w:szCs w:val="24"/>
        </w:rPr>
      </w:pPr>
      <w:r>
        <w:rPr>
          <w:b/>
        </w:rPr>
        <w:t>ANTHONY J. YANKEL</w:t>
      </w:r>
    </w:p>
    <w:p w:rsidR="007063A0" w:rsidRDefault="007063A0" w:rsidP="00305489">
      <w:pPr>
        <w:pStyle w:val="List2"/>
        <w:ind w:left="540" w:hanging="540"/>
        <w:jc w:val="center"/>
        <w:rPr>
          <w:szCs w:val="24"/>
        </w:rPr>
      </w:pPr>
    </w:p>
    <w:p w:rsidR="007063A0" w:rsidRDefault="007063A0" w:rsidP="00305489">
      <w:pPr>
        <w:pStyle w:val="List2"/>
        <w:ind w:left="540" w:hanging="540"/>
        <w:jc w:val="center"/>
        <w:rPr>
          <w:szCs w:val="24"/>
        </w:rPr>
      </w:pPr>
    </w:p>
    <w:p w:rsidR="007063A0" w:rsidRDefault="007063A0" w:rsidP="00305489">
      <w:pPr>
        <w:pStyle w:val="List2"/>
        <w:ind w:left="540" w:hanging="540"/>
        <w:jc w:val="center"/>
        <w:rPr>
          <w:szCs w:val="24"/>
        </w:rPr>
      </w:pPr>
    </w:p>
    <w:p w:rsidR="007063A0" w:rsidRDefault="007063A0" w:rsidP="00305489">
      <w:pPr>
        <w:pStyle w:val="List2"/>
        <w:ind w:left="540" w:hanging="540"/>
        <w:jc w:val="center"/>
        <w:rPr>
          <w:b/>
        </w:rPr>
      </w:pPr>
      <w:r>
        <w:rPr>
          <w:b/>
          <w:bCs/>
        </w:rPr>
        <w:t>O</w:t>
      </w:r>
      <w:r w:rsidR="00A35DEC">
        <w:rPr>
          <w:b/>
          <w:bCs/>
        </w:rPr>
        <w:t>n</w:t>
      </w:r>
      <w:r>
        <w:rPr>
          <w:b/>
          <w:bCs/>
        </w:rPr>
        <w:t xml:space="preserve"> B</w:t>
      </w:r>
      <w:r w:rsidR="00A35DEC">
        <w:rPr>
          <w:b/>
          <w:bCs/>
        </w:rPr>
        <w:t xml:space="preserve">ehalf of the </w:t>
      </w:r>
      <w:r w:rsidR="00A35DEC">
        <w:rPr>
          <w:b/>
          <w:bCs/>
        </w:rPr>
        <w:br/>
      </w:r>
      <w:r>
        <w:rPr>
          <w:b/>
        </w:rPr>
        <w:t>O</w:t>
      </w:r>
      <w:r w:rsidR="00A35DEC">
        <w:rPr>
          <w:b/>
        </w:rPr>
        <w:t>ffice of the Ohio Consumers’ Counsel</w:t>
      </w:r>
    </w:p>
    <w:p w:rsidR="007063A0" w:rsidRDefault="007063A0" w:rsidP="00305489">
      <w:pPr>
        <w:tabs>
          <w:tab w:val="right" w:pos="7200"/>
        </w:tabs>
        <w:jc w:val="center"/>
        <w:rPr>
          <w:i/>
          <w:szCs w:val="24"/>
        </w:rPr>
      </w:pPr>
      <w:r>
        <w:rPr>
          <w:i/>
          <w:szCs w:val="24"/>
        </w:rPr>
        <w:t>10 West Broad Street, 18</w:t>
      </w:r>
      <w:r>
        <w:rPr>
          <w:i/>
          <w:szCs w:val="24"/>
          <w:vertAlign w:val="superscript"/>
        </w:rPr>
        <w:t>th</w:t>
      </w:r>
      <w:r>
        <w:rPr>
          <w:i/>
          <w:szCs w:val="24"/>
        </w:rPr>
        <w:t xml:space="preserve"> Floor</w:t>
      </w:r>
    </w:p>
    <w:p w:rsidR="007063A0" w:rsidRDefault="007063A0" w:rsidP="00305489">
      <w:pPr>
        <w:tabs>
          <w:tab w:val="right" w:pos="7200"/>
        </w:tabs>
        <w:jc w:val="center"/>
        <w:rPr>
          <w:i/>
          <w:szCs w:val="24"/>
        </w:rPr>
      </w:pPr>
      <w:r>
        <w:rPr>
          <w:i/>
          <w:szCs w:val="24"/>
        </w:rPr>
        <w:t>Columbus, Ohio 43215-3485</w:t>
      </w:r>
    </w:p>
    <w:p w:rsidR="007063A0" w:rsidRDefault="007063A0" w:rsidP="00305489">
      <w:pPr>
        <w:tabs>
          <w:tab w:val="right" w:pos="7200"/>
        </w:tabs>
        <w:jc w:val="center"/>
        <w:rPr>
          <w:i/>
          <w:szCs w:val="24"/>
        </w:rPr>
      </w:pPr>
    </w:p>
    <w:p w:rsidR="007063A0" w:rsidRDefault="007063A0" w:rsidP="00305489">
      <w:pPr>
        <w:jc w:val="center"/>
        <w:rPr>
          <w:i/>
          <w:iCs/>
          <w:szCs w:val="24"/>
        </w:rPr>
      </w:pPr>
    </w:p>
    <w:p w:rsidR="007063A0" w:rsidRDefault="007063A0" w:rsidP="00305489">
      <w:pPr>
        <w:jc w:val="center"/>
        <w:rPr>
          <w:i/>
          <w:iCs/>
          <w:szCs w:val="24"/>
        </w:rPr>
      </w:pPr>
    </w:p>
    <w:p w:rsidR="007063A0" w:rsidRDefault="007063A0" w:rsidP="00305489">
      <w:pPr>
        <w:rPr>
          <w:bCs/>
          <w:i/>
          <w:iCs/>
          <w:szCs w:val="24"/>
        </w:rPr>
      </w:pPr>
    </w:p>
    <w:p w:rsidR="007063A0" w:rsidRDefault="00E81ED0" w:rsidP="00316E16">
      <w:pPr>
        <w:jc w:val="center"/>
        <w:rPr>
          <w:b/>
          <w:bCs/>
          <w:szCs w:val="24"/>
        </w:rPr>
      </w:pPr>
      <w:r>
        <w:rPr>
          <w:b/>
          <w:bCs/>
          <w:szCs w:val="24"/>
        </w:rPr>
        <w:t>September 26, 2014</w:t>
      </w:r>
    </w:p>
    <w:p w:rsidR="004A53E7" w:rsidRDefault="004A53E7" w:rsidP="00316E16">
      <w:pPr>
        <w:jc w:val="center"/>
        <w:rPr>
          <w:b/>
          <w:bCs/>
          <w:szCs w:val="24"/>
        </w:rPr>
      </w:pPr>
    </w:p>
    <w:p w:rsidR="004A53E7" w:rsidRDefault="004A53E7" w:rsidP="00316E16">
      <w:pPr>
        <w:jc w:val="center"/>
        <w:rPr>
          <w:b/>
          <w:bCs/>
          <w:szCs w:val="24"/>
        </w:rPr>
        <w:sectPr w:rsidR="004A53E7" w:rsidSect="007E370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0" w:footer="720" w:gutter="0"/>
          <w:pgNumType w:start="1"/>
          <w:cols w:space="720"/>
          <w:titlePg/>
        </w:sectPr>
      </w:pPr>
    </w:p>
    <w:p w:rsidR="007063A0" w:rsidRDefault="007063A0" w:rsidP="00305489">
      <w:pPr>
        <w:ind w:left="360" w:hanging="360"/>
        <w:jc w:val="center"/>
        <w:rPr>
          <w:szCs w:val="24"/>
        </w:rPr>
      </w:pPr>
      <w:r>
        <w:rPr>
          <w:b/>
          <w:szCs w:val="24"/>
          <w:u w:val="single"/>
        </w:rPr>
        <w:lastRenderedPageBreak/>
        <w:t>TABLE OF CONTENTS</w:t>
      </w:r>
    </w:p>
    <w:p w:rsidR="007063A0" w:rsidRDefault="007063A0" w:rsidP="00305489">
      <w:pPr>
        <w:tabs>
          <w:tab w:val="right" w:pos="360"/>
          <w:tab w:val="left" w:pos="900"/>
          <w:tab w:val="left" w:pos="1260"/>
          <w:tab w:val="left" w:pos="1620"/>
          <w:tab w:val="decimal" w:pos="9000"/>
        </w:tabs>
        <w:rPr>
          <w:szCs w:val="24"/>
        </w:rPr>
      </w:pPr>
    </w:p>
    <w:p w:rsidR="007063A0" w:rsidRDefault="007063A0" w:rsidP="00305489">
      <w:pPr>
        <w:tabs>
          <w:tab w:val="decimal" w:pos="8640"/>
        </w:tabs>
        <w:ind w:right="-720"/>
        <w:rPr>
          <w:b/>
          <w:szCs w:val="24"/>
        </w:rPr>
      </w:pPr>
      <w:r>
        <w:rPr>
          <w:szCs w:val="24"/>
        </w:rPr>
        <w:tab/>
      </w:r>
      <w:r>
        <w:rPr>
          <w:b/>
          <w:szCs w:val="24"/>
          <w:u w:val="single"/>
        </w:rPr>
        <w:t>PAGE</w:t>
      </w:r>
    </w:p>
    <w:p w:rsidR="007063A0" w:rsidRDefault="007063A0" w:rsidP="00305489">
      <w:pPr>
        <w:tabs>
          <w:tab w:val="left" w:pos="720"/>
          <w:tab w:val="left" w:pos="1080"/>
          <w:tab w:val="left" w:pos="1440"/>
          <w:tab w:val="decimal" w:pos="9000"/>
        </w:tabs>
        <w:ind w:right="-720"/>
        <w:rPr>
          <w:szCs w:val="24"/>
        </w:rPr>
      </w:pPr>
    </w:p>
    <w:p w:rsidR="004A53E7" w:rsidRDefault="004A53E7" w:rsidP="00305489">
      <w:pPr>
        <w:tabs>
          <w:tab w:val="left" w:pos="720"/>
          <w:tab w:val="left" w:pos="1440"/>
          <w:tab w:val="left" w:pos="2160"/>
          <w:tab w:val="decimal" w:leader="dot" w:pos="8640"/>
        </w:tabs>
      </w:pPr>
    </w:p>
    <w:p w:rsidR="00656A12" w:rsidRDefault="00241457">
      <w:pPr>
        <w:pStyle w:val="TOC1"/>
        <w:rPr>
          <w:rFonts w:asciiTheme="minorHAnsi" w:eastAsiaTheme="minorEastAsia" w:hAnsiTheme="minorHAnsi" w:cstheme="minorBidi"/>
          <w:caps w:val="0"/>
          <w:noProof/>
          <w:sz w:val="22"/>
          <w:szCs w:val="22"/>
        </w:rPr>
      </w:pPr>
      <w:r w:rsidRPr="005A68E0">
        <w:rPr>
          <w:rStyle w:val="Hyperlink"/>
          <w:noProof/>
        </w:rPr>
        <w:fldChar w:fldCharType="begin"/>
      </w:r>
      <w:r w:rsidR="004A53E7" w:rsidRPr="005A68E0">
        <w:rPr>
          <w:rStyle w:val="Hyperlink"/>
          <w:noProof/>
        </w:rPr>
        <w:instrText xml:space="preserve"> TOC \o "1-1" \h \z \u </w:instrText>
      </w:r>
      <w:r w:rsidRPr="005A68E0">
        <w:rPr>
          <w:rStyle w:val="Hyperlink"/>
          <w:noProof/>
        </w:rPr>
        <w:fldChar w:fldCharType="separate"/>
      </w:r>
      <w:hyperlink w:anchor="_Toc399508405" w:history="1">
        <w:r w:rsidR="00656A12" w:rsidRPr="005F335F">
          <w:rPr>
            <w:rStyle w:val="Hyperlink"/>
            <w:noProof/>
          </w:rPr>
          <w:t>I.</w:t>
        </w:r>
        <w:r w:rsidR="00656A12">
          <w:rPr>
            <w:rFonts w:asciiTheme="minorHAnsi" w:eastAsiaTheme="minorEastAsia" w:hAnsiTheme="minorHAnsi" w:cstheme="minorBidi"/>
            <w:caps w:val="0"/>
            <w:noProof/>
            <w:sz w:val="22"/>
            <w:szCs w:val="22"/>
          </w:rPr>
          <w:tab/>
        </w:r>
        <w:r w:rsidR="00656A12" w:rsidRPr="005F335F">
          <w:rPr>
            <w:rStyle w:val="Hyperlink"/>
            <w:noProof/>
          </w:rPr>
          <w:t>INTRODUCTION</w:t>
        </w:r>
        <w:r w:rsidR="00656A12">
          <w:rPr>
            <w:noProof/>
            <w:webHidden/>
          </w:rPr>
          <w:tab/>
        </w:r>
        <w:r w:rsidR="00656A12">
          <w:rPr>
            <w:noProof/>
            <w:webHidden/>
          </w:rPr>
          <w:fldChar w:fldCharType="begin"/>
        </w:r>
        <w:r w:rsidR="00656A12">
          <w:rPr>
            <w:noProof/>
            <w:webHidden/>
          </w:rPr>
          <w:instrText xml:space="preserve"> PAGEREF _Toc399508405 \h </w:instrText>
        </w:r>
        <w:r w:rsidR="00656A12">
          <w:rPr>
            <w:noProof/>
            <w:webHidden/>
          </w:rPr>
        </w:r>
        <w:r w:rsidR="00656A12">
          <w:rPr>
            <w:noProof/>
            <w:webHidden/>
          </w:rPr>
          <w:fldChar w:fldCharType="separate"/>
        </w:r>
        <w:r w:rsidR="00D9713B">
          <w:rPr>
            <w:noProof/>
            <w:webHidden/>
          </w:rPr>
          <w:t>1</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06" w:history="1">
        <w:r w:rsidR="00656A12" w:rsidRPr="005F335F">
          <w:rPr>
            <w:rStyle w:val="Hyperlink"/>
            <w:noProof/>
          </w:rPr>
          <w:t>II.</w:t>
        </w:r>
        <w:r w:rsidR="00656A12">
          <w:rPr>
            <w:rFonts w:asciiTheme="minorHAnsi" w:eastAsiaTheme="minorEastAsia" w:hAnsiTheme="minorHAnsi" w:cstheme="minorBidi"/>
            <w:caps w:val="0"/>
            <w:noProof/>
            <w:sz w:val="22"/>
            <w:szCs w:val="22"/>
          </w:rPr>
          <w:tab/>
        </w:r>
        <w:r w:rsidR="00656A12" w:rsidRPr="005F335F">
          <w:rPr>
            <w:rStyle w:val="Hyperlink"/>
            <w:noProof/>
          </w:rPr>
          <w:t>SUMMARY AND RECOMMENDATIONS</w:t>
        </w:r>
        <w:r w:rsidR="00656A12">
          <w:rPr>
            <w:noProof/>
            <w:webHidden/>
          </w:rPr>
          <w:tab/>
        </w:r>
        <w:r w:rsidR="00656A12">
          <w:rPr>
            <w:noProof/>
            <w:webHidden/>
          </w:rPr>
          <w:fldChar w:fldCharType="begin"/>
        </w:r>
        <w:r w:rsidR="00656A12">
          <w:rPr>
            <w:noProof/>
            <w:webHidden/>
          </w:rPr>
          <w:instrText xml:space="preserve"> PAGEREF _Toc399508406 \h </w:instrText>
        </w:r>
        <w:r w:rsidR="00656A12">
          <w:rPr>
            <w:noProof/>
            <w:webHidden/>
          </w:rPr>
        </w:r>
        <w:r w:rsidR="00656A12">
          <w:rPr>
            <w:noProof/>
            <w:webHidden/>
          </w:rPr>
          <w:fldChar w:fldCharType="separate"/>
        </w:r>
        <w:r w:rsidR="00D9713B">
          <w:rPr>
            <w:noProof/>
            <w:webHidden/>
          </w:rPr>
          <w:t>2</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07" w:history="1">
        <w:r w:rsidR="00656A12" w:rsidRPr="005F335F">
          <w:rPr>
            <w:rStyle w:val="Hyperlink"/>
            <w:noProof/>
          </w:rPr>
          <w:t>III.</w:t>
        </w:r>
        <w:r w:rsidR="00656A12">
          <w:rPr>
            <w:rFonts w:asciiTheme="minorHAnsi" w:eastAsiaTheme="minorEastAsia" w:hAnsiTheme="minorHAnsi" w:cstheme="minorBidi"/>
            <w:caps w:val="0"/>
            <w:noProof/>
            <w:sz w:val="22"/>
            <w:szCs w:val="22"/>
          </w:rPr>
          <w:tab/>
        </w:r>
        <w:r w:rsidR="00656A12" w:rsidRPr="005F335F">
          <w:rPr>
            <w:rStyle w:val="Hyperlink"/>
            <w:noProof/>
          </w:rPr>
          <w:t>Retail Capacity Rider (RC)</w:t>
        </w:r>
        <w:r w:rsidR="00656A12">
          <w:rPr>
            <w:noProof/>
            <w:webHidden/>
          </w:rPr>
          <w:tab/>
        </w:r>
        <w:r w:rsidR="00656A12">
          <w:rPr>
            <w:noProof/>
            <w:webHidden/>
          </w:rPr>
          <w:fldChar w:fldCharType="begin"/>
        </w:r>
        <w:r w:rsidR="00656A12">
          <w:rPr>
            <w:noProof/>
            <w:webHidden/>
          </w:rPr>
          <w:instrText xml:space="preserve"> PAGEREF _Toc399508407 \h </w:instrText>
        </w:r>
        <w:r w:rsidR="00656A12">
          <w:rPr>
            <w:noProof/>
            <w:webHidden/>
          </w:rPr>
        </w:r>
        <w:r w:rsidR="00656A12">
          <w:rPr>
            <w:noProof/>
            <w:webHidden/>
          </w:rPr>
          <w:fldChar w:fldCharType="separate"/>
        </w:r>
        <w:r w:rsidR="00D9713B">
          <w:rPr>
            <w:noProof/>
            <w:webHidden/>
          </w:rPr>
          <w:t>5</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08" w:history="1">
        <w:r w:rsidR="00656A12" w:rsidRPr="005F335F">
          <w:rPr>
            <w:rStyle w:val="Hyperlink"/>
            <w:noProof/>
          </w:rPr>
          <w:t>IV.</w:t>
        </w:r>
        <w:r w:rsidR="00656A12">
          <w:rPr>
            <w:rFonts w:asciiTheme="minorHAnsi" w:eastAsiaTheme="minorEastAsia" w:hAnsiTheme="minorHAnsi" w:cstheme="minorBidi"/>
            <w:caps w:val="0"/>
            <w:noProof/>
            <w:sz w:val="22"/>
            <w:szCs w:val="22"/>
          </w:rPr>
          <w:tab/>
        </w:r>
        <w:r w:rsidR="00656A12" w:rsidRPr="005F335F">
          <w:rPr>
            <w:rStyle w:val="Hyperlink"/>
            <w:noProof/>
          </w:rPr>
          <w:t>Distribution capital rider (DCI)</w:t>
        </w:r>
        <w:r w:rsidR="00656A12">
          <w:rPr>
            <w:noProof/>
            <w:webHidden/>
          </w:rPr>
          <w:tab/>
        </w:r>
        <w:r w:rsidR="00656A12">
          <w:rPr>
            <w:noProof/>
            <w:webHidden/>
          </w:rPr>
          <w:fldChar w:fldCharType="begin"/>
        </w:r>
        <w:r w:rsidR="00656A12">
          <w:rPr>
            <w:noProof/>
            <w:webHidden/>
          </w:rPr>
          <w:instrText xml:space="preserve"> PAGEREF _Toc399508408 \h </w:instrText>
        </w:r>
        <w:r w:rsidR="00656A12">
          <w:rPr>
            <w:noProof/>
            <w:webHidden/>
          </w:rPr>
        </w:r>
        <w:r w:rsidR="00656A12">
          <w:rPr>
            <w:noProof/>
            <w:webHidden/>
          </w:rPr>
          <w:fldChar w:fldCharType="separate"/>
        </w:r>
        <w:r w:rsidR="00D9713B">
          <w:rPr>
            <w:noProof/>
            <w:webHidden/>
          </w:rPr>
          <w:t>17</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09" w:history="1">
        <w:r w:rsidR="00656A12" w:rsidRPr="005F335F">
          <w:rPr>
            <w:rStyle w:val="Hyperlink"/>
            <w:noProof/>
          </w:rPr>
          <w:t>V.</w:t>
        </w:r>
        <w:r w:rsidR="00656A12">
          <w:rPr>
            <w:rFonts w:asciiTheme="minorHAnsi" w:eastAsiaTheme="minorEastAsia" w:hAnsiTheme="minorHAnsi" w:cstheme="minorBidi"/>
            <w:caps w:val="0"/>
            <w:noProof/>
            <w:sz w:val="22"/>
            <w:szCs w:val="22"/>
          </w:rPr>
          <w:tab/>
        </w:r>
        <w:r w:rsidR="00656A12" w:rsidRPr="005F335F">
          <w:rPr>
            <w:rStyle w:val="Hyperlink"/>
            <w:noProof/>
          </w:rPr>
          <w:t>Distribution Storm Rider (DSR)</w:t>
        </w:r>
        <w:r w:rsidR="00656A12">
          <w:rPr>
            <w:noProof/>
            <w:webHidden/>
          </w:rPr>
          <w:tab/>
        </w:r>
        <w:r w:rsidR="00656A12">
          <w:rPr>
            <w:noProof/>
            <w:webHidden/>
          </w:rPr>
          <w:fldChar w:fldCharType="begin"/>
        </w:r>
        <w:r w:rsidR="00656A12">
          <w:rPr>
            <w:noProof/>
            <w:webHidden/>
          </w:rPr>
          <w:instrText xml:space="preserve"> PAGEREF _Toc399508409 \h </w:instrText>
        </w:r>
        <w:r w:rsidR="00656A12">
          <w:rPr>
            <w:noProof/>
            <w:webHidden/>
          </w:rPr>
        </w:r>
        <w:r w:rsidR="00656A12">
          <w:rPr>
            <w:noProof/>
            <w:webHidden/>
          </w:rPr>
          <w:fldChar w:fldCharType="separate"/>
        </w:r>
        <w:r w:rsidR="00D9713B">
          <w:rPr>
            <w:noProof/>
            <w:webHidden/>
          </w:rPr>
          <w:t>21</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10" w:history="1">
        <w:r w:rsidR="00656A12" w:rsidRPr="005F335F">
          <w:rPr>
            <w:rStyle w:val="Hyperlink"/>
            <w:noProof/>
          </w:rPr>
          <w:t>VI.</w:t>
        </w:r>
        <w:r w:rsidR="00656A12">
          <w:rPr>
            <w:rFonts w:asciiTheme="minorHAnsi" w:eastAsiaTheme="minorEastAsia" w:hAnsiTheme="minorHAnsi" w:cstheme="minorBidi"/>
            <w:caps w:val="0"/>
            <w:noProof/>
            <w:sz w:val="22"/>
            <w:szCs w:val="22"/>
          </w:rPr>
          <w:tab/>
        </w:r>
        <w:r w:rsidR="00656A12" w:rsidRPr="005F335F">
          <w:rPr>
            <w:rStyle w:val="Hyperlink"/>
            <w:noProof/>
          </w:rPr>
          <w:t>Price Stabilization Rider (PSR)</w:t>
        </w:r>
        <w:r w:rsidR="00656A12">
          <w:rPr>
            <w:noProof/>
            <w:webHidden/>
          </w:rPr>
          <w:tab/>
        </w:r>
        <w:r w:rsidR="00656A12">
          <w:rPr>
            <w:noProof/>
            <w:webHidden/>
          </w:rPr>
          <w:fldChar w:fldCharType="begin"/>
        </w:r>
        <w:r w:rsidR="00656A12">
          <w:rPr>
            <w:noProof/>
            <w:webHidden/>
          </w:rPr>
          <w:instrText xml:space="preserve"> PAGEREF _Toc399508410 \h </w:instrText>
        </w:r>
        <w:r w:rsidR="00656A12">
          <w:rPr>
            <w:noProof/>
            <w:webHidden/>
          </w:rPr>
        </w:r>
        <w:r w:rsidR="00656A12">
          <w:rPr>
            <w:noProof/>
            <w:webHidden/>
          </w:rPr>
          <w:fldChar w:fldCharType="separate"/>
        </w:r>
        <w:r w:rsidR="00D9713B">
          <w:rPr>
            <w:noProof/>
            <w:webHidden/>
          </w:rPr>
          <w:t>24</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11" w:history="1">
        <w:r w:rsidR="00656A12" w:rsidRPr="005F335F">
          <w:rPr>
            <w:rStyle w:val="Hyperlink"/>
            <w:noProof/>
          </w:rPr>
          <w:t>VII.</w:t>
        </w:r>
        <w:r w:rsidR="00656A12">
          <w:rPr>
            <w:rFonts w:asciiTheme="minorHAnsi" w:eastAsiaTheme="minorEastAsia" w:hAnsiTheme="minorHAnsi" w:cstheme="minorBidi"/>
            <w:caps w:val="0"/>
            <w:noProof/>
            <w:sz w:val="22"/>
            <w:szCs w:val="22"/>
          </w:rPr>
          <w:tab/>
        </w:r>
        <w:r w:rsidR="00656A12" w:rsidRPr="005F335F">
          <w:rPr>
            <w:rStyle w:val="Hyperlink"/>
            <w:noProof/>
          </w:rPr>
          <w:t>Interruption Service</w:t>
        </w:r>
        <w:r w:rsidR="00656A12">
          <w:rPr>
            <w:noProof/>
            <w:webHidden/>
          </w:rPr>
          <w:tab/>
        </w:r>
        <w:r w:rsidR="00656A12">
          <w:rPr>
            <w:noProof/>
            <w:webHidden/>
          </w:rPr>
          <w:fldChar w:fldCharType="begin"/>
        </w:r>
        <w:r w:rsidR="00656A12">
          <w:rPr>
            <w:noProof/>
            <w:webHidden/>
          </w:rPr>
          <w:instrText xml:space="preserve"> PAGEREF _Toc399508411 \h </w:instrText>
        </w:r>
        <w:r w:rsidR="00656A12">
          <w:rPr>
            <w:noProof/>
            <w:webHidden/>
          </w:rPr>
        </w:r>
        <w:r w:rsidR="00656A12">
          <w:rPr>
            <w:noProof/>
            <w:webHidden/>
          </w:rPr>
          <w:fldChar w:fldCharType="separate"/>
        </w:r>
        <w:r w:rsidR="00D9713B">
          <w:rPr>
            <w:noProof/>
            <w:webHidden/>
          </w:rPr>
          <w:t>26</w:t>
        </w:r>
        <w:r w:rsidR="00656A12">
          <w:rPr>
            <w:noProof/>
            <w:webHidden/>
          </w:rPr>
          <w:fldChar w:fldCharType="end"/>
        </w:r>
      </w:hyperlink>
    </w:p>
    <w:p w:rsidR="00656A12" w:rsidRDefault="002910A8">
      <w:pPr>
        <w:pStyle w:val="TOC1"/>
        <w:rPr>
          <w:rFonts w:asciiTheme="minorHAnsi" w:eastAsiaTheme="minorEastAsia" w:hAnsiTheme="minorHAnsi" w:cstheme="minorBidi"/>
          <w:caps w:val="0"/>
          <w:noProof/>
          <w:sz w:val="22"/>
          <w:szCs w:val="22"/>
        </w:rPr>
      </w:pPr>
      <w:hyperlink w:anchor="_Toc399508412" w:history="1">
        <w:r w:rsidR="00656A12" w:rsidRPr="005F335F">
          <w:rPr>
            <w:rStyle w:val="Hyperlink"/>
            <w:noProof/>
          </w:rPr>
          <w:t>VIII.</w:t>
        </w:r>
        <w:r w:rsidR="00656A12">
          <w:rPr>
            <w:rFonts w:asciiTheme="minorHAnsi" w:eastAsiaTheme="minorEastAsia" w:hAnsiTheme="minorHAnsi" w:cstheme="minorBidi"/>
            <w:caps w:val="0"/>
            <w:noProof/>
            <w:sz w:val="22"/>
            <w:szCs w:val="22"/>
          </w:rPr>
          <w:tab/>
        </w:r>
        <w:r w:rsidR="00656A12" w:rsidRPr="005F335F">
          <w:rPr>
            <w:rStyle w:val="Hyperlink"/>
            <w:noProof/>
          </w:rPr>
          <w:t>CONCLUSION</w:t>
        </w:r>
        <w:r w:rsidR="00656A12">
          <w:rPr>
            <w:noProof/>
            <w:webHidden/>
          </w:rPr>
          <w:tab/>
        </w:r>
        <w:r w:rsidR="00656A12">
          <w:rPr>
            <w:noProof/>
            <w:webHidden/>
          </w:rPr>
          <w:fldChar w:fldCharType="begin"/>
        </w:r>
        <w:r w:rsidR="00656A12">
          <w:rPr>
            <w:noProof/>
            <w:webHidden/>
          </w:rPr>
          <w:instrText xml:space="preserve"> PAGEREF _Toc399508412 \h </w:instrText>
        </w:r>
        <w:r w:rsidR="00656A12">
          <w:rPr>
            <w:noProof/>
            <w:webHidden/>
          </w:rPr>
        </w:r>
        <w:r w:rsidR="00656A12">
          <w:rPr>
            <w:noProof/>
            <w:webHidden/>
          </w:rPr>
          <w:fldChar w:fldCharType="separate"/>
        </w:r>
        <w:r w:rsidR="00D9713B">
          <w:rPr>
            <w:noProof/>
            <w:webHidden/>
          </w:rPr>
          <w:t>30</w:t>
        </w:r>
        <w:r w:rsidR="00656A12">
          <w:rPr>
            <w:noProof/>
            <w:webHidden/>
          </w:rPr>
          <w:fldChar w:fldCharType="end"/>
        </w:r>
      </w:hyperlink>
    </w:p>
    <w:p w:rsidR="004A53E7" w:rsidRPr="005A68E0" w:rsidRDefault="00241457" w:rsidP="00305489">
      <w:pPr>
        <w:tabs>
          <w:tab w:val="left" w:pos="720"/>
          <w:tab w:val="left" w:pos="1440"/>
          <w:tab w:val="left" w:pos="2160"/>
          <w:tab w:val="decimal" w:leader="dot" w:pos="8640"/>
        </w:tabs>
        <w:rPr>
          <w:rStyle w:val="Hyperlink"/>
          <w:caps/>
          <w:noProof/>
        </w:rPr>
      </w:pPr>
      <w:r w:rsidRPr="005A68E0">
        <w:rPr>
          <w:rStyle w:val="Hyperlink"/>
          <w:caps/>
          <w:noProof/>
        </w:rPr>
        <w:fldChar w:fldCharType="end"/>
      </w:r>
    </w:p>
    <w:p w:rsidR="007063A0" w:rsidRPr="005A68E0" w:rsidRDefault="007063A0" w:rsidP="00305489">
      <w:pPr>
        <w:tabs>
          <w:tab w:val="center" w:pos="7920"/>
        </w:tabs>
        <w:rPr>
          <w:rStyle w:val="Hyperlink"/>
          <w:caps/>
          <w:noProof/>
        </w:rPr>
      </w:pPr>
    </w:p>
    <w:p w:rsidR="004A53E7" w:rsidRDefault="005E49FA" w:rsidP="005E49FA">
      <w:pPr>
        <w:tabs>
          <w:tab w:val="left" w:pos="7648"/>
        </w:tabs>
      </w:pPr>
      <w:r>
        <w:tab/>
      </w:r>
    </w:p>
    <w:p w:rsidR="004A53E7" w:rsidRDefault="00656A12" w:rsidP="004A53E7">
      <w:r>
        <w:t>Attachment –AJY-1</w:t>
      </w:r>
    </w:p>
    <w:p w:rsidR="004A53E7" w:rsidRDefault="004A53E7" w:rsidP="004A53E7"/>
    <w:p w:rsidR="007063A0" w:rsidRPr="00AC3CB6" w:rsidRDefault="007063A0" w:rsidP="00AC3CB6"/>
    <w:p w:rsidR="007063A0" w:rsidRDefault="007063A0" w:rsidP="00305489">
      <w:pPr>
        <w:tabs>
          <w:tab w:val="left" w:pos="2160"/>
        </w:tabs>
        <w:rPr>
          <w:szCs w:val="24"/>
        </w:rPr>
      </w:pPr>
    </w:p>
    <w:p w:rsidR="005A3A2E" w:rsidRDefault="005A3A2E" w:rsidP="005A3A2E">
      <w:pPr>
        <w:ind w:left="360" w:hanging="360"/>
        <w:rPr>
          <w:b/>
          <w:szCs w:val="24"/>
          <w:u w:val="single"/>
        </w:rPr>
        <w:sectPr w:rsidR="005A3A2E">
          <w:headerReference w:type="even" r:id="rId14"/>
          <w:headerReference w:type="default" r:id="rId15"/>
          <w:footerReference w:type="default" r:id="rId16"/>
          <w:headerReference w:type="first" r:id="rId17"/>
          <w:pgSz w:w="12240" w:h="15840" w:code="1"/>
          <w:pgMar w:top="1440" w:right="1800" w:bottom="1440" w:left="1800" w:header="0" w:footer="720" w:gutter="0"/>
          <w:pgNumType w:fmt="lowerRoman" w:start="1"/>
          <w:cols w:space="720"/>
        </w:sectPr>
      </w:pPr>
    </w:p>
    <w:p w:rsidR="007063A0" w:rsidRPr="005A3A2E" w:rsidRDefault="007063A0" w:rsidP="003B014C">
      <w:pPr>
        <w:pStyle w:val="Heading1"/>
      </w:pPr>
      <w:bookmarkStart w:id="1" w:name="_Toc399508405"/>
      <w:r w:rsidRPr="00EF10B1">
        <w:lastRenderedPageBreak/>
        <w:t>INTRODUCTION</w:t>
      </w:r>
      <w:bookmarkEnd w:id="1"/>
    </w:p>
    <w:p w:rsidR="00C11498" w:rsidRPr="00C11498" w:rsidRDefault="00C11498" w:rsidP="000C61C6">
      <w:pPr>
        <w:spacing w:line="480" w:lineRule="auto"/>
      </w:pPr>
    </w:p>
    <w:p w:rsidR="007063A0" w:rsidRDefault="007063A0" w:rsidP="000C61C6">
      <w:pPr>
        <w:tabs>
          <w:tab w:val="left" w:pos="0"/>
          <w:tab w:val="left" w:pos="180"/>
        </w:tabs>
        <w:suppressAutoHyphens/>
        <w:spacing w:line="480" w:lineRule="auto"/>
        <w:ind w:right="-720"/>
        <w:rPr>
          <w:b/>
          <w:i/>
        </w:rPr>
      </w:pPr>
      <w:r>
        <w:rPr>
          <w:b/>
          <w:i/>
        </w:rPr>
        <w:t>Q1.</w:t>
      </w:r>
      <w:r>
        <w:rPr>
          <w:b/>
          <w:i/>
        </w:rPr>
        <w:tab/>
        <w:t xml:space="preserve">PLEASE STATE YOUR </w:t>
      </w:r>
      <w:r w:rsidR="009E02A1">
        <w:rPr>
          <w:b/>
          <w:i/>
        </w:rPr>
        <w:t>NAME, ADDRESS, AND EMPLOYMENT.</w:t>
      </w:r>
    </w:p>
    <w:p w:rsidR="007063A0" w:rsidRDefault="007063A0" w:rsidP="000C61C6">
      <w:pPr>
        <w:tabs>
          <w:tab w:val="left" w:pos="144"/>
          <w:tab w:val="left" w:pos="720"/>
        </w:tabs>
        <w:suppressAutoHyphens/>
        <w:spacing w:line="480" w:lineRule="auto"/>
        <w:ind w:left="720" w:right="-720" w:hanging="720"/>
      </w:pPr>
      <w:r>
        <w:rPr>
          <w:b/>
          <w:i/>
        </w:rPr>
        <w:t>A1.</w:t>
      </w:r>
      <w:r>
        <w:tab/>
        <w:t>I am Anthony J. Yankel.  I am President of Yankel and Associates, Inc.  My address is 29814 Lake Road, Bay Village, Ohio, 44140.</w:t>
      </w:r>
    </w:p>
    <w:p w:rsidR="007063A0" w:rsidRDefault="007063A0" w:rsidP="00305489">
      <w:pPr>
        <w:tabs>
          <w:tab w:val="left" w:pos="0"/>
          <w:tab w:val="left" w:pos="180"/>
        </w:tabs>
        <w:suppressAutoHyphens/>
        <w:spacing w:line="480" w:lineRule="auto"/>
        <w:ind w:right="-720" w:firstLine="720"/>
      </w:pPr>
    </w:p>
    <w:p w:rsidR="007063A0" w:rsidRPr="00316E16" w:rsidRDefault="007063A0" w:rsidP="00305489">
      <w:pPr>
        <w:pStyle w:val="BodyTextIndent3"/>
        <w:tabs>
          <w:tab w:val="clear" w:pos="0"/>
          <w:tab w:val="left" w:pos="720"/>
        </w:tabs>
        <w:ind w:left="720" w:hanging="720"/>
        <w:rPr>
          <w:b/>
          <w:i/>
          <w:sz w:val="24"/>
          <w:szCs w:val="24"/>
        </w:rPr>
      </w:pPr>
      <w:r w:rsidRPr="00316E16">
        <w:rPr>
          <w:b/>
          <w:i/>
          <w:sz w:val="24"/>
          <w:szCs w:val="24"/>
        </w:rPr>
        <w:t>Q2.</w:t>
      </w:r>
      <w:r w:rsidRPr="00316E16">
        <w:rPr>
          <w:b/>
          <w:i/>
          <w:sz w:val="24"/>
          <w:szCs w:val="24"/>
        </w:rPr>
        <w:tab/>
        <w:t>WOULD YOU BRIEFLY DESCRIBE YOUR EDUCATIONAL BACKGROUND AND PROFESSIONAL EXPERIENCE?</w:t>
      </w:r>
    </w:p>
    <w:p w:rsidR="007063A0" w:rsidRDefault="007063A0" w:rsidP="00305489">
      <w:pPr>
        <w:suppressAutoHyphens/>
        <w:spacing w:line="480" w:lineRule="auto"/>
        <w:ind w:left="720" w:right="-720" w:hanging="720"/>
      </w:pPr>
      <w:r>
        <w:rPr>
          <w:b/>
          <w:i/>
        </w:rPr>
        <w:t>A2.</w:t>
      </w:r>
      <w:r>
        <w:tab/>
        <w:t xml:space="preserve">I received a Bachelor of Science Degree in Electrical Engineering from Carnegie Institute of Technology in 1969 and a Master of Science Degree in Chemical Engineering from the University of Idaho in 1972.  From 1969 through 1972, I was employed by the Air Correction Division of Universal Oil Products as a product design engineer.  My chief responsibilities were in the areas of design, start-up, and repair of new and existing product lines for coal-fired power plants.  From 1973 through 1977, I was employed by the Bureau of Air Quality for the Idaho Department of Health &amp; Welfare, Division of Environment.  As Chief Engineer of the Bureau, my responsibilities covered a wide range of investigative functions.  From 1978 through June 1979, I was employed as the Director of the Idaho Electrical Consumers Office.  In that capacity, I was responsible for all organizational and technical aspects of advocating a variety of positions before various governmental bodies that represented the interests of the consumers in the State of Idaho.  From July 1979 through October 1980, I was a partner in the firm of Yankel, Eddy, and Associates.  Since that time, I have been in business for myself.  I am a registered Professional Engineer in Ohio.  I have presented testimony before the Federal Energy </w:t>
      </w:r>
      <w:r>
        <w:lastRenderedPageBreak/>
        <w:t>Regulatory Commission, as well as the State Public Utility Commissions of Idaho, Montana, Ohio, Pennsylvania, Utah, and West Virginia.</w:t>
      </w:r>
    </w:p>
    <w:p w:rsidR="007063A0" w:rsidRDefault="007063A0" w:rsidP="00305489">
      <w:pPr>
        <w:spacing w:line="480" w:lineRule="auto"/>
        <w:ind w:right="-720"/>
      </w:pPr>
    </w:p>
    <w:p w:rsidR="007063A0" w:rsidRDefault="007063A0" w:rsidP="00305489">
      <w:pPr>
        <w:spacing w:line="480" w:lineRule="auto"/>
        <w:ind w:right="-720"/>
        <w:rPr>
          <w:b/>
          <w:i/>
        </w:rPr>
      </w:pPr>
      <w:r>
        <w:rPr>
          <w:b/>
          <w:i/>
        </w:rPr>
        <w:t>Q3.</w:t>
      </w:r>
      <w:r>
        <w:rPr>
          <w:b/>
          <w:i/>
        </w:rPr>
        <w:tab/>
        <w:t>ON WHOSE BEHALF ARE YOU TESTIFYING?</w:t>
      </w:r>
    </w:p>
    <w:p w:rsidR="007063A0" w:rsidRDefault="007063A0" w:rsidP="000C61C6">
      <w:pPr>
        <w:spacing w:line="480" w:lineRule="auto"/>
        <w:ind w:right="-720"/>
      </w:pPr>
      <w:r>
        <w:rPr>
          <w:b/>
          <w:i/>
        </w:rPr>
        <w:t>A3.</w:t>
      </w:r>
      <w:r>
        <w:tab/>
        <w:t>I am testifying on behalf of the Ohio Consumers’ Counsel (“OCC”).</w:t>
      </w:r>
    </w:p>
    <w:p w:rsidR="00E17BE3" w:rsidRPr="00E17BE3" w:rsidRDefault="00E17BE3" w:rsidP="000C61C6">
      <w:pPr>
        <w:spacing w:line="480" w:lineRule="auto"/>
        <w:ind w:right="-720" w:firstLine="720"/>
      </w:pPr>
    </w:p>
    <w:p w:rsidR="00E17BE3" w:rsidRPr="00E17BE3" w:rsidRDefault="00E17BE3" w:rsidP="003B014C">
      <w:pPr>
        <w:pStyle w:val="Heading1"/>
      </w:pPr>
      <w:bookmarkStart w:id="2" w:name="_Toc399508406"/>
      <w:r w:rsidRPr="00C11498">
        <w:t>SUMMARY AND RECOMMENDATIONS</w:t>
      </w:r>
      <w:bookmarkEnd w:id="2"/>
    </w:p>
    <w:p w:rsidR="007063A0" w:rsidRDefault="007063A0" w:rsidP="000C61C6">
      <w:pPr>
        <w:spacing w:line="480" w:lineRule="auto"/>
        <w:ind w:right="-720"/>
      </w:pPr>
    </w:p>
    <w:p w:rsidR="007063A0" w:rsidRDefault="007063A0" w:rsidP="000C61C6">
      <w:pPr>
        <w:spacing w:line="480" w:lineRule="auto"/>
        <w:ind w:right="-720"/>
        <w:rPr>
          <w:b/>
          <w:i/>
        </w:rPr>
      </w:pPr>
      <w:r>
        <w:rPr>
          <w:b/>
          <w:i/>
        </w:rPr>
        <w:t>Q4.</w:t>
      </w:r>
      <w:r>
        <w:rPr>
          <w:b/>
          <w:i/>
        </w:rPr>
        <w:tab/>
        <w:t>WHAT IS THE PURPOSE OF YOUR TESTIMONY IN THIS PROCEEDING?</w:t>
      </w:r>
    </w:p>
    <w:p w:rsidR="007063A0" w:rsidRPr="005E49FA" w:rsidRDefault="007063A0" w:rsidP="005A3A2E">
      <w:pPr>
        <w:pStyle w:val="Header"/>
        <w:tabs>
          <w:tab w:val="clear" w:pos="4320"/>
          <w:tab w:val="clear" w:pos="8640"/>
        </w:tabs>
        <w:spacing w:line="480" w:lineRule="auto"/>
        <w:ind w:left="720" w:hanging="720"/>
      </w:pPr>
      <w:r w:rsidRPr="00316E16">
        <w:rPr>
          <w:b/>
          <w:i/>
          <w:sz w:val="24"/>
          <w:szCs w:val="24"/>
        </w:rPr>
        <w:t>A4.</w:t>
      </w:r>
      <w:r w:rsidRPr="00316E16">
        <w:rPr>
          <w:sz w:val="24"/>
          <w:szCs w:val="24"/>
        </w:rPr>
        <w:tab/>
        <w:t xml:space="preserve">The purpose of my testimony is to address </w:t>
      </w:r>
      <w:r w:rsidR="005E49FA">
        <w:rPr>
          <w:sz w:val="24"/>
          <w:szCs w:val="24"/>
        </w:rPr>
        <w:t xml:space="preserve">certain of Duke Energy Ohio’s </w:t>
      </w:r>
      <w:r w:rsidR="008D5CC8" w:rsidRPr="00316E16">
        <w:rPr>
          <w:sz w:val="24"/>
          <w:szCs w:val="24"/>
        </w:rPr>
        <w:t>(“</w:t>
      </w:r>
      <w:r w:rsidR="005E49FA">
        <w:rPr>
          <w:sz w:val="24"/>
          <w:szCs w:val="24"/>
        </w:rPr>
        <w:t>Duke</w:t>
      </w:r>
      <w:r w:rsidR="008D5CC8" w:rsidRPr="00316E16">
        <w:rPr>
          <w:sz w:val="24"/>
          <w:szCs w:val="24"/>
        </w:rPr>
        <w:t>” or “</w:t>
      </w:r>
      <w:r w:rsidR="005E49FA">
        <w:rPr>
          <w:sz w:val="24"/>
          <w:szCs w:val="24"/>
        </w:rPr>
        <w:t xml:space="preserve">the </w:t>
      </w:r>
      <w:r w:rsidR="00A44674">
        <w:rPr>
          <w:sz w:val="24"/>
          <w:szCs w:val="24"/>
        </w:rPr>
        <w:t>Utility</w:t>
      </w:r>
      <w:r w:rsidR="008D5CC8" w:rsidRPr="00316E16">
        <w:rPr>
          <w:sz w:val="24"/>
          <w:szCs w:val="24"/>
        </w:rPr>
        <w:t>”)</w:t>
      </w:r>
      <w:r w:rsidRPr="00316E16">
        <w:rPr>
          <w:sz w:val="24"/>
          <w:szCs w:val="24"/>
        </w:rPr>
        <w:t xml:space="preserve"> </w:t>
      </w:r>
      <w:r w:rsidR="005E49FA">
        <w:rPr>
          <w:sz w:val="24"/>
          <w:szCs w:val="24"/>
        </w:rPr>
        <w:t>proposed changes and/or additions to its riders as a</w:t>
      </w:r>
      <w:r w:rsidR="009C229D">
        <w:rPr>
          <w:sz w:val="24"/>
          <w:szCs w:val="24"/>
        </w:rPr>
        <w:t xml:space="preserve"> part of its </w:t>
      </w:r>
      <w:r w:rsidR="009C229D">
        <w:rPr>
          <w:sz w:val="24"/>
          <w:szCs w:val="24"/>
          <w:lang w:val="en-US"/>
        </w:rPr>
        <w:t>Standard Service Offer (“</w:t>
      </w:r>
      <w:r w:rsidR="005E49FA">
        <w:rPr>
          <w:sz w:val="24"/>
          <w:szCs w:val="24"/>
        </w:rPr>
        <w:t>SSO</w:t>
      </w:r>
      <w:r w:rsidR="009C229D">
        <w:rPr>
          <w:sz w:val="24"/>
          <w:szCs w:val="24"/>
          <w:lang w:val="en-US"/>
        </w:rPr>
        <w:t>”)</w:t>
      </w:r>
      <w:r w:rsidR="005E49FA">
        <w:rPr>
          <w:sz w:val="24"/>
          <w:szCs w:val="24"/>
        </w:rPr>
        <w:t xml:space="preserve"> filing</w:t>
      </w:r>
      <w:r w:rsidR="009C229D">
        <w:rPr>
          <w:sz w:val="24"/>
          <w:szCs w:val="24"/>
          <w:lang w:val="en-US"/>
        </w:rPr>
        <w:t xml:space="preserve"> at the Public Utilities Commission of Ohio (“PUCO” or “Commission”)</w:t>
      </w:r>
      <w:r w:rsidR="005E49FA">
        <w:rPr>
          <w:sz w:val="24"/>
          <w:szCs w:val="24"/>
        </w:rPr>
        <w:t>.  I will primarily address the various changes and/or additions from the perspective of cost-of-service principles.</w:t>
      </w:r>
    </w:p>
    <w:p w:rsidR="00EB7597" w:rsidRDefault="00EB7597" w:rsidP="00196755">
      <w:pPr>
        <w:pStyle w:val="Header"/>
        <w:tabs>
          <w:tab w:val="clear" w:pos="4320"/>
          <w:tab w:val="clear" w:pos="8640"/>
        </w:tabs>
        <w:spacing w:line="480" w:lineRule="auto"/>
        <w:ind w:right="-720"/>
        <w:rPr>
          <w:b/>
          <w:szCs w:val="24"/>
          <w:u w:val="single"/>
        </w:rPr>
      </w:pPr>
    </w:p>
    <w:p w:rsidR="0056609C" w:rsidRPr="009A316A" w:rsidRDefault="0056609C" w:rsidP="0056609C">
      <w:pPr>
        <w:spacing w:line="480" w:lineRule="auto"/>
        <w:ind w:left="720" w:hanging="720"/>
        <w:rPr>
          <w:b/>
          <w:i/>
          <w:caps/>
        </w:rPr>
      </w:pPr>
      <w:r w:rsidRPr="009A316A">
        <w:rPr>
          <w:b/>
          <w:i/>
          <w:caps/>
        </w:rPr>
        <w:t>Q</w:t>
      </w:r>
      <w:r>
        <w:rPr>
          <w:b/>
          <w:i/>
          <w:caps/>
        </w:rPr>
        <w:t>5</w:t>
      </w:r>
      <w:r w:rsidRPr="009A316A">
        <w:rPr>
          <w:b/>
          <w:i/>
          <w:caps/>
        </w:rPr>
        <w:t>.</w:t>
      </w:r>
      <w:r w:rsidRPr="009A316A">
        <w:rPr>
          <w:b/>
          <w:i/>
          <w:caps/>
        </w:rPr>
        <w:tab/>
      </w:r>
      <w:r w:rsidR="00E17BE3">
        <w:rPr>
          <w:b/>
          <w:i/>
          <w:caps/>
        </w:rPr>
        <w:t>please summarize your findings and recommendations.</w:t>
      </w:r>
    </w:p>
    <w:p w:rsidR="00813C17" w:rsidRDefault="0056609C" w:rsidP="00274713">
      <w:pPr>
        <w:spacing w:line="480" w:lineRule="auto"/>
        <w:ind w:left="720" w:hanging="720"/>
      </w:pPr>
      <w:r w:rsidRPr="00316E16">
        <w:rPr>
          <w:b/>
          <w:i/>
        </w:rPr>
        <w:t>A</w:t>
      </w:r>
      <w:r>
        <w:rPr>
          <w:b/>
          <w:i/>
        </w:rPr>
        <w:t>5</w:t>
      </w:r>
      <w:r w:rsidRPr="00316E16">
        <w:rPr>
          <w:b/>
          <w:i/>
        </w:rPr>
        <w:t>.</w:t>
      </w:r>
      <w:r>
        <w:tab/>
      </w:r>
      <w:r w:rsidR="00E17BE3">
        <w:t xml:space="preserve">I start off by addressing the </w:t>
      </w:r>
      <w:r w:rsidR="00A44674">
        <w:t>Utility’s</w:t>
      </w:r>
      <w:r w:rsidR="00E17BE3">
        <w:t xml:space="preserve"> proposed</w:t>
      </w:r>
      <w:r w:rsidR="0035093F">
        <w:t xml:space="preserve"> allocation of costs associated with</w:t>
      </w:r>
      <w:r w:rsidR="00E17BE3">
        <w:t xml:space="preserve"> Rider RC (</w:t>
      </w:r>
      <w:r w:rsidR="009C229D">
        <w:t>“</w:t>
      </w:r>
      <w:r w:rsidR="00E17BE3">
        <w:t>Retail Capacity</w:t>
      </w:r>
      <w:r w:rsidR="009C229D">
        <w:t>”</w:t>
      </w:r>
      <w:r w:rsidR="00E17BE3">
        <w:t xml:space="preserve">).  </w:t>
      </w:r>
      <w:r w:rsidR="00A44674">
        <w:t>T</w:t>
      </w:r>
      <w:r w:rsidR="00E17BE3">
        <w:t xml:space="preserve">he </w:t>
      </w:r>
      <w:r w:rsidR="00A44674">
        <w:t>Utility asserts that</w:t>
      </w:r>
      <w:r w:rsidR="00813C17">
        <w:t>:</w:t>
      </w:r>
    </w:p>
    <w:p w:rsidR="00813C17" w:rsidRDefault="00233969" w:rsidP="007039AA">
      <w:pPr>
        <w:spacing w:after="240" w:line="480" w:lineRule="auto"/>
        <w:ind w:left="1440" w:right="720"/>
      </w:pPr>
      <w:r>
        <w:t xml:space="preserve">On the basis of traditional cost-causation principles, </w:t>
      </w:r>
      <w:r w:rsidR="00E17BE3">
        <w:t xml:space="preserve">it is reasonable to allocate the capacity cost on the basis of each class’s contribution to the total </w:t>
      </w:r>
      <w:r w:rsidR="00274D98">
        <w:t>F</w:t>
      </w:r>
      <w:r w:rsidR="009C229D">
        <w:t xml:space="preserve">ive </w:t>
      </w:r>
      <w:r w:rsidR="00274D98">
        <w:t>C</w:t>
      </w:r>
      <w:r w:rsidR="009C229D">
        <w:t xml:space="preserve">oincident </w:t>
      </w:r>
      <w:r w:rsidR="00274D98">
        <w:t>P</w:t>
      </w:r>
      <w:r w:rsidR="009C229D">
        <w:t>eak (“</w:t>
      </w:r>
      <w:r w:rsidR="00E17BE3">
        <w:t>5</w:t>
      </w:r>
      <w:r w:rsidR="009C229D">
        <w:t>-</w:t>
      </w:r>
      <w:r w:rsidR="00E17BE3">
        <w:t>CP</w:t>
      </w:r>
      <w:r w:rsidR="009C229D">
        <w:t>”)</w:t>
      </w:r>
      <w:r w:rsidR="00A92306">
        <w:rPr>
          <w:rStyle w:val="FootnoteReference"/>
        </w:rPr>
        <w:footnoteReference w:id="1"/>
      </w:r>
    </w:p>
    <w:p w:rsidR="00CC300F" w:rsidRPr="00CC300F" w:rsidRDefault="00A44674" w:rsidP="00CC300F">
      <w:pPr>
        <w:spacing w:line="480" w:lineRule="auto"/>
        <w:ind w:left="720"/>
      </w:pPr>
      <w:r>
        <w:t xml:space="preserve">But, </w:t>
      </w:r>
      <w:r w:rsidR="00F43117">
        <w:t xml:space="preserve">these costs are charged to the Utility on an energy basis and </w:t>
      </w:r>
      <w:r w:rsidR="00E17BE3">
        <w:t xml:space="preserve">the </w:t>
      </w:r>
      <w:r w:rsidR="00AC2D99">
        <w:t>Utility</w:t>
      </w:r>
      <w:r w:rsidR="00E17BE3">
        <w:t xml:space="preserve"> does not </w:t>
      </w:r>
      <w:r w:rsidR="007039AA">
        <w:t>pay</w:t>
      </w:r>
      <w:r w:rsidR="00E17BE3">
        <w:t xml:space="preserve"> any </w:t>
      </w:r>
      <w:r w:rsidR="002B6D79">
        <w:t xml:space="preserve">directly-billed </w:t>
      </w:r>
      <w:r w:rsidR="00E17BE3">
        <w:t>capacity costs in order to supply its SSO load.</w:t>
      </w:r>
      <w:r w:rsidR="00233969">
        <w:t xml:space="preserve">  </w:t>
      </w:r>
      <w:r w:rsidR="00AC2D99">
        <w:t xml:space="preserve">Thus, </w:t>
      </w:r>
      <w:r w:rsidR="00F43117">
        <w:t>it is not appropriate to charge customers for these costs on any basis other than the manner in which they are charged to the Utility, i.e. as energy charges</w:t>
      </w:r>
      <w:r w:rsidR="002B6D79">
        <w:t xml:space="preserve"> ($/MWh</w:t>
      </w:r>
      <w:r w:rsidR="00F43117">
        <w:t>.</w:t>
      </w:r>
      <w:r w:rsidR="0096356E">
        <w:t xml:space="preserve">  </w:t>
      </w:r>
      <w:r w:rsidR="00233969">
        <w:t xml:space="preserve">Additionally, </w:t>
      </w:r>
      <w:r w:rsidR="00AC2D99">
        <w:t xml:space="preserve">even if one were to accept </w:t>
      </w:r>
      <w:r w:rsidR="00233969">
        <w:t>the</w:t>
      </w:r>
      <w:r w:rsidR="00AC2D99">
        <w:t xml:space="preserve"> incorrect notion that the Utility incurs capacity costs apart from capacity built into the competitively bid auction prices, the Utility’s </w:t>
      </w:r>
      <w:r w:rsidR="00233969">
        <w:t xml:space="preserve">calculation of the capacity costs </w:t>
      </w:r>
      <w:r w:rsidR="00AC2D99">
        <w:t>is overstated</w:t>
      </w:r>
      <w:r w:rsidR="00F43117">
        <w:t xml:space="preserve"> for several reasons</w:t>
      </w:r>
      <w:r w:rsidR="00AC2D99">
        <w:t xml:space="preserve">.  </w:t>
      </w:r>
      <w:r w:rsidR="00F43117">
        <w:t xml:space="preserve">First, the Utility </w:t>
      </w:r>
      <w:r w:rsidR="00233969">
        <w:t xml:space="preserve">calculates a total value for Duke </w:t>
      </w:r>
      <w:r w:rsidR="00F81310">
        <w:t xml:space="preserve">Energy </w:t>
      </w:r>
      <w:r w:rsidR="00233969">
        <w:t xml:space="preserve">Ohio and Duke </w:t>
      </w:r>
      <w:r w:rsidR="00F81310">
        <w:t xml:space="preserve">Energy </w:t>
      </w:r>
      <w:r w:rsidR="00233969">
        <w:t>Kentucky combined and then allocates those hypothetical dollars to only the Ohio jurisdictional customers.</w:t>
      </w:r>
      <w:r w:rsidR="00F43117">
        <w:t xml:space="preserve">  Second, the Utility has not demonstrated that this allocation is consistent with cost-causation principles.</w:t>
      </w:r>
      <w:r w:rsidR="00233969">
        <w:t xml:space="preserve">  </w:t>
      </w:r>
      <w:r w:rsidR="00CC300F" w:rsidRPr="00CC300F">
        <w:t xml:space="preserve">Furthermore, the underlying data used to allocate these hypothetical costs to the Ohio Jurisdiction have not been produced, and the most recent underlying data from </w:t>
      </w:r>
      <w:r w:rsidR="009C229D">
        <w:t>PUCO C</w:t>
      </w:r>
      <w:r w:rsidR="00CC300F" w:rsidRPr="00CC300F">
        <w:t xml:space="preserve">ase </w:t>
      </w:r>
      <w:r w:rsidR="009C229D">
        <w:t xml:space="preserve">No. </w:t>
      </w:r>
      <w:r w:rsidR="00CC300F" w:rsidRPr="00CC300F">
        <w:t>12-1682</w:t>
      </w:r>
      <w:r w:rsidR="009C229D">
        <w:t>-EL-AIR (“12-1682”)</w:t>
      </w:r>
      <w:r w:rsidR="00CC300F" w:rsidRPr="00CC300F">
        <w:t xml:space="preserve"> indicates that the Company’s data is not reliable and is also bias</w:t>
      </w:r>
      <w:r w:rsidR="00CC300F">
        <w:t>ed</w:t>
      </w:r>
      <w:r w:rsidR="00CC300F" w:rsidRPr="00CC300F">
        <w:t>.</w:t>
      </w:r>
    </w:p>
    <w:p w:rsidR="00DD1BCD" w:rsidRDefault="00DD1BCD" w:rsidP="00DD1BCD">
      <w:pPr>
        <w:spacing w:line="480" w:lineRule="auto"/>
        <w:ind w:left="720"/>
      </w:pPr>
    </w:p>
    <w:p w:rsidR="005A68E0" w:rsidRDefault="005A68E0" w:rsidP="00DD1BCD">
      <w:pPr>
        <w:spacing w:line="480" w:lineRule="auto"/>
        <w:ind w:left="720"/>
        <w:rPr>
          <w:szCs w:val="24"/>
        </w:rPr>
      </w:pPr>
      <w:r>
        <w:t>Next, I address</w:t>
      </w:r>
      <w:r w:rsidR="00A40883">
        <w:t xml:space="preserve"> the </w:t>
      </w:r>
      <w:r w:rsidR="00AC2D99">
        <w:t>Utility</w:t>
      </w:r>
      <w:r w:rsidR="00A40883">
        <w:t xml:space="preserve">’s proposed </w:t>
      </w:r>
      <w:r w:rsidR="0035093F">
        <w:t xml:space="preserve">allocation of a </w:t>
      </w:r>
      <w:r w:rsidR="00A40883">
        <w:t>new Distribution Capital Rider</w:t>
      </w:r>
      <w:r w:rsidR="00E244CB">
        <w:t xml:space="preserve"> (</w:t>
      </w:r>
      <w:r w:rsidR="009C229D">
        <w:t>“</w:t>
      </w:r>
      <w:r w:rsidR="00A40883">
        <w:t>DCI</w:t>
      </w:r>
      <w:r w:rsidR="009C229D">
        <w:t>”</w:t>
      </w:r>
      <w:r w:rsidR="00E244CB">
        <w:t>)</w:t>
      </w:r>
      <w:r w:rsidR="00DD1BCD">
        <w:t>.  The Utility has proposed this rider to collect costs associated with “incremental distribution capital investment</w:t>
      </w:r>
      <w:r w:rsidR="0096356E">
        <w:t>.”</w:t>
      </w:r>
      <w:r w:rsidR="00DD1BCD">
        <w:t xml:space="preserve">  However, it does not propose to allocate these costs on </w:t>
      </w:r>
      <w:r w:rsidR="00241457" w:rsidRPr="00241457">
        <w:rPr>
          <w:b/>
        </w:rPr>
        <w:t>distribution capital investment</w:t>
      </w:r>
      <w:r w:rsidR="00DD1BCD">
        <w:t>.  Instead, Duke proposes to allocate these capital costs on total distribution revenue, which not only covers capital costs, but customer accounting and service costs as well.  It is inappropriate to use such things as meter reading and billing expenses as a basis for spreading unassociated capital costs.  I recommend</w:t>
      </w:r>
      <w:r w:rsidR="00B97AAE">
        <w:t xml:space="preserve"> allocating these capital</w:t>
      </w:r>
      <w:r w:rsidR="00DD1BCD">
        <w:t xml:space="preserve"> costs on the basis of </w:t>
      </w:r>
      <w:r w:rsidR="00B97AAE">
        <w:rPr>
          <w:szCs w:val="24"/>
        </w:rPr>
        <w:t>“total distribution revenue less customer accounting and service expenses</w:t>
      </w:r>
      <w:r w:rsidR="00E35AF2">
        <w:rPr>
          <w:szCs w:val="24"/>
        </w:rPr>
        <w:t>.”</w:t>
      </w:r>
    </w:p>
    <w:p w:rsidR="009E2A8B" w:rsidRDefault="009E2A8B" w:rsidP="00DD1BCD">
      <w:pPr>
        <w:spacing w:line="480" w:lineRule="auto"/>
        <w:ind w:left="720"/>
      </w:pPr>
    </w:p>
    <w:p w:rsidR="00A40883" w:rsidRDefault="00A40883" w:rsidP="0035093F">
      <w:pPr>
        <w:spacing w:line="480" w:lineRule="auto"/>
        <w:ind w:left="720"/>
      </w:pPr>
      <w:r w:rsidRPr="00A40883">
        <w:t xml:space="preserve">Next, I address the </w:t>
      </w:r>
      <w:r w:rsidR="00AC2D99">
        <w:t>Utility</w:t>
      </w:r>
      <w:r w:rsidRPr="00A40883">
        <w:t xml:space="preserve">’s proposed </w:t>
      </w:r>
      <w:r w:rsidR="0035093F">
        <w:t xml:space="preserve">allocation of a </w:t>
      </w:r>
      <w:r w:rsidRPr="00A40883">
        <w:t>new</w:t>
      </w:r>
      <w:r>
        <w:t xml:space="preserve"> Distribution Storm Rider</w:t>
      </w:r>
      <w:r w:rsidR="00E244CB">
        <w:t xml:space="preserve"> (</w:t>
      </w:r>
      <w:r w:rsidR="009C229D">
        <w:t>“</w:t>
      </w:r>
      <w:r w:rsidR="00AC3CB6">
        <w:t>DSR</w:t>
      </w:r>
      <w:r w:rsidR="009C229D">
        <w:t>”</w:t>
      </w:r>
      <w:r w:rsidR="00E244CB">
        <w:t>)</w:t>
      </w:r>
      <w:r w:rsidR="00AC3CB6">
        <w:t xml:space="preserve">.  </w:t>
      </w:r>
      <w:r w:rsidR="006153E5">
        <w:t>The Utility has proposed this rider to collect costs associated with “storm restoration expenses</w:t>
      </w:r>
      <w:r w:rsidR="00E35AF2">
        <w:t>.”</w:t>
      </w:r>
      <w:r w:rsidR="006153E5">
        <w:t xml:space="preserve">  However, it does not propose to allocate these costs on </w:t>
      </w:r>
      <w:r w:rsidR="00241457" w:rsidRPr="00241457">
        <w:rPr>
          <w:b/>
        </w:rPr>
        <w:t>capital investment being repaired</w:t>
      </w:r>
      <w:r w:rsidR="006153E5">
        <w:t xml:space="preserve">.  Instead, Duke proposes to allocate these storm restoration expenses on total distribution revenue.  As with the problem associated with the way Duke proposed to allocate its incremental distribution cost investments, this method also includes expenses associated with customer accounting and service costs as well.  It is inappropriate to use such things as meter reading and billing expenses as a basis for spreading unassociated storm restoration expenses.  I </w:t>
      </w:r>
      <w:r w:rsidR="002D0011">
        <w:t xml:space="preserve">also </w:t>
      </w:r>
      <w:r w:rsidR="006153E5">
        <w:t>recommend allocating these capital costs on the basis of</w:t>
      </w:r>
      <w:r w:rsidR="00F824BD">
        <w:t xml:space="preserve"> </w:t>
      </w:r>
      <w:r w:rsidR="006153E5">
        <w:rPr>
          <w:szCs w:val="24"/>
        </w:rPr>
        <w:t>“total distribution revenue less customer accounting and service expenses</w:t>
      </w:r>
      <w:r w:rsidR="00E35AF2">
        <w:rPr>
          <w:szCs w:val="24"/>
        </w:rPr>
        <w:t>.”</w:t>
      </w:r>
    </w:p>
    <w:p w:rsidR="003D5669" w:rsidRPr="004E7F0E" w:rsidRDefault="003D5669" w:rsidP="003D5669">
      <w:pPr>
        <w:spacing w:line="480" w:lineRule="auto"/>
      </w:pPr>
    </w:p>
    <w:p w:rsidR="00A35DEC" w:rsidRDefault="00AC3CB6" w:rsidP="00A35DEC">
      <w:pPr>
        <w:spacing w:line="480" w:lineRule="auto"/>
        <w:ind w:left="720"/>
      </w:pPr>
      <w:r w:rsidRPr="00A40883">
        <w:t xml:space="preserve">Next, I address the </w:t>
      </w:r>
      <w:r w:rsidR="00AC2D99">
        <w:t>Utility</w:t>
      </w:r>
      <w:r w:rsidRPr="00A40883">
        <w:t>’s proposed</w:t>
      </w:r>
      <w:r w:rsidR="0035093F">
        <w:t xml:space="preserve"> allocation of a</w:t>
      </w:r>
      <w:r w:rsidRPr="00A40883">
        <w:t xml:space="preserve"> new</w:t>
      </w:r>
      <w:r>
        <w:t xml:space="preserve"> Price Stabilization Rider</w:t>
      </w:r>
      <w:r w:rsidR="00E244CB">
        <w:t xml:space="preserve"> (</w:t>
      </w:r>
      <w:r w:rsidR="009C229D">
        <w:t>“</w:t>
      </w:r>
      <w:r>
        <w:t>PSR</w:t>
      </w:r>
      <w:r w:rsidR="009C229D">
        <w:t>”</w:t>
      </w:r>
      <w:r w:rsidR="00E244CB">
        <w:t>)</w:t>
      </w:r>
      <w:r>
        <w:t>.</w:t>
      </w:r>
      <w:r w:rsidR="0035093F">
        <w:t xml:space="preserve">  If the Commission authorizes this rider, the Utility has proposed that these costs be allocated on the basis of energy ($/kWh).  I agree that an energy allocation factor is the only thing that makes sense.</w:t>
      </w:r>
      <w:r w:rsidR="00A35DEC">
        <w:br w:type="page"/>
      </w:r>
    </w:p>
    <w:p w:rsidR="00AC3CB6" w:rsidRDefault="0035093F" w:rsidP="0035093F">
      <w:pPr>
        <w:spacing w:line="480" w:lineRule="auto"/>
        <w:ind w:left="720"/>
      </w:pPr>
      <w:r w:rsidRPr="0035093F">
        <w:t xml:space="preserve">Finally, </w:t>
      </w:r>
      <w:r>
        <w:t>I address Duke’s proposal to withdrawn its interruptible service.  I concur with the Utility’s proposal.  Given the f</w:t>
      </w:r>
      <w:r w:rsidR="000F2BA8">
        <w:t>act that it will no longer be a Fi</w:t>
      </w:r>
      <w:r w:rsidR="00143500">
        <w:t>xed Resource Requirements (</w:t>
      </w:r>
      <w:r w:rsidR="009C229D">
        <w:t>“</w:t>
      </w:r>
      <w:r w:rsidR="00143500">
        <w:t>FRR</w:t>
      </w:r>
      <w:r w:rsidR="009C229D">
        <w:t>”</w:t>
      </w:r>
      <w:r w:rsidR="000F2BA8">
        <w:t>) entity under PJM</w:t>
      </w:r>
      <w:r w:rsidR="009C229D">
        <w:t xml:space="preserve"> Interconnection, L.L.C.’s (“PJM”) Reliability Assurance Agreement</w:t>
      </w:r>
      <w:r w:rsidR="000F2BA8">
        <w:t>, it has no need for any interruptible loads.  Duke</w:t>
      </w:r>
      <w:r w:rsidR="00143500">
        <w:t>’s SSO</w:t>
      </w:r>
      <w:r w:rsidR="000F2BA8">
        <w:t xml:space="preserve"> capacity requirement will be satisfied by the winners of an auc</w:t>
      </w:r>
      <w:r w:rsidR="00874575">
        <w:t>tion-based procurement process.</w:t>
      </w:r>
    </w:p>
    <w:p w:rsidR="009E2A8B" w:rsidRPr="0035093F" w:rsidRDefault="009E2A8B" w:rsidP="0035093F">
      <w:pPr>
        <w:spacing w:line="480" w:lineRule="auto"/>
        <w:ind w:left="720"/>
      </w:pPr>
    </w:p>
    <w:p w:rsidR="00F12EC7" w:rsidRDefault="00A41828" w:rsidP="003B014C">
      <w:pPr>
        <w:pStyle w:val="Heading1"/>
      </w:pPr>
      <w:bookmarkStart w:id="3" w:name="_Toc399508407"/>
      <w:r w:rsidRPr="00A41828">
        <w:t>Retail Capacity</w:t>
      </w:r>
      <w:r>
        <w:t xml:space="preserve"> Rider</w:t>
      </w:r>
      <w:r w:rsidR="00143500">
        <w:rPr>
          <w:rFonts w:asciiTheme="minorHAnsi" w:hAnsiTheme="minorHAnsi"/>
          <w:lang w:val="en-US"/>
        </w:rPr>
        <w:t xml:space="preserve"> (</w:t>
      </w:r>
      <w:r w:rsidRPr="00A41828">
        <w:t>RC</w:t>
      </w:r>
      <w:r w:rsidR="00143500">
        <w:rPr>
          <w:rFonts w:asciiTheme="minorHAnsi" w:hAnsiTheme="minorHAnsi"/>
          <w:lang w:val="en-US"/>
        </w:rPr>
        <w:t>)</w:t>
      </w:r>
      <w:bookmarkEnd w:id="3"/>
      <w:r w:rsidRPr="00A41828">
        <w:t xml:space="preserve"> </w:t>
      </w:r>
    </w:p>
    <w:p w:rsidR="00C11498" w:rsidRDefault="00C11498" w:rsidP="000C61C6">
      <w:pPr>
        <w:spacing w:line="480" w:lineRule="auto"/>
        <w:ind w:left="1080"/>
        <w:rPr>
          <w:sz w:val="28"/>
          <w:szCs w:val="28"/>
        </w:rPr>
      </w:pPr>
    </w:p>
    <w:p w:rsidR="00A41828" w:rsidRPr="009A316A" w:rsidRDefault="00A41828" w:rsidP="000C61C6">
      <w:pPr>
        <w:spacing w:line="480" w:lineRule="auto"/>
        <w:ind w:left="720" w:hanging="720"/>
        <w:rPr>
          <w:b/>
          <w:i/>
          <w:caps/>
        </w:rPr>
      </w:pPr>
      <w:r w:rsidRPr="009A316A">
        <w:rPr>
          <w:b/>
          <w:i/>
          <w:caps/>
        </w:rPr>
        <w:t>Q</w:t>
      </w:r>
      <w:r w:rsidR="00C11498">
        <w:rPr>
          <w:b/>
          <w:i/>
          <w:caps/>
        </w:rPr>
        <w:t>6</w:t>
      </w:r>
      <w:r>
        <w:rPr>
          <w:b/>
          <w:i/>
          <w:caps/>
        </w:rPr>
        <w:t>.</w:t>
      </w:r>
      <w:r w:rsidRPr="009A316A">
        <w:rPr>
          <w:b/>
          <w:i/>
          <w:caps/>
        </w:rPr>
        <w:tab/>
      </w:r>
      <w:r>
        <w:rPr>
          <w:b/>
          <w:i/>
          <w:caps/>
        </w:rPr>
        <w:t xml:space="preserve">please summarize the </w:t>
      </w:r>
      <w:r w:rsidR="00AC2D99">
        <w:rPr>
          <w:b/>
          <w:i/>
          <w:caps/>
        </w:rPr>
        <w:t>Utility</w:t>
      </w:r>
      <w:r>
        <w:rPr>
          <w:b/>
          <w:i/>
          <w:caps/>
        </w:rPr>
        <w:t xml:space="preserve">’s proposal with respect to the retail capacity </w:t>
      </w:r>
      <w:r w:rsidR="00274D98">
        <w:rPr>
          <w:b/>
          <w:i/>
          <w:caps/>
        </w:rPr>
        <w:t xml:space="preserve">(“RC”) </w:t>
      </w:r>
      <w:r>
        <w:rPr>
          <w:b/>
          <w:i/>
          <w:caps/>
        </w:rPr>
        <w:t>rider</w:t>
      </w:r>
      <w:r w:rsidR="00145B94">
        <w:rPr>
          <w:b/>
          <w:i/>
          <w:caps/>
        </w:rPr>
        <w:t>.</w:t>
      </w:r>
      <w:r>
        <w:rPr>
          <w:b/>
          <w:i/>
          <w:caps/>
        </w:rPr>
        <w:t xml:space="preserve"> </w:t>
      </w:r>
    </w:p>
    <w:p w:rsidR="00461509" w:rsidRDefault="00A41828" w:rsidP="00874575">
      <w:pPr>
        <w:spacing w:line="480" w:lineRule="auto"/>
        <w:ind w:left="720" w:hanging="720"/>
      </w:pPr>
      <w:r w:rsidRPr="00316E16">
        <w:rPr>
          <w:b/>
          <w:i/>
        </w:rPr>
        <w:t>A</w:t>
      </w:r>
      <w:r w:rsidR="00C11498">
        <w:rPr>
          <w:b/>
          <w:i/>
        </w:rPr>
        <w:t>6</w:t>
      </w:r>
      <w:r>
        <w:rPr>
          <w:b/>
          <w:i/>
        </w:rPr>
        <w:t>.</w:t>
      </w:r>
      <w:r>
        <w:tab/>
        <w:t xml:space="preserve">There is a </w:t>
      </w:r>
      <w:r w:rsidR="00274D98">
        <w:t xml:space="preserve">RC </w:t>
      </w:r>
      <w:r>
        <w:t xml:space="preserve">Rider in the current ESP.  The </w:t>
      </w:r>
      <w:r w:rsidR="00AC2D99">
        <w:t>Utility</w:t>
      </w:r>
      <w:r w:rsidR="00A92306">
        <w:t xml:space="preserve"> proposes</w:t>
      </w:r>
      <w:r w:rsidR="00B14359">
        <w:t xml:space="preserve"> to allocate</w:t>
      </w:r>
      <w:r w:rsidR="00A92306">
        <w:t xml:space="preserve"> what it </w:t>
      </w:r>
      <w:r w:rsidR="00241457" w:rsidRPr="00241457">
        <w:rPr>
          <w:b/>
        </w:rPr>
        <w:t>assumes</w:t>
      </w:r>
      <w:r w:rsidR="00A92306">
        <w:t xml:space="preserve"> to be the</w:t>
      </w:r>
      <w:r w:rsidR="00B14359">
        <w:t xml:space="preserve"> “underlying”</w:t>
      </w:r>
      <w:r w:rsidR="00B14359">
        <w:rPr>
          <w:rStyle w:val="FootnoteReference"/>
        </w:rPr>
        <w:footnoteReference w:id="2"/>
      </w:r>
      <w:r w:rsidR="00B14359">
        <w:t xml:space="preserve"> </w:t>
      </w:r>
      <w:r w:rsidR="00F43117">
        <w:t xml:space="preserve">generation-related </w:t>
      </w:r>
      <w:r w:rsidR="00B14359">
        <w:t>capacity costs</w:t>
      </w:r>
      <w:r w:rsidR="00A92306">
        <w:t>,</w:t>
      </w:r>
      <w:r w:rsidR="00B14359">
        <w:t xml:space="preserve"> based on the manner in which </w:t>
      </w:r>
      <w:r w:rsidR="00A92306">
        <w:t>Duke assumes that these capacity costs</w:t>
      </w:r>
      <w:r w:rsidR="00B14359">
        <w:t xml:space="preserve"> arise.  In the last ESP case (Case No.-11-3549-EL-SSO), the </w:t>
      </w:r>
      <w:r w:rsidR="00AC2D99">
        <w:t>Utility</w:t>
      </w:r>
      <w:r w:rsidR="00461509">
        <w:t xml:space="preserve"> initially</w:t>
      </w:r>
      <w:r w:rsidR="00B14359">
        <w:t xml:space="preserve"> proposed that </w:t>
      </w:r>
      <w:r w:rsidR="00F43117">
        <w:t xml:space="preserve">generation-related </w:t>
      </w:r>
      <w:r w:rsidR="00AC2D99">
        <w:t xml:space="preserve">capacity </w:t>
      </w:r>
      <w:r w:rsidR="008A4C4C">
        <w:t>c</w:t>
      </w:r>
      <w:r w:rsidR="00B14359">
        <w:t>osts be allocated on the basis of a 12</w:t>
      </w:r>
      <w:r w:rsidR="00F43117">
        <w:t xml:space="preserve"> </w:t>
      </w:r>
      <w:r w:rsidR="00B14359">
        <w:t>C</w:t>
      </w:r>
      <w:r w:rsidR="00F43117">
        <w:t xml:space="preserve">oincident </w:t>
      </w:r>
      <w:r w:rsidR="00B14359">
        <w:t>P</w:t>
      </w:r>
      <w:r w:rsidR="00143500">
        <w:t>eak (</w:t>
      </w:r>
      <w:r w:rsidR="006B3369">
        <w:t>“</w:t>
      </w:r>
      <w:r w:rsidR="00143500">
        <w:t>12-CP</w:t>
      </w:r>
      <w:r w:rsidR="006B3369">
        <w:t>”</w:t>
      </w:r>
      <w:r w:rsidR="00F43117">
        <w:t>)</w:t>
      </w:r>
      <w:r w:rsidR="00B14359">
        <w:t xml:space="preserve"> method.  The resulting allocation</w:t>
      </w:r>
      <w:r w:rsidR="00461509">
        <w:t xml:space="preserve"> percentage</w:t>
      </w:r>
      <w:r w:rsidR="00B14359">
        <w:t xml:space="preserve"> </w:t>
      </w:r>
      <w:r w:rsidR="00461509">
        <w:t>from</w:t>
      </w:r>
      <w:r w:rsidR="00B400F0">
        <w:t xml:space="preserve"> the </w:t>
      </w:r>
      <w:r w:rsidR="00AC2D99">
        <w:t>Utility</w:t>
      </w:r>
      <w:r w:rsidR="00461509">
        <w:t>’s</w:t>
      </w:r>
      <w:r w:rsidR="00B400F0">
        <w:t xml:space="preserve"> </w:t>
      </w:r>
      <w:r w:rsidR="00461509">
        <w:t>initial proposal for r</w:t>
      </w:r>
      <w:r w:rsidR="00B14359">
        <w:t>esiden</w:t>
      </w:r>
      <w:r w:rsidR="00412C2F">
        <w:t>tial</w:t>
      </w:r>
      <w:r w:rsidR="00DB0E98">
        <w:rPr>
          <w:rStyle w:val="FootnoteReference"/>
        </w:rPr>
        <w:footnoteReference w:id="3"/>
      </w:r>
      <w:r w:rsidR="00412C2F">
        <w:t xml:space="preserve"> customers </w:t>
      </w:r>
      <w:r w:rsidR="00461509">
        <w:t xml:space="preserve">was </w:t>
      </w:r>
      <w:r w:rsidR="00412C2F">
        <w:t>46.76%.</w:t>
      </w:r>
      <w:r w:rsidR="00412C2F">
        <w:rPr>
          <w:rStyle w:val="FootnoteReference"/>
        </w:rPr>
        <w:footnoteReference w:id="4"/>
      </w:r>
      <w:r w:rsidR="00A92306">
        <w:t xml:space="preserve">  As a result of the S</w:t>
      </w:r>
      <w:r w:rsidR="00B400F0">
        <w:t xml:space="preserve">tipulation in Case No.-11-3549-EL-SSO, this allocation factor for the </w:t>
      </w:r>
      <w:r w:rsidR="00F43117">
        <w:t xml:space="preserve">residential </w:t>
      </w:r>
      <w:r w:rsidR="00B400F0">
        <w:t>customers was heavily weighted on energy usage.  The allocati</w:t>
      </w:r>
      <w:r w:rsidR="00A92306">
        <w:t xml:space="preserve">on factor </w:t>
      </w:r>
      <w:r w:rsidR="008A4C4C">
        <w:t xml:space="preserve">for capacity charges </w:t>
      </w:r>
      <w:r w:rsidR="00A92306">
        <w:t>that came out of the S</w:t>
      </w:r>
      <w:r w:rsidR="00B400F0">
        <w:t xml:space="preserve">tipulation for the </w:t>
      </w:r>
      <w:r w:rsidR="00F43117">
        <w:t>r</w:t>
      </w:r>
      <w:r w:rsidR="00B400F0">
        <w:t>esidential customers was 39.12%.</w:t>
      </w:r>
      <w:r w:rsidR="00B400F0">
        <w:rPr>
          <w:rStyle w:val="FootnoteReference"/>
        </w:rPr>
        <w:footnoteReference w:id="5"/>
      </w:r>
      <w:r w:rsidR="00125B86">
        <w:t xml:space="preserve">  Thus, the Stipulation provided </w:t>
      </w:r>
      <w:r w:rsidR="00274564">
        <w:t xml:space="preserve">Residential customers </w:t>
      </w:r>
      <w:r w:rsidR="00125B86">
        <w:t xml:space="preserve">a reduction of </w:t>
      </w:r>
      <w:r w:rsidR="00274564">
        <w:t>16</w:t>
      </w:r>
      <w:r w:rsidR="00274D98">
        <w:t xml:space="preserve"> percent</w:t>
      </w:r>
      <w:r w:rsidR="002B02B6">
        <w:rPr>
          <w:rStyle w:val="FootnoteReference"/>
        </w:rPr>
        <w:footnoteReference w:id="6"/>
      </w:r>
      <w:r w:rsidR="00125B86">
        <w:t xml:space="preserve"> in RC Rider costs </w:t>
      </w:r>
      <w:r w:rsidR="00461509">
        <w:t>compared to</w:t>
      </w:r>
      <w:r w:rsidR="00274564">
        <w:t xml:space="preserve"> Duke’s</w:t>
      </w:r>
      <w:r w:rsidR="00461509">
        <w:t xml:space="preserve"> initially</w:t>
      </w:r>
      <w:r w:rsidR="00274564">
        <w:t xml:space="preserve"> </w:t>
      </w:r>
      <w:r w:rsidR="000B282E">
        <w:t>proposed capacity charges in its Application.</w:t>
      </w:r>
    </w:p>
    <w:p w:rsidR="008D4E21" w:rsidRDefault="008D4E21" w:rsidP="006E5654">
      <w:pPr>
        <w:spacing w:line="480" w:lineRule="auto"/>
      </w:pPr>
    </w:p>
    <w:p w:rsidR="00125B86" w:rsidRDefault="00125B86" w:rsidP="00C11498">
      <w:pPr>
        <w:spacing w:line="480" w:lineRule="auto"/>
        <w:ind w:left="720"/>
      </w:pPr>
      <w:r>
        <w:t xml:space="preserve">In this case, the </w:t>
      </w:r>
      <w:r w:rsidR="00AC2D99">
        <w:t>Utility</w:t>
      </w:r>
      <w:r>
        <w:t xml:space="preserve"> is proposing to use a 5-CP method to allocate similar “underlying” </w:t>
      </w:r>
      <w:r w:rsidR="00F43117">
        <w:t xml:space="preserve">generation-related capacity </w:t>
      </w:r>
      <w:r>
        <w:t xml:space="preserve">costs to the various customer classes.  The resulting share of these costs that is proposed to be allocated to the </w:t>
      </w:r>
      <w:r w:rsidR="00F43117">
        <w:t xml:space="preserve">residential </w:t>
      </w:r>
      <w:r>
        <w:t xml:space="preserve">customers is </w:t>
      </w:r>
      <w:r w:rsidR="00C930F4">
        <w:t>45.37</w:t>
      </w:r>
      <w:r w:rsidR="00274D98">
        <w:t xml:space="preserve"> percent</w:t>
      </w:r>
      <w:r w:rsidR="00C930F4">
        <w:t xml:space="preserve">--slightly lower than the </w:t>
      </w:r>
      <w:r w:rsidR="00AC2D99">
        <w:t>Utility</w:t>
      </w:r>
      <w:r w:rsidR="00C930F4">
        <w:t xml:space="preserve"> proposed in the last case.</w:t>
      </w:r>
    </w:p>
    <w:p w:rsidR="00C930F4" w:rsidRDefault="00C930F4" w:rsidP="006E5654">
      <w:pPr>
        <w:spacing w:line="480" w:lineRule="auto"/>
      </w:pPr>
    </w:p>
    <w:p w:rsidR="001728CE" w:rsidRPr="009A316A" w:rsidRDefault="001728CE" w:rsidP="001728CE">
      <w:pPr>
        <w:spacing w:line="480" w:lineRule="auto"/>
        <w:ind w:left="720" w:hanging="720"/>
        <w:rPr>
          <w:b/>
          <w:i/>
          <w:caps/>
        </w:rPr>
      </w:pPr>
      <w:r w:rsidRPr="009A316A">
        <w:rPr>
          <w:b/>
          <w:i/>
          <w:caps/>
        </w:rPr>
        <w:t>Q</w:t>
      </w:r>
      <w:r w:rsidR="00C01278">
        <w:rPr>
          <w:b/>
          <w:i/>
          <w:caps/>
        </w:rPr>
        <w:t>7</w:t>
      </w:r>
      <w:r>
        <w:rPr>
          <w:b/>
          <w:i/>
          <w:caps/>
        </w:rPr>
        <w:t>.</w:t>
      </w:r>
      <w:r w:rsidRPr="009A316A">
        <w:rPr>
          <w:b/>
          <w:i/>
          <w:caps/>
        </w:rPr>
        <w:tab/>
      </w:r>
      <w:r>
        <w:rPr>
          <w:b/>
          <w:i/>
          <w:caps/>
        </w:rPr>
        <w:t>was there some basis in the last case for developing a capacity cost rider and allocating it on some basis of demand?</w:t>
      </w:r>
    </w:p>
    <w:p w:rsidR="001728CE" w:rsidRDefault="001728CE" w:rsidP="001728CE">
      <w:pPr>
        <w:spacing w:line="480" w:lineRule="auto"/>
        <w:ind w:left="720" w:hanging="720"/>
      </w:pPr>
      <w:r w:rsidRPr="00316E16">
        <w:rPr>
          <w:b/>
          <w:i/>
        </w:rPr>
        <w:t>A</w:t>
      </w:r>
      <w:r w:rsidR="00C01278">
        <w:rPr>
          <w:b/>
          <w:i/>
        </w:rPr>
        <w:t>7</w:t>
      </w:r>
      <w:r>
        <w:rPr>
          <w:b/>
          <w:i/>
        </w:rPr>
        <w:t>.</w:t>
      </w:r>
      <w:r>
        <w:tab/>
        <w:t xml:space="preserve">Yes, there was some basis in the last case to have a capacity cost rider, </w:t>
      </w:r>
      <w:r w:rsidR="00241457" w:rsidRPr="00241457">
        <w:rPr>
          <w:b/>
        </w:rPr>
        <w:t>but not in this case</w:t>
      </w:r>
      <w:r>
        <w:t xml:space="preserve">.  Under the existing rates from the last ESP case, Duke was self-supplying its own capacity requirements under what is referred to as a </w:t>
      </w:r>
      <w:r w:rsidR="00ED0975">
        <w:t>FRR</w:t>
      </w:r>
      <w:r>
        <w:t xml:space="preserve"> Plan.  As stated in the last case:</w:t>
      </w:r>
      <w:r>
        <w:rPr>
          <w:rStyle w:val="FootnoteReference"/>
        </w:rPr>
        <w:footnoteReference w:id="7"/>
      </w:r>
    </w:p>
    <w:p w:rsidR="001728CE" w:rsidRDefault="001728CE" w:rsidP="00F866F7">
      <w:pPr>
        <w:spacing w:line="480" w:lineRule="auto"/>
        <w:ind w:left="1440" w:right="720"/>
      </w:pPr>
      <w:r>
        <w:t>… the FRR, presents options for the Company in respect of capacity pricing.  Again, the price could be based on market, cost, some combination thereof, or a state determination.  By electing the FRR option, the Company is seeking a capacity rate that is largely predicated upon its costs, thereby shielding retail customers from the volatile capacity market without adversely affecting competitive suppliers.</w:t>
      </w:r>
    </w:p>
    <w:p w:rsidR="00F866F7" w:rsidRDefault="00F866F7" w:rsidP="00F866F7">
      <w:pPr>
        <w:spacing w:line="480" w:lineRule="auto"/>
        <w:ind w:left="1440" w:right="720"/>
      </w:pPr>
    </w:p>
    <w:p w:rsidR="001728CE" w:rsidRDefault="001728CE" w:rsidP="00874575">
      <w:pPr>
        <w:spacing w:line="480" w:lineRule="auto"/>
        <w:ind w:left="720"/>
      </w:pPr>
      <w:r>
        <w:t>Notably, the Utility’s witness in the last case made no mention, let alone recommendation, of using a 5-CP method in spite of the fact that, at the time, PJM was using a 5-CP demand to define the capacity requirement for Duke Energy Ohio’s service footprint.</w:t>
      </w:r>
    </w:p>
    <w:p w:rsidR="001728CE" w:rsidRDefault="001728CE" w:rsidP="007E5C71">
      <w:pPr>
        <w:spacing w:line="480" w:lineRule="auto"/>
        <w:ind w:left="720"/>
      </w:pPr>
      <w:r>
        <w:t>In the current ESP, the Utility is terminating its FRR and is fully going to market for both energy and capacity.  There is no state regulation or specific cost structure and/or allocation that can be made on the basis of demand—capacity and energy come as a package, and are simply sold on the basis of energy.  Any attempt to try to relate these all-inclusive energy prices to the previous FRR is meaningless.</w:t>
      </w:r>
    </w:p>
    <w:p w:rsidR="001728CE" w:rsidRDefault="001728CE" w:rsidP="006E5654">
      <w:pPr>
        <w:spacing w:line="480" w:lineRule="auto"/>
      </w:pPr>
    </w:p>
    <w:p w:rsidR="00C930F4" w:rsidRPr="009A316A" w:rsidRDefault="00C930F4" w:rsidP="00C11498">
      <w:pPr>
        <w:spacing w:line="480" w:lineRule="auto"/>
        <w:ind w:left="720" w:hanging="720"/>
        <w:rPr>
          <w:b/>
          <w:i/>
          <w:caps/>
        </w:rPr>
      </w:pPr>
      <w:r w:rsidRPr="009A316A">
        <w:rPr>
          <w:b/>
          <w:i/>
          <w:caps/>
        </w:rPr>
        <w:t>Q</w:t>
      </w:r>
      <w:r w:rsidR="00C01278">
        <w:rPr>
          <w:b/>
          <w:i/>
          <w:caps/>
        </w:rPr>
        <w:t>8</w:t>
      </w:r>
      <w:r>
        <w:rPr>
          <w:b/>
          <w:i/>
          <w:caps/>
        </w:rPr>
        <w:t>.</w:t>
      </w:r>
      <w:r w:rsidRPr="009A316A">
        <w:rPr>
          <w:b/>
          <w:i/>
          <w:caps/>
        </w:rPr>
        <w:tab/>
      </w:r>
      <w:r>
        <w:rPr>
          <w:b/>
          <w:i/>
          <w:caps/>
        </w:rPr>
        <w:t xml:space="preserve">Is the </w:t>
      </w:r>
      <w:r w:rsidR="00AC2D99">
        <w:rPr>
          <w:b/>
          <w:i/>
          <w:caps/>
        </w:rPr>
        <w:t>Utility</w:t>
      </w:r>
      <w:r>
        <w:rPr>
          <w:b/>
          <w:i/>
          <w:caps/>
        </w:rPr>
        <w:t>’s logic for development and employment of Rider rc appropriate</w:t>
      </w:r>
      <w:r w:rsidR="001728CE">
        <w:rPr>
          <w:b/>
          <w:i/>
          <w:caps/>
        </w:rPr>
        <w:t xml:space="preserve"> in this case</w:t>
      </w:r>
      <w:r>
        <w:rPr>
          <w:b/>
          <w:i/>
          <w:caps/>
        </w:rPr>
        <w:t>?</w:t>
      </w:r>
    </w:p>
    <w:p w:rsidR="00ED0975" w:rsidRDefault="00C930F4" w:rsidP="00ED0975">
      <w:pPr>
        <w:spacing w:line="480" w:lineRule="auto"/>
        <w:ind w:left="720" w:hanging="720"/>
      </w:pPr>
      <w:r w:rsidRPr="00316E16">
        <w:rPr>
          <w:b/>
          <w:i/>
        </w:rPr>
        <w:t>A</w:t>
      </w:r>
      <w:r w:rsidR="00C01278">
        <w:rPr>
          <w:b/>
          <w:i/>
        </w:rPr>
        <w:t>8</w:t>
      </w:r>
      <w:r>
        <w:rPr>
          <w:b/>
          <w:i/>
        </w:rPr>
        <w:t>.</w:t>
      </w:r>
      <w:r>
        <w:tab/>
        <w:t xml:space="preserve">No.  </w:t>
      </w:r>
      <w:r w:rsidR="00F43117">
        <w:t>T</w:t>
      </w:r>
      <w:r w:rsidR="008D4E21">
        <w:t xml:space="preserve">he </w:t>
      </w:r>
      <w:r w:rsidR="00AC2D99">
        <w:t>Utility</w:t>
      </w:r>
      <w:r w:rsidR="008D4E21">
        <w:t xml:space="preserve"> is proposing a r</w:t>
      </w:r>
      <w:r>
        <w:t>ider</w:t>
      </w:r>
      <w:r w:rsidR="000E6A49">
        <w:t xml:space="preserve"> for capacity costs</w:t>
      </w:r>
      <w:r>
        <w:t xml:space="preserve"> and its allocation to customer classes in order to reflect “the underlying cost in the SSO auction based on the manner in which the capacity costs arise.”</w:t>
      </w:r>
      <w:r>
        <w:rPr>
          <w:rStyle w:val="FootnoteReference"/>
        </w:rPr>
        <w:footnoteReference w:id="8"/>
      </w:r>
      <w:r w:rsidR="00D2243B">
        <w:t xml:space="preserve">  </w:t>
      </w:r>
      <w:r w:rsidR="000E6A49">
        <w:t xml:space="preserve">In fact, </w:t>
      </w:r>
      <w:r w:rsidR="00121F1F">
        <w:t xml:space="preserve">Duke does not incur </w:t>
      </w:r>
      <w:r w:rsidR="00461509">
        <w:t xml:space="preserve">any direct or known </w:t>
      </w:r>
      <w:r w:rsidR="00F43117">
        <w:t xml:space="preserve">generation-related </w:t>
      </w:r>
      <w:r w:rsidR="00121F1F">
        <w:t>capacity costs.  Duke holds a competitively</w:t>
      </w:r>
      <w:r w:rsidR="00F43117">
        <w:t>-</w:t>
      </w:r>
      <w:r w:rsidR="00121F1F">
        <w:t>bid auction where energy and capacity are procured</w:t>
      </w:r>
      <w:r w:rsidR="00F43117">
        <w:t xml:space="preserve"> from wholesale suppliers</w:t>
      </w:r>
      <w:r w:rsidR="00461509">
        <w:t xml:space="preserve"> on an energy only basis.</w:t>
      </w:r>
      <w:r w:rsidR="00257722">
        <w:t xml:space="preserve"> </w:t>
      </w:r>
      <w:r w:rsidR="00121F1F">
        <w:t xml:space="preserve"> </w:t>
      </w:r>
      <w:r w:rsidR="00F43117">
        <w:t>Consequently,</w:t>
      </w:r>
      <w:r w:rsidR="002B6D79">
        <w:t xml:space="preserve"> because</w:t>
      </w:r>
      <w:r w:rsidR="00F43117">
        <w:t xml:space="preserve"> Duke incurs </w:t>
      </w:r>
      <w:r w:rsidR="000E6A49">
        <w:t xml:space="preserve">no </w:t>
      </w:r>
      <w:r w:rsidR="00244CF0">
        <w:t xml:space="preserve">direct </w:t>
      </w:r>
      <w:r w:rsidR="00F43117">
        <w:t xml:space="preserve">generation-related </w:t>
      </w:r>
      <w:r w:rsidR="000E6A49">
        <w:t xml:space="preserve">capacity costs, there are no </w:t>
      </w:r>
      <w:r w:rsidR="00F43117">
        <w:t xml:space="preserve">generation-related </w:t>
      </w:r>
      <w:r w:rsidR="000E6A49">
        <w:t>capacity costs to be allocated.</w:t>
      </w:r>
    </w:p>
    <w:p w:rsidR="00A35DEC" w:rsidRDefault="00A35DEC" w:rsidP="00ED0975">
      <w:pPr>
        <w:spacing w:line="480" w:lineRule="auto"/>
        <w:ind w:left="720" w:hanging="720"/>
        <w:rPr>
          <w:b/>
          <w:i/>
        </w:rPr>
      </w:pPr>
    </w:p>
    <w:p w:rsidR="00383709" w:rsidRPr="00383709" w:rsidRDefault="00472678" w:rsidP="00383709">
      <w:pPr>
        <w:spacing w:line="480" w:lineRule="auto"/>
        <w:ind w:left="720" w:hanging="720"/>
        <w:rPr>
          <w:b/>
          <w:i/>
        </w:rPr>
      </w:pPr>
      <w:r w:rsidRPr="00472678">
        <w:rPr>
          <w:b/>
          <w:i/>
        </w:rPr>
        <w:t>Q</w:t>
      </w:r>
      <w:r w:rsidR="00C01278">
        <w:rPr>
          <w:b/>
          <w:i/>
        </w:rPr>
        <w:t>9</w:t>
      </w:r>
      <w:r w:rsidRPr="00472678">
        <w:rPr>
          <w:b/>
          <w:i/>
        </w:rPr>
        <w:t>.</w:t>
      </w:r>
      <w:r w:rsidR="00383709">
        <w:rPr>
          <w:b/>
          <w:i/>
        </w:rPr>
        <w:tab/>
        <w:t>IF THE COMPETITIVELY-BID WHOLESALE RATE IS CHARGED TO DUKE’S CUSTOMERS ON AN ENERGY BASIS, WHY HAS DUKE PROPOSED TO SPLIT THESE COSTS INTO CAPACITY AND ENERGY COMPONENTS AND CHARGE</w:t>
      </w:r>
      <w:r w:rsidR="004E32DC">
        <w:rPr>
          <w:b/>
          <w:i/>
        </w:rPr>
        <w:t>D</w:t>
      </w:r>
      <w:r w:rsidR="00383709">
        <w:rPr>
          <w:b/>
          <w:i/>
        </w:rPr>
        <w:t xml:space="preserve"> CUSTOMERS BASED ON THE PJM 5</w:t>
      </w:r>
      <w:r w:rsidR="00274D98">
        <w:rPr>
          <w:b/>
          <w:i/>
        </w:rPr>
        <w:t>-</w:t>
      </w:r>
      <w:r w:rsidR="00383709">
        <w:rPr>
          <w:b/>
          <w:i/>
        </w:rPr>
        <w:t>CP</w:t>
      </w:r>
      <w:r w:rsidR="004E32DC">
        <w:rPr>
          <w:b/>
          <w:i/>
        </w:rPr>
        <w:t xml:space="preserve"> METHOD</w:t>
      </w:r>
      <w:r w:rsidR="00383709">
        <w:rPr>
          <w:b/>
          <w:i/>
        </w:rPr>
        <w:t>?</w:t>
      </w:r>
    </w:p>
    <w:p w:rsidR="00C930F4" w:rsidRDefault="00472678" w:rsidP="00383709">
      <w:pPr>
        <w:spacing w:line="480" w:lineRule="auto"/>
        <w:ind w:left="720" w:hanging="720"/>
      </w:pPr>
      <w:r w:rsidRPr="00472678">
        <w:rPr>
          <w:b/>
          <w:i/>
        </w:rPr>
        <w:t>A</w:t>
      </w:r>
      <w:r w:rsidR="00C01278">
        <w:rPr>
          <w:b/>
          <w:i/>
        </w:rPr>
        <w:t>9</w:t>
      </w:r>
      <w:r w:rsidR="00383709">
        <w:rPr>
          <w:i/>
        </w:rPr>
        <w:t>.</w:t>
      </w:r>
      <w:r w:rsidR="00757B4F">
        <w:tab/>
      </w:r>
      <w:r w:rsidR="00383709">
        <w:t>There is not a good reason for this and it is inconsistent with the manner in which wholesale costs are passed through to</w:t>
      </w:r>
      <w:r w:rsidR="002404FF">
        <w:t xml:space="preserve"> the Utility and the way the Utility passes those costs to </w:t>
      </w:r>
      <w:r w:rsidR="00383709">
        <w:t xml:space="preserve">retail customers.  </w:t>
      </w:r>
      <w:r w:rsidR="000E6A49">
        <w:t xml:space="preserve">What the </w:t>
      </w:r>
      <w:r w:rsidR="00AC2D99">
        <w:t>Utility</w:t>
      </w:r>
      <w:r w:rsidR="000E6A49">
        <w:t xml:space="preserve"> is calling “underlying” costs is based upon </w:t>
      </w:r>
      <w:r w:rsidR="00B2022C">
        <w:t>a hypothetical calculation that Mr. Ziolkowski supports as follows:</w:t>
      </w:r>
    </w:p>
    <w:p w:rsidR="00B2022C" w:rsidRDefault="006013B8" w:rsidP="007E5C71">
      <w:pPr>
        <w:spacing w:line="480" w:lineRule="auto"/>
        <w:ind w:left="1440" w:right="720"/>
      </w:pPr>
      <w:r>
        <w:t>The PJM capacity requirement for Duke Energy Ohio’s service footprint is determined on the</w:t>
      </w:r>
      <w:r w:rsidR="007E5C71">
        <w:t xml:space="preserve"> basis of the total 5CP demand.  </w:t>
      </w:r>
      <w:r w:rsidR="00241457" w:rsidRPr="00241457">
        <w:rPr>
          <w:b/>
        </w:rPr>
        <w:t>On the basis of traditional cost-causation principles</w:t>
      </w:r>
      <w:r w:rsidR="00B2022C">
        <w:t xml:space="preserve">, it is therefore reasonable to allocate the capacity cost on the </w:t>
      </w:r>
      <w:r>
        <w:t>basis of each class’s contribution to the total 5CP.  (Emphasis added</w:t>
      </w:r>
      <w:r w:rsidR="00CA6CA9">
        <w:t>.</w:t>
      </w:r>
      <w:r>
        <w:t>)</w:t>
      </w:r>
    </w:p>
    <w:p w:rsidR="00C6065E" w:rsidRDefault="00C6065E" w:rsidP="007E5C71">
      <w:pPr>
        <w:spacing w:line="480" w:lineRule="auto"/>
        <w:ind w:left="1440" w:right="720"/>
      </w:pPr>
    </w:p>
    <w:p w:rsidR="00ED0975" w:rsidRDefault="006013B8" w:rsidP="00ED0975">
      <w:pPr>
        <w:spacing w:line="480" w:lineRule="auto"/>
        <w:ind w:left="720"/>
        <w:rPr>
          <w:b/>
          <w:i/>
        </w:rPr>
      </w:pPr>
      <w:r>
        <w:t>Mr. Ziolk</w:t>
      </w:r>
      <w:r w:rsidR="0040363E">
        <w:t>owski bases his support for the use of the 5-CP method</w:t>
      </w:r>
      <w:r>
        <w:t xml:space="preserve"> on “traditional cost-causation principles</w:t>
      </w:r>
      <w:r w:rsidR="006B3369">
        <w:t>.</w:t>
      </w:r>
      <w:r>
        <w:t>”</w:t>
      </w:r>
      <w:r w:rsidR="00383709">
        <w:t xml:space="preserve">  But this contravenes the manner in which wholesale costs are</w:t>
      </w:r>
      <w:r w:rsidR="00745CE7">
        <w:t xml:space="preserve"> </w:t>
      </w:r>
      <w:r w:rsidR="00383709">
        <w:t xml:space="preserve">passed through to </w:t>
      </w:r>
      <w:r w:rsidR="00745CE7">
        <w:t>the Utility in this case.</w:t>
      </w:r>
      <w:r w:rsidR="00ED0975">
        <w:rPr>
          <w:b/>
          <w:i/>
        </w:rPr>
        <w:br w:type="page"/>
      </w:r>
    </w:p>
    <w:p w:rsidR="00461509" w:rsidRDefault="00383709">
      <w:pPr>
        <w:spacing w:line="480" w:lineRule="auto"/>
        <w:ind w:left="720" w:hanging="720"/>
        <w:rPr>
          <w:b/>
          <w:i/>
        </w:rPr>
      </w:pPr>
      <w:r>
        <w:rPr>
          <w:b/>
          <w:i/>
        </w:rPr>
        <w:t>Q</w:t>
      </w:r>
      <w:r w:rsidR="00C01278">
        <w:rPr>
          <w:b/>
          <w:i/>
        </w:rPr>
        <w:t>10</w:t>
      </w:r>
      <w:r>
        <w:rPr>
          <w:b/>
          <w:i/>
        </w:rPr>
        <w:t>.</w:t>
      </w:r>
      <w:r>
        <w:rPr>
          <w:b/>
          <w:i/>
        </w:rPr>
        <w:tab/>
        <w:t>ARE THERE OTHER INCONSISTENCIES BETWEEN MR. ZIOLKOWSKI’S PROPOSED ALLOCATION</w:t>
      </w:r>
      <w:r w:rsidR="001C1092">
        <w:rPr>
          <w:b/>
          <w:i/>
        </w:rPr>
        <w:t xml:space="preserve"> </w:t>
      </w:r>
      <w:r w:rsidR="00745CE7">
        <w:rPr>
          <w:b/>
          <w:i/>
        </w:rPr>
        <w:t>IN THIS CASE</w:t>
      </w:r>
      <w:r>
        <w:rPr>
          <w:b/>
          <w:i/>
        </w:rPr>
        <w:t xml:space="preserve"> AND THE MANNER IN WHICH GENERATION-RELATED CAPACITY COSTS </w:t>
      </w:r>
      <w:r w:rsidR="00745CE7">
        <w:rPr>
          <w:b/>
          <w:i/>
        </w:rPr>
        <w:t>WERE PROPOSED BY HIM TO</w:t>
      </w:r>
      <w:r>
        <w:rPr>
          <w:b/>
          <w:i/>
        </w:rPr>
        <w:t xml:space="preserve"> BE ALLOCATED IN THE PAST?</w:t>
      </w:r>
    </w:p>
    <w:p w:rsidR="00461509" w:rsidRDefault="00383709" w:rsidP="007E5C71">
      <w:pPr>
        <w:spacing w:line="480" w:lineRule="auto"/>
        <w:ind w:left="720" w:hanging="720"/>
      </w:pPr>
      <w:r>
        <w:rPr>
          <w:b/>
          <w:i/>
        </w:rPr>
        <w:t>A</w:t>
      </w:r>
      <w:r w:rsidR="00C01278">
        <w:rPr>
          <w:b/>
          <w:i/>
        </w:rPr>
        <w:t>10</w:t>
      </w:r>
      <w:r>
        <w:rPr>
          <w:b/>
          <w:i/>
        </w:rPr>
        <w:t>.</w:t>
      </w:r>
      <w:r>
        <w:rPr>
          <w:b/>
          <w:i/>
        </w:rPr>
        <w:tab/>
      </w:r>
      <w:r>
        <w:t xml:space="preserve">Yes.  In </w:t>
      </w:r>
      <w:r w:rsidR="0040363E">
        <w:t>the last ESP case, Mr. Ziolkowski proposed the use of a 12-CP method</w:t>
      </w:r>
      <w:r w:rsidR="008D4E21">
        <w:t>,</w:t>
      </w:r>
      <w:r w:rsidR="0040363E">
        <w:t xml:space="preserve"> when at that time</w:t>
      </w:r>
      <w:r w:rsidR="008D4E21">
        <w:t xml:space="preserve"> PJM was</w:t>
      </w:r>
      <w:r w:rsidR="0040363E">
        <w:t xml:space="preserve"> setting the </w:t>
      </w:r>
      <w:r w:rsidR="00EB20B3">
        <w:t xml:space="preserve">generation-related </w:t>
      </w:r>
      <w:r w:rsidR="0040363E">
        <w:t>capacity requirement</w:t>
      </w:r>
      <w:r w:rsidR="00EB20B3">
        <w:t>s</w:t>
      </w:r>
      <w:r w:rsidR="0040363E">
        <w:t xml:space="preserve"> for Duke Energy Ohio’s service footprint on the basis of the 5-CP demand.  </w:t>
      </w:r>
      <w:r w:rsidR="00EB20B3">
        <w:t xml:space="preserve">It is significant that while </w:t>
      </w:r>
      <w:r w:rsidR="0040363E">
        <w:t xml:space="preserve">PJM </w:t>
      </w:r>
      <w:r w:rsidR="00EB20B3">
        <w:t xml:space="preserve">has consistently used </w:t>
      </w:r>
      <w:r w:rsidR="0040363E">
        <w:t xml:space="preserve">the 5-CP method to set the capacity requirement for </w:t>
      </w:r>
      <w:r w:rsidR="00745CE7">
        <w:t>the Utility</w:t>
      </w:r>
      <w:r w:rsidR="0040363E">
        <w:t>, Duke</w:t>
      </w:r>
      <w:r w:rsidR="00EB20B3">
        <w:t xml:space="preserve"> has not previously suggested that generation-related capacity costs passed through to customers at the retail level should track PJM’s 5</w:t>
      </w:r>
      <w:r w:rsidR="006B3369">
        <w:t>-</w:t>
      </w:r>
      <w:r w:rsidR="00EB20B3">
        <w:t xml:space="preserve">CP approach.  Duke’s argument for a </w:t>
      </w:r>
      <w:r w:rsidR="0040363E">
        <w:t>different allocation method</w:t>
      </w:r>
      <w:r w:rsidR="00EB20B3">
        <w:t xml:space="preserve"> in this proceeding as compared to the last proceeding is indicative of the fact that it is not seeking a method that follows cost-causation principles</w:t>
      </w:r>
      <w:r w:rsidR="0040363E">
        <w:t xml:space="preserve">.  </w:t>
      </w:r>
      <w:r w:rsidR="006013B8">
        <w:t>As I will point out later</w:t>
      </w:r>
      <w:r w:rsidR="00EB20B3">
        <w:t xml:space="preserve"> with respect to other riders</w:t>
      </w:r>
      <w:r w:rsidR="006013B8">
        <w:t>, Mr. Ziolkowski ignores “traditional cost-causation pr</w:t>
      </w:r>
      <w:r w:rsidR="003A2626">
        <w:t>inciples</w:t>
      </w:r>
      <w:r w:rsidR="006B3369">
        <w:t>.</w:t>
      </w:r>
      <w:r w:rsidR="003A2626">
        <w:t>”</w:t>
      </w:r>
      <w:r w:rsidR="00EB20B3">
        <w:t xml:space="preserve"> </w:t>
      </w:r>
    </w:p>
    <w:p w:rsidR="00DC6C8D" w:rsidRDefault="00DC6C8D" w:rsidP="006E5654">
      <w:pPr>
        <w:spacing w:line="480" w:lineRule="auto"/>
      </w:pPr>
    </w:p>
    <w:p w:rsidR="002E1678" w:rsidRPr="009A316A" w:rsidRDefault="002E1678" w:rsidP="00C11498">
      <w:pPr>
        <w:spacing w:line="480" w:lineRule="auto"/>
        <w:ind w:left="720" w:hanging="720"/>
        <w:rPr>
          <w:b/>
          <w:i/>
          <w:caps/>
        </w:rPr>
      </w:pPr>
      <w:r w:rsidRPr="009A316A">
        <w:rPr>
          <w:b/>
          <w:i/>
          <w:caps/>
        </w:rPr>
        <w:t>Q</w:t>
      </w:r>
      <w:r w:rsidR="00C01278">
        <w:rPr>
          <w:b/>
          <w:i/>
          <w:caps/>
        </w:rPr>
        <w:t>11</w:t>
      </w:r>
      <w:r>
        <w:rPr>
          <w:b/>
          <w:i/>
          <w:caps/>
        </w:rPr>
        <w:t>.</w:t>
      </w:r>
      <w:r w:rsidRPr="009A316A">
        <w:rPr>
          <w:b/>
          <w:i/>
          <w:caps/>
        </w:rPr>
        <w:tab/>
      </w:r>
      <w:r>
        <w:rPr>
          <w:b/>
          <w:i/>
          <w:caps/>
        </w:rPr>
        <w:t>what “traditional cost-causation pri</w:t>
      </w:r>
      <w:r w:rsidR="00EE056E">
        <w:rPr>
          <w:b/>
          <w:i/>
          <w:caps/>
        </w:rPr>
        <w:t>n</w:t>
      </w:r>
      <w:r>
        <w:rPr>
          <w:b/>
          <w:i/>
          <w:caps/>
        </w:rPr>
        <w:t>ciples” is mr. ziolk</w:t>
      </w:r>
      <w:r w:rsidR="009B4DE5">
        <w:rPr>
          <w:b/>
          <w:i/>
          <w:caps/>
        </w:rPr>
        <w:t>ow</w:t>
      </w:r>
      <w:r>
        <w:rPr>
          <w:b/>
          <w:i/>
          <w:caps/>
        </w:rPr>
        <w:t>ski addressing?</w:t>
      </w:r>
    </w:p>
    <w:p w:rsidR="00ED0975" w:rsidRDefault="002E1678" w:rsidP="00EE056E">
      <w:pPr>
        <w:spacing w:line="480" w:lineRule="auto"/>
        <w:ind w:left="720" w:hanging="720"/>
        <w:rPr>
          <w:u w:val="single"/>
        </w:rPr>
      </w:pPr>
      <w:r w:rsidRPr="00316E16">
        <w:rPr>
          <w:b/>
          <w:i/>
        </w:rPr>
        <w:t>A</w:t>
      </w:r>
      <w:r w:rsidR="00C01278">
        <w:rPr>
          <w:b/>
          <w:i/>
        </w:rPr>
        <w:t>11</w:t>
      </w:r>
      <w:r>
        <w:rPr>
          <w:b/>
          <w:i/>
        </w:rPr>
        <w:t>.</w:t>
      </w:r>
      <w:r>
        <w:tab/>
      </w:r>
      <w:r w:rsidR="009B4DE5">
        <w:t>Mr. Ziolkowski appears to be addressing the most fundamental cost-causation principle—that cost should be allocate</w:t>
      </w:r>
      <w:r w:rsidR="007C43C6">
        <w:t>d</w:t>
      </w:r>
      <w:r w:rsidR="009B4DE5">
        <w:t>/recovered in direct relationship to the manner in which costs are incurred.</w:t>
      </w:r>
      <w:r w:rsidR="00094F7F">
        <w:t xml:space="preserve">  There is nothing wrong with following such cost-causation principles.  </w:t>
      </w:r>
      <w:r w:rsidR="00E74059">
        <w:t xml:space="preserve">The fallacy with Mr. Ziolkowski’s statement is that he is suggesting that there is </w:t>
      </w:r>
      <w:r w:rsidR="00EB20B3">
        <w:t xml:space="preserve">a one-to-one </w:t>
      </w:r>
      <w:r w:rsidR="00E74059">
        <w:t xml:space="preserve">relationship between PJM’s </w:t>
      </w:r>
      <w:r w:rsidR="00EB20B3">
        <w:t xml:space="preserve">wholesale generation </w:t>
      </w:r>
      <w:r w:rsidR="00E74059">
        <w:t xml:space="preserve">capacity requirement for Duke Energy Ohio and the costs that the </w:t>
      </w:r>
      <w:r w:rsidR="00AC2D99">
        <w:t>Utility</w:t>
      </w:r>
      <w:r w:rsidR="00E74059">
        <w:t xml:space="preserve"> pays</w:t>
      </w:r>
      <w:r w:rsidR="00EB20B3">
        <w:t xml:space="preserve"> to wholesale suppliers for its competitively-bid supply</w:t>
      </w:r>
      <w:r w:rsidR="00E74059">
        <w:t xml:space="preserve">.  In fact, the </w:t>
      </w:r>
      <w:r w:rsidR="00AC2D99">
        <w:t>Utility</w:t>
      </w:r>
      <w:r w:rsidR="00E74059">
        <w:t xml:space="preserve"> pays no </w:t>
      </w:r>
      <w:r w:rsidR="00EB20B3">
        <w:t xml:space="preserve">separate </w:t>
      </w:r>
      <w:r w:rsidR="00E74059">
        <w:t xml:space="preserve">capacity </w:t>
      </w:r>
      <w:r w:rsidR="00EB20B3">
        <w:t xml:space="preserve">charge </w:t>
      </w:r>
      <w:r w:rsidR="00E74059">
        <w:t xml:space="preserve">for the SSO power that is brought into the system.  </w:t>
      </w:r>
      <w:r w:rsidR="00241457" w:rsidRPr="00241457">
        <w:rPr>
          <w:b/>
        </w:rPr>
        <w:t>The Utility pays only energy (</w:t>
      </w:r>
      <w:r w:rsidR="002B6D79">
        <w:rPr>
          <w:b/>
        </w:rPr>
        <w:t>$/M</w:t>
      </w:r>
      <w:r w:rsidR="00241457" w:rsidRPr="00241457">
        <w:rPr>
          <w:b/>
        </w:rPr>
        <w:t>Wh) charges.</w:t>
      </w:r>
    </w:p>
    <w:p w:rsidR="00EE056E" w:rsidRDefault="00EE056E" w:rsidP="00EE056E">
      <w:pPr>
        <w:spacing w:line="480" w:lineRule="auto"/>
        <w:ind w:left="720" w:hanging="720"/>
        <w:rPr>
          <w:b/>
          <w:i/>
          <w:caps/>
        </w:rPr>
      </w:pPr>
    </w:p>
    <w:p w:rsidR="00E74059" w:rsidRPr="009A316A" w:rsidRDefault="00E74059" w:rsidP="00C11498">
      <w:pPr>
        <w:spacing w:line="480" w:lineRule="auto"/>
        <w:ind w:left="720" w:hanging="720"/>
        <w:rPr>
          <w:b/>
          <w:i/>
          <w:caps/>
        </w:rPr>
      </w:pPr>
      <w:r w:rsidRPr="009A316A">
        <w:rPr>
          <w:b/>
          <w:i/>
          <w:caps/>
        </w:rPr>
        <w:t>Q</w:t>
      </w:r>
      <w:r w:rsidR="00C01278">
        <w:rPr>
          <w:b/>
          <w:i/>
          <w:caps/>
        </w:rPr>
        <w:t>12</w:t>
      </w:r>
      <w:r>
        <w:rPr>
          <w:b/>
          <w:i/>
          <w:caps/>
        </w:rPr>
        <w:t>.</w:t>
      </w:r>
      <w:r w:rsidRPr="009A316A">
        <w:rPr>
          <w:b/>
          <w:i/>
          <w:caps/>
        </w:rPr>
        <w:tab/>
      </w:r>
      <w:r>
        <w:rPr>
          <w:b/>
          <w:i/>
          <w:caps/>
        </w:rPr>
        <w:t>is it true that the various entities that supply the gen</w:t>
      </w:r>
      <w:r w:rsidR="002A19D8">
        <w:rPr>
          <w:b/>
          <w:i/>
          <w:caps/>
        </w:rPr>
        <w:t>eration for the sso load incur capacity costs</w:t>
      </w:r>
      <w:r>
        <w:rPr>
          <w:b/>
          <w:i/>
          <w:caps/>
        </w:rPr>
        <w:t xml:space="preserve"> based upon </w:t>
      </w:r>
      <w:r w:rsidR="002A19D8">
        <w:rPr>
          <w:b/>
          <w:i/>
          <w:caps/>
        </w:rPr>
        <w:t>pjm’S</w:t>
      </w:r>
      <w:r>
        <w:rPr>
          <w:b/>
          <w:i/>
          <w:caps/>
        </w:rPr>
        <w:t xml:space="preserve"> 5</w:t>
      </w:r>
      <w:r w:rsidR="002A19D8">
        <w:rPr>
          <w:b/>
          <w:i/>
          <w:caps/>
        </w:rPr>
        <w:t>-</w:t>
      </w:r>
      <w:r>
        <w:rPr>
          <w:b/>
          <w:i/>
          <w:caps/>
        </w:rPr>
        <w:t>cp method?</w:t>
      </w:r>
    </w:p>
    <w:p w:rsidR="00E74059" w:rsidRDefault="00E74059" w:rsidP="00C11498">
      <w:pPr>
        <w:spacing w:line="480" w:lineRule="auto"/>
        <w:ind w:left="720" w:hanging="720"/>
      </w:pPr>
      <w:r w:rsidRPr="00316E16">
        <w:rPr>
          <w:b/>
          <w:i/>
        </w:rPr>
        <w:t>A</w:t>
      </w:r>
      <w:r w:rsidR="00C01278">
        <w:rPr>
          <w:b/>
          <w:i/>
        </w:rPr>
        <w:t>12</w:t>
      </w:r>
      <w:r>
        <w:rPr>
          <w:b/>
          <w:i/>
        </w:rPr>
        <w:t>.</w:t>
      </w:r>
      <w:r>
        <w:tab/>
      </w:r>
      <w:r w:rsidR="00050F36">
        <w:t xml:space="preserve">Yes, but these costs are only passed on to Duke through an energy charge.  If the </w:t>
      </w:r>
      <w:r w:rsidR="00AC2D99">
        <w:t>Utility</w:t>
      </w:r>
      <w:r w:rsidR="00050F36">
        <w:t xml:space="preserve"> is interested in following “traditiona</w:t>
      </w:r>
      <w:r w:rsidR="007E3797">
        <w:t>l cost-causation principles</w:t>
      </w:r>
      <w:r w:rsidR="00EE056E">
        <w:t>,</w:t>
      </w:r>
      <w:r w:rsidR="007E3797">
        <w:t>”</w:t>
      </w:r>
      <w:r w:rsidR="006E5654">
        <w:t xml:space="preserve"> it should allocate</w:t>
      </w:r>
      <w:r w:rsidR="00050F36">
        <w:t xml:space="preserve"> costs on the same basis that it incurs those costs.  “Traditional cost-causation principles” never included trying to figure out how a supplier incurred costs and then allocating accordingly—ignoring how the supplier passed those costs on to the customers.</w:t>
      </w:r>
    </w:p>
    <w:p w:rsidR="00044F37" w:rsidRDefault="00044F37" w:rsidP="00C11498">
      <w:pPr>
        <w:spacing w:line="480" w:lineRule="auto"/>
        <w:ind w:left="720"/>
      </w:pPr>
    </w:p>
    <w:p w:rsidR="00ED0975" w:rsidRDefault="00044F37" w:rsidP="00622D38">
      <w:pPr>
        <w:spacing w:line="480" w:lineRule="auto"/>
        <w:ind w:left="720"/>
      </w:pPr>
      <w:r>
        <w:t xml:space="preserve">Additionally, the capacity cost that suppliers incur as a result of their sales to Duke is only one of several broad factors built into the flat energy rate that is ultimately charged.  For example, </w:t>
      </w:r>
      <w:r w:rsidR="00E07B47">
        <w:t>an SSO supplier</w:t>
      </w:r>
      <w:r w:rsidR="003D68C1">
        <w:t>’</w:t>
      </w:r>
      <w:r w:rsidR="00E07B47">
        <w:t xml:space="preserve">s labor costs, its operations and facilities costs, its </w:t>
      </w:r>
      <w:r>
        <w:t>profit</w:t>
      </w:r>
      <w:r w:rsidR="00E07B47">
        <w:t>, and many other costs go into the competitively-bid price</w:t>
      </w:r>
      <w:r>
        <w:t xml:space="preserve"> </w:t>
      </w:r>
      <w:r w:rsidR="00E07B47">
        <w:t>charged to customers on an energy basis</w:t>
      </w:r>
      <w:r>
        <w:t xml:space="preserve">.  Should </w:t>
      </w:r>
      <w:r w:rsidR="00E07B47">
        <w:t xml:space="preserve">these costs </w:t>
      </w:r>
      <w:r>
        <w:t>be allocated on the basis of capacity,</w:t>
      </w:r>
      <w:r w:rsidR="00C2107D">
        <w:t xml:space="preserve"> energy, or some other factor?  Duke’s attempt to separate out one cost factor from the flat energy price that is paid is </w:t>
      </w:r>
      <w:r w:rsidR="00121F1F">
        <w:t xml:space="preserve">inappropriate and runs counter to </w:t>
      </w:r>
      <w:r w:rsidR="00E07B47">
        <w:t>well-established cost causation principles</w:t>
      </w:r>
      <w:r w:rsidR="006B3369">
        <w:t>,</w:t>
      </w:r>
      <w:r w:rsidR="00E07B47">
        <w:t xml:space="preserve"> which charge retail costs to customers in the manner they are charged to the Utility.</w:t>
      </w:r>
      <w:r w:rsidR="006B3369">
        <w:t xml:space="preserve">  </w:t>
      </w:r>
    </w:p>
    <w:p w:rsidR="00622D38" w:rsidRDefault="00622D38" w:rsidP="00622D38">
      <w:pPr>
        <w:spacing w:line="480" w:lineRule="auto"/>
        <w:ind w:left="720"/>
        <w:rPr>
          <w:b/>
          <w:i/>
          <w:caps/>
        </w:rPr>
      </w:pPr>
    </w:p>
    <w:p w:rsidR="004553E9" w:rsidRPr="009A316A" w:rsidRDefault="004553E9" w:rsidP="00C11498">
      <w:pPr>
        <w:spacing w:line="480" w:lineRule="auto"/>
        <w:ind w:left="720" w:hanging="720"/>
        <w:rPr>
          <w:b/>
          <w:i/>
          <w:caps/>
        </w:rPr>
      </w:pPr>
      <w:r w:rsidRPr="009A316A">
        <w:rPr>
          <w:b/>
          <w:i/>
          <w:caps/>
        </w:rPr>
        <w:t>Q</w:t>
      </w:r>
      <w:r w:rsidR="00C01278">
        <w:rPr>
          <w:b/>
          <w:i/>
          <w:caps/>
        </w:rPr>
        <w:t>13</w:t>
      </w:r>
      <w:r>
        <w:rPr>
          <w:b/>
          <w:i/>
          <w:caps/>
        </w:rPr>
        <w:t>.</w:t>
      </w:r>
      <w:r w:rsidRPr="009A316A">
        <w:rPr>
          <w:b/>
          <w:i/>
          <w:caps/>
        </w:rPr>
        <w:tab/>
      </w:r>
      <w:r>
        <w:rPr>
          <w:b/>
          <w:i/>
          <w:caps/>
        </w:rPr>
        <w:t xml:space="preserve"> </w:t>
      </w:r>
      <w:r w:rsidR="00A72708">
        <w:rPr>
          <w:b/>
          <w:i/>
          <w:caps/>
        </w:rPr>
        <w:t>would the allocatio</w:t>
      </w:r>
      <w:r w:rsidR="00B51581">
        <w:rPr>
          <w:b/>
          <w:i/>
          <w:caps/>
        </w:rPr>
        <w:t xml:space="preserve">n of retail capacity </w:t>
      </w:r>
      <w:r w:rsidR="00A72708">
        <w:rPr>
          <w:b/>
          <w:i/>
          <w:caps/>
        </w:rPr>
        <w:t>costs</w:t>
      </w:r>
      <w:r w:rsidR="00E07B47">
        <w:rPr>
          <w:b/>
          <w:i/>
          <w:caps/>
        </w:rPr>
        <w:t xml:space="preserve"> on a 5-cp method</w:t>
      </w:r>
      <w:r w:rsidR="00A72708">
        <w:rPr>
          <w:b/>
          <w:i/>
          <w:caps/>
        </w:rPr>
        <w:t>, as proposed by duke, be appropriate?</w:t>
      </w:r>
    </w:p>
    <w:p w:rsidR="002B5ED8" w:rsidRDefault="004553E9" w:rsidP="00C11498">
      <w:pPr>
        <w:spacing w:line="480" w:lineRule="auto"/>
        <w:ind w:left="720" w:hanging="720"/>
      </w:pPr>
      <w:r w:rsidRPr="00316E16">
        <w:rPr>
          <w:b/>
          <w:i/>
        </w:rPr>
        <w:t>A</w:t>
      </w:r>
      <w:r w:rsidR="00C01278">
        <w:rPr>
          <w:b/>
          <w:i/>
        </w:rPr>
        <w:t>13</w:t>
      </w:r>
      <w:r>
        <w:rPr>
          <w:b/>
          <w:i/>
        </w:rPr>
        <w:t>.</w:t>
      </w:r>
      <w:r>
        <w:tab/>
      </w:r>
      <w:r w:rsidR="003475E2">
        <w:t>No</w:t>
      </w:r>
      <w:r w:rsidR="00A72708">
        <w:t xml:space="preserve">.  First, Duke is proposing to allocate costs on the basis of a 5-CP method.  According to </w:t>
      </w:r>
      <w:r w:rsidR="00AC2D99">
        <w:t>Utility</w:t>
      </w:r>
      <w:r w:rsidR="00A72708">
        <w:t xml:space="preserve"> w</w:t>
      </w:r>
      <w:r w:rsidR="002B5ED8">
        <w:t>itness Ziolkowski’s testimony:</w:t>
      </w:r>
    </w:p>
    <w:p w:rsidR="002B5ED8" w:rsidRDefault="00A72708" w:rsidP="00622D38">
      <w:pPr>
        <w:spacing w:line="480" w:lineRule="auto"/>
        <w:ind w:left="1440" w:right="720"/>
      </w:pPr>
      <w:r>
        <w:t>The PJM capacity requirement for Duke Energy Ohio’s service footprint is determined on the basis of the total 5CP demand.</w:t>
      </w:r>
      <w:r w:rsidR="009E2A22">
        <w:rPr>
          <w:rStyle w:val="FootnoteReference"/>
        </w:rPr>
        <w:footnoteReference w:id="9"/>
      </w:r>
    </w:p>
    <w:p w:rsidR="00622D38" w:rsidRDefault="00622D38" w:rsidP="00622D38">
      <w:pPr>
        <w:spacing w:line="480" w:lineRule="auto"/>
        <w:ind w:left="1440" w:right="720"/>
      </w:pPr>
    </w:p>
    <w:p w:rsidR="00C930F4" w:rsidRDefault="00E07B47" w:rsidP="00C11498">
      <w:pPr>
        <w:spacing w:line="480" w:lineRule="auto"/>
        <w:ind w:left="720"/>
      </w:pPr>
      <w:r>
        <w:t xml:space="preserve">However, unlike </w:t>
      </w:r>
      <w:r w:rsidR="009E2A22">
        <w:t xml:space="preserve">the traditional 12-CP method (which used the peak hour of each month) that the </w:t>
      </w:r>
      <w:r w:rsidR="00AC2D99">
        <w:t>Utility</w:t>
      </w:r>
      <w:r w:rsidR="009E2A22">
        <w:t xml:space="preserve"> proposed to allocate its RC Rider costs in the last case, the 5-CP method used by PJM is simply the </w:t>
      </w:r>
      <w:r w:rsidR="0092123C">
        <w:t>five days with the highest peaks</w:t>
      </w:r>
      <w:r w:rsidR="009E2A22">
        <w:t xml:space="preserve"> during the year.  </w:t>
      </w:r>
      <w:r w:rsidR="0092123C">
        <w:t>In the case of 2013, these five days occurred consecutively on July 15 through July 19.</w:t>
      </w:r>
      <w:r w:rsidR="0092123C">
        <w:rPr>
          <w:rStyle w:val="FootnoteReference"/>
        </w:rPr>
        <w:footnoteReference w:id="10"/>
      </w:r>
    </w:p>
    <w:p w:rsidR="002B5ED8" w:rsidRDefault="002B5ED8" w:rsidP="004553E9">
      <w:pPr>
        <w:spacing w:line="480" w:lineRule="auto"/>
      </w:pPr>
    </w:p>
    <w:p w:rsidR="00ED0975" w:rsidRDefault="00CC1FC7" w:rsidP="00622D38">
      <w:pPr>
        <w:spacing w:line="480" w:lineRule="auto"/>
        <w:ind w:left="720"/>
      </w:pPr>
      <w:r>
        <w:t>Historically, t</w:t>
      </w:r>
      <w:r w:rsidR="0092123C">
        <w:t>he allocation of generation</w:t>
      </w:r>
      <w:r w:rsidR="0071504A">
        <w:t>-related</w:t>
      </w:r>
      <w:r w:rsidR="0092123C">
        <w:t xml:space="preserve"> capacity costs has not adhered to the strictest interpretation of cost-causation.  </w:t>
      </w:r>
      <w:r w:rsidR="006B7460">
        <w:t>For example, generation capacity has historically been built to satisfy the single, maximum hourly load during a year, plus a reserve margin.  In spite of the building of this plant for one specific hour, hi</w:t>
      </w:r>
      <w:r>
        <w:t>storically Duke has used a 12 monthly coincident peaks</w:t>
      </w:r>
      <w:r w:rsidR="006B7460">
        <w:t xml:space="preserve"> method for allocating these costs to customer classes and even proposed it</w:t>
      </w:r>
      <w:r w:rsidR="009E3485">
        <w:t>s</w:t>
      </w:r>
      <w:r w:rsidR="006B7460">
        <w:t xml:space="preserve"> use in the last ESP case.</w:t>
      </w:r>
    </w:p>
    <w:p w:rsidR="00622D38" w:rsidRDefault="00622D38" w:rsidP="00622D38">
      <w:pPr>
        <w:spacing w:line="480" w:lineRule="auto"/>
        <w:ind w:left="720"/>
      </w:pPr>
    </w:p>
    <w:p w:rsidR="0092123C" w:rsidRDefault="0071504A" w:rsidP="00C11498">
      <w:pPr>
        <w:spacing w:line="480" w:lineRule="auto"/>
        <w:ind w:left="720"/>
      </w:pPr>
      <w:r>
        <w:t xml:space="preserve">Where a utility is charging retail customers for generation capacity it owns, </w:t>
      </w:r>
      <w:r w:rsidR="006B7460">
        <w:t xml:space="preserve">I agree with the use of the 12-CP method, and the Commission has </w:t>
      </w:r>
      <w:r>
        <w:t xml:space="preserve">traditionally </w:t>
      </w:r>
      <w:r w:rsidR="006B7460">
        <w:t>used it for generation cost allocation purposes—in spite of the specific cost-causation involved.</w:t>
      </w:r>
      <w:r w:rsidR="00276883">
        <w:t xml:space="preserve">  Although</w:t>
      </w:r>
      <w:r w:rsidR="003475E2">
        <w:t xml:space="preserve"> in this case</w:t>
      </w:r>
      <w:r w:rsidR="00276883">
        <w:t xml:space="preserve"> Duke is </w:t>
      </w:r>
      <w:r w:rsidR="00D52925">
        <w:t>proposing the use of a 5-C</w:t>
      </w:r>
      <w:r w:rsidR="003475E2">
        <w:t>P allocation method,</w:t>
      </w:r>
      <w:r w:rsidR="00D52925">
        <w:t xml:space="preserve"> </w:t>
      </w:r>
      <w:r w:rsidR="003475E2">
        <w:t xml:space="preserve">the </w:t>
      </w:r>
      <w:r w:rsidR="00AC2D99">
        <w:t>Utility</w:t>
      </w:r>
      <w:r w:rsidR="003475E2">
        <w:t xml:space="preserve"> has not offered any basis why </w:t>
      </w:r>
      <w:r>
        <w:t xml:space="preserve">the allocation of </w:t>
      </w:r>
      <w:r w:rsidR="003475E2">
        <w:t>generation</w:t>
      </w:r>
      <w:r>
        <w:t>-related capacity costs, if it were appropriate</w:t>
      </w:r>
      <w:r w:rsidR="006B3369">
        <w:t xml:space="preserve"> (and it is not)</w:t>
      </w:r>
      <w:r>
        <w:t>,</w:t>
      </w:r>
      <w:r w:rsidR="003475E2">
        <w:t xml:space="preserve"> should be treated any differently than in prior cases.</w:t>
      </w:r>
    </w:p>
    <w:p w:rsidR="003475E2" w:rsidRDefault="003475E2" w:rsidP="0092123C">
      <w:pPr>
        <w:spacing w:line="480" w:lineRule="auto"/>
        <w:ind w:firstLine="720"/>
      </w:pPr>
    </w:p>
    <w:p w:rsidR="00D52925" w:rsidRDefault="00D52925" w:rsidP="00C11498">
      <w:pPr>
        <w:spacing w:line="480" w:lineRule="auto"/>
        <w:ind w:left="720"/>
      </w:pPr>
      <w:r>
        <w:t xml:space="preserve">Given the fact that the five days of the highest peaks in 2013 were consecutive days (or even if they were within a </w:t>
      </w:r>
      <w:r w:rsidR="00370606">
        <w:t xml:space="preserve">seven- </w:t>
      </w:r>
      <w:r>
        <w:t>or 10</w:t>
      </w:r>
      <w:r w:rsidR="00370606">
        <w:t>-</w:t>
      </w:r>
      <w:r>
        <w:t xml:space="preserve">day window), </w:t>
      </w:r>
      <w:r w:rsidR="009F378E">
        <w:t>the 5-CP method is little different than a 1-CP method where costs are allocated only on the basis of the s</w:t>
      </w:r>
      <w:r w:rsidR="00CC1FC7">
        <w:t>ingle highest peak of the year.  Although demand resources must be acquired to meet that single hourly peak, the cost of the resource(s) is not proportional to the size (MW) of the resource(s).  What needs to be allocated is the cost ($) and not size (MW).  The 12-CP method has been recognized for decades as a way to more closely reflect the cost of generation resources that produce both</w:t>
      </w:r>
      <w:r w:rsidR="003475E2">
        <w:t xml:space="preserve"> capacity and energy as well as</w:t>
      </w:r>
      <w:r w:rsidR="00CC1FC7">
        <w:t xml:space="preserve"> operating requirements of these facilities such as maintenance schedules.</w:t>
      </w:r>
      <w:r w:rsidR="009F378E">
        <w:t xml:space="preserve">  </w:t>
      </w:r>
      <w:r w:rsidR="00E5273A">
        <w:t>To my knowledge, th</w:t>
      </w:r>
      <w:r w:rsidR="00370606">
        <w:t>e</w:t>
      </w:r>
      <w:r w:rsidR="00E5273A">
        <w:t xml:space="preserve"> Commission has never used a single peak in order to allocate generation capacity costs.  For as long as I can remember, th</w:t>
      </w:r>
      <w:r w:rsidR="00370606">
        <w:t>e</w:t>
      </w:r>
      <w:r w:rsidR="00E5273A">
        <w:t xml:space="preserve"> Commission has used the peak hour over multiple months in order to allocate generation capacity costs to customer groups. </w:t>
      </w:r>
      <w:r w:rsidR="000C0E0B">
        <w:t xml:space="preserve"> </w:t>
      </w:r>
      <w:r w:rsidR="00E5273A">
        <w:t>There is no reason to deviate from that policy in this case</w:t>
      </w:r>
      <w:r w:rsidR="0071504A">
        <w:t xml:space="preserve"> if the Commission finds it appropriate to allocate wholesale energy charges from SSO suppliers to retail customers as capacity and energy charges.</w:t>
      </w:r>
    </w:p>
    <w:p w:rsidR="00C930F4" w:rsidRDefault="00C930F4" w:rsidP="00125B86">
      <w:pPr>
        <w:spacing w:line="480" w:lineRule="auto"/>
        <w:ind w:left="720" w:firstLine="720"/>
        <w:rPr>
          <w:sz w:val="28"/>
          <w:szCs w:val="28"/>
        </w:rPr>
      </w:pPr>
    </w:p>
    <w:p w:rsidR="00DC59C9" w:rsidRPr="009A316A" w:rsidRDefault="00DC59C9" w:rsidP="00C11498">
      <w:pPr>
        <w:spacing w:line="480" w:lineRule="auto"/>
        <w:ind w:left="720" w:hanging="720"/>
        <w:rPr>
          <w:b/>
          <w:i/>
          <w:caps/>
        </w:rPr>
      </w:pPr>
      <w:r w:rsidRPr="009A316A">
        <w:rPr>
          <w:b/>
          <w:i/>
          <w:caps/>
        </w:rPr>
        <w:t>Q</w:t>
      </w:r>
      <w:r w:rsidR="00C11498">
        <w:rPr>
          <w:b/>
          <w:i/>
          <w:caps/>
        </w:rPr>
        <w:t>1</w:t>
      </w:r>
      <w:r w:rsidR="00C01278">
        <w:rPr>
          <w:b/>
          <w:i/>
          <w:caps/>
        </w:rPr>
        <w:t>4</w:t>
      </w:r>
      <w:r>
        <w:rPr>
          <w:b/>
          <w:i/>
          <w:caps/>
        </w:rPr>
        <w:t>.</w:t>
      </w:r>
      <w:r w:rsidRPr="009A316A">
        <w:rPr>
          <w:b/>
          <w:i/>
          <w:caps/>
        </w:rPr>
        <w:tab/>
      </w:r>
      <w:r w:rsidR="000D76D6">
        <w:rPr>
          <w:b/>
          <w:i/>
          <w:caps/>
        </w:rPr>
        <w:t>ARE THERE OTHER</w:t>
      </w:r>
      <w:r>
        <w:rPr>
          <w:b/>
          <w:i/>
          <w:caps/>
        </w:rPr>
        <w:t xml:space="preserve"> reason</w:t>
      </w:r>
      <w:r w:rsidR="000D76D6">
        <w:rPr>
          <w:b/>
          <w:i/>
          <w:caps/>
        </w:rPr>
        <w:t>S</w:t>
      </w:r>
      <w:r>
        <w:rPr>
          <w:b/>
          <w:i/>
          <w:caps/>
        </w:rPr>
        <w:t xml:space="preserve"> why </w:t>
      </w:r>
      <w:r w:rsidR="000D76D6">
        <w:rPr>
          <w:b/>
          <w:i/>
          <w:caps/>
        </w:rPr>
        <w:t>DUKE’S PROPOSED</w:t>
      </w:r>
      <w:r>
        <w:rPr>
          <w:b/>
          <w:i/>
          <w:caps/>
        </w:rPr>
        <w:t xml:space="preserve"> allocation of Retail capacity rider costs</w:t>
      </w:r>
      <w:r w:rsidR="00DD45C3">
        <w:rPr>
          <w:b/>
          <w:i/>
          <w:caps/>
        </w:rPr>
        <w:t xml:space="preserve"> is inappropriate?</w:t>
      </w:r>
    </w:p>
    <w:p w:rsidR="00E43A79" w:rsidRDefault="007E5C71" w:rsidP="004A3D2A">
      <w:pPr>
        <w:spacing w:line="480" w:lineRule="auto"/>
        <w:ind w:left="720" w:hanging="720"/>
      </w:pPr>
      <w:r>
        <w:rPr>
          <w:b/>
          <w:i/>
        </w:rPr>
        <w:t>A</w:t>
      </w:r>
      <w:r w:rsidR="00C11498">
        <w:rPr>
          <w:b/>
          <w:i/>
        </w:rPr>
        <w:t>1</w:t>
      </w:r>
      <w:r w:rsidR="00C01278">
        <w:rPr>
          <w:b/>
          <w:i/>
        </w:rPr>
        <w:t>4</w:t>
      </w:r>
      <w:r w:rsidR="00DC59C9">
        <w:rPr>
          <w:b/>
          <w:i/>
        </w:rPr>
        <w:t>.</w:t>
      </w:r>
      <w:r w:rsidR="00DC59C9">
        <w:tab/>
      </w:r>
      <w:r w:rsidR="00095C62">
        <w:t xml:space="preserve">The data used to develop the allocation factors proposed by the </w:t>
      </w:r>
      <w:r w:rsidR="00AC2D99">
        <w:t>Utility</w:t>
      </w:r>
      <w:r w:rsidR="00095C62">
        <w:t xml:space="preserve"> come from load research sample data.  In other words, the allocation factors are merely estimates, and those estimates are only as good as the samples represent the populatio</w:t>
      </w:r>
      <w:r w:rsidR="00D6673E">
        <w:t>n of the customers as a whole.</w:t>
      </w:r>
      <w:r w:rsidR="0071504A">
        <w:t xml:space="preserve">  And the Utility </w:t>
      </w:r>
      <w:r w:rsidR="00DF2045">
        <w:t>has failed to produce the underlying data necessary to support its 5-CP analysis</w:t>
      </w:r>
      <w:r w:rsidR="0071504A">
        <w:t>.</w:t>
      </w:r>
      <w:r w:rsidR="0071504A">
        <w:rPr>
          <w:rStyle w:val="FootnoteReference"/>
        </w:rPr>
        <w:footnoteReference w:id="11"/>
      </w:r>
    </w:p>
    <w:p w:rsidR="00E43A79" w:rsidRDefault="00E43A79" w:rsidP="00E43A79">
      <w:pPr>
        <w:spacing w:line="480" w:lineRule="auto"/>
      </w:pPr>
    </w:p>
    <w:p w:rsidR="00021A30" w:rsidRPr="009A316A" w:rsidRDefault="00021A30" w:rsidP="00C11498">
      <w:pPr>
        <w:spacing w:line="480" w:lineRule="auto"/>
        <w:ind w:left="720" w:hanging="720"/>
        <w:rPr>
          <w:b/>
          <w:i/>
          <w:caps/>
        </w:rPr>
      </w:pPr>
      <w:r w:rsidRPr="009A316A">
        <w:rPr>
          <w:b/>
          <w:i/>
          <w:caps/>
        </w:rPr>
        <w:t>Q</w:t>
      </w:r>
      <w:r w:rsidR="00C11498">
        <w:rPr>
          <w:b/>
          <w:i/>
          <w:caps/>
        </w:rPr>
        <w:t>1</w:t>
      </w:r>
      <w:r w:rsidR="00C01278">
        <w:rPr>
          <w:b/>
          <w:i/>
          <w:caps/>
        </w:rPr>
        <w:t>5</w:t>
      </w:r>
      <w:r>
        <w:rPr>
          <w:b/>
          <w:i/>
          <w:caps/>
        </w:rPr>
        <w:t>.</w:t>
      </w:r>
      <w:r w:rsidRPr="009A316A">
        <w:rPr>
          <w:b/>
          <w:i/>
          <w:caps/>
        </w:rPr>
        <w:tab/>
      </w:r>
      <w:r>
        <w:rPr>
          <w:b/>
          <w:i/>
          <w:caps/>
        </w:rPr>
        <w:t xml:space="preserve">is there </w:t>
      </w:r>
      <w:r w:rsidR="00AB52BD">
        <w:rPr>
          <w:b/>
          <w:i/>
          <w:caps/>
        </w:rPr>
        <w:t>a way to assess the adequacy of duke’s load research data in spite of the fact that it was not provided in this case?</w:t>
      </w:r>
    </w:p>
    <w:p w:rsidR="0046749B" w:rsidRDefault="00021A30" w:rsidP="0046749B">
      <w:pPr>
        <w:spacing w:line="480" w:lineRule="auto"/>
        <w:ind w:left="720" w:hanging="720"/>
      </w:pPr>
      <w:r w:rsidRPr="00316E16">
        <w:rPr>
          <w:b/>
          <w:i/>
        </w:rPr>
        <w:t>A</w:t>
      </w:r>
      <w:r w:rsidR="00C11498">
        <w:rPr>
          <w:b/>
          <w:i/>
        </w:rPr>
        <w:t>1</w:t>
      </w:r>
      <w:r w:rsidR="00C01278">
        <w:rPr>
          <w:b/>
          <w:i/>
        </w:rPr>
        <w:t>5</w:t>
      </w:r>
      <w:r>
        <w:rPr>
          <w:b/>
          <w:i/>
        </w:rPr>
        <w:t>.</w:t>
      </w:r>
      <w:r>
        <w:tab/>
        <w:t xml:space="preserve">Yes.  </w:t>
      </w:r>
      <w:r w:rsidR="006B1BEA">
        <w:t>Duke</w:t>
      </w:r>
      <w:r>
        <w:t xml:space="preserve"> did not </w:t>
      </w:r>
      <w:r w:rsidR="007F2637">
        <w:t xml:space="preserve">provide </w:t>
      </w:r>
      <w:r>
        <w:t>of its underlying load research data use</w:t>
      </w:r>
      <w:r w:rsidR="003A4AFD">
        <w:t>d</w:t>
      </w:r>
      <w:r>
        <w:t xml:space="preserve"> to develop </w:t>
      </w:r>
      <w:r w:rsidR="006B1BEA">
        <w:t>it</w:t>
      </w:r>
      <w:r w:rsidR="00876004">
        <w:t>s</w:t>
      </w:r>
      <w:r w:rsidR="006B1BEA">
        <w:t xml:space="preserve"> allocation factors for its proposed Retail Capacity Rider costs</w:t>
      </w:r>
      <w:r w:rsidR="00AB52BD">
        <w:t xml:space="preserve"> in this case</w:t>
      </w:r>
      <w:r w:rsidR="007F2637">
        <w:t xml:space="preserve">.  However, </w:t>
      </w:r>
      <w:r w:rsidR="006B1BEA">
        <w:t xml:space="preserve">the accuracy of the </w:t>
      </w:r>
      <w:r w:rsidR="00AC2D99">
        <w:t>Utility</w:t>
      </w:r>
      <w:r w:rsidR="006B1BEA">
        <w:t>’s load research data</w:t>
      </w:r>
      <w:r w:rsidR="007F2637">
        <w:t xml:space="preserve"> was assessed in the Utility’s most recent distribution rate case</w:t>
      </w:r>
      <w:r w:rsidR="006B1BEA">
        <w:t>.</w:t>
      </w:r>
    </w:p>
    <w:p w:rsidR="00F71C3F" w:rsidRDefault="00F71C3F" w:rsidP="0046749B">
      <w:pPr>
        <w:spacing w:line="480" w:lineRule="auto"/>
        <w:ind w:left="720" w:hanging="720"/>
      </w:pPr>
    </w:p>
    <w:p w:rsidR="00E43A79" w:rsidRDefault="006B1BEA" w:rsidP="00C11498">
      <w:pPr>
        <w:spacing w:line="480" w:lineRule="auto"/>
        <w:ind w:left="720"/>
      </w:pPr>
      <w:r>
        <w:t>The</w:t>
      </w:r>
      <w:r w:rsidR="00876004">
        <w:t xml:space="preserve"> generally accepted</w:t>
      </w:r>
      <w:r>
        <w:t xml:space="preserve"> minimum standard for “adequate” load research </w:t>
      </w:r>
      <w:r w:rsidR="00876004">
        <w:t>data is that it must be at least 90</w:t>
      </w:r>
      <w:r w:rsidR="00370606">
        <w:t xml:space="preserve"> percent</w:t>
      </w:r>
      <w:r w:rsidR="00876004">
        <w:t xml:space="preserve"> accurate</w:t>
      </w:r>
      <w:r w:rsidR="002A18F1">
        <w:t xml:space="preserve"> (within +/-</w:t>
      </w:r>
      <w:r w:rsidR="00876004">
        <w:t xml:space="preserve"> </w:t>
      </w:r>
      <w:r w:rsidR="00B51581">
        <w:t>10</w:t>
      </w:r>
      <w:r w:rsidR="00370606">
        <w:t xml:space="preserve"> percent) </w:t>
      </w:r>
      <w:r w:rsidR="00876004">
        <w:t>on at least 90</w:t>
      </w:r>
      <w:r w:rsidR="00370606">
        <w:t xml:space="preserve"> percent</w:t>
      </w:r>
      <w:r w:rsidR="00876004">
        <w:t xml:space="preserve"> of the occasions.</w:t>
      </w:r>
      <w:r w:rsidR="007F2637">
        <w:t xml:space="preserve">  The data presented in </w:t>
      </w:r>
      <w:r w:rsidR="00B51581">
        <w:t>Duke</w:t>
      </w:r>
      <w:r w:rsidR="007F2637">
        <w:t xml:space="preserve">‘s </w:t>
      </w:r>
      <w:r w:rsidR="00876004">
        <w:t xml:space="preserve">most recent </w:t>
      </w:r>
      <w:r w:rsidR="007F2637">
        <w:t>d</w:t>
      </w:r>
      <w:r w:rsidR="00876004">
        <w:t>istribution rate case</w:t>
      </w:r>
      <w:r w:rsidR="007F2637">
        <w:t xml:space="preserve"> fell far short of this minimum standard.  In that case,</w:t>
      </w:r>
      <w:r w:rsidR="00876004">
        <w:t xml:space="preserve"> (Case No. 12-1682-EL-AIR) on workpaper WPE-3.2</w:t>
      </w:r>
      <w:r w:rsidR="002C2A9D">
        <w:t xml:space="preserve">b pages 2 and 3, the </w:t>
      </w:r>
      <w:r w:rsidR="00AC2D99">
        <w:t>Utility</w:t>
      </w:r>
      <w:r w:rsidR="002C2A9D">
        <w:t xml:space="preserve"> listed its calculated peak loads for each of the 12 monthly peaks</w:t>
      </w:r>
      <w:r w:rsidR="004E7D86">
        <w:t xml:space="preserve"> of 2011</w:t>
      </w:r>
      <w:r w:rsidR="002C2A9D">
        <w:t xml:space="preserve"> for each customer group.</w:t>
      </w:r>
      <w:r w:rsidR="004E7D86">
        <w:t xml:space="preserve">  The load research data results predicted</w:t>
      </w:r>
      <w:r w:rsidR="00AB52BD">
        <w:t xml:space="preserve"> total</w:t>
      </w:r>
      <w:r w:rsidR="004E7D86">
        <w:t xml:space="preserve"> loads that differed from the actual total load by the following percentages:</w:t>
      </w:r>
    </w:p>
    <w:p w:rsidR="004E7D86" w:rsidRPr="004E7D86" w:rsidRDefault="004E7D86" w:rsidP="004E7D86">
      <w:pPr>
        <w:spacing w:line="480" w:lineRule="auto"/>
        <w:jc w:val="center"/>
        <w:rPr>
          <w:b/>
          <w:u w:val="single"/>
        </w:rPr>
      </w:pPr>
      <w:r w:rsidRPr="004E7D86">
        <w:rPr>
          <w:b/>
          <w:u w:val="single"/>
        </w:rPr>
        <w:t>Table 1</w:t>
      </w:r>
    </w:p>
    <w:tbl>
      <w:tblPr>
        <w:tblW w:w="6000" w:type="dxa"/>
        <w:tblInd w:w="1331" w:type="dxa"/>
        <w:tblLook w:val="04A0" w:firstRow="1" w:lastRow="0" w:firstColumn="1" w:lastColumn="0" w:noHBand="0" w:noVBand="1"/>
      </w:tblPr>
      <w:tblGrid>
        <w:gridCol w:w="840"/>
        <w:gridCol w:w="1360"/>
        <w:gridCol w:w="820"/>
        <w:gridCol w:w="260"/>
        <w:gridCol w:w="1360"/>
        <w:gridCol w:w="1360"/>
      </w:tblGrid>
      <w:tr w:rsidR="004E7D86" w:rsidRPr="004E7D86" w:rsidTr="00A35DEC">
        <w:trPr>
          <w:trHeight w:val="300"/>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Jan</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116.6%</w:t>
            </w:r>
          </w:p>
        </w:tc>
        <w:tc>
          <w:tcPr>
            <w:tcW w:w="820" w:type="dxa"/>
            <w:tcBorders>
              <w:top w:val="nil"/>
              <w:left w:val="nil"/>
              <w:bottom w:val="nil"/>
              <w:right w:val="nil"/>
            </w:tcBorders>
            <w:shd w:val="clear" w:color="auto" w:fill="auto"/>
            <w:noWrap/>
            <w:vAlign w:val="bottom"/>
            <w:hideMark/>
          </w:tcPr>
          <w:p w:rsidR="004E7D86" w:rsidRPr="00A35DEC" w:rsidRDefault="004E7D86" w:rsidP="004E7D86">
            <w:pPr>
              <w:rPr>
                <w:rFonts w:ascii="Arial" w:eastAsia="Times New Roman" w:hAnsi="Arial" w:cs="Arial"/>
                <w:b/>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Jul</w:t>
            </w: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right"/>
              <w:rPr>
                <w:rFonts w:ascii="Arial" w:eastAsia="Times New Roman" w:hAnsi="Arial" w:cs="Arial"/>
                <w:sz w:val="22"/>
                <w:szCs w:val="22"/>
              </w:rPr>
            </w:pPr>
            <w:r w:rsidRPr="004E7D86">
              <w:rPr>
                <w:rFonts w:ascii="Arial" w:eastAsia="Times New Roman" w:hAnsi="Arial" w:cs="Arial"/>
                <w:sz w:val="22"/>
                <w:szCs w:val="22"/>
              </w:rPr>
              <w:t>105.9%</w:t>
            </w:r>
          </w:p>
        </w:tc>
      </w:tr>
      <w:tr w:rsidR="004E7D86" w:rsidRPr="00A35DEC" w:rsidTr="00A35DEC">
        <w:trPr>
          <w:trHeight w:val="300"/>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Feb</w:t>
            </w: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right"/>
              <w:rPr>
                <w:rFonts w:ascii="Arial" w:eastAsia="Times New Roman" w:hAnsi="Arial" w:cs="Arial"/>
                <w:sz w:val="22"/>
                <w:szCs w:val="22"/>
              </w:rPr>
            </w:pPr>
            <w:r w:rsidRPr="004E7D86">
              <w:rPr>
                <w:rFonts w:ascii="Arial" w:eastAsia="Times New Roman" w:hAnsi="Arial" w:cs="Arial"/>
                <w:sz w:val="22"/>
                <w:szCs w:val="22"/>
              </w:rPr>
              <w:t>105.2%</w:t>
            </w:r>
          </w:p>
        </w:tc>
        <w:tc>
          <w:tcPr>
            <w:tcW w:w="82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Aug</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110.1%</w:t>
            </w:r>
          </w:p>
        </w:tc>
      </w:tr>
      <w:tr w:rsidR="004E7D86" w:rsidRPr="004E7D86" w:rsidTr="00A35DEC">
        <w:trPr>
          <w:trHeight w:val="315"/>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Mar</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117.7%</w:t>
            </w:r>
          </w:p>
        </w:tc>
        <w:tc>
          <w:tcPr>
            <w:tcW w:w="820" w:type="dxa"/>
            <w:tcBorders>
              <w:top w:val="nil"/>
              <w:left w:val="nil"/>
              <w:bottom w:val="nil"/>
              <w:right w:val="nil"/>
            </w:tcBorders>
            <w:shd w:val="clear" w:color="auto" w:fill="auto"/>
            <w:noWrap/>
            <w:vAlign w:val="bottom"/>
            <w:hideMark/>
          </w:tcPr>
          <w:p w:rsidR="004E7D86" w:rsidRPr="00A35DEC" w:rsidRDefault="004E7D86" w:rsidP="004E7D86">
            <w:pPr>
              <w:rPr>
                <w:rFonts w:ascii="Arial" w:eastAsia="Times New Roman" w:hAnsi="Arial" w:cs="Arial"/>
                <w:b/>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Sep</w:t>
            </w: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right"/>
              <w:rPr>
                <w:rFonts w:ascii="Arial" w:eastAsia="Times New Roman" w:hAnsi="Arial" w:cs="Arial"/>
                <w:sz w:val="22"/>
                <w:szCs w:val="22"/>
              </w:rPr>
            </w:pPr>
            <w:r w:rsidRPr="004E7D86">
              <w:rPr>
                <w:rFonts w:ascii="Arial" w:eastAsia="Times New Roman" w:hAnsi="Arial" w:cs="Arial"/>
                <w:sz w:val="22"/>
                <w:szCs w:val="22"/>
              </w:rPr>
              <w:t>108.0%</w:t>
            </w:r>
          </w:p>
        </w:tc>
      </w:tr>
      <w:tr w:rsidR="004E7D86" w:rsidRPr="00A35DEC" w:rsidTr="00A35DEC">
        <w:trPr>
          <w:trHeight w:val="300"/>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Apr</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114.9%</w:t>
            </w:r>
          </w:p>
        </w:tc>
        <w:tc>
          <w:tcPr>
            <w:tcW w:w="820" w:type="dxa"/>
            <w:tcBorders>
              <w:top w:val="nil"/>
              <w:left w:val="nil"/>
              <w:bottom w:val="nil"/>
              <w:right w:val="nil"/>
            </w:tcBorders>
            <w:shd w:val="clear" w:color="auto" w:fill="auto"/>
            <w:noWrap/>
            <w:vAlign w:val="bottom"/>
            <w:hideMark/>
          </w:tcPr>
          <w:p w:rsidR="004E7D86" w:rsidRPr="00A35DEC" w:rsidRDefault="004E7D86" w:rsidP="004E7D86">
            <w:pPr>
              <w:rPr>
                <w:rFonts w:ascii="Arial" w:eastAsia="Times New Roman" w:hAnsi="Arial" w:cs="Arial"/>
                <w:b/>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Oct</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111.7%</w:t>
            </w:r>
          </w:p>
        </w:tc>
      </w:tr>
      <w:tr w:rsidR="004E7D86" w:rsidRPr="00A35DEC" w:rsidTr="00A35DEC">
        <w:trPr>
          <w:trHeight w:val="300"/>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May</w:t>
            </w: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right"/>
              <w:rPr>
                <w:rFonts w:ascii="Arial" w:eastAsia="Times New Roman" w:hAnsi="Arial" w:cs="Arial"/>
                <w:sz w:val="22"/>
                <w:szCs w:val="22"/>
              </w:rPr>
            </w:pPr>
            <w:r w:rsidRPr="004E7D86">
              <w:rPr>
                <w:rFonts w:ascii="Arial" w:eastAsia="Times New Roman" w:hAnsi="Arial" w:cs="Arial"/>
                <w:sz w:val="22"/>
                <w:szCs w:val="22"/>
              </w:rPr>
              <w:t>109.1%</w:t>
            </w:r>
          </w:p>
        </w:tc>
        <w:tc>
          <w:tcPr>
            <w:tcW w:w="82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Nov</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116.4%</w:t>
            </w:r>
          </w:p>
        </w:tc>
      </w:tr>
      <w:tr w:rsidR="004E7D86" w:rsidRPr="00A35DEC" w:rsidTr="00A35DEC">
        <w:trPr>
          <w:trHeight w:val="300"/>
        </w:trPr>
        <w:tc>
          <w:tcPr>
            <w:tcW w:w="84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r w:rsidRPr="004E7D86">
              <w:rPr>
                <w:rFonts w:ascii="Arial" w:eastAsia="Times New Roman" w:hAnsi="Arial" w:cs="Arial"/>
                <w:sz w:val="22"/>
                <w:szCs w:val="22"/>
              </w:rPr>
              <w:t>Jun</w:t>
            </w: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right"/>
              <w:rPr>
                <w:rFonts w:ascii="Arial" w:eastAsia="Times New Roman" w:hAnsi="Arial" w:cs="Arial"/>
                <w:sz w:val="22"/>
                <w:szCs w:val="22"/>
              </w:rPr>
            </w:pPr>
            <w:r w:rsidRPr="004E7D86">
              <w:rPr>
                <w:rFonts w:ascii="Arial" w:eastAsia="Times New Roman" w:hAnsi="Arial" w:cs="Arial"/>
                <w:sz w:val="22"/>
                <w:szCs w:val="22"/>
              </w:rPr>
              <w:t>108.7%</w:t>
            </w:r>
          </w:p>
        </w:tc>
        <w:tc>
          <w:tcPr>
            <w:tcW w:w="820" w:type="dxa"/>
            <w:tcBorders>
              <w:top w:val="nil"/>
              <w:left w:val="nil"/>
              <w:bottom w:val="nil"/>
              <w:right w:val="nil"/>
            </w:tcBorders>
            <w:shd w:val="clear" w:color="auto" w:fill="auto"/>
            <w:noWrap/>
            <w:vAlign w:val="bottom"/>
            <w:hideMark/>
          </w:tcPr>
          <w:p w:rsidR="004E7D86" w:rsidRPr="004E7D86" w:rsidRDefault="004E7D86" w:rsidP="004E7D86">
            <w:pPr>
              <w:rPr>
                <w:rFonts w:ascii="Arial" w:eastAsia="Times New Roman" w:hAnsi="Arial" w:cs="Arial"/>
                <w:sz w:val="22"/>
                <w:szCs w:val="22"/>
              </w:rPr>
            </w:pPr>
          </w:p>
        </w:tc>
        <w:tc>
          <w:tcPr>
            <w:tcW w:w="2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sz w:val="22"/>
                <w:szCs w:val="22"/>
              </w:rPr>
            </w:pPr>
          </w:p>
        </w:tc>
        <w:tc>
          <w:tcPr>
            <w:tcW w:w="1360" w:type="dxa"/>
            <w:tcBorders>
              <w:top w:val="nil"/>
              <w:left w:val="nil"/>
              <w:bottom w:val="nil"/>
              <w:right w:val="nil"/>
            </w:tcBorders>
            <w:shd w:val="clear" w:color="auto" w:fill="auto"/>
            <w:noWrap/>
            <w:vAlign w:val="bottom"/>
            <w:hideMark/>
          </w:tcPr>
          <w:p w:rsidR="004E7D86" w:rsidRPr="004E7D86" w:rsidRDefault="004E7D86" w:rsidP="004E7D86">
            <w:pPr>
              <w:jc w:val="center"/>
              <w:rPr>
                <w:rFonts w:ascii="Arial" w:eastAsia="Times New Roman" w:hAnsi="Arial" w:cs="Arial"/>
                <w:color w:val="000000"/>
                <w:sz w:val="22"/>
                <w:szCs w:val="22"/>
              </w:rPr>
            </w:pPr>
            <w:r w:rsidRPr="004E7D86">
              <w:rPr>
                <w:rFonts w:ascii="Arial" w:eastAsia="Times New Roman" w:hAnsi="Arial" w:cs="Arial"/>
                <w:color w:val="000000"/>
                <w:sz w:val="22"/>
                <w:szCs w:val="22"/>
              </w:rPr>
              <w:t>Dec</w:t>
            </w:r>
          </w:p>
        </w:tc>
        <w:tc>
          <w:tcPr>
            <w:tcW w:w="1360" w:type="dxa"/>
            <w:tcBorders>
              <w:top w:val="nil"/>
              <w:left w:val="nil"/>
              <w:bottom w:val="nil"/>
              <w:right w:val="nil"/>
            </w:tcBorders>
            <w:shd w:val="clear" w:color="auto" w:fill="auto"/>
            <w:noWrap/>
            <w:vAlign w:val="bottom"/>
            <w:hideMark/>
          </w:tcPr>
          <w:p w:rsidR="004E7D86" w:rsidRPr="00A35DEC" w:rsidRDefault="004E7D86" w:rsidP="004E7D86">
            <w:pPr>
              <w:jc w:val="right"/>
              <w:rPr>
                <w:rFonts w:ascii="Arial" w:eastAsia="Times New Roman" w:hAnsi="Arial" w:cs="Arial"/>
                <w:b/>
                <w:sz w:val="22"/>
                <w:szCs w:val="22"/>
              </w:rPr>
            </w:pPr>
            <w:r w:rsidRPr="00A35DEC">
              <w:rPr>
                <w:rFonts w:ascii="Arial" w:eastAsia="Times New Roman" w:hAnsi="Arial" w:cs="Arial"/>
                <w:b/>
                <w:sz w:val="22"/>
                <w:szCs w:val="22"/>
              </w:rPr>
              <w:t>113.3%</w:t>
            </w:r>
          </w:p>
        </w:tc>
      </w:tr>
    </w:tbl>
    <w:p w:rsidR="00E43A79" w:rsidRDefault="00E43A79" w:rsidP="00E43A79">
      <w:pPr>
        <w:spacing w:line="480" w:lineRule="auto"/>
      </w:pPr>
    </w:p>
    <w:p w:rsidR="00A41828" w:rsidRPr="00AB52BD" w:rsidRDefault="002A18F1" w:rsidP="00C11498">
      <w:pPr>
        <w:spacing w:line="480" w:lineRule="auto"/>
        <w:ind w:left="720"/>
        <w:rPr>
          <w:szCs w:val="24"/>
        </w:rPr>
      </w:pPr>
      <w:r w:rsidRPr="00AB52BD">
        <w:rPr>
          <w:szCs w:val="24"/>
        </w:rPr>
        <w:t>As can be seen from Table 1 above, the 2011 load research data was only within the +/- 10</w:t>
      </w:r>
      <w:r w:rsidR="00370606">
        <w:rPr>
          <w:szCs w:val="24"/>
        </w:rPr>
        <w:t xml:space="preserve"> percent </w:t>
      </w:r>
      <w:r w:rsidRPr="00AB52BD">
        <w:rPr>
          <w:szCs w:val="24"/>
        </w:rPr>
        <w:t>accuracy limit on 42</w:t>
      </w:r>
      <w:r w:rsidR="00370606">
        <w:rPr>
          <w:szCs w:val="24"/>
        </w:rPr>
        <w:t xml:space="preserve"> percent</w:t>
      </w:r>
      <w:r w:rsidR="00370606" w:rsidRPr="00AB52BD">
        <w:rPr>
          <w:szCs w:val="24"/>
        </w:rPr>
        <w:t xml:space="preserve"> </w:t>
      </w:r>
      <w:r w:rsidRPr="00AB52BD">
        <w:rPr>
          <w:szCs w:val="24"/>
        </w:rPr>
        <w:t>of the days tested (</w:t>
      </w:r>
      <w:r w:rsidR="00370606">
        <w:rPr>
          <w:szCs w:val="24"/>
        </w:rPr>
        <w:t>five</w:t>
      </w:r>
      <w:r w:rsidR="00370606" w:rsidRPr="00AB52BD">
        <w:rPr>
          <w:szCs w:val="24"/>
        </w:rPr>
        <w:t xml:space="preserve"> </w:t>
      </w:r>
      <w:r w:rsidRPr="00AB52BD">
        <w:rPr>
          <w:szCs w:val="24"/>
        </w:rPr>
        <w:t>out of 12).</w:t>
      </w:r>
      <w:r w:rsidR="00E17D84" w:rsidRPr="00AB52BD">
        <w:rPr>
          <w:szCs w:val="24"/>
        </w:rPr>
        <w:t xml:space="preserve">  Of even more concern is the fact that all of the load research data is bias</w:t>
      </w:r>
      <w:r w:rsidR="003A4AFD">
        <w:rPr>
          <w:szCs w:val="24"/>
        </w:rPr>
        <w:t>ed</w:t>
      </w:r>
      <w:r w:rsidR="00E17D84" w:rsidRPr="00AB52BD">
        <w:rPr>
          <w:szCs w:val="24"/>
        </w:rPr>
        <w:t xml:space="preserve"> to be high</w:t>
      </w:r>
      <w:r w:rsidR="00AB52BD">
        <w:rPr>
          <w:szCs w:val="24"/>
        </w:rPr>
        <w:t>er</w:t>
      </w:r>
      <w:r w:rsidR="00E17D84" w:rsidRPr="00AB52BD">
        <w:rPr>
          <w:szCs w:val="24"/>
        </w:rPr>
        <w:t xml:space="preserve"> than actual usage.  The load research data never predicted a level of usage that was less than what actually occurred.</w:t>
      </w:r>
      <w:r w:rsidR="00457DBD" w:rsidRPr="00AB52BD">
        <w:rPr>
          <w:szCs w:val="24"/>
        </w:rPr>
        <w:t xml:space="preserve">  </w:t>
      </w:r>
      <w:r w:rsidR="00AB52BD">
        <w:rPr>
          <w:szCs w:val="24"/>
        </w:rPr>
        <w:t xml:space="preserve">The percentages in Table 1 reflect the inaccuracy of the entire load research for all customer classes combined.  Mathematically, this means that the inaccuracies within each rate group are even higher than the overall averages.  </w:t>
      </w:r>
      <w:r w:rsidR="00457DBD" w:rsidRPr="00AB52BD">
        <w:rPr>
          <w:szCs w:val="24"/>
        </w:rPr>
        <w:t>Very simply, the 2011 load research data was highly inaccurate, a</w:t>
      </w:r>
      <w:r w:rsidR="00B51581">
        <w:rPr>
          <w:szCs w:val="24"/>
        </w:rPr>
        <w:t xml:space="preserve">nd </w:t>
      </w:r>
      <w:r w:rsidR="007F2637">
        <w:rPr>
          <w:szCs w:val="24"/>
        </w:rPr>
        <w:t xml:space="preserve">the Utility has failed to present any evidence that </w:t>
      </w:r>
      <w:r w:rsidR="00457DBD" w:rsidRPr="00AB52BD">
        <w:rPr>
          <w:szCs w:val="24"/>
        </w:rPr>
        <w:t xml:space="preserve">the load research data </w:t>
      </w:r>
      <w:r w:rsidR="007F2637">
        <w:rPr>
          <w:szCs w:val="24"/>
        </w:rPr>
        <w:t xml:space="preserve">it relied upon in this case is any more </w:t>
      </w:r>
      <w:r w:rsidR="00457DBD" w:rsidRPr="00AB52BD">
        <w:rPr>
          <w:szCs w:val="24"/>
        </w:rPr>
        <w:t>“accurate</w:t>
      </w:r>
      <w:r w:rsidR="002B0245">
        <w:rPr>
          <w:szCs w:val="24"/>
        </w:rPr>
        <w:t>.</w:t>
      </w:r>
      <w:r w:rsidR="00457DBD" w:rsidRPr="00AB52BD">
        <w:rPr>
          <w:szCs w:val="24"/>
        </w:rPr>
        <w:t>”</w:t>
      </w:r>
      <w:r w:rsidR="004054AB" w:rsidRPr="00AB52BD">
        <w:rPr>
          <w:szCs w:val="24"/>
        </w:rPr>
        <w:t xml:space="preserve">  The Commission should recognize that the </w:t>
      </w:r>
      <w:r w:rsidR="00AC2D99">
        <w:rPr>
          <w:szCs w:val="24"/>
        </w:rPr>
        <w:t>Utility</w:t>
      </w:r>
      <w:r w:rsidR="004054AB" w:rsidRPr="00AB52BD">
        <w:rPr>
          <w:szCs w:val="24"/>
        </w:rPr>
        <w:t xml:space="preserve"> has no reliable way to allocate Retail Capacity Rider costs and therefore, the Commission should simply reject the idea of </w:t>
      </w:r>
      <w:r w:rsidR="00DC70A0" w:rsidRPr="00AB52BD">
        <w:rPr>
          <w:szCs w:val="24"/>
        </w:rPr>
        <w:t>the request for a Retail Capacity Rider.</w:t>
      </w:r>
    </w:p>
    <w:p w:rsidR="00DC70A0" w:rsidRDefault="00DC70A0" w:rsidP="002A18F1">
      <w:pPr>
        <w:spacing w:line="480" w:lineRule="auto"/>
        <w:rPr>
          <w:sz w:val="28"/>
          <w:szCs w:val="28"/>
        </w:rPr>
      </w:pPr>
    </w:p>
    <w:p w:rsidR="00B51581" w:rsidRPr="00D57C88" w:rsidRDefault="00B51581" w:rsidP="00C11498">
      <w:pPr>
        <w:spacing w:line="480" w:lineRule="auto"/>
        <w:ind w:left="720" w:hanging="720"/>
        <w:rPr>
          <w:b/>
          <w:i/>
          <w:caps/>
        </w:rPr>
      </w:pPr>
      <w:r w:rsidRPr="00D57C88">
        <w:rPr>
          <w:b/>
          <w:i/>
          <w:caps/>
        </w:rPr>
        <w:t>Q</w:t>
      </w:r>
      <w:r w:rsidR="00C11498">
        <w:rPr>
          <w:b/>
          <w:i/>
          <w:caps/>
        </w:rPr>
        <w:t>1</w:t>
      </w:r>
      <w:r w:rsidR="00C01278">
        <w:rPr>
          <w:b/>
          <w:i/>
          <w:caps/>
        </w:rPr>
        <w:t>6</w:t>
      </w:r>
      <w:r w:rsidRPr="00D57C88">
        <w:rPr>
          <w:b/>
          <w:i/>
          <w:caps/>
        </w:rPr>
        <w:t>.</w:t>
      </w:r>
      <w:r w:rsidRPr="00D57C88">
        <w:rPr>
          <w:b/>
          <w:i/>
          <w:caps/>
        </w:rPr>
        <w:tab/>
      </w:r>
      <w:r>
        <w:rPr>
          <w:b/>
          <w:i/>
          <w:caps/>
        </w:rPr>
        <w:t xml:space="preserve">are there other inaccuracies or inappropriate calculations in the </w:t>
      </w:r>
      <w:r w:rsidR="00AC2D99">
        <w:rPr>
          <w:b/>
          <w:i/>
          <w:caps/>
        </w:rPr>
        <w:t>Utility</w:t>
      </w:r>
      <w:r>
        <w:rPr>
          <w:b/>
          <w:i/>
          <w:caps/>
        </w:rPr>
        <w:t>’s proposed rc rider</w:t>
      </w:r>
      <w:r w:rsidRPr="00D57C88">
        <w:rPr>
          <w:b/>
          <w:i/>
          <w:caps/>
        </w:rPr>
        <w:t>?</w:t>
      </w:r>
    </w:p>
    <w:p w:rsidR="00E11725" w:rsidRDefault="00B51581" w:rsidP="00E11725">
      <w:pPr>
        <w:spacing w:line="480" w:lineRule="auto"/>
        <w:ind w:left="720" w:hanging="720"/>
      </w:pPr>
      <w:r w:rsidRPr="00D57C88">
        <w:rPr>
          <w:b/>
          <w:i/>
        </w:rPr>
        <w:t>A</w:t>
      </w:r>
      <w:r w:rsidR="00C11498">
        <w:rPr>
          <w:b/>
          <w:i/>
        </w:rPr>
        <w:t>1</w:t>
      </w:r>
      <w:r w:rsidR="00C01278">
        <w:rPr>
          <w:b/>
          <w:i/>
        </w:rPr>
        <w:t>6</w:t>
      </w:r>
      <w:r w:rsidRPr="00D57C88">
        <w:rPr>
          <w:b/>
          <w:i/>
        </w:rPr>
        <w:t>.</w:t>
      </w:r>
      <w:r w:rsidRPr="00D57C88">
        <w:tab/>
      </w:r>
      <w:r>
        <w:t xml:space="preserve">Yes.  </w:t>
      </w:r>
      <w:r w:rsidR="00E3409B">
        <w:t>The inaccuracy can be seen</w:t>
      </w:r>
      <w:r w:rsidR="00E11725" w:rsidRPr="00E11725">
        <w:t xml:space="preserve"> </w:t>
      </w:r>
      <w:r w:rsidR="00E11725">
        <w:t>in Attachment AJY-1</w:t>
      </w:r>
      <w:r w:rsidR="00C00884">
        <w:t xml:space="preserve"> which shows how Duke developed its </w:t>
      </w:r>
      <w:r w:rsidR="00E11725">
        <w:t>“</w:t>
      </w:r>
      <w:r w:rsidR="00362640">
        <w:t xml:space="preserve">Capacity Cost to Recover” </w:t>
      </w:r>
      <w:r w:rsidR="00C00884">
        <w:t xml:space="preserve">in </w:t>
      </w:r>
      <w:r w:rsidR="00CC300F">
        <w:t>its last ESP case</w:t>
      </w:r>
      <w:r w:rsidR="00C00884">
        <w:t>.</w:t>
      </w:r>
      <w:r w:rsidR="00C00884">
        <w:rPr>
          <w:rStyle w:val="FootnoteReference"/>
        </w:rPr>
        <w:footnoteReference w:id="12"/>
      </w:r>
      <w:r w:rsidR="00CC300F">
        <w:t xml:space="preserve">  That methodology appears to have been utilized by Duke in this case as well.</w:t>
      </w:r>
      <w:r w:rsidR="00C00884">
        <w:t xml:space="preserve">  The “Capacity Cost to Recover” </w:t>
      </w:r>
      <w:r w:rsidR="00362640">
        <w:t>is calculated by multiplying the PJM assigned demand of 4,732 MW, times the “Fin</w:t>
      </w:r>
      <w:r w:rsidR="00ED0975">
        <w:t>al Zonal Capacity Price” (FZCP</w:t>
      </w:r>
      <w:r w:rsidR="00362640">
        <w:t xml:space="preserve">), times the number of days in the period.  This calculation results in the Capacity Cost that Duke claims it needs to recover.  The </w:t>
      </w:r>
      <w:r w:rsidR="00AC2D99">
        <w:t>Utility</w:t>
      </w:r>
      <w:r w:rsidR="00362640">
        <w:t xml:space="preserve"> then divides that </w:t>
      </w:r>
      <w:r w:rsidR="00E11725">
        <w:t>“</w:t>
      </w:r>
      <w:r w:rsidR="00362640">
        <w:t xml:space="preserve">Capacity Cost </w:t>
      </w:r>
      <w:r w:rsidR="00E11725">
        <w:t xml:space="preserve">to Recover” </w:t>
      </w:r>
      <w:r w:rsidR="00362640">
        <w:t xml:space="preserve">by the MWh in the period in order to come up with an “Average Capacity Price” </w:t>
      </w:r>
      <w:r w:rsidR="000F3053">
        <w:t>in $/MWh that needs to be collected from the customers.</w:t>
      </w:r>
    </w:p>
    <w:p w:rsidR="00EA7B08" w:rsidRDefault="00EA7B08" w:rsidP="00B51581">
      <w:pPr>
        <w:spacing w:line="480" w:lineRule="auto"/>
      </w:pPr>
    </w:p>
    <w:p w:rsidR="00EA7B08" w:rsidRDefault="00EA7B08" w:rsidP="00C11498">
      <w:pPr>
        <w:spacing w:line="480" w:lineRule="auto"/>
        <w:ind w:left="720"/>
        <w:rPr>
          <w:sz w:val="28"/>
          <w:szCs w:val="28"/>
        </w:rPr>
      </w:pPr>
      <w:r>
        <w:t>The inaccuracy comes about because of the values used in this calculation.  First of all, the PJM assigned capacity footprint of 4,732 MW for Duke:  “includes Duke Energy Ohio and Duke Energy Kentucky retail loads and all other wholesale loads served on the DEOK system.”</w:t>
      </w:r>
      <w:r>
        <w:rPr>
          <w:rStyle w:val="FootnoteReference"/>
        </w:rPr>
        <w:footnoteReference w:id="13"/>
      </w:r>
      <w:r>
        <w:t xml:space="preserve">  </w:t>
      </w:r>
      <w:r w:rsidR="00110554">
        <w:t xml:space="preserve">In other words, the theoretical “Capacity Cost to Recover” that are being assigned to the Ohio customers is based upon the footprint of not only Ohio customers, but Kentucky customers and wholesale loads </w:t>
      </w:r>
      <w:r w:rsidR="003A4AFD">
        <w:t xml:space="preserve">for Ohio and Kentucky </w:t>
      </w:r>
      <w:r w:rsidR="00110554">
        <w:t xml:space="preserve">as well.  These theoretical capacity costs are </w:t>
      </w:r>
      <w:r w:rsidR="00110554" w:rsidRPr="003F68BC">
        <w:rPr>
          <w:u w:val="single"/>
        </w:rPr>
        <w:t>then divided by only the Ohio jurisdictional load</w:t>
      </w:r>
      <w:r w:rsidR="00110554">
        <w:t xml:space="preserve"> in order to develop the “Average Capacity Price” to be charged to Ohio customers.  Duke is not only developing a theoretical cost that it is not</w:t>
      </w:r>
      <w:r w:rsidR="003A4AFD">
        <w:t xml:space="preserve"> specifically</w:t>
      </w:r>
      <w:r w:rsidR="00110554">
        <w:t xml:space="preserve"> paying (capacity cost), but it is also assigning to Ohio far more than its share of those theoretical costs.</w:t>
      </w:r>
    </w:p>
    <w:p w:rsidR="00B51581" w:rsidRDefault="00B51581" w:rsidP="002A18F1">
      <w:pPr>
        <w:spacing w:line="480" w:lineRule="auto"/>
        <w:rPr>
          <w:sz w:val="28"/>
          <w:szCs w:val="28"/>
        </w:rPr>
      </w:pPr>
    </w:p>
    <w:p w:rsidR="00D57C88" w:rsidRPr="00D57C88" w:rsidRDefault="00D57C88" w:rsidP="00C11498">
      <w:pPr>
        <w:spacing w:line="480" w:lineRule="auto"/>
        <w:ind w:left="720" w:hanging="720"/>
        <w:rPr>
          <w:b/>
          <w:i/>
          <w:caps/>
        </w:rPr>
      </w:pPr>
      <w:r w:rsidRPr="00D57C88">
        <w:rPr>
          <w:b/>
          <w:i/>
          <w:caps/>
        </w:rPr>
        <w:t>Q</w:t>
      </w:r>
      <w:r w:rsidR="00C11498">
        <w:rPr>
          <w:b/>
          <w:i/>
          <w:caps/>
        </w:rPr>
        <w:t>1</w:t>
      </w:r>
      <w:r w:rsidR="00C01278">
        <w:rPr>
          <w:b/>
          <w:i/>
          <w:caps/>
        </w:rPr>
        <w:t>7</w:t>
      </w:r>
      <w:r w:rsidRPr="00D57C88">
        <w:rPr>
          <w:b/>
          <w:i/>
          <w:caps/>
        </w:rPr>
        <w:t>.</w:t>
      </w:r>
      <w:r w:rsidRPr="00D57C88">
        <w:rPr>
          <w:b/>
          <w:i/>
          <w:caps/>
        </w:rPr>
        <w:tab/>
        <w:t xml:space="preserve">if one were to </w:t>
      </w:r>
      <w:r w:rsidR="00C00884">
        <w:rPr>
          <w:b/>
          <w:i/>
          <w:caps/>
        </w:rPr>
        <w:t>allocate generation-related capacity costs to customers, should the allocation of those generation-relat</w:t>
      </w:r>
      <w:r w:rsidR="005E6F2F">
        <w:rPr>
          <w:b/>
          <w:i/>
          <w:caps/>
        </w:rPr>
        <w:t xml:space="preserve"> </w:t>
      </w:r>
      <w:r w:rsidR="00C00884">
        <w:rPr>
          <w:b/>
          <w:i/>
          <w:caps/>
        </w:rPr>
        <w:t xml:space="preserve">ed capacity costs </w:t>
      </w:r>
      <w:r w:rsidR="005E6F2F">
        <w:rPr>
          <w:b/>
          <w:i/>
          <w:caps/>
        </w:rPr>
        <w:t xml:space="preserve">to the ohio jurisdiction </w:t>
      </w:r>
      <w:r w:rsidR="00C00884">
        <w:rPr>
          <w:b/>
          <w:i/>
          <w:caps/>
        </w:rPr>
        <w:t xml:space="preserve">be reduced to </w:t>
      </w:r>
      <w:r w:rsidR="005E6F2F">
        <w:rPr>
          <w:b/>
          <w:i/>
          <w:caps/>
        </w:rPr>
        <w:t>remove the costs associated with kentucky usage?</w:t>
      </w:r>
    </w:p>
    <w:p w:rsidR="0083561C" w:rsidRDefault="00D57C88" w:rsidP="0083561C">
      <w:pPr>
        <w:spacing w:line="480" w:lineRule="auto"/>
        <w:ind w:left="720" w:hanging="720"/>
      </w:pPr>
      <w:r w:rsidRPr="00D57C88">
        <w:rPr>
          <w:b/>
          <w:i/>
        </w:rPr>
        <w:t>A</w:t>
      </w:r>
      <w:r w:rsidR="00C11498">
        <w:rPr>
          <w:b/>
          <w:i/>
        </w:rPr>
        <w:t>1</w:t>
      </w:r>
      <w:r w:rsidR="00C01278">
        <w:rPr>
          <w:b/>
          <w:i/>
        </w:rPr>
        <w:t>7</w:t>
      </w:r>
      <w:r w:rsidRPr="00D57C88">
        <w:rPr>
          <w:b/>
          <w:i/>
        </w:rPr>
        <w:t>.</w:t>
      </w:r>
      <w:r w:rsidRPr="00D57C88">
        <w:tab/>
      </w:r>
      <w:r w:rsidR="00C00884">
        <w:t xml:space="preserve">Yes.  </w:t>
      </w:r>
      <w:r w:rsidR="005E6F2F">
        <w:t>Capacity costs</w:t>
      </w:r>
      <w:r w:rsidR="00C00884">
        <w:t xml:space="preserve"> should be reduced to reflect the allocation of Ohio-jurisdictional capacity among Ohio-jurisdictional customers.  The Utility has not made that calculation in this case and has not provided the information necessary to make that calculation.</w:t>
      </w:r>
      <w:r w:rsidR="0083561C">
        <w:br w:type="page"/>
      </w:r>
    </w:p>
    <w:p w:rsidR="00BC7EDA" w:rsidRPr="00D57C88" w:rsidRDefault="00BC7EDA" w:rsidP="00C11498">
      <w:pPr>
        <w:spacing w:line="480" w:lineRule="auto"/>
        <w:ind w:left="720" w:hanging="720"/>
        <w:rPr>
          <w:b/>
          <w:i/>
          <w:caps/>
        </w:rPr>
      </w:pPr>
      <w:r w:rsidRPr="00D57C88">
        <w:rPr>
          <w:b/>
          <w:i/>
          <w:caps/>
        </w:rPr>
        <w:t>Q</w:t>
      </w:r>
      <w:r w:rsidR="00C11498">
        <w:rPr>
          <w:b/>
          <w:i/>
          <w:caps/>
        </w:rPr>
        <w:t>1</w:t>
      </w:r>
      <w:r w:rsidR="00C01278">
        <w:rPr>
          <w:b/>
          <w:i/>
          <w:caps/>
        </w:rPr>
        <w:t>8</w:t>
      </w:r>
      <w:r w:rsidRPr="00D57C88">
        <w:rPr>
          <w:b/>
          <w:i/>
          <w:caps/>
        </w:rPr>
        <w:t>.</w:t>
      </w:r>
      <w:r w:rsidRPr="00D57C88">
        <w:rPr>
          <w:b/>
          <w:i/>
          <w:caps/>
        </w:rPr>
        <w:tab/>
      </w:r>
      <w:r>
        <w:rPr>
          <w:b/>
          <w:i/>
          <w:caps/>
        </w:rPr>
        <w:t>What is your recommendation as to the treatment of the rc rider costs that duke proposes to charge its customers?</w:t>
      </w:r>
    </w:p>
    <w:p w:rsidR="002A18F1" w:rsidRDefault="00BC7EDA" w:rsidP="008077A4">
      <w:pPr>
        <w:spacing w:line="480" w:lineRule="auto"/>
        <w:ind w:left="720" w:hanging="720"/>
      </w:pPr>
      <w:r w:rsidRPr="00D57C88">
        <w:rPr>
          <w:b/>
          <w:i/>
        </w:rPr>
        <w:t>A</w:t>
      </w:r>
      <w:r w:rsidR="00C11498">
        <w:rPr>
          <w:b/>
          <w:i/>
        </w:rPr>
        <w:t>1</w:t>
      </w:r>
      <w:r w:rsidR="00C01278">
        <w:rPr>
          <w:b/>
          <w:i/>
        </w:rPr>
        <w:t>8</w:t>
      </w:r>
      <w:r w:rsidRPr="00D57C88">
        <w:rPr>
          <w:b/>
          <w:i/>
        </w:rPr>
        <w:t>.</w:t>
      </w:r>
      <w:r>
        <w:tab/>
        <w:t xml:space="preserve">As pointed out above, Duke does not incur any </w:t>
      </w:r>
      <w:r w:rsidR="00DF2045">
        <w:t xml:space="preserve">generation-related </w:t>
      </w:r>
      <w:r>
        <w:t>capacity charges and therefore</w:t>
      </w:r>
      <w:r w:rsidR="00DF2045">
        <w:t xml:space="preserve"> </w:t>
      </w:r>
      <w:r>
        <w:t xml:space="preserve">should not </w:t>
      </w:r>
      <w:r w:rsidR="00D12F41">
        <w:t>be assigning some theoretical level of capacity costs to its customer</w:t>
      </w:r>
      <w:r w:rsidR="00DF2045">
        <w:t>s</w:t>
      </w:r>
      <w:r w:rsidR="00D12F41">
        <w:t xml:space="preserve">.  Additionally, Duke </w:t>
      </w:r>
      <w:r w:rsidR="00DF2045">
        <w:t xml:space="preserve">failed to provide the underlying data showing how it developed the </w:t>
      </w:r>
      <w:r w:rsidR="00D12F41">
        <w:t xml:space="preserve">RC Rider rates.  The appropriate thing to do </w:t>
      </w:r>
      <w:r w:rsidR="00DF2045">
        <w:t xml:space="preserve">is </w:t>
      </w:r>
      <w:r w:rsidR="00D12F41">
        <w:t xml:space="preserve">to </w:t>
      </w:r>
      <w:r w:rsidR="00DF2045">
        <w:t xml:space="preserve">reject Duke’s proposed </w:t>
      </w:r>
      <w:r w:rsidR="00D12F41">
        <w:t>capacity cost rider.</w:t>
      </w:r>
    </w:p>
    <w:p w:rsidR="005A68E0" w:rsidRPr="00D12F41" w:rsidRDefault="005A68E0" w:rsidP="008077A4">
      <w:pPr>
        <w:pStyle w:val="Header"/>
        <w:spacing w:line="480" w:lineRule="auto"/>
        <w:ind w:right="-720"/>
        <w:rPr>
          <w:b/>
          <w:szCs w:val="24"/>
        </w:rPr>
      </w:pPr>
    </w:p>
    <w:p w:rsidR="005A68E0" w:rsidRDefault="004E7F0E" w:rsidP="003B014C">
      <w:pPr>
        <w:pStyle w:val="Heading1"/>
      </w:pPr>
      <w:bookmarkStart w:id="4" w:name="_Toc399508408"/>
      <w:r>
        <w:t>Distribution capital rider</w:t>
      </w:r>
      <w:r w:rsidR="00CA6CA9">
        <w:rPr>
          <w:rFonts w:asciiTheme="minorHAnsi" w:hAnsiTheme="minorHAnsi"/>
          <w:lang w:val="en-US"/>
        </w:rPr>
        <w:t xml:space="preserve"> (</w:t>
      </w:r>
      <w:r>
        <w:t>DCI</w:t>
      </w:r>
      <w:r w:rsidR="00CA6CA9">
        <w:rPr>
          <w:rFonts w:asciiTheme="minorHAnsi" w:hAnsiTheme="minorHAnsi"/>
          <w:lang w:val="en-US"/>
        </w:rPr>
        <w:t>)</w:t>
      </w:r>
      <w:bookmarkEnd w:id="4"/>
    </w:p>
    <w:p w:rsidR="00C11498" w:rsidRDefault="00C11498" w:rsidP="008077A4">
      <w:pPr>
        <w:pStyle w:val="Header"/>
        <w:spacing w:line="480" w:lineRule="auto"/>
        <w:ind w:left="360" w:right="-720"/>
        <w:rPr>
          <w:b/>
          <w:sz w:val="28"/>
          <w:szCs w:val="28"/>
        </w:rPr>
      </w:pPr>
    </w:p>
    <w:p w:rsidR="005F2908" w:rsidRPr="009A316A" w:rsidRDefault="005F2908" w:rsidP="008077A4">
      <w:pPr>
        <w:spacing w:line="480" w:lineRule="auto"/>
        <w:ind w:left="720" w:hanging="720"/>
        <w:rPr>
          <w:b/>
          <w:i/>
          <w:caps/>
        </w:rPr>
      </w:pPr>
      <w:r w:rsidRPr="009A316A">
        <w:rPr>
          <w:b/>
          <w:i/>
          <w:caps/>
        </w:rPr>
        <w:t>Q</w:t>
      </w:r>
      <w:r w:rsidR="00C11498">
        <w:rPr>
          <w:b/>
          <w:i/>
          <w:caps/>
        </w:rPr>
        <w:t>1</w:t>
      </w:r>
      <w:r w:rsidR="00C01278">
        <w:rPr>
          <w:b/>
          <w:i/>
          <w:caps/>
        </w:rPr>
        <w:t>9</w:t>
      </w:r>
      <w:r>
        <w:rPr>
          <w:b/>
          <w:i/>
          <w:caps/>
        </w:rPr>
        <w:t>.</w:t>
      </w:r>
      <w:r w:rsidRPr="009A316A">
        <w:rPr>
          <w:b/>
          <w:i/>
          <w:caps/>
        </w:rPr>
        <w:tab/>
      </w:r>
      <w:r>
        <w:rPr>
          <w:b/>
          <w:i/>
          <w:caps/>
        </w:rPr>
        <w:t xml:space="preserve">please summarize the </w:t>
      </w:r>
      <w:r w:rsidR="00AC2D99">
        <w:rPr>
          <w:b/>
          <w:i/>
          <w:caps/>
        </w:rPr>
        <w:t>Utility</w:t>
      </w:r>
      <w:r>
        <w:rPr>
          <w:b/>
          <w:i/>
          <w:caps/>
        </w:rPr>
        <w:t xml:space="preserve">’s proposal with respect to the distribution capital </w:t>
      </w:r>
      <w:r w:rsidR="00FD61D7">
        <w:rPr>
          <w:b/>
          <w:i/>
          <w:caps/>
        </w:rPr>
        <w:t xml:space="preserve">investment </w:t>
      </w:r>
      <w:r>
        <w:rPr>
          <w:b/>
          <w:i/>
          <w:caps/>
        </w:rPr>
        <w:t>rider (dci)</w:t>
      </w:r>
      <w:r w:rsidR="00884894">
        <w:rPr>
          <w:b/>
          <w:i/>
          <w:caps/>
        </w:rPr>
        <w:t>.</w:t>
      </w:r>
    </w:p>
    <w:p w:rsidR="004E7F0E" w:rsidRDefault="005F2908" w:rsidP="00F339C7">
      <w:pPr>
        <w:pStyle w:val="Header"/>
        <w:tabs>
          <w:tab w:val="clear" w:pos="4320"/>
          <w:tab w:val="left" w:pos="90"/>
          <w:tab w:val="left" w:pos="630"/>
          <w:tab w:val="center" w:pos="4230"/>
        </w:tabs>
        <w:spacing w:line="480" w:lineRule="auto"/>
        <w:ind w:left="630" w:hanging="630"/>
        <w:rPr>
          <w:sz w:val="24"/>
          <w:szCs w:val="24"/>
        </w:rPr>
      </w:pPr>
      <w:r w:rsidRPr="005F2908">
        <w:rPr>
          <w:b/>
          <w:i/>
          <w:sz w:val="24"/>
          <w:szCs w:val="24"/>
        </w:rPr>
        <w:t>A</w:t>
      </w:r>
      <w:r w:rsidR="00C11498">
        <w:rPr>
          <w:b/>
          <w:i/>
          <w:sz w:val="24"/>
          <w:szCs w:val="24"/>
        </w:rPr>
        <w:t>1</w:t>
      </w:r>
      <w:r w:rsidR="00C01278">
        <w:rPr>
          <w:b/>
          <w:i/>
          <w:sz w:val="24"/>
          <w:szCs w:val="24"/>
          <w:lang w:val="en-US"/>
        </w:rPr>
        <w:t>9</w:t>
      </w:r>
      <w:r w:rsidRPr="005F2908">
        <w:rPr>
          <w:b/>
          <w:i/>
          <w:sz w:val="24"/>
          <w:szCs w:val="24"/>
        </w:rPr>
        <w:t>.</w:t>
      </w:r>
      <w:r w:rsidR="00394816">
        <w:rPr>
          <w:sz w:val="24"/>
          <w:szCs w:val="24"/>
        </w:rPr>
        <w:tab/>
        <w:t xml:space="preserve"> At page 16 of</w:t>
      </w:r>
      <w:r w:rsidR="00AE2166">
        <w:rPr>
          <w:sz w:val="24"/>
          <w:szCs w:val="24"/>
        </w:rPr>
        <w:t xml:space="preserve"> his </w:t>
      </w:r>
      <w:r w:rsidR="00394816">
        <w:rPr>
          <w:sz w:val="24"/>
          <w:szCs w:val="24"/>
        </w:rPr>
        <w:t xml:space="preserve">direct testimony in this case, </w:t>
      </w:r>
      <w:r w:rsidR="00FC2964">
        <w:rPr>
          <w:sz w:val="24"/>
          <w:szCs w:val="24"/>
        </w:rPr>
        <w:t>Duke</w:t>
      </w:r>
      <w:r w:rsidR="00394816">
        <w:rPr>
          <w:sz w:val="24"/>
          <w:szCs w:val="24"/>
        </w:rPr>
        <w:t xml:space="preserve"> witness Arnold outlines the general purpose of the DCI rider:</w:t>
      </w:r>
    </w:p>
    <w:p w:rsidR="00C11498" w:rsidRDefault="00DC3BFC" w:rsidP="002A5924">
      <w:pPr>
        <w:pStyle w:val="Header"/>
        <w:tabs>
          <w:tab w:val="clear" w:pos="4320"/>
          <w:tab w:val="clear" w:pos="8640"/>
          <w:tab w:val="left" w:pos="90"/>
          <w:tab w:val="left" w:pos="630"/>
          <w:tab w:val="center" w:pos="4230"/>
          <w:tab w:val="right" w:pos="7920"/>
        </w:tabs>
        <w:spacing w:line="480" w:lineRule="auto"/>
        <w:ind w:left="1440" w:right="720"/>
        <w:rPr>
          <w:sz w:val="24"/>
          <w:szCs w:val="24"/>
        </w:rPr>
      </w:pPr>
      <w:r>
        <w:rPr>
          <w:sz w:val="24"/>
          <w:szCs w:val="24"/>
        </w:rPr>
        <w:t xml:space="preserve">In summary, the rider will recover the Company’s </w:t>
      </w:r>
      <w:r w:rsidR="00241457" w:rsidRPr="00241457">
        <w:rPr>
          <w:b/>
          <w:sz w:val="24"/>
          <w:szCs w:val="24"/>
        </w:rPr>
        <w:t>incremental distribution capital investment</w:t>
      </w:r>
      <w:r>
        <w:rPr>
          <w:sz w:val="24"/>
          <w:szCs w:val="24"/>
        </w:rPr>
        <w:t xml:space="preserve">, including, but not limited to ongoing </w:t>
      </w:r>
      <w:r w:rsidR="00EA560A">
        <w:rPr>
          <w:sz w:val="24"/>
          <w:szCs w:val="24"/>
        </w:rPr>
        <w:t xml:space="preserve">maintenance </w:t>
      </w:r>
      <w:r>
        <w:rPr>
          <w:sz w:val="24"/>
          <w:szCs w:val="24"/>
        </w:rPr>
        <w:t>capital, as w</w:t>
      </w:r>
      <w:r w:rsidR="00EA560A">
        <w:rPr>
          <w:sz w:val="24"/>
          <w:szCs w:val="24"/>
        </w:rPr>
        <w:t>e</w:t>
      </w:r>
      <w:r>
        <w:rPr>
          <w:sz w:val="24"/>
          <w:szCs w:val="24"/>
        </w:rPr>
        <w:t>ll as the cost to implement vari</w:t>
      </w:r>
      <w:r w:rsidR="00EA560A">
        <w:rPr>
          <w:sz w:val="24"/>
          <w:szCs w:val="24"/>
        </w:rPr>
        <w:t>o</w:t>
      </w:r>
      <w:r>
        <w:rPr>
          <w:sz w:val="24"/>
          <w:szCs w:val="24"/>
        </w:rPr>
        <w:t>us specif</w:t>
      </w:r>
      <w:r w:rsidR="00EA560A">
        <w:rPr>
          <w:sz w:val="24"/>
          <w:szCs w:val="24"/>
        </w:rPr>
        <w:t>ic</w:t>
      </w:r>
      <w:r>
        <w:rPr>
          <w:sz w:val="24"/>
          <w:szCs w:val="24"/>
        </w:rPr>
        <w:t xml:space="preserve"> programs or initiatives designed to </w:t>
      </w:r>
      <w:r w:rsidR="00EA560A">
        <w:rPr>
          <w:sz w:val="24"/>
          <w:szCs w:val="24"/>
        </w:rPr>
        <w:t>maintain and/or enhance the safety and reliability of the Company’s distribution system.</w:t>
      </w:r>
      <w:r w:rsidR="00F339C7">
        <w:rPr>
          <w:sz w:val="24"/>
          <w:szCs w:val="24"/>
        </w:rPr>
        <w:t xml:space="preserve">  (Emphasis added</w:t>
      </w:r>
      <w:r w:rsidR="002A5924">
        <w:rPr>
          <w:sz w:val="24"/>
          <w:szCs w:val="24"/>
          <w:lang w:val="en-US"/>
        </w:rPr>
        <w:t>.</w:t>
      </w:r>
      <w:r w:rsidR="00F339C7">
        <w:rPr>
          <w:sz w:val="24"/>
          <w:szCs w:val="24"/>
        </w:rPr>
        <w:t>)</w:t>
      </w:r>
    </w:p>
    <w:p w:rsidR="002A5924" w:rsidRPr="002A5924" w:rsidRDefault="002A5924" w:rsidP="002A5924">
      <w:pPr>
        <w:pStyle w:val="Header"/>
        <w:tabs>
          <w:tab w:val="clear" w:pos="4320"/>
          <w:tab w:val="clear" w:pos="8640"/>
          <w:tab w:val="left" w:pos="90"/>
          <w:tab w:val="left" w:pos="630"/>
          <w:tab w:val="center" w:pos="4230"/>
          <w:tab w:val="right" w:pos="7920"/>
        </w:tabs>
        <w:spacing w:line="480" w:lineRule="auto"/>
        <w:ind w:left="1440" w:right="720"/>
        <w:rPr>
          <w:sz w:val="24"/>
          <w:szCs w:val="24"/>
        </w:rPr>
      </w:pPr>
    </w:p>
    <w:p w:rsidR="00394816" w:rsidRPr="00C11498" w:rsidRDefault="00394816" w:rsidP="00F339C7">
      <w:pPr>
        <w:pStyle w:val="Header"/>
        <w:tabs>
          <w:tab w:val="clear" w:pos="4320"/>
          <w:tab w:val="clear" w:pos="8640"/>
          <w:tab w:val="center" w:pos="4230"/>
          <w:tab w:val="right" w:pos="7920"/>
        </w:tabs>
        <w:spacing w:line="480" w:lineRule="auto"/>
        <w:ind w:left="720" w:right="720" w:hanging="720"/>
        <w:rPr>
          <w:b/>
          <w:i/>
          <w:caps/>
          <w:sz w:val="24"/>
          <w:szCs w:val="24"/>
        </w:rPr>
      </w:pPr>
      <w:r w:rsidRPr="00C11498">
        <w:rPr>
          <w:b/>
          <w:i/>
          <w:caps/>
          <w:sz w:val="24"/>
          <w:szCs w:val="24"/>
        </w:rPr>
        <w:t>Q</w:t>
      </w:r>
      <w:r w:rsidR="00C01278">
        <w:rPr>
          <w:b/>
          <w:i/>
          <w:caps/>
          <w:sz w:val="24"/>
          <w:szCs w:val="24"/>
          <w:lang w:val="en-US"/>
        </w:rPr>
        <w:t>20</w:t>
      </w:r>
      <w:r w:rsidRPr="00C11498">
        <w:rPr>
          <w:b/>
          <w:i/>
          <w:caps/>
          <w:sz w:val="24"/>
          <w:szCs w:val="24"/>
        </w:rPr>
        <w:t>.</w:t>
      </w:r>
      <w:r w:rsidRPr="00C11498">
        <w:rPr>
          <w:b/>
          <w:i/>
          <w:caps/>
          <w:sz w:val="24"/>
          <w:szCs w:val="24"/>
        </w:rPr>
        <w:tab/>
        <w:t xml:space="preserve">Are you addressing the appropriateness of the </w:t>
      </w:r>
      <w:r w:rsidR="00AC2D99">
        <w:rPr>
          <w:b/>
          <w:i/>
          <w:caps/>
          <w:sz w:val="24"/>
          <w:szCs w:val="24"/>
        </w:rPr>
        <w:t>Utility</w:t>
      </w:r>
      <w:r w:rsidRPr="00C11498">
        <w:rPr>
          <w:b/>
          <w:i/>
          <w:caps/>
          <w:sz w:val="24"/>
          <w:szCs w:val="24"/>
        </w:rPr>
        <w:t>’s proposal with respect to the distribution capital investment rider?</w:t>
      </w:r>
    </w:p>
    <w:p w:rsidR="005F2908" w:rsidRDefault="00394816" w:rsidP="00454354">
      <w:pPr>
        <w:pStyle w:val="Header"/>
        <w:tabs>
          <w:tab w:val="clear" w:pos="8640"/>
        </w:tabs>
        <w:spacing w:line="480" w:lineRule="auto"/>
        <w:ind w:left="720" w:hanging="720"/>
        <w:rPr>
          <w:sz w:val="24"/>
          <w:szCs w:val="24"/>
        </w:rPr>
      </w:pPr>
      <w:r w:rsidRPr="00C11498">
        <w:rPr>
          <w:b/>
          <w:i/>
          <w:sz w:val="24"/>
          <w:szCs w:val="24"/>
        </w:rPr>
        <w:t>A</w:t>
      </w:r>
      <w:r w:rsidR="00C01278">
        <w:rPr>
          <w:b/>
          <w:i/>
          <w:sz w:val="24"/>
          <w:szCs w:val="24"/>
          <w:lang w:val="en-US"/>
        </w:rPr>
        <w:t>20</w:t>
      </w:r>
      <w:r w:rsidRPr="00C11498">
        <w:rPr>
          <w:b/>
          <w:i/>
          <w:sz w:val="24"/>
          <w:szCs w:val="24"/>
        </w:rPr>
        <w:t>.</w:t>
      </w:r>
      <w:r w:rsidR="007E05BA" w:rsidRPr="00C11498">
        <w:rPr>
          <w:sz w:val="24"/>
          <w:szCs w:val="24"/>
        </w:rPr>
        <w:tab/>
      </w:r>
      <w:r w:rsidRPr="00C11498">
        <w:rPr>
          <w:sz w:val="24"/>
          <w:szCs w:val="24"/>
        </w:rPr>
        <w:t>No, the</w:t>
      </w:r>
      <w:r>
        <w:rPr>
          <w:sz w:val="24"/>
          <w:szCs w:val="24"/>
        </w:rPr>
        <w:t xml:space="preserve"> a</w:t>
      </w:r>
      <w:r w:rsidR="00AB52BD">
        <w:rPr>
          <w:sz w:val="24"/>
          <w:szCs w:val="24"/>
        </w:rPr>
        <w:t xml:space="preserve">ppropriateness of </w:t>
      </w:r>
      <w:r w:rsidR="00DF2045">
        <w:rPr>
          <w:sz w:val="24"/>
          <w:szCs w:val="24"/>
        </w:rPr>
        <w:t xml:space="preserve">the </w:t>
      </w:r>
      <w:r w:rsidR="00AB52BD">
        <w:rPr>
          <w:sz w:val="24"/>
          <w:szCs w:val="24"/>
        </w:rPr>
        <w:t>proposed DCI R</w:t>
      </w:r>
      <w:r>
        <w:rPr>
          <w:sz w:val="24"/>
          <w:szCs w:val="24"/>
        </w:rPr>
        <w:t xml:space="preserve">ider will be addressed by OCC </w:t>
      </w:r>
      <w:r w:rsidR="00A44674" w:rsidRPr="00FC756E">
        <w:rPr>
          <w:sz w:val="24"/>
          <w:szCs w:val="24"/>
        </w:rPr>
        <w:t>witness</w:t>
      </w:r>
      <w:r w:rsidR="003D68C1">
        <w:rPr>
          <w:sz w:val="24"/>
          <w:szCs w:val="24"/>
          <w:lang w:val="en-US"/>
        </w:rPr>
        <w:t xml:space="preserve">es </w:t>
      </w:r>
      <w:r w:rsidR="00A44674" w:rsidRPr="00FC756E">
        <w:rPr>
          <w:sz w:val="24"/>
          <w:szCs w:val="24"/>
        </w:rPr>
        <w:t xml:space="preserve"> Mierzwa</w:t>
      </w:r>
      <w:r w:rsidR="003D68C1">
        <w:rPr>
          <w:sz w:val="24"/>
          <w:szCs w:val="24"/>
          <w:lang w:val="en-US"/>
        </w:rPr>
        <w:t xml:space="preserve"> and Williams</w:t>
      </w:r>
      <w:r>
        <w:rPr>
          <w:sz w:val="24"/>
          <w:szCs w:val="24"/>
        </w:rPr>
        <w:t>.  My testimony will only address how the costs and re</w:t>
      </w:r>
      <w:r w:rsidR="00AA05EE">
        <w:rPr>
          <w:sz w:val="24"/>
          <w:szCs w:val="24"/>
        </w:rPr>
        <w:t>venue requirement from the DCI R</w:t>
      </w:r>
      <w:r>
        <w:rPr>
          <w:sz w:val="24"/>
          <w:szCs w:val="24"/>
        </w:rPr>
        <w:t xml:space="preserve">ider should be allocated </w:t>
      </w:r>
      <w:r w:rsidR="00370606">
        <w:rPr>
          <w:sz w:val="24"/>
          <w:szCs w:val="24"/>
          <w:lang w:val="en-US"/>
        </w:rPr>
        <w:t>among</w:t>
      </w:r>
      <w:r w:rsidR="00370606">
        <w:rPr>
          <w:sz w:val="24"/>
          <w:szCs w:val="24"/>
        </w:rPr>
        <w:t xml:space="preserve"> </w:t>
      </w:r>
      <w:r>
        <w:rPr>
          <w:sz w:val="24"/>
          <w:szCs w:val="24"/>
        </w:rPr>
        <w:t>customer groups</w:t>
      </w:r>
      <w:r w:rsidR="007E05BA">
        <w:rPr>
          <w:sz w:val="24"/>
          <w:szCs w:val="24"/>
        </w:rPr>
        <w:t>—assuming that</w:t>
      </w:r>
      <w:r w:rsidR="002E725F">
        <w:rPr>
          <w:sz w:val="24"/>
          <w:szCs w:val="24"/>
        </w:rPr>
        <w:t xml:space="preserve"> the Commission adopts some form</w:t>
      </w:r>
      <w:r w:rsidR="007E05BA">
        <w:rPr>
          <w:sz w:val="24"/>
          <w:szCs w:val="24"/>
        </w:rPr>
        <w:t xml:space="preserve"> of Distribution Capital Investment Rider.</w:t>
      </w:r>
    </w:p>
    <w:p w:rsidR="007E05BA" w:rsidRPr="007E05BA" w:rsidRDefault="007E05BA" w:rsidP="007E05BA">
      <w:pPr>
        <w:pStyle w:val="Header"/>
        <w:spacing w:line="480" w:lineRule="auto"/>
        <w:ind w:right="-720"/>
        <w:rPr>
          <w:b/>
          <w:sz w:val="24"/>
          <w:szCs w:val="24"/>
        </w:rPr>
      </w:pPr>
    </w:p>
    <w:p w:rsidR="007E05BA" w:rsidRPr="009A316A" w:rsidRDefault="007E05BA" w:rsidP="004C759D">
      <w:pPr>
        <w:spacing w:line="480" w:lineRule="auto"/>
        <w:ind w:left="720" w:hanging="720"/>
        <w:rPr>
          <w:b/>
          <w:i/>
          <w:caps/>
        </w:rPr>
      </w:pPr>
      <w:r w:rsidRPr="009A316A">
        <w:rPr>
          <w:b/>
          <w:i/>
          <w:caps/>
        </w:rPr>
        <w:t>Q</w:t>
      </w:r>
      <w:r w:rsidR="00C11498">
        <w:rPr>
          <w:b/>
          <w:i/>
          <w:caps/>
        </w:rPr>
        <w:t>2</w:t>
      </w:r>
      <w:r w:rsidR="00C01278">
        <w:rPr>
          <w:b/>
          <w:i/>
          <w:caps/>
        </w:rPr>
        <w:t>1</w:t>
      </w:r>
      <w:r>
        <w:rPr>
          <w:b/>
          <w:i/>
          <w:caps/>
        </w:rPr>
        <w:t>.</w:t>
      </w:r>
      <w:r w:rsidRPr="009A316A">
        <w:rPr>
          <w:b/>
          <w:i/>
          <w:caps/>
        </w:rPr>
        <w:tab/>
      </w:r>
      <w:r w:rsidR="002E725F">
        <w:rPr>
          <w:b/>
          <w:i/>
          <w:caps/>
        </w:rPr>
        <w:t xml:space="preserve">what </w:t>
      </w:r>
      <w:r w:rsidR="00FC756E">
        <w:rPr>
          <w:b/>
          <w:i/>
          <w:caps/>
        </w:rPr>
        <w:t>Federal energy regulatory commission (“</w:t>
      </w:r>
      <w:r w:rsidR="002E725F">
        <w:rPr>
          <w:b/>
          <w:i/>
          <w:caps/>
        </w:rPr>
        <w:t>ferc</w:t>
      </w:r>
      <w:r w:rsidR="00FC756E">
        <w:rPr>
          <w:b/>
          <w:i/>
          <w:caps/>
        </w:rPr>
        <w:t>”)</w:t>
      </w:r>
      <w:r w:rsidR="002E725F">
        <w:rPr>
          <w:b/>
          <w:i/>
          <w:caps/>
        </w:rPr>
        <w:t xml:space="preserve"> accounts does the </w:t>
      </w:r>
      <w:r w:rsidR="00AC2D99">
        <w:rPr>
          <w:b/>
          <w:i/>
          <w:caps/>
        </w:rPr>
        <w:t>Utility</w:t>
      </w:r>
      <w:r w:rsidR="002E725F">
        <w:rPr>
          <w:b/>
          <w:i/>
          <w:caps/>
        </w:rPr>
        <w:t xml:space="preserve"> propose</w:t>
      </w:r>
      <w:r w:rsidR="005F6A44">
        <w:rPr>
          <w:b/>
          <w:i/>
          <w:caps/>
        </w:rPr>
        <w:t xml:space="preserve"> be used to determine the overall revenue requirement of the DCI rider and</w:t>
      </w:r>
      <w:r w:rsidR="002E725F">
        <w:rPr>
          <w:b/>
          <w:i/>
          <w:caps/>
        </w:rPr>
        <w:t xml:space="preserve"> </w:t>
      </w:r>
      <w:r>
        <w:rPr>
          <w:b/>
          <w:i/>
          <w:caps/>
        </w:rPr>
        <w:t xml:space="preserve">how has the </w:t>
      </w:r>
      <w:r w:rsidR="00AC2D99">
        <w:rPr>
          <w:b/>
          <w:i/>
          <w:caps/>
        </w:rPr>
        <w:t>Utility</w:t>
      </w:r>
      <w:r>
        <w:rPr>
          <w:b/>
          <w:i/>
          <w:caps/>
        </w:rPr>
        <w:t xml:space="preserve"> proposed to allocate</w:t>
      </w:r>
      <w:r w:rsidR="005F6A44">
        <w:rPr>
          <w:b/>
          <w:i/>
          <w:caps/>
        </w:rPr>
        <w:t xml:space="preserve"> this revenue requirment between customer groups</w:t>
      </w:r>
      <w:r>
        <w:rPr>
          <w:b/>
          <w:i/>
          <w:caps/>
        </w:rPr>
        <w:t>?</w:t>
      </w:r>
    </w:p>
    <w:p w:rsidR="00217F7D" w:rsidRDefault="007E05BA" w:rsidP="00695275">
      <w:pPr>
        <w:pStyle w:val="Header"/>
        <w:tabs>
          <w:tab w:val="clear" w:pos="8640"/>
        </w:tabs>
        <w:spacing w:line="480" w:lineRule="auto"/>
        <w:ind w:left="720" w:hanging="720"/>
        <w:rPr>
          <w:sz w:val="24"/>
          <w:szCs w:val="24"/>
        </w:rPr>
      </w:pPr>
      <w:r w:rsidRPr="007E05BA">
        <w:rPr>
          <w:b/>
          <w:i/>
          <w:sz w:val="24"/>
          <w:szCs w:val="24"/>
        </w:rPr>
        <w:t>A</w:t>
      </w:r>
      <w:r w:rsidR="00C11498">
        <w:rPr>
          <w:b/>
          <w:i/>
          <w:sz w:val="24"/>
          <w:szCs w:val="24"/>
        </w:rPr>
        <w:t>2</w:t>
      </w:r>
      <w:r w:rsidR="00C01278">
        <w:rPr>
          <w:b/>
          <w:i/>
          <w:sz w:val="24"/>
          <w:szCs w:val="24"/>
          <w:lang w:val="en-US"/>
        </w:rPr>
        <w:t>1</w:t>
      </w:r>
      <w:r w:rsidRPr="007E05BA">
        <w:rPr>
          <w:b/>
          <w:i/>
          <w:sz w:val="24"/>
          <w:szCs w:val="24"/>
        </w:rPr>
        <w:t>.</w:t>
      </w:r>
      <w:r>
        <w:tab/>
      </w:r>
      <w:r w:rsidR="005F6A44" w:rsidRPr="005F6A44">
        <w:rPr>
          <w:sz w:val="24"/>
          <w:szCs w:val="24"/>
        </w:rPr>
        <w:t xml:space="preserve">The </w:t>
      </w:r>
      <w:r w:rsidR="00AC2D99">
        <w:rPr>
          <w:sz w:val="24"/>
          <w:szCs w:val="24"/>
        </w:rPr>
        <w:t>Utility</w:t>
      </w:r>
      <w:r w:rsidR="005F6A44" w:rsidRPr="005F6A44">
        <w:rPr>
          <w:sz w:val="24"/>
          <w:szCs w:val="24"/>
        </w:rPr>
        <w:t xml:space="preserve"> proposes only that FERC Plant accounts 360 through 374 would be included</w:t>
      </w:r>
      <w:r w:rsidR="00880CF5">
        <w:rPr>
          <w:sz w:val="24"/>
          <w:szCs w:val="24"/>
        </w:rPr>
        <w:t>,</w:t>
      </w:r>
      <w:r w:rsidR="005F6A44" w:rsidRPr="005F6A44">
        <w:rPr>
          <w:sz w:val="24"/>
          <w:szCs w:val="24"/>
        </w:rPr>
        <w:t xml:space="preserve"> as well as portions of common general plant FERC accounts 389 through 398</w:t>
      </w:r>
      <w:r w:rsidR="00370606">
        <w:rPr>
          <w:sz w:val="24"/>
          <w:szCs w:val="24"/>
          <w:lang w:val="en-US"/>
        </w:rPr>
        <w:t>.</w:t>
      </w:r>
      <w:r w:rsidR="005F6A44">
        <w:rPr>
          <w:rStyle w:val="FootnoteReference"/>
          <w:sz w:val="24"/>
          <w:szCs w:val="24"/>
        </w:rPr>
        <w:footnoteReference w:id="14"/>
      </w:r>
      <w:r w:rsidR="005F6A44">
        <w:rPr>
          <w:sz w:val="24"/>
          <w:szCs w:val="24"/>
        </w:rPr>
        <w:t xml:space="preserve">  </w:t>
      </w:r>
      <w:r w:rsidR="00217F7D">
        <w:rPr>
          <w:sz w:val="24"/>
          <w:szCs w:val="24"/>
        </w:rPr>
        <w:t>Looked at from “the other side of the coin</w:t>
      </w:r>
      <w:r w:rsidR="002A5924">
        <w:rPr>
          <w:sz w:val="24"/>
          <w:szCs w:val="24"/>
          <w:lang w:val="en-US"/>
        </w:rPr>
        <w:t>,</w:t>
      </w:r>
      <w:r w:rsidR="00217F7D">
        <w:rPr>
          <w:sz w:val="24"/>
          <w:szCs w:val="24"/>
        </w:rPr>
        <w:t>” this means that the calculation of the revenue requirement of the DCI rider would not include</w:t>
      </w:r>
      <w:r w:rsidR="00FD4808">
        <w:rPr>
          <w:sz w:val="24"/>
          <w:szCs w:val="24"/>
        </w:rPr>
        <w:t xml:space="preserve"> (at a minimum)</w:t>
      </w:r>
      <w:r w:rsidR="00217F7D">
        <w:rPr>
          <w:sz w:val="24"/>
          <w:szCs w:val="24"/>
        </w:rPr>
        <w:t xml:space="preserve"> expenses for the following FERC accounts:</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Distribution Operation Expense</w:t>
      </w:r>
      <w:r>
        <w:rPr>
          <w:sz w:val="24"/>
          <w:szCs w:val="24"/>
        </w:rPr>
        <w:tab/>
        <w:t>Accounts 580</w:t>
      </w:r>
      <w:r w:rsidR="00ED0975">
        <w:rPr>
          <w:sz w:val="24"/>
          <w:szCs w:val="24"/>
          <w:lang w:val="en-US"/>
        </w:rPr>
        <w:t>-</w:t>
      </w:r>
      <w:r>
        <w:rPr>
          <w:sz w:val="24"/>
          <w:szCs w:val="24"/>
        </w:rPr>
        <w:t>589</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Distribution Maintenance Expense</w:t>
      </w:r>
      <w:r>
        <w:rPr>
          <w:sz w:val="24"/>
          <w:szCs w:val="24"/>
        </w:rPr>
        <w:tab/>
        <w:t>Accounts 590</w:t>
      </w:r>
      <w:r w:rsidR="00ED0975">
        <w:rPr>
          <w:sz w:val="24"/>
          <w:szCs w:val="24"/>
          <w:lang w:val="en-US"/>
        </w:rPr>
        <w:t>-</w:t>
      </w:r>
      <w:r>
        <w:rPr>
          <w:sz w:val="24"/>
          <w:szCs w:val="24"/>
        </w:rPr>
        <w:t>598</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Customer Accounts Expense</w:t>
      </w:r>
      <w:r>
        <w:rPr>
          <w:sz w:val="24"/>
          <w:szCs w:val="24"/>
        </w:rPr>
        <w:tab/>
      </w:r>
      <w:r>
        <w:rPr>
          <w:sz w:val="24"/>
          <w:szCs w:val="24"/>
        </w:rPr>
        <w:tab/>
        <w:t>Accounts 901</w:t>
      </w:r>
      <w:r w:rsidR="00ED0975">
        <w:rPr>
          <w:sz w:val="24"/>
          <w:szCs w:val="24"/>
          <w:lang w:val="en-US"/>
        </w:rPr>
        <w:t>-</w:t>
      </w:r>
      <w:r>
        <w:rPr>
          <w:sz w:val="24"/>
          <w:szCs w:val="24"/>
        </w:rPr>
        <w:t>905</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Customer Service Expense</w:t>
      </w:r>
      <w:r>
        <w:rPr>
          <w:sz w:val="24"/>
          <w:szCs w:val="24"/>
        </w:rPr>
        <w:tab/>
      </w:r>
      <w:r>
        <w:rPr>
          <w:sz w:val="24"/>
          <w:szCs w:val="24"/>
        </w:rPr>
        <w:tab/>
        <w:t>Accounts 909</w:t>
      </w:r>
      <w:r w:rsidR="00ED0975">
        <w:rPr>
          <w:sz w:val="24"/>
          <w:szCs w:val="24"/>
          <w:lang w:val="en-US"/>
        </w:rPr>
        <w:t>-</w:t>
      </w:r>
      <w:r>
        <w:rPr>
          <w:sz w:val="24"/>
          <w:szCs w:val="24"/>
        </w:rPr>
        <w:t>912</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Sales and Promotion Expense</w:t>
      </w:r>
      <w:r>
        <w:rPr>
          <w:sz w:val="24"/>
          <w:szCs w:val="24"/>
        </w:rPr>
        <w:tab/>
      </w:r>
      <w:r w:rsidR="00944B43">
        <w:rPr>
          <w:sz w:val="24"/>
          <w:szCs w:val="24"/>
        </w:rPr>
        <w:tab/>
      </w:r>
      <w:r>
        <w:rPr>
          <w:sz w:val="24"/>
          <w:szCs w:val="24"/>
        </w:rPr>
        <w:t>Accounts 915</w:t>
      </w:r>
      <w:r w:rsidR="00ED0975">
        <w:rPr>
          <w:sz w:val="24"/>
          <w:szCs w:val="24"/>
          <w:lang w:val="en-US"/>
        </w:rPr>
        <w:t>-</w:t>
      </w:r>
      <w:r>
        <w:rPr>
          <w:sz w:val="24"/>
          <w:szCs w:val="24"/>
        </w:rPr>
        <w:t>918</w:t>
      </w:r>
    </w:p>
    <w:p w:rsidR="00695275" w:rsidRPr="00695275" w:rsidRDefault="00695275" w:rsidP="00695275">
      <w:pPr>
        <w:pStyle w:val="Header"/>
        <w:tabs>
          <w:tab w:val="clear" w:pos="8640"/>
          <w:tab w:val="right" w:pos="7920"/>
        </w:tabs>
        <w:spacing w:line="480" w:lineRule="auto"/>
        <w:ind w:left="1440" w:right="-720"/>
        <w:rPr>
          <w:sz w:val="24"/>
          <w:szCs w:val="24"/>
        </w:rPr>
      </w:pPr>
    </w:p>
    <w:p w:rsidR="00912541" w:rsidRDefault="00912541" w:rsidP="00695275">
      <w:pPr>
        <w:pStyle w:val="Header"/>
        <w:tabs>
          <w:tab w:val="clear" w:pos="8640"/>
          <w:tab w:val="right" w:pos="7920"/>
        </w:tabs>
        <w:spacing w:line="480" w:lineRule="auto"/>
        <w:ind w:left="720"/>
        <w:rPr>
          <w:sz w:val="24"/>
          <w:szCs w:val="24"/>
        </w:rPr>
      </w:pPr>
      <w:r>
        <w:rPr>
          <w:sz w:val="24"/>
          <w:szCs w:val="24"/>
        </w:rPr>
        <w:t>Furthermore, it would not include a portion of the expenses from the following FERC accounts:</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A &amp; G Operation Expense</w:t>
      </w:r>
      <w:r>
        <w:rPr>
          <w:sz w:val="24"/>
          <w:szCs w:val="24"/>
        </w:rPr>
        <w:tab/>
      </w:r>
      <w:r w:rsidR="00944B43">
        <w:rPr>
          <w:sz w:val="24"/>
          <w:szCs w:val="24"/>
        </w:rPr>
        <w:tab/>
      </w:r>
      <w:r w:rsidR="00ED0975">
        <w:rPr>
          <w:sz w:val="24"/>
          <w:szCs w:val="24"/>
        </w:rPr>
        <w:t>Accounts 920</w:t>
      </w:r>
      <w:r w:rsidR="00ED0975">
        <w:rPr>
          <w:sz w:val="24"/>
          <w:szCs w:val="24"/>
          <w:lang w:val="en-US"/>
        </w:rPr>
        <w:t>-</w:t>
      </w:r>
      <w:r w:rsidR="00944B43">
        <w:rPr>
          <w:sz w:val="24"/>
          <w:szCs w:val="24"/>
        </w:rPr>
        <w:t>931</w:t>
      </w:r>
    </w:p>
    <w:p w:rsidR="00217F7D" w:rsidRDefault="00217F7D" w:rsidP="00695275">
      <w:pPr>
        <w:pStyle w:val="Header"/>
        <w:tabs>
          <w:tab w:val="clear" w:pos="8640"/>
          <w:tab w:val="right" w:pos="7920"/>
        </w:tabs>
        <w:spacing w:line="480" w:lineRule="auto"/>
        <w:ind w:left="1440" w:right="-720"/>
        <w:rPr>
          <w:sz w:val="24"/>
          <w:szCs w:val="24"/>
        </w:rPr>
      </w:pPr>
      <w:r>
        <w:rPr>
          <w:sz w:val="24"/>
          <w:szCs w:val="24"/>
        </w:rPr>
        <w:t>A &amp; G Maintenance Expense</w:t>
      </w:r>
      <w:r>
        <w:rPr>
          <w:sz w:val="24"/>
          <w:szCs w:val="24"/>
        </w:rPr>
        <w:tab/>
      </w:r>
      <w:r w:rsidR="00944B43">
        <w:rPr>
          <w:sz w:val="24"/>
          <w:szCs w:val="24"/>
        </w:rPr>
        <w:tab/>
      </w:r>
      <w:r>
        <w:rPr>
          <w:sz w:val="24"/>
          <w:szCs w:val="24"/>
        </w:rPr>
        <w:t>Account 932</w:t>
      </w:r>
    </w:p>
    <w:p w:rsidR="007E05BA" w:rsidRDefault="00AA05EE" w:rsidP="00695275">
      <w:pPr>
        <w:pStyle w:val="Header"/>
        <w:tabs>
          <w:tab w:val="clear" w:pos="8640"/>
        </w:tabs>
        <w:spacing w:line="480" w:lineRule="auto"/>
        <w:ind w:left="720"/>
        <w:rPr>
          <w:sz w:val="24"/>
          <w:szCs w:val="24"/>
        </w:rPr>
      </w:pPr>
      <w:r>
        <w:rPr>
          <w:sz w:val="24"/>
          <w:szCs w:val="24"/>
        </w:rPr>
        <w:t>However, t</w:t>
      </w:r>
      <w:r w:rsidR="007E05BA">
        <w:rPr>
          <w:sz w:val="24"/>
          <w:szCs w:val="24"/>
        </w:rPr>
        <w:t xml:space="preserve">he </w:t>
      </w:r>
      <w:r w:rsidR="00AC2D99">
        <w:rPr>
          <w:sz w:val="24"/>
          <w:szCs w:val="24"/>
        </w:rPr>
        <w:t>Utility</w:t>
      </w:r>
      <w:r w:rsidR="007E05BA">
        <w:rPr>
          <w:sz w:val="24"/>
          <w:szCs w:val="24"/>
        </w:rPr>
        <w:t xml:space="preserve"> proposes to allocate the revenue requirement for the DCI rider on the basis of </w:t>
      </w:r>
      <w:r w:rsidR="00704748">
        <w:rPr>
          <w:sz w:val="24"/>
          <w:szCs w:val="24"/>
        </w:rPr>
        <w:t>“</w:t>
      </w:r>
      <w:r w:rsidR="007E05BA">
        <w:rPr>
          <w:sz w:val="24"/>
          <w:szCs w:val="24"/>
        </w:rPr>
        <w:t>total distribution revenue</w:t>
      </w:r>
      <w:r w:rsidR="00D5195E">
        <w:rPr>
          <w:sz w:val="24"/>
          <w:szCs w:val="24"/>
          <w:lang w:val="en-US"/>
        </w:rPr>
        <w:t>”.</w:t>
      </w:r>
    </w:p>
    <w:p w:rsidR="00D5195E" w:rsidRPr="00D5195E" w:rsidRDefault="00D5195E" w:rsidP="00695275">
      <w:pPr>
        <w:pStyle w:val="Header"/>
        <w:tabs>
          <w:tab w:val="clear" w:pos="8640"/>
        </w:tabs>
        <w:spacing w:line="480" w:lineRule="auto"/>
        <w:ind w:left="720"/>
        <w:rPr>
          <w:sz w:val="24"/>
          <w:szCs w:val="24"/>
        </w:rPr>
      </w:pPr>
    </w:p>
    <w:p w:rsidR="00763BC6" w:rsidRPr="009A316A" w:rsidRDefault="00763BC6" w:rsidP="004C759D">
      <w:pPr>
        <w:spacing w:line="480" w:lineRule="auto"/>
        <w:ind w:left="720" w:hanging="720"/>
        <w:rPr>
          <w:b/>
          <w:i/>
          <w:caps/>
        </w:rPr>
      </w:pPr>
      <w:r w:rsidRPr="009A316A">
        <w:rPr>
          <w:b/>
          <w:i/>
          <w:caps/>
        </w:rPr>
        <w:t>Q</w:t>
      </w:r>
      <w:r w:rsidR="004C759D">
        <w:rPr>
          <w:b/>
          <w:i/>
          <w:caps/>
        </w:rPr>
        <w:t>2</w:t>
      </w:r>
      <w:r w:rsidR="00C01278">
        <w:rPr>
          <w:b/>
          <w:i/>
          <w:caps/>
        </w:rPr>
        <w:t>2</w:t>
      </w:r>
      <w:r>
        <w:rPr>
          <w:b/>
          <w:i/>
          <w:caps/>
        </w:rPr>
        <w:t>.</w:t>
      </w:r>
      <w:r w:rsidRPr="009A316A">
        <w:rPr>
          <w:b/>
          <w:i/>
          <w:caps/>
        </w:rPr>
        <w:tab/>
      </w:r>
      <w:r w:rsidR="00DF2045">
        <w:rPr>
          <w:b/>
          <w:i/>
          <w:caps/>
        </w:rPr>
        <w:t xml:space="preserve">IS </w:t>
      </w:r>
      <w:r>
        <w:rPr>
          <w:b/>
          <w:i/>
          <w:caps/>
        </w:rPr>
        <w:t xml:space="preserve">the </w:t>
      </w:r>
      <w:r w:rsidR="00AC2D99">
        <w:rPr>
          <w:b/>
          <w:i/>
          <w:caps/>
        </w:rPr>
        <w:t>Utility</w:t>
      </w:r>
      <w:r>
        <w:rPr>
          <w:b/>
          <w:i/>
          <w:caps/>
        </w:rPr>
        <w:t xml:space="preserve">’s allocation of dci rider responsibility </w:t>
      </w:r>
      <w:r w:rsidR="00DF2045">
        <w:rPr>
          <w:b/>
          <w:i/>
          <w:caps/>
        </w:rPr>
        <w:t xml:space="preserve">CONSISTENT WITH </w:t>
      </w:r>
      <w:r>
        <w:rPr>
          <w:b/>
          <w:i/>
          <w:caps/>
        </w:rPr>
        <w:t xml:space="preserve">cost-causation </w:t>
      </w:r>
      <w:r w:rsidR="00DF2045">
        <w:rPr>
          <w:b/>
          <w:i/>
          <w:caps/>
        </w:rPr>
        <w:t xml:space="preserve">PRINCIPLES </w:t>
      </w:r>
      <w:r>
        <w:rPr>
          <w:b/>
          <w:i/>
          <w:caps/>
        </w:rPr>
        <w:t xml:space="preserve">in relationship to the ferc accounts that are proposed to be included in the dci rider by the </w:t>
      </w:r>
      <w:r w:rsidR="00AC2D99">
        <w:rPr>
          <w:b/>
          <w:i/>
          <w:caps/>
        </w:rPr>
        <w:t>Utility</w:t>
      </w:r>
      <w:r>
        <w:rPr>
          <w:b/>
          <w:i/>
          <w:caps/>
        </w:rPr>
        <w:t>?</w:t>
      </w:r>
    </w:p>
    <w:p w:rsidR="00763BC6" w:rsidRDefault="00763BC6" w:rsidP="004C759D">
      <w:pPr>
        <w:spacing w:line="480" w:lineRule="auto"/>
        <w:ind w:left="720" w:hanging="720"/>
        <w:rPr>
          <w:sz w:val="28"/>
          <w:szCs w:val="28"/>
        </w:rPr>
      </w:pPr>
      <w:r w:rsidRPr="00316E16">
        <w:rPr>
          <w:b/>
          <w:i/>
        </w:rPr>
        <w:t>A</w:t>
      </w:r>
      <w:r w:rsidR="004C759D">
        <w:rPr>
          <w:b/>
          <w:i/>
        </w:rPr>
        <w:t>2</w:t>
      </w:r>
      <w:r w:rsidR="00C01278">
        <w:rPr>
          <w:b/>
          <w:i/>
        </w:rPr>
        <w:t>2</w:t>
      </w:r>
      <w:r>
        <w:rPr>
          <w:b/>
          <w:i/>
        </w:rPr>
        <w:t>.</w:t>
      </w:r>
      <w:r>
        <w:tab/>
        <w:t xml:space="preserve">No. </w:t>
      </w:r>
      <w:r w:rsidR="00704748">
        <w:t xml:space="preserve"> Obviously, “total distribution revenue” captures the capital costs of the distribution equipment costs to be allocated, but it also captures a great deal more, specifically FERC expense accounts 580</w:t>
      </w:r>
      <w:r w:rsidR="00ED0975">
        <w:t>-</w:t>
      </w:r>
      <w:r w:rsidR="00704748">
        <w:t xml:space="preserve">932.  </w:t>
      </w:r>
      <w:r w:rsidR="009D3859">
        <w:t>But</w:t>
      </w:r>
      <w:r w:rsidR="00704748">
        <w:t xml:space="preserve"> </w:t>
      </w:r>
      <w:r w:rsidR="005F5867">
        <w:t>such expenses as</w:t>
      </w:r>
      <w:r w:rsidR="008F55E9">
        <w:t xml:space="preserve"> </w:t>
      </w:r>
      <w:r w:rsidR="00704748">
        <w:t xml:space="preserve">meter reading </w:t>
      </w:r>
      <w:r w:rsidR="009D3859">
        <w:t xml:space="preserve">and </w:t>
      </w:r>
      <w:r w:rsidR="00704748">
        <w:t xml:space="preserve">billing </w:t>
      </w:r>
      <w:r w:rsidR="009D3859">
        <w:t xml:space="preserve">have nothing to do </w:t>
      </w:r>
      <w:r w:rsidR="00704748">
        <w:t xml:space="preserve">with the </w:t>
      </w:r>
      <w:r w:rsidR="009D3859">
        <w:t xml:space="preserve">distribution plant investment costs </w:t>
      </w:r>
      <w:r w:rsidR="00704748">
        <w:t xml:space="preserve">that </w:t>
      </w:r>
      <w:r w:rsidR="009D3859">
        <w:t xml:space="preserve">are </w:t>
      </w:r>
      <w:r w:rsidR="00704748">
        <w:t xml:space="preserve">the subject of the </w:t>
      </w:r>
      <w:r w:rsidR="00AC2D99">
        <w:t>Utility</w:t>
      </w:r>
      <w:r w:rsidR="00704748">
        <w:t>’s proposed DCI Rider.</w:t>
      </w:r>
      <w:r w:rsidR="008A1B6B">
        <w:t xml:space="preserve">  “Total distribution revenue” may produce a simply developed allocation factor, but it is clearly flawed </w:t>
      </w:r>
      <w:r w:rsidR="009D3859">
        <w:t xml:space="preserve">by including </w:t>
      </w:r>
      <w:r w:rsidR="008A1B6B">
        <w:t>a host of expenses that are not related to the allocation task at hand.</w:t>
      </w:r>
    </w:p>
    <w:p w:rsidR="008A1B6B" w:rsidRPr="009A316A" w:rsidRDefault="008A1B6B" w:rsidP="004C759D">
      <w:pPr>
        <w:spacing w:line="480" w:lineRule="auto"/>
        <w:ind w:left="720" w:hanging="720"/>
        <w:rPr>
          <w:b/>
          <w:i/>
          <w:caps/>
        </w:rPr>
      </w:pPr>
      <w:r w:rsidRPr="009A316A">
        <w:rPr>
          <w:b/>
          <w:i/>
          <w:caps/>
        </w:rPr>
        <w:t>Q</w:t>
      </w:r>
      <w:r w:rsidR="004C759D">
        <w:rPr>
          <w:b/>
          <w:i/>
          <w:caps/>
        </w:rPr>
        <w:t>2</w:t>
      </w:r>
      <w:r w:rsidR="00757B4F">
        <w:rPr>
          <w:b/>
          <w:i/>
          <w:caps/>
        </w:rPr>
        <w:t>3</w:t>
      </w:r>
      <w:r>
        <w:rPr>
          <w:b/>
          <w:i/>
          <w:caps/>
        </w:rPr>
        <w:t>.</w:t>
      </w:r>
      <w:r w:rsidRPr="009A316A">
        <w:rPr>
          <w:b/>
          <w:i/>
          <w:caps/>
        </w:rPr>
        <w:tab/>
      </w:r>
      <w:r>
        <w:rPr>
          <w:b/>
          <w:i/>
          <w:caps/>
        </w:rPr>
        <w:t xml:space="preserve">is there a simple alternative to the </w:t>
      </w:r>
      <w:r w:rsidR="00AC2D99">
        <w:rPr>
          <w:b/>
          <w:i/>
          <w:caps/>
        </w:rPr>
        <w:t>Utility</w:t>
      </w:r>
      <w:r>
        <w:rPr>
          <w:b/>
          <w:i/>
          <w:caps/>
        </w:rPr>
        <w:t>’s proposal to use total distribution revenue to allocate dci rider costs?</w:t>
      </w:r>
    </w:p>
    <w:p w:rsidR="007E05BA" w:rsidRPr="00401569" w:rsidRDefault="008A1B6B" w:rsidP="00421FBF">
      <w:pPr>
        <w:pStyle w:val="Header"/>
        <w:tabs>
          <w:tab w:val="clear" w:pos="4320"/>
          <w:tab w:val="clear" w:pos="8640"/>
        </w:tabs>
        <w:spacing w:line="480" w:lineRule="auto"/>
        <w:ind w:left="720" w:hanging="720"/>
        <w:rPr>
          <w:sz w:val="24"/>
          <w:szCs w:val="24"/>
        </w:rPr>
      </w:pPr>
      <w:r w:rsidRPr="004C759D">
        <w:rPr>
          <w:b/>
          <w:i/>
          <w:sz w:val="24"/>
          <w:szCs w:val="24"/>
        </w:rPr>
        <w:t>A</w:t>
      </w:r>
      <w:r w:rsidR="004C759D" w:rsidRPr="004C759D">
        <w:rPr>
          <w:b/>
          <w:i/>
          <w:sz w:val="24"/>
          <w:szCs w:val="24"/>
        </w:rPr>
        <w:t>2</w:t>
      </w:r>
      <w:r w:rsidR="00757B4F">
        <w:rPr>
          <w:b/>
          <w:i/>
          <w:sz w:val="24"/>
          <w:szCs w:val="24"/>
          <w:lang w:val="en-US"/>
        </w:rPr>
        <w:t>3</w:t>
      </w:r>
      <w:r w:rsidRPr="004C759D">
        <w:rPr>
          <w:b/>
          <w:i/>
          <w:sz w:val="24"/>
          <w:szCs w:val="24"/>
        </w:rPr>
        <w:t>.</w:t>
      </w:r>
      <w:r w:rsidR="004C759D">
        <w:rPr>
          <w:sz w:val="24"/>
          <w:szCs w:val="24"/>
        </w:rPr>
        <w:tab/>
      </w:r>
      <w:r w:rsidRPr="008A1B6B">
        <w:rPr>
          <w:sz w:val="24"/>
          <w:szCs w:val="24"/>
        </w:rPr>
        <w:t xml:space="preserve">Yes.  </w:t>
      </w:r>
      <w:r w:rsidR="00401569">
        <w:rPr>
          <w:sz w:val="24"/>
          <w:szCs w:val="24"/>
          <w:lang w:val="en-US"/>
        </w:rPr>
        <w:t>The capital costs that would be allocated with respect to this rider should follow the same cost causation principles that are incorporated in the Utility’s cost of service study for similar capital costs.  For the sake of simplicity, I recommend that the net plant allocation factors for each customer grouping that came out of the Utility’s cost-of-service study in its last distribution rate case (12-1682</w:t>
      </w:r>
      <w:r w:rsidR="009245B2">
        <w:rPr>
          <w:sz w:val="24"/>
          <w:szCs w:val="24"/>
        </w:rPr>
        <w:t>-EL-AIR</w:t>
      </w:r>
      <w:r w:rsidR="00401569">
        <w:rPr>
          <w:sz w:val="24"/>
          <w:szCs w:val="24"/>
          <w:lang w:val="en-US"/>
        </w:rPr>
        <w:t xml:space="preserve">) be utilized. </w:t>
      </w:r>
    </w:p>
    <w:p w:rsidR="007E05BA" w:rsidRDefault="007E05BA" w:rsidP="005F2908">
      <w:pPr>
        <w:pStyle w:val="Header"/>
        <w:spacing w:line="480" w:lineRule="auto"/>
        <w:ind w:right="-720"/>
        <w:rPr>
          <w:b/>
          <w:sz w:val="28"/>
          <w:szCs w:val="28"/>
        </w:rPr>
      </w:pPr>
    </w:p>
    <w:p w:rsidR="00563398" w:rsidRPr="009A316A" w:rsidRDefault="00563398" w:rsidP="004C759D">
      <w:pPr>
        <w:spacing w:line="480" w:lineRule="auto"/>
        <w:ind w:left="720" w:hanging="720"/>
        <w:rPr>
          <w:b/>
          <w:i/>
          <w:caps/>
        </w:rPr>
      </w:pPr>
      <w:r w:rsidRPr="009A316A">
        <w:rPr>
          <w:b/>
          <w:i/>
          <w:caps/>
        </w:rPr>
        <w:t>Q</w:t>
      </w:r>
      <w:r w:rsidR="004C759D">
        <w:rPr>
          <w:b/>
          <w:i/>
          <w:caps/>
        </w:rPr>
        <w:t>2</w:t>
      </w:r>
      <w:r w:rsidR="00757B4F">
        <w:rPr>
          <w:b/>
          <w:i/>
          <w:caps/>
        </w:rPr>
        <w:t>4</w:t>
      </w:r>
      <w:r>
        <w:rPr>
          <w:b/>
          <w:i/>
          <w:caps/>
        </w:rPr>
        <w:t>.</w:t>
      </w:r>
      <w:r w:rsidRPr="009A316A">
        <w:rPr>
          <w:b/>
          <w:i/>
          <w:caps/>
        </w:rPr>
        <w:tab/>
      </w:r>
      <w:r>
        <w:rPr>
          <w:b/>
          <w:i/>
          <w:caps/>
        </w:rPr>
        <w:t xml:space="preserve">what is the impact on the various customer groups of changing from the </w:t>
      </w:r>
      <w:r w:rsidR="00AC2D99">
        <w:rPr>
          <w:b/>
          <w:i/>
          <w:caps/>
        </w:rPr>
        <w:t>Utility</w:t>
      </w:r>
      <w:r>
        <w:rPr>
          <w:b/>
          <w:i/>
          <w:caps/>
        </w:rPr>
        <w:t>’s proposed use of a “total distribution revenue” allocator to a “</w:t>
      </w:r>
      <w:r w:rsidR="00814D46">
        <w:rPr>
          <w:b/>
          <w:i/>
          <w:caps/>
        </w:rPr>
        <w:t>net distribution plant</w:t>
      </w:r>
      <w:r>
        <w:rPr>
          <w:b/>
          <w:i/>
          <w:caps/>
        </w:rPr>
        <w:t>” allocator</w:t>
      </w:r>
      <w:r w:rsidR="00814D46">
        <w:rPr>
          <w:b/>
          <w:i/>
          <w:caps/>
        </w:rPr>
        <w:t xml:space="preserve"> from </w:t>
      </w:r>
      <w:r w:rsidR="00F23BCF">
        <w:rPr>
          <w:b/>
          <w:i/>
          <w:caps/>
        </w:rPr>
        <w:t>case 12-1682</w:t>
      </w:r>
      <w:r w:rsidR="009245B2">
        <w:rPr>
          <w:b/>
          <w:i/>
          <w:caps/>
        </w:rPr>
        <w:t>-EL-AIR</w:t>
      </w:r>
      <w:r>
        <w:rPr>
          <w:b/>
          <w:i/>
          <w:caps/>
        </w:rPr>
        <w:t>?</w:t>
      </w:r>
    </w:p>
    <w:p w:rsidR="00563398" w:rsidRPr="00A35DEC" w:rsidRDefault="00563398" w:rsidP="00421FBF">
      <w:pPr>
        <w:pStyle w:val="Header"/>
        <w:tabs>
          <w:tab w:val="clear" w:pos="8640"/>
        </w:tabs>
        <w:spacing w:line="480" w:lineRule="auto"/>
        <w:ind w:left="720" w:hanging="720"/>
        <w:rPr>
          <w:sz w:val="24"/>
          <w:szCs w:val="24"/>
          <w:lang w:val="en-US"/>
        </w:rPr>
      </w:pPr>
      <w:r w:rsidRPr="004C759D">
        <w:rPr>
          <w:b/>
          <w:i/>
          <w:sz w:val="24"/>
          <w:szCs w:val="24"/>
        </w:rPr>
        <w:t>A</w:t>
      </w:r>
      <w:r w:rsidR="004C759D" w:rsidRPr="004C759D">
        <w:rPr>
          <w:b/>
          <w:i/>
          <w:sz w:val="24"/>
          <w:szCs w:val="24"/>
        </w:rPr>
        <w:t>2</w:t>
      </w:r>
      <w:r w:rsidR="00757B4F">
        <w:rPr>
          <w:b/>
          <w:i/>
          <w:sz w:val="24"/>
          <w:szCs w:val="24"/>
          <w:lang w:val="en-US"/>
        </w:rPr>
        <w:t>4</w:t>
      </w:r>
      <w:r w:rsidRPr="008A1B6B">
        <w:rPr>
          <w:sz w:val="24"/>
          <w:szCs w:val="24"/>
        </w:rPr>
        <w:t>.</w:t>
      </w:r>
      <w:r w:rsidR="004C759D">
        <w:rPr>
          <w:sz w:val="24"/>
          <w:szCs w:val="24"/>
        </w:rPr>
        <w:tab/>
      </w:r>
      <w:r>
        <w:rPr>
          <w:sz w:val="24"/>
          <w:szCs w:val="24"/>
        </w:rPr>
        <w:t xml:space="preserve">The “total distribution revenue” allocator/percentages are listed on Attachment PAL-1 page 1 of </w:t>
      </w:r>
      <w:r w:rsidR="000F0251">
        <w:rPr>
          <w:sz w:val="24"/>
          <w:szCs w:val="24"/>
        </w:rPr>
        <w:t>Duke</w:t>
      </w:r>
      <w:r>
        <w:rPr>
          <w:sz w:val="24"/>
          <w:szCs w:val="24"/>
        </w:rPr>
        <w:t xml:space="preserve"> witness Laub’s direct testimony.</w:t>
      </w:r>
      <w:r w:rsidR="009B28B0">
        <w:rPr>
          <w:sz w:val="24"/>
          <w:szCs w:val="24"/>
        </w:rPr>
        <w:t xml:space="preserve">  </w:t>
      </w:r>
      <w:r w:rsidR="00893E0B">
        <w:rPr>
          <w:sz w:val="24"/>
          <w:szCs w:val="24"/>
          <w:lang w:val="en-US"/>
        </w:rPr>
        <w:t>The “net distribution plant” ratios</w:t>
      </w:r>
      <w:r w:rsidR="00CF579A">
        <w:rPr>
          <w:sz w:val="24"/>
          <w:szCs w:val="24"/>
        </w:rPr>
        <w:t xml:space="preserve"> </w:t>
      </w:r>
      <w:r w:rsidR="00893E0B">
        <w:rPr>
          <w:sz w:val="24"/>
          <w:szCs w:val="24"/>
          <w:lang w:val="en-US"/>
        </w:rPr>
        <w:t>come</w:t>
      </w:r>
      <w:r w:rsidR="00CF579A">
        <w:rPr>
          <w:sz w:val="24"/>
          <w:szCs w:val="24"/>
        </w:rPr>
        <w:t xml:space="preserve"> out of</w:t>
      </w:r>
      <w:r w:rsidR="00C660EE">
        <w:rPr>
          <w:sz w:val="24"/>
          <w:szCs w:val="24"/>
        </w:rPr>
        <w:t xml:space="preserve"> Duke</w:t>
      </w:r>
      <w:r w:rsidR="000F0251">
        <w:rPr>
          <w:sz w:val="24"/>
          <w:szCs w:val="24"/>
        </w:rPr>
        <w:t>’</w:t>
      </w:r>
      <w:r w:rsidR="00C660EE">
        <w:rPr>
          <w:sz w:val="24"/>
          <w:szCs w:val="24"/>
        </w:rPr>
        <w:t>s most recent distribution case (</w:t>
      </w:r>
      <w:r w:rsidR="00C34115">
        <w:rPr>
          <w:sz w:val="24"/>
          <w:szCs w:val="24"/>
          <w:lang w:val="en-US"/>
        </w:rPr>
        <w:t>Case</w:t>
      </w:r>
      <w:r w:rsidR="00C660EE">
        <w:rPr>
          <w:sz w:val="24"/>
          <w:szCs w:val="24"/>
        </w:rPr>
        <w:t xml:space="preserve"> No. 12-1682-EL-AIR)</w:t>
      </w:r>
      <w:r w:rsidR="00893E0B">
        <w:rPr>
          <w:sz w:val="24"/>
          <w:szCs w:val="24"/>
          <w:lang w:val="en-US"/>
        </w:rPr>
        <w:t xml:space="preserve"> Schedule E-3.2 page 20, line 38</w:t>
      </w:r>
      <w:r w:rsidR="00C660EE">
        <w:rPr>
          <w:sz w:val="24"/>
          <w:szCs w:val="24"/>
        </w:rPr>
        <w:t xml:space="preserve">.  </w:t>
      </w:r>
      <w:r w:rsidR="009B28B0">
        <w:rPr>
          <w:sz w:val="24"/>
          <w:szCs w:val="24"/>
        </w:rPr>
        <w:t xml:space="preserve">A comparison of the </w:t>
      </w:r>
      <w:r w:rsidR="00AC2D99">
        <w:rPr>
          <w:sz w:val="24"/>
          <w:szCs w:val="24"/>
        </w:rPr>
        <w:t>Utility</w:t>
      </w:r>
      <w:r w:rsidR="009B28B0">
        <w:rPr>
          <w:sz w:val="24"/>
          <w:szCs w:val="24"/>
        </w:rPr>
        <w:t xml:space="preserve">’s proposed </w:t>
      </w:r>
      <w:r w:rsidR="00C660EE">
        <w:rPr>
          <w:sz w:val="24"/>
          <w:szCs w:val="24"/>
        </w:rPr>
        <w:t>“total distribution revenue” allocation/percentages</w:t>
      </w:r>
      <w:r w:rsidR="009B28B0">
        <w:rPr>
          <w:sz w:val="24"/>
          <w:szCs w:val="24"/>
        </w:rPr>
        <w:t xml:space="preserve"> and my recommended “</w:t>
      </w:r>
      <w:r w:rsidR="00893E0B">
        <w:rPr>
          <w:sz w:val="24"/>
          <w:szCs w:val="24"/>
          <w:lang w:val="en-US"/>
        </w:rPr>
        <w:t>net distribution plant</w:t>
      </w:r>
      <w:r w:rsidR="009B28B0">
        <w:rPr>
          <w:sz w:val="24"/>
          <w:szCs w:val="24"/>
        </w:rPr>
        <w:t>” allocation/percentages is as follows:</w:t>
      </w:r>
    </w:p>
    <w:tbl>
      <w:tblPr>
        <w:tblW w:w="6560" w:type="dxa"/>
        <w:tblInd w:w="1039" w:type="dxa"/>
        <w:tblLook w:val="04A0" w:firstRow="1" w:lastRow="0" w:firstColumn="1" w:lastColumn="0" w:noHBand="0" w:noVBand="1"/>
      </w:tblPr>
      <w:tblGrid>
        <w:gridCol w:w="960"/>
        <w:gridCol w:w="2000"/>
        <w:gridCol w:w="1800"/>
        <w:gridCol w:w="1800"/>
      </w:tblGrid>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Distribution</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Net Distribution</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u w:val="single"/>
              </w:rPr>
            </w:pPr>
            <w:r>
              <w:rPr>
                <w:color w:val="000000"/>
                <w:u w:val="single"/>
              </w:rPr>
              <w:t>Rate</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u w:val="single"/>
              </w:rPr>
            </w:pPr>
            <w:r>
              <w:rPr>
                <w:color w:val="000000"/>
                <w:u w:val="single"/>
              </w:rPr>
              <w:t>Group</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u w:val="single"/>
              </w:rPr>
            </w:pPr>
            <w:r>
              <w:rPr>
                <w:color w:val="000000"/>
                <w:u w:val="single"/>
              </w:rPr>
              <w:t>Revenue</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u w:val="single"/>
              </w:rPr>
            </w:pPr>
            <w:r>
              <w:rPr>
                <w:color w:val="000000"/>
                <w:u w:val="single"/>
              </w:rPr>
              <w:t>Plant</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RS</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Residential</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56.4%</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51.7%</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DS</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Sec. Distribution</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29.4%</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30.9%</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GSFL</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Small Fixed</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0.2%</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0.2%</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EH</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Electric Heat</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0.3%</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0.6%</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DM</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Sec. Small</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5.1%</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3.9%</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DP</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Dist. Primary</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6.1%</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8.3%</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TS</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Transmission</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0.0%</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0.0%</w:t>
            </w:r>
          </w:p>
        </w:tc>
      </w:tr>
      <w:tr w:rsidR="00581925" w:rsidRPr="00D957F9" w:rsidTr="00D957F9">
        <w:trPr>
          <w:trHeight w:val="315"/>
        </w:trPr>
        <w:tc>
          <w:tcPr>
            <w:tcW w:w="96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SL</w:t>
            </w:r>
          </w:p>
        </w:tc>
        <w:tc>
          <w:tcPr>
            <w:tcW w:w="2000" w:type="dxa"/>
            <w:tcBorders>
              <w:top w:val="nil"/>
              <w:left w:val="nil"/>
              <w:bottom w:val="nil"/>
              <w:right w:val="nil"/>
            </w:tcBorders>
            <w:shd w:val="clear" w:color="auto" w:fill="auto"/>
            <w:noWrap/>
            <w:vAlign w:val="bottom"/>
            <w:hideMark/>
          </w:tcPr>
          <w:p w:rsidR="00581925" w:rsidRPr="00D957F9" w:rsidRDefault="00581925" w:rsidP="00D957F9">
            <w:pPr>
              <w:rPr>
                <w:rFonts w:eastAsia="Times New Roman"/>
                <w:color w:val="000000"/>
                <w:szCs w:val="24"/>
              </w:rPr>
            </w:pPr>
            <w:r>
              <w:rPr>
                <w:color w:val="000000"/>
              </w:rPr>
              <w:t>Lighting</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2.3%</w:t>
            </w:r>
          </w:p>
        </w:tc>
        <w:tc>
          <w:tcPr>
            <w:tcW w:w="1800" w:type="dxa"/>
            <w:tcBorders>
              <w:top w:val="nil"/>
              <w:left w:val="nil"/>
              <w:bottom w:val="nil"/>
              <w:right w:val="nil"/>
            </w:tcBorders>
            <w:shd w:val="clear" w:color="auto" w:fill="auto"/>
            <w:noWrap/>
            <w:vAlign w:val="bottom"/>
            <w:hideMark/>
          </w:tcPr>
          <w:p w:rsidR="00581925" w:rsidRPr="00D957F9" w:rsidRDefault="00581925" w:rsidP="00D957F9">
            <w:pPr>
              <w:jc w:val="center"/>
              <w:rPr>
                <w:rFonts w:eastAsia="Times New Roman"/>
                <w:color w:val="000000"/>
                <w:szCs w:val="24"/>
              </w:rPr>
            </w:pPr>
            <w:r>
              <w:rPr>
                <w:color w:val="000000"/>
              </w:rPr>
              <w:t>4.4%</w:t>
            </w:r>
          </w:p>
        </w:tc>
      </w:tr>
    </w:tbl>
    <w:p w:rsidR="009B28B0" w:rsidRPr="00A35DEC" w:rsidRDefault="009B28B0" w:rsidP="00563398">
      <w:pPr>
        <w:pStyle w:val="Header"/>
        <w:spacing w:line="480" w:lineRule="auto"/>
        <w:ind w:right="-720"/>
        <w:rPr>
          <w:sz w:val="24"/>
          <w:szCs w:val="24"/>
          <w:lang w:val="en-US"/>
        </w:rPr>
      </w:pPr>
    </w:p>
    <w:p w:rsidR="00F0316C" w:rsidRDefault="00FC090E" w:rsidP="003B014C">
      <w:pPr>
        <w:pStyle w:val="Heading1"/>
      </w:pPr>
      <w:bookmarkStart w:id="5" w:name="_Toc399508409"/>
      <w:r>
        <w:t>Distribution Storm R</w:t>
      </w:r>
      <w:r w:rsidR="00F0316C">
        <w:t>ider</w:t>
      </w:r>
      <w:r w:rsidR="00ED0975">
        <w:rPr>
          <w:rFonts w:asciiTheme="minorHAnsi" w:hAnsiTheme="minorHAnsi"/>
          <w:lang w:val="en-US"/>
        </w:rPr>
        <w:t xml:space="preserve"> (</w:t>
      </w:r>
      <w:r w:rsidR="00F0316C">
        <w:t>DSR</w:t>
      </w:r>
      <w:r w:rsidR="00ED0975">
        <w:rPr>
          <w:rFonts w:asciiTheme="minorHAnsi" w:hAnsiTheme="minorHAnsi"/>
          <w:lang w:val="en-US"/>
        </w:rPr>
        <w:t>)</w:t>
      </w:r>
      <w:bookmarkEnd w:id="5"/>
    </w:p>
    <w:p w:rsidR="004C759D" w:rsidRDefault="004C759D" w:rsidP="000C61C6">
      <w:pPr>
        <w:pStyle w:val="Header"/>
        <w:spacing w:line="480" w:lineRule="auto"/>
        <w:ind w:left="360" w:right="-720"/>
        <w:rPr>
          <w:b/>
          <w:sz w:val="28"/>
          <w:szCs w:val="28"/>
        </w:rPr>
      </w:pPr>
    </w:p>
    <w:p w:rsidR="00FC090E" w:rsidRPr="009A316A" w:rsidRDefault="00FC090E" w:rsidP="000C61C6">
      <w:pPr>
        <w:spacing w:line="480" w:lineRule="auto"/>
        <w:ind w:left="720" w:hanging="720"/>
        <w:rPr>
          <w:b/>
          <w:i/>
          <w:caps/>
        </w:rPr>
      </w:pPr>
      <w:r w:rsidRPr="009A316A">
        <w:rPr>
          <w:b/>
          <w:i/>
          <w:caps/>
        </w:rPr>
        <w:t>Q</w:t>
      </w:r>
      <w:r w:rsidR="004C759D">
        <w:rPr>
          <w:b/>
          <w:i/>
          <w:caps/>
        </w:rPr>
        <w:t>2</w:t>
      </w:r>
      <w:r w:rsidR="00757B4F">
        <w:rPr>
          <w:b/>
          <w:i/>
          <w:caps/>
        </w:rPr>
        <w:t>5</w:t>
      </w:r>
      <w:r>
        <w:rPr>
          <w:b/>
          <w:i/>
          <w:caps/>
        </w:rPr>
        <w:t>.</w:t>
      </w:r>
      <w:r w:rsidRPr="009A316A">
        <w:rPr>
          <w:b/>
          <w:i/>
          <w:caps/>
        </w:rPr>
        <w:tab/>
      </w:r>
      <w:r>
        <w:rPr>
          <w:b/>
          <w:i/>
          <w:caps/>
        </w:rPr>
        <w:t>do you have any specific comments regarding the appropriateness of the Distribtion storm rider</w:t>
      </w:r>
      <w:r w:rsidR="00ED0975">
        <w:rPr>
          <w:b/>
          <w:i/>
          <w:caps/>
        </w:rPr>
        <w:t xml:space="preserve"> (</w:t>
      </w:r>
      <w:r>
        <w:rPr>
          <w:b/>
          <w:i/>
          <w:caps/>
        </w:rPr>
        <w:t>dsr</w:t>
      </w:r>
      <w:r w:rsidR="00ED0975">
        <w:rPr>
          <w:b/>
          <w:i/>
          <w:caps/>
        </w:rPr>
        <w:t>)</w:t>
      </w:r>
      <w:r>
        <w:rPr>
          <w:b/>
          <w:i/>
          <w:caps/>
        </w:rPr>
        <w:t xml:space="preserve"> proposed by the </w:t>
      </w:r>
      <w:r w:rsidR="00AC2D99">
        <w:rPr>
          <w:b/>
          <w:i/>
          <w:caps/>
        </w:rPr>
        <w:t>Utility</w:t>
      </w:r>
      <w:r>
        <w:rPr>
          <w:b/>
          <w:i/>
          <w:caps/>
        </w:rPr>
        <w:t xml:space="preserve"> in this case?</w:t>
      </w:r>
    </w:p>
    <w:p w:rsidR="007E05BA" w:rsidRDefault="00FC090E" w:rsidP="000C61C6">
      <w:pPr>
        <w:pStyle w:val="Header"/>
        <w:tabs>
          <w:tab w:val="clear" w:pos="4320"/>
          <w:tab w:val="clear" w:pos="8640"/>
        </w:tabs>
        <w:spacing w:line="480" w:lineRule="auto"/>
        <w:ind w:left="720" w:hanging="720"/>
        <w:rPr>
          <w:sz w:val="24"/>
          <w:szCs w:val="24"/>
        </w:rPr>
      </w:pPr>
      <w:r w:rsidRPr="004C759D">
        <w:rPr>
          <w:b/>
          <w:i/>
          <w:sz w:val="24"/>
          <w:szCs w:val="24"/>
        </w:rPr>
        <w:t>A</w:t>
      </w:r>
      <w:r w:rsidR="004C759D" w:rsidRPr="004C759D">
        <w:rPr>
          <w:b/>
          <w:i/>
          <w:sz w:val="24"/>
          <w:szCs w:val="24"/>
        </w:rPr>
        <w:t>2</w:t>
      </w:r>
      <w:r w:rsidR="00757B4F">
        <w:rPr>
          <w:b/>
          <w:i/>
          <w:sz w:val="24"/>
          <w:szCs w:val="24"/>
          <w:lang w:val="en-US"/>
        </w:rPr>
        <w:t>5</w:t>
      </w:r>
      <w:r w:rsidRPr="00FC090E">
        <w:rPr>
          <w:sz w:val="24"/>
          <w:szCs w:val="24"/>
        </w:rPr>
        <w:t>.</w:t>
      </w:r>
      <w:r w:rsidRPr="00FC090E">
        <w:rPr>
          <w:sz w:val="24"/>
          <w:szCs w:val="24"/>
        </w:rPr>
        <w:tab/>
      </w:r>
      <w:r w:rsidR="00F069B9">
        <w:rPr>
          <w:sz w:val="24"/>
          <w:szCs w:val="24"/>
        </w:rPr>
        <w:t>Yes.  My testimony does not address the mechanics or the appropriateness</w:t>
      </w:r>
      <w:r w:rsidR="00AD65DD">
        <w:rPr>
          <w:sz w:val="24"/>
          <w:szCs w:val="24"/>
        </w:rPr>
        <w:t xml:space="preserve"> of the DSR proposed </w:t>
      </w:r>
      <w:r w:rsidR="009D3859">
        <w:rPr>
          <w:sz w:val="24"/>
          <w:szCs w:val="24"/>
        </w:rPr>
        <w:t xml:space="preserve">by </w:t>
      </w:r>
      <w:r w:rsidR="00AD65DD">
        <w:rPr>
          <w:sz w:val="24"/>
          <w:szCs w:val="24"/>
        </w:rPr>
        <w:t>Duke.</w:t>
      </w:r>
      <w:r w:rsidR="00F069B9">
        <w:rPr>
          <w:sz w:val="24"/>
          <w:szCs w:val="24"/>
        </w:rPr>
        <w:t xml:space="preserve">  </w:t>
      </w:r>
      <w:r>
        <w:rPr>
          <w:sz w:val="24"/>
          <w:szCs w:val="24"/>
        </w:rPr>
        <w:t xml:space="preserve">However, I do have comments regarding the allocation to customer classes of any </w:t>
      </w:r>
      <w:r w:rsidR="00370606">
        <w:rPr>
          <w:sz w:val="24"/>
          <w:szCs w:val="24"/>
          <w:lang w:val="en-US"/>
        </w:rPr>
        <w:t>DSR</w:t>
      </w:r>
      <w:r>
        <w:rPr>
          <w:sz w:val="24"/>
          <w:szCs w:val="24"/>
        </w:rPr>
        <w:t xml:space="preserve"> costs that are approved by the Commission.</w:t>
      </w:r>
    </w:p>
    <w:p w:rsidR="00FC090E" w:rsidRDefault="00FC090E" w:rsidP="00FC090E">
      <w:pPr>
        <w:pStyle w:val="Header"/>
        <w:tabs>
          <w:tab w:val="clear" w:pos="4320"/>
          <w:tab w:val="center" w:pos="720"/>
        </w:tabs>
        <w:spacing w:line="480" w:lineRule="auto"/>
        <w:ind w:right="-720"/>
        <w:rPr>
          <w:sz w:val="24"/>
          <w:szCs w:val="24"/>
        </w:rPr>
      </w:pPr>
    </w:p>
    <w:p w:rsidR="00FC090E" w:rsidRPr="009A316A" w:rsidRDefault="00FC090E" w:rsidP="004C759D">
      <w:pPr>
        <w:spacing w:line="480" w:lineRule="auto"/>
        <w:ind w:left="720" w:hanging="720"/>
        <w:rPr>
          <w:b/>
          <w:i/>
          <w:caps/>
        </w:rPr>
      </w:pPr>
      <w:r w:rsidRPr="009A316A">
        <w:rPr>
          <w:b/>
          <w:i/>
          <w:caps/>
        </w:rPr>
        <w:t>Q</w:t>
      </w:r>
      <w:r w:rsidR="004C759D">
        <w:rPr>
          <w:b/>
          <w:i/>
          <w:caps/>
        </w:rPr>
        <w:t>2</w:t>
      </w:r>
      <w:r w:rsidR="00757B4F">
        <w:rPr>
          <w:b/>
          <w:i/>
          <w:caps/>
        </w:rPr>
        <w:t>6</w:t>
      </w:r>
      <w:r>
        <w:rPr>
          <w:b/>
          <w:i/>
          <w:caps/>
        </w:rPr>
        <w:t>.</w:t>
      </w:r>
      <w:r w:rsidRPr="009A316A">
        <w:rPr>
          <w:b/>
          <w:i/>
          <w:caps/>
        </w:rPr>
        <w:tab/>
      </w:r>
      <w:r>
        <w:rPr>
          <w:b/>
          <w:i/>
          <w:caps/>
        </w:rPr>
        <w:t xml:space="preserve">How has the </w:t>
      </w:r>
      <w:r w:rsidR="00AC2D99">
        <w:rPr>
          <w:b/>
          <w:i/>
          <w:caps/>
        </w:rPr>
        <w:t>Utility</w:t>
      </w:r>
      <w:r>
        <w:rPr>
          <w:b/>
          <w:i/>
          <w:caps/>
        </w:rPr>
        <w:t xml:space="preserve"> proposed to allocate the rider DSR costs between customer groups?</w:t>
      </w:r>
    </w:p>
    <w:p w:rsidR="00BA3105" w:rsidRDefault="00FC090E" w:rsidP="000C61C6">
      <w:pPr>
        <w:pStyle w:val="Header"/>
        <w:tabs>
          <w:tab w:val="clear" w:pos="4320"/>
          <w:tab w:val="clear" w:pos="8640"/>
        </w:tabs>
        <w:spacing w:line="480" w:lineRule="auto"/>
        <w:ind w:left="720" w:hanging="720"/>
        <w:rPr>
          <w:sz w:val="24"/>
          <w:szCs w:val="24"/>
        </w:rPr>
      </w:pPr>
      <w:r w:rsidRPr="004C759D">
        <w:rPr>
          <w:b/>
          <w:i/>
          <w:sz w:val="24"/>
          <w:szCs w:val="24"/>
        </w:rPr>
        <w:t>A</w:t>
      </w:r>
      <w:r w:rsidR="004C759D" w:rsidRPr="004C759D">
        <w:rPr>
          <w:b/>
          <w:i/>
          <w:sz w:val="24"/>
          <w:szCs w:val="24"/>
        </w:rPr>
        <w:t>2</w:t>
      </w:r>
      <w:r w:rsidR="00757B4F">
        <w:rPr>
          <w:b/>
          <w:i/>
          <w:sz w:val="24"/>
          <w:szCs w:val="24"/>
          <w:lang w:val="en-US"/>
        </w:rPr>
        <w:t>6</w:t>
      </w:r>
      <w:r w:rsidRPr="00FC090E">
        <w:rPr>
          <w:sz w:val="24"/>
          <w:szCs w:val="24"/>
        </w:rPr>
        <w:t>.</w:t>
      </w:r>
      <w:r w:rsidRPr="00FC090E">
        <w:rPr>
          <w:sz w:val="24"/>
          <w:szCs w:val="24"/>
        </w:rPr>
        <w:tab/>
      </w:r>
      <w:r>
        <w:rPr>
          <w:sz w:val="24"/>
          <w:szCs w:val="24"/>
        </w:rPr>
        <w:t xml:space="preserve">The </w:t>
      </w:r>
      <w:r w:rsidR="00AC2D99">
        <w:rPr>
          <w:sz w:val="24"/>
          <w:szCs w:val="24"/>
        </w:rPr>
        <w:t>Utility</w:t>
      </w:r>
      <w:r>
        <w:rPr>
          <w:sz w:val="24"/>
          <w:szCs w:val="24"/>
        </w:rPr>
        <w:t xml:space="preserve"> proposes that </w:t>
      </w:r>
      <w:r w:rsidR="00BA3105">
        <w:rPr>
          <w:sz w:val="24"/>
          <w:szCs w:val="24"/>
        </w:rPr>
        <w:t>the DSR costs:</w:t>
      </w:r>
    </w:p>
    <w:p w:rsidR="00BA3105" w:rsidRDefault="00856B9B" w:rsidP="008077A4">
      <w:pPr>
        <w:pStyle w:val="Header"/>
        <w:tabs>
          <w:tab w:val="clear" w:pos="4320"/>
          <w:tab w:val="clear" w:pos="8640"/>
        </w:tabs>
        <w:spacing w:line="480" w:lineRule="auto"/>
        <w:ind w:left="1440" w:right="720"/>
        <w:rPr>
          <w:sz w:val="24"/>
          <w:szCs w:val="24"/>
        </w:rPr>
      </w:pPr>
      <w:r>
        <w:rPr>
          <w:sz w:val="24"/>
          <w:szCs w:val="24"/>
        </w:rPr>
        <w:t xml:space="preserve">… </w:t>
      </w:r>
      <w:r w:rsidR="00FC090E">
        <w:rPr>
          <w:sz w:val="24"/>
          <w:szCs w:val="24"/>
        </w:rPr>
        <w:t>be allocated to all rate classes in proportion to their respective base revenue contributions approved in the most recent rate case, Case No. 12-1682-EL-</w:t>
      </w:r>
      <w:r w:rsidR="00754FB1">
        <w:rPr>
          <w:sz w:val="24"/>
          <w:szCs w:val="24"/>
        </w:rPr>
        <w:t>AIR, et al.</w:t>
      </w:r>
      <w:r w:rsidR="00754FB1">
        <w:rPr>
          <w:rStyle w:val="FootnoteReference"/>
          <w:sz w:val="24"/>
          <w:szCs w:val="24"/>
        </w:rPr>
        <w:footnoteReference w:id="15"/>
      </w:r>
    </w:p>
    <w:p w:rsidR="008077A4" w:rsidRPr="008077A4" w:rsidRDefault="008077A4" w:rsidP="008077A4">
      <w:pPr>
        <w:pStyle w:val="Header"/>
        <w:tabs>
          <w:tab w:val="clear" w:pos="4320"/>
          <w:tab w:val="clear" w:pos="8640"/>
        </w:tabs>
        <w:spacing w:line="480" w:lineRule="auto"/>
        <w:ind w:left="1440" w:right="720"/>
        <w:rPr>
          <w:sz w:val="24"/>
          <w:szCs w:val="24"/>
        </w:rPr>
      </w:pPr>
    </w:p>
    <w:p w:rsidR="00C947E8" w:rsidRPr="00D14CFA" w:rsidRDefault="008F1BF7" w:rsidP="00C947E8">
      <w:pPr>
        <w:pStyle w:val="Header"/>
        <w:tabs>
          <w:tab w:val="clear" w:pos="4320"/>
          <w:tab w:val="clear" w:pos="8640"/>
        </w:tabs>
        <w:spacing w:line="480" w:lineRule="auto"/>
        <w:ind w:left="720"/>
        <w:rPr>
          <w:sz w:val="24"/>
          <w:szCs w:val="24"/>
        </w:rPr>
      </w:pPr>
      <w:r>
        <w:rPr>
          <w:sz w:val="24"/>
          <w:szCs w:val="24"/>
        </w:rPr>
        <w:t>This allocation method is</w:t>
      </w:r>
      <w:r w:rsidR="00A07CF7">
        <w:rPr>
          <w:sz w:val="24"/>
          <w:szCs w:val="24"/>
        </w:rPr>
        <w:t xml:space="preserve"> inappropriate because it </w:t>
      </w:r>
      <w:r w:rsidR="009D3859">
        <w:rPr>
          <w:sz w:val="24"/>
          <w:szCs w:val="24"/>
        </w:rPr>
        <w:t xml:space="preserve">is not consistent with </w:t>
      </w:r>
      <w:r w:rsidR="00A07CF7">
        <w:rPr>
          <w:sz w:val="24"/>
          <w:szCs w:val="24"/>
        </w:rPr>
        <w:t>cost-causation</w:t>
      </w:r>
      <w:r w:rsidR="009D3859">
        <w:rPr>
          <w:sz w:val="24"/>
          <w:szCs w:val="24"/>
        </w:rPr>
        <w:t xml:space="preserve"> principles</w:t>
      </w:r>
      <w:r w:rsidR="00A07CF7">
        <w:rPr>
          <w:sz w:val="24"/>
          <w:szCs w:val="24"/>
        </w:rPr>
        <w:t>.</w:t>
      </w:r>
      <w:r w:rsidR="00C947E8">
        <w:rPr>
          <w:sz w:val="24"/>
          <w:szCs w:val="24"/>
        </w:rPr>
        <w:t xml:space="preserve"> </w:t>
      </w:r>
      <w:r w:rsidR="00695275">
        <w:rPr>
          <w:sz w:val="24"/>
          <w:szCs w:val="24"/>
          <w:lang w:val="en-US"/>
        </w:rPr>
        <w:t xml:space="preserve"> </w:t>
      </w:r>
      <w:r w:rsidR="00C947E8">
        <w:rPr>
          <w:sz w:val="24"/>
          <w:szCs w:val="24"/>
        </w:rPr>
        <w:t xml:space="preserve">For purposes of allocating DSR costs, </w:t>
      </w:r>
      <w:r w:rsidR="00D14CFA">
        <w:rPr>
          <w:sz w:val="24"/>
          <w:szCs w:val="24"/>
          <w:lang w:val="en-US"/>
        </w:rPr>
        <w:t>it is</w:t>
      </w:r>
      <w:r w:rsidR="00C947E8">
        <w:rPr>
          <w:sz w:val="24"/>
          <w:szCs w:val="24"/>
        </w:rPr>
        <w:t xml:space="preserve"> inappropriate to include Customer Accounts Expenses and Customer Service Expenses associated with FERC Accounts 901</w:t>
      </w:r>
      <w:r w:rsidR="00695275">
        <w:rPr>
          <w:sz w:val="24"/>
          <w:szCs w:val="24"/>
          <w:lang w:val="en-US"/>
        </w:rPr>
        <w:t>-</w:t>
      </w:r>
      <w:r w:rsidR="00C947E8">
        <w:rPr>
          <w:sz w:val="24"/>
          <w:szCs w:val="24"/>
        </w:rPr>
        <w:t>912</w:t>
      </w:r>
      <w:r w:rsidR="00370606">
        <w:rPr>
          <w:sz w:val="24"/>
          <w:szCs w:val="24"/>
          <w:lang w:val="en-US"/>
        </w:rPr>
        <w:t>,</w:t>
      </w:r>
      <w:r w:rsidR="00C947E8">
        <w:rPr>
          <w:sz w:val="24"/>
          <w:szCs w:val="24"/>
        </w:rPr>
        <w:t xml:space="preserve"> which includes meter reading and billing. </w:t>
      </w:r>
      <w:r w:rsidR="00695275">
        <w:rPr>
          <w:sz w:val="24"/>
          <w:szCs w:val="24"/>
          <w:lang w:val="en-US"/>
        </w:rPr>
        <w:t xml:space="preserve"> </w:t>
      </w:r>
      <w:r w:rsidR="00C947E8">
        <w:rPr>
          <w:sz w:val="24"/>
          <w:szCs w:val="24"/>
        </w:rPr>
        <w:t xml:space="preserve">Additionally there are a portion of A&amp;G expenses </w:t>
      </w:r>
      <w:r w:rsidR="00370606">
        <w:rPr>
          <w:sz w:val="24"/>
          <w:szCs w:val="24"/>
          <w:lang w:val="en-US"/>
        </w:rPr>
        <w:t>that</w:t>
      </w:r>
      <w:r w:rsidR="00370606">
        <w:rPr>
          <w:sz w:val="24"/>
          <w:szCs w:val="24"/>
        </w:rPr>
        <w:t xml:space="preserve"> </w:t>
      </w:r>
      <w:r w:rsidR="00C947E8">
        <w:rPr>
          <w:sz w:val="24"/>
          <w:szCs w:val="24"/>
        </w:rPr>
        <w:t>are associated with FERC Accounts Customer Accounts Expenses and Customer Service Expenses</w:t>
      </w:r>
      <w:r w:rsidR="00D14CFA">
        <w:rPr>
          <w:sz w:val="24"/>
          <w:szCs w:val="24"/>
          <w:lang w:val="en-US"/>
        </w:rPr>
        <w:t xml:space="preserve"> that should not be included in the development of an allocation factor</w:t>
      </w:r>
      <w:r w:rsidR="00C947E8">
        <w:rPr>
          <w:sz w:val="24"/>
          <w:szCs w:val="24"/>
        </w:rPr>
        <w:t>.</w:t>
      </w:r>
      <w:r w:rsidR="00D14CFA">
        <w:rPr>
          <w:sz w:val="24"/>
          <w:szCs w:val="24"/>
          <w:lang w:val="en-US"/>
        </w:rPr>
        <w:t xml:space="preserve">  Because DSR cost are all distribution O&amp;M expenses related, the inclusion of distribution plant costs in the development of an allocation factor is equally inappropriate.</w:t>
      </w:r>
    </w:p>
    <w:p w:rsidR="00A07CF7" w:rsidRDefault="00A07CF7" w:rsidP="00FC090E">
      <w:pPr>
        <w:pStyle w:val="Header"/>
        <w:tabs>
          <w:tab w:val="clear" w:pos="4320"/>
          <w:tab w:val="center" w:pos="720"/>
        </w:tabs>
        <w:spacing w:line="480" w:lineRule="auto"/>
        <w:ind w:right="-720"/>
        <w:rPr>
          <w:sz w:val="24"/>
          <w:szCs w:val="24"/>
        </w:rPr>
      </w:pPr>
    </w:p>
    <w:p w:rsidR="00A07CF7" w:rsidRPr="009A316A" w:rsidRDefault="00A07CF7" w:rsidP="004C759D">
      <w:pPr>
        <w:spacing w:line="480" w:lineRule="auto"/>
        <w:ind w:left="720" w:hanging="720"/>
        <w:rPr>
          <w:b/>
          <w:i/>
          <w:caps/>
        </w:rPr>
      </w:pPr>
      <w:r w:rsidRPr="009A316A">
        <w:rPr>
          <w:b/>
          <w:i/>
          <w:caps/>
        </w:rPr>
        <w:t>Q</w:t>
      </w:r>
      <w:r w:rsidR="004C759D">
        <w:rPr>
          <w:b/>
          <w:i/>
          <w:caps/>
        </w:rPr>
        <w:t>2</w:t>
      </w:r>
      <w:r w:rsidR="00757B4F">
        <w:rPr>
          <w:b/>
          <w:i/>
          <w:caps/>
        </w:rPr>
        <w:t>7</w:t>
      </w:r>
      <w:r>
        <w:rPr>
          <w:b/>
          <w:i/>
          <w:caps/>
        </w:rPr>
        <w:t>.</w:t>
      </w:r>
      <w:r w:rsidRPr="009A316A">
        <w:rPr>
          <w:b/>
          <w:i/>
          <w:caps/>
        </w:rPr>
        <w:tab/>
      </w:r>
      <w:r>
        <w:rPr>
          <w:b/>
          <w:i/>
          <w:caps/>
        </w:rPr>
        <w:t>what allocation method would better reflect the cost-causation associated with rider dsr?</w:t>
      </w:r>
    </w:p>
    <w:p w:rsidR="00A35DEC" w:rsidRPr="00A35DEC" w:rsidRDefault="00A07CF7" w:rsidP="00A35DEC">
      <w:pPr>
        <w:pStyle w:val="Header"/>
        <w:tabs>
          <w:tab w:val="clear" w:pos="4320"/>
          <w:tab w:val="clear" w:pos="8640"/>
        </w:tabs>
        <w:spacing w:line="480" w:lineRule="auto"/>
        <w:ind w:left="720" w:hanging="720"/>
        <w:rPr>
          <w:sz w:val="24"/>
          <w:szCs w:val="24"/>
          <w:lang w:val="en-US"/>
        </w:rPr>
      </w:pPr>
      <w:r w:rsidRPr="004C759D">
        <w:rPr>
          <w:b/>
          <w:i/>
          <w:sz w:val="24"/>
          <w:szCs w:val="24"/>
        </w:rPr>
        <w:t>A</w:t>
      </w:r>
      <w:r w:rsidR="004C759D" w:rsidRPr="004C759D">
        <w:rPr>
          <w:b/>
          <w:i/>
          <w:sz w:val="24"/>
          <w:szCs w:val="24"/>
        </w:rPr>
        <w:t>2</w:t>
      </w:r>
      <w:r w:rsidR="00757B4F">
        <w:rPr>
          <w:b/>
          <w:i/>
          <w:sz w:val="24"/>
          <w:szCs w:val="24"/>
          <w:lang w:val="en-US"/>
        </w:rPr>
        <w:t>7</w:t>
      </w:r>
      <w:r w:rsidRPr="00FC090E">
        <w:rPr>
          <w:sz w:val="24"/>
          <w:szCs w:val="24"/>
        </w:rPr>
        <w:t>.</w:t>
      </w:r>
      <w:r w:rsidRPr="00FC090E">
        <w:rPr>
          <w:sz w:val="24"/>
          <w:szCs w:val="24"/>
        </w:rPr>
        <w:tab/>
      </w:r>
      <w:r>
        <w:rPr>
          <w:sz w:val="24"/>
          <w:szCs w:val="24"/>
        </w:rPr>
        <w:t xml:space="preserve">Simply put, the allocation method proposed by Duke for DSR costs is the same allocation method that the </w:t>
      </w:r>
      <w:r w:rsidR="00AC2D99">
        <w:rPr>
          <w:sz w:val="24"/>
          <w:szCs w:val="24"/>
        </w:rPr>
        <w:t>Utility</w:t>
      </w:r>
      <w:r>
        <w:rPr>
          <w:sz w:val="24"/>
          <w:szCs w:val="24"/>
        </w:rPr>
        <w:t xml:space="preserve"> proposed for Rider DCI—“total distribution revenue</w:t>
      </w:r>
      <w:r w:rsidR="00A44674">
        <w:rPr>
          <w:sz w:val="24"/>
          <w:szCs w:val="24"/>
        </w:rPr>
        <w:t>.</w:t>
      </w:r>
      <w:r>
        <w:rPr>
          <w:sz w:val="24"/>
          <w:szCs w:val="24"/>
        </w:rPr>
        <w:t xml:space="preserve">”  Once again, “total distribution revenue” means that </w:t>
      </w:r>
      <w:r w:rsidR="00A74BC3">
        <w:rPr>
          <w:sz w:val="24"/>
          <w:szCs w:val="24"/>
        </w:rPr>
        <w:t xml:space="preserve">the </w:t>
      </w:r>
      <w:r w:rsidR="00AC2D99">
        <w:rPr>
          <w:sz w:val="24"/>
          <w:szCs w:val="24"/>
        </w:rPr>
        <w:t>Utility</w:t>
      </w:r>
      <w:r w:rsidR="00A74BC3">
        <w:rPr>
          <w:sz w:val="24"/>
          <w:szCs w:val="24"/>
        </w:rPr>
        <w:t xml:space="preserve"> is proposing to allocate </w:t>
      </w:r>
      <w:r w:rsidR="008F1BF7">
        <w:rPr>
          <w:sz w:val="24"/>
          <w:szCs w:val="24"/>
        </w:rPr>
        <w:t xml:space="preserve">the costs associated with </w:t>
      </w:r>
      <w:r w:rsidR="00A74BC3">
        <w:rPr>
          <w:sz w:val="24"/>
          <w:szCs w:val="24"/>
        </w:rPr>
        <w:t>a minimum number of FERC account costs (</w:t>
      </w:r>
      <w:r w:rsidR="00A135EF">
        <w:rPr>
          <w:sz w:val="24"/>
          <w:szCs w:val="24"/>
          <w:lang w:val="en-US"/>
        </w:rPr>
        <w:t>operations and maintenance [“</w:t>
      </w:r>
      <w:r w:rsidR="00A74BC3">
        <w:rPr>
          <w:sz w:val="24"/>
          <w:szCs w:val="24"/>
        </w:rPr>
        <w:t>O&amp;M</w:t>
      </w:r>
      <w:r w:rsidR="00A135EF">
        <w:rPr>
          <w:sz w:val="24"/>
          <w:szCs w:val="24"/>
          <w:lang w:val="en-US"/>
        </w:rPr>
        <w:t>”]</w:t>
      </w:r>
      <w:r w:rsidR="00A74BC3">
        <w:rPr>
          <w:sz w:val="24"/>
          <w:szCs w:val="24"/>
        </w:rPr>
        <w:t xml:space="preserve"> expenses</w:t>
      </w:r>
      <w:r w:rsidR="00AD65DD">
        <w:rPr>
          <w:sz w:val="24"/>
          <w:szCs w:val="24"/>
        </w:rPr>
        <w:t xml:space="preserve"> associated with DSR</w:t>
      </w:r>
      <w:r w:rsidR="00A74BC3">
        <w:rPr>
          <w:sz w:val="24"/>
          <w:szCs w:val="24"/>
        </w:rPr>
        <w:t xml:space="preserve"> as opposed to capital costs</w:t>
      </w:r>
      <w:r w:rsidR="00AD65DD">
        <w:rPr>
          <w:sz w:val="24"/>
          <w:szCs w:val="24"/>
        </w:rPr>
        <w:t xml:space="preserve"> associated with DCI</w:t>
      </w:r>
      <w:r w:rsidR="00A74BC3">
        <w:rPr>
          <w:sz w:val="24"/>
          <w:szCs w:val="24"/>
        </w:rPr>
        <w:t>) on the basis of the total cost of all FERC Distribution accounts</w:t>
      </w:r>
      <w:r w:rsidR="00D14CFA">
        <w:rPr>
          <w:sz w:val="24"/>
          <w:szCs w:val="24"/>
          <w:lang w:val="en-US"/>
        </w:rPr>
        <w:t xml:space="preserve"> (capital and expense)</w:t>
      </w:r>
      <w:r w:rsidR="00A74BC3">
        <w:rPr>
          <w:sz w:val="24"/>
          <w:szCs w:val="24"/>
        </w:rPr>
        <w:t>.</w:t>
      </w:r>
      <w:r w:rsidR="00970C5A">
        <w:rPr>
          <w:sz w:val="24"/>
          <w:szCs w:val="24"/>
        </w:rPr>
        <w:t xml:space="preserve">  Once again, the most obvious Distribution accounts that do not belong in a determination of O&amp;M costs associated with the repair of the various facilities that were damaged due to one or more storms </w:t>
      </w:r>
      <w:r w:rsidR="00AD65DD">
        <w:rPr>
          <w:sz w:val="24"/>
          <w:szCs w:val="24"/>
        </w:rPr>
        <w:t>are FERC Accounts 901</w:t>
      </w:r>
      <w:r w:rsidR="00695275">
        <w:rPr>
          <w:sz w:val="24"/>
          <w:szCs w:val="24"/>
          <w:lang w:val="en-US"/>
        </w:rPr>
        <w:t>-</w:t>
      </w:r>
      <w:r w:rsidR="00AD65DD">
        <w:rPr>
          <w:sz w:val="24"/>
          <w:szCs w:val="24"/>
        </w:rPr>
        <w:t>912</w:t>
      </w:r>
      <w:r w:rsidR="00640799">
        <w:rPr>
          <w:sz w:val="24"/>
          <w:szCs w:val="24"/>
        </w:rPr>
        <w:t>, which include all meter reading and billing expense</w:t>
      </w:r>
      <w:r w:rsidR="005F2B6D">
        <w:rPr>
          <w:sz w:val="24"/>
          <w:szCs w:val="24"/>
        </w:rPr>
        <w:t xml:space="preserve"> (as well as all associated A&amp;G expenses)</w:t>
      </w:r>
      <w:r w:rsidR="00640799">
        <w:rPr>
          <w:sz w:val="24"/>
          <w:szCs w:val="24"/>
        </w:rPr>
        <w:t>.</w:t>
      </w:r>
      <w:r w:rsidR="00A35DEC">
        <w:rPr>
          <w:sz w:val="24"/>
          <w:szCs w:val="24"/>
          <w:lang w:val="en-US"/>
        </w:rPr>
        <w:br w:type="page"/>
      </w:r>
    </w:p>
    <w:p w:rsidR="00A35DEC" w:rsidRDefault="008F1BF7" w:rsidP="00B91101">
      <w:pPr>
        <w:pStyle w:val="Header"/>
        <w:tabs>
          <w:tab w:val="clear" w:pos="4320"/>
          <w:tab w:val="clear" w:pos="8640"/>
          <w:tab w:val="center" w:pos="720"/>
        </w:tabs>
        <w:spacing w:line="480" w:lineRule="auto"/>
        <w:ind w:left="720"/>
        <w:rPr>
          <w:sz w:val="24"/>
          <w:szCs w:val="24"/>
          <w:lang w:val="en-US"/>
        </w:rPr>
      </w:pPr>
      <w:r>
        <w:rPr>
          <w:sz w:val="24"/>
          <w:szCs w:val="24"/>
        </w:rPr>
        <w:t xml:space="preserve">Essentially, the </w:t>
      </w:r>
      <w:r w:rsidR="00AC2D99">
        <w:rPr>
          <w:sz w:val="24"/>
          <w:szCs w:val="24"/>
        </w:rPr>
        <w:t>Utility</w:t>
      </w:r>
      <w:r>
        <w:rPr>
          <w:sz w:val="24"/>
          <w:szCs w:val="24"/>
        </w:rPr>
        <w:t xml:space="preserve">’s proposed use of </w:t>
      </w:r>
      <w:r w:rsidR="00F069B9">
        <w:rPr>
          <w:sz w:val="24"/>
          <w:szCs w:val="24"/>
        </w:rPr>
        <w:t>“total distribution revenue” to allocated</w:t>
      </w:r>
      <w:r>
        <w:rPr>
          <w:sz w:val="24"/>
          <w:szCs w:val="24"/>
        </w:rPr>
        <w:t xml:space="preserve"> DSR Rider costs</w:t>
      </w:r>
      <w:r w:rsidR="00F069B9">
        <w:rPr>
          <w:sz w:val="24"/>
          <w:szCs w:val="24"/>
        </w:rPr>
        <w:t xml:space="preserve"> is inappropriate.  Once again, at a minimum, the </w:t>
      </w:r>
      <w:r w:rsidR="005F2B6D">
        <w:rPr>
          <w:sz w:val="24"/>
          <w:szCs w:val="24"/>
        </w:rPr>
        <w:t>Account 901</w:t>
      </w:r>
      <w:r w:rsidR="00695275">
        <w:rPr>
          <w:sz w:val="24"/>
          <w:szCs w:val="24"/>
          <w:lang w:val="en-US"/>
        </w:rPr>
        <w:t>-</w:t>
      </w:r>
      <w:r w:rsidR="005F2B6D">
        <w:rPr>
          <w:sz w:val="24"/>
          <w:szCs w:val="24"/>
        </w:rPr>
        <w:t>912 and a portion of A&amp;G costs do not belong in the allocation of DSR Rider costs.  They must be removed.  I recommend the use of</w:t>
      </w:r>
      <w:r w:rsidR="00104C98">
        <w:rPr>
          <w:sz w:val="24"/>
          <w:szCs w:val="24"/>
          <w:lang w:val="en-US"/>
        </w:rPr>
        <w:t xml:space="preserve"> the</w:t>
      </w:r>
      <w:r w:rsidR="005F2B6D">
        <w:rPr>
          <w:sz w:val="24"/>
          <w:szCs w:val="24"/>
        </w:rPr>
        <w:t xml:space="preserve"> “</w:t>
      </w:r>
      <w:r w:rsidR="00104C98">
        <w:rPr>
          <w:sz w:val="24"/>
          <w:szCs w:val="24"/>
          <w:lang w:val="en-US"/>
        </w:rPr>
        <w:t>Distribution O&amp;M Expense Ratios</w:t>
      </w:r>
      <w:r w:rsidR="005F2B6D">
        <w:rPr>
          <w:sz w:val="24"/>
          <w:szCs w:val="24"/>
        </w:rPr>
        <w:t xml:space="preserve">” </w:t>
      </w:r>
      <w:r w:rsidR="00104C98">
        <w:rPr>
          <w:sz w:val="24"/>
          <w:szCs w:val="24"/>
          <w:lang w:val="en-US"/>
        </w:rPr>
        <w:t xml:space="preserve">from Duke’s cost of service study in its last Distribution Rate case (12-1682) </w:t>
      </w:r>
      <w:r w:rsidR="005F2B6D">
        <w:rPr>
          <w:sz w:val="24"/>
          <w:szCs w:val="24"/>
        </w:rPr>
        <w:t>as a basis for allocating any DSR Rider costs that the Commission may approve.  This makes far more sense and is better reflective of cost-causation than using only “total distribution revenue” and it is easily calculated.</w:t>
      </w:r>
    </w:p>
    <w:p w:rsidR="00A35DEC" w:rsidRDefault="00A35DEC" w:rsidP="00B91101">
      <w:pPr>
        <w:pStyle w:val="Header"/>
        <w:tabs>
          <w:tab w:val="clear" w:pos="4320"/>
          <w:tab w:val="clear" w:pos="8640"/>
          <w:tab w:val="center" w:pos="720"/>
        </w:tabs>
        <w:spacing w:line="480" w:lineRule="auto"/>
        <w:ind w:left="720"/>
        <w:rPr>
          <w:sz w:val="24"/>
          <w:szCs w:val="24"/>
          <w:lang w:val="en-US"/>
        </w:rPr>
      </w:pPr>
    </w:p>
    <w:p w:rsidR="00104C98" w:rsidRDefault="00104C98" w:rsidP="00104C98">
      <w:pPr>
        <w:spacing w:line="480" w:lineRule="auto"/>
        <w:ind w:left="720" w:hanging="720"/>
        <w:rPr>
          <w:b/>
          <w:i/>
          <w:caps/>
        </w:rPr>
      </w:pPr>
      <w:r w:rsidRPr="009A316A">
        <w:rPr>
          <w:b/>
          <w:i/>
          <w:caps/>
        </w:rPr>
        <w:t>Q</w:t>
      </w:r>
      <w:r w:rsidR="003B014C">
        <w:rPr>
          <w:b/>
          <w:i/>
          <w:caps/>
        </w:rPr>
        <w:t>28</w:t>
      </w:r>
      <w:r>
        <w:rPr>
          <w:b/>
          <w:i/>
          <w:caps/>
        </w:rPr>
        <w:t>.</w:t>
      </w:r>
      <w:r w:rsidRPr="009A316A">
        <w:rPr>
          <w:b/>
          <w:i/>
          <w:caps/>
        </w:rPr>
        <w:tab/>
      </w:r>
      <w:r>
        <w:rPr>
          <w:b/>
          <w:i/>
          <w:caps/>
        </w:rPr>
        <w:t>what is the impact on the various customer groups of changing from the Utility’s proposed use of a “total distribution revenue” allocator to a “</w:t>
      </w:r>
      <w:r w:rsidR="00D34D5A">
        <w:rPr>
          <w:b/>
          <w:i/>
          <w:caps/>
        </w:rPr>
        <w:t>distribution o&amp;m expense</w:t>
      </w:r>
      <w:r>
        <w:rPr>
          <w:b/>
          <w:i/>
          <w:caps/>
        </w:rPr>
        <w:t>” allocator from case 12-1682</w:t>
      </w:r>
      <w:r w:rsidR="009245B2">
        <w:rPr>
          <w:b/>
          <w:i/>
          <w:caps/>
        </w:rPr>
        <w:t>-EL-AIR</w:t>
      </w:r>
      <w:r>
        <w:rPr>
          <w:b/>
          <w:i/>
          <w:caps/>
        </w:rPr>
        <w:t>?</w:t>
      </w:r>
    </w:p>
    <w:p w:rsidR="003B014C" w:rsidRDefault="003B014C" w:rsidP="00104C98">
      <w:pPr>
        <w:spacing w:line="480" w:lineRule="auto"/>
        <w:ind w:left="720" w:hanging="720"/>
        <w:rPr>
          <w:b/>
          <w:i/>
          <w:caps/>
        </w:rPr>
      </w:pPr>
      <w:r w:rsidRPr="003B014C">
        <w:rPr>
          <w:b/>
          <w:i/>
        </w:rPr>
        <w:t>A28.</w:t>
      </w:r>
      <w:r w:rsidRPr="003B014C">
        <w:tab/>
        <w:t>The “total distribution revenue” allocator/percentages are listed on Attachment PAL-1 page 1 of Duke witness Laub’s direct testimony.  The “distribution O&amp;M expense” ratios come out of Duke’s most recent distribution case (Case No. 12-1682-EL-AIR) Schedule E-3.2 page 20, line 8.  A comparison of the Utility’s proposed “total distribution revenue” allocation/percentages and my recommended “distribution O&amp;M expense” allocation/percentages is as follows:</w:t>
      </w:r>
    </w:p>
    <w:p w:rsidR="003B014C" w:rsidRPr="009A316A" w:rsidRDefault="003B014C" w:rsidP="00104C98">
      <w:pPr>
        <w:spacing w:line="480" w:lineRule="auto"/>
        <w:ind w:left="720" w:hanging="720"/>
        <w:rPr>
          <w:b/>
          <w:i/>
          <w:caps/>
        </w:rPr>
      </w:pPr>
    </w:p>
    <w:tbl>
      <w:tblPr>
        <w:tblpPr w:leftFromText="180" w:rightFromText="180" w:vertAnchor="text" w:horzAnchor="page" w:tblpX="2683" w:tblpY="122"/>
        <w:tblW w:w="6560" w:type="dxa"/>
        <w:tblLook w:val="04A0" w:firstRow="1" w:lastRow="0" w:firstColumn="1" w:lastColumn="0" w:noHBand="0" w:noVBand="1"/>
      </w:tblPr>
      <w:tblGrid>
        <w:gridCol w:w="960"/>
        <w:gridCol w:w="2000"/>
        <w:gridCol w:w="1800"/>
        <w:gridCol w:w="1800"/>
      </w:tblGrid>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A35DEC" w:rsidRPr="003B014C" w:rsidRDefault="00A35DEC" w:rsidP="003B014C"/>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Distribution</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Distribution</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u w:val="single"/>
              </w:rPr>
            </w:pPr>
            <w:r w:rsidRPr="00604BBD">
              <w:rPr>
                <w:rFonts w:eastAsia="Times New Roman"/>
                <w:color w:val="000000"/>
                <w:szCs w:val="24"/>
                <w:u w:val="single"/>
              </w:rPr>
              <w:t>Rate</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u w:val="single"/>
              </w:rPr>
            </w:pPr>
            <w:r w:rsidRPr="00604BBD">
              <w:rPr>
                <w:rFonts w:eastAsia="Times New Roman"/>
                <w:color w:val="000000"/>
                <w:szCs w:val="24"/>
                <w:u w:val="single"/>
              </w:rPr>
              <w:t>Group</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u w:val="single"/>
              </w:rPr>
            </w:pPr>
            <w:r w:rsidRPr="00604BBD">
              <w:rPr>
                <w:rFonts w:eastAsia="Times New Roman"/>
                <w:color w:val="000000"/>
                <w:szCs w:val="24"/>
                <w:u w:val="single"/>
              </w:rPr>
              <w:t>Revenue</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u w:val="single"/>
              </w:rPr>
            </w:pPr>
            <w:r w:rsidRPr="00604BBD">
              <w:rPr>
                <w:rFonts w:eastAsia="Times New Roman"/>
                <w:color w:val="000000"/>
                <w:szCs w:val="24"/>
                <w:u w:val="single"/>
              </w:rPr>
              <w:t>O&amp;M Expense</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RS</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Residential</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56.4%</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46.2%</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DS</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Sec. Distribution</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29.4%</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33.2%</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GSFL</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Small Fixed</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0.2%</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0.2%</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EH</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Electric Heat</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0.3%</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0.5%</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DM</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Sec. Small</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5.1%</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3.7%</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DP</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Dist. Primary</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6.1%</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12.9%</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TS</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Transmission</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0.0%</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0.0%</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SL</w:t>
            </w: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r w:rsidRPr="00604BBD">
              <w:rPr>
                <w:rFonts w:eastAsia="Times New Roman"/>
                <w:color w:val="000000"/>
                <w:szCs w:val="24"/>
              </w:rPr>
              <w:t>Lighting</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2.3%</w:t>
            </w: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r w:rsidRPr="00604BBD">
              <w:rPr>
                <w:rFonts w:eastAsia="Times New Roman"/>
                <w:color w:val="000000"/>
                <w:szCs w:val="24"/>
              </w:rPr>
              <w:t>3.3%</w:t>
            </w:r>
          </w:p>
        </w:tc>
      </w:tr>
      <w:tr w:rsidR="00C55F9F" w:rsidRPr="00604BBD" w:rsidTr="00C55F9F">
        <w:trPr>
          <w:trHeight w:val="315"/>
        </w:trPr>
        <w:tc>
          <w:tcPr>
            <w:tcW w:w="96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p>
        </w:tc>
        <w:tc>
          <w:tcPr>
            <w:tcW w:w="2000" w:type="dxa"/>
            <w:tcBorders>
              <w:top w:val="nil"/>
              <w:left w:val="nil"/>
              <w:bottom w:val="nil"/>
              <w:right w:val="nil"/>
            </w:tcBorders>
            <w:shd w:val="clear" w:color="auto" w:fill="auto"/>
            <w:noWrap/>
            <w:vAlign w:val="bottom"/>
            <w:hideMark/>
          </w:tcPr>
          <w:p w:rsidR="00C55F9F" w:rsidRPr="00604BBD" w:rsidRDefault="00C55F9F" w:rsidP="00C55F9F">
            <w:pPr>
              <w:rPr>
                <w:rFonts w:eastAsia="Times New Roman"/>
                <w:color w:val="000000"/>
                <w:szCs w:val="24"/>
              </w:rPr>
            </w:pP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p>
        </w:tc>
        <w:tc>
          <w:tcPr>
            <w:tcW w:w="1800" w:type="dxa"/>
            <w:tcBorders>
              <w:top w:val="nil"/>
              <w:left w:val="nil"/>
              <w:bottom w:val="nil"/>
              <w:right w:val="nil"/>
            </w:tcBorders>
            <w:shd w:val="clear" w:color="auto" w:fill="auto"/>
            <w:noWrap/>
            <w:vAlign w:val="bottom"/>
            <w:hideMark/>
          </w:tcPr>
          <w:p w:rsidR="00C55F9F" w:rsidRPr="00604BBD" w:rsidRDefault="00C55F9F" w:rsidP="00C55F9F">
            <w:pPr>
              <w:jc w:val="center"/>
              <w:rPr>
                <w:rFonts w:eastAsia="Times New Roman"/>
                <w:color w:val="000000"/>
                <w:szCs w:val="24"/>
              </w:rPr>
            </w:pPr>
          </w:p>
        </w:tc>
      </w:tr>
    </w:tbl>
    <w:p w:rsidR="003B014C" w:rsidRPr="003B014C" w:rsidRDefault="003B014C" w:rsidP="003B014C">
      <w:pPr>
        <w:pStyle w:val="Heading1"/>
        <w:numPr>
          <w:ilvl w:val="0"/>
          <w:numId w:val="0"/>
        </w:numPr>
        <w:rPr>
          <w:rFonts w:asciiTheme="minorHAnsi" w:hAnsiTheme="minorHAnsi"/>
          <w:lang w:val="en-US"/>
        </w:rPr>
      </w:pPr>
    </w:p>
    <w:p w:rsidR="00AC3CB6" w:rsidRDefault="003B014C" w:rsidP="003B014C">
      <w:pPr>
        <w:pStyle w:val="Heading1"/>
      </w:pPr>
      <w:bookmarkStart w:id="6" w:name="_Toc399508410"/>
      <w:r>
        <w:t>Price</w:t>
      </w:r>
      <w:r>
        <w:rPr>
          <w:rFonts w:asciiTheme="minorHAnsi" w:hAnsiTheme="minorHAnsi"/>
          <w:lang w:val="en-US"/>
        </w:rPr>
        <w:t xml:space="preserve"> </w:t>
      </w:r>
      <w:r w:rsidR="00ED2203">
        <w:t>Stabilization Rider</w:t>
      </w:r>
      <w:r w:rsidR="00ED0975">
        <w:rPr>
          <w:rFonts w:asciiTheme="minorHAnsi" w:hAnsiTheme="minorHAnsi"/>
          <w:lang w:val="en-US"/>
        </w:rPr>
        <w:t xml:space="preserve"> (</w:t>
      </w:r>
      <w:r w:rsidR="00ED2203">
        <w:t>PSR</w:t>
      </w:r>
      <w:r w:rsidR="00ED0975">
        <w:rPr>
          <w:rFonts w:asciiTheme="minorHAnsi" w:hAnsiTheme="minorHAnsi"/>
          <w:lang w:val="en-US"/>
        </w:rPr>
        <w:t>)</w:t>
      </w:r>
      <w:bookmarkEnd w:id="6"/>
    </w:p>
    <w:p w:rsidR="004C759D" w:rsidRPr="0015312C" w:rsidRDefault="004C759D" w:rsidP="00695275">
      <w:pPr>
        <w:pStyle w:val="Header"/>
        <w:tabs>
          <w:tab w:val="clear" w:pos="4320"/>
          <w:tab w:val="center" w:pos="720"/>
        </w:tabs>
        <w:spacing w:line="480" w:lineRule="auto"/>
        <w:ind w:left="1080" w:right="-720"/>
        <w:rPr>
          <w:b/>
          <w:sz w:val="28"/>
          <w:szCs w:val="28"/>
        </w:rPr>
      </w:pPr>
    </w:p>
    <w:p w:rsidR="00AC3CB6" w:rsidRPr="009A316A" w:rsidRDefault="00AC3CB6" w:rsidP="00695275">
      <w:pPr>
        <w:spacing w:line="480" w:lineRule="auto"/>
        <w:ind w:left="720" w:hanging="720"/>
        <w:rPr>
          <w:b/>
          <w:i/>
          <w:caps/>
        </w:rPr>
      </w:pPr>
      <w:r w:rsidRPr="009A316A">
        <w:rPr>
          <w:b/>
          <w:i/>
          <w:caps/>
        </w:rPr>
        <w:t>Q</w:t>
      </w:r>
      <w:r w:rsidR="004C759D">
        <w:rPr>
          <w:b/>
          <w:i/>
          <w:caps/>
        </w:rPr>
        <w:t>2</w:t>
      </w:r>
      <w:r w:rsidR="003B014C">
        <w:rPr>
          <w:b/>
          <w:i/>
          <w:caps/>
        </w:rPr>
        <w:t>9</w:t>
      </w:r>
      <w:r>
        <w:rPr>
          <w:b/>
          <w:i/>
          <w:caps/>
        </w:rPr>
        <w:t>.</w:t>
      </w:r>
      <w:r w:rsidRPr="009A316A">
        <w:rPr>
          <w:b/>
          <w:i/>
          <w:caps/>
        </w:rPr>
        <w:tab/>
      </w:r>
      <w:r>
        <w:rPr>
          <w:b/>
          <w:i/>
          <w:caps/>
        </w:rPr>
        <w:t xml:space="preserve">Are you addressing the appropriateness of the </w:t>
      </w:r>
      <w:r w:rsidR="00AC2D99">
        <w:rPr>
          <w:b/>
          <w:i/>
          <w:caps/>
        </w:rPr>
        <w:t>Utility</w:t>
      </w:r>
      <w:r>
        <w:rPr>
          <w:b/>
          <w:i/>
          <w:caps/>
        </w:rPr>
        <w:t xml:space="preserve">’s proposal with respect </w:t>
      </w:r>
      <w:r w:rsidR="0015312C">
        <w:rPr>
          <w:b/>
          <w:i/>
          <w:caps/>
        </w:rPr>
        <w:t xml:space="preserve">to the </w:t>
      </w:r>
      <w:r w:rsidR="00ED2203" w:rsidRPr="00ED2203">
        <w:rPr>
          <w:b/>
          <w:i/>
          <w:caps/>
        </w:rPr>
        <w:t>Price Stabilization Rider (</w:t>
      </w:r>
      <w:r w:rsidR="00A135EF">
        <w:rPr>
          <w:b/>
          <w:i/>
          <w:caps/>
        </w:rPr>
        <w:t>“</w:t>
      </w:r>
      <w:r w:rsidR="00ED2203" w:rsidRPr="00ED2203">
        <w:rPr>
          <w:b/>
          <w:i/>
          <w:caps/>
        </w:rPr>
        <w:t>PSR</w:t>
      </w:r>
      <w:r w:rsidR="00A135EF">
        <w:rPr>
          <w:b/>
          <w:i/>
          <w:caps/>
        </w:rPr>
        <w:t>”</w:t>
      </w:r>
      <w:r w:rsidR="00ED2203" w:rsidRPr="00ED2203">
        <w:rPr>
          <w:b/>
          <w:i/>
          <w:caps/>
        </w:rPr>
        <w:t>)?</w:t>
      </w:r>
    </w:p>
    <w:p w:rsidR="0015312C" w:rsidRDefault="00AC3CB6" w:rsidP="00695275">
      <w:pPr>
        <w:pStyle w:val="Header"/>
        <w:tabs>
          <w:tab w:val="clear" w:pos="8640"/>
        </w:tabs>
        <w:spacing w:line="480" w:lineRule="auto"/>
        <w:ind w:left="720" w:hanging="720"/>
        <w:rPr>
          <w:sz w:val="24"/>
          <w:szCs w:val="24"/>
        </w:rPr>
      </w:pPr>
      <w:r w:rsidRPr="005F2908">
        <w:rPr>
          <w:b/>
          <w:i/>
          <w:sz w:val="24"/>
          <w:szCs w:val="24"/>
        </w:rPr>
        <w:t>A</w:t>
      </w:r>
      <w:r w:rsidR="004C759D">
        <w:rPr>
          <w:b/>
          <w:i/>
          <w:sz w:val="24"/>
          <w:szCs w:val="24"/>
        </w:rPr>
        <w:t>2</w:t>
      </w:r>
      <w:r w:rsidR="003B014C">
        <w:rPr>
          <w:b/>
          <w:i/>
          <w:sz w:val="24"/>
          <w:szCs w:val="24"/>
          <w:lang w:val="en-US"/>
        </w:rPr>
        <w:t>9</w:t>
      </w:r>
      <w:r w:rsidRPr="005F2908">
        <w:rPr>
          <w:b/>
          <w:i/>
          <w:sz w:val="24"/>
          <w:szCs w:val="24"/>
        </w:rPr>
        <w:t>.</w:t>
      </w:r>
      <w:r>
        <w:rPr>
          <w:sz w:val="24"/>
          <w:szCs w:val="24"/>
        </w:rPr>
        <w:tab/>
        <w:t>No</w:t>
      </w:r>
      <w:r w:rsidR="009D3859">
        <w:rPr>
          <w:sz w:val="24"/>
          <w:szCs w:val="24"/>
        </w:rPr>
        <w:t xml:space="preserve">.  The </w:t>
      </w:r>
      <w:r w:rsidR="0015312C">
        <w:rPr>
          <w:sz w:val="24"/>
          <w:szCs w:val="24"/>
        </w:rPr>
        <w:t xml:space="preserve">appropriateness of </w:t>
      </w:r>
      <w:r w:rsidR="009D3859">
        <w:rPr>
          <w:sz w:val="24"/>
          <w:szCs w:val="24"/>
        </w:rPr>
        <w:t xml:space="preserve">the </w:t>
      </w:r>
      <w:r w:rsidR="0015312C">
        <w:rPr>
          <w:sz w:val="24"/>
          <w:szCs w:val="24"/>
        </w:rPr>
        <w:t xml:space="preserve">proposed </w:t>
      </w:r>
      <w:r w:rsidR="00A135EF">
        <w:rPr>
          <w:sz w:val="24"/>
          <w:szCs w:val="24"/>
          <w:lang w:val="en-US"/>
        </w:rPr>
        <w:t>PSR</w:t>
      </w:r>
      <w:r w:rsidR="00ED2203" w:rsidRPr="00ED2203">
        <w:rPr>
          <w:sz w:val="24"/>
          <w:szCs w:val="24"/>
        </w:rPr>
        <w:t xml:space="preserve"> </w:t>
      </w:r>
      <w:r>
        <w:rPr>
          <w:sz w:val="24"/>
          <w:szCs w:val="24"/>
        </w:rPr>
        <w:t xml:space="preserve">will be addressed by OCC </w:t>
      </w:r>
      <w:r w:rsidRPr="00FA79FF">
        <w:rPr>
          <w:sz w:val="24"/>
          <w:szCs w:val="24"/>
        </w:rPr>
        <w:t xml:space="preserve">witness </w:t>
      </w:r>
      <w:r w:rsidR="00A44674" w:rsidRPr="00FA79FF">
        <w:rPr>
          <w:sz w:val="24"/>
          <w:szCs w:val="24"/>
        </w:rPr>
        <w:t>Wilson.</w:t>
      </w:r>
      <w:r>
        <w:rPr>
          <w:sz w:val="24"/>
          <w:szCs w:val="24"/>
        </w:rPr>
        <w:t xml:space="preserve">  My testimony will only address how the costs and </w:t>
      </w:r>
      <w:r w:rsidR="00ED2203">
        <w:rPr>
          <w:sz w:val="24"/>
          <w:szCs w:val="24"/>
        </w:rPr>
        <w:t>revenue requirement from the PSR</w:t>
      </w:r>
      <w:r>
        <w:rPr>
          <w:sz w:val="24"/>
          <w:szCs w:val="24"/>
        </w:rPr>
        <w:t xml:space="preserve"> rider should be allocated between customer groups—assuming that the Commission adopts some form of</w:t>
      </w:r>
      <w:r w:rsidR="0015312C">
        <w:rPr>
          <w:sz w:val="24"/>
          <w:szCs w:val="24"/>
        </w:rPr>
        <w:t xml:space="preserve"> a</w:t>
      </w:r>
      <w:r>
        <w:rPr>
          <w:sz w:val="24"/>
          <w:szCs w:val="24"/>
        </w:rPr>
        <w:t xml:space="preserve"> </w:t>
      </w:r>
      <w:r w:rsidR="00A135EF">
        <w:rPr>
          <w:sz w:val="24"/>
          <w:szCs w:val="24"/>
          <w:lang w:val="en-US"/>
        </w:rPr>
        <w:t>PSR</w:t>
      </w:r>
      <w:r w:rsidR="0015312C">
        <w:rPr>
          <w:sz w:val="24"/>
          <w:szCs w:val="24"/>
        </w:rPr>
        <w:t>.</w:t>
      </w:r>
    </w:p>
    <w:p w:rsidR="00B91101" w:rsidRPr="00B91101" w:rsidRDefault="00B91101" w:rsidP="00695275">
      <w:pPr>
        <w:pStyle w:val="Header"/>
        <w:tabs>
          <w:tab w:val="clear" w:pos="8640"/>
        </w:tabs>
        <w:spacing w:line="480" w:lineRule="auto"/>
        <w:ind w:left="720" w:hanging="720"/>
        <w:rPr>
          <w:rFonts w:eastAsia="Calibri"/>
          <w:b/>
          <w:i/>
          <w:caps/>
          <w:sz w:val="24"/>
        </w:rPr>
      </w:pPr>
    </w:p>
    <w:p w:rsidR="0015312C" w:rsidRPr="009A316A" w:rsidRDefault="0015312C" w:rsidP="00454354">
      <w:pPr>
        <w:spacing w:line="480" w:lineRule="auto"/>
        <w:ind w:left="720" w:hanging="720"/>
        <w:rPr>
          <w:b/>
          <w:i/>
          <w:caps/>
        </w:rPr>
      </w:pPr>
      <w:r w:rsidRPr="009A316A">
        <w:rPr>
          <w:b/>
          <w:i/>
          <w:caps/>
        </w:rPr>
        <w:t>Q</w:t>
      </w:r>
      <w:r w:rsidR="003B014C">
        <w:rPr>
          <w:b/>
          <w:i/>
          <w:caps/>
        </w:rPr>
        <w:t>30</w:t>
      </w:r>
      <w:r>
        <w:rPr>
          <w:b/>
          <w:i/>
          <w:caps/>
        </w:rPr>
        <w:t>.</w:t>
      </w:r>
      <w:r w:rsidRPr="009A316A">
        <w:rPr>
          <w:b/>
          <w:i/>
          <w:caps/>
        </w:rPr>
        <w:tab/>
      </w:r>
      <w:r w:rsidR="00CB10F4">
        <w:rPr>
          <w:b/>
          <w:i/>
          <w:caps/>
        </w:rPr>
        <w:t xml:space="preserve">how does the </w:t>
      </w:r>
      <w:r w:rsidR="00AC2D99">
        <w:rPr>
          <w:b/>
          <w:i/>
          <w:caps/>
        </w:rPr>
        <w:t>Utility</w:t>
      </w:r>
      <w:r w:rsidR="00CB10F4">
        <w:rPr>
          <w:b/>
          <w:i/>
          <w:caps/>
        </w:rPr>
        <w:t xml:space="preserve"> </w:t>
      </w:r>
      <w:r w:rsidR="009D3859">
        <w:rPr>
          <w:b/>
          <w:i/>
          <w:caps/>
        </w:rPr>
        <w:t xml:space="preserve">propose </w:t>
      </w:r>
      <w:r>
        <w:rPr>
          <w:b/>
          <w:i/>
          <w:caps/>
        </w:rPr>
        <w:t xml:space="preserve">to </w:t>
      </w:r>
      <w:r w:rsidR="00874FD5">
        <w:rPr>
          <w:b/>
          <w:i/>
          <w:caps/>
        </w:rPr>
        <w:t xml:space="preserve">allocate </w:t>
      </w:r>
      <w:r>
        <w:rPr>
          <w:b/>
          <w:i/>
          <w:caps/>
        </w:rPr>
        <w:t xml:space="preserve">the </w:t>
      </w:r>
      <w:r w:rsidR="00ED2203" w:rsidRPr="00ED2203">
        <w:rPr>
          <w:b/>
          <w:i/>
          <w:caps/>
        </w:rPr>
        <w:t>Price Stabilization Rider</w:t>
      </w:r>
      <w:r w:rsidR="00ED2203">
        <w:rPr>
          <w:b/>
          <w:i/>
          <w:caps/>
        </w:rPr>
        <w:t xml:space="preserve"> </w:t>
      </w:r>
      <w:r w:rsidR="00A135EF">
        <w:rPr>
          <w:b/>
          <w:i/>
          <w:caps/>
        </w:rPr>
        <w:t xml:space="preserve">AMONG </w:t>
      </w:r>
      <w:r w:rsidR="00874FD5">
        <w:rPr>
          <w:b/>
          <w:i/>
          <w:caps/>
        </w:rPr>
        <w:t xml:space="preserve">customer classes and </w:t>
      </w:r>
      <w:r w:rsidR="00A135EF">
        <w:rPr>
          <w:b/>
          <w:i/>
          <w:caps/>
        </w:rPr>
        <w:t xml:space="preserve">AMONG </w:t>
      </w:r>
      <w:r w:rsidR="00874FD5">
        <w:rPr>
          <w:b/>
          <w:i/>
          <w:caps/>
        </w:rPr>
        <w:t>customers within a class</w:t>
      </w:r>
      <w:r>
        <w:rPr>
          <w:b/>
          <w:i/>
          <w:caps/>
        </w:rPr>
        <w:t>?</w:t>
      </w:r>
    </w:p>
    <w:p w:rsidR="00C330A9" w:rsidRDefault="0015312C" w:rsidP="00454354">
      <w:pPr>
        <w:pStyle w:val="Header"/>
        <w:spacing w:line="480" w:lineRule="auto"/>
        <w:ind w:left="720" w:hanging="720"/>
        <w:rPr>
          <w:sz w:val="24"/>
          <w:szCs w:val="24"/>
        </w:rPr>
      </w:pPr>
      <w:r w:rsidRPr="004C759D">
        <w:rPr>
          <w:b/>
          <w:i/>
          <w:sz w:val="24"/>
          <w:szCs w:val="24"/>
        </w:rPr>
        <w:t>A</w:t>
      </w:r>
      <w:r w:rsidR="003B014C">
        <w:rPr>
          <w:b/>
          <w:i/>
          <w:sz w:val="24"/>
          <w:szCs w:val="24"/>
          <w:lang w:val="en-US"/>
        </w:rPr>
        <w:t>30</w:t>
      </w:r>
      <w:r w:rsidR="00874FD5">
        <w:rPr>
          <w:sz w:val="24"/>
          <w:szCs w:val="24"/>
        </w:rPr>
        <w:t>.</w:t>
      </w:r>
      <w:r w:rsidR="004C759D">
        <w:rPr>
          <w:sz w:val="24"/>
          <w:szCs w:val="24"/>
        </w:rPr>
        <w:tab/>
      </w:r>
      <w:r w:rsidR="00C330A9">
        <w:rPr>
          <w:sz w:val="24"/>
          <w:szCs w:val="24"/>
        </w:rPr>
        <w:t>According to Mr. Wathen’s direct testimony at page 16, the revenu</w:t>
      </w:r>
      <w:r w:rsidR="00CB10F4">
        <w:rPr>
          <w:sz w:val="24"/>
          <w:szCs w:val="24"/>
        </w:rPr>
        <w:t xml:space="preserve">es/costs associated with the </w:t>
      </w:r>
      <w:r w:rsidR="009D3859">
        <w:rPr>
          <w:sz w:val="24"/>
          <w:szCs w:val="24"/>
        </w:rPr>
        <w:t xml:space="preserve">PSR </w:t>
      </w:r>
      <w:r w:rsidR="00907941">
        <w:rPr>
          <w:sz w:val="24"/>
          <w:szCs w:val="24"/>
        </w:rPr>
        <w:t xml:space="preserve">Rider </w:t>
      </w:r>
      <w:r w:rsidR="00C330A9">
        <w:rPr>
          <w:sz w:val="24"/>
          <w:szCs w:val="24"/>
        </w:rPr>
        <w:t xml:space="preserve">will be allocated on “a “$/kWh” rate applicable to all customers.”  I fully agree with this approach for allocating these revenues/costs, should the Commission authorize </w:t>
      </w:r>
      <w:r w:rsidR="00CB10F4">
        <w:rPr>
          <w:sz w:val="24"/>
          <w:szCs w:val="24"/>
        </w:rPr>
        <w:t>so</w:t>
      </w:r>
      <w:r w:rsidR="00ED2203">
        <w:rPr>
          <w:sz w:val="24"/>
          <w:szCs w:val="24"/>
        </w:rPr>
        <w:t>me form of a PSR</w:t>
      </w:r>
      <w:r w:rsidR="00C330A9">
        <w:rPr>
          <w:sz w:val="24"/>
          <w:szCs w:val="24"/>
        </w:rPr>
        <w:t>.</w:t>
      </w:r>
    </w:p>
    <w:p w:rsidR="00C330A9" w:rsidRDefault="00C330A9" w:rsidP="0015312C">
      <w:pPr>
        <w:pStyle w:val="Header"/>
        <w:spacing w:line="480" w:lineRule="auto"/>
        <w:ind w:right="-720"/>
        <w:rPr>
          <w:sz w:val="24"/>
          <w:szCs w:val="24"/>
        </w:rPr>
      </w:pPr>
    </w:p>
    <w:p w:rsidR="00C362DE" w:rsidRPr="009A316A" w:rsidRDefault="00C362DE" w:rsidP="00454354">
      <w:pPr>
        <w:spacing w:line="480" w:lineRule="auto"/>
        <w:ind w:left="720" w:hanging="720"/>
        <w:rPr>
          <w:b/>
          <w:i/>
          <w:caps/>
        </w:rPr>
      </w:pPr>
      <w:r w:rsidRPr="009A316A">
        <w:rPr>
          <w:b/>
          <w:i/>
          <w:caps/>
        </w:rPr>
        <w:t>Q</w:t>
      </w:r>
      <w:r w:rsidR="00757B4F">
        <w:rPr>
          <w:b/>
          <w:i/>
          <w:caps/>
        </w:rPr>
        <w:t>3</w:t>
      </w:r>
      <w:r w:rsidR="003B014C">
        <w:rPr>
          <w:b/>
          <w:i/>
          <w:caps/>
        </w:rPr>
        <w:t>1</w:t>
      </w:r>
      <w:r>
        <w:rPr>
          <w:b/>
          <w:i/>
          <w:caps/>
        </w:rPr>
        <w:t>.</w:t>
      </w:r>
      <w:r w:rsidRPr="009A316A">
        <w:rPr>
          <w:b/>
          <w:i/>
          <w:caps/>
        </w:rPr>
        <w:tab/>
      </w:r>
      <w:r>
        <w:rPr>
          <w:b/>
          <w:i/>
          <w:caps/>
        </w:rPr>
        <w:t>Why do you support the use of an energy basis for allocating psr revenue/costs amoung customers?</w:t>
      </w:r>
    </w:p>
    <w:p w:rsidR="0015312C" w:rsidRDefault="00C362DE" w:rsidP="00454354">
      <w:pPr>
        <w:pStyle w:val="Header"/>
        <w:spacing w:line="480" w:lineRule="auto"/>
        <w:ind w:left="720" w:hanging="720"/>
        <w:rPr>
          <w:sz w:val="24"/>
          <w:szCs w:val="24"/>
        </w:rPr>
      </w:pPr>
      <w:r w:rsidRPr="004C759D">
        <w:rPr>
          <w:b/>
          <w:i/>
          <w:sz w:val="24"/>
          <w:szCs w:val="24"/>
        </w:rPr>
        <w:t>A</w:t>
      </w:r>
      <w:r w:rsidR="00757B4F">
        <w:rPr>
          <w:b/>
          <w:i/>
          <w:sz w:val="24"/>
          <w:szCs w:val="24"/>
          <w:lang w:val="en-US"/>
        </w:rPr>
        <w:t>3</w:t>
      </w:r>
      <w:r w:rsidR="003B014C">
        <w:rPr>
          <w:b/>
          <w:i/>
          <w:sz w:val="24"/>
          <w:szCs w:val="24"/>
          <w:lang w:val="en-US"/>
        </w:rPr>
        <w:t>1</w:t>
      </w:r>
      <w:r w:rsidR="00695275">
        <w:rPr>
          <w:sz w:val="24"/>
          <w:szCs w:val="24"/>
        </w:rPr>
        <w:t>.</w:t>
      </w:r>
      <w:r w:rsidR="004C759D">
        <w:rPr>
          <w:sz w:val="24"/>
          <w:szCs w:val="24"/>
        </w:rPr>
        <w:tab/>
      </w:r>
      <w:r w:rsidR="00ED2203">
        <w:rPr>
          <w:sz w:val="24"/>
          <w:szCs w:val="24"/>
        </w:rPr>
        <w:t>Although I am</w:t>
      </w:r>
      <w:r w:rsidR="001B41D5">
        <w:rPr>
          <w:sz w:val="24"/>
          <w:szCs w:val="24"/>
        </w:rPr>
        <w:t xml:space="preserve"> not supporting the </w:t>
      </w:r>
      <w:r w:rsidR="00AC2D99">
        <w:rPr>
          <w:sz w:val="24"/>
          <w:szCs w:val="24"/>
        </w:rPr>
        <w:t>Utility</w:t>
      </w:r>
      <w:r w:rsidR="001B41D5">
        <w:rPr>
          <w:sz w:val="24"/>
          <w:szCs w:val="24"/>
        </w:rPr>
        <w:t xml:space="preserve">’s proposal to establish a PSR, I do agree that if the Commission adopts a PSR, that the appropriate way to allocate these revenues/costs is on the basis of kWh (energy) for all customers.  As the </w:t>
      </w:r>
      <w:r w:rsidR="00AC2D99">
        <w:rPr>
          <w:sz w:val="24"/>
          <w:szCs w:val="24"/>
        </w:rPr>
        <w:t>Utility</w:t>
      </w:r>
      <w:r w:rsidR="001B41D5">
        <w:rPr>
          <w:sz w:val="24"/>
          <w:szCs w:val="24"/>
        </w:rPr>
        <w:t xml:space="preserve"> perceives</w:t>
      </w:r>
      <w:r w:rsidR="00ED2203">
        <w:rPr>
          <w:sz w:val="24"/>
          <w:szCs w:val="24"/>
        </w:rPr>
        <w:t xml:space="preserve"> t</w:t>
      </w:r>
      <w:r w:rsidR="001B41D5">
        <w:rPr>
          <w:sz w:val="24"/>
          <w:szCs w:val="24"/>
        </w:rPr>
        <w:t>he PSR</w:t>
      </w:r>
      <w:r w:rsidR="00ED2203">
        <w:rPr>
          <w:sz w:val="24"/>
          <w:szCs w:val="24"/>
        </w:rPr>
        <w:t>, it</w:t>
      </w:r>
      <w:r w:rsidR="001B41D5">
        <w:rPr>
          <w:sz w:val="24"/>
          <w:szCs w:val="24"/>
        </w:rPr>
        <w:t xml:space="preserve"> is designed to be </w:t>
      </w:r>
      <w:r w:rsidR="00ED2203">
        <w:rPr>
          <w:sz w:val="24"/>
          <w:szCs w:val="24"/>
        </w:rPr>
        <w:t xml:space="preserve">essentially </w:t>
      </w:r>
      <w:r w:rsidR="001B41D5">
        <w:rPr>
          <w:sz w:val="24"/>
          <w:szCs w:val="24"/>
        </w:rPr>
        <w:t>a “profit</w:t>
      </w:r>
      <w:r w:rsidR="00ED2203">
        <w:rPr>
          <w:sz w:val="24"/>
          <w:szCs w:val="24"/>
        </w:rPr>
        <w:t xml:space="preserve"> (or loss)</w:t>
      </w:r>
      <w:r w:rsidR="001B41D5">
        <w:rPr>
          <w:sz w:val="24"/>
          <w:szCs w:val="24"/>
        </w:rPr>
        <w:t xml:space="preserve"> sharing mechanism</w:t>
      </w:r>
      <w:r w:rsidR="00695275">
        <w:rPr>
          <w:sz w:val="24"/>
          <w:szCs w:val="24"/>
          <w:lang w:val="en-US"/>
        </w:rPr>
        <w:t>.</w:t>
      </w:r>
      <w:r w:rsidR="001B41D5">
        <w:rPr>
          <w:sz w:val="24"/>
          <w:szCs w:val="24"/>
        </w:rPr>
        <w:t>”</w:t>
      </w:r>
      <w:r w:rsidR="00ED2203">
        <w:rPr>
          <w:sz w:val="24"/>
          <w:szCs w:val="24"/>
        </w:rPr>
        <w:t xml:space="preserve">  </w:t>
      </w:r>
      <w:r w:rsidR="00EC6C8F">
        <w:rPr>
          <w:sz w:val="24"/>
          <w:szCs w:val="24"/>
        </w:rPr>
        <w:t>As stated by Mr. Wathen:</w:t>
      </w:r>
    </w:p>
    <w:p w:rsidR="00B91101" w:rsidRDefault="00EC6C8F" w:rsidP="008077A4">
      <w:pPr>
        <w:pStyle w:val="Header"/>
        <w:tabs>
          <w:tab w:val="clear" w:pos="8640"/>
          <w:tab w:val="right" w:pos="7920"/>
        </w:tabs>
        <w:spacing w:line="480" w:lineRule="auto"/>
        <w:ind w:left="1440" w:right="720"/>
        <w:rPr>
          <w:sz w:val="24"/>
          <w:szCs w:val="24"/>
        </w:rPr>
      </w:pPr>
      <w:r>
        <w:rPr>
          <w:sz w:val="24"/>
          <w:szCs w:val="24"/>
        </w:rPr>
        <w:t>The capacity and energy available from OVEC</w:t>
      </w:r>
      <w:r w:rsidR="00DF542D">
        <w:rPr>
          <w:sz w:val="24"/>
          <w:szCs w:val="24"/>
        </w:rPr>
        <w:t xml:space="preserve"> will not displace any of the c</w:t>
      </w:r>
      <w:r>
        <w:rPr>
          <w:sz w:val="24"/>
          <w:szCs w:val="24"/>
        </w:rPr>
        <w:t>apacity and energy procured for SSO service and will not displace any of the capacity and energy provided by CRES</w:t>
      </w:r>
      <w:r w:rsidR="00A135EF">
        <w:rPr>
          <w:sz w:val="24"/>
          <w:szCs w:val="24"/>
          <w:lang w:val="en-US"/>
        </w:rPr>
        <w:t xml:space="preserve"> </w:t>
      </w:r>
      <w:r>
        <w:rPr>
          <w:sz w:val="24"/>
          <w:szCs w:val="24"/>
        </w:rPr>
        <w:t xml:space="preserve"> providers.</w:t>
      </w:r>
      <w:r>
        <w:rPr>
          <w:rStyle w:val="FootnoteReference"/>
          <w:sz w:val="24"/>
          <w:szCs w:val="24"/>
        </w:rPr>
        <w:footnoteReference w:id="16"/>
      </w:r>
    </w:p>
    <w:p w:rsidR="008077A4" w:rsidRPr="00B91101" w:rsidRDefault="008077A4" w:rsidP="00B91101">
      <w:pPr>
        <w:pStyle w:val="Header"/>
        <w:tabs>
          <w:tab w:val="clear" w:pos="8640"/>
          <w:tab w:val="right" w:pos="7920"/>
        </w:tabs>
        <w:spacing w:line="480" w:lineRule="auto"/>
        <w:ind w:right="720"/>
        <w:rPr>
          <w:szCs w:val="24"/>
        </w:rPr>
      </w:pPr>
    </w:p>
    <w:p w:rsidR="00E143A8" w:rsidRDefault="00DF542D" w:rsidP="00695275">
      <w:pPr>
        <w:pStyle w:val="Header"/>
        <w:tabs>
          <w:tab w:val="clear" w:pos="8640"/>
        </w:tabs>
        <w:spacing w:line="480" w:lineRule="auto"/>
        <w:ind w:left="720"/>
        <w:rPr>
          <w:sz w:val="24"/>
          <w:szCs w:val="24"/>
        </w:rPr>
      </w:pPr>
      <w:r>
        <w:rPr>
          <w:sz w:val="24"/>
          <w:szCs w:val="24"/>
        </w:rPr>
        <w:t xml:space="preserve">If revenues/costs are not displacing any of the capacity procured for SSO service or provided by </w:t>
      </w:r>
      <w:r w:rsidR="00A135EF">
        <w:rPr>
          <w:sz w:val="24"/>
          <w:szCs w:val="24"/>
          <w:lang w:val="en-US"/>
        </w:rPr>
        <w:t>Competitive Retail Electric Service (“</w:t>
      </w:r>
      <w:r>
        <w:rPr>
          <w:sz w:val="24"/>
          <w:szCs w:val="24"/>
        </w:rPr>
        <w:t>CRES</w:t>
      </w:r>
      <w:r w:rsidR="00A135EF">
        <w:rPr>
          <w:sz w:val="24"/>
          <w:szCs w:val="24"/>
          <w:lang w:val="en-US"/>
        </w:rPr>
        <w:t>”)</w:t>
      </w:r>
      <w:r>
        <w:rPr>
          <w:sz w:val="24"/>
          <w:szCs w:val="24"/>
        </w:rPr>
        <w:t xml:space="preserve"> providers, there is clearly no association/basis to allocate these revenues/costs on the basis of capacity.</w:t>
      </w:r>
    </w:p>
    <w:p w:rsidR="008077A4" w:rsidRPr="008077A4" w:rsidRDefault="008077A4" w:rsidP="00695275">
      <w:pPr>
        <w:pStyle w:val="Header"/>
        <w:tabs>
          <w:tab w:val="clear" w:pos="8640"/>
        </w:tabs>
        <w:spacing w:line="480" w:lineRule="auto"/>
        <w:ind w:left="720"/>
        <w:rPr>
          <w:sz w:val="24"/>
          <w:szCs w:val="24"/>
        </w:rPr>
      </w:pPr>
    </w:p>
    <w:p w:rsidR="00E143A8" w:rsidRDefault="00E143A8" w:rsidP="00454354">
      <w:pPr>
        <w:pStyle w:val="Header"/>
        <w:tabs>
          <w:tab w:val="clear" w:pos="8640"/>
        </w:tabs>
        <w:spacing w:line="480" w:lineRule="auto"/>
        <w:ind w:left="720"/>
        <w:rPr>
          <w:sz w:val="24"/>
          <w:szCs w:val="24"/>
        </w:rPr>
      </w:pPr>
      <w:r>
        <w:rPr>
          <w:sz w:val="24"/>
          <w:szCs w:val="24"/>
        </w:rPr>
        <w:t xml:space="preserve">Although Mr. Wathen continues to talk about selling capacity and energy out of </w:t>
      </w:r>
      <w:r w:rsidR="00A135EF">
        <w:rPr>
          <w:sz w:val="24"/>
          <w:szCs w:val="24"/>
          <w:lang w:val="en-US"/>
        </w:rPr>
        <w:t xml:space="preserve"> the Ohio Valley Electric Company (“</w:t>
      </w:r>
      <w:r>
        <w:rPr>
          <w:sz w:val="24"/>
          <w:szCs w:val="24"/>
        </w:rPr>
        <w:t>OVEC</w:t>
      </w:r>
      <w:r w:rsidR="00A135EF">
        <w:rPr>
          <w:sz w:val="24"/>
          <w:szCs w:val="24"/>
          <w:lang w:val="en-US"/>
        </w:rPr>
        <w:t>”)</w:t>
      </w:r>
      <w:r>
        <w:rPr>
          <w:sz w:val="24"/>
          <w:szCs w:val="24"/>
        </w:rPr>
        <w:t>, his testimony makes it clear that the hedging would work by selling energy, but not necessarily capacity.  He states that the hedge would work</w:t>
      </w:r>
      <w:r w:rsidR="0023789D">
        <w:rPr>
          <w:sz w:val="24"/>
          <w:szCs w:val="24"/>
        </w:rPr>
        <w:t xml:space="preserve"> against volat</w:t>
      </w:r>
      <w:r w:rsidR="00AD65DD">
        <w:rPr>
          <w:sz w:val="24"/>
          <w:szCs w:val="24"/>
        </w:rPr>
        <w:t>ility in market prices</w:t>
      </w:r>
      <w:r>
        <w:rPr>
          <w:sz w:val="24"/>
          <w:szCs w:val="24"/>
        </w:rPr>
        <w:t>:</w:t>
      </w:r>
    </w:p>
    <w:p w:rsidR="00E143A8" w:rsidRDefault="0023789D" w:rsidP="00695275">
      <w:pPr>
        <w:pStyle w:val="Header"/>
        <w:tabs>
          <w:tab w:val="clear" w:pos="8640"/>
        </w:tabs>
        <w:spacing w:line="480" w:lineRule="auto"/>
        <w:ind w:left="1440" w:right="720"/>
        <w:rPr>
          <w:sz w:val="24"/>
          <w:szCs w:val="24"/>
        </w:rPr>
      </w:pPr>
      <w:r>
        <w:rPr>
          <w:sz w:val="24"/>
          <w:szCs w:val="24"/>
        </w:rPr>
        <w:t>At times of very low prices, there may be a charge flowing through to customers as the output of OVEC will have less value vis-à-vis market prices.  But when market prices are very high, such as the prices seen in PJM during the recent polar vortex, the profits from OVEC would serve to benefit customers by reducing overall rates.</w:t>
      </w:r>
      <w:r>
        <w:rPr>
          <w:rStyle w:val="FootnoteReference"/>
          <w:sz w:val="24"/>
          <w:szCs w:val="24"/>
        </w:rPr>
        <w:footnoteReference w:id="17"/>
      </w:r>
    </w:p>
    <w:p w:rsidR="00695275" w:rsidRDefault="00695275" w:rsidP="00695275">
      <w:pPr>
        <w:pStyle w:val="Header"/>
        <w:tabs>
          <w:tab w:val="clear" w:pos="8640"/>
        </w:tabs>
        <w:spacing w:line="480" w:lineRule="auto"/>
        <w:ind w:left="720"/>
        <w:rPr>
          <w:sz w:val="24"/>
          <w:szCs w:val="24"/>
        </w:rPr>
      </w:pPr>
    </w:p>
    <w:p w:rsidR="00E143A8" w:rsidRDefault="0023789D" w:rsidP="00695275">
      <w:pPr>
        <w:pStyle w:val="Header"/>
        <w:tabs>
          <w:tab w:val="clear" w:pos="8640"/>
        </w:tabs>
        <w:spacing w:line="480" w:lineRule="auto"/>
        <w:ind w:left="720"/>
        <w:rPr>
          <w:sz w:val="24"/>
          <w:szCs w:val="24"/>
        </w:rPr>
      </w:pPr>
      <w:r>
        <w:rPr>
          <w:sz w:val="24"/>
          <w:szCs w:val="24"/>
        </w:rPr>
        <w:t>This language fits what</w:t>
      </w:r>
      <w:r w:rsidR="00AD65DD">
        <w:rPr>
          <w:sz w:val="24"/>
          <w:szCs w:val="24"/>
        </w:rPr>
        <w:t xml:space="preserve"> historically has been known</w:t>
      </w:r>
      <w:r>
        <w:rPr>
          <w:sz w:val="24"/>
          <w:szCs w:val="24"/>
        </w:rPr>
        <w:t xml:space="preserve"> as “opportunity sales</w:t>
      </w:r>
      <w:r w:rsidR="00A135EF">
        <w:rPr>
          <w:sz w:val="24"/>
          <w:szCs w:val="24"/>
          <w:lang w:val="en-US"/>
        </w:rPr>
        <w:t>,</w:t>
      </w:r>
      <w:r>
        <w:rPr>
          <w:sz w:val="24"/>
          <w:szCs w:val="24"/>
        </w:rPr>
        <w:t>” which are essentially made with no long-term commitment, but</w:t>
      </w:r>
      <w:r w:rsidR="00AD65DD">
        <w:rPr>
          <w:sz w:val="24"/>
          <w:szCs w:val="24"/>
        </w:rPr>
        <w:t xml:space="preserve"> are</w:t>
      </w:r>
      <w:r>
        <w:rPr>
          <w:sz w:val="24"/>
          <w:szCs w:val="24"/>
        </w:rPr>
        <w:t xml:space="preserve"> “as, if and when” </w:t>
      </w:r>
      <w:r w:rsidR="00AD65DD">
        <w:rPr>
          <w:sz w:val="24"/>
          <w:szCs w:val="24"/>
        </w:rPr>
        <w:t>energy sales and prices</w:t>
      </w:r>
      <w:r>
        <w:rPr>
          <w:sz w:val="24"/>
          <w:szCs w:val="24"/>
        </w:rPr>
        <w:t>.  This type of sale has always been allocated on the basis of energy.</w:t>
      </w:r>
    </w:p>
    <w:p w:rsidR="00695275" w:rsidRDefault="00695275" w:rsidP="00695275">
      <w:pPr>
        <w:pStyle w:val="Header"/>
        <w:tabs>
          <w:tab w:val="clear" w:pos="8640"/>
        </w:tabs>
        <w:spacing w:line="480" w:lineRule="auto"/>
        <w:ind w:left="720"/>
        <w:rPr>
          <w:rFonts w:ascii="Times New Roman Bold" w:hAnsi="Times New Roman Bold"/>
          <w:b/>
          <w:caps/>
        </w:rPr>
      </w:pPr>
    </w:p>
    <w:p w:rsidR="00A40883" w:rsidRDefault="00A40883" w:rsidP="003B014C">
      <w:pPr>
        <w:pStyle w:val="Heading1"/>
      </w:pPr>
      <w:bookmarkStart w:id="7" w:name="_Toc399508411"/>
      <w:r>
        <w:t>Interruption</w:t>
      </w:r>
      <w:r w:rsidR="00907941">
        <w:t xml:space="preserve"> Service</w:t>
      </w:r>
      <w:bookmarkEnd w:id="7"/>
    </w:p>
    <w:p w:rsidR="008077A4" w:rsidRPr="008077A4" w:rsidRDefault="008077A4" w:rsidP="000C61C6">
      <w:pPr>
        <w:spacing w:line="480" w:lineRule="auto"/>
        <w:ind w:left="720" w:hanging="720"/>
        <w:rPr>
          <w:caps/>
        </w:rPr>
      </w:pPr>
    </w:p>
    <w:p w:rsidR="009F3056" w:rsidRPr="009A316A" w:rsidRDefault="009F3056" w:rsidP="000C61C6">
      <w:pPr>
        <w:spacing w:line="480" w:lineRule="auto"/>
        <w:ind w:left="720" w:hanging="720"/>
        <w:rPr>
          <w:b/>
          <w:i/>
          <w:caps/>
        </w:rPr>
      </w:pPr>
      <w:r w:rsidRPr="009A316A">
        <w:rPr>
          <w:b/>
          <w:i/>
          <w:caps/>
        </w:rPr>
        <w:t>Q</w:t>
      </w:r>
      <w:r w:rsidR="004C759D">
        <w:rPr>
          <w:b/>
          <w:i/>
          <w:caps/>
        </w:rPr>
        <w:t>3</w:t>
      </w:r>
      <w:r w:rsidR="003B014C">
        <w:rPr>
          <w:b/>
          <w:i/>
          <w:caps/>
        </w:rPr>
        <w:t>2</w:t>
      </w:r>
      <w:r>
        <w:rPr>
          <w:b/>
          <w:i/>
          <w:caps/>
        </w:rPr>
        <w:t>.</w:t>
      </w:r>
      <w:r w:rsidRPr="009A316A">
        <w:rPr>
          <w:b/>
          <w:i/>
          <w:caps/>
        </w:rPr>
        <w:tab/>
      </w:r>
      <w:r>
        <w:rPr>
          <w:b/>
          <w:i/>
          <w:caps/>
        </w:rPr>
        <w:t xml:space="preserve">Duke has proposed to eliminate its </w:t>
      </w:r>
      <w:r w:rsidR="00907941" w:rsidRPr="00907941">
        <w:rPr>
          <w:b/>
          <w:i/>
          <w:caps/>
        </w:rPr>
        <w:t>interrupti</w:t>
      </w:r>
      <w:r w:rsidR="00ED27AC">
        <w:rPr>
          <w:b/>
          <w:i/>
          <w:caps/>
        </w:rPr>
        <w:t>ble</w:t>
      </w:r>
      <w:r w:rsidR="00907941" w:rsidRPr="00907941">
        <w:rPr>
          <w:b/>
          <w:i/>
          <w:caps/>
        </w:rPr>
        <w:t xml:space="preserve"> service</w:t>
      </w:r>
      <w:r w:rsidRPr="00907941">
        <w:rPr>
          <w:b/>
          <w:i/>
          <w:caps/>
        </w:rPr>
        <w:t>.</w:t>
      </w:r>
      <w:r>
        <w:rPr>
          <w:b/>
          <w:i/>
          <w:caps/>
        </w:rPr>
        <w:t xml:space="preserve">  do you agree with this proposal?</w:t>
      </w:r>
    </w:p>
    <w:p w:rsidR="00A40883" w:rsidRDefault="009F3056" w:rsidP="00454354">
      <w:pPr>
        <w:pStyle w:val="Header"/>
        <w:spacing w:line="480" w:lineRule="auto"/>
        <w:ind w:left="720" w:hanging="720"/>
        <w:rPr>
          <w:sz w:val="24"/>
          <w:szCs w:val="24"/>
        </w:rPr>
      </w:pPr>
      <w:r w:rsidRPr="004C759D">
        <w:rPr>
          <w:b/>
          <w:i/>
          <w:sz w:val="24"/>
          <w:szCs w:val="24"/>
        </w:rPr>
        <w:t>A</w:t>
      </w:r>
      <w:r w:rsidR="004C759D" w:rsidRPr="004C759D">
        <w:rPr>
          <w:b/>
          <w:i/>
          <w:sz w:val="24"/>
          <w:szCs w:val="24"/>
        </w:rPr>
        <w:t>3</w:t>
      </w:r>
      <w:r w:rsidR="003B014C">
        <w:rPr>
          <w:b/>
          <w:i/>
          <w:sz w:val="24"/>
          <w:szCs w:val="24"/>
          <w:lang w:val="en-US"/>
        </w:rPr>
        <w:t>2</w:t>
      </w:r>
      <w:r w:rsidR="00695275">
        <w:rPr>
          <w:sz w:val="24"/>
          <w:szCs w:val="24"/>
        </w:rPr>
        <w:t>.</w:t>
      </w:r>
      <w:r w:rsidR="004C759D">
        <w:rPr>
          <w:sz w:val="24"/>
          <w:szCs w:val="24"/>
        </w:rPr>
        <w:tab/>
      </w:r>
      <w:r>
        <w:rPr>
          <w:sz w:val="24"/>
          <w:szCs w:val="24"/>
        </w:rPr>
        <w:t xml:space="preserve">Given the specifics of this case, it is appropriate to eliminate the </w:t>
      </w:r>
      <w:r w:rsidR="00907941">
        <w:rPr>
          <w:sz w:val="24"/>
          <w:szCs w:val="24"/>
        </w:rPr>
        <w:t>Interruptible Service</w:t>
      </w:r>
      <w:r w:rsidR="009D3859">
        <w:rPr>
          <w:sz w:val="24"/>
          <w:szCs w:val="24"/>
        </w:rPr>
        <w:t xml:space="preserve"> as the Company has proposed</w:t>
      </w:r>
      <w:r>
        <w:rPr>
          <w:sz w:val="24"/>
          <w:szCs w:val="24"/>
        </w:rPr>
        <w:t xml:space="preserve">.  </w:t>
      </w:r>
      <w:r w:rsidR="009D3859">
        <w:rPr>
          <w:sz w:val="24"/>
          <w:szCs w:val="24"/>
        </w:rPr>
        <w:t xml:space="preserve">For a fully-integrated utility, the use of </w:t>
      </w:r>
      <w:r w:rsidR="00FA79FF">
        <w:rPr>
          <w:sz w:val="24"/>
          <w:szCs w:val="24"/>
        </w:rPr>
        <w:t>i</w:t>
      </w:r>
      <w:r>
        <w:rPr>
          <w:sz w:val="24"/>
          <w:szCs w:val="24"/>
        </w:rPr>
        <w:t xml:space="preserve">nterruptible load </w:t>
      </w:r>
      <w:r w:rsidR="00A768BA">
        <w:rPr>
          <w:sz w:val="24"/>
          <w:szCs w:val="24"/>
        </w:rPr>
        <w:t xml:space="preserve">can </w:t>
      </w:r>
      <w:r w:rsidR="009D3859">
        <w:rPr>
          <w:sz w:val="24"/>
          <w:szCs w:val="24"/>
        </w:rPr>
        <w:t xml:space="preserve">help to address </w:t>
      </w:r>
      <w:r w:rsidR="00994973">
        <w:rPr>
          <w:sz w:val="24"/>
          <w:szCs w:val="24"/>
        </w:rPr>
        <w:t xml:space="preserve">operational and cost issues, especially </w:t>
      </w:r>
      <w:r w:rsidR="009D3859">
        <w:rPr>
          <w:sz w:val="24"/>
          <w:szCs w:val="24"/>
        </w:rPr>
        <w:t>during period of high demand</w:t>
      </w:r>
      <w:r w:rsidR="00994973">
        <w:rPr>
          <w:sz w:val="24"/>
          <w:szCs w:val="24"/>
        </w:rPr>
        <w:t>.</w:t>
      </w:r>
      <w:r>
        <w:rPr>
          <w:sz w:val="24"/>
          <w:szCs w:val="24"/>
        </w:rPr>
        <w:t xml:space="preserve">  These problems would include everything from unexpected hea</w:t>
      </w:r>
      <w:r w:rsidR="0061249A">
        <w:rPr>
          <w:sz w:val="24"/>
          <w:szCs w:val="24"/>
        </w:rPr>
        <w:t>vy load, extremely high cost of marginal generation, or problem</w:t>
      </w:r>
      <w:r w:rsidR="00907941">
        <w:rPr>
          <w:sz w:val="24"/>
          <w:szCs w:val="24"/>
        </w:rPr>
        <w:t>s</w:t>
      </w:r>
      <w:r>
        <w:rPr>
          <w:sz w:val="24"/>
          <w:szCs w:val="24"/>
        </w:rPr>
        <w:t xml:space="preserve"> with generation facilities </w:t>
      </w:r>
      <w:r w:rsidR="00907941">
        <w:rPr>
          <w:sz w:val="24"/>
          <w:szCs w:val="24"/>
        </w:rPr>
        <w:t xml:space="preserve">not </w:t>
      </w:r>
      <w:r>
        <w:rPr>
          <w:sz w:val="24"/>
          <w:szCs w:val="24"/>
        </w:rPr>
        <w:t>being able to full</w:t>
      </w:r>
      <w:r w:rsidR="0061249A">
        <w:rPr>
          <w:sz w:val="24"/>
          <w:szCs w:val="24"/>
        </w:rPr>
        <w:t xml:space="preserve">y operate.  </w:t>
      </w:r>
      <w:r w:rsidR="00994973">
        <w:rPr>
          <w:sz w:val="24"/>
          <w:szCs w:val="24"/>
        </w:rPr>
        <w:t xml:space="preserve">Interruption of </w:t>
      </w:r>
      <w:r w:rsidR="009C37B4">
        <w:rPr>
          <w:sz w:val="24"/>
          <w:szCs w:val="24"/>
        </w:rPr>
        <w:t xml:space="preserve">load can be used </w:t>
      </w:r>
      <w:r w:rsidR="00AD65DD">
        <w:rPr>
          <w:sz w:val="24"/>
          <w:szCs w:val="24"/>
        </w:rPr>
        <w:t>as an economic solution</w:t>
      </w:r>
      <w:r w:rsidR="009C37B4">
        <w:rPr>
          <w:sz w:val="24"/>
          <w:szCs w:val="24"/>
        </w:rPr>
        <w:t xml:space="preserve"> to these problems of matching needed supply with load.  However, in this case, </w:t>
      </w:r>
      <w:r w:rsidR="00A768BA">
        <w:rPr>
          <w:sz w:val="24"/>
          <w:szCs w:val="24"/>
        </w:rPr>
        <w:t xml:space="preserve">Duke’s </w:t>
      </w:r>
      <w:r w:rsidR="009C37B4">
        <w:rPr>
          <w:sz w:val="24"/>
          <w:szCs w:val="24"/>
        </w:rPr>
        <w:t xml:space="preserve"> need for interruptible load is basically non-existent.</w:t>
      </w:r>
    </w:p>
    <w:p w:rsidR="007F68ED" w:rsidRPr="007F68ED" w:rsidRDefault="007F68ED" w:rsidP="00454354">
      <w:pPr>
        <w:pStyle w:val="Header"/>
        <w:spacing w:line="480" w:lineRule="auto"/>
        <w:ind w:left="720" w:hanging="720"/>
        <w:rPr>
          <w:b/>
          <w:sz w:val="28"/>
          <w:szCs w:val="28"/>
        </w:rPr>
      </w:pPr>
    </w:p>
    <w:p w:rsidR="00DD58AA" w:rsidRPr="009A316A" w:rsidRDefault="00DD58AA" w:rsidP="00454354">
      <w:pPr>
        <w:spacing w:line="480" w:lineRule="auto"/>
        <w:ind w:left="720" w:hanging="720"/>
        <w:rPr>
          <w:b/>
          <w:i/>
          <w:caps/>
        </w:rPr>
      </w:pPr>
      <w:r w:rsidRPr="009A316A">
        <w:rPr>
          <w:b/>
          <w:i/>
          <w:caps/>
        </w:rPr>
        <w:t>Q</w:t>
      </w:r>
      <w:r w:rsidR="004C759D">
        <w:rPr>
          <w:b/>
          <w:i/>
          <w:caps/>
        </w:rPr>
        <w:t>3</w:t>
      </w:r>
      <w:r w:rsidR="003B014C">
        <w:rPr>
          <w:b/>
          <w:i/>
          <w:caps/>
        </w:rPr>
        <w:t>3</w:t>
      </w:r>
      <w:r>
        <w:rPr>
          <w:b/>
          <w:i/>
          <w:caps/>
        </w:rPr>
        <w:t>.</w:t>
      </w:r>
      <w:r w:rsidRPr="009A316A">
        <w:rPr>
          <w:b/>
          <w:i/>
          <w:caps/>
        </w:rPr>
        <w:tab/>
      </w:r>
      <w:r>
        <w:rPr>
          <w:b/>
          <w:i/>
          <w:caps/>
        </w:rPr>
        <w:t xml:space="preserve">why is it appropriate to eliminate duke’s </w:t>
      </w:r>
      <w:r w:rsidR="00907941">
        <w:rPr>
          <w:b/>
          <w:i/>
          <w:caps/>
        </w:rPr>
        <w:t>interruptible service</w:t>
      </w:r>
      <w:r>
        <w:rPr>
          <w:b/>
          <w:i/>
          <w:caps/>
        </w:rPr>
        <w:t>?</w:t>
      </w:r>
    </w:p>
    <w:p w:rsidR="00A768BA" w:rsidRDefault="00DD58AA" w:rsidP="00454354">
      <w:pPr>
        <w:pStyle w:val="Header"/>
        <w:spacing w:line="480" w:lineRule="auto"/>
        <w:ind w:left="720" w:hanging="720"/>
        <w:rPr>
          <w:b/>
          <w:i/>
          <w:sz w:val="24"/>
          <w:szCs w:val="24"/>
        </w:rPr>
      </w:pPr>
      <w:r w:rsidRPr="004C759D">
        <w:rPr>
          <w:b/>
          <w:i/>
          <w:sz w:val="24"/>
          <w:szCs w:val="24"/>
        </w:rPr>
        <w:t>A</w:t>
      </w:r>
      <w:r w:rsidR="004C759D" w:rsidRPr="004C759D">
        <w:rPr>
          <w:b/>
          <w:i/>
          <w:sz w:val="24"/>
          <w:szCs w:val="24"/>
        </w:rPr>
        <w:t>3</w:t>
      </w:r>
      <w:r w:rsidR="003B014C">
        <w:rPr>
          <w:b/>
          <w:i/>
          <w:sz w:val="24"/>
          <w:szCs w:val="24"/>
          <w:lang w:val="en-US"/>
        </w:rPr>
        <w:t>3</w:t>
      </w:r>
      <w:r w:rsidR="00695275">
        <w:rPr>
          <w:sz w:val="24"/>
          <w:szCs w:val="24"/>
        </w:rPr>
        <w:t>.</w:t>
      </w:r>
      <w:r w:rsidR="004C759D">
        <w:rPr>
          <w:sz w:val="24"/>
          <w:szCs w:val="24"/>
        </w:rPr>
        <w:tab/>
      </w:r>
      <w:r>
        <w:rPr>
          <w:sz w:val="24"/>
          <w:szCs w:val="24"/>
        </w:rPr>
        <w:t>The present interruptible program for transmission voltage customers with loads greater than 10 MW came about as a result of the Stipulation in the last ESP—Case No. 11-3549-EL-SSO.</w:t>
      </w:r>
      <w:r>
        <w:rPr>
          <w:rStyle w:val="FootnoteReference"/>
          <w:sz w:val="24"/>
          <w:szCs w:val="24"/>
        </w:rPr>
        <w:footnoteReference w:id="18"/>
      </w:r>
      <w:r w:rsidR="00345176">
        <w:rPr>
          <w:sz w:val="24"/>
          <w:szCs w:val="24"/>
        </w:rPr>
        <w:t xml:space="preserve">  </w:t>
      </w:r>
      <w:r w:rsidR="00A768BA">
        <w:rPr>
          <w:sz w:val="24"/>
          <w:szCs w:val="24"/>
        </w:rPr>
        <w:t>But it is clear from that stipulation that the interruptible program was only to exist until May 31, 2015.</w:t>
      </w:r>
    </w:p>
    <w:p w:rsidR="00EA6CCB" w:rsidRPr="00695275" w:rsidRDefault="00345176" w:rsidP="00695275">
      <w:pPr>
        <w:pStyle w:val="Header"/>
        <w:tabs>
          <w:tab w:val="clear" w:pos="4320"/>
        </w:tabs>
        <w:spacing w:line="480" w:lineRule="auto"/>
        <w:ind w:left="720"/>
        <w:rPr>
          <w:sz w:val="24"/>
          <w:szCs w:val="24"/>
        </w:rPr>
      </w:pPr>
      <w:r>
        <w:rPr>
          <w:sz w:val="24"/>
          <w:szCs w:val="24"/>
        </w:rPr>
        <w:t>There are</w:t>
      </w:r>
      <w:r w:rsidR="002E618E">
        <w:rPr>
          <w:sz w:val="24"/>
          <w:szCs w:val="24"/>
        </w:rPr>
        <w:t xml:space="preserve"> </w:t>
      </w:r>
      <w:r w:rsidR="00B90028">
        <w:rPr>
          <w:sz w:val="24"/>
          <w:szCs w:val="24"/>
        </w:rPr>
        <w:t>two statements</w:t>
      </w:r>
      <w:r w:rsidR="002E618E">
        <w:rPr>
          <w:sz w:val="24"/>
          <w:szCs w:val="24"/>
        </w:rPr>
        <w:t xml:space="preserve"> in that Stipulation that make it </w:t>
      </w:r>
      <w:r w:rsidR="00A768BA">
        <w:rPr>
          <w:sz w:val="24"/>
          <w:szCs w:val="24"/>
        </w:rPr>
        <w:t xml:space="preserve">clear that </w:t>
      </w:r>
      <w:r w:rsidR="002E618E">
        <w:rPr>
          <w:sz w:val="24"/>
          <w:szCs w:val="24"/>
        </w:rPr>
        <w:t xml:space="preserve"> Duke</w:t>
      </w:r>
      <w:r w:rsidR="00A768BA">
        <w:rPr>
          <w:sz w:val="24"/>
          <w:szCs w:val="24"/>
        </w:rPr>
        <w:t xml:space="preserve"> would </w:t>
      </w:r>
      <w:r w:rsidR="002E618E">
        <w:rPr>
          <w:sz w:val="24"/>
          <w:szCs w:val="24"/>
        </w:rPr>
        <w:t>terminate its interruptible program at the conclusion of the present ESP—May 31, 2015</w:t>
      </w:r>
      <w:r w:rsidR="00881507">
        <w:rPr>
          <w:sz w:val="24"/>
          <w:szCs w:val="24"/>
        </w:rPr>
        <w:t xml:space="preserve">.  First, </w:t>
      </w:r>
      <w:r w:rsidR="00EA6CCB">
        <w:rPr>
          <w:sz w:val="24"/>
          <w:szCs w:val="24"/>
        </w:rPr>
        <w:t xml:space="preserve">Section </w:t>
      </w:r>
      <w:r w:rsidR="00EA6CCB" w:rsidRPr="006F3440">
        <w:rPr>
          <w:b/>
          <w:sz w:val="24"/>
          <w:szCs w:val="24"/>
        </w:rPr>
        <w:t>IX</w:t>
      </w:r>
      <w:r w:rsidR="00EA6CCB">
        <w:rPr>
          <w:sz w:val="24"/>
          <w:szCs w:val="24"/>
        </w:rPr>
        <w:t>-N of the Stipul</w:t>
      </w:r>
      <w:r w:rsidR="00695275">
        <w:rPr>
          <w:sz w:val="24"/>
          <w:szCs w:val="24"/>
        </w:rPr>
        <w:t>ation goes on to declare that:</w:t>
      </w:r>
    </w:p>
    <w:p w:rsidR="00EA6CCB" w:rsidRDefault="00EA6CCB" w:rsidP="00ED0975">
      <w:pPr>
        <w:pStyle w:val="Header"/>
        <w:tabs>
          <w:tab w:val="clear" w:pos="8640"/>
        </w:tabs>
        <w:spacing w:line="480" w:lineRule="auto"/>
        <w:ind w:left="1440" w:right="720"/>
        <w:rPr>
          <w:sz w:val="24"/>
          <w:szCs w:val="24"/>
        </w:rPr>
      </w:pPr>
      <w:r w:rsidRPr="0064206B">
        <w:rPr>
          <w:sz w:val="24"/>
          <w:szCs w:val="24"/>
        </w:rPr>
        <w:t xml:space="preserve">The customer </w:t>
      </w:r>
      <w:r>
        <w:rPr>
          <w:sz w:val="24"/>
          <w:szCs w:val="24"/>
        </w:rPr>
        <w:t>acknowledges that Duke Energy Ohio may use such interruptible load in Duke Energy Ohio’s FRR plan …</w:t>
      </w:r>
    </w:p>
    <w:p w:rsidR="00ED0975" w:rsidRPr="00ED0975" w:rsidRDefault="00ED0975" w:rsidP="00ED0975">
      <w:pPr>
        <w:pStyle w:val="Header"/>
        <w:tabs>
          <w:tab w:val="clear" w:pos="8640"/>
        </w:tabs>
        <w:spacing w:line="480" w:lineRule="auto"/>
        <w:ind w:left="1440" w:right="720"/>
        <w:rPr>
          <w:sz w:val="24"/>
          <w:szCs w:val="24"/>
        </w:rPr>
      </w:pPr>
    </w:p>
    <w:p w:rsidR="0083561C" w:rsidRPr="0083561C" w:rsidRDefault="00EA6CCB" w:rsidP="0083561C">
      <w:pPr>
        <w:pStyle w:val="Header"/>
        <w:tabs>
          <w:tab w:val="clear" w:pos="8640"/>
        </w:tabs>
        <w:spacing w:line="480" w:lineRule="auto"/>
        <w:ind w:left="720"/>
        <w:rPr>
          <w:sz w:val="24"/>
          <w:szCs w:val="24"/>
        </w:rPr>
      </w:pPr>
      <w:r>
        <w:rPr>
          <w:sz w:val="24"/>
          <w:szCs w:val="24"/>
        </w:rPr>
        <w:t>As an FRR entity, Duke had accepted the PJM capacity supply obligation for all electric distribution customers and PJM will not procure capacity on behalf of these customers.  The Stipulation points out that the interruptible load can be used to meet a segment of the Utility’s capacity obligation.</w:t>
      </w:r>
      <w:r w:rsidR="0083561C">
        <w:rPr>
          <w:sz w:val="24"/>
          <w:szCs w:val="24"/>
        </w:rPr>
        <w:br w:type="page"/>
      </w:r>
    </w:p>
    <w:p w:rsidR="00EA6CCB" w:rsidRPr="00695275" w:rsidRDefault="00EA6CCB" w:rsidP="00695275">
      <w:pPr>
        <w:pStyle w:val="Header"/>
        <w:tabs>
          <w:tab w:val="clear" w:pos="4320"/>
          <w:tab w:val="clear" w:pos="8640"/>
          <w:tab w:val="right" w:pos="9360"/>
        </w:tabs>
        <w:spacing w:line="480" w:lineRule="auto"/>
        <w:ind w:left="720" w:right="-720"/>
        <w:rPr>
          <w:sz w:val="24"/>
          <w:szCs w:val="24"/>
        </w:rPr>
      </w:pPr>
      <w:r>
        <w:rPr>
          <w:sz w:val="24"/>
          <w:szCs w:val="24"/>
        </w:rPr>
        <w:t>However, the Stipul</w:t>
      </w:r>
      <w:r w:rsidR="00695275">
        <w:rPr>
          <w:sz w:val="24"/>
          <w:szCs w:val="24"/>
        </w:rPr>
        <w:t>ation also declared that Duke:</w:t>
      </w:r>
    </w:p>
    <w:p w:rsidR="00EA6CCB" w:rsidRDefault="00EA6CCB" w:rsidP="00CA6CA9">
      <w:pPr>
        <w:pStyle w:val="Header"/>
        <w:tabs>
          <w:tab w:val="clear" w:pos="8640"/>
        </w:tabs>
        <w:spacing w:line="480" w:lineRule="auto"/>
        <w:ind w:left="1440" w:right="720"/>
        <w:rPr>
          <w:sz w:val="24"/>
          <w:szCs w:val="24"/>
        </w:rPr>
      </w:pPr>
      <w:r>
        <w:rPr>
          <w:sz w:val="24"/>
          <w:szCs w:val="24"/>
        </w:rPr>
        <w:t xml:space="preserve">… </w:t>
      </w:r>
      <w:r w:rsidR="00241457" w:rsidRPr="00241457">
        <w:rPr>
          <w:b/>
          <w:sz w:val="24"/>
          <w:szCs w:val="24"/>
        </w:rPr>
        <w:t>will terminate</w:t>
      </w:r>
      <w:r>
        <w:rPr>
          <w:sz w:val="24"/>
          <w:szCs w:val="24"/>
        </w:rPr>
        <w:t xml:space="preserve"> its election of an FRR plan and provide written notice by March 2, 2012, to the PJM Office of the Interconnection of its intent to participate in the RPM and BRA for the 2015/2016 planning year.  (Emphasis added</w:t>
      </w:r>
      <w:r w:rsidR="00695275">
        <w:rPr>
          <w:sz w:val="24"/>
          <w:szCs w:val="24"/>
          <w:lang w:val="en-US"/>
        </w:rPr>
        <w:t>.</w:t>
      </w:r>
      <w:r>
        <w:rPr>
          <w:sz w:val="24"/>
          <w:szCs w:val="24"/>
        </w:rPr>
        <w:t>)</w:t>
      </w:r>
      <w:r>
        <w:rPr>
          <w:rStyle w:val="FootnoteReference"/>
          <w:sz w:val="24"/>
          <w:szCs w:val="24"/>
        </w:rPr>
        <w:footnoteReference w:id="19"/>
      </w:r>
    </w:p>
    <w:p w:rsidR="00CA6CA9" w:rsidRPr="00CA6CA9" w:rsidRDefault="00CA6CA9" w:rsidP="00CA6CA9">
      <w:pPr>
        <w:pStyle w:val="Header"/>
        <w:tabs>
          <w:tab w:val="clear" w:pos="8640"/>
        </w:tabs>
        <w:spacing w:line="480" w:lineRule="auto"/>
        <w:ind w:left="1440" w:right="720"/>
        <w:rPr>
          <w:sz w:val="24"/>
          <w:szCs w:val="24"/>
        </w:rPr>
      </w:pPr>
    </w:p>
    <w:p w:rsidR="008077A4" w:rsidRDefault="00EA6CCB" w:rsidP="00695275">
      <w:pPr>
        <w:spacing w:line="480" w:lineRule="auto"/>
        <w:ind w:left="720"/>
        <w:rPr>
          <w:rFonts w:eastAsia="Times New Roman"/>
          <w:szCs w:val="24"/>
        </w:rPr>
      </w:pPr>
      <w:r>
        <w:rPr>
          <w:rFonts w:eastAsia="Times New Roman"/>
          <w:szCs w:val="24"/>
        </w:rPr>
        <w:t>Given the fact that Duke was an FRR entity at the signing of the Stipulation in the last case, and the fact that the Utility was using interruptible load to meet a portion of its capacity obligation, it should have been obvious to all that with the Stipulation requiring that Duke terminate its FRR election, that the need for interruptible load would terminate at the same time.</w:t>
      </w:r>
    </w:p>
    <w:p w:rsidR="00695275" w:rsidRPr="008077A4" w:rsidRDefault="00695275" w:rsidP="008077A4">
      <w:pPr>
        <w:spacing w:line="480" w:lineRule="auto"/>
        <w:rPr>
          <w:rFonts w:eastAsia="Times New Roman"/>
          <w:szCs w:val="24"/>
        </w:rPr>
      </w:pPr>
    </w:p>
    <w:p w:rsidR="00EA6CCB" w:rsidRPr="00695275" w:rsidRDefault="008E03F3" w:rsidP="00695275">
      <w:pPr>
        <w:pStyle w:val="Header"/>
        <w:spacing w:line="480" w:lineRule="auto"/>
        <w:ind w:left="720"/>
        <w:rPr>
          <w:sz w:val="24"/>
          <w:szCs w:val="24"/>
        </w:rPr>
      </w:pPr>
      <w:r>
        <w:rPr>
          <w:sz w:val="24"/>
          <w:szCs w:val="24"/>
        </w:rPr>
        <w:t xml:space="preserve">Second, </w:t>
      </w:r>
      <w:r w:rsidR="00EA6CCB">
        <w:rPr>
          <w:sz w:val="24"/>
          <w:szCs w:val="24"/>
        </w:rPr>
        <w:t xml:space="preserve">Section </w:t>
      </w:r>
      <w:r w:rsidR="00EA6CCB" w:rsidRPr="006F3440">
        <w:rPr>
          <w:b/>
          <w:sz w:val="24"/>
          <w:szCs w:val="24"/>
        </w:rPr>
        <w:t>IX</w:t>
      </w:r>
      <w:r w:rsidR="00EA6CCB">
        <w:rPr>
          <w:sz w:val="24"/>
          <w:szCs w:val="24"/>
        </w:rPr>
        <w:t xml:space="preserve">-N of the Stipulation starts </w:t>
      </w:r>
      <w:r w:rsidR="00695275">
        <w:rPr>
          <w:sz w:val="24"/>
          <w:szCs w:val="24"/>
        </w:rPr>
        <w:t>out with the declaration that:</w:t>
      </w:r>
    </w:p>
    <w:p w:rsidR="00EA6CCB" w:rsidRDefault="00241457" w:rsidP="00695275">
      <w:pPr>
        <w:pStyle w:val="Header"/>
        <w:tabs>
          <w:tab w:val="clear" w:pos="8640"/>
        </w:tabs>
        <w:spacing w:line="480" w:lineRule="auto"/>
        <w:ind w:left="1440" w:right="720"/>
        <w:rPr>
          <w:sz w:val="24"/>
          <w:szCs w:val="24"/>
        </w:rPr>
      </w:pPr>
      <w:r w:rsidRPr="00241457">
        <w:rPr>
          <w:b/>
          <w:sz w:val="24"/>
          <w:szCs w:val="24"/>
        </w:rPr>
        <w:t>During the term of this ESP</w:t>
      </w:r>
      <w:r w:rsidR="00EA6CCB">
        <w:rPr>
          <w:sz w:val="24"/>
          <w:szCs w:val="24"/>
        </w:rPr>
        <w:t>, transmission voltage customers, whether shopping or non-shopping, with loads in excess of 10 MW at a single site shall have the option to annually nominate any part of their load as being subject to interruptions through Duke Energy Ohio.  (Emphasis added</w:t>
      </w:r>
      <w:r w:rsidR="00965D1D">
        <w:rPr>
          <w:sz w:val="24"/>
          <w:szCs w:val="24"/>
          <w:lang w:val="en-US"/>
        </w:rPr>
        <w:t>.</w:t>
      </w:r>
      <w:r w:rsidR="00EA6CCB">
        <w:rPr>
          <w:sz w:val="24"/>
          <w:szCs w:val="24"/>
        </w:rPr>
        <w:t>)</w:t>
      </w:r>
    </w:p>
    <w:p w:rsidR="00965D1D" w:rsidRPr="00965D1D" w:rsidRDefault="00965D1D" w:rsidP="00695275">
      <w:pPr>
        <w:pStyle w:val="Header"/>
        <w:tabs>
          <w:tab w:val="clear" w:pos="8640"/>
        </w:tabs>
        <w:spacing w:line="480" w:lineRule="auto"/>
        <w:ind w:left="1440" w:right="720"/>
        <w:rPr>
          <w:sz w:val="24"/>
          <w:szCs w:val="24"/>
        </w:rPr>
      </w:pPr>
    </w:p>
    <w:p w:rsidR="004E7F0E" w:rsidRPr="00EA6CCB" w:rsidRDefault="00EA6CCB" w:rsidP="00965D1D">
      <w:pPr>
        <w:pStyle w:val="Header"/>
        <w:tabs>
          <w:tab w:val="clear" w:pos="8640"/>
        </w:tabs>
        <w:spacing w:line="480" w:lineRule="auto"/>
        <w:ind w:left="720"/>
        <w:rPr>
          <w:sz w:val="24"/>
          <w:szCs w:val="24"/>
        </w:rPr>
      </w:pPr>
      <w:r>
        <w:rPr>
          <w:sz w:val="24"/>
          <w:szCs w:val="24"/>
        </w:rPr>
        <w:t>This clear language conveys that the interruptible program was only intended to continue under the current tariff until M</w:t>
      </w:r>
      <w:r w:rsidR="007F68ED">
        <w:rPr>
          <w:sz w:val="24"/>
          <w:szCs w:val="24"/>
        </w:rPr>
        <w:t xml:space="preserve">ay 31, 2015. </w:t>
      </w:r>
      <w:r>
        <w:rPr>
          <w:sz w:val="24"/>
          <w:szCs w:val="24"/>
        </w:rPr>
        <w:t xml:space="preserve"> Additionally, between October 2013 and January 2014, individual customers were notified that Duke planned to terminate the program on May 31, 2015.</w:t>
      </w:r>
      <w:r>
        <w:rPr>
          <w:rStyle w:val="FootnoteReference"/>
          <w:sz w:val="24"/>
          <w:szCs w:val="24"/>
        </w:rPr>
        <w:footnoteReference w:id="20"/>
      </w:r>
    </w:p>
    <w:p w:rsidR="00B90028" w:rsidRDefault="00B90028" w:rsidP="000F6661">
      <w:pPr>
        <w:spacing w:line="480" w:lineRule="auto"/>
        <w:ind w:left="720"/>
        <w:rPr>
          <w:rFonts w:eastAsia="Times New Roman"/>
          <w:szCs w:val="24"/>
        </w:rPr>
      </w:pPr>
    </w:p>
    <w:p w:rsidR="00B90028" w:rsidRPr="009A316A" w:rsidRDefault="00B90028" w:rsidP="005A3A2E">
      <w:pPr>
        <w:spacing w:line="480" w:lineRule="auto"/>
        <w:ind w:left="720" w:hanging="720"/>
        <w:rPr>
          <w:b/>
          <w:i/>
          <w:caps/>
        </w:rPr>
      </w:pPr>
      <w:r w:rsidRPr="009A316A">
        <w:rPr>
          <w:b/>
          <w:i/>
          <w:caps/>
        </w:rPr>
        <w:t>Q</w:t>
      </w:r>
      <w:r w:rsidR="005A3A2E">
        <w:rPr>
          <w:b/>
          <w:i/>
          <w:caps/>
        </w:rPr>
        <w:t>3</w:t>
      </w:r>
      <w:r w:rsidR="003B014C">
        <w:rPr>
          <w:b/>
          <w:i/>
          <w:caps/>
        </w:rPr>
        <w:t>4</w:t>
      </w:r>
      <w:r>
        <w:rPr>
          <w:b/>
          <w:i/>
          <w:caps/>
        </w:rPr>
        <w:t>.</w:t>
      </w:r>
      <w:r w:rsidRPr="009A316A">
        <w:rPr>
          <w:b/>
          <w:i/>
          <w:caps/>
        </w:rPr>
        <w:tab/>
      </w:r>
      <w:r w:rsidR="00824E6C">
        <w:rPr>
          <w:b/>
          <w:i/>
          <w:caps/>
        </w:rPr>
        <w:t>interruptible loads have historically been considered to be ben</w:t>
      </w:r>
      <w:r w:rsidR="00A44674">
        <w:rPr>
          <w:b/>
          <w:i/>
          <w:caps/>
        </w:rPr>
        <w:t>e</w:t>
      </w:r>
      <w:r w:rsidR="00824E6C">
        <w:rPr>
          <w:b/>
          <w:i/>
          <w:caps/>
        </w:rPr>
        <w:t>ficial to a utility system.  Has this changed?</w:t>
      </w:r>
    </w:p>
    <w:p w:rsidR="00B90028" w:rsidRDefault="00B90028" w:rsidP="00965D1D">
      <w:pPr>
        <w:spacing w:line="480" w:lineRule="auto"/>
        <w:ind w:left="720" w:hanging="720"/>
        <w:rPr>
          <w:szCs w:val="24"/>
        </w:rPr>
      </w:pPr>
      <w:r w:rsidRPr="005A3A2E">
        <w:rPr>
          <w:b/>
          <w:i/>
          <w:szCs w:val="24"/>
        </w:rPr>
        <w:t>A</w:t>
      </w:r>
      <w:r w:rsidR="005A3A2E" w:rsidRPr="005A3A2E">
        <w:rPr>
          <w:b/>
          <w:i/>
          <w:szCs w:val="24"/>
        </w:rPr>
        <w:t>3</w:t>
      </w:r>
      <w:r w:rsidR="003B014C">
        <w:rPr>
          <w:b/>
          <w:i/>
          <w:szCs w:val="24"/>
        </w:rPr>
        <w:t>4</w:t>
      </w:r>
      <w:r w:rsidRPr="005A3A2E">
        <w:rPr>
          <w:b/>
          <w:i/>
          <w:szCs w:val="24"/>
        </w:rPr>
        <w:t>.</w:t>
      </w:r>
      <w:r w:rsidR="005A3A2E">
        <w:rPr>
          <w:szCs w:val="24"/>
        </w:rPr>
        <w:tab/>
      </w:r>
      <w:r w:rsidR="00824E6C">
        <w:rPr>
          <w:szCs w:val="24"/>
        </w:rPr>
        <w:t xml:space="preserve">Interruptible loads have been beneficial </w:t>
      </w:r>
      <w:r w:rsidR="000F6EAF">
        <w:rPr>
          <w:szCs w:val="24"/>
        </w:rPr>
        <w:t>almost exclusively</w:t>
      </w:r>
      <w:r w:rsidR="00994973">
        <w:rPr>
          <w:szCs w:val="24"/>
        </w:rPr>
        <w:t xml:space="preserve"> </w:t>
      </w:r>
      <w:r w:rsidR="00824E6C">
        <w:rPr>
          <w:szCs w:val="24"/>
        </w:rPr>
        <w:t xml:space="preserve">to the generation arm of a utility.  This is still the case.  However, the distribution </w:t>
      </w:r>
      <w:r w:rsidR="00AC2D99">
        <w:rPr>
          <w:szCs w:val="24"/>
        </w:rPr>
        <w:t>Utility</w:t>
      </w:r>
      <w:r w:rsidR="00824E6C">
        <w:rPr>
          <w:szCs w:val="24"/>
        </w:rPr>
        <w:t xml:space="preserve">, Duke Energy Ohio, is no longer in the generation business.  With Duke Energy Ohio giving up its FRR status, it will no longer be responsible for meeting its own </w:t>
      </w:r>
      <w:r w:rsidR="00994973">
        <w:rPr>
          <w:szCs w:val="24"/>
        </w:rPr>
        <w:t xml:space="preserve">generation </w:t>
      </w:r>
      <w:r w:rsidR="00824E6C">
        <w:rPr>
          <w:szCs w:val="24"/>
        </w:rPr>
        <w:t xml:space="preserve">capacity needs.  In such a situation, an interruptible load </w:t>
      </w:r>
      <w:r w:rsidR="000F6EAF">
        <w:rPr>
          <w:szCs w:val="24"/>
        </w:rPr>
        <w:t>has essentially no</w:t>
      </w:r>
      <w:r w:rsidR="00994973">
        <w:rPr>
          <w:szCs w:val="24"/>
        </w:rPr>
        <w:t xml:space="preserve"> </w:t>
      </w:r>
      <w:r w:rsidR="00824E6C">
        <w:rPr>
          <w:szCs w:val="24"/>
        </w:rPr>
        <w:t xml:space="preserve">value to the </w:t>
      </w:r>
      <w:r w:rsidR="00AC2D99">
        <w:rPr>
          <w:szCs w:val="24"/>
        </w:rPr>
        <w:t>Utility</w:t>
      </w:r>
      <w:r w:rsidR="00824E6C">
        <w:rPr>
          <w:szCs w:val="24"/>
        </w:rPr>
        <w:t>.</w:t>
      </w:r>
    </w:p>
    <w:p w:rsidR="008077A4" w:rsidRDefault="008077A4" w:rsidP="00965D1D">
      <w:pPr>
        <w:spacing w:line="480" w:lineRule="auto"/>
        <w:ind w:left="720" w:hanging="720"/>
        <w:rPr>
          <w:rFonts w:eastAsia="Times New Roman"/>
          <w:szCs w:val="24"/>
        </w:rPr>
      </w:pPr>
    </w:p>
    <w:p w:rsidR="00824E6C" w:rsidRPr="009A316A" w:rsidRDefault="00824E6C" w:rsidP="005A3A2E">
      <w:pPr>
        <w:spacing w:line="480" w:lineRule="auto"/>
        <w:ind w:left="720" w:hanging="720"/>
        <w:rPr>
          <w:b/>
          <w:i/>
          <w:caps/>
        </w:rPr>
      </w:pPr>
      <w:r w:rsidRPr="009A316A">
        <w:rPr>
          <w:b/>
          <w:i/>
          <w:caps/>
        </w:rPr>
        <w:t>Q</w:t>
      </w:r>
      <w:r w:rsidR="005A3A2E">
        <w:rPr>
          <w:b/>
          <w:i/>
          <w:caps/>
        </w:rPr>
        <w:t>3</w:t>
      </w:r>
      <w:r w:rsidR="003B014C">
        <w:rPr>
          <w:b/>
          <w:i/>
          <w:caps/>
        </w:rPr>
        <w:t>5</w:t>
      </w:r>
      <w:r>
        <w:rPr>
          <w:b/>
          <w:i/>
          <w:caps/>
        </w:rPr>
        <w:t>.</w:t>
      </w:r>
      <w:r w:rsidRPr="009A316A">
        <w:rPr>
          <w:b/>
          <w:i/>
          <w:caps/>
        </w:rPr>
        <w:tab/>
      </w:r>
      <w:r>
        <w:rPr>
          <w:b/>
          <w:i/>
          <w:caps/>
        </w:rPr>
        <w:t xml:space="preserve">if </w:t>
      </w:r>
      <w:r w:rsidR="009337DE">
        <w:rPr>
          <w:b/>
          <w:i/>
          <w:caps/>
        </w:rPr>
        <w:t>duke energy ohio no longer has a need to have interruptible load, does this mean that interruptible loads have no value</w:t>
      </w:r>
      <w:r>
        <w:rPr>
          <w:b/>
          <w:i/>
          <w:caps/>
        </w:rPr>
        <w:t>?</w:t>
      </w:r>
    </w:p>
    <w:p w:rsidR="00824E6C" w:rsidRDefault="00824E6C" w:rsidP="005A3A2E">
      <w:pPr>
        <w:spacing w:line="480" w:lineRule="auto"/>
        <w:ind w:left="720" w:hanging="720"/>
        <w:rPr>
          <w:rFonts w:eastAsia="Times New Roman"/>
          <w:szCs w:val="24"/>
        </w:rPr>
      </w:pPr>
      <w:r w:rsidRPr="005A3A2E">
        <w:rPr>
          <w:b/>
          <w:i/>
          <w:szCs w:val="24"/>
        </w:rPr>
        <w:t>A</w:t>
      </w:r>
      <w:r w:rsidR="005A3A2E" w:rsidRPr="005A3A2E">
        <w:rPr>
          <w:b/>
          <w:i/>
          <w:szCs w:val="24"/>
        </w:rPr>
        <w:t>3</w:t>
      </w:r>
      <w:r w:rsidR="003B014C">
        <w:rPr>
          <w:b/>
          <w:i/>
          <w:szCs w:val="24"/>
        </w:rPr>
        <w:t>5</w:t>
      </w:r>
      <w:r w:rsidR="00E06F0E">
        <w:rPr>
          <w:szCs w:val="24"/>
        </w:rPr>
        <w:t>.</w:t>
      </w:r>
      <w:r w:rsidR="005A3A2E">
        <w:rPr>
          <w:szCs w:val="24"/>
        </w:rPr>
        <w:tab/>
      </w:r>
      <w:r w:rsidR="009337DE">
        <w:rPr>
          <w:szCs w:val="24"/>
        </w:rPr>
        <w:t xml:space="preserve">No.  Interruptible loads are still of value to generation </w:t>
      </w:r>
      <w:r w:rsidR="00994973">
        <w:rPr>
          <w:szCs w:val="24"/>
        </w:rPr>
        <w:t xml:space="preserve">and transmission </w:t>
      </w:r>
      <w:r w:rsidR="009337DE">
        <w:rPr>
          <w:szCs w:val="24"/>
        </w:rPr>
        <w:t xml:space="preserve">utilities—they are </w:t>
      </w:r>
      <w:r w:rsidR="000F6EAF">
        <w:rPr>
          <w:szCs w:val="24"/>
        </w:rPr>
        <w:t>essentially of no</w:t>
      </w:r>
      <w:r w:rsidR="00994973">
        <w:rPr>
          <w:szCs w:val="24"/>
        </w:rPr>
        <w:t xml:space="preserve"> </w:t>
      </w:r>
      <w:r w:rsidR="009337DE">
        <w:rPr>
          <w:szCs w:val="24"/>
        </w:rPr>
        <w:t>value to di</w:t>
      </w:r>
      <w:r w:rsidR="001E1130">
        <w:rPr>
          <w:szCs w:val="24"/>
        </w:rPr>
        <w:t>stribution-</w:t>
      </w:r>
      <w:r w:rsidR="00AD65DD">
        <w:rPr>
          <w:szCs w:val="24"/>
        </w:rPr>
        <w:t xml:space="preserve">only utilities.  </w:t>
      </w:r>
      <w:r w:rsidR="00B35A73">
        <w:rPr>
          <w:szCs w:val="24"/>
        </w:rPr>
        <w:t>A</w:t>
      </w:r>
      <w:r w:rsidR="009337DE">
        <w:rPr>
          <w:szCs w:val="24"/>
        </w:rPr>
        <w:t xml:space="preserve"> </w:t>
      </w:r>
      <w:r w:rsidR="00994973">
        <w:rPr>
          <w:szCs w:val="24"/>
        </w:rPr>
        <w:t>distribution-</w:t>
      </w:r>
      <w:r w:rsidR="009337DE">
        <w:rPr>
          <w:szCs w:val="24"/>
        </w:rPr>
        <w:t>only utility ha</w:t>
      </w:r>
      <w:r w:rsidR="00B35A73">
        <w:rPr>
          <w:szCs w:val="24"/>
        </w:rPr>
        <w:t>s</w:t>
      </w:r>
      <w:r w:rsidR="009337DE">
        <w:rPr>
          <w:szCs w:val="24"/>
        </w:rPr>
        <w:t xml:space="preserve"> </w:t>
      </w:r>
      <w:r w:rsidR="000F6EAF">
        <w:rPr>
          <w:szCs w:val="24"/>
        </w:rPr>
        <w:t>basically no</w:t>
      </w:r>
      <w:r w:rsidR="00994973">
        <w:rPr>
          <w:szCs w:val="24"/>
        </w:rPr>
        <w:t xml:space="preserve"> </w:t>
      </w:r>
      <w:r w:rsidR="009337DE">
        <w:rPr>
          <w:szCs w:val="24"/>
        </w:rPr>
        <w:t>need to interrupt a customer</w:t>
      </w:r>
      <w:r w:rsidR="001E1130">
        <w:rPr>
          <w:szCs w:val="24"/>
        </w:rPr>
        <w:t>,</w:t>
      </w:r>
      <w:r w:rsidR="009337DE">
        <w:rPr>
          <w:szCs w:val="24"/>
        </w:rPr>
        <w:t xml:space="preserve"> when its </w:t>
      </w:r>
      <w:r w:rsidR="00994973">
        <w:rPr>
          <w:szCs w:val="24"/>
        </w:rPr>
        <w:t xml:space="preserve">generation </w:t>
      </w:r>
      <w:r w:rsidR="009337DE">
        <w:rPr>
          <w:szCs w:val="24"/>
        </w:rPr>
        <w:t>capacity needs have already been address</w:t>
      </w:r>
      <w:r w:rsidR="00A44674">
        <w:rPr>
          <w:szCs w:val="24"/>
        </w:rPr>
        <w:t xml:space="preserve">ed </w:t>
      </w:r>
      <w:r w:rsidR="009337DE">
        <w:rPr>
          <w:szCs w:val="24"/>
        </w:rPr>
        <w:t>through contracts</w:t>
      </w:r>
      <w:r w:rsidR="00B35A73">
        <w:rPr>
          <w:szCs w:val="24"/>
        </w:rPr>
        <w:t>.</w:t>
      </w:r>
      <w:r w:rsidR="009337DE">
        <w:rPr>
          <w:szCs w:val="24"/>
        </w:rPr>
        <w:t xml:space="preserve">  Any “interruption credit” that w</w:t>
      </w:r>
      <w:r w:rsidR="001E1130">
        <w:rPr>
          <w:szCs w:val="24"/>
        </w:rPr>
        <w:t>ould be given by a distribution-</w:t>
      </w:r>
      <w:r w:rsidR="009337DE">
        <w:rPr>
          <w:szCs w:val="24"/>
        </w:rPr>
        <w:t>only utility should only be viewed as a subsidy</w:t>
      </w:r>
      <w:r w:rsidR="001E1130">
        <w:rPr>
          <w:szCs w:val="24"/>
        </w:rPr>
        <w:t>, as the distribution-</w:t>
      </w:r>
      <w:r w:rsidR="009337DE">
        <w:rPr>
          <w:szCs w:val="24"/>
        </w:rPr>
        <w:t xml:space="preserve">only utility has no requirement for the interruption.  Very simply, with the termination of Duke’s FRR status, the interruptible customers now need to go elsewhere to sell their </w:t>
      </w:r>
      <w:r w:rsidR="00FE0C11">
        <w:rPr>
          <w:szCs w:val="24"/>
        </w:rPr>
        <w:t xml:space="preserve">benefit.  </w:t>
      </w:r>
    </w:p>
    <w:p w:rsidR="00824E6C" w:rsidRDefault="00824E6C" w:rsidP="000F6661">
      <w:pPr>
        <w:spacing w:line="480" w:lineRule="auto"/>
        <w:ind w:left="720"/>
        <w:rPr>
          <w:rFonts w:eastAsia="Times New Roman"/>
          <w:szCs w:val="24"/>
        </w:rPr>
      </w:pPr>
    </w:p>
    <w:p w:rsidR="005534A2" w:rsidRPr="009A316A" w:rsidRDefault="005534A2" w:rsidP="005A3A2E">
      <w:pPr>
        <w:spacing w:line="480" w:lineRule="auto"/>
        <w:ind w:left="720" w:hanging="720"/>
        <w:rPr>
          <w:b/>
          <w:i/>
          <w:caps/>
        </w:rPr>
      </w:pPr>
      <w:r w:rsidRPr="009A316A">
        <w:rPr>
          <w:b/>
          <w:i/>
          <w:caps/>
        </w:rPr>
        <w:t>Q</w:t>
      </w:r>
      <w:r w:rsidR="005A3A2E">
        <w:rPr>
          <w:b/>
          <w:i/>
          <w:caps/>
        </w:rPr>
        <w:t>3</w:t>
      </w:r>
      <w:r w:rsidR="003B014C">
        <w:rPr>
          <w:b/>
          <w:i/>
          <w:caps/>
        </w:rPr>
        <w:t>6</w:t>
      </w:r>
      <w:r>
        <w:rPr>
          <w:b/>
          <w:i/>
          <w:caps/>
        </w:rPr>
        <w:t>.</w:t>
      </w:r>
      <w:r w:rsidRPr="009A316A">
        <w:rPr>
          <w:b/>
          <w:i/>
          <w:caps/>
        </w:rPr>
        <w:tab/>
      </w:r>
      <w:r w:rsidR="00994973">
        <w:rPr>
          <w:b/>
          <w:i/>
          <w:caps/>
        </w:rPr>
        <w:t>if duke energy</w:t>
      </w:r>
      <w:r w:rsidR="00C474C0">
        <w:rPr>
          <w:b/>
          <w:i/>
          <w:caps/>
        </w:rPr>
        <w:t xml:space="preserve"> OHIO</w:t>
      </w:r>
      <w:r w:rsidR="00994973">
        <w:rPr>
          <w:b/>
          <w:i/>
          <w:caps/>
        </w:rPr>
        <w:t xml:space="preserve"> no longer offers customers </w:t>
      </w:r>
      <w:r>
        <w:rPr>
          <w:b/>
          <w:i/>
          <w:caps/>
        </w:rPr>
        <w:t xml:space="preserve">interruptible </w:t>
      </w:r>
      <w:r w:rsidR="00994973">
        <w:rPr>
          <w:b/>
          <w:i/>
          <w:caps/>
        </w:rPr>
        <w:t xml:space="preserve">service, will that </w:t>
      </w:r>
      <w:r>
        <w:rPr>
          <w:b/>
          <w:i/>
          <w:caps/>
        </w:rPr>
        <w:t xml:space="preserve">have an adverse impact upon the reliability of the </w:t>
      </w:r>
      <w:r w:rsidR="00AC2D99">
        <w:rPr>
          <w:b/>
          <w:i/>
          <w:caps/>
        </w:rPr>
        <w:t>Utility</w:t>
      </w:r>
      <w:r>
        <w:rPr>
          <w:b/>
          <w:i/>
          <w:caps/>
        </w:rPr>
        <w:t>’s system?</w:t>
      </w:r>
    </w:p>
    <w:p w:rsidR="00B91101" w:rsidRDefault="005534A2" w:rsidP="00B91101">
      <w:pPr>
        <w:spacing w:line="480" w:lineRule="auto"/>
        <w:ind w:left="720" w:hanging="720"/>
        <w:rPr>
          <w:szCs w:val="24"/>
        </w:rPr>
      </w:pPr>
      <w:r w:rsidRPr="005A3A2E">
        <w:rPr>
          <w:b/>
          <w:i/>
          <w:szCs w:val="24"/>
        </w:rPr>
        <w:t>A</w:t>
      </w:r>
      <w:r w:rsidR="005A3A2E" w:rsidRPr="005A3A2E">
        <w:rPr>
          <w:b/>
          <w:i/>
          <w:szCs w:val="24"/>
        </w:rPr>
        <w:t>3</w:t>
      </w:r>
      <w:r w:rsidR="003B014C">
        <w:rPr>
          <w:b/>
          <w:i/>
          <w:szCs w:val="24"/>
        </w:rPr>
        <w:t>6</w:t>
      </w:r>
      <w:r w:rsidR="00E06F0E">
        <w:rPr>
          <w:szCs w:val="24"/>
        </w:rPr>
        <w:t>.</w:t>
      </w:r>
      <w:r w:rsidR="005A3A2E">
        <w:rPr>
          <w:szCs w:val="24"/>
        </w:rPr>
        <w:tab/>
      </w:r>
      <w:r>
        <w:rPr>
          <w:szCs w:val="24"/>
        </w:rPr>
        <w:t>No.  It must be remembered that Duke Energy Ohio is a wires</w:t>
      </w:r>
      <w:r w:rsidR="00274D98">
        <w:rPr>
          <w:szCs w:val="24"/>
        </w:rPr>
        <w:t>-only</w:t>
      </w:r>
      <w:r>
        <w:rPr>
          <w:szCs w:val="24"/>
        </w:rPr>
        <w:t xml:space="preserve"> utility with no generation responsibility.  The overall need for reliability is just as great now as it was</w:t>
      </w:r>
      <w:r w:rsidR="00C22A61">
        <w:rPr>
          <w:szCs w:val="24"/>
        </w:rPr>
        <w:t xml:space="preserve"> with Duke being an FRR entity.  The differen</w:t>
      </w:r>
      <w:r w:rsidR="00AD65DD">
        <w:rPr>
          <w:szCs w:val="24"/>
        </w:rPr>
        <w:t>ce is that the responsibility</w:t>
      </w:r>
      <w:r w:rsidR="00C22A61">
        <w:rPr>
          <w:szCs w:val="24"/>
        </w:rPr>
        <w:t xml:space="preserve"> no longer falls on Duke Energy Ohio, but on its suppliers.  Interruptible loads are just as important now</w:t>
      </w:r>
      <w:r w:rsidR="00AD65DD">
        <w:rPr>
          <w:szCs w:val="24"/>
        </w:rPr>
        <w:t>,</w:t>
      </w:r>
      <w:r w:rsidR="00C22A61">
        <w:rPr>
          <w:szCs w:val="24"/>
        </w:rPr>
        <w:t xml:space="preserve"> within the PJM system</w:t>
      </w:r>
      <w:r w:rsidR="00AD65DD">
        <w:rPr>
          <w:szCs w:val="24"/>
        </w:rPr>
        <w:t>,</w:t>
      </w:r>
      <w:r w:rsidR="001E1130">
        <w:rPr>
          <w:szCs w:val="24"/>
        </w:rPr>
        <w:t xml:space="preserve"> as they were before—it </w:t>
      </w:r>
      <w:r w:rsidR="00C22A61">
        <w:rPr>
          <w:szCs w:val="24"/>
        </w:rPr>
        <w:t>is just a question of who has the responsibility for meeting the reliability requirements and who is goin</w:t>
      </w:r>
      <w:r w:rsidR="008B4A95">
        <w:rPr>
          <w:szCs w:val="24"/>
        </w:rPr>
        <w:t xml:space="preserve">g to pay for this reliability.  Duke no longer has that responsibility and therefore </w:t>
      </w:r>
      <w:r w:rsidR="00A44674">
        <w:rPr>
          <w:szCs w:val="24"/>
        </w:rPr>
        <w:t xml:space="preserve">Duke’s customers </w:t>
      </w:r>
      <w:r w:rsidR="008B4A95">
        <w:rPr>
          <w:szCs w:val="24"/>
        </w:rPr>
        <w:t>should not pay for interrupti</w:t>
      </w:r>
      <w:r w:rsidR="005A3A2E">
        <w:rPr>
          <w:szCs w:val="24"/>
        </w:rPr>
        <w:t xml:space="preserve">ble load that </w:t>
      </w:r>
      <w:r w:rsidR="00B35A73">
        <w:rPr>
          <w:szCs w:val="24"/>
        </w:rPr>
        <w:t xml:space="preserve">provides </w:t>
      </w:r>
      <w:r w:rsidR="00994973">
        <w:rPr>
          <w:szCs w:val="24"/>
        </w:rPr>
        <w:t>little</w:t>
      </w:r>
      <w:r w:rsidR="00C474C0">
        <w:rPr>
          <w:szCs w:val="24"/>
        </w:rPr>
        <w:t>, if any,</w:t>
      </w:r>
      <w:r w:rsidR="00994973">
        <w:rPr>
          <w:szCs w:val="24"/>
        </w:rPr>
        <w:t xml:space="preserve"> value </w:t>
      </w:r>
      <w:r w:rsidR="00B35A73">
        <w:rPr>
          <w:szCs w:val="24"/>
        </w:rPr>
        <w:t>to the Utility</w:t>
      </w:r>
      <w:r w:rsidR="00E518EB">
        <w:rPr>
          <w:szCs w:val="24"/>
        </w:rPr>
        <w:t>.</w:t>
      </w:r>
    </w:p>
    <w:p w:rsidR="001357F9" w:rsidRDefault="001357F9" w:rsidP="00B91101">
      <w:pPr>
        <w:spacing w:line="480" w:lineRule="auto"/>
        <w:ind w:left="720" w:hanging="720"/>
        <w:rPr>
          <w:rFonts w:ascii="Times New Roman Bold" w:eastAsia="Times New Roman" w:hAnsi="Times New Roman Bold"/>
          <w:b/>
          <w:caps/>
        </w:rPr>
      </w:pPr>
    </w:p>
    <w:p w:rsidR="00F71C3F" w:rsidRPr="00F71C3F" w:rsidRDefault="00F71C3F" w:rsidP="003B014C">
      <w:pPr>
        <w:pStyle w:val="Heading1"/>
      </w:pPr>
      <w:bookmarkStart w:id="8" w:name="_Toc399508412"/>
      <w:r w:rsidRPr="00F71C3F">
        <w:t>CONCLUSION</w:t>
      </w:r>
      <w:bookmarkEnd w:id="8"/>
    </w:p>
    <w:p w:rsidR="00E518EB" w:rsidRDefault="00E518EB" w:rsidP="00E518EB">
      <w:pPr>
        <w:spacing w:line="480" w:lineRule="auto"/>
        <w:ind w:left="720" w:hanging="720"/>
        <w:rPr>
          <w:szCs w:val="24"/>
        </w:rPr>
      </w:pPr>
    </w:p>
    <w:p w:rsidR="00E518EB" w:rsidRDefault="00EA6CCB" w:rsidP="00E518EB">
      <w:pPr>
        <w:spacing w:line="480" w:lineRule="auto"/>
        <w:ind w:left="720" w:hanging="720"/>
        <w:rPr>
          <w:szCs w:val="24"/>
        </w:rPr>
      </w:pPr>
      <w:r w:rsidRPr="009A316A">
        <w:rPr>
          <w:b/>
          <w:i/>
          <w:caps/>
        </w:rPr>
        <w:t>Q</w:t>
      </w:r>
      <w:r>
        <w:rPr>
          <w:b/>
          <w:i/>
          <w:caps/>
        </w:rPr>
        <w:t>3</w:t>
      </w:r>
      <w:r w:rsidR="003B014C">
        <w:rPr>
          <w:b/>
          <w:i/>
          <w:caps/>
        </w:rPr>
        <w:t>7</w:t>
      </w:r>
      <w:r>
        <w:rPr>
          <w:b/>
          <w:i/>
          <w:caps/>
        </w:rPr>
        <w:t>.</w:t>
      </w:r>
      <w:r w:rsidRPr="009A316A">
        <w:rPr>
          <w:b/>
          <w:i/>
          <w:caps/>
        </w:rPr>
        <w:tab/>
      </w:r>
      <w:r>
        <w:rPr>
          <w:b/>
          <w:i/>
          <w:caps/>
        </w:rPr>
        <w:t>Does this conclude your direct testimony?</w:t>
      </w:r>
    </w:p>
    <w:p w:rsidR="00F71231" w:rsidRDefault="00EA6CCB" w:rsidP="00F71231">
      <w:pPr>
        <w:pStyle w:val="BodyText"/>
        <w:spacing w:after="0" w:line="480" w:lineRule="auto"/>
        <w:ind w:left="720" w:hanging="720"/>
        <w:rPr>
          <w:szCs w:val="24"/>
        </w:rPr>
      </w:pPr>
      <w:r w:rsidRPr="005A3A2E">
        <w:rPr>
          <w:b/>
          <w:i/>
          <w:szCs w:val="24"/>
        </w:rPr>
        <w:t>A3</w:t>
      </w:r>
      <w:r w:rsidR="003B014C">
        <w:rPr>
          <w:b/>
          <w:i/>
          <w:szCs w:val="24"/>
          <w:lang w:val="en-US"/>
        </w:rPr>
        <w:t>7</w:t>
      </w:r>
      <w:r w:rsidR="00E06F0E">
        <w:rPr>
          <w:szCs w:val="24"/>
        </w:rPr>
        <w:t>.</w:t>
      </w:r>
      <w:r>
        <w:rPr>
          <w:szCs w:val="24"/>
        </w:rPr>
        <w:tab/>
      </w:r>
      <w:r w:rsidR="00F71231" w:rsidRPr="007302BA">
        <w:rPr>
          <w:szCs w:val="24"/>
        </w:rPr>
        <w:t xml:space="preserve">Yes.  However, I reserve the right to supplement my testimony in the event that </w:t>
      </w:r>
      <w:r w:rsidR="00F71231">
        <w:rPr>
          <w:szCs w:val="24"/>
        </w:rPr>
        <w:t>Duke</w:t>
      </w:r>
      <w:r w:rsidR="00F71231" w:rsidRPr="007302BA">
        <w:rPr>
          <w:szCs w:val="24"/>
        </w:rPr>
        <w:t>, the PUCO Staff or other parties submit additional testimon</w:t>
      </w:r>
      <w:r w:rsidR="00F71231">
        <w:rPr>
          <w:szCs w:val="24"/>
        </w:rPr>
        <w:t>y</w:t>
      </w:r>
      <w:r w:rsidR="00F71231" w:rsidRPr="007302BA">
        <w:rPr>
          <w:szCs w:val="24"/>
        </w:rPr>
        <w:t>, or if new information or data in connection with this proceeding becomes available.</w:t>
      </w:r>
    </w:p>
    <w:p w:rsidR="00EA6CCB" w:rsidRDefault="00EA6CCB" w:rsidP="00E518EB">
      <w:pPr>
        <w:spacing w:line="480" w:lineRule="auto"/>
        <w:ind w:left="720" w:hanging="720"/>
        <w:rPr>
          <w:szCs w:val="24"/>
        </w:rPr>
        <w:sectPr w:rsidR="00EA6CCB" w:rsidSect="0007280F">
          <w:headerReference w:type="even" r:id="rId18"/>
          <w:headerReference w:type="default" r:id="rId19"/>
          <w:headerReference w:type="first" r:id="rId20"/>
          <w:pgSz w:w="12240" w:h="15840"/>
          <w:pgMar w:top="1440" w:right="1800" w:bottom="1440" w:left="1800" w:header="720" w:footer="720" w:gutter="0"/>
          <w:lnNumType w:countBy="1"/>
          <w:pgNumType w:start="1"/>
          <w:cols w:space="720"/>
          <w:docGrid w:linePitch="360"/>
        </w:sectPr>
      </w:pPr>
    </w:p>
    <w:p w:rsidR="005C2637" w:rsidRPr="005C2637" w:rsidRDefault="005C2637" w:rsidP="005C2637">
      <w:pPr>
        <w:spacing w:line="360" w:lineRule="auto"/>
        <w:jc w:val="center"/>
        <w:rPr>
          <w:rFonts w:eastAsia="Times New Roman"/>
          <w:b/>
          <w:szCs w:val="24"/>
          <w:u w:val="single"/>
        </w:rPr>
      </w:pPr>
      <w:r w:rsidRPr="005C2637">
        <w:rPr>
          <w:rFonts w:eastAsia="Times New Roman"/>
          <w:b/>
          <w:szCs w:val="24"/>
          <w:u w:val="single"/>
        </w:rPr>
        <w:t>CERTIFICATE OF SERVICE</w:t>
      </w:r>
    </w:p>
    <w:p w:rsidR="005C2637" w:rsidRPr="005C2637" w:rsidRDefault="005C2637" w:rsidP="005C2637">
      <w:pPr>
        <w:spacing w:before="240" w:line="360" w:lineRule="auto"/>
        <w:ind w:firstLine="720"/>
        <w:rPr>
          <w:rFonts w:eastAsia="Times New Roman"/>
          <w:sz w:val="20"/>
        </w:rPr>
      </w:pPr>
      <w:r w:rsidRPr="005C2637">
        <w:rPr>
          <w:rFonts w:eastAsia="Times New Roman"/>
          <w:szCs w:val="24"/>
        </w:rPr>
        <w:t xml:space="preserve">I hereby certify that a true copy of the foregoing </w:t>
      </w:r>
      <w:r w:rsidRPr="005C2637">
        <w:rPr>
          <w:rFonts w:eastAsia="Times New Roman"/>
          <w:i/>
          <w:szCs w:val="24"/>
        </w:rPr>
        <w:t xml:space="preserve">Direct Testimony of </w:t>
      </w:r>
      <w:r>
        <w:rPr>
          <w:rFonts w:eastAsia="Times New Roman"/>
          <w:i/>
          <w:szCs w:val="24"/>
        </w:rPr>
        <w:t>Anthony J. Yankel</w:t>
      </w:r>
      <w:r w:rsidRPr="005C2637">
        <w:rPr>
          <w:rFonts w:eastAsia="Times New Roman"/>
          <w:szCs w:val="24"/>
        </w:rPr>
        <w:t xml:space="preserve"> </w:t>
      </w:r>
      <w:r w:rsidRPr="005C2637">
        <w:rPr>
          <w:rFonts w:eastAsia="Times New Roman"/>
          <w:i/>
          <w:szCs w:val="24"/>
        </w:rPr>
        <w:t xml:space="preserve">on Behalf of the Office of the Ohio Consumers’ Counsel </w:t>
      </w:r>
      <w:r w:rsidRPr="005C2637">
        <w:rPr>
          <w:rFonts w:eastAsia="Times New Roman"/>
          <w:szCs w:val="24"/>
        </w:rPr>
        <w:t>was served via electronic transmission to the persons listed below on this 26th day of September 2014.</w:t>
      </w:r>
      <w:r w:rsidRPr="005C2637">
        <w:rPr>
          <w:rFonts w:eastAsia="Times New Roman"/>
          <w:sz w:val="20"/>
        </w:rPr>
        <w:t xml:space="preserve"> </w:t>
      </w:r>
    </w:p>
    <w:p w:rsidR="005C2637" w:rsidRPr="005C2637" w:rsidRDefault="005C2637" w:rsidP="005C2637">
      <w:pPr>
        <w:rPr>
          <w:rFonts w:eastAsia="Times New Roman"/>
          <w:szCs w:val="24"/>
        </w:rPr>
      </w:pPr>
      <w:r w:rsidRPr="005C2637">
        <w:rPr>
          <w:rFonts w:eastAsia="Times New Roman"/>
          <w:szCs w:val="24"/>
        </w:rPr>
        <w:tab/>
      </w:r>
      <w:r w:rsidRPr="005C2637">
        <w:rPr>
          <w:rFonts w:eastAsia="Times New Roman"/>
          <w:szCs w:val="24"/>
        </w:rPr>
        <w:tab/>
      </w:r>
      <w:r w:rsidRPr="005C2637">
        <w:rPr>
          <w:rFonts w:eastAsia="Times New Roman"/>
          <w:szCs w:val="24"/>
        </w:rPr>
        <w:tab/>
      </w:r>
      <w:r w:rsidRPr="005C2637">
        <w:rPr>
          <w:rFonts w:eastAsia="Times New Roman"/>
          <w:szCs w:val="24"/>
        </w:rPr>
        <w:tab/>
      </w:r>
      <w:r w:rsidRPr="005C2637">
        <w:rPr>
          <w:rFonts w:eastAsia="Times New Roman"/>
          <w:szCs w:val="24"/>
        </w:rPr>
        <w:tab/>
      </w:r>
      <w:r w:rsidRPr="005C2637">
        <w:rPr>
          <w:rFonts w:eastAsia="Times New Roman"/>
          <w:szCs w:val="24"/>
        </w:rPr>
        <w:tab/>
      </w:r>
    </w:p>
    <w:p w:rsidR="005C2637" w:rsidRPr="005C2637" w:rsidRDefault="005C2637" w:rsidP="005C2637">
      <w:pPr>
        <w:rPr>
          <w:rFonts w:eastAsia="Times New Roman"/>
          <w:szCs w:val="24"/>
        </w:rPr>
      </w:pPr>
    </w:p>
    <w:p w:rsidR="005C2637" w:rsidRPr="005C2637" w:rsidRDefault="005C2637" w:rsidP="005C2637">
      <w:pPr>
        <w:tabs>
          <w:tab w:val="left" w:pos="-720"/>
        </w:tabs>
        <w:suppressAutoHyphens/>
        <w:ind w:left="4320" w:hanging="4320"/>
        <w:rPr>
          <w:rFonts w:eastAsia="Times New Roman"/>
          <w:color w:val="000000"/>
          <w:szCs w:val="24"/>
        </w:rPr>
      </w:pPr>
      <w:r w:rsidRPr="005C2637">
        <w:rPr>
          <w:rFonts w:eastAsia="Times New Roman"/>
          <w:color w:val="000000"/>
          <w:szCs w:val="24"/>
        </w:rPr>
        <w:t xml:space="preserve"> </w:t>
      </w:r>
      <w:r w:rsidRPr="005C2637">
        <w:rPr>
          <w:rFonts w:eastAsia="Times New Roman"/>
          <w:color w:val="000000"/>
          <w:szCs w:val="24"/>
        </w:rPr>
        <w:tab/>
      </w:r>
      <w:r w:rsidRPr="005C2637">
        <w:rPr>
          <w:rFonts w:eastAsia="Times New Roman"/>
          <w:color w:val="000000"/>
          <w:szCs w:val="24"/>
          <w:u w:val="single"/>
        </w:rPr>
        <w:t xml:space="preserve">/s/ </w:t>
      </w:r>
      <w:r w:rsidRPr="005C2637">
        <w:rPr>
          <w:rFonts w:eastAsia="Times New Roman"/>
          <w:i/>
          <w:color w:val="000000"/>
          <w:szCs w:val="24"/>
          <w:u w:val="single"/>
        </w:rPr>
        <w:t>Maureen R. Grady</w:t>
      </w:r>
      <w:r w:rsidRPr="005C2637">
        <w:rPr>
          <w:rFonts w:eastAsia="Times New Roman"/>
          <w:i/>
          <w:color w:val="000000"/>
          <w:szCs w:val="24"/>
        </w:rPr>
        <w:t>______</w:t>
      </w:r>
    </w:p>
    <w:p w:rsidR="005C2637" w:rsidRPr="005C2637" w:rsidRDefault="005C2637" w:rsidP="005C2637">
      <w:pPr>
        <w:tabs>
          <w:tab w:val="left" w:pos="-720"/>
        </w:tabs>
        <w:suppressAutoHyphens/>
        <w:ind w:left="4320" w:hanging="4320"/>
        <w:rPr>
          <w:rFonts w:eastAsia="Times New Roman"/>
          <w:color w:val="000000"/>
          <w:szCs w:val="24"/>
        </w:rPr>
      </w:pPr>
      <w:r w:rsidRPr="005C2637">
        <w:rPr>
          <w:rFonts w:eastAsia="Times New Roman"/>
          <w:color w:val="000000"/>
          <w:szCs w:val="24"/>
        </w:rPr>
        <w:tab/>
        <w:t>Maureen R. Grady</w:t>
      </w:r>
    </w:p>
    <w:p w:rsidR="005C2637" w:rsidRPr="005C2637" w:rsidRDefault="005C2637" w:rsidP="005C2637">
      <w:pPr>
        <w:tabs>
          <w:tab w:val="left" w:pos="-720"/>
        </w:tabs>
        <w:suppressAutoHyphens/>
        <w:rPr>
          <w:rFonts w:eastAsia="Times New Roman"/>
          <w:color w:val="000000"/>
          <w:szCs w:val="24"/>
        </w:rPr>
      </w:pPr>
      <w:r w:rsidRPr="005C2637">
        <w:rPr>
          <w:rFonts w:eastAsia="Times New Roman"/>
          <w:color w:val="000000"/>
          <w:szCs w:val="24"/>
        </w:rPr>
        <w:tab/>
      </w:r>
      <w:r w:rsidRPr="005C2637">
        <w:rPr>
          <w:rFonts w:eastAsia="Times New Roman"/>
          <w:color w:val="000000"/>
          <w:szCs w:val="24"/>
        </w:rPr>
        <w:tab/>
      </w:r>
      <w:r w:rsidRPr="005C2637">
        <w:rPr>
          <w:rFonts w:eastAsia="Times New Roman"/>
          <w:color w:val="000000"/>
          <w:szCs w:val="24"/>
        </w:rPr>
        <w:tab/>
      </w:r>
      <w:r w:rsidRPr="005C2637">
        <w:rPr>
          <w:rFonts w:eastAsia="Times New Roman"/>
          <w:color w:val="000000"/>
          <w:szCs w:val="24"/>
        </w:rPr>
        <w:tab/>
      </w:r>
      <w:r w:rsidRPr="005C2637">
        <w:rPr>
          <w:rFonts w:eastAsia="Times New Roman"/>
          <w:color w:val="000000"/>
          <w:szCs w:val="24"/>
        </w:rPr>
        <w:tab/>
      </w:r>
      <w:r w:rsidRPr="005C2637">
        <w:rPr>
          <w:rFonts w:eastAsia="Times New Roman"/>
          <w:color w:val="000000"/>
          <w:szCs w:val="24"/>
        </w:rPr>
        <w:tab/>
        <w:t>Assistant Consumers’ Counsel</w:t>
      </w:r>
      <w:r w:rsidRPr="005C2637">
        <w:rPr>
          <w:rFonts w:eastAsia="Times New Roman"/>
          <w:color w:val="000000"/>
          <w:szCs w:val="24"/>
          <w:u w:val="single"/>
        </w:rPr>
        <w:t xml:space="preserve">                          </w:t>
      </w:r>
    </w:p>
    <w:p w:rsidR="005C2637" w:rsidRPr="005C2637" w:rsidRDefault="005C2637" w:rsidP="005C2637">
      <w:pPr>
        <w:tabs>
          <w:tab w:val="left" w:pos="-720"/>
        </w:tabs>
        <w:suppressAutoHyphens/>
        <w:jc w:val="center"/>
        <w:rPr>
          <w:rFonts w:eastAsia="Times New Roman"/>
          <w:b/>
          <w:color w:val="000000"/>
          <w:szCs w:val="24"/>
          <w:u w:val="single"/>
        </w:rPr>
      </w:pPr>
    </w:p>
    <w:p w:rsidR="005C2637" w:rsidRPr="005C2637" w:rsidRDefault="005C2637" w:rsidP="005C2637">
      <w:pPr>
        <w:tabs>
          <w:tab w:val="left" w:pos="-720"/>
        </w:tabs>
        <w:suppressAutoHyphens/>
        <w:spacing w:line="240" w:lineRule="atLeast"/>
        <w:jc w:val="center"/>
        <w:rPr>
          <w:rFonts w:eastAsia="Times New Roman"/>
          <w:b/>
          <w:color w:val="000000"/>
          <w:szCs w:val="24"/>
          <w:u w:val="single"/>
        </w:rPr>
      </w:pPr>
    </w:p>
    <w:p w:rsidR="005C2637" w:rsidRPr="005C2637" w:rsidRDefault="005C2637" w:rsidP="005C2637">
      <w:pPr>
        <w:jc w:val="center"/>
        <w:rPr>
          <w:rFonts w:eastAsia="Times New Roman"/>
          <w:b/>
          <w:szCs w:val="24"/>
          <w:u w:val="single"/>
        </w:rPr>
      </w:pPr>
      <w:r w:rsidRPr="005C2637">
        <w:rPr>
          <w:rFonts w:eastAsia="Times New Roman"/>
          <w:b/>
          <w:szCs w:val="24"/>
          <w:u w:val="single"/>
        </w:rPr>
        <w:t>SERVICE LIST</w:t>
      </w:r>
    </w:p>
    <w:p w:rsidR="005C2637" w:rsidRPr="005C2637" w:rsidRDefault="005C2637" w:rsidP="005C2637">
      <w:pPr>
        <w:jc w:val="both"/>
        <w:rPr>
          <w:b/>
          <w:bCs/>
          <w:szCs w:val="24"/>
        </w:rPr>
      </w:pPr>
    </w:p>
    <w:tbl>
      <w:tblPr>
        <w:tblW w:w="0" w:type="auto"/>
        <w:tblLook w:val="01E0" w:firstRow="1" w:lastRow="1" w:firstColumn="1" w:lastColumn="1" w:noHBand="0" w:noVBand="0"/>
      </w:tblPr>
      <w:tblGrid>
        <w:gridCol w:w="4428"/>
        <w:gridCol w:w="4428"/>
      </w:tblGrid>
      <w:tr w:rsidR="005C2637" w:rsidRPr="005C2637" w:rsidTr="00E30F2B">
        <w:tc>
          <w:tcPr>
            <w:tcW w:w="4428" w:type="dxa"/>
            <w:shd w:val="clear" w:color="auto" w:fill="auto"/>
          </w:tcPr>
          <w:p w:rsidR="005C2637" w:rsidRPr="005C2637" w:rsidRDefault="005C2637" w:rsidP="005C2637">
            <w:pPr>
              <w:rPr>
                <w:szCs w:val="24"/>
              </w:rPr>
            </w:pPr>
            <w:r w:rsidRPr="005C2637">
              <w:rPr>
                <w:color w:val="0000FF"/>
                <w:szCs w:val="24"/>
                <w:u w:val="single"/>
              </w:rPr>
              <w:t>Steven.beeler@puc.state.oh.us</w:t>
            </w:r>
          </w:p>
          <w:p w:rsidR="005C2637" w:rsidRPr="005C2637" w:rsidRDefault="005C2637" w:rsidP="005C2637">
            <w:pPr>
              <w:rPr>
                <w:szCs w:val="24"/>
              </w:rPr>
            </w:pPr>
            <w:r w:rsidRPr="005C2637">
              <w:rPr>
                <w:color w:val="0000FF"/>
                <w:szCs w:val="24"/>
                <w:u w:val="single"/>
              </w:rPr>
              <w:t>Thomas.lindgren@puc.state.oh.us</w:t>
            </w:r>
          </w:p>
          <w:p w:rsidR="005C2637" w:rsidRPr="005C2637" w:rsidRDefault="005C2637" w:rsidP="005C2637">
            <w:pPr>
              <w:rPr>
                <w:szCs w:val="24"/>
              </w:rPr>
            </w:pPr>
            <w:r w:rsidRPr="005C2637">
              <w:rPr>
                <w:color w:val="0000FF"/>
                <w:szCs w:val="24"/>
                <w:u w:val="single"/>
              </w:rPr>
              <w:t>Ryan.orourke@puc.state.oh.us</w:t>
            </w:r>
          </w:p>
          <w:p w:rsidR="005C2637" w:rsidRPr="005C2637" w:rsidRDefault="005C2637" w:rsidP="005C2637">
            <w:pPr>
              <w:rPr>
                <w:szCs w:val="24"/>
              </w:rPr>
            </w:pPr>
            <w:r w:rsidRPr="005C2637">
              <w:rPr>
                <w:color w:val="0000FF"/>
                <w:szCs w:val="24"/>
                <w:u w:val="single"/>
              </w:rPr>
              <w:t>dboehm@BKLlawfirm.com</w:t>
            </w:r>
          </w:p>
          <w:p w:rsidR="005C2637" w:rsidRPr="005C2637" w:rsidRDefault="005C2637" w:rsidP="005C2637">
            <w:pPr>
              <w:rPr>
                <w:szCs w:val="24"/>
              </w:rPr>
            </w:pPr>
            <w:r w:rsidRPr="005C2637">
              <w:rPr>
                <w:color w:val="0000FF"/>
                <w:szCs w:val="24"/>
                <w:u w:val="single"/>
              </w:rPr>
              <w:t>mkurtz@BKLlawfirm.com</w:t>
            </w:r>
          </w:p>
          <w:p w:rsidR="005C2637" w:rsidRPr="005C2637" w:rsidRDefault="005C2637" w:rsidP="005C2637">
            <w:pPr>
              <w:rPr>
                <w:szCs w:val="24"/>
              </w:rPr>
            </w:pPr>
            <w:r w:rsidRPr="005C2637">
              <w:rPr>
                <w:color w:val="0000FF"/>
                <w:szCs w:val="24"/>
                <w:u w:val="single"/>
              </w:rPr>
              <w:t>jkylercohn@BKLlawfirm.com</w:t>
            </w:r>
          </w:p>
          <w:p w:rsidR="005C2637" w:rsidRPr="005C2637" w:rsidRDefault="005C2637" w:rsidP="005C2637">
            <w:pPr>
              <w:rPr>
                <w:color w:val="0000FF"/>
                <w:szCs w:val="24"/>
                <w:u w:val="single"/>
              </w:rPr>
            </w:pPr>
            <w:r w:rsidRPr="005C2637">
              <w:rPr>
                <w:color w:val="0000FF"/>
                <w:szCs w:val="24"/>
                <w:u w:val="single"/>
              </w:rPr>
              <w:t>Schmidt@sppgrp.com</w:t>
            </w:r>
          </w:p>
          <w:p w:rsidR="005C2637" w:rsidRPr="005C2637" w:rsidRDefault="005C2637" w:rsidP="005C2637">
            <w:pPr>
              <w:rPr>
                <w:color w:val="0000FF"/>
                <w:szCs w:val="24"/>
                <w:u w:val="single"/>
              </w:rPr>
            </w:pPr>
            <w:r w:rsidRPr="005C2637">
              <w:rPr>
                <w:color w:val="0000FF"/>
                <w:szCs w:val="24"/>
                <w:u w:val="single"/>
              </w:rPr>
              <w:t>Judi.sobecki@aes.com</w:t>
            </w:r>
          </w:p>
          <w:p w:rsidR="005C2637" w:rsidRPr="005C2637" w:rsidRDefault="005C2637" w:rsidP="005C2637">
            <w:pPr>
              <w:rPr>
                <w:color w:val="0000FF"/>
                <w:szCs w:val="24"/>
                <w:u w:val="single"/>
              </w:rPr>
            </w:pPr>
            <w:r w:rsidRPr="005C2637">
              <w:rPr>
                <w:color w:val="0000FF"/>
                <w:szCs w:val="24"/>
                <w:u w:val="single"/>
              </w:rPr>
              <w:t>Bojko@carpenterlipps.com</w:t>
            </w:r>
          </w:p>
          <w:p w:rsidR="005C2637" w:rsidRPr="005C2637" w:rsidRDefault="005C2637" w:rsidP="005C2637">
            <w:pPr>
              <w:rPr>
                <w:color w:val="0000FF"/>
                <w:szCs w:val="24"/>
                <w:u w:val="single"/>
              </w:rPr>
            </w:pPr>
            <w:r w:rsidRPr="005C2637">
              <w:rPr>
                <w:color w:val="0000FF"/>
                <w:szCs w:val="24"/>
                <w:u w:val="single"/>
              </w:rPr>
              <w:t>Allison@carpenterlipps.com</w:t>
            </w:r>
          </w:p>
          <w:p w:rsidR="005C2637" w:rsidRPr="005C2637" w:rsidRDefault="005C2637" w:rsidP="005C2637">
            <w:pPr>
              <w:rPr>
                <w:color w:val="0000FF"/>
                <w:szCs w:val="24"/>
              </w:rPr>
            </w:pPr>
            <w:r w:rsidRPr="005C2637">
              <w:rPr>
                <w:color w:val="0000FF"/>
                <w:szCs w:val="24"/>
                <w:u w:val="single"/>
              </w:rPr>
              <w:t>cmooney@ohiopartners.org</w:t>
            </w:r>
          </w:p>
          <w:p w:rsidR="005C2637" w:rsidRPr="005C2637" w:rsidRDefault="005C2637" w:rsidP="005C2637">
            <w:pPr>
              <w:rPr>
                <w:szCs w:val="24"/>
              </w:rPr>
            </w:pPr>
            <w:r w:rsidRPr="005C2637">
              <w:rPr>
                <w:color w:val="0000FF"/>
                <w:szCs w:val="24"/>
                <w:u w:val="single"/>
              </w:rPr>
              <w:t>stnourse@aep.com</w:t>
            </w:r>
          </w:p>
          <w:p w:rsidR="005C2637" w:rsidRPr="005C2637" w:rsidRDefault="005C2637" w:rsidP="005C2637">
            <w:pPr>
              <w:rPr>
                <w:szCs w:val="24"/>
              </w:rPr>
            </w:pPr>
            <w:r w:rsidRPr="005C2637">
              <w:rPr>
                <w:color w:val="0000FF"/>
                <w:szCs w:val="24"/>
                <w:u w:val="single"/>
              </w:rPr>
              <w:t>mjsatterwhite@aep.com</w:t>
            </w:r>
          </w:p>
          <w:p w:rsidR="005C2637" w:rsidRPr="005C2637" w:rsidRDefault="005C2637" w:rsidP="005C2637">
            <w:pPr>
              <w:rPr>
                <w:szCs w:val="24"/>
              </w:rPr>
            </w:pPr>
            <w:r w:rsidRPr="005C2637">
              <w:rPr>
                <w:color w:val="0000FF"/>
                <w:szCs w:val="24"/>
                <w:u w:val="single"/>
              </w:rPr>
              <w:t>yalami@aep.com</w:t>
            </w:r>
          </w:p>
          <w:p w:rsidR="005C2637" w:rsidRPr="005C2637" w:rsidRDefault="005C2637" w:rsidP="005C2637">
            <w:pPr>
              <w:rPr>
                <w:szCs w:val="24"/>
              </w:rPr>
            </w:pPr>
            <w:r w:rsidRPr="005C2637">
              <w:rPr>
                <w:color w:val="0000FF"/>
                <w:szCs w:val="24"/>
                <w:u w:val="single"/>
              </w:rPr>
              <w:t>asonderman@keglerbrown.com</w:t>
            </w:r>
          </w:p>
          <w:p w:rsidR="005C2637" w:rsidRPr="005C2637" w:rsidRDefault="005C2637" w:rsidP="005C2637">
            <w:pPr>
              <w:rPr>
                <w:szCs w:val="24"/>
              </w:rPr>
            </w:pPr>
            <w:r w:rsidRPr="005C2637">
              <w:rPr>
                <w:color w:val="0000FF"/>
                <w:szCs w:val="24"/>
                <w:u w:val="single"/>
              </w:rPr>
              <w:t>mkimbrough@keglerbrown.com</w:t>
            </w:r>
          </w:p>
          <w:p w:rsidR="005C2637" w:rsidRPr="005C2637" w:rsidRDefault="005C2637" w:rsidP="005C2637">
            <w:pPr>
              <w:rPr>
                <w:szCs w:val="24"/>
              </w:rPr>
            </w:pPr>
            <w:r w:rsidRPr="005C2637">
              <w:rPr>
                <w:color w:val="0000FF"/>
                <w:szCs w:val="24"/>
                <w:u w:val="single"/>
              </w:rPr>
              <w:t>hussey@carpenterlipps.com</w:t>
            </w:r>
          </w:p>
          <w:p w:rsidR="005C2637" w:rsidRPr="005C2637" w:rsidRDefault="005C2637" w:rsidP="005C2637">
            <w:pPr>
              <w:rPr>
                <w:szCs w:val="24"/>
              </w:rPr>
            </w:pPr>
            <w:r w:rsidRPr="005C2637">
              <w:rPr>
                <w:color w:val="0000FF"/>
                <w:szCs w:val="24"/>
                <w:u w:val="single"/>
              </w:rPr>
              <w:t>mhpetricoff@vorys.com</w:t>
            </w:r>
          </w:p>
          <w:p w:rsidR="005C2637" w:rsidRPr="005C2637" w:rsidRDefault="005C2637" w:rsidP="005C2637">
            <w:pPr>
              <w:rPr>
                <w:szCs w:val="24"/>
              </w:rPr>
            </w:pPr>
            <w:r w:rsidRPr="005C2637">
              <w:rPr>
                <w:color w:val="0000FF"/>
                <w:szCs w:val="24"/>
                <w:u w:val="single"/>
              </w:rPr>
              <w:t>mjsettineri@vorys.com</w:t>
            </w:r>
          </w:p>
          <w:p w:rsidR="005C2637" w:rsidRPr="005C2637" w:rsidRDefault="005C2637" w:rsidP="005C2637">
            <w:pPr>
              <w:rPr>
                <w:szCs w:val="24"/>
              </w:rPr>
            </w:pPr>
            <w:r w:rsidRPr="005C2637">
              <w:rPr>
                <w:color w:val="0000FF"/>
                <w:szCs w:val="24"/>
                <w:u w:val="single"/>
              </w:rPr>
              <w:t>glpetrucci@vorys.com</w:t>
            </w:r>
          </w:p>
          <w:p w:rsidR="005C2637" w:rsidRPr="005C2637" w:rsidRDefault="005C2637" w:rsidP="005C2637">
            <w:pPr>
              <w:rPr>
                <w:szCs w:val="24"/>
              </w:rPr>
            </w:pPr>
            <w:r w:rsidRPr="005C2637">
              <w:rPr>
                <w:color w:val="0000FF"/>
                <w:szCs w:val="24"/>
                <w:u w:val="single"/>
              </w:rPr>
              <w:t>dmason@ralaw.com</w:t>
            </w:r>
          </w:p>
          <w:p w:rsidR="005C2637" w:rsidRPr="005C2637" w:rsidRDefault="005C2637" w:rsidP="005C2637">
            <w:pPr>
              <w:rPr>
                <w:szCs w:val="24"/>
              </w:rPr>
            </w:pPr>
            <w:r w:rsidRPr="005C2637">
              <w:rPr>
                <w:color w:val="0000FF"/>
                <w:szCs w:val="24"/>
                <w:u w:val="single"/>
              </w:rPr>
              <w:t>mtraven@ralaw.com</w:t>
            </w:r>
          </w:p>
          <w:p w:rsidR="005C2637" w:rsidRPr="005C2637" w:rsidRDefault="002910A8" w:rsidP="005C2637">
            <w:pPr>
              <w:rPr>
                <w:rFonts w:eastAsia="Times New Roman"/>
                <w:szCs w:val="24"/>
              </w:rPr>
            </w:pPr>
            <w:hyperlink r:id="rId21" w:history="1">
              <w:r w:rsidR="005C2637" w:rsidRPr="005C2637">
                <w:rPr>
                  <w:rFonts w:eastAsia="Times New Roman"/>
                  <w:color w:val="0000FF"/>
                  <w:szCs w:val="24"/>
                  <w:u w:val="single"/>
                </w:rPr>
                <w:t>rchamberlain@okenergylaw.com</w:t>
              </w:r>
            </w:hyperlink>
          </w:p>
          <w:p w:rsidR="005C2637" w:rsidRPr="005C2637" w:rsidRDefault="005C2637" w:rsidP="005C2637">
            <w:pPr>
              <w:rPr>
                <w:rFonts w:eastAsia="Times New Roman"/>
                <w:szCs w:val="24"/>
              </w:rPr>
            </w:pPr>
          </w:p>
          <w:p w:rsidR="005C2637" w:rsidRPr="005C2637" w:rsidRDefault="002910A8" w:rsidP="005C2637">
            <w:pPr>
              <w:rPr>
                <w:szCs w:val="24"/>
              </w:rPr>
            </w:pPr>
            <w:hyperlink r:id="rId22" w:history="1">
              <w:r w:rsidR="005C2637" w:rsidRPr="005C2637">
                <w:rPr>
                  <w:color w:val="0000FF"/>
                  <w:szCs w:val="24"/>
                  <w:u w:val="single"/>
                </w:rPr>
                <w:t>christime.pirik@puc.state.oh.us</w:t>
              </w:r>
            </w:hyperlink>
          </w:p>
          <w:p w:rsidR="005C2637" w:rsidRPr="005C2637" w:rsidRDefault="002910A8" w:rsidP="005C2637">
            <w:pPr>
              <w:rPr>
                <w:szCs w:val="24"/>
              </w:rPr>
            </w:pPr>
            <w:hyperlink r:id="rId23" w:history="1">
              <w:r w:rsidR="005C2637" w:rsidRPr="005C2637">
                <w:rPr>
                  <w:color w:val="0000FF"/>
                  <w:szCs w:val="24"/>
                  <w:u w:val="single"/>
                </w:rPr>
                <w:t>Nicholas.wastra@puc.state.oh.us</w:t>
              </w:r>
            </w:hyperlink>
          </w:p>
          <w:p w:rsidR="005C2637" w:rsidRPr="005C2637" w:rsidRDefault="005C2637" w:rsidP="005C2637">
            <w:pPr>
              <w:rPr>
                <w:szCs w:val="24"/>
              </w:rPr>
            </w:pPr>
          </w:p>
          <w:p w:rsidR="005C2637" w:rsidRPr="005C2637" w:rsidRDefault="005C2637" w:rsidP="005C2637">
            <w:pPr>
              <w:pBdr>
                <w:top w:val="nil"/>
                <w:left w:val="nil"/>
                <w:bottom w:val="nil"/>
                <w:right w:val="nil"/>
                <w:between w:val="nil"/>
                <w:bar w:val="nil"/>
              </w:pBdr>
              <w:rPr>
                <w:bCs/>
                <w:szCs w:val="24"/>
              </w:rPr>
            </w:pPr>
          </w:p>
        </w:tc>
        <w:tc>
          <w:tcPr>
            <w:tcW w:w="4428" w:type="dxa"/>
            <w:shd w:val="clear" w:color="auto" w:fill="auto"/>
          </w:tcPr>
          <w:p w:rsidR="005C2637" w:rsidRPr="005C2637" w:rsidRDefault="005C2637" w:rsidP="005C2637">
            <w:pPr>
              <w:jc w:val="both"/>
              <w:rPr>
                <w:szCs w:val="24"/>
              </w:rPr>
            </w:pPr>
            <w:r w:rsidRPr="005C2637">
              <w:rPr>
                <w:color w:val="0000FF"/>
                <w:szCs w:val="24"/>
                <w:u w:val="single"/>
              </w:rPr>
              <w:t>Amy.Spiller@duke-energy.com</w:t>
            </w:r>
          </w:p>
          <w:p w:rsidR="005C2637" w:rsidRPr="005C2637" w:rsidRDefault="005C2637" w:rsidP="005C2637">
            <w:pPr>
              <w:jc w:val="both"/>
              <w:rPr>
                <w:szCs w:val="24"/>
              </w:rPr>
            </w:pPr>
            <w:r w:rsidRPr="005C2637">
              <w:rPr>
                <w:color w:val="0000FF"/>
                <w:szCs w:val="24"/>
                <w:u w:val="single"/>
              </w:rPr>
              <w:t>Elizabeth.watts@duke-energy.com</w:t>
            </w:r>
          </w:p>
          <w:p w:rsidR="005C2637" w:rsidRPr="005C2637" w:rsidRDefault="005C2637" w:rsidP="005C2637">
            <w:pPr>
              <w:jc w:val="both"/>
              <w:rPr>
                <w:color w:val="0000FF"/>
                <w:szCs w:val="24"/>
                <w:u w:val="single"/>
              </w:rPr>
            </w:pPr>
            <w:r w:rsidRPr="005C2637">
              <w:rPr>
                <w:color w:val="0000FF"/>
                <w:szCs w:val="24"/>
                <w:u w:val="single"/>
              </w:rPr>
              <w:t>Rocco.dascenzo@duke-energy.com</w:t>
            </w:r>
          </w:p>
          <w:p w:rsidR="005C2637" w:rsidRPr="005C2637" w:rsidRDefault="005C2637" w:rsidP="005C2637">
            <w:pPr>
              <w:jc w:val="both"/>
              <w:rPr>
                <w:szCs w:val="24"/>
              </w:rPr>
            </w:pPr>
            <w:r w:rsidRPr="005C2637">
              <w:rPr>
                <w:color w:val="0000FF"/>
                <w:szCs w:val="24"/>
                <w:u w:val="single"/>
              </w:rPr>
              <w:t>Jeanne.Kingery@duke-energy.com</w:t>
            </w:r>
          </w:p>
          <w:p w:rsidR="005C2637" w:rsidRPr="005C2637" w:rsidRDefault="005C2637" w:rsidP="005C2637">
            <w:pPr>
              <w:rPr>
                <w:bCs/>
                <w:szCs w:val="24"/>
              </w:rPr>
            </w:pPr>
            <w:r w:rsidRPr="005C2637">
              <w:rPr>
                <w:bCs/>
                <w:color w:val="0000FF"/>
                <w:szCs w:val="24"/>
                <w:u w:val="single"/>
              </w:rPr>
              <w:t>haydenm@firstenergycorp.com</w:t>
            </w:r>
          </w:p>
          <w:p w:rsidR="005C2637" w:rsidRPr="005C2637" w:rsidRDefault="005C2637" w:rsidP="005C2637">
            <w:pPr>
              <w:rPr>
                <w:bCs/>
                <w:szCs w:val="24"/>
              </w:rPr>
            </w:pPr>
            <w:r w:rsidRPr="005C2637">
              <w:rPr>
                <w:bCs/>
                <w:color w:val="0000FF"/>
                <w:szCs w:val="24"/>
                <w:u w:val="single"/>
              </w:rPr>
              <w:t>jmcdermott@firstenergycorp.com</w:t>
            </w:r>
          </w:p>
          <w:p w:rsidR="005C2637" w:rsidRPr="005C2637" w:rsidRDefault="005C2637" w:rsidP="005C2637">
            <w:pPr>
              <w:rPr>
                <w:bCs/>
                <w:szCs w:val="24"/>
              </w:rPr>
            </w:pPr>
            <w:r w:rsidRPr="005C2637">
              <w:rPr>
                <w:bCs/>
                <w:color w:val="0000FF"/>
                <w:szCs w:val="24"/>
                <w:u w:val="single"/>
              </w:rPr>
              <w:t>scasto@firstenergycorp.com</w:t>
            </w:r>
          </w:p>
          <w:p w:rsidR="005C2637" w:rsidRPr="005C2637" w:rsidRDefault="005C2637" w:rsidP="005C2637">
            <w:pPr>
              <w:rPr>
                <w:szCs w:val="24"/>
              </w:rPr>
            </w:pPr>
            <w:r w:rsidRPr="005C2637">
              <w:rPr>
                <w:color w:val="0000FF"/>
                <w:szCs w:val="24"/>
                <w:u w:val="single"/>
              </w:rPr>
              <w:t>joliker@igsenergy.com</w:t>
            </w:r>
          </w:p>
          <w:p w:rsidR="005C2637" w:rsidRPr="005C2637" w:rsidRDefault="005C2637" w:rsidP="005C2637">
            <w:pPr>
              <w:rPr>
                <w:szCs w:val="24"/>
              </w:rPr>
            </w:pPr>
            <w:r w:rsidRPr="005C2637">
              <w:rPr>
                <w:color w:val="0000FF"/>
                <w:szCs w:val="24"/>
                <w:u w:val="single"/>
              </w:rPr>
              <w:t>mswhite@igsenergy.com</w:t>
            </w:r>
          </w:p>
          <w:p w:rsidR="005C2637" w:rsidRPr="005C2637" w:rsidRDefault="005C2637" w:rsidP="005C2637">
            <w:pPr>
              <w:rPr>
                <w:color w:val="0000FF"/>
                <w:szCs w:val="24"/>
              </w:rPr>
            </w:pPr>
            <w:r w:rsidRPr="005C2637">
              <w:rPr>
                <w:color w:val="0000FF"/>
                <w:szCs w:val="24"/>
                <w:u w:val="single"/>
              </w:rPr>
              <w:t>joseph.clark@directenergy.com</w:t>
            </w:r>
          </w:p>
          <w:p w:rsidR="005C2637" w:rsidRPr="005C2637" w:rsidRDefault="005C2637" w:rsidP="005C2637">
            <w:pPr>
              <w:rPr>
                <w:szCs w:val="24"/>
              </w:rPr>
            </w:pPr>
            <w:r w:rsidRPr="005C2637">
              <w:rPr>
                <w:color w:val="0000FF"/>
                <w:szCs w:val="24"/>
                <w:u w:val="single"/>
              </w:rPr>
              <w:t>sam@mwncmh.com</w:t>
            </w:r>
          </w:p>
          <w:p w:rsidR="005C2637" w:rsidRPr="005C2637" w:rsidRDefault="005C2637" w:rsidP="005C2637">
            <w:pPr>
              <w:rPr>
                <w:szCs w:val="24"/>
              </w:rPr>
            </w:pPr>
            <w:r w:rsidRPr="005C2637">
              <w:rPr>
                <w:color w:val="0000FF"/>
                <w:szCs w:val="24"/>
                <w:u w:val="single"/>
              </w:rPr>
              <w:t>fdarr@mwncmh.com</w:t>
            </w:r>
          </w:p>
          <w:p w:rsidR="005C2637" w:rsidRPr="005C2637" w:rsidRDefault="005C2637" w:rsidP="005C2637">
            <w:pPr>
              <w:jc w:val="both"/>
              <w:rPr>
                <w:szCs w:val="24"/>
              </w:rPr>
            </w:pPr>
            <w:r w:rsidRPr="005C2637">
              <w:rPr>
                <w:color w:val="0000FF"/>
                <w:szCs w:val="24"/>
                <w:u w:val="single"/>
              </w:rPr>
              <w:t>mpritchard@mwncmh.com</w:t>
            </w:r>
          </w:p>
          <w:p w:rsidR="005C2637" w:rsidRPr="005C2637" w:rsidRDefault="005C2637" w:rsidP="005C2637">
            <w:pPr>
              <w:jc w:val="both"/>
              <w:rPr>
                <w:color w:val="0000FF"/>
                <w:szCs w:val="24"/>
                <w:u w:val="single"/>
              </w:rPr>
            </w:pPr>
            <w:r w:rsidRPr="005C2637">
              <w:rPr>
                <w:color w:val="0000FF"/>
                <w:szCs w:val="24"/>
                <w:u w:val="single"/>
              </w:rPr>
              <w:t>callwein@wamenergylaw.com</w:t>
            </w:r>
          </w:p>
          <w:p w:rsidR="005C2637" w:rsidRPr="005C2637" w:rsidRDefault="005C2637" w:rsidP="005C2637">
            <w:pPr>
              <w:jc w:val="both"/>
              <w:rPr>
                <w:color w:val="0000FF"/>
                <w:szCs w:val="24"/>
              </w:rPr>
            </w:pPr>
            <w:r w:rsidRPr="005C2637">
              <w:rPr>
                <w:color w:val="0000FF"/>
                <w:szCs w:val="24"/>
                <w:u w:val="single"/>
              </w:rPr>
              <w:t>tdougherty@theOEC.org</w:t>
            </w:r>
          </w:p>
          <w:p w:rsidR="005C2637" w:rsidRPr="005C2637" w:rsidRDefault="005C2637" w:rsidP="005C2637">
            <w:pPr>
              <w:jc w:val="both"/>
              <w:rPr>
                <w:color w:val="0000FF"/>
                <w:szCs w:val="24"/>
              </w:rPr>
            </w:pPr>
            <w:r w:rsidRPr="005C2637">
              <w:rPr>
                <w:color w:val="0000FF"/>
                <w:szCs w:val="24"/>
                <w:u w:val="single"/>
              </w:rPr>
              <w:t>dhart@douglasehart.com</w:t>
            </w:r>
          </w:p>
          <w:p w:rsidR="005C2637" w:rsidRPr="005C2637" w:rsidRDefault="005C2637" w:rsidP="005C2637">
            <w:pPr>
              <w:jc w:val="both"/>
              <w:rPr>
                <w:color w:val="0000FF"/>
                <w:szCs w:val="24"/>
              </w:rPr>
            </w:pPr>
            <w:r w:rsidRPr="005C2637">
              <w:rPr>
                <w:color w:val="0000FF"/>
                <w:szCs w:val="24"/>
                <w:u w:val="single"/>
              </w:rPr>
              <w:t>cloucas@ohiopartners.org</w:t>
            </w:r>
          </w:p>
          <w:p w:rsidR="005C2637" w:rsidRPr="005C2637" w:rsidRDefault="005C2637" w:rsidP="005C2637">
            <w:pPr>
              <w:jc w:val="both"/>
              <w:rPr>
                <w:color w:val="0000FF"/>
                <w:szCs w:val="24"/>
              </w:rPr>
            </w:pPr>
            <w:r w:rsidRPr="005C2637">
              <w:rPr>
                <w:color w:val="0000FF"/>
                <w:szCs w:val="24"/>
                <w:u w:val="single"/>
              </w:rPr>
              <w:t>gpoulos@enernoc.com</w:t>
            </w:r>
          </w:p>
          <w:p w:rsidR="005C2637" w:rsidRPr="005C2637" w:rsidRDefault="005C2637" w:rsidP="005C2637">
            <w:pPr>
              <w:jc w:val="both"/>
              <w:rPr>
                <w:color w:val="0000FF"/>
                <w:szCs w:val="24"/>
              </w:rPr>
            </w:pPr>
            <w:r w:rsidRPr="005C2637">
              <w:rPr>
                <w:color w:val="0000FF"/>
                <w:szCs w:val="24"/>
                <w:u w:val="single"/>
              </w:rPr>
              <w:t>swilliams@nrdc.org</w:t>
            </w:r>
          </w:p>
          <w:p w:rsidR="005C2637" w:rsidRPr="005C2637" w:rsidRDefault="005C2637" w:rsidP="005C2637">
            <w:pPr>
              <w:jc w:val="both"/>
              <w:rPr>
                <w:szCs w:val="24"/>
              </w:rPr>
            </w:pPr>
            <w:r w:rsidRPr="005C2637">
              <w:rPr>
                <w:color w:val="0000FF"/>
                <w:szCs w:val="24"/>
                <w:u w:val="single"/>
              </w:rPr>
              <w:t>tobrien@bricker.com</w:t>
            </w:r>
          </w:p>
          <w:p w:rsidR="005C2637" w:rsidRPr="005C2637" w:rsidRDefault="005C2637" w:rsidP="005C2637">
            <w:pPr>
              <w:jc w:val="both"/>
              <w:rPr>
                <w:szCs w:val="24"/>
              </w:rPr>
            </w:pPr>
            <w:r w:rsidRPr="005C2637">
              <w:rPr>
                <w:color w:val="0000FF"/>
                <w:szCs w:val="24"/>
                <w:u w:val="single"/>
              </w:rPr>
              <w:t>ghull@eckertseamans.com</w:t>
            </w:r>
          </w:p>
          <w:p w:rsidR="005C2637" w:rsidRPr="005C2637" w:rsidRDefault="002910A8" w:rsidP="005C2637">
            <w:pPr>
              <w:rPr>
                <w:rFonts w:eastAsia="Times New Roman"/>
                <w:szCs w:val="24"/>
              </w:rPr>
            </w:pPr>
            <w:hyperlink r:id="rId24" w:history="1">
              <w:r w:rsidR="005C2637" w:rsidRPr="005C2637">
                <w:rPr>
                  <w:rFonts w:eastAsia="Times New Roman"/>
                  <w:color w:val="0000FF"/>
                  <w:szCs w:val="24"/>
                  <w:u w:val="single"/>
                </w:rPr>
                <w:t>jvickers@elpc.org</w:t>
              </w:r>
            </w:hyperlink>
          </w:p>
          <w:p w:rsidR="005C2637" w:rsidRPr="005C2637" w:rsidRDefault="005C2637" w:rsidP="005C2637">
            <w:pPr>
              <w:rPr>
                <w:rFonts w:eastAsia="Times New Roman"/>
                <w:szCs w:val="24"/>
              </w:rPr>
            </w:pPr>
          </w:p>
          <w:p w:rsidR="005C2637" w:rsidRPr="005C2637" w:rsidRDefault="005C2637" w:rsidP="005C2637">
            <w:pPr>
              <w:rPr>
                <w:szCs w:val="24"/>
              </w:rPr>
            </w:pPr>
          </w:p>
          <w:p w:rsidR="005C2637" w:rsidRPr="005C2637" w:rsidRDefault="005C2637" w:rsidP="005C2637">
            <w:pPr>
              <w:jc w:val="both"/>
              <w:rPr>
                <w:bCs/>
                <w:szCs w:val="24"/>
              </w:rPr>
            </w:pPr>
          </w:p>
        </w:tc>
      </w:tr>
    </w:tbl>
    <w:p w:rsidR="00274713" w:rsidRPr="005A3A2E" w:rsidRDefault="00274713" w:rsidP="00E518EB">
      <w:pPr>
        <w:spacing w:line="480" w:lineRule="auto"/>
        <w:rPr>
          <w:rFonts w:eastAsia="Times New Roman"/>
          <w:szCs w:val="24"/>
        </w:rPr>
      </w:pPr>
    </w:p>
    <w:sectPr w:rsidR="00274713" w:rsidRPr="005A3A2E" w:rsidSect="005C2637">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86" w:rsidRDefault="00D66586" w:rsidP="00096050">
      <w:r>
        <w:separator/>
      </w:r>
    </w:p>
  </w:endnote>
  <w:endnote w:type="continuationSeparator" w:id="0">
    <w:p w:rsidR="00D66586" w:rsidRDefault="00D66586" w:rsidP="000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4C" w:rsidRDefault="003B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014C" w:rsidRDefault="003B0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3B" w:rsidRDefault="00D97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0A8">
      <w:rPr>
        <w:rStyle w:val="PageNumber"/>
        <w:noProof/>
      </w:rPr>
      <w:t>i</w:t>
    </w:r>
    <w:r>
      <w:rPr>
        <w:rStyle w:val="PageNumber"/>
      </w:rPr>
      <w:fldChar w:fldCharType="end"/>
    </w:r>
  </w:p>
  <w:p w:rsidR="003B014C" w:rsidRDefault="003B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86" w:rsidRDefault="00D66586" w:rsidP="00096050">
      <w:r>
        <w:separator/>
      </w:r>
    </w:p>
  </w:footnote>
  <w:footnote w:type="continuationSeparator" w:id="0">
    <w:p w:rsidR="00D66586" w:rsidRDefault="00D66586" w:rsidP="00096050">
      <w:r>
        <w:continuationSeparator/>
      </w:r>
    </w:p>
  </w:footnote>
  <w:footnote w:id="1">
    <w:p w:rsidR="003B014C" w:rsidRPr="00A92306" w:rsidRDefault="003B014C" w:rsidP="005F0149">
      <w:pPr>
        <w:pStyle w:val="FootnoteText"/>
        <w:spacing w:after="120"/>
      </w:pPr>
      <w:r>
        <w:rPr>
          <w:rStyle w:val="FootnoteReference"/>
        </w:rPr>
        <w:footnoteRef/>
      </w:r>
      <w:r>
        <w:t xml:space="preserve"> See direct testimony of Company witness Ziolkowski at page 9.</w:t>
      </w:r>
    </w:p>
  </w:footnote>
  <w:footnote w:id="2">
    <w:p w:rsidR="003B014C" w:rsidRPr="00B14359" w:rsidRDefault="003B014C" w:rsidP="00F171C7">
      <w:pPr>
        <w:pStyle w:val="FootnoteText"/>
      </w:pPr>
      <w:r>
        <w:rPr>
          <w:rStyle w:val="FootnoteReference"/>
        </w:rPr>
        <w:footnoteRef/>
      </w:r>
      <w:r>
        <w:t xml:space="preserve"> See testimony of Company witness Ziolkowski at page 9.</w:t>
      </w:r>
    </w:p>
  </w:footnote>
  <w:footnote w:id="3">
    <w:p w:rsidR="003B014C" w:rsidRPr="00DB0E98" w:rsidRDefault="003B014C">
      <w:pPr>
        <w:pStyle w:val="FootnoteText"/>
      </w:pPr>
      <w:r>
        <w:rPr>
          <w:rStyle w:val="FootnoteReference"/>
        </w:rPr>
        <w:footnoteRef/>
      </w:r>
      <w:r>
        <w:t xml:space="preserve"> </w:t>
      </w:r>
      <w:r>
        <w:rPr>
          <w:lang w:val="en-US"/>
        </w:rPr>
        <w:t>This includes rates RS (Residential Service), TD (Optional Time-of-Day), and ORH (Optional Residential Service with Electric Space Heating).</w:t>
      </w:r>
    </w:p>
  </w:footnote>
  <w:footnote w:id="4">
    <w:p w:rsidR="003B014C" w:rsidRPr="00412C2F" w:rsidRDefault="003B014C" w:rsidP="005F0149">
      <w:pPr>
        <w:pStyle w:val="FootnoteText"/>
        <w:spacing w:after="120"/>
      </w:pPr>
      <w:r>
        <w:rPr>
          <w:rStyle w:val="FootnoteReference"/>
        </w:rPr>
        <w:footnoteRef/>
      </w:r>
      <w:r>
        <w:t xml:space="preserve"> See attachment JRB-1, page 1 of 10, of Company witness Jeffrey Bailey in Case No.-11-3549-EL-SSO.</w:t>
      </w:r>
    </w:p>
  </w:footnote>
  <w:footnote w:id="5">
    <w:p w:rsidR="003B014C" w:rsidRPr="00B400F0" w:rsidRDefault="003B014C" w:rsidP="005F0149">
      <w:pPr>
        <w:pStyle w:val="FootnoteText"/>
        <w:spacing w:after="120"/>
      </w:pPr>
      <w:r>
        <w:rPr>
          <w:rStyle w:val="FootnoteReference"/>
        </w:rPr>
        <w:footnoteRef/>
      </w:r>
      <w:r>
        <w:t xml:space="preserve"> See workpapers to Attachment B and Attachment and B-1, page 1, of the Stipulation.</w:t>
      </w:r>
    </w:p>
  </w:footnote>
  <w:footnote w:id="6">
    <w:p w:rsidR="003B014C" w:rsidRPr="005F0149" w:rsidRDefault="003B014C" w:rsidP="005F0149">
      <w:pPr>
        <w:pStyle w:val="FootnoteText"/>
        <w:spacing w:after="120"/>
      </w:pPr>
      <w:r>
        <w:rPr>
          <w:rStyle w:val="FootnoteReference"/>
        </w:rPr>
        <w:footnoteRef/>
      </w:r>
      <w:r>
        <w:t xml:space="preserve"> (1 – (39.12% / 46.76%)) = 0.1634</w:t>
      </w:r>
      <w:r>
        <w:rPr>
          <w:lang w:val="en-US"/>
        </w:rPr>
        <w:t>.</w:t>
      </w:r>
    </w:p>
  </w:footnote>
  <w:footnote w:id="7">
    <w:p w:rsidR="003B014C" w:rsidRPr="00BE397A" w:rsidRDefault="003B014C" w:rsidP="005F0149">
      <w:pPr>
        <w:pStyle w:val="FootnoteText"/>
        <w:spacing w:after="120"/>
      </w:pPr>
      <w:r>
        <w:rPr>
          <w:rStyle w:val="FootnoteReference"/>
        </w:rPr>
        <w:footnoteRef/>
      </w:r>
      <w:r>
        <w:t xml:space="preserve"> See direct testimony of Company witness Trent at page 18.</w:t>
      </w:r>
    </w:p>
  </w:footnote>
  <w:footnote w:id="8">
    <w:p w:rsidR="003B014C" w:rsidRPr="00C930F4" w:rsidRDefault="003B014C" w:rsidP="005F0149">
      <w:pPr>
        <w:pStyle w:val="FootnoteText"/>
        <w:spacing w:after="120"/>
      </w:pPr>
      <w:r>
        <w:rPr>
          <w:rStyle w:val="FootnoteReference"/>
        </w:rPr>
        <w:footnoteRef/>
      </w:r>
      <w:r>
        <w:t xml:space="preserve"> See testimony of Company witness Ziolkowski at page 9.</w:t>
      </w:r>
    </w:p>
  </w:footnote>
  <w:footnote w:id="9">
    <w:p w:rsidR="003B014C" w:rsidRPr="009E2A22" w:rsidRDefault="003B014C" w:rsidP="005F0149">
      <w:pPr>
        <w:pStyle w:val="FootnoteText"/>
        <w:spacing w:after="120"/>
      </w:pPr>
      <w:r>
        <w:rPr>
          <w:rStyle w:val="FootnoteReference"/>
        </w:rPr>
        <w:footnoteRef/>
      </w:r>
      <w:r>
        <w:t xml:space="preserve"> See direct testimony of Company witness Ziolkowski at page 9.</w:t>
      </w:r>
    </w:p>
  </w:footnote>
  <w:footnote w:id="10">
    <w:p w:rsidR="003B014C" w:rsidRPr="0092123C" w:rsidRDefault="003B014C" w:rsidP="005F0149">
      <w:pPr>
        <w:pStyle w:val="FootnoteText"/>
        <w:spacing w:after="120"/>
      </w:pPr>
      <w:r>
        <w:rPr>
          <w:rStyle w:val="FootnoteReference"/>
        </w:rPr>
        <w:footnoteRef/>
      </w:r>
      <w:r>
        <w:t xml:space="preserve"> See Company response to OCC-POD-06-052.</w:t>
      </w:r>
    </w:p>
  </w:footnote>
  <w:footnote w:id="11">
    <w:p w:rsidR="003B014C" w:rsidRPr="00D97CEC" w:rsidRDefault="003B014C" w:rsidP="005F0149">
      <w:pPr>
        <w:pStyle w:val="FootnoteText"/>
        <w:spacing w:after="120"/>
      </w:pPr>
      <w:r>
        <w:rPr>
          <w:rStyle w:val="FootnoteReference"/>
        </w:rPr>
        <w:footnoteRef/>
      </w:r>
      <w:r>
        <w:t xml:space="preserve"> Notably, OCC attempted to obtain the </w:t>
      </w:r>
      <w:r w:rsidRPr="0071504A">
        <w:t xml:space="preserve">detailed data that came from the specific samples.  </w:t>
      </w:r>
      <w:r>
        <w:t>I</w:t>
      </w:r>
      <w:r w:rsidRPr="0071504A">
        <w:t xml:space="preserve">n OCC-POD-06-049, the OCC sought the specific hourly raw load research data (as well as rate schedule, stratum to which the sample customers belonged and stratum weight) associated with each customer sampled.  </w:t>
      </w:r>
      <w:r>
        <w:t>T</w:t>
      </w:r>
      <w:r w:rsidRPr="0071504A">
        <w:t xml:space="preserve">his is the exact underlying data that the Utility gathered and used to develop its estimate of the contribution of each rate group to the 5-CP that were used for allocation purposes.  </w:t>
      </w:r>
      <w:r>
        <w:t>However, the Utility did not provide the requested data, claiming that this was an undue burden and would put the Utility to undue expense.  The Utility also took issue with the relevance of the discovery request.</w:t>
      </w:r>
    </w:p>
  </w:footnote>
  <w:footnote w:id="12">
    <w:p w:rsidR="003B014C" w:rsidRDefault="003B014C" w:rsidP="005F0149">
      <w:pPr>
        <w:pStyle w:val="FootnoteText"/>
        <w:spacing w:after="120"/>
      </w:pPr>
      <w:r>
        <w:rPr>
          <w:rStyle w:val="FootnoteReference"/>
        </w:rPr>
        <w:footnoteRef/>
      </w:r>
      <w:r>
        <w:t xml:space="preserve"> Attachment AJY-1 is a copy of</w:t>
      </w:r>
      <w:r w:rsidRPr="00E11725">
        <w:t xml:space="preserve"> </w:t>
      </w:r>
      <w:r>
        <w:t>Attachment B, Exhibit 1, page 2 from the Stipulation in the last ESP case.  Although that Stipulation reflected a compromise of the parties’ position in such proceeding, the Capacity Cost to Recover used in that Stipulation is not appropriate for setting rates going forward.</w:t>
      </w:r>
    </w:p>
  </w:footnote>
  <w:footnote w:id="13">
    <w:p w:rsidR="003B014C" w:rsidRPr="00EA7B08" w:rsidRDefault="003B014C" w:rsidP="005F0149">
      <w:pPr>
        <w:pStyle w:val="FootnoteText"/>
        <w:spacing w:after="120"/>
      </w:pPr>
      <w:r>
        <w:rPr>
          <w:rStyle w:val="FootnoteReference"/>
        </w:rPr>
        <w:footnoteRef/>
      </w:r>
      <w:r>
        <w:t xml:space="preserve"> See response to OCC-INT-11-322-F.</w:t>
      </w:r>
    </w:p>
  </w:footnote>
  <w:footnote w:id="14">
    <w:p w:rsidR="003B014C" w:rsidRPr="005F6A44" w:rsidRDefault="003B014C" w:rsidP="005F0149">
      <w:pPr>
        <w:pStyle w:val="FootnoteText"/>
        <w:spacing w:after="120"/>
      </w:pPr>
      <w:r>
        <w:rPr>
          <w:rStyle w:val="FootnoteReference"/>
        </w:rPr>
        <w:footnoteRef/>
      </w:r>
      <w:r>
        <w:t xml:space="preserve"> See direct testimony of Company witness Laub at page 3.</w:t>
      </w:r>
    </w:p>
  </w:footnote>
  <w:footnote w:id="15">
    <w:p w:rsidR="003B014C" w:rsidRPr="00754FB1" w:rsidRDefault="003B014C" w:rsidP="005F0149">
      <w:pPr>
        <w:pStyle w:val="FootnoteText"/>
        <w:spacing w:after="120"/>
      </w:pPr>
      <w:r>
        <w:rPr>
          <w:rStyle w:val="FootnoteReference"/>
        </w:rPr>
        <w:footnoteRef/>
      </w:r>
      <w:r>
        <w:t xml:space="preserve"> See response to OCC-INT-02-024 (b).</w:t>
      </w:r>
    </w:p>
  </w:footnote>
  <w:footnote w:id="16">
    <w:p w:rsidR="003B014C" w:rsidRPr="00EC6C8F" w:rsidRDefault="003B014C" w:rsidP="005F0149">
      <w:pPr>
        <w:pStyle w:val="FootnoteText"/>
        <w:spacing w:after="120"/>
      </w:pPr>
      <w:r>
        <w:rPr>
          <w:rStyle w:val="FootnoteReference"/>
        </w:rPr>
        <w:footnoteRef/>
      </w:r>
      <w:r>
        <w:t xml:space="preserve"> See direct testimony of Company witness Wathen at page 12.</w:t>
      </w:r>
    </w:p>
  </w:footnote>
  <w:footnote w:id="17">
    <w:p w:rsidR="003B014C" w:rsidRPr="0023789D" w:rsidRDefault="003B014C" w:rsidP="005F0149">
      <w:pPr>
        <w:pStyle w:val="FootnoteText"/>
        <w:spacing w:after="120"/>
      </w:pPr>
      <w:r>
        <w:rPr>
          <w:rStyle w:val="FootnoteReference"/>
        </w:rPr>
        <w:footnoteRef/>
      </w:r>
      <w:r>
        <w:t xml:space="preserve"> See direct testimony of Company witness Wathen at page 14.</w:t>
      </w:r>
    </w:p>
  </w:footnote>
  <w:footnote w:id="18">
    <w:p w:rsidR="003B014C" w:rsidRPr="00DD58AA" w:rsidRDefault="003B014C" w:rsidP="005F0149">
      <w:pPr>
        <w:pStyle w:val="FootnoteText"/>
        <w:spacing w:after="120"/>
      </w:pPr>
      <w:r>
        <w:rPr>
          <w:rStyle w:val="FootnoteReference"/>
        </w:rPr>
        <w:footnoteRef/>
      </w:r>
      <w:r>
        <w:t xml:space="preserve"> See Stipulation in Case No. 11-3549-EL-SSO at pages 32 and 33.</w:t>
      </w:r>
    </w:p>
  </w:footnote>
  <w:footnote w:id="19">
    <w:p w:rsidR="003B014C" w:rsidRPr="000F6661" w:rsidRDefault="003B014C" w:rsidP="005F0149">
      <w:pPr>
        <w:pStyle w:val="FootnoteText"/>
        <w:spacing w:after="120"/>
      </w:pPr>
      <w:r>
        <w:rPr>
          <w:rStyle w:val="FootnoteReference"/>
        </w:rPr>
        <w:footnoteRef/>
      </w:r>
      <w:r>
        <w:t xml:space="preserve"> See Stipulation in Case No. 11-3549-EL-SSO at page 13.</w:t>
      </w:r>
    </w:p>
  </w:footnote>
  <w:footnote w:id="20">
    <w:p w:rsidR="003B014C" w:rsidRPr="00472D12" w:rsidRDefault="003B014C" w:rsidP="005F0149">
      <w:pPr>
        <w:pStyle w:val="FootnoteText"/>
        <w:spacing w:after="120"/>
      </w:pPr>
      <w:r>
        <w:rPr>
          <w:rStyle w:val="FootnoteReference"/>
        </w:rPr>
        <w:footnoteRef/>
      </w:r>
      <w:r>
        <w:rPr>
          <w:lang w:val="en-US"/>
        </w:rPr>
        <w:t xml:space="preserve"> </w:t>
      </w:r>
      <w:r>
        <w:t>See Response to OEG –DR-02-011.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3B" w:rsidRDefault="00D971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Pr="005A3A2E" w:rsidRDefault="003B014C" w:rsidP="005A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rsidP="004A53E7">
    <w:pPr>
      <w:pStyle w:val="Header"/>
      <w:jc w:val="center"/>
      <w:rPr>
        <w:i/>
      </w:rPr>
    </w:pPr>
    <w:r>
      <w:rPr>
        <w:i/>
      </w:rPr>
      <w:t>CONFIDENTIAL Direct Testimony of Anthony J. Yankel</w:t>
    </w:r>
  </w:p>
  <w:p w:rsidR="003B014C" w:rsidRDefault="003B014C" w:rsidP="004A53E7">
    <w:pPr>
      <w:pStyle w:val="Header"/>
      <w:jc w:val="center"/>
      <w:rPr>
        <w:i/>
      </w:rPr>
    </w:pPr>
    <w:r>
      <w:rPr>
        <w:i/>
      </w:rPr>
      <w:t>On Behalf of the Office of the Ohio Consumers’ Counsel</w:t>
    </w:r>
  </w:p>
  <w:p w:rsidR="003B014C" w:rsidRPr="004A53E7" w:rsidRDefault="003B014C" w:rsidP="004A53E7">
    <w:pPr>
      <w:pStyle w:val="Header"/>
      <w:jc w:val="center"/>
      <w:rPr>
        <w:i/>
      </w:rPr>
    </w:pPr>
    <w:r>
      <w:rPr>
        <w:i/>
      </w:rPr>
      <w:t>PUCO Case No. 12-3255-EL-RDR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3B" w:rsidRDefault="00D97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Pr="007E370B" w:rsidRDefault="003B014C" w:rsidP="007E37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rsidP="004A53E7">
    <w:pPr>
      <w:pStyle w:val="Header"/>
      <w:jc w:val="center"/>
      <w:rPr>
        <w:i/>
      </w:rPr>
    </w:pPr>
    <w:r>
      <w:rPr>
        <w:i/>
      </w:rPr>
      <w:t>Direct Testimony of Anthony J. Yankel</w:t>
    </w:r>
  </w:p>
  <w:p w:rsidR="003B014C" w:rsidRDefault="003B014C" w:rsidP="004A53E7">
    <w:pPr>
      <w:pStyle w:val="Header"/>
      <w:jc w:val="center"/>
      <w:rPr>
        <w:i/>
      </w:rPr>
    </w:pPr>
    <w:r>
      <w:rPr>
        <w:i/>
      </w:rPr>
      <w:t>On Behalf of the Office of the Ohio Consumers’ Counsel</w:t>
    </w:r>
  </w:p>
  <w:p w:rsidR="003B014C" w:rsidRDefault="003B014C" w:rsidP="009E02A1">
    <w:pPr>
      <w:pStyle w:val="Header"/>
      <w:tabs>
        <w:tab w:val="left" w:pos="6195"/>
      </w:tabs>
      <w:jc w:val="center"/>
      <w:rPr>
        <w:i/>
      </w:rPr>
    </w:pPr>
    <w:r>
      <w:rPr>
        <w:i/>
      </w:rPr>
      <w:t>PUCO Case Nos. 14-841-EL-SSO, et al.</w:t>
    </w:r>
  </w:p>
  <w:p w:rsidR="003B014C" w:rsidRPr="009E02A1" w:rsidRDefault="003B014C" w:rsidP="004A53E7">
    <w:pPr>
      <w:pStyle w:val="Header"/>
      <w:tabs>
        <w:tab w:val="left" w:pos="6195"/>
      </w:tabs>
      <w:rPr>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C" w:rsidRDefault="003B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27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BC8FDCC"/>
    <w:lvl w:ilvl="0">
      <w:start w:val="1"/>
      <w:numFmt w:val="decimal"/>
      <w:lvlText w:val="%1."/>
      <w:lvlJc w:val="left"/>
      <w:pPr>
        <w:tabs>
          <w:tab w:val="num" w:pos="1800"/>
        </w:tabs>
        <w:ind w:left="1800" w:hanging="360"/>
      </w:pPr>
    </w:lvl>
  </w:abstractNum>
  <w:abstractNum w:abstractNumId="2">
    <w:nsid w:val="FFFFFF7D"/>
    <w:multiLevelType w:val="singleLevel"/>
    <w:tmpl w:val="8E0A975E"/>
    <w:lvl w:ilvl="0">
      <w:start w:val="1"/>
      <w:numFmt w:val="decimal"/>
      <w:lvlText w:val="%1."/>
      <w:lvlJc w:val="left"/>
      <w:pPr>
        <w:tabs>
          <w:tab w:val="num" w:pos="1440"/>
        </w:tabs>
        <w:ind w:left="1440" w:hanging="360"/>
      </w:pPr>
    </w:lvl>
  </w:abstractNum>
  <w:abstractNum w:abstractNumId="3">
    <w:nsid w:val="FFFFFF7E"/>
    <w:multiLevelType w:val="singleLevel"/>
    <w:tmpl w:val="CAF824B4"/>
    <w:lvl w:ilvl="0">
      <w:start w:val="1"/>
      <w:numFmt w:val="decimal"/>
      <w:lvlText w:val="%1."/>
      <w:lvlJc w:val="left"/>
      <w:pPr>
        <w:tabs>
          <w:tab w:val="num" w:pos="1080"/>
        </w:tabs>
        <w:ind w:left="1080" w:hanging="360"/>
      </w:pPr>
    </w:lvl>
  </w:abstractNum>
  <w:abstractNum w:abstractNumId="4">
    <w:nsid w:val="FFFFFF7F"/>
    <w:multiLevelType w:val="singleLevel"/>
    <w:tmpl w:val="E5C0A9FC"/>
    <w:lvl w:ilvl="0">
      <w:start w:val="1"/>
      <w:numFmt w:val="decimal"/>
      <w:lvlText w:val="%1."/>
      <w:lvlJc w:val="left"/>
      <w:pPr>
        <w:tabs>
          <w:tab w:val="num" w:pos="720"/>
        </w:tabs>
        <w:ind w:left="720" w:hanging="360"/>
      </w:pPr>
    </w:lvl>
  </w:abstractNum>
  <w:abstractNum w:abstractNumId="5">
    <w:nsid w:val="FFFFFF80"/>
    <w:multiLevelType w:val="singleLevel"/>
    <w:tmpl w:val="C28602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7457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0661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8021D9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D4CCA8"/>
    <w:lvl w:ilvl="0">
      <w:start w:val="1"/>
      <w:numFmt w:val="decimal"/>
      <w:lvlText w:val="%1."/>
      <w:lvlJc w:val="left"/>
      <w:pPr>
        <w:tabs>
          <w:tab w:val="num" w:pos="360"/>
        </w:tabs>
        <w:ind w:left="360" w:hanging="360"/>
      </w:pPr>
    </w:lvl>
  </w:abstractNum>
  <w:abstractNum w:abstractNumId="10">
    <w:nsid w:val="FFFFFF89"/>
    <w:multiLevelType w:val="singleLevel"/>
    <w:tmpl w:val="9C52A00C"/>
    <w:lvl w:ilvl="0">
      <w:start w:val="1"/>
      <w:numFmt w:val="bullet"/>
      <w:lvlText w:val=""/>
      <w:lvlJc w:val="left"/>
      <w:pPr>
        <w:tabs>
          <w:tab w:val="num" w:pos="360"/>
        </w:tabs>
        <w:ind w:left="360" w:hanging="360"/>
      </w:pPr>
      <w:rPr>
        <w:rFonts w:ascii="Symbol" w:hAnsi="Symbol" w:hint="default"/>
      </w:rPr>
    </w:lvl>
  </w:abstractNum>
  <w:abstractNum w:abstractNumId="11">
    <w:nsid w:val="0030685E"/>
    <w:multiLevelType w:val="hybridMultilevel"/>
    <w:tmpl w:val="197AE21A"/>
    <w:lvl w:ilvl="0" w:tplc="C352B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010A8C"/>
    <w:multiLevelType w:val="hybridMultilevel"/>
    <w:tmpl w:val="BCBAA9EA"/>
    <w:lvl w:ilvl="0" w:tplc="29B69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6361F"/>
    <w:multiLevelType w:val="hybridMultilevel"/>
    <w:tmpl w:val="4B56B67E"/>
    <w:lvl w:ilvl="0" w:tplc="1E54BE0C">
      <w:start w:val="1"/>
      <w:numFmt w:val="upperRoman"/>
      <w:lvlText w:val="%1."/>
      <w:lvlJc w:val="left"/>
      <w:pPr>
        <w:ind w:left="1440" w:hanging="72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5E3BB6"/>
    <w:multiLevelType w:val="hybridMultilevel"/>
    <w:tmpl w:val="BC14D08E"/>
    <w:lvl w:ilvl="0" w:tplc="7966A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F411F"/>
    <w:multiLevelType w:val="hybridMultilevel"/>
    <w:tmpl w:val="6EEE048A"/>
    <w:lvl w:ilvl="0" w:tplc="A3407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C0B60"/>
    <w:multiLevelType w:val="hybridMultilevel"/>
    <w:tmpl w:val="A5E8264C"/>
    <w:lvl w:ilvl="0" w:tplc="748A3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60240"/>
    <w:multiLevelType w:val="hybridMultilevel"/>
    <w:tmpl w:val="8E20F7FC"/>
    <w:lvl w:ilvl="0" w:tplc="2C7E3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21A4E"/>
    <w:multiLevelType w:val="hybridMultilevel"/>
    <w:tmpl w:val="D6AE6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50BCA"/>
    <w:multiLevelType w:val="hybridMultilevel"/>
    <w:tmpl w:val="B764F87A"/>
    <w:lvl w:ilvl="0" w:tplc="124EAD0A">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412DD"/>
    <w:multiLevelType w:val="hybridMultilevel"/>
    <w:tmpl w:val="BB903270"/>
    <w:lvl w:ilvl="0" w:tplc="60DAF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40832"/>
    <w:multiLevelType w:val="hybridMultilevel"/>
    <w:tmpl w:val="5B88ED8A"/>
    <w:lvl w:ilvl="0" w:tplc="8D125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6D2192"/>
    <w:multiLevelType w:val="hybridMultilevel"/>
    <w:tmpl w:val="B4802136"/>
    <w:lvl w:ilvl="0" w:tplc="8A36A514">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51490"/>
    <w:multiLevelType w:val="hybridMultilevel"/>
    <w:tmpl w:val="592C6AC6"/>
    <w:lvl w:ilvl="0" w:tplc="9DDEF50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6A30"/>
    <w:multiLevelType w:val="hybridMultilevel"/>
    <w:tmpl w:val="C478E882"/>
    <w:lvl w:ilvl="0" w:tplc="7E2A8F02">
      <w:start w:val="1"/>
      <w:numFmt w:val="upperRoman"/>
      <w:pStyle w:val="Heading1"/>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1"/>
  </w:num>
  <w:num w:numId="5">
    <w:abstractNumId w:val="23"/>
  </w:num>
  <w:num w:numId="6">
    <w:abstractNumId w:val="11"/>
    <w:lvlOverride w:ilvl="0">
      <w:startOverride w:val="1"/>
    </w:lvlOverride>
  </w:num>
  <w:num w:numId="7">
    <w:abstractNumId w:val="12"/>
  </w:num>
  <w:num w:numId="8">
    <w:abstractNumId w:val="17"/>
  </w:num>
  <w:num w:numId="9">
    <w:abstractNumId w:val="17"/>
    <w:lvlOverride w:ilvl="0">
      <w:startOverride w:val="1"/>
    </w:lvlOverride>
  </w:num>
  <w:num w:numId="10">
    <w:abstractNumId w:val="20"/>
  </w:num>
  <w:num w:numId="11">
    <w:abstractNumId w:val="14"/>
  </w:num>
  <w:num w:numId="12">
    <w:abstractNumId w:val="14"/>
    <w:lvlOverride w:ilvl="0">
      <w:startOverride w:val="1"/>
    </w:lvlOverride>
  </w:num>
  <w:num w:numId="13">
    <w:abstractNumId w:val="16"/>
  </w:num>
  <w:num w:numId="14">
    <w:abstractNumId w:val="18"/>
  </w:num>
  <w:num w:numId="15">
    <w:abstractNumId w:val="19"/>
  </w:num>
  <w:num w:numId="16">
    <w:abstractNumId w:val="22"/>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89"/>
    <w:rsid w:val="000019E3"/>
    <w:rsid w:val="00004F39"/>
    <w:rsid w:val="00005307"/>
    <w:rsid w:val="00007E10"/>
    <w:rsid w:val="00014FA8"/>
    <w:rsid w:val="0001671B"/>
    <w:rsid w:val="00021A30"/>
    <w:rsid w:val="00022B70"/>
    <w:rsid w:val="0002744F"/>
    <w:rsid w:val="00033CE9"/>
    <w:rsid w:val="00037F12"/>
    <w:rsid w:val="00044F37"/>
    <w:rsid w:val="00046C94"/>
    <w:rsid w:val="00050F36"/>
    <w:rsid w:val="00061903"/>
    <w:rsid w:val="0006687B"/>
    <w:rsid w:val="00067390"/>
    <w:rsid w:val="0007280F"/>
    <w:rsid w:val="0007744C"/>
    <w:rsid w:val="000801B1"/>
    <w:rsid w:val="00080541"/>
    <w:rsid w:val="00080DFE"/>
    <w:rsid w:val="0008128C"/>
    <w:rsid w:val="00086160"/>
    <w:rsid w:val="00086F24"/>
    <w:rsid w:val="00093EA3"/>
    <w:rsid w:val="0009420B"/>
    <w:rsid w:val="00094228"/>
    <w:rsid w:val="00094F7F"/>
    <w:rsid w:val="00095C62"/>
    <w:rsid w:val="00096050"/>
    <w:rsid w:val="00096A2E"/>
    <w:rsid w:val="000A0056"/>
    <w:rsid w:val="000A0772"/>
    <w:rsid w:val="000A4B52"/>
    <w:rsid w:val="000A5881"/>
    <w:rsid w:val="000A6FFB"/>
    <w:rsid w:val="000B010C"/>
    <w:rsid w:val="000B282E"/>
    <w:rsid w:val="000B2A2A"/>
    <w:rsid w:val="000B30E5"/>
    <w:rsid w:val="000B4854"/>
    <w:rsid w:val="000C0A41"/>
    <w:rsid w:val="000C0E0B"/>
    <w:rsid w:val="000C5F55"/>
    <w:rsid w:val="000C61C6"/>
    <w:rsid w:val="000C62BB"/>
    <w:rsid w:val="000C7920"/>
    <w:rsid w:val="000C7F5B"/>
    <w:rsid w:val="000D22CC"/>
    <w:rsid w:val="000D76D6"/>
    <w:rsid w:val="000E2A4E"/>
    <w:rsid w:val="000E3BD5"/>
    <w:rsid w:val="000E43D6"/>
    <w:rsid w:val="000E6A49"/>
    <w:rsid w:val="000E6CED"/>
    <w:rsid w:val="000E7462"/>
    <w:rsid w:val="000F0251"/>
    <w:rsid w:val="000F2BA8"/>
    <w:rsid w:val="000F3053"/>
    <w:rsid w:val="000F3710"/>
    <w:rsid w:val="000F44DE"/>
    <w:rsid w:val="000F45A0"/>
    <w:rsid w:val="000F6661"/>
    <w:rsid w:val="000F6EAF"/>
    <w:rsid w:val="00101D8D"/>
    <w:rsid w:val="00104C98"/>
    <w:rsid w:val="00110554"/>
    <w:rsid w:val="00110CB1"/>
    <w:rsid w:val="00110F55"/>
    <w:rsid w:val="00116A29"/>
    <w:rsid w:val="00121F1F"/>
    <w:rsid w:val="0012362C"/>
    <w:rsid w:val="001246C4"/>
    <w:rsid w:val="00124FF4"/>
    <w:rsid w:val="00125B86"/>
    <w:rsid w:val="00125CB0"/>
    <w:rsid w:val="00133E9E"/>
    <w:rsid w:val="001357F9"/>
    <w:rsid w:val="001358DC"/>
    <w:rsid w:val="00137E3C"/>
    <w:rsid w:val="00141598"/>
    <w:rsid w:val="00141BC7"/>
    <w:rsid w:val="00143500"/>
    <w:rsid w:val="00145B94"/>
    <w:rsid w:val="00145D2C"/>
    <w:rsid w:val="0015312C"/>
    <w:rsid w:val="001560B3"/>
    <w:rsid w:val="0016214A"/>
    <w:rsid w:val="001728CE"/>
    <w:rsid w:val="00180D6C"/>
    <w:rsid w:val="0018688C"/>
    <w:rsid w:val="00190CC8"/>
    <w:rsid w:val="001913E5"/>
    <w:rsid w:val="00191A2B"/>
    <w:rsid w:val="00196755"/>
    <w:rsid w:val="001A04F4"/>
    <w:rsid w:val="001A675E"/>
    <w:rsid w:val="001A7049"/>
    <w:rsid w:val="001B0CD0"/>
    <w:rsid w:val="001B41D5"/>
    <w:rsid w:val="001B4558"/>
    <w:rsid w:val="001C0996"/>
    <w:rsid w:val="001C1092"/>
    <w:rsid w:val="001C4C13"/>
    <w:rsid w:val="001D0B5F"/>
    <w:rsid w:val="001D5503"/>
    <w:rsid w:val="001D6693"/>
    <w:rsid w:val="001D6A6B"/>
    <w:rsid w:val="001D76D4"/>
    <w:rsid w:val="001E0167"/>
    <w:rsid w:val="001E1130"/>
    <w:rsid w:val="001E32FE"/>
    <w:rsid w:val="001E5A12"/>
    <w:rsid w:val="001E7642"/>
    <w:rsid w:val="001E79FC"/>
    <w:rsid w:val="001F0678"/>
    <w:rsid w:val="001F29C2"/>
    <w:rsid w:val="001F2D97"/>
    <w:rsid w:val="001F7EAD"/>
    <w:rsid w:val="0020412A"/>
    <w:rsid w:val="00205A89"/>
    <w:rsid w:val="00217F7D"/>
    <w:rsid w:val="002203F4"/>
    <w:rsid w:val="00227F51"/>
    <w:rsid w:val="00231440"/>
    <w:rsid w:val="00232929"/>
    <w:rsid w:val="00233969"/>
    <w:rsid w:val="00235008"/>
    <w:rsid w:val="0023789D"/>
    <w:rsid w:val="002404FF"/>
    <w:rsid w:val="00241457"/>
    <w:rsid w:val="00244CF0"/>
    <w:rsid w:val="00247AF4"/>
    <w:rsid w:val="00247F5A"/>
    <w:rsid w:val="00254C4A"/>
    <w:rsid w:val="002562A4"/>
    <w:rsid w:val="00257722"/>
    <w:rsid w:val="002608F8"/>
    <w:rsid w:val="00261DE0"/>
    <w:rsid w:val="00261F7C"/>
    <w:rsid w:val="00263E9C"/>
    <w:rsid w:val="00271A32"/>
    <w:rsid w:val="002739EF"/>
    <w:rsid w:val="00274564"/>
    <w:rsid w:val="00274696"/>
    <w:rsid w:val="00274713"/>
    <w:rsid w:val="00274D98"/>
    <w:rsid w:val="0027501A"/>
    <w:rsid w:val="00276883"/>
    <w:rsid w:val="00280B96"/>
    <w:rsid w:val="00282A21"/>
    <w:rsid w:val="00287D82"/>
    <w:rsid w:val="002910A8"/>
    <w:rsid w:val="00292C94"/>
    <w:rsid w:val="00294AF0"/>
    <w:rsid w:val="002A18F1"/>
    <w:rsid w:val="002A19D8"/>
    <w:rsid w:val="002A3306"/>
    <w:rsid w:val="002A39C7"/>
    <w:rsid w:val="002A5924"/>
    <w:rsid w:val="002A5DEC"/>
    <w:rsid w:val="002A7B49"/>
    <w:rsid w:val="002B0245"/>
    <w:rsid w:val="002B02B6"/>
    <w:rsid w:val="002B0C0D"/>
    <w:rsid w:val="002B4468"/>
    <w:rsid w:val="002B5ED8"/>
    <w:rsid w:val="002B622D"/>
    <w:rsid w:val="002B6BA2"/>
    <w:rsid w:val="002B6D79"/>
    <w:rsid w:val="002C2A9D"/>
    <w:rsid w:val="002C3A16"/>
    <w:rsid w:val="002C4AFC"/>
    <w:rsid w:val="002D0011"/>
    <w:rsid w:val="002D52F1"/>
    <w:rsid w:val="002E1678"/>
    <w:rsid w:val="002E30B7"/>
    <w:rsid w:val="002E3B01"/>
    <w:rsid w:val="002E4F78"/>
    <w:rsid w:val="002E618E"/>
    <w:rsid w:val="002E725F"/>
    <w:rsid w:val="0030080C"/>
    <w:rsid w:val="00301703"/>
    <w:rsid w:val="003024AF"/>
    <w:rsid w:val="00305489"/>
    <w:rsid w:val="003107F9"/>
    <w:rsid w:val="00313C9F"/>
    <w:rsid w:val="003145E9"/>
    <w:rsid w:val="0031515C"/>
    <w:rsid w:val="00316E16"/>
    <w:rsid w:val="00324177"/>
    <w:rsid w:val="00325EC4"/>
    <w:rsid w:val="003300A0"/>
    <w:rsid w:val="00330494"/>
    <w:rsid w:val="00331432"/>
    <w:rsid w:val="0033176D"/>
    <w:rsid w:val="00335D02"/>
    <w:rsid w:val="00342A1D"/>
    <w:rsid w:val="003446E5"/>
    <w:rsid w:val="00345176"/>
    <w:rsid w:val="003475E2"/>
    <w:rsid w:val="0035093F"/>
    <w:rsid w:val="00352062"/>
    <w:rsid w:val="00353C03"/>
    <w:rsid w:val="00357D6E"/>
    <w:rsid w:val="00362640"/>
    <w:rsid w:val="003647BF"/>
    <w:rsid w:val="00364F0B"/>
    <w:rsid w:val="003662AF"/>
    <w:rsid w:val="00367D44"/>
    <w:rsid w:val="00370606"/>
    <w:rsid w:val="00372542"/>
    <w:rsid w:val="00383709"/>
    <w:rsid w:val="003906B7"/>
    <w:rsid w:val="003921B4"/>
    <w:rsid w:val="003923AA"/>
    <w:rsid w:val="00394816"/>
    <w:rsid w:val="003A0725"/>
    <w:rsid w:val="003A2626"/>
    <w:rsid w:val="003A3377"/>
    <w:rsid w:val="003A4AFD"/>
    <w:rsid w:val="003B014C"/>
    <w:rsid w:val="003B0330"/>
    <w:rsid w:val="003B2649"/>
    <w:rsid w:val="003B2B84"/>
    <w:rsid w:val="003B4C0E"/>
    <w:rsid w:val="003B75D9"/>
    <w:rsid w:val="003B785E"/>
    <w:rsid w:val="003C2EB2"/>
    <w:rsid w:val="003C4316"/>
    <w:rsid w:val="003C4E32"/>
    <w:rsid w:val="003C5754"/>
    <w:rsid w:val="003D5669"/>
    <w:rsid w:val="003D6114"/>
    <w:rsid w:val="003D68C1"/>
    <w:rsid w:val="003D7622"/>
    <w:rsid w:val="003E0B26"/>
    <w:rsid w:val="003F10FF"/>
    <w:rsid w:val="003F259B"/>
    <w:rsid w:val="003F2E5F"/>
    <w:rsid w:val="003F2FF9"/>
    <w:rsid w:val="003F50E1"/>
    <w:rsid w:val="003F553E"/>
    <w:rsid w:val="003F68BC"/>
    <w:rsid w:val="00401569"/>
    <w:rsid w:val="004018A7"/>
    <w:rsid w:val="0040363E"/>
    <w:rsid w:val="004054AB"/>
    <w:rsid w:val="004054D8"/>
    <w:rsid w:val="004106F4"/>
    <w:rsid w:val="00412C2F"/>
    <w:rsid w:val="00413D6D"/>
    <w:rsid w:val="004161D4"/>
    <w:rsid w:val="00420DC4"/>
    <w:rsid w:val="00421FBF"/>
    <w:rsid w:val="004302A7"/>
    <w:rsid w:val="00432A4E"/>
    <w:rsid w:val="0043755B"/>
    <w:rsid w:val="004425D1"/>
    <w:rsid w:val="004473B7"/>
    <w:rsid w:val="00447D6D"/>
    <w:rsid w:val="00451AD9"/>
    <w:rsid w:val="00452802"/>
    <w:rsid w:val="00453579"/>
    <w:rsid w:val="00454354"/>
    <w:rsid w:val="004553E9"/>
    <w:rsid w:val="004559FB"/>
    <w:rsid w:val="00455B4D"/>
    <w:rsid w:val="00455E26"/>
    <w:rsid w:val="00457DBD"/>
    <w:rsid w:val="004601CC"/>
    <w:rsid w:val="00461509"/>
    <w:rsid w:val="00463A6F"/>
    <w:rsid w:val="00466405"/>
    <w:rsid w:val="0046749B"/>
    <w:rsid w:val="00472678"/>
    <w:rsid w:val="00472D12"/>
    <w:rsid w:val="004831AE"/>
    <w:rsid w:val="0048563B"/>
    <w:rsid w:val="00485D60"/>
    <w:rsid w:val="00486F20"/>
    <w:rsid w:val="004930B8"/>
    <w:rsid w:val="004955F5"/>
    <w:rsid w:val="00495F83"/>
    <w:rsid w:val="004A1E3C"/>
    <w:rsid w:val="004A3D2A"/>
    <w:rsid w:val="004A53E7"/>
    <w:rsid w:val="004B1007"/>
    <w:rsid w:val="004B301F"/>
    <w:rsid w:val="004C3C64"/>
    <w:rsid w:val="004C759D"/>
    <w:rsid w:val="004D0836"/>
    <w:rsid w:val="004D2692"/>
    <w:rsid w:val="004D2B5A"/>
    <w:rsid w:val="004D47F5"/>
    <w:rsid w:val="004D66F9"/>
    <w:rsid w:val="004E32DC"/>
    <w:rsid w:val="004E414C"/>
    <w:rsid w:val="004E471C"/>
    <w:rsid w:val="004E7D86"/>
    <w:rsid w:val="004E7DE7"/>
    <w:rsid w:val="004E7F0E"/>
    <w:rsid w:val="004F171F"/>
    <w:rsid w:val="004F30A2"/>
    <w:rsid w:val="004F36CD"/>
    <w:rsid w:val="004F401E"/>
    <w:rsid w:val="00501E12"/>
    <w:rsid w:val="00502483"/>
    <w:rsid w:val="00503B76"/>
    <w:rsid w:val="00504B0C"/>
    <w:rsid w:val="00506BF3"/>
    <w:rsid w:val="00507FF2"/>
    <w:rsid w:val="0051000B"/>
    <w:rsid w:val="00511156"/>
    <w:rsid w:val="00513584"/>
    <w:rsid w:val="00513B87"/>
    <w:rsid w:val="0051716C"/>
    <w:rsid w:val="005224A6"/>
    <w:rsid w:val="00522649"/>
    <w:rsid w:val="00525BA0"/>
    <w:rsid w:val="0053065C"/>
    <w:rsid w:val="00531826"/>
    <w:rsid w:val="0053349C"/>
    <w:rsid w:val="00537805"/>
    <w:rsid w:val="00543533"/>
    <w:rsid w:val="005512C8"/>
    <w:rsid w:val="005534A2"/>
    <w:rsid w:val="00555CE0"/>
    <w:rsid w:val="005622E0"/>
    <w:rsid w:val="00563398"/>
    <w:rsid w:val="00565C0A"/>
    <w:rsid w:val="0056609C"/>
    <w:rsid w:val="005731B8"/>
    <w:rsid w:val="005743C3"/>
    <w:rsid w:val="0057599A"/>
    <w:rsid w:val="00577248"/>
    <w:rsid w:val="00581278"/>
    <w:rsid w:val="00581925"/>
    <w:rsid w:val="005823E7"/>
    <w:rsid w:val="00585052"/>
    <w:rsid w:val="005875B6"/>
    <w:rsid w:val="00593E5C"/>
    <w:rsid w:val="005950C6"/>
    <w:rsid w:val="00597D63"/>
    <w:rsid w:val="005A3A2E"/>
    <w:rsid w:val="005A68E0"/>
    <w:rsid w:val="005B2531"/>
    <w:rsid w:val="005B3814"/>
    <w:rsid w:val="005B467E"/>
    <w:rsid w:val="005B4EA3"/>
    <w:rsid w:val="005B5612"/>
    <w:rsid w:val="005B5B71"/>
    <w:rsid w:val="005B65AA"/>
    <w:rsid w:val="005B76E7"/>
    <w:rsid w:val="005B7A4C"/>
    <w:rsid w:val="005C2637"/>
    <w:rsid w:val="005C2FCF"/>
    <w:rsid w:val="005C5789"/>
    <w:rsid w:val="005C5D8A"/>
    <w:rsid w:val="005C67DE"/>
    <w:rsid w:val="005D0457"/>
    <w:rsid w:val="005D5237"/>
    <w:rsid w:val="005D7573"/>
    <w:rsid w:val="005D7A72"/>
    <w:rsid w:val="005E21B7"/>
    <w:rsid w:val="005E26DB"/>
    <w:rsid w:val="005E2B58"/>
    <w:rsid w:val="005E3163"/>
    <w:rsid w:val="005E44E3"/>
    <w:rsid w:val="005E49FA"/>
    <w:rsid w:val="005E6F2F"/>
    <w:rsid w:val="005F0149"/>
    <w:rsid w:val="005F2908"/>
    <w:rsid w:val="005F2B6D"/>
    <w:rsid w:val="005F360D"/>
    <w:rsid w:val="005F5867"/>
    <w:rsid w:val="005F6599"/>
    <w:rsid w:val="005F6A44"/>
    <w:rsid w:val="005F7CC7"/>
    <w:rsid w:val="006007EE"/>
    <w:rsid w:val="006013B8"/>
    <w:rsid w:val="00604BBD"/>
    <w:rsid w:val="006050FF"/>
    <w:rsid w:val="0060519A"/>
    <w:rsid w:val="00605283"/>
    <w:rsid w:val="006101F5"/>
    <w:rsid w:val="0061249A"/>
    <w:rsid w:val="006136FC"/>
    <w:rsid w:val="006144E3"/>
    <w:rsid w:val="006153E5"/>
    <w:rsid w:val="006164AA"/>
    <w:rsid w:val="00621D27"/>
    <w:rsid w:val="00622D38"/>
    <w:rsid w:val="00623098"/>
    <w:rsid w:val="006253DC"/>
    <w:rsid w:val="006354A3"/>
    <w:rsid w:val="00640799"/>
    <w:rsid w:val="0064206B"/>
    <w:rsid w:val="006465E9"/>
    <w:rsid w:val="0064752C"/>
    <w:rsid w:val="00650B02"/>
    <w:rsid w:val="00656A12"/>
    <w:rsid w:val="00665D11"/>
    <w:rsid w:val="0066700E"/>
    <w:rsid w:val="0067141F"/>
    <w:rsid w:val="00671CC3"/>
    <w:rsid w:val="00675713"/>
    <w:rsid w:val="00677A9B"/>
    <w:rsid w:val="00682751"/>
    <w:rsid w:val="00682868"/>
    <w:rsid w:val="0068590D"/>
    <w:rsid w:val="00695275"/>
    <w:rsid w:val="006A1724"/>
    <w:rsid w:val="006A246D"/>
    <w:rsid w:val="006A714C"/>
    <w:rsid w:val="006B1BEA"/>
    <w:rsid w:val="006B2A67"/>
    <w:rsid w:val="006B3369"/>
    <w:rsid w:val="006B7460"/>
    <w:rsid w:val="006C1690"/>
    <w:rsid w:val="006C2131"/>
    <w:rsid w:val="006D3D13"/>
    <w:rsid w:val="006D7392"/>
    <w:rsid w:val="006E2996"/>
    <w:rsid w:val="006E5654"/>
    <w:rsid w:val="006E7C9B"/>
    <w:rsid w:val="006F11EB"/>
    <w:rsid w:val="006F3440"/>
    <w:rsid w:val="007039AA"/>
    <w:rsid w:val="00703E51"/>
    <w:rsid w:val="00704748"/>
    <w:rsid w:val="00704E4A"/>
    <w:rsid w:val="00704F04"/>
    <w:rsid w:val="007063A0"/>
    <w:rsid w:val="007117AB"/>
    <w:rsid w:val="00712878"/>
    <w:rsid w:val="0071504A"/>
    <w:rsid w:val="00715281"/>
    <w:rsid w:val="007162D9"/>
    <w:rsid w:val="007167C4"/>
    <w:rsid w:val="00724F75"/>
    <w:rsid w:val="00737252"/>
    <w:rsid w:val="007442AB"/>
    <w:rsid w:val="00744D8B"/>
    <w:rsid w:val="007450E2"/>
    <w:rsid w:val="00745CE7"/>
    <w:rsid w:val="00754FB1"/>
    <w:rsid w:val="007565A6"/>
    <w:rsid w:val="00757B4F"/>
    <w:rsid w:val="00763822"/>
    <w:rsid w:val="00763BC6"/>
    <w:rsid w:val="007720C0"/>
    <w:rsid w:val="007728F0"/>
    <w:rsid w:val="007738CC"/>
    <w:rsid w:val="0078129A"/>
    <w:rsid w:val="007824F1"/>
    <w:rsid w:val="007865EA"/>
    <w:rsid w:val="007920F2"/>
    <w:rsid w:val="00796507"/>
    <w:rsid w:val="00796C77"/>
    <w:rsid w:val="007974E7"/>
    <w:rsid w:val="007A0782"/>
    <w:rsid w:val="007A12D3"/>
    <w:rsid w:val="007A554D"/>
    <w:rsid w:val="007B0C5D"/>
    <w:rsid w:val="007B1482"/>
    <w:rsid w:val="007C10FF"/>
    <w:rsid w:val="007C32F5"/>
    <w:rsid w:val="007C43C6"/>
    <w:rsid w:val="007D2882"/>
    <w:rsid w:val="007D30B7"/>
    <w:rsid w:val="007E05BA"/>
    <w:rsid w:val="007E2712"/>
    <w:rsid w:val="007E370B"/>
    <w:rsid w:val="007E3797"/>
    <w:rsid w:val="007E5C71"/>
    <w:rsid w:val="007F14B5"/>
    <w:rsid w:val="007F21B7"/>
    <w:rsid w:val="007F2637"/>
    <w:rsid w:val="007F68ED"/>
    <w:rsid w:val="007F6A75"/>
    <w:rsid w:val="00807712"/>
    <w:rsid w:val="008077A4"/>
    <w:rsid w:val="00813C17"/>
    <w:rsid w:val="00814563"/>
    <w:rsid w:val="00814D46"/>
    <w:rsid w:val="00816164"/>
    <w:rsid w:val="00816957"/>
    <w:rsid w:val="008169D1"/>
    <w:rsid w:val="008205DF"/>
    <w:rsid w:val="00822320"/>
    <w:rsid w:val="00823355"/>
    <w:rsid w:val="00823E02"/>
    <w:rsid w:val="00824401"/>
    <w:rsid w:val="00824E6C"/>
    <w:rsid w:val="0083561C"/>
    <w:rsid w:val="00836EFB"/>
    <w:rsid w:val="00837AF9"/>
    <w:rsid w:val="00840B0A"/>
    <w:rsid w:val="008433AF"/>
    <w:rsid w:val="008553DB"/>
    <w:rsid w:val="00856B9B"/>
    <w:rsid w:val="008716CB"/>
    <w:rsid w:val="0087210D"/>
    <w:rsid w:val="0087364C"/>
    <w:rsid w:val="00874575"/>
    <w:rsid w:val="00874FD5"/>
    <w:rsid w:val="00876004"/>
    <w:rsid w:val="008801D8"/>
    <w:rsid w:val="00880CF5"/>
    <w:rsid w:val="00881507"/>
    <w:rsid w:val="00884894"/>
    <w:rsid w:val="00887475"/>
    <w:rsid w:val="00893E0B"/>
    <w:rsid w:val="008947E2"/>
    <w:rsid w:val="00895449"/>
    <w:rsid w:val="008A1B6B"/>
    <w:rsid w:val="008A4A1E"/>
    <w:rsid w:val="008A4C4C"/>
    <w:rsid w:val="008B0816"/>
    <w:rsid w:val="008B2D65"/>
    <w:rsid w:val="008B4A95"/>
    <w:rsid w:val="008B6192"/>
    <w:rsid w:val="008B7257"/>
    <w:rsid w:val="008D0BE3"/>
    <w:rsid w:val="008D119B"/>
    <w:rsid w:val="008D16BC"/>
    <w:rsid w:val="008D41B0"/>
    <w:rsid w:val="008D4E21"/>
    <w:rsid w:val="008D5CC8"/>
    <w:rsid w:val="008D7348"/>
    <w:rsid w:val="008E03F3"/>
    <w:rsid w:val="008E379F"/>
    <w:rsid w:val="008E41C3"/>
    <w:rsid w:val="008F1BF7"/>
    <w:rsid w:val="008F55E9"/>
    <w:rsid w:val="00903607"/>
    <w:rsid w:val="009041AC"/>
    <w:rsid w:val="0090616F"/>
    <w:rsid w:val="00907941"/>
    <w:rsid w:val="00912541"/>
    <w:rsid w:val="0092018D"/>
    <w:rsid w:val="0092123C"/>
    <w:rsid w:val="00921948"/>
    <w:rsid w:val="00922588"/>
    <w:rsid w:val="009245B2"/>
    <w:rsid w:val="009253B8"/>
    <w:rsid w:val="009337DE"/>
    <w:rsid w:val="00941213"/>
    <w:rsid w:val="0094188D"/>
    <w:rsid w:val="00942C66"/>
    <w:rsid w:val="00942F9D"/>
    <w:rsid w:val="009439FE"/>
    <w:rsid w:val="00944133"/>
    <w:rsid w:val="00944B43"/>
    <w:rsid w:val="00950B3F"/>
    <w:rsid w:val="00953331"/>
    <w:rsid w:val="0095447A"/>
    <w:rsid w:val="009578C3"/>
    <w:rsid w:val="00957C97"/>
    <w:rsid w:val="00961960"/>
    <w:rsid w:val="0096356E"/>
    <w:rsid w:val="00963720"/>
    <w:rsid w:val="009654C1"/>
    <w:rsid w:val="00965C7C"/>
    <w:rsid w:val="00965D1D"/>
    <w:rsid w:val="00966439"/>
    <w:rsid w:val="00970C5A"/>
    <w:rsid w:val="00974C6C"/>
    <w:rsid w:val="00977208"/>
    <w:rsid w:val="009802D9"/>
    <w:rsid w:val="0098254B"/>
    <w:rsid w:val="009847F8"/>
    <w:rsid w:val="00992235"/>
    <w:rsid w:val="00994308"/>
    <w:rsid w:val="00994973"/>
    <w:rsid w:val="00995B3A"/>
    <w:rsid w:val="00995E8D"/>
    <w:rsid w:val="00996014"/>
    <w:rsid w:val="009960D0"/>
    <w:rsid w:val="009A316A"/>
    <w:rsid w:val="009A56F2"/>
    <w:rsid w:val="009B0F28"/>
    <w:rsid w:val="009B28B0"/>
    <w:rsid w:val="009B3F38"/>
    <w:rsid w:val="009B4DE5"/>
    <w:rsid w:val="009B5C9C"/>
    <w:rsid w:val="009B668F"/>
    <w:rsid w:val="009C229D"/>
    <w:rsid w:val="009C37B4"/>
    <w:rsid w:val="009C455E"/>
    <w:rsid w:val="009D371D"/>
    <w:rsid w:val="009D3859"/>
    <w:rsid w:val="009D492C"/>
    <w:rsid w:val="009D5774"/>
    <w:rsid w:val="009D753B"/>
    <w:rsid w:val="009E02A1"/>
    <w:rsid w:val="009E26B8"/>
    <w:rsid w:val="009E2A22"/>
    <w:rsid w:val="009E2A8B"/>
    <w:rsid w:val="009E3485"/>
    <w:rsid w:val="009E6D24"/>
    <w:rsid w:val="009F0D0A"/>
    <w:rsid w:val="009F3056"/>
    <w:rsid w:val="009F378E"/>
    <w:rsid w:val="009F589E"/>
    <w:rsid w:val="00A01DDB"/>
    <w:rsid w:val="00A04217"/>
    <w:rsid w:val="00A0472B"/>
    <w:rsid w:val="00A047F5"/>
    <w:rsid w:val="00A049F1"/>
    <w:rsid w:val="00A056E3"/>
    <w:rsid w:val="00A05A3B"/>
    <w:rsid w:val="00A07CF7"/>
    <w:rsid w:val="00A108CE"/>
    <w:rsid w:val="00A135EF"/>
    <w:rsid w:val="00A13A36"/>
    <w:rsid w:val="00A214B2"/>
    <w:rsid w:val="00A2175F"/>
    <w:rsid w:val="00A263FF"/>
    <w:rsid w:val="00A2684C"/>
    <w:rsid w:val="00A30DF4"/>
    <w:rsid w:val="00A33CF8"/>
    <w:rsid w:val="00A344E6"/>
    <w:rsid w:val="00A34F99"/>
    <w:rsid w:val="00A3516F"/>
    <w:rsid w:val="00A35DEC"/>
    <w:rsid w:val="00A40883"/>
    <w:rsid w:val="00A41828"/>
    <w:rsid w:val="00A44674"/>
    <w:rsid w:val="00A503BF"/>
    <w:rsid w:val="00A535A9"/>
    <w:rsid w:val="00A538F2"/>
    <w:rsid w:val="00A56FDF"/>
    <w:rsid w:val="00A6477E"/>
    <w:rsid w:val="00A64D46"/>
    <w:rsid w:val="00A670AF"/>
    <w:rsid w:val="00A70DC7"/>
    <w:rsid w:val="00A72708"/>
    <w:rsid w:val="00A74BC3"/>
    <w:rsid w:val="00A755C6"/>
    <w:rsid w:val="00A768BA"/>
    <w:rsid w:val="00A77AD2"/>
    <w:rsid w:val="00A77B5C"/>
    <w:rsid w:val="00A77F85"/>
    <w:rsid w:val="00A80866"/>
    <w:rsid w:val="00A85EF6"/>
    <w:rsid w:val="00A86761"/>
    <w:rsid w:val="00A867D6"/>
    <w:rsid w:val="00A92306"/>
    <w:rsid w:val="00A92A46"/>
    <w:rsid w:val="00A94416"/>
    <w:rsid w:val="00A965A9"/>
    <w:rsid w:val="00AA05EE"/>
    <w:rsid w:val="00AA5DED"/>
    <w:rsid w:val="00AA5DF4"/>
    <w:rsid w:val="00AB3F67"/>
    <w:rsid w:val="00AB52BD"/>
    <w:rsid w:val="00AC04E3"/>
    <w:rsid w:val="00AC08F6"/>
    <w:rsid w:val="00AC277E"/>
    <w:rsid w:val="00AC2D99"/>
    <w:rsid w:val="00AC3CB6"/>
    <w:rsid w:val="00AD65DD"/>
    <w:rsid w:val="00AD72C8"/>
    <w:rsid w:val="00AE2166"/>
    <w:rsid w:val="00AE3A7A"/>
    <w:rsid w:val="00AE4BFD"/>
    <w:rsid w:val="00AF2C86"/>
    <w:rsid w:val="00AF410F"/>
    <w:rsid w:val="00AF56F4"/>
    <w:rsid w:val="00B067CA"/>
    <w:rsid w:val="00B11A7D"/>
    <w:rsid w:val="00B13DF5"/>
    <w:rsid w:val="00B14359"/>
    <w:rsid w:val="00B2022C"/>
    <w:rsid w:val="00B223BF"/>
    <w:rsid w:val="00B23BB0"/>
    <w:rsid w:val="00B256EB"/>
    <w:rsid w:val="00B324D7"/>
    <w:rsid w:val="00B35A73"/>
    <w:rsid w:val="00B400F0"/>
    <w:rsid w:val="00B43371"/>
    <w:rsid w:val="00B46BE5"/>
    <w:rsid w:val="00B4743E"/>
    <w:rsid w:val="00B51581"/>
    <w:rsid w:val="00B52865"/>
    <w:rsid w:val="00B53E24"/>
    <w:rsid w:val="00B54258"/>
    <w:rsid w:val="00B55D3F"/>
    <w:rsid w:val="00B57946"/>
    <w:rsid w:val="00B6138E"/>
    <w:rsid w:val="00B70527"/>
    <w:rsid w:val="00B7085D"/>
    <w:rsid w:val="00B75F54"/>
    <w:rsid w:val="00B80145"/>
    <w:rsid w:val="00B853D9"/>
    <w:rsid w:val="00B90028"/>
    <w:rsid w:val="00B91101"/>
    <w:rsid w:val="00B94AAA"/>
    <w:rsid w:val="00B964A8"/>
    <w:rsid w:val="00B97834"/>
    <w:rsid w:val="00B97AAE"/>
    <w:rsid w:val="00B97B8B"/>
    <w:rsid w:val="00BA3105"/>
    <w:rsid w:val="00BA5690"/>
    <w:rsid w:val="00BA5A56"/>
    <w:rsid w:val="00BA67CD"/>
    <w:rsid w:val="00BB122B"/>
    <w:rsid w:val="00BB53F3"/>
    <w:rsid w:val="00BC7EDA"/>
    <w:rsid w:val="00BD0EE4"/>
    <w:rsid w:val="00BD22F9"/>
    <w:rsid w:val="00BD3D69"/>
    <w:rsid w:val="00BD6919"/>
    <w:rsid w:val="00BE2077"/>
    <w:rsid w:val="00BE397A"/>
    <w:rsid w:val="00BE7944"/>
    <w:rsid w:val="00BF2E79"/>
    <w:rsid w:val="00BF7D22"/>
    <w:rsid w:val="00C00884"/>
    <w:rsid w:val="00C01278"/>
    <w:rsid w:val="00C063A8"/>
    <w:rsid w:val="00C11498"/>
    <w:rsid w:val="00C14083"/>
    <w:rsid w:val="00C20336"/>
    <w:rsid w:val="00C2107D"/>
    <w:rsid w:val="00C218EB"/>
    <w:rsid w:val="00C22A61"/>
    <w:rsid w:val="00C22F41"/>
    <w:rsid w:val="00C3179B"/>
    <w:rsid w:val="00C32B56"/>
    <w:rsid w:val="00C330A9"/>
    <w:rsid w:val="00C33404"/>
    <w:rsid w:val="00C34115"/>
    <w:rsid w:val="00C362DE"/>
    <w:rsid w:val="00C3703A"/>
    <w:rsid w:val="00C412A6"/>
    <w:rsid w:val="00C420DA"/>
    <w:rsid w:val="00C439E3"/>
    <w:rsid w:val="00C474C0"/>
    <w:rsid w:val="00C476FF"/>
    <w:rsid w:val="00C47BEB"/>
    <w:rsid w:val="00C51E90"/>
    <w:rsid w:val="00C55F9F"/>
    <w:rsid w:val="00C57443"/>
    <w:rsid w:val="00C6065E"/>
    <w:rsid w:val="00C660EE"/>
    <w:rsid w:val="00C67249"/>
    <w:rsid w:val="00C7330F"/>
    <w:rsid w:val="00C8033E"/>
    <w:rsid w:val="00C81CCB"/>
    <w:rsid w:val="00C83C0B"/>
    <w:rsid w:val="00C84536"/>
    <w:rsid w:val="00C84AE6"/>
    <w:rsid w:val="00C87ADE"/>
    <w:rsid w:val="00C91453"/>
    <w:rsid w:val="00C91F92"/>
    <w:rsid w:val="00C930F4"/>
    <w:rsid w:val="00C94158"/>
    <w:rsid w:val="00C947E8"/>
    <w:rsid w:val="00CA6CA9"/>
    <w:rsid w:val="00CB10F4"/>
    <w:rsid w:val="00CB4F68"/>
    <w:rsid w:val="00CC1E27"/>
    <w:rsid w:val="00CC1FC7"/>
    <w:rsid w:val="00CC2E47"/>
    <w:rsid w:val="00CC300F"/>
    <w:rsid w:val="00CC55B8"/>
    <w:rsid w:val="00CD0D5A"/>
    <w:rsid w:val="00CD7BBA"/>
    <w:rsid w:val="00CE65EE"/>
    <w:rsid w:val="00CF579A"/>
    <w:rsid w:val="00D0015F"/>
    <w:rsid w:val="00D0017B"/>
    <w:rsid w:val="00D04265"/>
    <w:rsid w:val="00D053BB"/>
    <w:rsid w:val="00D11560"/>
    <w:rsid w:val="00D11855"/>
    <w:rsid w:val="00D120AF"/>
    <w:rsid w:val="00D12453"/>
    <w:rsid w:val="00D12F41"/>
    <w:rsid w:val="00D1483E"/>
    <w:rsid w:val="00D14CFA"/>
    <w:rsid w:val="00D17CC5"/>
    <w:rsid w:val="00D2039E"/>
    <w:rsid w:val="00D2243B"/>
    <w:rsid w:val="00D25F81"/>
    <w:rsid w:val="00D31286"/>
    <w:rsid w:val="00D31CD6"/>
    <w:rsid w:val="00D33C7F"/>
    <w:rsid w:val="00D34155"/>
    <w:rsid w:val="00D34D5A"/>
    <w:rsid w:val="00D5195E"/>
    <w:rsid w:val="00D52925"/>
    <w:rsid w:val="00D57C88"/>
    <w:rsid w:val="00D60061"/>
    <w:rsid w:val="00D60383"/>
    <w:rsid w:val="00D608DD"/>
    <w:rsid w:val="00D60A79"/>
    <w:rsid w:val="00D66586"/>
    <w:rsid w:val="00D6673E"/>
    <w:rsid w:val="00D74938"/>
    <w:rsid w:val="00D826F8"/>
    <w:rsid w:val="00D83012"/>
    <w:rsid w:val="00D831F0"/>
    <w:rsid w:val="00D84C4C"/>
    <w:rsid w:val="00D85129"/>
    <w:rsid w:val="00D90A93"/>
    <w:rsid w:val="00D915A9"/>
    <w:rsid w:val="00D949BE"/>
    <w:rsid w:val="00D9528A"/>
    <w:rsid w:val="00D957F9"/>
    <w:rsid w:val="00D959A9"/>
    <w:rsid w:val="00D9713B"/>
    <w:rsid w:val="00D97CEC"/>
    <w:rsid w:val="00DA38BB"/>
    <w:rsid w:val="00DA5719"/>
    <w:rsid w:val="00DB0753"/>
    <w:rsid w:val="00DB0E98"/>
    <w:rsid w:val="00DB685E"/>
    <w:rsid w:val="00DB69B5"/>
    <w:rsid w:val="00DC0498"/>
    <w:rsid w:val="00DC1E0C"/>
    <w:rsid w:val="00DC3BFC"/>
    <w:rsid w:val="00DC59C9"/>
    <w:rsid w:val="00DC6C8D"/>
    <w:rsid w:val="00DC70A0"/>
    <w:rsid w:val="00DD1BCD"/>
    <w:rsid w:val="00DD45C3"/>
    <w:rsid w:val="00DD4C0F"/>
    <w:rsid w:val="00DD51C9"/>
    <w:rsid w:val="00DD58AA"/>
    <w:rsid w:val="00DD6FB6"/>
    <w:rsid w:val="00DE3EA1"/>
    <w:rsid w:val="00DE7D09"/>
    <w:rsid w:val="00DF2045"/>
    <w:rsid w:val="00DF250F"/>
    <w:rsid w:val="00DF3EB9"/>
    <w:rsid w:val="00DF542D"/>
    <w:rsid w:val="00E00658"/>
    <w:rsid w:val="00E02470"/>
    <w:rsid w:val="00E024E0"/>
    <w:rsid w:val="00E06F0E"/>
    <w:rsid w:val="00E07B47"/>
    <w:rsid w:val="00E10E44"/>
    <w:rsid w:val="00E11725"/>
    <w:rsid w:val="00E11A08"/>
    <w:rsid w:val="00E143A8"/>
    <w:rsid w:val="00E17BE3"/>
    <w:rsid w:val="00E17D84"/>
    <w:rsid w:val="00E20645"/>
    <w:rsid w:val="00E20AC9"/>
    <w:rsid w:val="00E212F3"/>
    <w:rsid w:val="00E217E5"/>
    <w:rsid w:val="00E23FA4"/>
    <w:rsid w:val="00E244CB"/>
    <w:rsid w:val="00E24D9D"/>
    <w:rsid w:val="00E26272"/>
    <w:rsid w:val="00E26DE9"/>
    <w:rsid w:val="00E30310"/>
    <w:rsid w:val="00E30F2B"/>
    <w:rsid w:val="00E3409B"/>
    <w:rsid w:val="00E340DF"/>
    <w:rsid w:val="00E3535F"/>
    <w:rsid w:val="00E35AF2"/>
    <w:rsid w:val="00E43A79"/>
    <w:rsid w:val="00E43C22"/>
    <w:rsid w:val="00E440CC"/>
    <w:rsid w:val="00E45585"/>
    <w:rsid w:val="00E47925"/>
    <w:rsid w:val="00E47FD3"/>
    <w:rsid w:val="00E518EB"/>
    <w:rsid w:val="00E5273A"/>
    <w:rsid w:val="00E57439"/>
    <w:rsid w:val="00E6018E"/>
    <w:rsid w:val="00E60AA8"/>
    <w:rsid w:val="00E6236A"/>
    <w:rsid w:val="00E65A02"/>
    <w:rsid w:val="00E6766B"/>
    <w:rsid w:val="00E71A26"/>
    <w:rsid w:val="00E73021"/>
    <w:rsid w:val="00E74059"/>
    <w:rsid w:val="00E76D34"/>
    <w:rsid w:val="00E7734A"/>
    <w:rsid w:val="00E81ED0"/>
    <w:rsid w:val="00E85300"/>
    <w:rsid w:val="00E90650"/>
    <w:rsid w:val="00E9258F"/>
    <w:rsid w:val="00E92774"/>
    <w:rsid w:val="00E94AA4"/>
    <w:rsid w:val="00E9639F"/>
    <w:rsid w:val="00E96A8E"/>
    <w:rsid w:val="00E96B00"/>
    <w:rsid w:val="00EA1045"/>
    <w:rsid w:val="00EA560A"/>
    <w:rsid w:val="00EA6CCB"/>
    <w:rsid w:val="00EA7B08"/>
    <w:rsid w:val="00EB20B3"/>
    <w:rsid w:val="00EB4945"/>
    <w:rsid w:val="00EB72F2"/>
    <w:rsid w:val="00EB7597"/>
    <w:rsid w:val="00EC0130"/>
    <w:rsid w:val="00EC1136"/>
    <w:rsid w:val="00EC2BD7"/>
    <w:rsid w:val="00EC5907"/>
    <w:rsid w:val="00EC6C8F"/>
    <w:rsid w:val="00EC794F"/>
    <w:rsid w:val="00ED0975"/>
    <w:rsid w:val="00ED0FD5"/>
    <w:rsid w:val="00ED2203"/>
    <w:rsid w:val="00ED27AC"/>
    <w:rsid w:val="00EE056E"/>
    <w:rsid w:val="00EE0CCA"/>
    <w:rsid w:val="00EE3CC1"/>
    <w:rsid w:val="00EE3FA7"/>
    <w:rsid w:val="00EE5569"/>
    <w:rsid w:val="00EF10B1"/>
    <w:rsid w:val="00EF4F91"/>
    <w:rsid w:val="00EF52D4"/>
    <w:rsid w:val="00EF5892"/>
    <w:rsid w:val="00EF66C8"/>
    <w:rsid w:val="00EF691F"/>
    <w:rsid w:val="00EF7705"/>
    <w:rsid w:val="00F01B66"/>
    <w:rsid w:val="00F01BB1"/>
    <w:rsid w:val="00F0316C"/>
    <w:rsid w:val="00F057AC"/>
    <w:rsid w:val="00F069B9"/>
    <w:rsid w:val="00F11C4C"/>
    <w:rsid w:val="00F12EC7"/>
    <w:rsid w:val="00F1356A"/>
    <w:rsid w:val="00F15991"/>
    <w:rsid w:val="00F15DA2"/>
    <w:rsid w:val="00F16B64"/>
    <w:rsid w:val="00F171C7"/>
    <w:rsid w:val="00F208B8"/>
    <w:rsid w:val="00F21C16"/>
    <w:rsid w:val="00F2262E"/>
    <w:rsid w:val="00F236D1"/>
    <w:rsid w:val="00F23BCF"/>
    <w:rsid w:val="00F23E26"/>
    <w:rsid w:val="00F30879"/>
    <w:rsid w:val="00F32494"/>
    <w:rsid w:val="00F339C7"/>
    <w:rsid w:val="00F37FA7"/>
    <w:rsid w:val="00F43117"/>
    <w:rsid w:val="00F44609"/>
    <w:rsid w:val="00F45FFA"/>
    <w:rsid w:val="00F46762"/>
    <w:rsid w:val="00F515C4"/>
    <w:rsid w:val="00F53060"/>
    <w:rsid w:val="00F575B1"/>
    <w:rsid w:val="00F623BF"/>
    <w:rsid w:val="00F650D9"/>
    <w:rsid w:val="00F65256"/>
    <w:rsid w:val="00F66FB6"/>
    <w:rsid w:val="00F71159"/>
    <w:rsid w:val="00F71231"/>
    <w:rsid w:val="00F71C3F"/>
    <w:rsid w:val="00F73BEF"/>
    <w:rsid w:val="00F74DFE"/>
    <w:rsid w:val="00F75F5A"/>
    <w:rsid w:val="00F81310"/>
    <w:rsid w:val="00F814B9"/>
    <w:rsid w:val="00F824BD"/>
    <w:rsid w:val="00F84D38"/>
    <w:rsid w:val="00F866F7"/>
    <w:rsid w:val="00F91D67"/>
    <w:rsid w:val="00F94C6E"/>
    <w:rsid w:val="00FA2A3E"/>
    <w:rsid w:val="00FA79FF"/>
    <w:rsid w:val="00FA7E20"/>
    <w:rsid w:val="00FB00B1"/>
    <w:rsid w:val="00FB3774"/>
    <w:rsid w:val="00FB47FD"/>
    <w:rsid w:val="00FB67CE"/>
    <w:rsid w:val="00FC090E"/>
    <w:rsid w:val="00FC1A1D"/>
    <w:rsid w:val="00FC2964"/>
    <w:rsid w:val="00FC3F24"/>
    <w:rsid w:val="00FC46F4"/>
    <w:rsid w:val="00FC4E21"/>
    <w:rsid w:val="00FC756E"/>
    <w:rsid w:val="00FC7EE5"/>
    <w:rsid w:val="00FD1DE9"/>
    <w:rsid w:val="00FD4808"/>
    <w:rsid w:val="00FD61D7"/>
    <w:rsid w:val="00FD7FCF"/>
    <w:rsid w:val="00FE0C11"/>
    <w:rsid w:val="00FE3C37"/>
    <w:rsid w:val="00FE49E0"/>
    <w:rsid w:val="00FE527F"/>
    <w:rsid w:val="00FF0692"/>
    <w:rsid w:val="00FF0858"/>
    <w:rsid w:val="00FF207A"/>
    <w:rsid w:val="00FF2D99"/>
    <w:rsid w:val="00FF4575"/>
    <w:rsid w:val="00FF699E"/>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uiPriority="99"/>
    <w:lsdException w:name="caption" w:locked="1" w:semiHidden="1" w:unhideWhenUsed="1" w:qFormat="1"/>
    <w:lsdException w:name="footnote reference" w:uiPriority="99"/>
    <w:lsdException w:name="page number" w:locked="1"/>
    <w:lsdException w:name="List 2" w:locked="1"/>
    <w:lsdException w:name="Title" w:locked="1" w:qFormat="1"/>
    <w:lsdException w:name="Default Paragraph Font" w:locked="1"/>
    <w:lsdException w:name="Subtitle" w:locked="1" w:qFormat="1"/>
    <w:lsdException w:name="Body Text Indent 3" w:locked="1"/>
    <w:lsdException w:name="Hyperlink" w:uiPriority="99"/>
    <w:lsdException w:name="Strong" w:locked="1" w:qFormat="1"/>
    <w:lsdException w:name="Emphasis" w:locked="1" w:qFormat="1"/>
    <w:lsdException w:name="Plain Text"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2E"/>
    <w:rPr>
      <w:sz w:val="24"/>
    </w:rPr>
  </w:style>
  <w:style w:type="paragraph" w:styleId="Heading1">
    <w:name w:val="heading 1"/>
    <w:basedOn w:val="Normal"/>
    <w:next w:val="Normal"/>
    <w:link w:val="Heading1Char"/>
    <w:autoRedefine/>
    <w:qFormat/>
    <w:rsid w:val="003B014C"/>
    <w:pPr>
      <w:keepNext/>
      <w:numPr>
        <w:numId w:val="28"/>
      </w:numPr>
      <w:spacing w:line="480" w:lineRule="auto"/>
      <w:ind w:left="720"/>
      <w:outlineLvl w:val="0"/>
    </w:pPr>
    <w:rPr>
      <w:rFonts w:ascii="Times New Roman Bold" w:eastAsia="Times New Roman" w:hAnsi="Times New Roman Bold"/>
      <w:b/>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11156"/>
    <w:pPr>
      <w:framePr w:w="7920" w:h="1980" w:hRule="exact" w:hSpace="180" w:wrap="auto" w:hAnchor="page" w:xAlign="center" w:yAlign="bottom"/>
      <w:ind w:left="2880"/>
    </w:pPr>
    <w:rPr>
      <w:rFonts w:ascii="Cambria" w:hAnsi="Cambria"/>
      <w:szCs w:val="24"/>
    </w:rPr>
  </w:style>
  <w:style w:type="character" w:customStyle="1" w:styleId="Heading1Char">
    <w:name w:val="Heading 1 Char"/>
    <w:link w:val="Heading1"/>
    <w:locked/>
    <w:rsid w:val="003B014C"/>
    <w:rPr>
      <w:rFonts w:ascii="Times New Roman Bold" w:eastAsia="Times New Roman" w:hAnsi="Times New Roman Bold"/>
      <w:b/>
      <w:caps/>
      <w:sz w:val="24"/>
      <w:lang w:val="x-none" w:eastAsia="x-none"/>
    </w:rPr>
  </w:style>
  <w:style w:type="paragraph" w:styleId="Header">
    <w:name w:val="header"/>
    <w:basedOn w:val="Normal"/>
    <w:link w:val="HeaderChar"/>
    <w:rsid w:val="00305489"/>
    <w:pPr>
      <w:tabs>
        <w:tab w:val="center" w:pos="4320"/>
        <w:tab w:val="right" w:pos="8640"/>
      </w:tabs>
    </w:pPr>
    <w:rPr>
      <w:rFonts w:eastAsia="Times New Roman"/>
      <w:sz w:val="20"/>
      <w:lang w:val="x-none" w:eastAsia="x-none"/>
    </w:rPr>
  </w:style>
  <w:style w:type="character" w:customStyle="1" w:styleId="HeaderChar">
    <w:name w:val="Header Char"/>
    <w:link w:val="Header"/>
    <w:locked/>
    <w:rsid w:val="00305489"/>
    <w:rPr>
      <w:rFonts w:eastAsia="Times New Roman" w:cs="Times New Roman"/>
      <w:sz w:val="20"/>
      <w:szCs w:val="20"/>
    </w:rPr>
  </w:style>
  <w:style w:type="paragraph" w:styleId="BodyTextIndent3">
    <w:name w:val="Body Text Indent 3"/>
    <w:basedOn w:val="Normal"/>
    <w:link w:val="BodyTextIndent3Char"/>
    <w:rsid w:val="00305489"/>
    <w:pPr>
      <w:tabs>
        <w:tab w:val="left" w:pos="0"/>
        <w:tab w:val="left" w:pos="144"/>
      </w:tabs>
      <w:suppressAutoHyphens/>
      <w:spacing w:line="480" w:lineRule="auto"/>
      <w:ind w:right="-720" w:firstLine="720"/>
    </w:pPr>
    <w:rPr>
      <w:rFonts w:eastAsia="Times New Roman"/>
      <w:sz w:val="20"/>
      <w:lang w:val="x-none" w:eastAsia="x-none"/>
    </w:rPr>
  </w:style>
  <w:style w:type="character" w:customStyle="1" w:styleId="BodyTextIndent3Char">
    <w:name w:val="Body Text Indent 3 Char"/>
    <w:link w:val="BodyTextIndent3"/>
    <w:locked/>
    <w:rsid w:val="00305489"/>
    <w:rPr>
      <w:rFonts w:eastAsia="Times New Roman" w:cs="Times New Roman"/>
      <w:sz w:val="20"/>
      <w:szCs w:val="20"/>
    </w:rPr>
  </w:style>
  <w:style w:type="paragraph" w:styleId="Footer">
    <w:name w:val="footer"/>
    <w:basedOn w:val="Normal"/>
    <w:link w:val="FooterChar"/>
    <w:uiPriority w:val="99"/>
    <w:rsid w:val="00305489"/>
    <w:pPr>
      <w:tabs>
        <w:tab w:val="center" w:pos="4320"/>
        <w:tab w:val="right" w:pos="8640"/>
      </w:tabs>
    </w:pPr>
    <w:rPr>
      <w:rFonts w:eastAsia="Times New Roman"/>
      <w:sz w:val="20"/>
      <w:lang w:val="x-none" w:eastAsia="x-none"/>
    </w:rPr>
  </w:style>
  <w:style w:type="character" w:customStyle="1" w:styleId="FooterChar">
    <w:name w:val="Footer Char"/>
    <w:link w:val="Footer"/>
    <w:uiPriority w:val="99"/>
    <w:locked/>
    <w:rsid w:val="00305489"/>
    <w:rPr>
      <w:rFonts w:eastAsia="Times New Roman" w:cs="Times New Roman"/>
      <w:sz w:val="20"/>
      <w:szCs w:val="20"/>
    </w:rPr>
  </w:style>
  <w:style w:type="character" w:styleId="PageNumber">
    <w:name w:val="page number"/>
    <w:rsid w:val="00305489"/>
    <w:rPr>
      <w:rFonts w:cs="Times New Roman"/>
    </w:rPr>
  </w:style>
  <w:style w:type="paragraph" w:styleId="PlainText">
    <w:name w:val="Plain Text"/>
    <w:basedOn w:val="Normal"/>
    <w:link w:val="PlainTextChar"/>
    <w:rsid w:val="00305489"/>
    <w:rPr>
      <w:rFonts w:ascii="Courier New" w:hAnsi="Courier New"/>
      <w:sz w:val="20"/>
      <w:lang w:val="x-none" w:eastAsia="x-none"/>
    </w:rPr>
  </w:style>
  <w:style w:type="character" w:customStyle="1" w:styleId="PlainTextChar">
    <w:name w:val="Plain Text Char"/>
    <w:link w:val="PlainText"/>
    <w:locked/>
    <w:rsid w:val="00305489"/>
    <w:rPr>
      <w:rFonts w:ascii="Courier New" w:hAnsi="Courier New" w:cs="Times New Roman"/>
      <w:sz w:val="20"/>
      <w:szCs w:val="20"/>
    </w:rPr>
  </w:style>
  <w:style w:type="paragraph" w:styleId="List2">
    <w:name w:val="List 2"/>
    <w:basedOn w:val="Normal"/>
    <w:rsid w:val="00305489"/>
    <w:pPr>
      <w:ind w:left="720" w:hanging="360"/>
    </w:pPr>
  </w:style>
  <w:style w:type="paragraph" w:styleId="Title">
    <w:name w:val="Title"/>
    <w:basedOn w:val="Normal"/>
    <w:link w:val="TitleChar"/>
    <w:qFormat/>
    <w:rsid w:val="00305489"/>
    <w:pPr>
      <w:jc w:val="center"/>
    </w:pPr>
    <w:rPr>
      <w:rFonts w:eastAsia="Times New Roman"/>
      <w:b/>
      <w:sz w:val="20"/>
      <w:lang w:val="x-none" w:eastAsia="x-none"/>
    </w:rPr>
  </w:style>
  <w:style w:type="character" w:customStyle="1" w:styleId="TitleChar">
    <w:name w:val="Title Char"/>
    <w:link w:val="Title"/>
    <w:locked/>
    <w:rsid w:val="00305489"/>
    <w:rPr>
      <w:rFonts w:eastAsia="Times New Roman" w:cs="Times New Roman"/>
      <w:b/>
      <w:sz w:val="20"/>
      <w:szCs w:val="20"/>
    </w:rPr>
  </w:style>
  <w:style w:type="paragraph" w:styleId="TOC2">
    <w:name w:val="toc 2"/>
    <w:basedOn w:val="Normal"/>
    <w:next w:val="Normal"/>
    <w:autoRedefine/>
    <w:semiHidden/>
    <w:rsid w:val="00305489"/>
    <w:pPr>
      <w:tabs>
        <w:tab w:val="right" w:leader="dot" w:pos="8640"/>
      </w:tabs>
    </w:pPr>
    <w:rPr>
      <w:smallCaps/>
    </w:rPr>
  </w:style>
  <w:style w:type="paragraph" w:styleId="HTMLPreformatted">
    <w:name w:val="HTML Preformatted"/>
    <w:basedOn w:val="Normal"/>
    <w:link w:val="HTMLPreformattedChar"/>
    <w:rsid w:val="0030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val="x-none" w:eastAsia="x-none"/>
    </w:rPr>
  </w:style>
  <w:style w:type="character" w:customStyle="1" w:styleId="HTMLPreformattedChar">
    <w:name w:val="HTML Preformatted Char"/>
    <w:link w:val="HTMLPreformatted"/>
    <w:locked/>
    <w:rsid w:val="00305489"/>
    <w:rPr>
      <w:rFonts w:ascii="Courier New" w:eastAsia="Times New Roman" w:hAnsi="Courier New" w:cs="Courier New"/>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rsid w:val="007F21B7"/>
    <w:rPr>
      <w:rFonts w:eastAsia="Times New Roman"/>
      <w:sz w:val="20"/>
      <w:lang w:val="x-none" w:eastAsia="x-none"/>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locked/>
    <w:rsid w:val="007F21B7"/>
    <w:rPr>
      <w:rFonts w:eastAsia="Times New Roman" w:cs="Times New Roman"/>
      <w:sz w:val="20"/>
      <w:szCs w:val="20"/>
    </w:rPr>
  </w:style>
  <w:style w:type="character" w:styleId="FootnoteReference">
    <w:name w:val="footnote reference"/>
    <w:aliases w:val="o,fr,Style 3,Style 13,Appel note de bas de p,Style 12,(NECG) Footnote Reference,Style 124"/>
    <w:uiPriority w:val="99"/>
    <w:semiHidden/>
    <w:rsid w:val="007F21B7"/>
    <w:rPr>
      <w:rFonts w:cs="Times New Roman"/>
      <w:vertAlign w:val="superscript"/>
    </w:rPr>
  </w:style>
  <w:style w:type="character" w:styleId="LineNumber">
    <w:name w:val="line number"/>
    <w:semiHidden/>
    <w:rsid w:val="008947E2"/>
    <w:rPr>
      <w:rFonts w:cs="Times New Roman"/>
    </w:rPr>
  </w:style>
  <w:style w:type="paragraph" w:styleId="BalloonText">
    <w:name w:val="Balloon Text"/>
    <w:basedOn w:val="Normal"/>
    <w:link w:val="BalloonTextChar"/>
    <w:semiHidden/>
    <w:rsid w:val="00D60383"/>
    <w:rPr>
      <w:rFonts w:ascii="Tahoma" w:hAnsi="Tahoma"/>
      <w:sz w:val="16"/>
      <w:szCs w:val="16"/>
      <w:lang w:val="x-none" w:eastAsia="x-none"/>
    </w:rPr>
  </w:style>
  <w:style w:type="character" w:customStyle="1" w:styleId="BalloonTextChar">
    <w:name w:val="Balloon Text Char"/>
    <w:link w:val="BalloonText"/>
    <w:semiHidden/>
    <w:locked/>
    <w:rsid w:val="00D60383"/>
    <w:rPr>
      <w:rFonts w:ascii="Tahoma" w:hAnsi="Tahoma" w:cs="Tahoma"/>
      <w:sz w:val="16"/>
      <w:szCs w:val="16"/>
    </w:rPr>
  </w:style>
  <w:style w:type="character" w:styleId="CommentReference">
    <w:name w:val="annotation reference"/>
    <w:semiHidden/>
    <w:rsid w:val="00C3179B"/>
    <w:rPr>
      <w:sz w:val="16"/>
      <w:szCs w:val="16"/>
    </w:rPr>
  </w:style>
  <w:style w:type="paragraph" w:styleId="CommentText">
    <w:name w:val="annotation text"/>
    <w:basedOn w:val="Normal"/>
    <w:semiHidden/>
    <w:rsid w:val="00C3179B"/>
    <w:rPr>
      <w:sz w:val="20"/>
    </w:rPr>
  </w:style>
  <w:style w:type="paragraph" w:styleId="CommentSubject">
    <w:name w:val="annotation subject"/>
    <w:basedOn w:val="CommentText"/>
    <w:next w:val="CommentText"/>
    <w:semiHidden/>
    <w:rsid w:val="00C3179B"/>
    <w:rPr>
      <w:b/>
      <w:bCs/>
    </w:rPr>
  </w:style>
  <w:style w:type="paragraph" w:styleId="TOC1">
    <w:name w:val="toc 1"/>
    <w:basedOn w:val="Normal"/>
    <w:next w:val="Normal"/>
    <w:autoRedefine/>
    <w:uiPriority w:val="39"/>
    <w:qFormat/>
    <w:locked/>
    <w:rsid w:val="004A53E7"/>
    <w:pPr>
      <w:tabs>
        <w:tab w:val="left" w:pos="720"/>
        <w:tab w:val="decimal" w:leader="dot" w:pos="8640"/>
      </w:tabs>
      <w:spacing w:after="240"/>
      <w:ind w:left="720" w:hanging="720"/>
    </w:pPr>
    <w:rPr>
      <w:caps/>
    </w:rPr>
  </w:style>
  <w:style w:type="character" w:styleId="Hyperlink">
    <w:name w:val="Hyperlink"/>
    <w:uiPriority w:val="99"/>
    <w:unhideWhenUsed/>
    <w:rsid w:val="004A53E7"/>
    <w:rPr>
      <w:color w:val="0000FF"/>
      <w:u w:val="single"/>
    </w:rPr>
  </w:style>
  <w:style w:type="paragraph" w:styleId="BodyText">
    <w:name w:val="Body Text"/>
    <w:basedOn w:val="Normal"/>
    <w:link w:val="BodyTextChar"/>
    <w:rsid w:val="00FB67CE"/>
    <w:pPr>
      <w:spacing w:after="120"/>
    </w:pPr>
    <w:rPr>
      <w:lang w:val="x-none" w:eastAsia="x-none"/>
    </w:rPr>
  </w:style>
  <w:style w:type="character" w:customStyle="1" w:styleId="BodyTextChar">
    <w:name w:val="Body Text Char"/>
    <w:link w:val="BodyText"/>
    <w:rsid w:val="00FB67CE"/>
    <w:rPr>
      <w:sz w:val="24"/>
    </w:rPr>
  </w:style>
  <w:style w:type="character" w:styleId="FollowedHyperlink">
    <w:name w:val="FollowedHyperlink"/>
    <w:rsid w:val="004E7F0E"/>
    <w:rPr>
      <w:color w:val="800080"/>
      <w:u w:val="single"/>
    </w:rPr>
  </w:style>
  <w:style w:type="paragraph" w:styleId="Closing">
    <w:name w:val="Closing"/>
    <w:basedOn w:val="Normal"/>
    <w:link w:val="ClosingChar"/>
    <w:rsid w:val="005A3A2E"/>
    <w:pPr>
      <w:ind w:left="4320"/>
    </w:pPr>
  </w:style>
  <w:style w:type="character" w:customStyle="1" w:styleId="ClosingChar">
    <w:name w:val="Closing Char"/>
    <w:link w:val="Closing"/>
    <w:rsid w:val="005A3A2E"/>
    <w:rPr>
      <w:sz w:val="24"/>
    </w:rPr>
  </w:style>
  <w:style w:type="paragraph" w:styleId="ListParagraph">
    <w:name w:val="List Paragraph"/>
    <w:basedOn w:val="Normal"/>
    <w:uiPriority w:val="34"/>
    <w:qFormat/>
    <w:rsid w:val="00F71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uiPriority="99"/>
    <w:lsdException w:name="caption" w:locked="1" w:semiHidden="1" w:unhideWhenUsed="1" w:qFormat="1"/>
    <w:lsdException w:name="footnote reference" w:uiPriority="99"/>
    <w:lsdException w:name="page number" w:locked="1"/>
    <w:lsdException w:name="List 2" w:locked="1"/>
    <w:lsdException w:name="Title" w:locked="1" w:qFormat="1"/>
    <w:lsdException w:name="Default Paragraph Font" w:locked="1"/>
    <w:lsdException w:name="Subtitle" w:locked="1" w:qFormat="1"/>
    <w:lsdException w:name="Body Text Indent 3" w:locked="1"/>
    <w:lsdException w:name="Hyperlink" w:uiPriority="99"/>
    <w:lsdException w:name="Strong" w:locked="1" w:qFormat="1"/>
    <w:lsdException w:name="Emphasis" w:locked="1" w:qFormat="1"/>
    <w:lsdException w:name="Plain Text"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2E"/>
    <w:rPr>
      <w:sz w:val="24"/>
    </w:rPr>
  </w:style>
  <w:style w:type="paragraph" w:styleId="Heading1">
    <w:name w:val="heading 1"/>
    <w:basedOn w:val="Normal"/>
    <w:next w:val="Normal"/>
    <w:link w:val="Heading1Char"/>
    <w:autoRedefine/>
    <w:qFormat/>
    <w:rsid w:val="003B014C"/>
    <w:pPr>
      <w:keepNext/>
      <w:numPr>
        <w:numId w:val="28"/>
      </w:numPr>
      <w:spacing w:line="480" w:lineRule="auto"/>
      <w:ind w:left="720"/>
      <w:outlineLvl w:val="0"/>
    </w:pPr>
    <w:rPr>
      <w:rFonts w:ascii="Times New Roman Bold" w:eastAsia="Times New Roman" w:hAnsi="Times New Roman Bold"/>
      <w:b/>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11156"/>
    <w:pPr>
      <w:framePr w:w="7920" w:h="1980" w:hRule="exact" w:hSpace="180" w:wrap="auto" w:hAnchor="page" w:xAlign="center" w:yAlign="bottom"/>
      <w:ind w:left="2880"/>
    </w:pPr>
    <w:rPr>
      <w:rFonts w:ascii="Cambria" w:hAnsi="Cambria"/>
      <w:szCs w:val="24"/>
    </w:rPr>
  </w:style>
  <w:style w:type="character" w:customStyle="1" w:styleId="Heading1Char">
    <w:name w:val="Heading 1 Char"/>
    <w:link w:val="Heading1"/>
    <w:locked/>
    <w:rsid w:val="003B014C"/>
    <w:rPr>
      <w:rFonts w:ascii="Times New Roman Bold" w:eastAsia="Times New Roman" w:hAnsi="Times New Roman Bold"/>
      <w:b/>
      <w:caps/>
      <w:sz w:val="24"/>
      <w:lang w:val="x-none" w:eastAsia="x-none"/>
    </w:rPr>
  </w:style>
  <w:style w:type="paragraph" w:styleId="Header">
    <w:name w:val="header"/>
    <w:basedOn w:val="Normal"/>
    <w:link w:val="HeaderChar"/>
    <w:rsid w:val="00305489"/>
    <w:pPr>
      <w:tabs>
        <w:tab w:val="center" w:pos="4320"/>
        <w:tab w:val="right" w:pos="8640"/>
      </w:tabs>
    </w:pPr>
    <w:rPr>
      <w:rFonts w:eastAsia="Times New Roman"/>
      <w:sz w:val="20"/>
      <w:lang w:val="x-none" w:eastAsia="x-none"/>
    </w:rPr>
  </w:style>
  <w:style w:type="character" w:customStyle="1" w:styleId="HeaderChar">
    <w:name w:val="Header Char"/>
    <w:link w:val="Header"/>
    <w:locked/>
    <w:rsid w:val="00305489"/>
    <w:rPr>
      <w:rFonts w:eastAsia="Times New Roman" w:cs="Times New Roman"/>
      <w:sz w:val="20"/>
      <w:szCs w:val="20"/>
    </w:rPr>
  </w:style>
  <w:style w:type="paragraph" w:styleId="BodyTextIndent3">
    <w:name w:val="Body Text Indent 3"/>
    <w:basedOn w:val="Normal"/>
    <w:link w:val="BodyTextIndent3Char"/>
    <w:rsid w:val="00305489"/>
    <w:pPr>
      <w:tabs>
        <w:tab w:val="left" w:pos="0"/>
        <w:tab w:val="left" w:pos="144"/>
      </w:tabs>
      <w:suppressAutoHyphens/>
      <w:spacing w:line="480" w:lineRule="auto"/>
      <w:ind w:right="-720" w:firstLine="720"/>
    </w:pPr>
    <w:rPr>
      <w:rFonts w:eastAsia="Times New Roman"/>
      <w:sz w:val="20"/>
      <w:lang w:val="x-none" w:eastAsia="x-none"/>
    </w:rPr>
  </w:style>
  <w:style w:type="character" w:customStyle="1" w:styleId="BodyTextIndent3Char">
    <w:name w:val="Body Text Indent 3 Char"/>
    <w:link w:val="BodyTextIndent3"/>
    <w:locked/>
    <w:rsid w:val="00305489"/>
    <w:rPr>
      <w:rFonts w:eastAsia="Times New Roman" w:cs="Times New Roman"/>
      <w:sz w:val="20"/>
      <w:szCs w:val="20"/>
    </w:rPr>
  </w:style>
  <w:style w:type="paragraph" w:styleId="Footer">
    <w:name w:val="footer"/>
    <w:basedOn w:val="Normal"/>
    <w:link w:val="FooterChar"/>
    <w:uiPriority w:val="99"/>
    <w:rsid w:val="00305489"/>
    <w:pPr>
      <w:tabs>
        <w:tab w:val="center" w:pos="4320"/>
        <w:tab w:val="right" w:pos="8640"/>
      </w:tabs>
    </w:pPr>
    <w:rPr>
      <w:rFonts w:eastAsia="Times New Roman"/>
      <w:sz w:val="20"/>
      <w:lang w:val="x-none" w:eastAsia="x-none"/>
    </w:rPr>
  </w:style>
  <w:style w:type="character" w:customStyle="1" w:styleId="FooterChar">
    <w:name w:val="Footer Char"/>
    <w:link w:val="Footer"/>
    <w:uiPriority w:val="99"/>
    <w:locked/>
    <w:rsid w:val="00305489"/>
    <w:rPr>
      <w:rFonts w:eastAsia="Times New Roman" w:cs="Times New Roman"/>
      <w:sz w:val="20"/>
      <w:szCs w:val="20"/>
    </w:rPr>
  </w:style>
  <w:style w:type="character" w:styleId="PageNumber">
    <w:name w:val="page number"/>
    <w:rsid w:val="00305489"/>
    <w:rPr>
      <w:rFonts w:cs="Times New Roman"/>
    </w:rPr>
  </w:style>
  <w:style w:type="paragraph" w:styleId="PlainText">
    <w:name w:val="Plain Text"/>
    <w:basedOn w:val="Normal"/>
    <w:link w:val="PlainTextChar"/>
    <w:rsid w:val="00305489"/>
    <w:rPr>
      <w:rFonts w:ascii="Courier New" w:hAnsi="Courier New"/>
      <w:sz w:val="20"/>
      <w:lang w:val="x-none" w:eastAsia="x-none"/>
    </w:rPr>
  </w:style>
  <w:style w:type="character" w:customStyle="1" w:styleId="PlainTextChar">
    <w:name w:val="Plain Text Char"/>
    <w:link w:val="PlainText"/>
    <w:locked/>
    <w:rsid w:val="00305489"/>
    <w:rPr>
      <w:rFonts w:ascii="Courier New" w:hAnsi="Courier New" w:cs="Times New Roman"/>
      <w:sz w:val="20"/>
      <w:szCs w:val="20"/>
    </w:rPr>
  </w:style>
  <w:style w:type="paragraph" w:styleId="List2">
    <w:name w:val="List 2"/>
    <w:basedOn w:val="Normal"/>
    <w:rsid w:val="00305489"/>
    <w:pPr>
      <w:ind w:left="720" w:hanging="360"/>
    </w:pPr>
  </w:style>
  <w:style w:type="paragraph" w:styleId="Title">
    <w:name w:val="Title"/>
    <w:basedOn w:val="Normal"/>
    <w:link w:val="TitleChar"/>
    <w:qFormat/>
    <w:rsid w:val="00305489"/>
    <w:pPr>
      <w:jc w:val="center"/>
    </w:pPr>
    <w:rPr>
      <w:rFonts w:eastAsia="Times New Roman"/>
      <w:b/>
      <w:sz w:val="20"/>
      <w:lang w:val="x-none" w:eastAsia="x-none"/>
    </w:rPr>
  </w:style>
  <w:style w:type="character" w:customStyle="1" w:styleId="TitleChar">
    <w:name w:val="Title Char"/>
    <w:link w:val="Title"/>
    <w:locked/>
    <w:rsid w:val="00305489"/>
    <w:rPr>
      <w:rFonts w:eastAsia="Times New Roman" w:cs="Times New Roman"/>
      <w:b/>
      <w:sz w:val="20"/>
      <w:szCs w:val="20"/>
    </w:rPr>
  </w:style>
  <w:style w:type="paragraph" w:styleId="TOC2">
    <w:name w:val="toc 2"/>
    <w:basedOn w:val="Normal"/>
    <w:next w:val="Normal"/>
    <w:autoRedefine/>
    <w:semiHidden/>
    <w:rsid w:val="00305489"/>
    <w:pPr>
      <w:tabs>
        <w:tab w:val="right" w:leader="dot" w:pos="8640"/>
      </w:tabs>
    </w:pPr>
    <w:rPr>
      <w:smallCaps/>
    </w:rPr>
  </w:style>
  <w:style w:type="paragraph" w:styleId="HTMLPreformatted">
    <w:name w:val="HTML Preformatted"/>
    <w:basedOn w:val="Normal"/>
    <w:link w:val="HTMLPreformattedChar"/>
    <w:rsid w:val="0030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val="x-none" w:eastAsia="x-none"/>
    </w:rPr>
  </w:style>
  <w:style w:type="character" w:customStyle="1" w:styleId="HTMLPreformattedChar">
    <w:name w:val="HTML Preformatted Char"/>
    <w:link w:val="HTMLPreformatted"/>
    <w:locked/>
    <w:rsid w:val="00305489"/>
    <w:rPr>
      <w:rFonts w:ascii="Courier New" w:eastAsia="Times New Roman" w:hAnsi="Courier New" w:cs="Courier New"/>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rsid w:val="007F21B7"/>
    <w:rPr>
      <w:rFonts w:eastAsia="Times New Roman"/>
      <w:sz w:val="20"/>
      <w:lang w:val="x-none" w:eastAsia="x-none"/>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locked/>
    <w:rsid w:val="007F21B7"/>
    <w:rPr>
      <w:rFonts w:eastAsia="Times New Roman" w:cs="Times New Roman"/>
      <w:sz w:val="20"/>
      <w:szCs w:val="20"/>
    </w:rPr>
  </w:style>
  <w:style w:type="character" w:styleId="FootnoteReference">
    <w:name w:val="footnote reference"/>
    <w:aliases w:val="o,fr,Style 3,Style 13,Appel note de bas de p,Style 12,(NECG) Footnote Reference,Style 124"/>
    <w:uiPriority w:val="99"/>
    <w:semiHidden/>
    <w:rsid w:val="007F21B7"/>
    <w:rPr>
      <w:rFonts w:cs="Times New Roman"/>
      <w:vertAlign w:val="superscript"/>
    </w:rPr>
  </w:style>
  <w:style w:type="character" w:styleId="LineNumber">
    <w:name w:val="line number"/>
    <w:semiHidden/>
    <w:rsid w:val="008947E2"/>
    <w:rPr>
      <w:rFonts w:cs="Times New Roman"/>
    </w:rPr>
  </w:style>
  <w:style w:type="paragraph" w:styleId="BalloonText">
    <w:name w:val="Balloon Text"/>
    <w:basedOn w:val="Normal"/>
    <w:link w:val="BalloonTextChar"/>
    <w:semiHidden/>
    <w:rsid w:val="00D60383"/>
    <w:rPr>
      <w:rFonts w:ascii="Tahoma" w:hAnsi="Tahoma"/>
      <w:sz w:val="16"/>
      <w:szCs w:val="16"/>
      <w:lang w:val="x-none" w:eastAsia="x-none"/>
    </w:rPr>
  </w:style>
  <w:style w:type="character" w:customStyle="1" w:styleId="BalloonTextChar">
    <w:name w:val="Balloon Text Char"/>
    <w:link w:val="BalloonText"/>
    <w:semiHidden/>
    <w:locked/>
    <w:rsid w:val="00D60383"/>
    <w:rPr>
      <w:rFonts w:ascii="Tahoma" w:hAnsi="Tahoma" w:cs="Tahoma"/>
      <w:sz w:val="16"/>
      <w:szCs w:val="16"/>
    </w:rPr>
  </w:style>
  <w:style w:type="character" w:styleId="CommentReference">
    <w:name w:val="annotation reference"/>
    <w:semiHidden/>
    <w:rsid w:val="00C3179B"/>
    <w:rPr>
      <w:sz w:val="16"/>
      <w:szCs w:val="16"/>
    </w:rPr>
  </w:style>
  <w:style w:type="paragraph" w:styleId="CommentText">
    <w:name w:val="annotation text"/>
    <w:basedOn w:val="Normal"/>
    <w:semiHidden/>
    <w:rsid w:val="00C3179B"/>
    <w:rPr>
      <w:sz w:val="20"/>
    </w:rPr>
  </w:style>
  <w:style w:type="paragraph" w:styleId="CommentSubject">
    <w:name w:val="annotation subject"/>
    <w:basedOn w:val="CommentText"/>
    <w:next w:val="CommentText"/>
    <w:semiHidden/>
    <w:rsid w:val="00C3179B"/>
    <w:rPr>
      <w:b/>
      <w:bCs/>
    </w:rPr>
  </w:style>
  <w:style w:type="paragraph" w:styleId="TOC1">
    <w:name w:val="toc 1"/>
    <w:basedOn w:val="Normal"/>
    <w:next w:val="Normal"/>
    <w:autoRedefine/>
    <w:uiPriority w:val="39"/>
    <w:qFormat/>
    <w:locked/>
    <w:rsid w:val="004A53E7"/>
    <w:pPr>
      <w:tabs>
        <w:tab w:val="left" w:pos="720"/>
        <w:tab w:val="decimal" w:leader="dot" w:pos="8640"/>
      </w:tabs>
      <w:spacing w:after="240"/>
      <w:ind w:left="720" w:hanging="720"/>
    </w:pPr>
    <w:rPr>
      <w:caps/>
    </w:rPr>
  </w:style>
  <w:style w:type="character" w:styleId="Hyperlink">
    <w:name w:val="Hyperlink"/>
    <w:uiPriority w:val="99"/>
    <w:unhideWhenUsed/>
    <w:rsid w:val="004A53E7"/>
    <w:rPr>
      <w:color w:val="0000FF"/>
      <w:u w:val="single"/>
    </w:rPr>
  </w:style>
  <w:style w:type="paragraph" w:styleId="BodyText">
    <w:name w:val="Body Text"/>
    <w:basedOn w:val="Normal"/>
    <w:link w:val="BodyTextChar"/>
    <w:rsid w:val="00FB67CE"/>
    <w:pPr>
      <w:spacing w:after="120"/>
    </w:pPr>
    <w:rPr>
      <w:lang w:val="x-none" w:eastAsia="x-none"/>
    </w:rPr>
  </w:style>
  <w:style w:type="character" w:customStyle="1" w:styleId="BodyTextChar">
    <w:name w:val="Body Text Char"/>
    <w:link w:val="BodyText"/>
    <w:rsid w:val="00FB67CE"/>
    <w:rPr>
      <w:sz w:val="24"/>
    </w:rPr>
  </w:style>
  <w:style w:type="character" w:styleId="FollowedHyperlink">
    <w:name w:val="FollowedHyperlink"/>
    <w:rsid w:val="004E7F0E"/>
    <w:rPr>
      <w:color w:val="800080"/>
      <w:u w:val="single"/>
    </w:rPr>
  </w:style>
  <w:style w:type="paragraph" w:styleId="Closing">
    <w:name w:val="Closing"/>
    <w:basedOn w:val="Normal"/>
    <w:link w:val="ClosingChar"/>
    <w:rsid w:val="005A3A2E"/>
    <w:pPr>
      <w:ind w:left="4320"/>
    </w:pPr>
  </w:style>
  <w:style w:type="character" w:customStyle="1" w:styleId="ClosingChar">
    <w:name w:val="Closing Char"/>
    <w:link w:val="Closing"/>
    <w:rsid w:val="005A3A2E"/>
    <w:rPr>
      <w:sz w:val="24"/>
    </w:rPr>
  </w:style>
  <w:style w:type="paragraph" w:styleId="ListParagraph">
    <w:name w:val="List Paragraph"/>
    <w:basedOn w:val="Normal"/>
    <w:uiPriority w:val="34"/>
    <w:qFormat/>
    <w:rsid w:val="00F7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481226">
      <w:bodyDiv w:val="1"/>
      <w:marLeft w:val="0"/>
      <w:marRight w:val="0"/>
      <w:marTop w:val="0"/>
      <w:marBottom w:val="0"/>
      <w:divBdr>
        <w:top w:val="none" w:sz="0" w:space="0" w:color="auto"/>
        <w:left w:val="none" w:sz="0" w:space="0" w:color="auto"/>
        <w:bottom w:val="none" w:sz="0" w:space="0" w:color="auto"/>
        <w:right w:val="none" w:sz="0" w:space="0" w:color="auto"/>
      </w:divBdr>
    </w:div>
    <w:div w:id="184752838">
      <w:bodyDiv w:val="1"/>
      <w:marLeft w:val="0"/>
      <w:marRight w:val="0"/>
      <w:marTop w:val="0"/>
      <w:marBottom w:val="0"/>
      <w:divBdr>
        <w:top w:val="none" w:sz="0" w:space="0" w:color="auto"/>
        <w:left w:val="none" w:sz="0" w:space="0" w:color="auto"/>
        <w:bottom w:val="none" w:sz="0" w:space="0" w:color="auto"/>
        <w:right w:val="none" w:sz="0" w:space="0" w:color="auto"/>
      </w:divBdr>
    </w:div>
    <w:div w:id="225259766">
      <w:bodyDiv w:val="1"/>
      <w:marLeft w:val="0"/>
      <w:marRight w:val="0"/>
      <w:marTop w:val="0"/>
      <w:marBottom w:val="0"/>
      <w:divBdr>
        <w:top w:val="none" w:sz="0" w:space="0" w:color="auto"/>
        <w:left w:val="none" w:sz="0" w:space="0" w:color="auto"/>
        <w:bottom w:val="none" w:sz="0" w:space="0" w:color="auto"/>
        <w:right w:val="none" w:sz="0" w:space="0" w:color="auto"/>
      </w:divBdr>
    </w:div>
    <w:div w:id="277807727">
      <w:bodyDiv w:val="1"/>
      <w:marLeft w:val="0"/>
      <w:marRight w:val="0"/>
      <w:marTop w:val="0"/>
      <w:marBottom w:val="0"/>
      <w:divBdr>
        <w:top w:val="none" w:sz="0" w:space="0" w:color="auto"/>
        <w:left w:val="none" w:sz="0" w:space="0" w:color="auto"/>
        <w:bottom w:val="none" w:sz="0" w:space="0" w:color="auto"/>
        <w:right w:val="none" w:sz="0" w:space="0" w:color="auto"/>
      </w:divBdr>
    </w:div>
    <w:div w:id="312569599">
      <w:bodyDiv w:val="1"/>
      <w:marLeft w:val="0"/>
      <w:marRight w:val="0"/>
      <w:marTop w:val="0"/>
      <w:marBottom w:val="0"/>
      <w:divBdr>
        <w:top w:val="none" w:sz="0" w:space="0" w:color="auto"/>
        <w:left w:val="none" w:sz="0" w:space="0" w:color="auto"/>
        <w:bottom w:val="none" w:sz="0" w:space="0" w:color="auto"/>
        <w:right w:val="none" w:sz="0" w:space="0" w:color="auto"/>
      </w:divBdr>
    </w:div>
    <w:div w:id="869757139">
      <w:bodyDiv w:val="1"/>
      <w:marLeft w:val="0"/>
      <w:marRight w:val="0"/>
      <w:marTop w:val="0"/>
      <w:marBottom w:val="0"/>
      <w:divBdr>
        <w:top w:val="none" w:sz="0" w:space="0" w:color="auto"/>
        <w:left w:val="none" w:sz="0" w:space="0" w:color="auto"/>
        <w:bottom w:val="none" w:sz="0" w:space="0" w:color="auto"/>
        <w:right w:val="none" w:sz="0" w:space="0" w:color="auto"/>
      </w:divBdr>
    </w:div>
    <w:div w:id="1178958844">
      <w:bodyDiv w:val="1"/>
      <w:marLeft w:val="0"/>
      <w:marRight w:val="0"/>
      <w:marTop w:val="0"/>
      <w:marBottom w:val="0"/>
      <w:divBdr>
        <w:top w:val="none" w:sz="0" w:space="0" w:color="auto"/>
        <w:left w:val="none" w:sz="0" w:space="0" w:color="auto"/>
        <w:bottom w:val="none" w:sz="0" w:space="0" w:color="auto"/>
        <w:right w:val="none" w:sz="0" w:space="0" w:color="auto"/>
      </w:divBdr>
    </w:div>
    <w:div w:id="1210259989">
      <w:bodyDiv w:val="1"/>
      <w:marLeft w:val="0"/>
      <w:marRight w:val="0"/>
      <w:marTop w:val="0"/>
      <w:marBottom w:val="0"/>
      <w:divBdr>
        <w:top w:val="none" w:sz="0" w:space="0" w:color="auto"/>
        <w:left w:val="none" w:sz="0" w:space="0" w:color="auto"/>
        <w:bottom w:val="none" w:sz="0" w:space="0" w:color="auto"/>
        <w:right w:val="none" w:sz="0" w:space="0" w:color="auto"/>
      </w:divBdr>
    </w:div>
    <w:div w:id="1320184880">
      <w:bodyDiv w:val="1"/>
      <w:marLeft w:val="0"/>
      <w:marRight w:val="0"/>
      <w:marTop w:val="0"/>
      <w:marBottom w:val="0"/>
      <w:divBdr>
        <w:top w:val="none" w:sz="0" w:space="0" w:color="auto"/>
        <w:left w:val="none" w:sz="0" w:space="0" w:color="auto"/>
        <w:bottom w:val="none" w:sz="0" w:space="0" w:color="auto"/>
        <w:right w:val="none" w:sz="0" w:space="0" w:color="auto"/>
      </w:divBdr>
    </w:div>
    <w:div w:id="1333290960">
      <w:bodyDiv w:val="1"/>
      <w:marLeft w:val="0"/>
      <w:marRight w:val="0"/>
      <w:marTop w:val="0"/>
      <w:marBottom w:val="0"/>
      <w:divBdr>
        <w:top w:val="none" w:sz="0" w:space="0" w:color="auto"/>
        <w:left w:val="none" w:sz="0" w:space="0" w:color="auto"/>
        <w:bottom w:val="none" w:sz="0" w:space="0" w:color="auto"/>
        <w:right w:val="none" w:sz="0" w:space="0" w:color="auto"/>
      </w:divBdr>
    </w:div>
    <w:div w:id="1398211344">
      <w:bodyDiv w:val="1"/>
      <w:marLeft w:val="0"/>
      <w:marRight w:val="0"/>
      <w:marTop w:val="0"/>
      <w:marBottom w:val="0"/>
      <w:divBdr>
        <w:top w:val="none" w:sz="0" w:space="0" w:color="auto"/>
        <w:left w:val="none" w:sz="0" w:space="0" w:color="auto"/>
        <w:bottom w:val="none" w:sz="0" w:space="0" w:color="auto"/>
        <w:right w:val="none" w:sz="0" w:space="0" w:color="auto"/>
      </w:divBdr>
    </w:div>
    <w:div w:id="1556159477">
      <w:bodyDiv w:val="1"/>
      <w:marLeft w:val="0"/>
      <w:marRight w:val="0"/>
      <w:marTop w:val="0"/>
      <w:marBottom w:val="0"/>
      <w:divBdr>
        <w:top w:val="none" w:sz="0" w:space="0" w:color="auto"/>
        <w:left w:val="none" w:sz="0" w:space="0" w:color="auto"/>
        <w:bottom w:val="none" w:sz="0" w:space="0" w:color="auto"/>
        <w:right w:val="none" w:sz="0" w:space="0" w:color="auto"/>
      </w:divBdr>
    </w:div>
    <w:div w:id="1665206967">
      <w:bodyDiv w:val="1"/>
      <w:marLeft w:val="0"/>
      <w:marRight w:val="0"/>
      <w:marTop w:val="0"/>
      <w:marBottom w:val="0"/>
      <w:divBdr>
        <w:top w:val="none" w:sz="0" w:space="0" w:color="auto"/>
        <w:left w:val="none" w:sz="0" w:space="0" w:color="auto"/>
        <w:bottom w:val="none" w:sz="0" w:space="0" w:color="auto"/>
        <w:right w:val="none" w:sz="0" w:space="0" w:color="auto"/>
      </w:divBdr>
    </w:div>
    <w:div w:id="18438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chamberlain@okenergylaw.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vickers@elpc.or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Nicholas.wastra@puc.state.oh.us" TargetMode="Externa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hristime.pirik@puc.state.oh.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6448</Words>
  <Characters>34847</Characters>
  <Application>Microsoft Office Word</Application>
  <DocSecurity>0</DocSecurity>
  <Lines>900</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41187</CharactersWithSpaces>
  <SharedDoc>false</SharedDoc>
  <HyperlinkBase> </HyperlinkBase>
  <HLinks>
    <vt:vector size="66" baseType="variant">
      <vt:variant>
        <vt:i4>4128768</vt:i4>
      </vt:variant>
      <vt:variant>
        <vt:i4>54</vt:i4>
      </vt:variant>
      <vt:variant>
        <vt:i4>0</vt:i4>
      </vt:variant>
      <vt:variant>
        <vt:i4>5</vt:i4>
      </vt:variant>
      <vt:variant>
        <vt:lpwstr>mailto:jvickers@elpc.org</vt:lpwstr>
      </vt:variant>
      <vt:variant>
        <vt:lpwstr/>
      </vt:variant>
      <vt:variant>
        <vt:i4>7143434</vt:i4>
      </vt:variant>
      <vt:variant>
        <vt:i4>51</vt:i4>
      </vt:variant>
      <vt:variant>
        <vt:i4>0</vt:i4>
      </vt:variant>
      <vt:variant>
        <vt:i4>5</vt:i4>
      </vt:variant>
      <vt:variant>
        <vt:lpwstr>mailto:Nicholas.wastra@puc.state.oh.us</vt:lpwstr>
      </vt:variant>
      <vt:variant>
        <vt:lpwstr/>
      </vt:variant>
      <vt:variant>
        <vt:i4>3342420</vt:i4>
      </vt:variant>
      <vt:variant>
        <vt:i4>48</vt:i4>
      </vt:variant>
      <vt:variant>
        <vt:i4>0</vt:i4>
      </vt:variant>
      <vt:variant>
        <vt:i4>5</vt:i4>
      </vt:variant>
      <vt:variant>
        <vt:lpwstr>mailto:christime.pirik@puc.state.oh.us</vt:lpwstr>
      </vt:variant>
      <vt:variant>
        <vt:lpwstr/>
      </vt:variant>
      <vt:variant>
        <vt:i4>1769511</vt:i4>
      </vt:variant>
      <vt:variant>
        <vt:i4>45</vt:i4>
      </vt:variant>
      <vt:variant>
        <vt:i4>0</vt:i4>
      </vt:variant>
      <vt:variant>
        <vt:i4>5</vt:i4>
      </vt:variant>
      <vt:variant>
        <vt:lpwstr>mailto:rchamberlain@okenergylaw.com</vt:lpwstr>
      </vt:variant>
      <vt:variant>
        <vt:lpwstr/>
      </vt:variant>
      <vt:variant>
        <vt:i4>2031672</vt:i4>
      </vt:variant>
      <vt:variant>
        <vt:i4>38</vt:i4>
      </vt:variant>
      <vt:variant>
        <vt:i4>0</vt:i4>
      </vt:variant>
      <vt:variant>
        <vt:i4>5</vt:i4>
      </vt:variant>
      <vt:variant>
        <vt:lpwstr/>
      </vt:variant>
      <vt:variant>
        <vt:lpwstr>_Toc398562563</vt:lpwstr>
      </vt:variant>
      <vt:variant>
        <vt:i4>2031672</vt:i4>
      </vt:variant>
      <vt:variant>
        <vt:i4>32</vt:i4>
      </vt:variant>
      <vt:variant>
        <vt:i4>0</vt:i4>
      </vt:variant>
      <vt:variant>
        <vt:i4>5</vt:i4>
      </vt:variant>
      <vt:variant>
        <vt:lpwstr/>
      </vt:variant>
      <vt:variant>
        <vt:lpwstr>_Toc398562562</vt:lpwstr>
      </vt:variant>
      <vt:variant>
        <vt:i4>2031672</vt:i4>
      </vt:variant>
      <vt:variant>
        <vt:i4>26</vt:i4>
      </vt:variant>
      <vt:variant>
        <vt:i4>0</vt:i4>
      </vt:variant>
      <vt:variant>
        <vt:i4>5</vt:i4>
      </vt:variant>
      <vt:variant>
        <vt:lpwstr/>
      </vt:variant>
      <vt:variant>
        <vt:lpwstr>_Toc398562561</vt:lpwstr>
      </vt:variant>
      <vt:variant>
        <vt:i4>2031672</vt:i4>
      </vt:variant>
      <vt:variant>
        <vt:i4>20</vt:i4>
      </vt:variant>
      <vt:variant>
        <vt:i4>0</vt:i4>
      </vt:variant>
      <vt:variant>
        <vt:i4>5</vt:i4>
      </vt:variant>
      <vt:variant>
        <vt:lpwstr/>
      </vt:variant>
      <vt:variant>
        <vt:lpwstr>_Toc398562560</vt:lpwstr>
      </vt:variant>
      <vt:variant>
        <vt:i4>1835064</vt:i4>
      </vt:variant>
      <vt:variant>
        <vt:i4>14</vt:i4>
      </vt:variant>
      <vt:variant>
        <vt:i4>0</vt:i4>
      </vt:variant>
      <vt:variant>
        <vt:i4>5</vt:i4>
      </vt:variant>
      <vt:variant>
        <vt:lpwstr/>
      </vt:variant>
      <vt:variant>
        <vt:lpwstr>_Toc398562559</vt:lpwstr>
      </vt:variant>
      <vt:variant>
        <vt:i4>1835064</vt:i4>
      </vt:variant>
      <vt:variant>
        <vt:i4>8</vt:i4>
      </vt:variant>
      <vt:variant>
        <vt:i4>0</vt:i4>
      </vt:variant>
      <vt:variant>
        <vt:i4>5</vt:i4>
      </vt:variant>
      <vt:variant>
        <vt:lpwstr/>
      </vt:variant>
      <vt:variant>
        <vt:lpwstr>_Toc398562558</vt:lpwstr>
      </vt:variant>
      <vt:variant>
        <vt:i4>1835064</vt:i4>
      </vt:variant>
      <vt:variant>
        <vt:i4>2</vt:i4>
      </vt:variant>
      <vt:variant>
        <vt:i4>0</vt:i4>
      </vt:variant>
      <vt:variant>
        <vt:i4>5</vt:i4>
      </vt:variant>
      <vt:variant>
        <vt:lpwstr/>
      </vt:variant>
      <vt:variant>
        <vt:lpwstr>_Toc398562557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2014-09-26T19:24:00Z</dcterms:created>
  <dcterms:modified xsi:type="dcterms:W3CDTF">2014-09-26T19:24:00Z</dcterms:modified>
  <cp:category> </cp:category>
  <cp:contentStatus> </cp:contentStatus>
</cp:coreProperties>
</file>