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044B5" w:rsidRPr="00F57809" w14:paraId="02FEC815" w14:textId="77777777">
      <w:pPr>
        <w:pStyle w:val="HTMLPreformatted"/>
        <w:jc w:val="center"/>
        <w:rPr>
          <w:rFonts w:ascii="Times New Roman" w:hAnsi="Times New Roman" w:cs="Times New Roman"/>
          <w:b/>
          <w:bCs/>
          <w:sz w:val="24"/>
          <w:szCs w:val="24"/>
        </w:rPr>
      </w:pPr>
      <w:r w:rsidRPr="00F57809">
        <w:rPr>
          <w:rFonts w:ascii="Times New Roman" w:hAnsi="Times New Roman" w:cs="Times New Roman"/>
          <w:b/>
          <w:bCs/>
          <w:sz w:val="24"/>
          <w:szCs w:val="24"/>
        </w:rPr>
        <w:t>BEFORE</w:t>
      </w:r>
    </w:p>
    <w:p w:rsidR="00A044B5" w:rsidRPr="00F57809" w14:paraId="034E8B26" w14:textId="77777777">
      <w:pPr>
        <w:pStyle w:val="HTMLPreformatted"/>
        <w:jc w:val="center"/>
        <w:rPr>
          <w:rFonts w:ascii="Times New Roman" w:hAnsi="Times New Roman" w:cs="Times New Roman"/>
          <w:sz w:val="24"/>
          <w:szCs w:val="24"/>
        </w:rPr>
      </w:pPr>
      <w:r w:rsidRPr="00F57809">
        <w:rPr>
          <w:rFonts w:ascii="Times New Roman" w:hAnsi="Times New Roman" w:cs="Times New Roman"/>
          <w:b/>
          <w:bCs/>
          <w:sz w:val="24"/>
          <w:szCs w:val="24"/>
        </w:rPr>
        <w:t>THE PUBLIC UTILITIES COMMISSION OF OHIO</w:t>
      </w:r>
    </w:p>
    <w:p w:rsidR="00350D3F" w:rsidRPr="00F57809" w14:paraId="2FA26D55" w14:textId="77777777">
      <w:pPr>
        <w:pStyle w:val="HTMLPreformatted"/>
        <w:rPr>
          <w:rFonts w:ascii="Times New Roman" w:hAnsi="Times New Roman" w:cs="Times New Roman"/>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760A085" w14:textId="77777777" w:rsidTr="002F72C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350D3F" w:rsidRPr="00F57809" w:rsidP="005A4A50" w14:paraId="142FEB9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In the Matter of the Application of The East Ohio Gas Company d/b/a Dominion Energy Ohio for Approval to Increase Natural Gas Rates</w:t>
            </w:r>
          </w:p>
          <w:p w:rsidR="00350D3F" w:rsidRPr="00F57809" w:rsidP="005A4A50" w14:paraId="38D25C4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rsidP="005A4A50" w14:paraId="3F1A3A72" w14:textId="2A1F9C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In the Matter of the Application of The East Ohio Gas Company d/b/a Dominion Energy Ohio for Approval of Alternative Ra</w:t>
            </w:r>
            <w:r w:rsidRPr="00F57809" w:rsidR="000830DB">
              <w:rPr>
                <w:rFonts w:ascii="Times New Roman" w:eastAsia="Courier New" w:hAnsi="Times New Roman" w:cs="Times New Roman"/>
                <w:sz w:val="24"/>
                <w:szCs w:val="24"/>
                <w:lang w:val="en-US" w:eastAsia="en-US" w:bidi="ar-SA"/>
              </w:rPr>
              <w:t>t</w:t>
            </w:r>
            <w:r w:rsidRPr="00F57809">
              <w:rPr>
                <w:rFonts w:ascii="Times New Roman" w:eastAsia="Courier New" w:hAnsi="Times New Roman" w:cs="Times New Roman"/>
                <w:sz w:val="24"/>
                <w:szCs w:val="24"/>
                <w:lang w:val="en-US" w:eastAsia="en-US" w:bidi="ar-SA"/>
              </w:rPr>
              <w:t>e Plan.</w:t>
            </w:r>
          </w:p>
          <w:p w:rsidR="00350D3F" w:rsidRPr="00F57809" w:rsidP="005A4A50" w14:paraId="151C095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rsidP="005A4A50" w14:paraId="2A2350D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In the Matter of the Application of The East Ohio Gas Company d/b/a Dominion Energy Ohio for Approval to Change Accounting Methods.</w:t>
            </w:r>
          </w:p>
          <w:p w:rsidR="00350D3F" w:rsidRPr="00F57809" w:rsidP="005A4A50" w14:paraId="7957A06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43282" w:rsidRPr="00F57809" w:rsidP="005A4A50" w14:paraId="76C95E6B" w14:textId="5D24A3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In the Matter of the Application of The East Ohio Gas Company d/b/a Dominion Energy Ohio for Approval of Tariff Revisions.</w:t>
            </w:r>
            <w:r w:rsidRPr="00F57809" w:rsidR="00624291">
              <w:rPr>
                <w:rFonts w:ascii="Times New Roman" w:eastAsia="Courier New" w:hAnsi="Times New Roman" w:cs="Times New Roman"/>
                <w:sz w:val="24"/>
                <w:szCs w:val="24"/>
                <w:lang w:val="en-US" w:eastAsia="en-US" w:bidi="ar-SA"/>
              </w:rPr>
              <w:t xml:space="preserve"> </w:t>
            </w:r>
          </w:p>
        </w:tc>
        <w:tc>
          <w:tcPr>
            <w:tcW w:w="630" w:type="dxa"/>
            <w:shd w:val="clear" w:color="auto" w:fill="auto"/>
          </w:tcPr>
          <w:p w:rsidR="00A044B5" w:rsidRPr="00F57809" w14:paraId="26381EB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A044B5" w:rsidRPr="00F57809" w14:paraId="520019D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A044B5" w:rsidRPr="00F57809" w:rsidP="00E567EE" w14:paraId="5DD5919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1323830E" w14:textId="54675A9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56F1660E" w14:textId="2CBD011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rsidP="00E567EE" w14:paraId="3A21848C" w14:textId="32E6AEC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60962A3F" w14:textId="7BDF98F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7ADAC92A" w14:textId="36643C2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337EBF27" w14:textId="207816F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65444699" w14:textId="69DEA8F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rsidP="00E567EE" w14:paraId="3FB3AB6D" w14:textId="6AC439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306B016D" w14:textId="14228B0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6EF9A4E3" w14:textId="7A3785E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6506216A" w14:textId="373CC60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5C3BB046" w14:textId="1E03EF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rsidP="00E567EE" w14:paraId="77B11396" w14:textId="5F494C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33E8E0F9" w14:textId="080B7D4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350D3F" w:rsidRPr="00F57809" w:rsidP="00E567EE" w14:paraId="62D64592" w14:textId="5137CBC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p w:rsidR="00243282" w:rsidRPr="00F57809" w:rsidP="00E567EE" w14:paraId="4A001CA9" w14:textId="61A2A93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w:t>
            </w:r>
          </w:p>
        </w:tc>
        <w:tc>
          <w:tcPr>
            <w:tcW w:w="3780" w:type="dxa"/>
            <w:shd w:val="clear" w:color="auto" w:fill="auto"/>
          </w:tcPr>
          <w:p w:rsidR="00A044B5" w:rsidRPr="00F57809" w14:paraId="01584BF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A044B5" w:rsidRPr="00F57809" w14:paraId="33675B5C" w14:textId="3885716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 xml:space="preserve">Case No. </w:t>
            </w:r>
            <w:r w:rsidRPr="00F57809" w:rsidR="00243282">
              <w:rPr>
                <w:rFonts w:ascii="Times New Roman" w:eastAsia="Courier New" w:hAnsi="Times New Roman" w:cs="Times New Roman"/>
                <w:sz w:val="24"/>
                <w:szCs w:val="24"/>
                <w:lang w:val="en-US" w:eastAsia="en-US" w:bidi="ar-SA"/>
              </w:rPr>
              <w:t>23-</w:t>
            </w:r>
            <w:r w:rsidRPr="00F57809" w:rsidR="00350D3F">
              <w:rPr>
                <w:rFonts w:ascii="Times New Roman" w:eastAsia="Courier New" w:hAnsi="Times New Roman" w:cs="Times New Roman"/>
                <w:sz w:val="24"/>
                <w:szCs w:val="24"/>
                <w:lang w:val="en-US" w:eastAsia="en-US" w:bidi="ar-SA"/>
              </w:rPr>
              <w:t>894</w:t>
            </w:r>
            <w:r w:rsidRPr="00F57809" w:rsidR="00243282">
              <w:rPr>
                <w:rFonts w:ascii="Times New Roman" w:eastAsia="Courier New" w:hAnsi="Times New Roman" w:cs="Times New Roman"/>
                <w:sz w:val="24"/>
                <w:szCs w:val="24"/>
                <w:lang w:val="en-US" w:eastAsia="en-US" w:bidi="ar-SA"/>
              </w:rPr>
              <w:t>-GA-AIR</w:t>
            </w:r>
          </w:p>
          <w:p w:rsidR="00A044B5" w:rsidRPr="00F57809" w14:paraId="1F28B25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4F6091A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45ECC05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5D083FE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4FC04400" w14:textId="669D24E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Case No. 23-895-GA-ALT</w:t>
            </w:r>
          </w:p>
          <w:p w:rsidR="00350D3F" w:rsidRPr="00F57809" w14:paraId="580433D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0575544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27D9B1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616AC20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32408129" w14:textId="7AD61EE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Case No. 23-896-GA-AAM</w:t>
            </w:r>
          </w:p>
          <w:p w:rsidR="00350D3F" w:rsidRPr="00F57809" w14:paraId="2358563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0A82357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1A50A79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2478504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F57809" w14:paraId="25E1EC4E" w14:textId="16722E7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F57809">
              <w:rPr>
                <w:rFonts w:ascii="Times New Roman" w:eastAsia="Courier New" w:hAnsi="Times New Roman" w:cs="Times New Roman"/>
                <w:sz w:val="24"/>
                <w:szCs w:val="24"/>
                <w:lang w:val="en-US" w:eastAsia="en-US" w:bidi="ar-SA"/>
              </w:rPr>
              <w:t>Case No. 23-897-GA-ATA</w:t>
            </w:r>
          </w:p>
          <w:p w:rsidR="00DE7EFA" w:rsidRPr="00F57809" w14:paraId="774E7161" w14:textId="725CA8A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044B5" w:rsidRPr="00F57809" w14:paraId="70FADD5D" w14:textId="77777777">
      <w:pPr>
        <w:pStyle w:val="HTMLPreformatted"/>
        <w:rPr>
          <w:rFonts w:ascii="Times New Roman" w:hAnsi="Times New Roman" w:cs="Times New Roman"/>
          <w:sz w:val="24"/>
          <w:szCs w:val="24"/>
        </w:rPr>
      </w:pPr>
    </w:p>
    <w:p w:rsidR="00A044B5" w:rsidRPr="00F57809" w14:paraId="630B2AD3" w14:textId="77777777">
      <w:pPr>
        <w:pStyle w:val="HTMLPreformatted"/>
        <w:pBdr>
          <w:top w:val="single" w:sz="12" w:space="1" w:color="auto"/>
        </w:pBdr>
        <w:rPr>
          <w:rFonts w:ascii="Times New Roman" w:hAnsi="Times New Roman" w:cs="Times New Roman"/>
          <w:sz w:val="24"/>
          <w:szCs w:val="24"/>
        </w:rPr>
      </w:pPr>
    </w:p>
    <w:p w:rsidR="000B2C32" w:rsidRPr="00F57809" w:rsidP="008A3448" w14:paraId="067AEA85" w14:textId="059CB72F">
      <w:pPr>
        <w:pBdr>
          <w:bottom w:val="single" w:sz="12" w:space="1" w:color="auto"/>
        </w:pBdr>
        <w:tabs>
          <w:tab w:val="left" w:pos="4320"/>
        </w:tabs>
        <w:jc w:val="center"/>
        <w:rPr>
          <w:b/>
          <w:bCs/>
          <w:szCs w:val="24"/>
        </w:rPr>
      </w:pPr>
      <w:r w:rsidRPr="00F57809">
        <w:rPr>
          <w:b/>
          <w:bCs/>
          <w:szCs w:val="24"/>
        </w:rPr>
        <w:t xml:space="preserve">REPLY </w:t>
      </w:r>
      <w:r w:rsidRPr="00F57809" w:rsidR="00467732">
        <w:rPr>
          <w:b/>
          <w:bCs/>
          <w:szCs w:val="24"/>
        </w:rPr>
        <w:t xml:space="preserve">TO </w:t>
      </w:r>
      <w:r w:rsidRPr="00F57809">
        <w:rPr>
          <w:b/>
          <w:bCs/>
          <w:szCs w:val="24"/>
        </w:rPr>
        <w:t>DOMINION ENERGY OHIO</w:t>
      </w:r>
      <w:r w:rsidRPr="00F57809" w:rsidR="00DF66A7">
        <w:rPr>
          <w:b/>
          <w:bCs/>
          <w:szCs w:val="24"/>
        </w:rPr>
        <w:t>’</w:t>
      </w:r>
      <w:r w:rsidRPr="00F57809">
        <w:rPr>
          <w:b/>
          <w:bCs/>
          <w:szCs w:val="24"/>
        </w:rPr>
        <w:t>S MEMORANDUM CONTRA CONSUMER PARTIES</w:t>
      </w:r>
      <w:r w:rsidR="00AF1458">
        <w:rPr>
          <w:b/>
          <w:bCs/>
          <w:szCs w:val="24"/>
        </w:rPr>
        <w:t>’</w:t>
      </w:r>
      <w:r w:rsidRPr="00F57809">
        <w:rPr>
          <w:b/>
          <w:bCs/>
          <w:szCs w:val="24"/>
        </w:rPr>
        <w:t xml:space="preserve"> MOTION TO INTERVENE</w:t>
      </w:r>
    </w:p>
    <w:p w:rsidR="000B2C32" w:rsidRPr="00F57809" w:rsidP="008A3448" w14:paraId="705280EE" w14:textId="76FC7284">
      <w:pPr>
        <w:pBdr>
          <w:bottom w:val="single" w:sz="12" w:space="1" w:color="auto"/>
        </w:pBdr>
        <w:tabs>
          <w:tab w:val="left" w:pos="4320"/>
        </w:tabs>
        <w:jc w:val="center"/>
        <w:rPr>
          <w:b/>
          <w:bCs/>
          <w:szCs w:val="24"/>
        </w:rPr>
      </w:pPr>
      <w:r w:rsidRPr="00F57809">
        <w:rPr>
          <w:b/>
          <w:bCs/>
          <w:szCs w:val="24"/>
        </w:rPr>
        <w:t>BY</w:t>
      </w:r>
    </w:p>
    <w:p w:rsidR="000B2C32" w:rsidRPr="00F57809" w:rsidP="0010266C" w14:paraId="1EFACC78" w14:textId="5A729AA0">
      <w:pPr>
        <w:pBdr>
          <w:bottom w:val="single" w:sz="12" w:space="1" w:color="auto"/>
        </w:pBdr>
        <w:autoSpaceDE w:val="0"/>
        <w:autoSpaceDN w:val="0"/>
        <w:adjustRightInd w:val="0"/>
        <w:jc w:val="center"/>
        <w:rPr>
          <w:b/>
          <w:bCs/>
          <w:szCs w:val="24"/>
        </w:rPr>
      </w:pPr>
      <w:r w:rsidRPr="00F57809">
        <w:rPr>
          <w:b/>
          <w:bCs/>
          <w:szCs w:val="24"/>
        </w:rPr>
        <w:t>LEGAL AID SOCIETY OF SOUTHWEST OHIO, LLC</w:t>
      </w:r>
      <w:r w:rsidR="00947FEE">
        <w:rPr>
          <w:b/>
          <w:bCs/>
          <w:szCs w:val="24"/>
        </w:rPr>
        <w:t>,</w:t>
      </w:r>
    </w:p>
    <w:p w:rsidR="00947FEE" w:rsidP="0010266C" w14:paraId="4F1C355A" w14:textId="77777777">
      <w:pPr>
        <w:pBdr>
          <w:bottom w:val="single" w:sz="12" w:space="1" w:color="auto"/>
        </w:pBdr>
        <w:autoSpaceDE w:val="0"/>
        <w:autoSpaceDN w:val="0"/>
        <w:adjustRightInd w:val="0"/>
        <w:jc w:val="center"/>
        <w:rPr>
          <w:b/>
          <w:bCs/>
          <w:szCs w:val="24"/>
        </w:rPr>
      </w:pPr>
      <w:r w:rsidRPr="00F57809">
        <w:rPr>
          <w:b/>
          <w:bCs/>
          <w:szCs w:val="24"/>
        </w:rPr>
        <w:t xml:space="preserve">OHIO POVERTY LAW CENTER </w:t>
      </w:r>
    </w:p>
    <w:p w:rsidR="008A3448" w:rsidRPr="00F57809" w:rsidP="0010266C" w14:paraId="548F7FF7" w14:textId="02854E5F">
      <w:pPr>
        <w:pBdr>
          <w:bottom w:val="single" w:sz="12" w:space="1" w:color="auto"/>
        </w:pBdr>
        <w:autoSpaceDE w:val="0"/>
        <w:autoSpaceDN w:val="0"/>
        <w:adjustRightInd w:val="0"/>
        <w:jc w:val="center"/>
        <w:rPr>
          <w:b/>
          <w:bCs/>
          <w:szCs w:val="24"/>
        </w:rPr>
      </w:pPr>
      <w:r w:rsidRPr="00F57809">
        <w:rPr>
          <w:b/>
          <w:bCs/>
          <w:szCs w:val="24"/>
        </w:rPr>
        <w:t xml:space="preserve">AND OFFICE OF THE OHIO CONSUMERS’ COUNSEL </w:t>
      </w:r>
    </w:p>
    <w:p w:rsidR="0010266C" w:rsidRPr="00F57809" w:rsidP="0010266C" w14:paraId="50BE6CCE" w14:textId="69286CFD">
      <w:pPr>
        <w:pBdr>
          <w:bottom w:val="single" w:sz="12" w:space="1" w:color="auto"/>
        </w:pBdr>
        <w:autoSpaceDE w:val="0"/>
        <w:autoSpaceDN w:val="0"/>
        <w:adjustRightInd w:val="0"/>
        <w:jc w:val="center"/>
        <w:rPr>
          <w:b/>
          <w:bCs/>
          <w:szCs w:val="24"/>
        </w:rPr>
      </w:pPr>
    </w:p>
    <w:p w:rsidR="00467732" w:rsidRPr="00F57809" w:rsidP="0010266C" w14:paraId="129D5F17" w14:textId="77777777">
      <w:pPr>
        <w:pBdr>
          <w:bottom w:val="single" w:sz="12" w:space="1" w:color="auto"/>
        </w:pBdr>
        <w:autoSpaceDE w:val="0"/>
        <w:autoSpaceDN w:val="0"/>
        <w:adjustRightInd w:val="0"/>
        <w:jc w:val="center"/>
        <w:rPr>
          <w:b/>
          <w:bCs/>
          <w:szCs w:val="24"/>
        </w:rPr>
      </w:pPr>
    </w:p>
    <w:p w:rsidR="00A044B5" w:rsidRPr="00F57809" w14:paraId="5F54AC84" w14:textId="77777777">
      <w:pPr>
        <w:tabs>
          <w:tab w:val="left" w:pos="4320"/>
        </w:tabs>
        <w:rPr>
          <w:szCs w:val="24"/>
        </w:rPr>
      </w:pPr>
    </w:p>
    <w:p w:rsidR="00367084" w:rsidRPr="00F57809" w:rsidP="000B2C32" w14:paraId="5E390C6E" w14:textId="7D898742">
      <w:pPr>
        <w:pStyle w:val="Heading1"/>
        <w:numPr>
          <w:ilvl w:val="0"/>
          <w:numId w:val="14"/>
        </w:numPr>
        <w:jc w:val="both"/>
        <w:rPr>
          <w:rFonts w:eastAsiaTheme="minorHAnsi"/>
        </w:rPr>
      </w:pPr>
      <w:r w:rsidRPr="00F57809">
        <w:t>INTRODUCTION</w:t>
      </w:r>
    </w:p>
    <w:p w:rsidR="00367084" w:rsidRPr="00F57809" w:rsidP="000B2C32" w14:paraId="14A426EC" w14:textId="3DF2C063">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 xml:space="preserve">Dominion seeks to increase the charges for natural gas distribution service for all of its 1.2 million customers by over </w:t>
      </w:r>
      <w:r w:rsidRPr="00F57809">
        <w:rPr>
          <w:rFonts w:eastAsiaTheme="minorHAnsi"/>
          <w:i/>
          <w:iCs/>
          <w:kern w:val="2"/>
          <w:szCs w:val="24"/>
          <w14:ligatures w14:val="standardContextual"/>
        </w:rPr>
        <w:t>30 percent</w:t>
      </w:r>
      <w:r w:rsidRPr="00F57809">
        <w:rPr>
          <w:rFonts w:eastAsiaTheme="minorHAnsi"/>
          <w:kern w:val="2"/>
          <w:szCs w:val="24"/>
          <w14:ligatures w14:val="standardContextual"/>
        </w:rPr>
        <w:t xml:space="preserve"> from $43.30 to $56.34. And this doesn</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t even include the additional charges Dominion wants consumers to pay (increasing to as much as $29.69 per month by 2032) through additional riders. Consumers deserve to be heard regarding Dominion</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s applications to increase rates and for an alternative rate plan</w:t>
      </w:r>
      <w:r w:rsidR="002E1642">
        <w:rPr>
          <w:rFonts w:eastAsiaTheme="minorHAnsi"/>
          <w:kern w:val="2"/>
          <w:szCs w:val="24"/>
          <w14:ligatures w14:val="standardContextual"/>
        </w:rPr>
        <w:t xml:space="preserve">, </w:t>
      </w:r>
      <w:r w:rsidR="002E1642">
        <w:rPr>
          <w:rFonts w:eastAsiaTheme="minorHAnsi"/>
          <w:kern w:val="2"/>
          <w:szCs w:val="24"/>
          <w14:ligatures w14:val="standardContextual"/>
        </w:rPr>
        <w:t>especially the at</w:t>
      </w:r>
      <w:r w:rsidR="00F7377A">
        <w:rPr>
          <w:rFonts w:eastAsiaTheme="minorHAnsi"/>
          <w:kern w:val="2"/>
          <w:szCs w:val="24"/>
          <w14:ligatures w14:val="standardContextual"/>
        </w:rPr>
        <w:t>-</w:t>
      </w:r>
      <w:r w:rsidR="002E1642">
        <w:rPr>
          <w:rFonts w:eastAsiaTheme="minorHAnsi"/>
          <w:kern w:val="2"/>
          <w:szCs w:val="24"/>
          <w14:ligatures w14:val="standardContextual"/>
        </w:rPr>
        <w:t xml:space="preserve">risk consumers, who will be hardest hit by Dominion’s proposal.   </w:t>
      </w:r>
      <w:r w:rsidRPr="00F57809">
        <w:rPr>
          <w:rFonts w:eastAsiaTheme="minorHAnsi"/>
          <w:kern w:val="2"/>
          <w:szCs w:val="24"/>
          <w14:ligatures w14:val="standardContextual"/>
        </w:rPr>
        <w:t>The PUCO should grant the Consumer Parties</w:t>
      </w:r>
      <w:r w:rsidR="002E1642">
        <w:rPr>
          <w:rFonts w:eastAsiaTheme="minorHAnsi"/>
          <w:kern w:val="2"/>
          <w:szCs w:val="24"/>
          <w14:ligatures w14:val="standardContextual"/>
        </w:rPr>
        <w:t xml:space="preserve">’ Motion </w:t>
      </w:r>
      <w:r w:rsidRPr="00F57809">
        <w:rPr>
          <w:rFonts w:eastAsiaTheme="minorHAnsi"/>
          <w:kern w:val="2"/>
          <w:szCs w:val="24"/>
          <w14:ligatures w14:val="standardContextual"/>
        </w:rPr>
        <w:t xml:space="preserve">to Intervene. </w:t>
      </w:r>
    </w:p>
    <w:p w:rsidR="002E1642" w:rsidP="004531E9" w14:paraId="65FBA606" w14:textId="5C51EC64">
      <w:pPr>
        <w:spacing w:line="480" w:lineRule="auto"/>
        <w:ind w:firstLine="720"/>
        <w:rPr>
          <w:rFonts w:eastAsiaTheme="minorHAnsi"/>
          <w:szCs w:val="24"/>
        </w:rPr>
      </w:pPr>
      <w:r>
        <w:rPr>
          <w:rFonts w:eastAsiaTheme="minorHAnsi"/>
          <w:szCs w:val="24"/>
        </w:rPr>
        <w:t xml:space="preserve">But </w:t>
      </w:r>
      <w:r w:rsidRPr="00F57809" w:rsidR="00B25C09">
        <w:rPr>
          <w:rFonts w:eastAsiaTheme="minorHAnsi"/>
          <w:szCs w:val="24"/>
        </w:rPr>
        <w:t xml:space="preserve">Dominion </w:t>
      </w:r>
      <w:r>
        <w:rPr>
          <w:rFonts w:eastAsiaTheme="minorHAnsi"/>
          <w:szCs w:val="24"/>
        </w:rPr>
        <w:t xml:space="preserve">seeks to silence the voice of </w:t>
      </w:r>
      <w:r w:rsidRPr="00F57809" w:rsidR="00B25C09">
        <w:rPr>
          <w:rFonts w:eastAsiaTheme="minorHAnsi"/>
          <w:szCs w:val="24"/>
        </w:rPr>
        <w:t xml:space="preserve">the low-income consumers represented by </w:t>
      </w:r>
      <w:r>
        <w:rPr>
          <w:rFonts w:eastAsiaTheme="minorHAnsi"/>
          <w:szCs w:val="24"/>
        </w:rPr>
        <w:t xml:space="preserve">the </w:t>
      </w:r>
      <w:r w:rsidRPr="00F57809" w:rsidR="00B25C09">
        <w:rPr>
          <w:rFonts w:eastAsiaTheme="minorHAnsi"/>
          <w:szCs w:val="24"/>
        </w:rPr>
        <w:t xml:space="preserve">Consumer </w:t>
      </w:r>
      <w:r>
        <w:rPr>
          <w:rFonts w:eastAsiaTheme="minorHAnsi"/>
          <w:szCs w:val="24"/>
        </w:rPr>
        <w:t>P</w:t>
      </w:r>
      <w:r w:rsidRPr="00F57809" w:rsidR="00B25C09">
        <w:rPr>
          <w:rFonts w:eastAsiaTheme="minorHAnsi"/>
          <w:szCs w:val="24"/>
        </w:rPr>
        <w:t>arties</w:t>
      </w:r>
      <w:r>
        <w:rPr>
          <w:rFonts w:eastAsiaTheme="minorHAnsi"/>
          <w:szCs w:val="24"/>
        </w:rPr>
        <w:t xml:space="preserve">.  </w:t>
      </w:r>
      <w:r w:rsidRPr="00F57809" w:rsidR="00B25C09">
        <w:rPr>
          <w:rFonts w:eastAsiaTheme="minorHAnsi"/>
          <w:szCs w:val="24"/>
        </w:rPr>
        <w:t xml:space="preserve"> That’s no surprise given its proposals to charge </w:t>
      </w:r>
      <w:r>
        <w:rPr>
          <w:rFonts w:eastAsiaTheme="minorHAnsi"/>
          <w:szCs w:val="24"/>
        </w:rPr>
        <w:t xml:space="preserve">all </w:t>
      </w:r>
      <w:r w:rsidRPr="00F57809" w:rsidR="00B25C09">
        <w:rPr>
          <w:rFonts w:eastAsiaTheme="minorHAnsi"/>
          <w:szCs w:val="24"/>
        </w:rPr>
        <w:t>consumers</w:t>
      </w:r>
      <w:r>
        <w:rPr>
          <w:rFonts w:eastAsiaTheme="minorHAnsi"/>
          <w:szCs w:val="24"/>
        </w:rPr>
        <w:t>, including low-income consumers, a 30% increase</w:t>
      </w:r>
      <w:r w:rsidRPr="00F57809" w:rsidR="00B25C09">
        <w:rPr>
          <w:rFonts w:eastAsiaTheme="minorHAnsi"/>
          <w:szCs w:val="24"/>
        </w:rPr>
        <w:t>.</w:t>
      </w:r>
      <w:r w:rsidR="00F57809">
        <w:rPr>
          <w:rFonts w:eastAsiaTheme="minorHAnsi"/>
          <w:szCs w:val="24"/>
        </w:rPr>
        <w:t xml:space="preserve"> </w:t>
      </w:r>
      <w:r>
        <w:rPr>
          <w:rFonts w:eastAsiaTheme="minorHAnsi"/>
          <w:szCs w:val="24"/>
        </w:rPr>
        <w:t>And at the same time, Dominion is not offering its low</w:t>
      </w:r>
      <w:r w:rsidR="00F7377A">
        <w:rPr>
          <w:rFonts w:eastAsiaTheme="minorHAnsi"/>
          <w:szCs w:val="24"/>
        </w:rPr>
        <w:t>-</w:t>
      </w:r>
      <w:r>
        <w:rPr>
          <w:rFonts w:eastAsiaTheme="minorHAnsi"/>
          <w:szCs w:val="24"/>
        </w:rPr>
        <w:t xml:space="preserve">income consumers any additional assistance in paying the increases it seeks. </w:t>
      </w:r>
    </w:p>
    <w:p w:rsidR="00367084" w:rsidP="002E1642" w14:paraId="5F5F7100" w14:textId="49BD0DEB">
      <w:pPr>
        <w:spacing w:line="480" w:lineRule="auto"/>
        <w:ind w:firstLine="720"/>
        <w:rPr>
          <w:rFonts w:eastAsiaTheme="minorHAnsi"/>
          <w:kern w:val="2"/>
          <w:szCs w:val="24"/>
          <w14:ligatures w14:val="standardContextual"/>
        </w:rPr>
      </w:pPr>
      <w:r>
        <w:rPr>
          <w:rFonts w:eastAsiaTheme="minorHAnsi"/>
          <w:szCs w:val="24"/>
        </w:rPr>
        <w:t>There</w:t>
      </w:r>
      <w:r w:rsidRPr="00F57809" w:rsidR="00B25C09">
        <w:rPr>
          <w:rFonts w:eastAsiaTheme="minorHAnsi"/>
          <w:szCs w:val="24"/>
        </w:rPr>
        <w:t xml:space="preserve"> is little merit to Dominion’s arguments against the Consumer Parties intervention. The PUCO has allowed these parties to intervene in the past,</w:t>
      </w:r>
      <w:r>
        <w:rPr>
          <w:rFonts w:eastAsiaTheme="minorHAnsi"/>
          <w:szCs w:val="24"/>
          <w:vertAlign w:val="superscript"/>
        </w:rPr>
        <w:footnoteReference w:id="2"/>
      </w:r>
      <w:r w:rsidRPr="00F57809" w:rsidR="00B25C09">
        <w:rPr>
          <w:rFonts w:eastAsiaTheme="minorHAnsi"/>
          <w:szCs w:val="24"/>
        </w:rPr>
        <w:t xml:space="preserve"> and it can (and should) do so here.</w:t>
      </w:r>
      <w:r w:rsidR="00F57809">
        <w:rPr>
          <w:rFonts w:eastAsiaTheme="minorHAnsi"/>
          <w:szCs w:val="24"/>
        </w:rPr>
        <w:t xml:space="preserve"> </w:t>
      </w:r>
      <w:r w:rsidRPr="00F57809" w:rsidR="00B25C09">
        <w:rPr>
          <w:rFonts w:eastAsiaTheme="minorHAnsi"/>
          <w:szCs w:val="24"/>
        </w:rPr>
        <w:t xml:space="preserve"> </w:t>
      </w:r>
      <w:r w:rsidR="00AF1458">
        <w:rPr>
          <w:rFonts w:eastAsiaTheme="minorHAnsi"/>
          <w:kern w:val="2"/>
          <w:szCs w:val="24"/>
          <w14:ligatures w14:val="standardContextual"/>
        </w:rPr>
        <w:t xml:space="preserve">Not only is intervention </w:t>
      </w:r>
      <w:r w:rsidRPr="00F57809" w:rsidR="00B25C09">
        <w:rPr>
          <w:rFonts w:eastAsiaTheme="minorHAnsi"/>
          <w:kern w:val="2"/>
          <w:szCs w:val="24"/>
          <w14:ligatures w14:val="standardContextual"/>
        </w:rPr>
        <w:t xml:space="preserve">permissible but </w:t>
      </w:r>
      <w:r w:rsidR="00AF1458">
        <w:rPr>
          <w:rFonts w:eastAsiaTheme="minorHAnsi"/>
          <w:kern w:val="2"/>
          <w:szCs w:val="24"/>
          <w14:ligatures w14:val="standardContextual"/>
        </w:rPr>
        <w:t xml:space="preserve">it is essential </w:t>
      </w:r>
      <w:r w:rsidRPr="00F57809" w:rsidR="00B25C09">
        <w:rPr>
          <w:rFonts w:eastAsiaTheme="minorHAnsi"/>
          <w:kern w:val="2"/>
          <w:szCs w:val="24"/>
          <w14:ligatures w14:val="standardContextual"/>
        </w:rPr>
        <w:t>to ensure</w:t>
      </w:r>
      <w:r w:rsidR="00AF1458">
        <w:rPr>
          <w:rFonts w:eastAsiaTheme="minorHAnsi"/>
          <w:kern w:val="2"/>
          <w:szCs w:val="24"/>
          <w14:ligatures w14:val="standardContextual"/>
        </w:rPr>
        <w:t xml:space="preserve"> that </w:t>
      </w:r>
      <w:r w:rsidRPr="00F57809" w:rsidR="00B25C09">
        <w:rPr>
          <w:rFonts w:eastAsiaTheme="minorHAnsi"/>
          <w:kern w:val="2"/>
          <w:szCs w:val="24"/>
          <w14:ligatures w14:val="standardContextual"/>
        </w:rPr>
        <w:t>low-income residents</w:t>
      </w:r>
      <w:r w:rsidR="00AF1458">
        <w:rPr>
          <w:rFonts w:eastAsiaTheme="minorHAnsi"/>
          <w:kern w:val="2"/>
          <w:szCs w:val="24"/>
          <w14:ligatures w14:val="standardContextual"/>
        </w:rPr>
        <w:t xml:space="preserve">, </w:t>
      </w:r>
      <w:r w:rsidRPr="00F57809" w:rsidR="00B25C09">
        <w:rPr>
          <w:rFonts w:eastAsiaTheme="minorHAnsi"/>
          <w:kern w:val="2"/>
          <w:szCs w:val="24"/>
          <w14:ligatures w14:val="standardContextual"/>
        </w:rPr>
        <w:t xml:space="preserve">who </w:t>
      </w:r>
      <w:r w:rsidR="00AF1458">
        <w:rPr>
          <w:rFonts w:eastAsiaTheme="minorHAnsi"/>
          <w:kern w:val="2"/>
          <w:szCs w:val="24"/>
          <w14:ligatures w14:val="standardContextual"/>
        </w:rPr>
        <w:t>will be</w:t>
      </w:r>
      <w:r w:rsidRPr="00F57809" w:rsidR="00D4727A">
        <w:rPr>
          <w:rFonts w:eastAsiaTheme="minorHAnsi"/>
          <w:kern w:val="2"/>
          <w:szCs w:val="24"/>
          <w14:ligatures w14:val="standardContextual"/>
        </w:rPr>
        <w:t xml:space="preserve"> substantially </w:t>
      </w:r>
      <w:r w:rsidRPr="00F57809" w:rsidR="00B25C09">
        <w:rPr>
          <w:rFonts w:eastAsiaTheme="minorHAnsi"/>
          <w:kern w:val="2"/>
          <w:szCs w:val="24"/>
          <w14:ligatures w14:val="standardContextual"/>
        </w:rPr>
        <w:t xml:space="preserve">impacted by </w:t>
      </w:r>
      <w:r w:rsidR="00AF1458">
        <w:rPr>
          <w:rFonts w:eastAsiaTheme="minorHAnsi"/>
          <w:kern w:val="2"/>
          <w:szCs w:val="24"/>
          <w14:ligatures w14:val="standardContextual"/>
        </w:rPr>
        <w:t xml:space="preserve">Dominion’s proposed </w:t>
      </w:r>
      <w:r w:rsidRPr="00F57809" w:rsidR="00B25C09">
        <w:rPr>
          <w:rFonts w:eastAsiaTheme="minorHAnsi"/>
          <w:kern w:val="2"/>
          <w:szCs w:val="24"/>
          <w14:ligatures w14:val="standardContextual"/>
        </w:rPr>
        <w:t>increases</w:t>
      </w:r>
      <w:r w:rsidR="00AF1458">
        <w:rPr>
          <w:rFonts w:eastAsiaTheme="minorHAnsi"/>
          <w:kern w:val="2"/>
          <w:szCs w:val="24"/>
          <w14:ligatures w14:val="standardContextual"/>
        </w:rPr>
        <w:t xml:space="preserve">, will be represented. </w:t>
      </w:r>
      <w:r w:rsidR="004D5D23">
        <w:rPr>
          <w:rFonts w:eastAsiaTheme="minorHAnsi"/>
          <w:kern w:val="2"/>
          <w:szCs w:val="24"/>
          <w14:ligatures w14:val="standardContextual"/>
        </w:rPr>
        <w:t>Consumer groups specifically represent such consumers</w:t>
      </w:r>
      <w:r w:rsidRPr="00F57809" w:rsidR="00B25C09">
        <w:rPr>
          <w:rFonts w:eastAsiaTheme="minorHAnsi"/>
          <w:kern w:val="2"/>
          <w:szCs w:val="24"/>
          <w14:ligatures w14:val="standardContextual"/>
        </w:rPr>
        <w:t>.</w:t>
      </w:r>
    </w:p>
    <w:p w:rsidR="00367084" w:rsidRPr="00F57809" w:rsidP="005E4691" w14:paraId="6B7EF346" w14:textId="0613994F">
      <w:pPr>
        <w:pStyle w:val="Heading1"/>
        <w:numPr>
          <w:ilvl w:val="0"/>
          <w:numId w:val="14"/>
        </w:numPr>
      </w:pPr>
      <w:r w:rsidRPr="00F57809">
        <w:t>ARGUMENT</w:t>
      </w:r>
    </w:p>
    <w:p w:rsidR="001709F4" w:rsidRPr="00F57809" w:rsidP="00D11FF7" w14:paraId="051C9A1A" w14:textId="18CCBDCB">
      <w:pPr>
        <w:spacing w:line="480" w:lineRule="auto"/>
        <w:ind w:firstLine="720"/>
        <w:rPr>
          <w:szCs w:val="24"/>
        </w:rPr>
      </w:pPr>
      <w:r w:rsidRPr="00F57809">
        <w:rPr>
          <w:szCs w:val="24"/>
        </w:rPr>
        <w:t xml:space="preserve">Intervention into PUCO matters should be granted liberally in accordance with R.C. 4903.221 and </w:t>
      </w:r>
      <w:bookmarkStart w:id="0" w:name="_Hlk154733336"/>
      <w:r w:rsidR="00947FEE">
        <w:rPr>
          <w:szCs w:val="24"/>
        </w:rPr>
        <w:t>O.A.C.</w:t>
      </w:r>
      <w:r w:rsidRPr="00F57809">
        <w:rPr>
          <w:szCs w:val="24"/>
        </w:rPr>
        <w:t xml:space="preserve"> </w:t>
      </w:r>
      <w:bookmarkEnd w:id="0"/>
      <w:r w:rsidRPr="00F57809">
        <w:rPr>
          <w:szCs w:val="24"/>
        </w:rPr>
        <w:t>4901-1-11.</w:t>
      </w:r>
      <w:r>
        <w:rPr>
          <w:rStyle w:val="FootnoteReference"/>
          <w:szCs w:val="24"/>
        </w:rPr>
        <w:footnoteReference w:id="3"/>
      </w:r>
      <w:r w:rsidR="00F57809">
        <w:rPr>
          <w:szCs w:val="24"/>
        </w:rPr>
        <w:t xml:space="preserve"> </w:t>
      </w:r>
      <w:r w:rsidRPr="00F57809">
        <w:rPr>
          <w:szCs w:val="24"/>
        </w:rPr>
        <w:t>While Dominion</w:t>
      </w:r>
      <w:r w:rsidRPr="00F57809" w:rsidR="00DF66A7">
        <w:rPr>
          <w:szCs w:val="24"/>
        </w:rPr>
        <w:t>’</w:t>
      </w:r>
      <w:r w:rsidRPr="00F57809">
        <w:rPr>
          <w:szCs w:val="24"/>
        </w:rPr>
        <w:t xml:space="preserve">s Memo Contra strains to find a technicality to </w:t>
      </w:r>
      <w:r w:rsidR="004D5D23">
        <w:rPr>
          <w:szCs w:val="24"/>
        </w:rPr>
        <w:t>deny</w:t>
      </w:r>
      <w:r w:rsidRPr="00F57809">
        <w:rPr>
          <w:szCs w:val="24"/>
        </w:rPr>
        <w:t xml:space="preserve"> Consumer Parties’ intervention, a liberal application of the law </w:t>
      </w:r>
      <w:r w:rsidR="004D5D23">
        <w:rPr>
          <w:szCs w:val="24"/>
        </w:rPr>
        <w:t xml:space="preserve">supports </w:t>
      </w:r>
      <w:r w:rsidR="00F7377A">
        <w:rPr>
          <w:szCs w:val="24"/>
        </w:rPr>
        <w:t xml:space="preserve">granting </w:t>
      </w:r>
      <w:r w:rsidRPr="00F57809" w:rsidR="00F7377A">
        <w:rPr>
          <w:szCs w:val="24"/>
        </w:rPr>
        <w:t>intervention</w:t>
      </w:r>
      <w:r w:rsidRPr="00F57809">
        <w:rPr>
          <w:szCs w:val="24"/>
        </w:rPr>
        <w:t xml:space="preserve"> for </w:t>
      </w:r>
      <w:r w:rsidR="004D5D23">
        <w:rPr>
          <w:szCs w:val="24"/>
        </w:rPr>
        <w:t xml:space="preserve">the </w:t>
      </w:r>
      <w:r w:rsidRPr="00F57809">
        <w:rPr>
          <w:szCs w:val="24"/>
        </w:rPr>
        <w:t xml:space="preserve">Consumer Parties. </w:t>
      </w:r>
    </w:p>
    <w:p w:rsidR="00D32135" w:rsidRPr="00F57809" w:rsidP="005E4691" w14:paraId="5FAE28B3" w14:textId="2D242DDD">
      <w:pPr>
        <w:pStyle w:val="Heading2"/>
        <w:rPr>
          <w:rFonts w:eastAsiaTheme="minorHAnsi"/>
        </w:rPr>
      </w:pPr>
      <w:r w:rsidRPr="00F57809">
        <w:rPr>
          <w:rFonts w:eastAsiaTheme="minorHAnsi"/>
        </w:rPr>
        <w:t>A.</w:t>
      </w:r>
      <w:r w:rsidRPr="00F57809">
        <w:rPr>
          <w:rFonts w:eastAsiaTheme="minorHAnsi"/>
        </w:rPr>
        <w:tab/>
        <w:t xml:space="preserve">Consumer Parties have standing </w:t>
      </w:r>
      <w:r w:rsidR="004D5D23">
        <w:rPr>
          <w:rFonts w:eastAsiaTheme="minorHAnsi"/>
        </w:rPr>
        <w:t>because their utility rates will be established in this proceeding</w:t>
      </w:r>
      <w:r w:rsidRPr="00F57809" w:rsidR="005E4691">
        <w:rPr>
          <w:rFonts w:eastAsiaTheme="minorHAnsi"/>
        </w:rPr>
        <w:t>.</w:t>
      </w:r>
      <w:r w:rsidR="00F57809">
        <w:rPr>
          <w:rFonts w:eastAsiaTheme="minorHAnsi"/>
        </w:rPr>
        <w:t xml:space="preserve"> </w:t>
      </w:r>
    </w:p>
    <w:p w:rsidR="00323F67" w:rsidRPr="00F57809" w:rsidP="00323F67" w14:paraId="7EBE0828" w14:textId="3DA19EB0">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Website links cited by Dominion themselves reveal ABLE and OPLC</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s service to low-income Ohioans throughout the state, a segment of which is undeniably affected by </w:t>
      </w:r>
      <w:r w:rsidRPr="00F57809">
        <w:rPr>
          <w:rFonts w:eastAsiaTheme="minorHAnsi"/>
          <w:kern w:val="2"/>
          <w:szCs w:val="24"/>
          <w14:ligatures w14:val="standardContextual"/>
        </w:rPr>
        <w:t>DEO</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s proposed increase. </w:t>
      </w:r>
      <w:r w:rsidR="004D5D23">
        <w:rPr>
          <w:rFonts w:eastAsiaTheme="minorHAnsi"/>
          <w:kern w:val="2"/>
          <w:szCs w:val="24"/>
          <w14:ligatures w14:val="standardContextual"/>
        </w:rPr>
        <w:t xml:space="preserve">The website statements, however, </w:t>
      </w:r>
      <w:r w:rsidRPr="00F57809" w:rsidR="004531E9">
        <w:rPr>
          <w:rFonts w:eastAsiaTheme="minorHAnsi"/>
          <w:kern w:val="2"/>
          <w:szCs w:val="24"/>
          <w14:ligatures w14:val="standardContextual"/>
        </w:rPr>
        <w:t>do not fully encompass the efforts of Consumer Parties, given that Consumer Parties also engage in PUCO matters on the behalf of low-income consumers throughout Ohio.</w:t>
      </w:r>
      <w:r>
        <w:rPr>
          <w:rStyle w:val="FootnoteReference"/>
          <w:rFonts w:eastAsiaTheme="minorHAnsi"/>
          <w:kern w:val="2"/>
          <w:szCs w:val="24"/>
          <w14:ligatures w14:val="standardContextual"/>
        </w:rPr>
        <w:footnoteReference w:id="4"/>
      </w:r>
      <w:r w:rsidRPr="00F57809" w:rsidR="004531E9">
        <w:rPr>
          <w:rFonts w:eastAsiaTheme="minorHAnsi"/>
          <w:kern w:val="2"/>
          <w:szCs w:val="24"/>
          <w14:ligatures w14:val="standardContextual"/>
        </w:rPr>
        <w:t xml:space="preserve"> </w:t>
      </w:r>
      <w:r w:rsidRPr="00F57809">
        <w:rPr>
          <w:rFonts w:eastAsiaTheme="minorHAnsi"/>
          <w:kern w:val="2"/>
          <w:szCs w:val="24"/>
          <w14:ligatures w14:val="standardContextual"/>
        </w:rPr>
        <w:t xml:space="preserve"> Consequently, based on R.C. 4903.221</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s </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adversely affected</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 provision, Consumer Parties possess standing to intervene.</w:t>
      </w:r>
    </w:p>
    <w:p w:rsidR="00367084" w:rsidRPr="00F57809" w:rsidP="00323F67" w14:paraId="0EB0B777" w14:textId="7C518E9D">
      <w:pPr>
        <w:pStyle w:val="Heading2"/>
      </w:pPr>
      <w:r w:rsidRPr="00F57809">
        <w:t>B.</w:t>
      </w:r>
      <w:r w:rsidRPr="00F57809">
        <w:tab/>
        <w:t xml:space="preserve">Consumer Parties have a substantial interest in the </w:t>
      </w:r>
      <w:r w:rsidR="009E6624">
        <w:t>Dominion’s proposed rates</w:t>
      </w:r>
      <w:r w:rsidRPr="00F57809">
        <w:t>.</w:t>
      </w:r>
    </w:p>
    <w:p w:rsidR="002E1642" w:rsidP="000B2C32" w14:paraId="092303DC" w14:textId="77777777">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Beyond standing, the Motion to Intervene clearly outlines how the Consumer Parties are actually aggrieved by the proposed rate increase. The substantial financial burden such increases would place on low-income households, potentially jeopardizing their access to essential energy services, constitutes a direct and personal harm. Our active engagement in the proceedings is further evidenced by our Joint Motion for Virtual Hearing</w:t>
      </w:r>
      <w:r>
        <w:rPr>
          <w:rFonts w:eastAsiaTheme="minorHAnsi"/>
          <w:kern w:val="2"/>
          <w:szCs w:val="24"/>
          <w:vertAlign w:val="superscript"/>
          <w14:ligatures w14:val="standardContextual"/>
        </w:rPr>
        <w:footnoteReference w:id="5"/>
      </w:r>
      <w:r w:rsidRPr="00F57809">
        <w:rPr>
          <w:rFonts w:eastAsiaTheme="minorHAnsi"/>
          <w:kern w:val="2"/>
          <w:szCs w:val="24"/>
          <w14:ligatures w14:val="standardContextual"/>
        </w:rPr>
        <w:t xml:space="preserve">, demonstrating our commitment to protecting consumer rights throughout the process. </w:t>
      </w:r>
    </w:p>
    <w:p w:rsidR="00367084" w:rsidRPr="00F57809" w:rsidP="000B2C32" w14:paraId="2C7AFADE" w14:textId="05A43F74">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 xml:space="preserve">The first two provisions of </w:t>
      </w:r>
      <w:bookmarkStart w:id="1" w:name="_Hlk154708119"/>
      <w:bookmarkStart w:id="2" w:name="_Hlk154706043"/>
      <w:r w:rsidRPr="00F57809">
        <w:rPr>
          <w:rFonts w:eastAsiaTheme="minorHAnsi"/>
          <w:kern w:val="2"/>
          <w:szCs w:val="24"/>
          <w14:ligatures w14:val="standardContextual"/>
        </w:rPr>
        <w:t>R.C. 4903.221</w:t>
      </w:r>
      <w:bookmarkEnd w:id="1"/>
      <w:r w:rsidRPr="00F57809">
        <w:rPr>
          <w:rFonts w:eastAsiaTheme="minorHAnsi"/>
          <w:kern w:val="2"/>
          <w:szCs w:val="24"/>
          <w14:ligatures w14:val="standardContextual"/>
        </w:rPr>
        <w:t xml:space="preserve"> (B) </w:t>
      </w:r>
      <w:bookmarkEnd w:id="2"/>
      <w:r w:rsidRPr="00F57809">
        <w:rPr>
          <w:rFonts w:eastAsiaTheme="minorHAnsi"/>
          <w:kern w:val="2"/>
          <w:szCs w:val="24"/>
          <w14:ligatures w14:val="standardContextual"/>
        </w:rPr>
        <w:t>ask for the PUCO to examine (1) “the nature and extent of the prospective intervenor</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s interest” and (2) “the legal position advanced by the prospective intervenor and its probable relation to the merits of the case.” </w:t>
      </w:r>
      <w:r w:rsidRPr="00F57809" w:rsidR="00C205D0">
        <w:rPr>
          <w:rFonts w:eastAsiaTheme="minorHAnsi"/>
          <w:kern w:val="2"/>
          <w:szCs w:val="24"/>
          <w14:ligatures w14:val="standardContextual"/>
        </w:rPr>
        <w:t xml:space="preserve">Given that Consumer Parties are committed </w:t>
      </w:r>
      <w:r w:rsidRPr="00F57809" w:rsidR="00D57324">
        <w:rPr>
          <w:rFonts w:eastAsiaTheme="minorHAnsi"/>
          <w:kern w:val="2"/>
          <w:szCs w:val="24"/>
          <w14:ligatures w14:val="standardContextual"/>
        </w:rPr>
        <w:t>to fighting</w:t>
      </w:r>
      <w:r w:rsidRPr="00F57809" w:rsidR="00C205D0">
        <w:rPr>
          <w:rFonts w:eastAsiaTheme="minorHAnsi"/>
          <w:kern w:val="2"/>
          <w:szCs w:val="24"/>
          <w14:ligatures w14:val="standardContextual"/>
        </w:rPr>
        <w:t xml:space="preserve"> for a fair process and making sure just and reasonable rates are established for low-income consumers, we satisfy R.C. 4903.221(B)(1) and (2). </w:t>
      </w:r>
    </w:p>
    <w:p w:rsidR="00B53906" w:rsidRPr="00F57809" w14:paraId="14BD5859" w14:textId="77777777">
      <w:pPr>
        <w:rPr>
          <w:rFonts w:eastAsiaTheme="minorHAnsi"/>
          <w:b/>
          <w:bCs/>
          <w:szCs w:val="24"/>
        </w:rPr>
      </w:pPr>
      <w:r w:rsidRPr="00F57809">
        <w:rPr>
          <w:rFonts w:eastAsiaTheme="minorHAnsi"/>
          <w:szCs w:val="24"/>
        </w:rPr>
        <w:br w:type="page"/>
      </w:r>
    </w:p>
    <w:p w:rsidR="00367084" w:rsidRPr="00F57809" w:rsidP="000B2C32" w14:paraId="04F6D7B1" w14:textId="3D1EBA5D">
      <w:pPr>
        <w:pStyle w:val="Heading2"/>
        <w:rPr>
          <w:rFonts w:eastAsiaTheme="minorHAnsi"/>
        </w:rPr>
      </w:pPr>
      <w:r w:rsidRPr="00F57809">
        <w:rPr>
          <w:rFonts w:eastAsiaTheme="minorHAnsi"/>
        </w:rPr>
        <w:t>C.</w:t>
      </w:r>
      <w:r w:rsidRPr="00F57809">
        <w:rPr>
          <w:rFonts w:eastAsiaTheme="minorHAnsi"/>
        </w:rPr>
        <w:tab/>
      </w:r>
      <w:r w:rsidRPr="00F57809" w:rsidR="004C7618">
        <w:rPr>
          <w:rFonts w:eastAsiaTheme="minorHAnsi"/>
        </w:rPr>
        <w:t>Consumer Parties</w:t>
      </w:r>
      <w:r w:rsidRPr="00F57809" w:rsidR="00DF66A7">
        <w:rPr>
          <w:rFonts w:eastAsiaTheme="minorHAnsi"/>
        </w:rPr>
        <w:t>’</w:t>
      </w:r>
      <w:r w:rsidRPr="00F57809" w:rsidR="004C7618">
        <w:rPr>
          <w:rFonts w:eastAsiaTheme="minorHAnsi"/>
        </w:rPr>
        <w:t xml:space="preserve"> </w:t>
      </w:r>
      <w:r w:rsidR="009E6624">
        <w:rPr>
          <w:rFonts w:eastAsiaTheme="minorHAnsi"/>
        </w:rPr>
        <w:t>u</w:t>
      </w:r>
      <w:r w:rsidRPr="00F57809" w:rsidR="004C7618">
        <w:rPr>
          <w:rFonts w:eastAsiaTheme="minorHAnsi"/>
        </w:rPr>
        <w:t xml:space="preserve">nrepresented, </w:t>
      </w:r>
      <w:r w:rsidR="009E6624">
        <w:rPr>
          <w:rFonts w:eastAsiaTheme="minorHAnsi"/>
        </w:rPr>
        <w:t>r</w:t>
      </w:r>
      <w:r w:rsidRPr="00F57809" w:rsidR="004C7618">
        <w:rPr>
          <w:rFonts w:eastAsiaTheme="minorHAnsi"/>
        </w:rPr>
        <w:t xml:space="preserve">eal and </w:t>
      </w:r>
      <w:r w:rsidR="009E6624">
        <w:rPr>
          <w:rFonts w:eastAsiaTheme="minorHAnsi"/>
        </w:rPr>
        <w:t>s</w:t>
      </w:r>
      <w:r w:rsidRPr="00F57809" w:rsidR="004C7618">
        <w:rPr>
          <w:rFonts w:eastAsiaTheme="minorHAnsi"/>
        </w:rPr>
        <w:t xml:space="preserve">ubstantial </w:t>
      </w:r>
      <w:r w:rsidR="009E6624">
        <w:rPr>
          <w:rFonts w:eastAsiaTheme="minorHAnsi"/>
        </w:rPr>
        <w:t>i</w:t>
      </w:r>
      <w:r w:rsidRPr="00F57809" w:rsidR="004C7618">
        <w:rPr>
          <w:rFonts w:eastAsiaTheme="minorHAnsi"/>
        </w:rPr>
        <w:t xml:space="preserve">nterest </w:t>
      </w:r>
      <w:r w:rsidR="002E1642">
        <w:rPr>
          <w:rFonts w:eastAsiaTheme="minorHAnsi"/>
        </w:rPr>
        <w:t>brings a needed perspective to this proceeding</w:t>
      </w:r>
      <w:r w:rsidR="00DB1F21">
        <w:rPr>
          <w:rFonts w:eastAsiaTheme="minorHAnsi"/>
        </w:rPr>
        <w:t>.</w:t>
      </w:r>
    </w:p>
    <w:p w:rsidR="000479AF" w:rsidRPr="00F57809" w:rsidP="005E4691" w14:paraId="6050D1E5" w14:textId="2DE72CD0">
      <w:pPr>
        <w:spacing w:line="480" w:lineRule="auto"/>
        <w:ind w:firstLine="720"/>
        <w:rPr>
          <w:szCs w:val="24"/>
        </w:rPr>
      </w:pPr>
      <w:r w:rsidRPr="00F57809">
        <w:rPr>
          <w:szCs w:val="24"/>
        </w:rPr>
        <w:t xml:space="preserve">While OCC represents all </w:t>
      </w:r>
      <w:r w:rsidR="004D5D23">
        <w:rPr>
          <w:szCs w:val="24"/>
        </w:rPr>
        <w:t xml:space="preserve">residential </w:t>
      </w:r>
      <w:r w:rsidRPr="00F57809">
        <w:rPr>
          <w:szCs w:val="24"/>
        </w:rPr>
        <w:t>consumers, Consumer Parties bring a distinct focus on the specific needs and vulnerabilities of low-income residents, amplifying their voices for optimal solutions in these rate proceedings. We acknowledge OCC</w:t>
      </w:r>
      <w:r w:rsidRPr="00F57809" w:rsidR="00DF66A7">
        <w:rPr>
          <w:szCs w:val="24"/>
        </w:rPr>
        <w:t>’</w:t>
      </w:r>
      <w:r w:rsidRPr="00F57809">
        <w:rPr>
          <w:szCs w:val="24"/>
        </w:rPr>
        <w:t xml:space="preserve">s role, but low-income individuals face unique challenges. Thus, when considering </w:t>
      </w:r>
      <w:r w:rsidR="00947FEE">
        <w:rPr>
          <w:szCs w:val="24"/>
        </w:rPr>
        <w:t>O.A.C.</w:t>
      </w:r>
      <w:r w:rsidRPr="00F57809" w:rsidR="00947FEE">
        <w:rPr>
          <w:szCs w:val="24"/>
        </w:rPr>
        <w:t xml:space="preserve"> </w:t>
      </w:r>
      <w:r w:rsidRPr="00F57809">
        <w:rPr>
          <w:szCs w:val="24"/>
        </w:rPr>
        <w:t>4901-1-11(A)(2), our interests are not fully addressed by another party. Notably, the PUCO has recognized this distinct perspective by granting intervention to ABLE, LASSO, and OPLC alongside OCC in past matters.</w:t>
      </w:r>
      <w:r>
        <w:rPr>
          <w:rStyle w:val="FootnoteReference"/>
          <w:szCs w:val="24"/>
        </w:rPr>
        <w:footnoteReference w:id="6"/>
      </w:r>
    </w:p>
    <w:p w:rsidR="00B53906" w:rsidRPr="00F57809" w:rsidP="0061709D" w14:paraId="67F940AC" w14:textId="0389697E">
      <w:pPr>
        <w:spacing w:line="480" w:lineRule="auto"/>
        <w:ind w:firstLine="720"/>
        <w:rPr>
          <w:szCs w:val="24"/>
        </w:rPr>
      </w:pPr>
      <w:r w:rsidRPr="00F57809">
        <w:rPr>
          <w:szCs w:val="24"/>
        </w:rPr>
        <w:t xml:space="preserve">Our </w:t>
      </w:r>
      <w:r w:rsidR="004D5D23">
        <w:rPr>
          <w:szCs w:val="24"/>
        </w:rPr>
        <w:t xml:space="preserve">advocacy will focus on </w:t>
      </w:r>
      <w:r w:rsidRPr="00F57809">
        <w:rPr>
          <w:szCs w:val="24"/>
        </w:rPr>
        <w:t xml:space="preserve"> the specific economic burdens on low-income residents, demonstrably fulfilling the </w:t>
      </w:r>
      <w:r w:rsidRPr="00F57809" w:rsidR="00DF66A7">
        <w:rPr>
          <w:szCs w:val="24"/>
        </w:rPr>
        <w:t>“</w:t>
      </w:r>
      <w:r w:rsidRPr="00F57809">
        <w:rPr>
          <w:szCs w:val="24"/>
        </w:rPr>
        <w:t>real and substantial interest</w:t>
      </w:r>
      <w:r w:rsidRPr="00F57809" w:rsidR="00DF66A7">
        <w:rPr>
          <w:szCs w:val="24"/>
        </w:rPr>
        <w:t>”</w:t>
      </w:r>
      <w:r w:rsidRPr="00F57809">
        <w:rPr>
          <w:szCs w:val="24"/>
        </w:rPr>
        <w:t xml:space="preserve"> requirement under </w:t>
      </w:r>
      <w:r w:rsidR="00947FEE">
        <w:rPr>
          <w:szCs w:val="24"/>
        </w:rPr>
        <w:t>O.A.C.</w:t>
      </w:r>
      <w:r w:rsidRPr="00F57809" w:rsidR="00947FEE">
        <w:rPr>
          <w:szCs w:val="24"/>
        </w:rPr>
        <w:t xml:space="preserve"> </w:t>
      </w:r>
      <w:r w:rsidRPr="00F57809">
        <w:rPr>
          <w:szCs w:val="24"/>
        </w:rPr>
        <w:t>4901-1-11(A)(2).</w:t>
      </w:r>
      <w:r>
        <w:rPr>
          <w:rStyle w:val="FootnoteReference"/>
          <w:szCs w:val="24"/>
        </w:rPr>
        <w:footnoteReference w:id="7"/>
      </w:r>
      <w:r w:rsidRPr="00F57809">
        <w:rPr>
          <w:szCs w:val="24"/>
        </w:rPr>
        <w:t xml:space="preserve"> Additionally, our advocacy significantly contributes to a </w:t>
      </w:r>
      <w:r w:rsidRPr="00F57809" w:rsidR="00DF66A7">
        <w:rPr>
          <w:szCs w:val="24"/>
        </w:rPr>
        <w:t>“</w:t>
      </w:r>
      <w:r w:rsidRPr="00F57809">
        <w:rPr>
          <w:szCs w:val="24"/>
        </w:rPr>
        <w:t>full and equitable resolution</w:t>
      </w:r>
      <w:r w:rsidRPr="00F57809" w:rsidR="00DF66A7">
        <w:rPr>
          <w:szCs w:val="24"/>
        </w:rPr>
        <w:t>”</w:t>
      </w:r>
      <w:r w:rsidRPr="00F57809">
        <w:rPr>
          <w:szCs w:val="24"/>
        </w:rPr>
        <w:t xml:space="preserve"> of factual issues, as R.C. 4903.221(B)(4) demands.</w:t>
      </w:r>
      <w:r>
        <w:rPr>
          <w:rStyle w:val="FootnoteReference"/>
          <w:szCs w:val="24"/>
        </w:rPr>
        <w:footnoteReference w:id="8"/>
      </w:r>
      <w:r w:rsidRPr="00F57809">
        <w:rPr>
          <w:szCs w:val="24"/>
        </w:rPr>
        <w:t xml:space="preserve"> Dominion</w:t>
      </w:r>
      <w:r w:rsidRPr="00F57809" w:rsidR="00DF66A7">
        <w:rPr>
          <w:szCs w:val="24"/>
        </w:rPr>
        <w:t>’</w:t>
      </w:r>
      <w:r w:rsidRPr="00F57809">
        <w:rPr>
          <w:szCs w:val="24"/>
        </w:rPr>
        <w:t xml:space="preserve">s call for prior experience in rate cases is not a requirement for intervention and creates an unfair barrier, silencing new voices with valuable perspectives. Consumer Parties meet the legal requirements for intervention, and our distinct representation is </w:t>
      </w:r>
      <w:r w:rsidR="009E6624">
        <w:rPr>
          <w:szCs w:val="24"/>
        </w:rPr>
        <w:t>needed</w:t>
      </w:r>
      <w:r w:rsidRPr="00F57809">
        <w:rPr>
          <w:szCs w:val="24"/>
        </w:rPr>
        <w:t xml:space="preserve"> </w:t>
      </w:r>
      <w:r w:rsidR="009E6624">
        <w:rPr>
          <w:szCs w:val="24"/>
        </w:rPr>
        <w:t>here where proposals by the utility could force low</w:t>
      </w:r>
      <w:r w:rsidR="00F7377A">
        <w:rPr>
          <w:szCs w:val="24"/>
        </w:rPr>
        <w:t>-</w:t>
      </w:r>
      <w:r w:rsidR="009E6624">
        <w:rPr>
          <w:szCs w:val="24"/>
        </w:rPr>
        <w:t xml:space="preserve">income consumers to make choices about bills to pay, perhaps forgoing essential utility service. </w:t>
      </w:r>
    </w:p>
    <w:p w:rsidR="00B53906" w:rsidRPr="00F57809" w14:paraId="1F61172A" w14:textId="77777777">
      <w:pPr>
        <w:rPr>
          <w:szCs w:val="24"/>
        </w:rPr>
      </w:pPr>
      <w:r w:rsidRPr="00F57809">
        <w:rPr>
          <w:szCs w:val="24"/>
        </w:rPr>
        <w:br w:type="page"/>
      </w:r>
    </w:p>
    <w:p w:rsidR="00367084" w:rsidRPr="00F57809" w:rsidP="000B2C32" w14:paraId="547BBE35" w14:textId="3771CB46">
      <w:pPr>
        <w:pStyle w:val="Heading2"/>
        <w:rPr>
          <w:rFonts w:eastAsiaTheme="minorHAnsi"/>
        </w:rPr>
      </w:pPr>
      <w:r w:rsidRPr="00F57809">
        <w:rPr>
          <w:rFonts w:eastAsiaTheme="minorHAnsi"/>
        </w:rPr>
        <w:t>D.</w:t>
      </w:r>
      <w:r w:rsidRPr="00F57809">
        <w:rPr>
          <w:rFonts w:eastAsiaTheme="minorHAnsi"/>
        </w:rPr>
        <w:tab/>
        <w:t xml:space="preserve">Committed to open dialogue and collaboration, Consumers Parties </w:t>
      </w:r>
      <w:r w:rsidR="009E6624">
        <w:rPr>
          <w:rFonts w:eastAsiaTheme="minorHAnsi"/>
        </w:rPr>
        <w:t xml:space="preserve">will </w:t>
      </w:r>
      <w:r w:rsidRPr="00F57809">
        <w:rPr>
          <w:rFonts w:eastAsiaTheme="minorHAnsi"/>
        </w:rPr>
        <w:t xml:space="preserve">work with all parties, including Dominion and OCC, to </w:t>
      </w:r>
      <w:r w:rsidR="009E6624">
        <w:rPr>
          <w:rFonts w:eastAsiaTheme="minorHAnsi"/>
        </w:rPr>
        <w:t xml:space="preserve">achieve a fair result for all consumers. </w:t>
      </w:r>
    </w:p>
    <w:p w:rsidR="00367084" w:rsidRPr="00F57809" w:rsidP="0061709D" w14:paraId="2A3CE2ED" w14:textId="7181E898">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Contrary to Dominion</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 xml:space="preserve">s assertions otherwise, the Consumer Parties are committed to collaboration and constructive engagement with all parties involved, including DEO and OCC. </w:t>
      </w:r>
      <w:r w:rsidR="009E6624">
        <w:rPr>
          <w:rFonts w:eastAsiaTheme="minorHAnsi"/>
          <w:kern w:val="2"/>
          <w:szCs w:val="24"/>
          <w14:ligatures w14:val="standardContextual"/>
        </w:rPr>
        <w:t>D</w:t>
      </w:r>
      <w:r w:rsidRPr="00F57809">
        <w:rPr>
          <w:rFonts w:eastAsiaTheme="minorHAnsi"/>
          <w:kern w:val="2"/>
          <w:szCs w:val="24"/>
          <w14:ligatures w14:val="standardContextual"/>
        </w:rPr>
        <w:t>iverse perspectives can lead to a more thorough understanding of the issues and ultimately, a fairer outcome for all stakeholders. Indeed, the PUCO has sought participation from multiple consumer advocacy groups on a singular matter, even though their interests may overlap in some areas.</w:t>
      </w:r>
      <w:r>
        <w:rPr>
          <w:rFonts w:eastAsiaTheme="minorHAnsi"/>
          <w:kern w:val="2"/>
          <w:szCs w:val="24"/>
          <w:vertAlign w:val="superscript"/>
          <w14:ligatures w14:val="standardContextual"/>
        </w:rPr>
        <w:footnoteReference w:id="9"/>
      </w:r>
      <w:r w:rsidRPr="00F57809">
        <w:rPr>
          <w:rFonts w:eastAsiaTheme="minorHAnsi"/>
          <w:kern w:val="2"/>
          <w:szCs w:val="24"/>
          <w14:ligatures w14:val="standardContextual"/>
        </w:rPr>
        <w:t xml:space="preserve"> Our intervention does not aim to obstruct the proceedings but rather to enrich </w:t>
      </w:r>
      <w:r w:rsidR="009E6624">
        <w:rPr>
          <w:rFonts w:eastAsiaTheme="minorHAnsi"/>
          <w:kern w:val="2"/>
          <w:szCs w:val="24"/>
          <w14:ligatures w14:val="standardContextual"/>
        </w:rPr>
        <w:t xml:space="preserve">the process and provide parties </w:t>
      </w:r>
      <w:r w:rsidRPr="00F57809">
        <w:rPr>
          <w:rFonts w:eastAsiaTheme="minorHAnsi"/>
          <w:kern w:val="2"/>
          <w:szCs w:val="24"/>
          <w14:ligatures w14:val="standardContextual"/>
        </w:rPr>
        <w:t>with additional viewpoints.</w:t>
      </w:r>
    </w:p>
    <w:p w:rsidR="00367084" w:rsidRPr="00F57809" w:rsidP="0054054F" w14:paraId="7CDA789C" w14:textId="04405834">
      <w:pPr>
        <w:pStyle w:val="Heading2"/>
        <w:rPr>
          <w:rFonts w:eastAsiaTheme="minorHAnsi"/>
        </w:rPr>
      </w:pPr>
      <w:r w:rsidRPr="00F57809">
        <w:rPr>
          <w:rFonts w:eastAsiaTheme="minorHAnsi"/>
        </w:rPr>
        <w:t>E.</w:t>
      </w:r>
      <w:r w:rsidRPr="00F57809">
        <w:rPr>
          <w:rFonts w:eastAsiaTheme="minorHAnsi"/>
        </w:rPr>
        <w:tab/>
        <w:t>Dominion</w:t>
      </w:r>
      <w:r w:rsidRPr="00F57809" w:rsidR="00DF66A7">
        <w:rPr>
          <w:rFonts w:eastAsiaTheme="minorHAnsi"/>
        </w:rPr>
        <w:t>’</w:t>
      </w:r>
      <w:r w:rsidRPr="00F57809">
        <w:rPr>
          <w:rFonts w:eastAsiaTheme="minorHAnsi"/>
        </w:rPr>
        <w:t xml:space="preserve">s intuition, unsupported by any evidence, </w:t>
      </w:r>
      <w:r w:rsidR="009E6624">
        <w:rPr>
          <w:rFonts w:eastAsiaTheme="minorHAnsi"/>
        </w:rPr>
        <w:t xml:space="preserve">is not convincing proof that granting Consumer Parties’ intervention will delay the proceeding. </w:t>
      </w:r>
      <w:r w:rsidRPr="00F57809">
        <w:rPr>
          <w:rFonts w:eastAsiaTheme="minorHAnsi"/>
        </w:rPr>
        <w:t xml:space="preserve"> </w:t>
      </w:r>
    </w:p>
    <w:p w:rsidR="00B53906" w:rsidP="00F7377A" w14:paraId="0339DD6D" w14:textId="6C44740F">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Dominion expresses concern about potential delays due to our intervention. However, where there is no evidence in the record that a party will cause undue delay in the proceedings, such should not be presumed.</w:t>
      </w:r>
      <w:r>
        <w:rPr>
          <w:rFonts w:eastAsiaTheme="minorHAnsi"/>
          <w:kern w:val="2"/>
          <w:szCs w:val="24"/>
          <w:vertAlign w:val="superscript"/>
          <w14:ligatures w14:val="standardContextual"/>
        </w:rPr>
        <w:footnoteReference w:id="10"/>
      </w:r>
      <w:r w:rsidRPr="00F57809">
        <w:rPr>
          <w:rFonts w:eastAsiaTheme="minorHAnsi"/>
          <w:kern w:val="2"/>
          <w:szCs w:val="24"/>
          <w14:ligatures w14:val="standardContextual"/>
        </w:rPr>
        <w:t xml:space="preserve"> The Consumer Parties have </w:t>
      </w:r>
      <w:r w:rsidR="009E6624">
        <w:rPr>
          <w:rFonts w:eastAsiaTheme="minorHAnsi"/>
          <w:kern w:val="2"/>
          <w:szCs w:val="24"/>
          <w14:ligatures w14:val="standardContextual"/>
        </w:rPr>
        <w:t>participated in PUCO proceedings before without causing undue delay</w:t>
      </w:r>
      <w:r w:rsidR="002E1642">
        <w:rPr>
          <w:rFonts w:eastAsiaTheme="minorHAnsi"/>
          <w:kern w:val="2"/>
          <w:szCs w:val="24"/>
          <w14:ligatures w14:val="standardContextual"/>
        </w:rPr>
        <w:t>.</w:t>
      </w:r>
      <w:r>
        <w:rPr>
          <w:rFonts w:eastAsiaTheme="minorHAnsi"/>
          <w:kern w:val="2"/>
          <w:szCs w:val="24"/>
          <w:vertAlign w:val="superscript"/>
          <w14:ligatures w14:val="standardContextual"/>
        </w:rPr>
        <w:footnoteReference w:id="11"/>
      </w:r>
      <w:r w:rsidRPr="00F57809">
        <w:rPr>
          <w:rFonts w:eastAsiaTheme="minorHAnsi"/>
          <w:kern w:val="2"/>
          <w:szCs w:val="24"/>
          <w14:ligatures w14:val="standardContextual"/>
        </w:rPr>
        <w:t xml:space="preserve"> We are confident that our participation will not unduly prolong the case but rather contribute to its comprehensive and timely resolution.</w:t>
      </w:r>
      <w:r w:rsidRPr="00F57809" w:rsidR="00D4727A">
        <w:rPr>
          <w:rFonts w:eastAsiaTheme="minorHAnsi"/>
          <w:kern w:val="2"/>
          <w:szCs w:val="24"/>
          <w14:ligatures w14:val="standardContextual"/>
        </w:rPr>
        <w:t xml:space="preserve"> Thus, Consumer Parties</w:t>
      </w:r>
      <w:r w:rsidR="009E6624">
        <w:rPr>
          <w:rFonts w:eastAsiaTheme="minorHAnsi"/>
          <w:kern w:val="2"/>
          <w:szCs w:val="24"/>
          <w14:ligatures w14:val="standardContextual"/>
        </w:rPr>
        <w:t>’</w:t>
      </w:r>
      <w:r w:rsidRPr="00F57809" w:rsidR="00D4727A">
        <w:rPr>
          <w:rFonts w:eastAsiaTheme="minorHAnsi"/>
          <w:kern w:val="2"/>
          <w:szCs w:val="24"/>
          <w14:ligatures w14:val="standardContextual"/>
        </w:rPr>
        <w:t xml:space="preserve"> intervention is not precluded by R.C. 4903.221 (B)(</w:t>
      </w:r>
      <w:r w:rsidR="00F7377A">
        <w:rPr>
          <w:rFonts w:eastAsiaTheme="minorHAnsi"/>
          <w:kern w:val="2"/>
          <w:szCs w:val="24"/>
          <w14:ligatures w14:val="standardContextual"/>
        </w:rPr>
        <w:t>3</w:t>
      </w:r>
      <w:r w:rsidRPr="00F57809" w:rsidR="00D4727A">
        <w:rPr>
          <w:rFonts w:eastAsiaTheme="minorHAnsi"/>
          <w:kern w:val="2"/>
          <w:szCs w:val="24"/>
          <w14:ligatures w14:val="standardContextual"/>
        </w:rPr>
        <w:t>).</w:t>
      </w:r>
    </w:p>
    <w:p w:rsidR="00947FEE" w:rsidRPr="00F57809" w:rsidP="0061709D" w14:paraId="5DA421EA" w14:textId="77777777">
      <w:pPr>
        <w:spacing w:line="480" w:lineRule="auto"/>
        <w:ind w:firstLine="360"/>
        <w:rPr>
          <w:rFonts w:eastAsiaTheme="minorHAnsi"/>
          <w:kern w:val="2"/>
          <w:szCs w:val="24"/>
          <w14:ligatures w14:val="standardContextual"/>
        </w:rPr>
      </w:pPr>
    </w:p>
    <w:p w:rsidR="00367084" w:rsidRPr="00F57809" w:rsidP="0054054F" w14:paraId="3472A167" w14:textId="6E7E2EAD">
      <w:pPr>
        <w:pStyle w:val="Heading1"/>
      </w:pPr>
      <w:r w:rsidRPr="00F57809">
        <w:t>III.</w:t>
      </w:r>
      <w:r w:rsidRPr="00F57809">
        <w:tab/>
      </w:r>
      <w:r w:rsidRPr="00F57809" w:rsidR="003E723C">
        <w:t>CONCLUSION</w:t>
      </w:r>
    </w:p>
    <w:p w:rsidR="00B53906" w:rsidRPr="00F57809" w:rsidP="00A453A3" w14:paraId="5549EEA8" w14:textId="5E406CE9">
      <w:pPr>
        <w:spacing w:line="480" w:lineRule="auto"/>
        <w:ind w:firstLine="720"/>
        <w:rPr>
          <w:rFonts w:eastAsiaTheme="minorHAnsi"/>
          <w:kern w:val="2"/>
          <w:szCs w:val="24"/>
          <w14:ligatures w14:val="standardContextual"/>
        </w:rPr>
      </w:pPr>
      <w:r w:rsidRPr="00F57809">
        <w:rPr>
          <w:rFonts w:eastAsiaTheme="minorHAnsi"/>
          <w:kern w:val="2"/>
          <w:szCs w:val="24"/>
          <w14:ligatures w14:val="standardContextual"/>
        </w:rPr>
        <w:t>In conclusion, the Consumer intervention is essential to ensure a fair and comprehensive review of DEO</w:t>
      </w:r>
      <w:r w:rsidRPr="00F57809" w:rsidR="00DF66A7">
        <w:rPr>
          <w:rFonts w:eastAsiaTheme="minorHAnsi"/>
          <w:kern w:val="2"/>
          <w:szCs w:val="24"/>
          <w14:ligatures w14:val="standardContextual"/>
        </w:rPr>
        <w:t>’</w:t>
      </w:r>
      <w:r w:rsidRPr="00F57809">
        <w:rPr>
          <w:rFonts w:eastAsiaTheme="minorHAnsi"/>
          <w:kern w:val="2"/>
          <w:szCs w:val="24"/>
          <w14:ligatures w14:val="standardContextual"/>
        </w:rPr>
        <w:t>s proposed rate increase, particularly considering its impact on vulnerable low-income residents. We have clear standing, are demonstrably aggrieved, and offer a unique and valuable perspective that will enrich the proceedings and ultimately benefit all stakeholders. We remain committed to collaboration and constructive engagement to achieve a just and equitable outcome for Ohio consumers.</w:t>
      </w:r>
      <w:r w:rsidR="005F07DE">
        <w:rPr>
          <w:rFonts w:eastAsiaTheme="minorHAnsi"/>
          <w:kern w:val="2"/>
          <w:szCs w:val="24"/>
          <w14:ligatures w14:val="standardContextual"/>
        </w:rPr>
        <w:t xml:space="preserve">  The PUCO should grant intervention to the Consumers Parties, consistent with Ohio law and PUCO precedent that requires the intervention statute to be liberally construed.  </w:t>
      </w:r>
    </w:p>
    <w:p w:rsidR="00B53906" w:rsidRPr="00F57809" w14:paraId="1E7BEF81" w14:textId="77777777">
      <w:pPr>
        <w:rPr>
          <w:rFonts w:eastAsiaTheme="minorHAnsi"/>
          <w:kern w:val="2"/>
          <w:szCs w:val="24"/>
          <w14:ligatures w14:val="standardContextual"/>
        </w:rPr>
      </w:pPr>
      <w:r w:rsidRPr="00F57809">
        <w:rPr>
          <w:rFonts w:eastAsiaTheme="minorHAnsi"/>
          <w:kern w:val="2"/>
          <w:szCs w:val="24"/>
          <w14:ligatures w14:val="standardContextual"/>
        </w:rPr>
        <w:br w:type="page"/>
      </w:r>
    </w:p>
    <w:p w:rsidR="007571DD" w:rsidRPr="00F57809" w:rsidP="003E723C" w14:paraId="26302547" w14:textId="5A181313">
      <w:pPr>
        <w:rPr>
          <w:szCs w:val="24"/>
        </w:rPr>
      </w:pPr>
      <w:r w:rsidRPr="00F57809">
        <w:rPr>
          <w:rFonts w:eastAsiaTheme="minorHAnsi"/>
          <w:kern w:val="2"/>
          <w:szCs w:val="24"/>
          <w14:ligatures w14:val="standardContextual"/>
        </w:rPr>
        <w:tab/>
      </w:r>
      <w:r w:rsidRPr="00F57809">
        <w:rPr>
          <w:rFonts w:eastAsiaTheme="minorHAnsi"/>
          <w:kern w:val="2"/>
          <w:szCs w:val="24"/>
          <w14:ligatures w14:val="standardContextual"/>
        </w:rPr>
        <w:tab/>
      </w:r>
      <w:r w:rsidRPr="00F57809">
        <w:rPr>
          <w:rFonts w:eastAsiaTheme="minorHAnsi"/>
          <w:kern w:val="2"/>
          <w:szCs w:val="24"/>
          <w14:ligatures w14:val="standardContextual"/>
        </w:rPr>
        <w:tab/>
      </w:r>
      <w:r w:rsidRPr="00F57809">
        <w:rPr>
          <w:rFonts w:eastAsiaTheme="minorHAnsi"/>
          <w:kern w:val="2"/>
          <w:szCs w:val="24"/>
          <w14:ligatures w14:val="standardContextual"/>
        </w:rPr>
        <w:tab/>
      </w:r>
      <w:r w:rsidRPr="00F57809">
        <w:rPr>
          <w:rFonts w:eastAsiaTheme="minorHAnsi"/>
          <w:kern w:val="2"/>
          <w:szCs w:val="24"/>
          <w14:ligatures w14:val="standardContextual"/>
        </w:rPr>
        <w:tab/>
      </w:r>
      <w:r w:rsidRPr="00F57809">
        <w:rPr>
          <w:rFonts w:eastAsiaTheme="minorHAnsi"/>
          <w:kern w:val="2"/>
          <w:szCs w:val="24"/>
          <w14:ligatures w14:val="standardContextual"/>
        </w:rPr>
        <w:tab/>
      </w:r>
      <w:r w:rsidRPr="00F57809" w:rsidR="00691E33">
        <w:rPr>
          <w:rFonts w:eastAsiaTheme="minorHAnsi"/>
          <w:kern w:val="2"/>
          <w:szCs w:val="24"/>
          <w14:ligatures w14:val="standardContextual"/>
        </w:rPr>
        <w:tab/>
      </w:r>
      <w:r w:rsidRPr="00F57809" w:rsidR="00451E18">
        <w:rPr>
          <w:szCs w:val="24"/>
        </w:rPr>
        <w:t>Respectfully submitted,</w:t>
      </w:r>
    </w:p>
    <w:p w:rsidR="001B683C" w:rsidRPr="00F57809" w:rsidP="001B683C" w14:paraId="3FF3B231" w14:textId="77777777">
      <w:pPr>
        <w:ind w:left="3600" w:firstLine="720"/>
        <w:rPr>
          <w:szCs w:val="24"/>
        </w:rPr>
      </w:pPr>
    </w:p>
    <w:tbl>
      <w:tblPr>
        <w:tblStyle w:val="TableGrid"/>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5040"/>
        <w:gridCol w:w="4118"/>
      </w:tblGrid>
      <w:tr w14:paraId="635DF1CF" w14:textId="77777777" w:rsidTr="00DD5D21">
        <w:tblPrEx>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5040" w:type="dxa"/>
          </w:tcPr>
          <w:p w:rsidR="001B4DE6" w:rsidRPr="00F57809" w:rsidP="00DD5D21" w14:paraId="0F58963B" w14:textId="77777777">
            <w:pPr>
              <w:pStyle w:val="BodyTextIndent3"/>
              <w:widowControl w:val="0"/>
              <w:spacing w:line="240" w:lineRule="auto"/>
              <w:ind w:right="-672" w:firstLine="0"/>
              <w:rPr>
                <w:sz w:val="24"/>
                <w:szCs w:val="24"/>
                <w:lang w:val="en-US" w:eastAsia="en-US" w:bidi="ar-SA"/>
              </w:rPr>
            </w:pPr>
            <w:r w:rsidRPr="00F57809">
              <w:rPr>
                <w:sz w:val="24"/>
                <w:szCs w:val="24"/>
                <w:lang w:val="en-US" w:eastAsia="en-US" w:bidi="ar-SA"/>
              </w:rPr>
              <w:t>Maureen R. Willis (0020847)</w:t>
            </w:r>
          </w:p>
          <w:p w:rsidR="001B4DE6" w:rsidRPr="00F57809" w:rsidP="00DD5D21" w14:paraId="54881832" w14:textId="77777777">
            <w:pPr>
              <w:tabs>
                <w:tab w:val="left" w:pos="4320"/>
              </w:tabs>
              <w:ind w:left="-23"/>
              <w:rPr>
                <w:sz w:val="24"/>
                <w:szCs w:val="24"/>
                <w:lang w:val="en-US" w:eastAsia="en-US" w:bidi="ar-SA"/>
              </w:rPr>
            </w:pPr>
            <w:r w:rsidRPr="00F57809">
              <w:rPr>
                <w:sz w:val="24"/>
                <w:szCs w:val="24"/>
                <w:lang w:val="en-US" w:eastAsia="en-US" w:bidi="ar-SA"/>
              </w:rPr>
              <w:t>Ohio Consumers’ Counsel</w:t>
            </w:r>
          </w:p>
          <w:p w:rsidR="001B4DE6" w:rsidRPr="00F57809" w:rsidP="00DD5D21" w14:paraId="041509F0" w14:textId="77777777">
            <w:pPr>
              <w:tabs>
                <w:tab w:val="left" w:pos="4320"/>
              </w:tabs>
              <w:ind w:left="-23"/>
              <w:rPr>
                <w:sz w:val="24"/>
                <w:szCs w:val="24"/>
                <w:lang w:val="en-US" w:eastAsia="en-US" w:bidi="ar-SA"/>
              </w:rPr>
            </w:pPr>
            <w:r w:rsidRPr="00F57809">
              <w:rPr>
                <w:sz w:val="24"/>
                <w:szCs w:val="24"/>
                <w:lang w:val="en-US" w:eastAsia="en-US" w:bidi="ar-SA"/>
              </w:rPr>
              <w:tab/>
            </w:r>
          </w:p>
          <w:p w:rsidR="001B4DE6" w:rsidRPr="00F57809" w:rsidP="00DD5D21" w14:paraId="362AF283" w14:textId="77777777">
            <w:pPr>
              <w:tabs>
                <w:tab w:val="left" w:pos="4320"/>
              </w:tabs>
              <w:ind w:left="-23"/>
              <w:rPr>
                <w:i/>
                <w:iCs/>
                <w:sz w:val="24"/>
                <w:szCs w:val="24"/>
                <w:u w:val="single"/>
                <w:lang w:val="en-US" w:eastAsia="en-US" w:bidi="ar-SA"/>
              </w:rPr>
            </w:pPr>
            <w:r w:rsidRPr="00F57809">
              <w:rPr>
                <w:i/>
                <w:iCs/>
                <w:sz w:val="24"/>
                <w:szCs w:val="24"/>
                <w:u w:val="single"/>
                <w:lang w:val="en-US" w:eastAsia="en-US" w:bidi="ar-SA"/>
              </w:rPr>
              <w:t>/s/ Robert Eubanks</w:t>
            </w:r>
          </w:p>
          <w:p w:rsidR="001B4DE6" w:rsidRPr="00F57809" w:rsidP="00DD5D21" w14:paraId="28A65984" w14:textId="77777777">
            <w:pPr>
              <w:tabs>
                <w:tab w:val="left" w:pos="4320"/>
              </w:tabs>
              <w:ind w:left="-23"/>
              <w:rPr>
                <w:sz w:val="24"/>
                <w:szCs w:val="24"/>
                <w:lang w:val="en-US" w:eastAsia="en-US" w:bidi="ar-SA"/>
              </w:rPr>
            </w:pPr>
            <w:r w:rsidRPr="00F57809">
              <w:rPr>
                <w:sz w:val="24"/>
                <w:szCs w:val="24"/>
                <w:lang w:val="en-US" w:eastAsia="en-US" w:bidi="ar-SA"/>
              </w:rPr>
              <w:t>Robert Eubanks (0073386)</w:t>
            </w:r>
          </w:p>
          <w:p w:rsidR="001B4DE6" w:rsidRPr="00F57809" w:rsidP="00DD5D21" w14:paraId="10C4F333" w14:textId="77777777">
            <w:pPr>
              <w:tabs>
                <w:tab w:val="left" w:pos="4320"/>
              </w:tabs>
              <w:ind w:left="-23"/>
              <w:rPr>
                <w:sz w:val="24"/>
                <w:szCs w:val="24"/>
                <w:lang w:val="en-US" w:eastAsia="en-US" w:bidi="ar-SA"/>
              </w:rPr>
            </w:pPr>
            <w:r w:rsidRPr="00F57809">
              <w:rPr>
                <w:sz w:val="24"/>
                <w:szCs w:val="24"/>
                <w:lang w:val="en-US" w:eastAsia="en-US" w:bidi="ar-SA"/>
              </w:rPr>
              <w:t>Counsel of Record</w:t>
            </w:r>
          </w:p>
          <w:p w:rsidR="001B4DE6" w:rsidRPr="00F57809" w:rsidP="00DD5D21" w14:paraId="6EB2A1A0" w14:textId="77777777">
            <w:pPr>
              <w:ind w:left="67" w:right="-180" w:hanging="67"/>
              <w:rPr>
                <w:sz w:val="24"/>
                <w:szCs w:val="24"/>
                <w:lang w:val="en-US" w:eastAsia="en-US" w:bidi="ar-SA"/>
              </w:rPr>
            </w:pPr>
            <w:r w:rsidRPr="00F57809">
              <w:rPr>
                <w:sz w:val="24"/>
                <w:szCs w:val="24"/>
                <w:lang w:val="en-US" w:eastAsia="en-US" w:bidi="ar-SA"/>
              </w:rPr>
              <w:t>Donald J. Kral (0042091)</w:t>
            </w:r>
          </w:p>
          <w:p w:rsidR="001B4DE6" w:rsidRPr="00F57809" w:rsidP="00DD5D21" w14:paraId="55EF5682" w14:textId="77777777">
            <w:pPr>
              <w:tabs>
                <w:tab w:val="left" w:pos="4320"/>
              </w:tabs>
              <w:ind w:left="4320" w:right="-180" w:hanging="4320"/>
              <w:rPr>
                <w:sz w:val="24"/>
                <w:szCs w:val="24"/>
                <w:lang w:val="en-US" w:eastAsia="en-US" w:bidi="ar-SA"/>
              </w:rPr>
            </w:pPr>
            <w:r w:rsidRPr="00F57809">
              <w:rPr>
                <w:sz w:val="24"/>
                <w:szCs w:val="24"/>
                <w:lang w:val="en-US" w:eastAsia="en-US" w:bidi="ar-SA"/>
              </w:rPr>
              <w:t>Thomas Brodbeck (0093920)</w:t>
            </w:r>
          </w:p>
          <w:p w:rsidR="001B4DE6" w:rsidRPr="00F57809" w:rsidP="00083800" w14:paraId="1927F597" w14:textId="78AB0778">
            <w:pPr>
              <w:tabs>
                <w:tab w:val="left" w:pos="4320"/>
              </w:tabs>
              <w:ind w:left="4320" w:right="-180" w:hanging="4343"/>
              <w:rPr>
                <w:sz w:val="24"/>
                <w:szCs w:val="24"/>
                <w:lang w:val="en-US" w:eastAsia="en-US" w:bidi="ar-SA"/>
              </w:rPr>
            </w:pPr>
            <w:r w:rsidRPr="00F57809">
              <w:rPr>
                <w:sz w:val="24"/>
                <w:szCs w:val="24"/>
                <w:lang w:val="en-US" w:eastAsia="en-US" w:bidi="ar-SA"/>
              </w:rPr>
              <w:t>Assistant Consumers’ Counsel</w:t>
            </w:r>
          </w:p>
          <w:p w:rsidR="00083800" w:rsidRPr="00F57809" w:rsidP="00083800" w14:paraId="4B3EA521" w14:textId="77777777">
            <w:pPr>
              <w:tabs>
                <w:tab w:val="left" w:pos="4320"/>
              </w:tabs>
              <w:ind w:left="4320" w:right="-180" w:hanging="4343"/>
              <w:rPr>
                <w:sz w:val="24"/>
                <w:szCs w:val="24"/>
                <w:lang w:val="en-US" w:eastAsia="en-US" w:bidi="ar-SA"/>
              </w:rPr>
            </w:pPr>
          </w:p>
          <w:p w:rsidR="001B4DE6" w:rsidRPr="00F57809" w:rsidP="00083800" w14:paraId="2D056152" w14:textId="225BD47D">
            <w:pPr>
              <w:rPr>
                <w:b/>
                <w:bCs/>
                <w:sz w:val="24"/>
                <w:szCs w:val="24"/>
                <w:lang w:val="en-US" w:eastAsia="en-US" w:bidi="ar-SA"/>
              </w:rPr>
            </w:pPr>
            <w:r w:rsidRPr="00F57809">
              <w:rPr>
                <w:b/>
                <w:bCs/>
                <w:sz w:val="24"/>
                <w:szCs w:val="24"/>
                <w:lang w:val="en-US" w:eastAsia="en-US" w:bidi="ar-SA"/>
              </w:rPr>
              <w:t>Office of the Ohio Consumers’ Counsel</w:t>
            </w:r>
          </w:p>
          <w:p w:rsidR="001B4DE6" w:rsidRPr="00F57809" w:rsidP="00083800" w14:paraId="42735ADC" w14:textId="37F37270">
            <w:pPr>
              <w:rPr>
                <w:b/>
                <w:sz w:val="24"/>
                <w:szCs w:val="24"/>
                <w:lang w:val="en-US" w:eastAsia="en-US" w:bidi="ar-SA"/>
              </w:rPr>
            </w:pPr>
            <w:r w:rsidRPr="00F57809">
              <w:rPr>
                <w:sz w:val="24"/>
                <w:szCs w:val="24"/>
                <w:lang w:val="en-US" w:eastAsia="en-US" w:bidi="ar-SA"/>
              </w:rPr>
              <w:t>65 East State Street, Suite 700</w:t>
            </w:r>
          </w:p>
          <w:p w:rsidR="001B4DE6" w:rsidRPr="00F57809" w:rsidP="00083800" w14:paraId="5E717C1E" w14:textId="117A00EA">
            <w:pPr>
              <w:rPr>
                <w:b/>
                <w:sz w:val="24"/>
                <w:szCs w:val="24"/>
                <w:lang w:val="en-US" w:eastAsia="en-US" w:bidi="ar-SA"/>
              </w:rPr>
            </w:pPr>
            <w:r w:rsidRPr="00F57809">
              <w:rPr>
                <w:sz w:val="24"/>
                <w:szCs w:val="24"/>
                <w:lang w:val="en-US" w:eastAsia="en-US" w:bidi="ar-SA"/>
              </w:rPr>
              <w:t>Columbus, Ohio 43215</w:t>
            </w:r>
          </w:p>
          <w:p w:rsidR="001B4DE6" w:rsidRPr="00F57809" w:rsidP="00DD5D21" w14:paraId="42B36EB4" w14:textId="77777777">
            <w:pPr>
              <w:autoSpaceDE w:val="0"/>
              <w:autoSpaceDN w:val="0"/>
              <w:adjustRightInd w:val="0"/>
              <w:ind w:left="-23"/>
              <w:rPr>
                <w:sz w:val="24"/>
                <w:szCs w:val="24"/>
                <w:lang w:val="en-US" w:eastAsia="en-US" w:bidi="ar-SA"/>
              </w:rPr>
            </w:pPr>
            <w:r w:rsidRPr="00F57809">
              <w:rPr>
                <w:sz w:val="24"/>
                <w:szCs w:val="24"/>
                <w:lang w:val="en-US" w:eastAsia="en-US" w:bidi="ar-SA"/>
              </w:rPr>
              <w:t>Telephone [Eubanks]: (614) 466-1292</w:t>
            </w:r>
          </w:p>
          <w:p w:rsidR="001B4DE6" w:rsidRPr="00F57809" w:rsidP="00DD5D21" w14:paraId="78AAC721" w14:textId="77777777">
            <w:pPr>
              <w:suppressLineNumbers/>
              <w:ind w:left="4320" w:hanging="4320"/>
              <w:rPr>
                <w:sz w:val="24"/>
                <w:szCs w:val="24"/>
                <w:lang w:val="en-US" w:eastAsia="en-US" w:bidi="ar-SA"/>
              </w:rPr>
            </w:pPr>
            <w:r w:rsidRPr="00F57809">
              <w:rPr>
                <w:sz w:val="24"/>
                <w:szCs w:val="24"/>
                <w:lang w:val="en-US" w:eastAsia="en-US" w:bidi="ar-SA"/>
              </w:rPr>
              <w:t>Telephone: [Kral] (614) 466-9571</w:t>
            </w:r>
          </w:p>
          <w:p w:rsidR="001B4DE6" w:rsidRPr="00F57809" w:rsidP="00DD5D21" w14:paraId="4AA631BA" w14:textId="77777777">
            <w:pPr>
              <w:suppressLineNumbers/>
              <w:ind w:left="4320" w:hanging="4320"/>
              <w:rPr>
                <w:sz w:val="24"/>
                <w:szCs w:val="24"/>
                <w:lang w:val="en-US" w:eastAsia="en-US" w:bidi="ar-SA"/>
              </w:rPr>
            </w:pPr>
            <w:r w:rsidRPr="00F57809">
              <w:rPr>
                <w:sz w:val="24"/>
                <w:szCs w:val="24"/>
                <w:lang w:val="en-US" w:eastAsia="en-US" w:bidi="ar-SA"/>
              </w:rPr>
              <w:t>Telephone: [Brodbeck] (614) 466-9565</w:t>
            </w:r>
          </w:p>
          <w:p w:rsidR="001B4DE6" w:rsidRPr="00F57809" w:rsidP="00DD5D21" w14:paraId="64CE8668" w14:textId="77777777">
            <w:pPr>
              <w:ind w:left="-23"/>
              <w:rPr>
                <w:rStyle w:val="Hyperlink"/>
                <w:color w:val="0000FF"/>
                <w:sz w:val="24"/>
                <w:szCs w:val="24"/>
                <w:u w:val="single"/>
                <w:lang w:val="en-US" w:eastAsia="en-US" w:bidi="ar-SA"/>
              </w:rPr>
            </w:pPr>
            <w:r w:rsidRPr="00F57809">
              <w:rPr>
                <w:sz w:val="24"/>
                <w:szCs w:val="24"/>
                <w:lang w:val="en-US" w:eastAsia="en-US" w:bidi="ar-SA"/>
              </w:rPr>
              <w:tab/>
            </w:r>
            <w:hyperlink r:id="rId6" w:history="1">
              <w:r w:rsidRPr="00F57809">
                <w:rPr>
                  <w:rStyle w:val="Hyperlink"/>
                  <w:color w:val="0000FF"/>
                  <w:sz w:val="24"/>
                  <w:szCs w:val="24"/>
                  <w:u w:val="single"/>
                  <w:lang w:val="en-US" w:eastAsia="en-US" w:bidi="ar-SA"/>
                </w:rPr>
                <w:t>robert.eubanks@occ.ohio.gov</w:t>
              </w:r>
            </w:hyperlink>
          </w:p>
          <w:p w:rsidR="001B4DE6" w:rsidRPr="00F57809" w:rsidP="00DD5D21" w14:paraId="62073BD1" w14:textId="77777777">
            <w:pPr>
              <w:suppressLineNumbers/>
              <w:ind w:left="4320" w:hanging="4343"/>
              <w:rPr>
                <w:rStyle w:val="Hyperlink"/>
                <w:rFonts w:eastAsia="Courier New"/>
                <w:color w:val="0000FF"/>
                <w:sz w:val="24"/>
                <w:szCs w:val="24"/>
                <w:u w:val="single"/>
                <w:lang w:val="en-US" w:eastAsia="en-US" w:bidi="ar-SA"/>
              </w:rPr>
            </w:pPr>
            <w:hyperlink r:id="rId7" w:history="1">
              <w:r w:rsidRPr="00F57809" w:rsidR="000C0653">
                <w:rPr>
                  <w:rStyle w:val="Hyperlink"/>
                  <w:rFonts w:eastAsia="Courier New"/>
                  <w:color w:val="0000FF"/>
                  <w:sz w:val="24"/>
                  <w:szCs w:val="24"/>
                  <w:u w:val="single"/>
                  <w:lang w:val="en-US" w:eastAsia="en-US" w:bidi="ar-SA"/>
                </w:rPr>
                <w:t>donald.kral@occ.ohio.gov</w:t>
              </w:r>
            </w:hyperlink>
          </w:p>
          <w:p w:rsidR="001B4DE6" w:rsidRPr="00F57809" w:rsidP="00DD5D21" w14:paraId="4A8E9A51" w14:textId="77777777">
            <w:pPr>
              <w:suppressLineNumbers/>
              <w:ind w:left="4320" w:hanging="4343"/>
              <w:rPr>
                <w:sz w:val="24"/>
                <w:szCs w:val="24"/>
                <w:lang w:val="en-US" w:eastAsia="en-US" w:bidi="ar-SA"/>
              </w:rPr>
            </w:pPr>
            <w:hyperlink r:id="rId8" w:history="1">
              <w:r w:rsidRPr="00F57809" w:rsidR="000C0653">
                <w:rPr>
                  <w:rStyle w:val="Hyperlink"/>
                  <w:rFonts w:eastAsia="Courier New"/>
                  <w:color w:val="0000FF"/>
                  <w:sz w:val="24"/>
                  <w:szCs w:val="24"/>
                  <w:u w:val="single"/>
                  <w:lang w:val="en-US" w:eastAsia="en-US" w:bidi="ar-SA"/>
                </w:rPr>
                <w:t>thomas.brodbeck@occ.ohio.gov</w:t>
              </w:r>
            </w:hyperlink>
          </w:p>
          <w:p w:rsidR="001B4DE6" w:rsidRPr="00F57809" w:rsidP="00DD5D21" w14:paraId="5BC2E3A6" w14:textId="77777777">
            <w:pPr>
              <w:ind w:left="-23"/>
              <w:rPr>
                <w:sz w:val="24"/>
                <w:szCs w:val="24"/>
                <w:lang w:val="en-US" w:eastAsia="en-US" w:bidi="ar-SA"/>
              </w:rPr>
            </w:pPr>
            <w:r w:rsidRPr="00F57809">
              <w:rPr>
                <w:sz w:val="24"/>
                <w:szCs w:val="24"/>
                <w:lang w:val="en-US" w:eastAsia="en-US" w:bidi="ar-SA"/>
              </w:rPr>
              <w:tab/>
              <w:t>(willing to accept service by e-mail)</w:t>
            </w:r>
            <w:r w:rsidRPr="00F57809">
              <w:rPr>
                <w:sz w:val="24"/>
                <w:szCs w:val="24"/>
                <w:lang w:val="en-US" w:eastAsia="en-US" w:bidi="ar-SA"/>
              </w:rPr>
              <w:tab/>
            </w:r>
          </w:p>
          <w:p w:rsidR="001B4DE6" w:rsidRPr="00F57809" w:rsidP="00DD5D21" w14:paraId="5EA4496B" w14:textId="77777777">
            <w:pPr>
              <w:ind w:left="-23"/>
              <w:rPr>
                <w:sz w:val="24"/>
                <w:szCs w:val="24"/>
                <w:lang w:val="en-US" w:eastAsia="en-US" w:bidi="ar-SA"/>
              </w:rPr>
            </w:pPr>
          </w:p>
          <w:p w:rsidR="001467EC" w:rsidRPr="00F57809" w:rsidP="001467EC" w14:paraId="379CCA2B" w14:textId="5FB195FB">
            <w:pPr>
              <w:pStyle w:val="BodyText"/>
              <w:ind w:right="1136"/>
              <w:jc w:val="both"/>
              <w:rPr>
                <w:sz w:val="24"/>
                <w:szCs w:val="24"/>
                <w:lang w:val="en-US" w:eastAsia="en-US" w:bidi="ar-SA"/>
              </w:rPr>
            </w:pPr>
          </w:p>
          <w:p w:rsidR="001B4DE6" w:rsidRPr="00F57809" w:rsidP="00691E33" w14:paraId="63379B0F" w14:textId="3DF2D34E">
            <w:pPr>
              <w:pStyle w:val="BodyText"/>
              <w:ind w:right="1136"/>
              <w:jc w:val="both"/>
              <w:rPr>
                <w:sz w:val="24"/>
                <w:szCs w:val="24"/>
                <w:lang w:val="en-US" w:eastAsia="en-US" w:bidi="ar-SA"/>
              </w:rPr>
            </w:pPr>
          </w:p>
        </w:tc>
        <w:tc>
          <w:tcPr>
            <w:tcW w:w="4118" w:type="dxa"/>
          </w:tcPr>
          <w:p w:rsidR="001B4DE6" w:rsidRPr="00F57809" w:rsidP="00691E33" w14:paraId="49E28834" w14:textId="29D78EBE">
            <w:pPr>
              <w:pStyle w:val="BodyText"/>
              <w:ind w:left="70" w:right="1136"/>
              <w:jc w:val="left"/>
              <w:rPr>
                <w:i/>
                <w:iCs/>
                <w:sz w:val="24"/>
                <w:szCs w:val="24"/>
                <w:u w:val="single"/>
                <w:lang w:val="en-US" w:eastAsia="en-US" w:bidi="ar-SA"/>
              </w:rPr>
            </w:pPr>
            <w:r w:rsidRPr="00F57809">
              <w:rPr>
                <w:i/>
                <w:iCs/>
                <w:sz w:val="24"/>
                <w:szCs w:val="24"/>
                <w:u w:val="single"/>
                <w:lang w:val="en-US" w:eastAsia="en-US" w:bidi="ar-SA"/>
              </w:rPr>
              <w:t>/s/</w:t>
            </w:r>
            <w:r w:rsidR="007E1F13">
              <w:rPr>
                <w:i/>
                <w:iCs/>
                <w:sz w:val="24"/>
                <w:szCs w:val="24"/>
                <w:u w:val="single"/>
                <w:lang w:val="en-US" w:eastAsia="en-US" w:bidi="ar-SA"/>
              </w:rPr>
              <w:t xml:space="preserve"> Stephanie Moes</w:t>
            </w:r>
            <w:r w:rsidRPr="00F57809">
              <w:rPr>
                <w:i/>
                <w:iCs/>
                <w:sz w:val="24"/>
                <w:szCs w:val="24"/>
                <w:u w:val="single"/>
                <w:lang w:val="en-US" w:eastAsia="en-US" w:bidi="ar-SA"/>
              </w:rPr>
              <w:t xml:space="preserve"> </w:t>
            </w:r>
          </w:p>
          <w:p w:rsidR="001B4DE6" w:rsidRPr="00F57809" w:rsidP="00691E33" w14:paraId="12901EDE" w14:textId="77777777">
            <w:pPr>
              <w:pStyle w:val="BodyText"/>
              <w:ind w:left="70" w:right="1136"/>
              <w:jc w:val="left"/>
              <w:rPr>
                <w:sz w:val="24"/>
                <w:szCs w:val="24"/>
                <w:lang w:val="en-US" w:eastAsia="en-US" w:bidi="ar-SA"/>
              </w:rPr>
            </w:pPr>
            <w:r w:rsidRPr="00F57809">
              <w:rPr>
                <w:sz w:val="24"/>
                <w:szCs w:val="24"/>
                <w:lang w:val="en-US" w:eastAsia="en-US" w:bidi="ar-SA"/>
              </w:rPr>
              <w:t>Stephanie Moes (0077136)</w:t>
            </w:r>
          </w:p>
          <w:p w:rsidR="001B4DE6" w:rsidRPr="00F57809" w:rsidP="00691E33" w14:paraId="3DFCD44F" w14:textId="77777777">
            <w:pPr>
              <w:pStyle w:val="BodyText"/>
              <w:ind w:left="70" w:right="1136"/>
              <w:jc w:val="left"/>
              <w:rPr>
                <w:b/>
                <w:bCs/>
                <w:sz w:val="24"/>
                <w:szCs w:val="24"/>
                <w:lang w:val="en-US" w:eastAsia="en-US" w:bidi="ar-SA"/>
              </w:rPr>
            </w:pPr>
            <w:r w:rsidRPr="00F57809">
              <w:rPr>
                <w:b/>
                <w:bCs/>
                <w:sz w:val="24"/>
                <w:szCs w:val="24"/>
                <w:lang w:val="en-US" w:eastAsia="en-US" w:bidi="ar-SA"/>
              </w:rPr>
              <w:t xml:space="preserve">Legal Aid Society of Southwest Ohio, LLC </w:t>
            </w:r>
          </w:p>
          <w:p w:rsidR="001B4DE6" w:rsidRPr="00F57809" w:rsidP="00691E33" w14:paraId="2769B43E" w14:textId="77777777">
            <w:pPr>
              <w:pStyle w:val="BodyText"/>
              <w:ind w:left="70" w:right="1136"/>
              <w:jc w:val="left"/>
              <w:rPr>
                <w:sz w:val="24"/>
                <w:szCs w:val="24"/>
                <w:lang w:val="en-US" w:eastAsia="en-US" w:bidi="ar-SA"/>
              </w:rPr>
            </w:pPr>
            <w:r w:rsidRPr="00F57809">
              <w:rPr>
                <w:sz w:val="24"/>
                <w:szCs w:val="24"/>
                <w:lang w:val="en-US" w:eastAsia="en-US" w:bidi="ar-SA"/>
              </w:rPr>
              <w:t xml:space="preserve">215 East Ninth Street, Suite 500 Cincinnati, Ohio 45202 </w:t>
            </w:r>
          </w:p>
          <w:p w:rsidR="001B4DE6" w:rsidRPr="00F57809" w:rsidP="00691E33" w14:paraId="1D346453" w14:textId="77777777">
            <w:pPr>
              <w:pStyle w:val="BodyText"/>
              <w:ind w:left="70" w:right="1136"/>
              <w:jc w:val="left"/>
              <w:rPr>
                <w:sz w:val="24"/>
                <w:szCs w:val="24"/>
                <w:lang w:val="en-US" w:eastAsia="en-US" w:bidi="ar-SA"/>
              </w:rPr>
            </w:pPr>
            <w:r w:rsidRPr="00F57809">
              <w:rPr>
                <w:sz w:val="24"/>
                <w:szCs w:val="24"/>
                <w:lang w:val="en-US" w:eastAsia="en-US" w:bidi="ar-SA"/>
              </w:rPr>
              <w:t xml:space="preserve">(513) 362-2807 (direct dial) </w:t>
            </w:r>
          </w:p>
          <w:p w:rsidR="001B4DE6" w:rsidRPr="00F57809" w:rsidP="00691E33" w14:paraId="7DF987A9" w14:textId="77777777">
            <w:pPr>
              <w:pStyle w:val="BodyText"/>
              <w:ind w:left="70" w:right="1136"/>
              <w:jc w:val="left"/>
              <w:rPr>
                <w:sz w:val="24"/>
                <w:szCs w:val="24"/>
                <w:lang w:val="en-US" w:eastAsia="en-US" w:bidi="ar-SA"/>
              </w:rPr>
            </w:pPr>
            <w:r w:rsidRPr="00F57809">
              <w:rPr>
                <w:sz w:val="24"/>
                <w:szCs w:val="24"/>
                <w:lang w:val="en-US" w:eastAsia="en-US" w:bidi="ar-SA"/>
              </w:rPr>
              <w:t xml:space="preserve">(513) 259-7309 (cell) </w:t>
            </w:r>
            <w:hyperlink r:id="rId9" w:history="1">
              <w:r w:rsidRPr="00F57809">
                <w:rPr>
                  <w:rStyle w:val="Hyperlink"/>
                  <w:color w:val="0000FF"/>
                  <w:sz w:val="24"/>
                  <w:szCs w:val="24"/>
                  <w:u w:val="single"/>
                  <w:lang w:val="en-US" w:eastAsia="en-US" w:bidi="ar-SA"/>
                </w:rPr>
                <w:t>smoes@lascinti.org</w:t>
              </w:r>
            </w:hyperlink>
            <w:r w:rsidRPr="00F57809">
              <w:rPr>
                <w:sz w:val="24"/>
                <w:szCs w:val="24"/>
                <w:lang w:val="en-US" w:eastAsia="en-US" w:bidi="ar-SA"/>
              </w:rPr>
              <w:t xml:space="preserve"> </w:t>
            </w:r>
          </w:p>
          <w:p w:rsidR="001B4DE6" w:rsidRPr="00F57809" w:rsidP="00691E33" w14:paraId="68D6517B" w14:textId="77777777">
            <w:pPr>
              <w:pStyle w:val="BodyText"/>
              <w:ind w:left="70" w:right="143"/>
              <w:jc w:val="left"/>
              <w:rPr>
                <w:i/>
                <w:iCs/>
                <w:sz w:val="24"/>
                <w:szCs w:val="24"/>
                <w:u w:val="single"/>
                <w:lang w:val="en-US" w:eastAsia="en-US" w:bidi="ar-SA"/>
              </w:rPr>
            </w:pPr>
            <w:r w:rsidRPr="00F57809">
              <w:rPr>
                <w:sz w:val="24"/>
                <w:szCs w:val="24"/>
                <w:lang w:val="en-US" w:eastAsia="en-US" w:bidi="ar-SA"/>
              </w:rPr>
              <w:t xml:space="preserve">(will accept service via e-mail) </w:t>
            </w:r>
          </w:p>
          <w:p w:rsidR="001B4DE6" w:rsidRPr="00F57809" w:rsidP="00691E33" w14:paraId="0100DBE4" w14:textId="77777777">
            <w:pPr>
              <w:ind w:left="70"/>
              <w:rPr>
                <w:sz w:val="24"/>
                <w:szCs w:val="24"/>
                <w:lang w:val="en-US" w:eastAsia="en-US" w:bidi="ar-SA"/>
              </w:rPr>
            </w:pPr>
          </w:p>
          <w:p w:rsidR="001B4DE6" w:rsidRPr="00F57809" w:rsidP="00691E33" w14:paraId="19006524" w14:textId="1B7EF95A">
            <w:pPr>
              <w:ind w:left="70"/>
              <w:rPr>
                <w:i/>
                <w:iCs/>
                <w:sz w:val="24"/>
                <w:szCs w:val="24"/>
                <w:u w:val="single"/>
                <w:lang w:val="en-US" w:eastAsia="en-US" w:bidi="ar-SA"/>
              </w:rPr>
            </w:pPr>
            <w:r w:rsidRPr="00F57809">
              <w:rPr>
                <w:i/>
                <w:iCs/>
                <w:sz w:val="24"/>
                <w:szCs w:val="24"/>
                <w:u w:val="single"/>
                <w:lang w:val="en-US" w:eastAsia="en-US" w:bidi="ar-SA"/>
              </w:rPr>
              <w:t>/s/</w:t>
            </w:r>
            <w:r w:rsidR="007E1F13">
              <w:rPr>
                <w:i/>
                <w:iCs/>
                <w:sz w:val="24"/>
                <w:szCs w:val="24"/>
                <w:u w:val="single"/>
                <w:lang w:val="en-US" w:eastAsia="en-US" w:bidi="ar-SA"/>
              </w:rPr>
              <w:t xml:space="preserve"> Susan Jagers</w:t>
            </w:r>
            <w:r w:rsidRPr="00F57809">
              <w:rPr>
                <w:i/>
                <w:iCs/>
                <w:sz w:val="24"/>
                <w:szCs w:val="24"/>
                <w:u w:val="single"/>
                <w:lang w:val="en-US" w:eastAsia="en-US" w:bidi="ar-SA"/>
              </w:rPr>
              <w:t xml:space="preserve"> </w:t>
            </w:r>
          </w:p>
          <w:p w:rsidR="001B4DE6" w:rsidRPr="00F57809" w:rsidP="00691E33" w14:paraId="3F34C91B" w14:textId="77777777">
            <w:pPr>
              <w:ind w:left="70"/>
              <w:rPr>
                <w:sz w:val="24"/>
                <w:szCs w:val="24"/>
                <w:lang w:val="en-US" w:eastAsia="en-US" w:bidi="ar-SA"/>
              </w:rPr>
            </w:pPr>
            <w:r w:rsidRPr="00F57809">
              <w:rPr>
                <w:sz w:val="24"/>
                <w:szCs w:val="24"/>
                <w:lang w:val="en-US" w:eastAsia="en-US" w:bidi="ar-SA"/>
              </w:rPr>
              <w:t>Susan Jagers (0061678)</w:t>
            </w:r>
          </w:p>
          <w:p w:rsidR="001B4DE6" w:rsidRPr="00F57809" w:rsidP="00691E33" w14:paraId="6713EA88" w14:textId="77777777">
            <w:pPr>
              <w:ind w:left="70"/>
              <w:rPr>
                <w:b/>
                <w:bCs/>
                <w:sz w:val="24"/>
                <w:szCs w:val="24"/>
                <w:lang w:val="en-US" w:eastAsia="en-US" w:bidi="ar-SA"/>
              </w:rPr>
            </w:pPr>
            <w:r w:rsidRPr="00F57809">
              <w:rPr>
                <w:b/>
                <w:bCs/>
                <w:sz w:val="24"/>
                <w:szCs w:val="24"/>
                <w:lang w:val="en-US" w:eastAsia="en-US" w:bidi="ar-SA"/>
              </w:rPr>
              <w:t>Ohio Poverty Law Center</w:t>
            </w:r>
          </w:p>
          <w:p w:rsidR="001B4DE6" w:rsidRPr="00F57809" w:rsidP="00691E33" w14:paraId="02196423" w14:textId="77777777">
            <w:pPr>
              <w:ind w:left="70"/>
              <w:rPr>
                <w:sz w:val="24"/>
                <w:szCs w:val="24"/>
                <w:lang w:val="en-US" w:eastAsia="en-US" w:bidi="ar-SA"/>
              </w:rPr>
            </w:pPr>
            <w:r w:rsidRPr="00F57809">
              <w:rPr>
                <w:sz w:val="24"/>
                <w:szCs w:val="24"/>
                <w:lang w:val="en-US" w:eastAsia="en-US" w:bidi="ar-SA"/>
              </w:rPr>
              <w:t>1108 City Park Ave. Suite 200</w:t>
            </w:r>
          </w:p>
          <w:p w:rsidR="001B4DE6" w:rsidRPr="00F57809" w:rsidP="00691E33" w14:paraId="23234871" w14:textId="77777777">
            <w:pPr>
              <w:ind w:left="70"/>
              <w:rPr>
                <w:sz w:val="24"/>
                <w:szCs w:val="24"/>
                <w:lang w:val="en-US" w:eastAsia="en-US" w:bidi="ar-SA"/>
              </w:rPr>
            </w:pPr>
            <w:r w:rsidRPr="00F57809">
              <w:rPr>
                <w:sz w:val="24"/>
                <w:szCs w:val="24"/>
                <w:lang w:val="en-US" w:eastAsia="en-US" w:bidi="ar-SA"/>
              </w:rPr>
              <w:t>Columbus, OH 43206</w:t>
            </w:r>
          </w:p>
          <w:p w:rsidR="001B4DE6" w:rsidRPr="00F57809" w:rsidP="00691E33" w14:paraId="1B9ED399" w14:textId="77777777">
            <w:pPr>
              <w:ind w:left="70"/>
              <w:rPr>
                <w:sz w:val="24"/>
                <w:szCs w:val="24"/>
                <w:lang w:val="en-US" w:eastAsia="en-US" w:bidi="ar-SA"/>
              </w:rPr>
            </w:pPr>
            <w:r w:rsidRPr="00F57809">
              <w:rPr>
                <w:sz w:val="24"/>
                <w:szCs w:val="24"/>
                <w:lang w:val="en-US" w:eastAsia="en-US" w:bidi="ar-SA"/>
              </w:rPr>
              <w:t>614-824-2501</w:t>
            </w:r>
          </w:p>
          <w:p w:rsidR="001B4DE6" w:rsidRPr="00F57809" w:rsidP="00691E33" w14:paraId="37285612" w14:textId="77777777">
            <w:pPr>
              <w:ind w:left="70"/>
              <w:rPr>
                <w:rStyle w:val="Hyperlink"/>
                <w:color w:val="0000FF"/>
                <w:sz w:val="24"/>
                <w:szCs w:val="24"/>
                <w:u w:val="single"/>
                <w:lang w:val="en-US" w:eastAsia="en-US" w:bidi="ar-SA"/>
              </w:rPr>
            </w:pPr>
            <w:hyperlink r:id="rId10" w:history="1">
              <w:r w:rsidRPr="00F57809" w:rsidR="000C0653">
                <w:rPr>
                  <w:rStyle w:val="Hyperlink"/>
                  <w:color w:val="0000FF"/>
                  <w:sz w:val="24"/>
                  <w:szCs w:val="24"/>
                  <w:u w:val="single"/>
                  <w:lang w:val="en-US" w:eastAsia="en-US" w:bidi="ar-SA"/>
                </w:rPr>
                <w:t>sjagers@ohiopovertylaw.org</w:t>
              </w:r>
            </w:hyperlink>
          </w:p>
          <w:p w:rsidR="001B4DE6" w:rsidRPr="00F57809" w:rsidP="00691E33" w14:paraId="217AC0F0" w14:textId="5BD8EF67">
            <w:pPr>
              <w:ind w:left="70"/>
              <w:rPr>
                <w:sz w:val="24"/>
                <w:szCs w:val="24"/>
                <w:lang w:val="en-US" w:eastAsia="en-US" w:bidi="ar-SA"/>
              </w:rPr>
            </w:pPr>
            <w:r w:rsidRPr="00F57809">
              <w:rPr>
                <w:color w:val="000000"/>
                <w:sz w:val="24"/>
                <w:szCs w:val="24"/>
                <w:lang w:val="en-US" w:eastAsia="en-US" w:bidi="ar-SA"/>
              </w:rPr>
              <w:t>(will</w:t>
            </w:r>
            <w:r w:rsidRPr="00F57809" w:rsidR="007D30C6">
              <w:rPr>
                <w:color w:val="000000"/>
                <w:sz w:val="24"/>
                <w:szCs w:val="24"/>
                <w:lang w:val="en-US" w:eastAsia="en-US" w:bidi="ar-SA"/>
              </w:rPr>
              <w:t>ing to</w:t>
            </w:r>
            <w:r w:rsidRPr="00F57809">
              <w:rPr>
                <w:color w:val="000000"/>
                <w:sz w:val="24"/>
                <w:szCs w:val="24"/>
                <w:lang w:val="en-US" w:eastAsia="en-US" w:bidi="ar-SA"/>
              </w:rPr>
              <w:t xml:space="preserve"> accept service </w:t>
            </w:r>
            <w:r w:rsidRPr="00F57809" w:rsidR="007D30C6">
              <w:rPr>
                <w:color w:val="000000"/>
                <w:sz w:val="24"/>
                <w:szCs w:val="24"/>
                <w:lang w:val="en-US" w:eastAsia="en-US" w:bidi="ar-SA"/>
              </w:rPr>
              <w:t>by</w:t>
            </w:r>
            <w:r w:rsidRPr="00F57809">
              <w:rPr>
                <w:color w:val="000000"/>
                <w:sz w:val="24"/>
                <w:szCs w:val="24"/>
                <w:lang w:val="en-US" w:eastAsia="en-US" w:bidi="ar-SA"/>
              </w:rPr>
              <w:t xml:space="preserve"> e-mail)</w:t>
            </w:r>
          </w:p>
          <w:p w:rsidR="001B4DE6" w:rsidRPr="00F57809" w:rsidP="00691E33" w14:paraId="7D488D34" w14:textId="77777777">
            <w:pPr>
              <w:ind w:left="70"/>
              <w:rPr>
                <w:sz w:val="24"/>
                <w:szCs w:val="24"/>
                <w:lang w:val="en-US" w:eastAsia="en-US" w:bidi="ar-SA"/>
              </w:rPr>
            </w:pPr>
          </w:p>
        </w:tc>
      </w:tr>
    </w:tbl>
    <w:p w:rsidR="00650A41" w:rsidRPr="00F57809" w14:paraId="601369D7" w14:textId="1018982C">
      <w:pPr>
        <w:rPr>
          <w:szCs w:val="24"/>
        </w:rPr>
      </w:pPr>
    </w:p>
    <w:p w:rsidR="00947FEE" w14:paraId="781B781D" w14:textId="77777777">
      <w:pPr>
        <w:rPr>
          <w:b/>
          <w:bCs/>
          <w:szCs w:val="24"/>
          <w:u w:val="single"/>
        </w:rPr>
      </w:pPr>
      <w:r>
        <w:rPr>
          <w:b/>
          <w:bCs/>
          <w:szCs w:val="24"/>
          <w:u w:val="single"/>
        </w:rPr>
        <w:br w:type="page"/>
      </w:r>
    </w:p>
    <w:p w:rsidR="00A044B5" w:rsidRPr="00F57809" w:rsidP="00572055" w14:paraId="001CC221" w14:textId="39F7F269">
      <w:pPr>
        <w:jc w:val="center"/>
        <w:rPr>
          <w:b/>
          <w:bCs/>
          <w:szCs w:val="24"/>
          <w:u w:val="single"/>
        </w:rPr>
      </w:pPr>
      <w:r w:rsidRPr="00F57809">
        <w:rPr>
          <w:b/>
          <w:bCs/>
          <w:szCs w:val="24"/>
          <w:u w:val="single"/>
        </w:rPr>
        <w:t>CERTIFICATE OF SERVICE</w:t>
      </w:r>
    </w:p>
    <w:p w:rsidR="000F2669" w:rsidRPr="00F57809" w:rsidP="00572055" w14:paraId="21306A82" w14:textId="77777777">
      <w:pPr>
        <w:jc w:val="center"/>
        <w:rPr>
          <w:b/>
          <w:bCs/>
          <w:szCs w:val="24"/>
          <w:u w:val="single"/>
        </w:rPr>
      </w:pPr>
    </w:p>
    <w:p w:rsidR="000F2669" w:rsidRPr="00F57809" w:rsidP="001B55EE" w14:paraId="349CFCCF" w14:textId="76964BBF">
      <w:pPr>
        <w:suppressAutoHyphens/>
        <w:spacing w:line="480" w:lineRule="auto"/>
        <w:ind w:firstLine="720"/>
        <w:rPr>
          <w:szCs w:val="24"/>
        </w:rPr>
      </w:pPr>
      <w:r w:rsidRPr="00F57809">
        <w:rPr>
          <w:szCs w:val="24"/>
        </w:rPr>
        <w:t xml:space="preserve">It is hereby certified that a true copy of the foregoing </w:t>
      </w:r>
      <w:r w:rsidRPr="00F57809" w:rsidR="005837F3">
        <w:rPr>
          <w:szCs w:val="24"/>
        </w:rPr>
        <w:t xml:space="preserve">Reply </w:t>
      </w:r>
      <w:r w:rsidRPr="00F57809">
        <w:rPr>
          <w:szCs w:val="24"/>
        </w:rPr>
        <w:t>was served upon the persons listed below via electronic transmission this</w:t>
      </w:r>
      <w:r w:rsidRPr="00F57809" w:rsidR="00F96CE8">
        <w:rPr>
          <w:szCs w:val="24"/>
        </w:rPr>
        <w:t xml:space="preserve"> </w:t>
      </w:r>
      <w:r w:rsidRPr="00F57809" w:rsidR="00691E33">
        <w:rPr>
          <w:szCs w:val="24"/>
        </w:rPr>
        <w:t>29th</w:t>
      </w:r>
      <w:r w:rsidRPr="00F57809">
        <w:rPr>
          <w:szCs w:val="24"/>
        </w:rPr>
        <w:t xml:space="preserve"> day </w:t>
      </w:r>
      <w:r w:rsidRPr="00F57809" w:rsidR="00691E33">
        <w:rPr>
          <w:szCs w:val="24"/>
        </w:rPr>
        <w:t>December</w:t>
      </w:r>
      <w:r w:rsidR="009210EC">
        <w:rPr>
          <w:szCs w:val="24"/>
        </w:rPr>
        <w:t>, 2023</w:t>
      </w:r>
      <w:r w:rsidRPr="00F57809" w:rsidR="005837F3">
        <w:rPr>
          <w:szCs w:val="24"/>
        </w:rPr>
        <w:t>.</w:t>
      </w:r>
    </w:p>
    <w:p w:rsidR="00A044B5" w:rsidRPr="00827317" w:rsidP="00DB62C7" w14:paraId="73A3B077" w14:textId="680D82C4">
      <w:pPr>
        <w:tabs>
          <w:tab w:val="left" w:pos="4320"/>
        </w:tabs>
        <w:rPr>
          <w:szCs w:val="24"/>
        </w:rPr>
      </w:pPr>
      <w:r w:rsidRPr="00F57809">
        <w:rPr>
          <w:szCs w:val="24"/>
        </w:rPr>
        <w:tab/>
      </w:r>
      <w:r w:rsidR="00827317">
        <w:rPr>
          <w:i/>
          <w:iCs/>
          <w:szCs w:val="24"/>
          <w:u w:val="single"/>
        </w:rPr>
        <w:t xml:space="preserve">/s/ </w:t>
      </w:r>
      <w:r w:rsidR="009210EC">
        <w:rPr>
          <w:i/>
          <w:iCs/>
          <w:szCs w:val="24"/>
          <w:u w:val="single"/>
        </w:rPr>
        <w:t>Robert Eubanks</w:t>
      </w:r>
      <w:r w:rsidRPr="00827317">
        <w:rPr>
          <w:szCs w:val="24"/>
        </w:rPr>
        <w:t xml:space="preserve"> </w:t>
      </w:r>
    </w:p>
    <w:p w:rsidR="00A044B5" w:rsidRPr="00F57809" w14:paraId="69B5AD9A" w14:textId="5F590089">
      <w:pPr>
        <w:tabs>
          <w:tab w:val="left" w:pos="4320"/>
        </w:tabs>
        <w:rPr>
          <w:szCs w:val="24"/>
        </w:rPr>
      </w:pPr>
      <w:r w:rsidRPr="00F57809">
        <w:rPr>
          <w:szCs w:val="24"/>
        </w:rPr>
        <w:tab/>
      </w:r>
      <w:r w:rsidR="00DB1F21">
        <w:rPr>
          <w:szCs w:val="24"/>
        </w:rPr>
        <w:t>Robert Eubanks</w:t>
      </w:r>
    </w:p>
    <w:p w:rsidR="00A044B5" w:rsidRPr="00F57809" w14:paraId="79D1EE32" w14:textId="77777777">
      <w:pPr>
        <w:tabs>
          <w:tab w:val="left" w:pos="4320"/>
        </w:tabs>
        <w:rPr>
          <w:szCs w:val="24"/>
        </w:rPr>
      </w:pPr>
      <w:r w:rsidRPr="00F57809">
        <w:rPr>
          <w:szCs w:val="24"/>
        </w:rPr>
        <w:tab/>
        <w:t>Assistant Consumers’ Counsel</w:t>
      </w:r>
    </w:p>
    <w:p w:rsidR="00A044B5" w:rsidRPr="00F57809" w14:paraId="05ABDAAB" w14:textId="77777777">
      <w:pPr>
        <w:pStyle w:val="CommentSubject"/>
        <w:rPr>
          <w:szCs w:val="24"/>
        </w:rPr>
      </w:pPr>
    </w:p>
    <w:p w:rsidR="00B53906" w:rsidRPr="00F57809" w14:paraId="7891548C" w14:textId="50DBE5CC">
      <w:pPr>
        <w:rPr>
          <w:szCs w:val="24"/>
        </w:rPr>
      </w:pPr>
    </w:p>
    <w:p w:rsidR="008916C8" w:rsidRPr="00F57809" w:rsidP="008916C8" w14:paraId="546ADD8A" w14:textId="139FE7EE">
      <w:pPr>
        <w:rPr>
          <w:szCs w:val="24"/>
        </w:rPr>
      </w:pPr>
      <w:r w:rsidRPr="00F57809">
        <w:rPr>
          <w:szCs w:val="24"/>
        </w:rPr>
        <w:t>The PUCO</w:t>
      </w:r>
      <w:r w:rsidRPr="00F57809" w:rsidR="00DF66A7">
        <w:rPr>
          <w:szCs w:val="24"/>
        </w:rPr>
        <w:t>’</w:t>
      </w:r>
      <w:r w:rsidRPr="00F57809">
        <w:rPr>
          <w:szCs w:val="24"/>
        </w:rPr>
        <w:t>s e-filing system will electronically serve notice of the filing of this document on the following parties:</w:t>
      </w:r>
    </w:p>
    <w:p w:rsidR="00A044B5" w:rsidRPr="00F57809" w14:paraId="2CF0982E" w14:textId="77777777">
      <w:pPr>
        <w:pStyle w:val="CommentText"/>
      </w:pPr>
    </w:p>
    <w:p w:rsidR="00A044B5" w:rsidRPr="00F57809" w14:paraId="250AF02F" w14:textId="77777777">
      <w:pPr>
        <w:pStyle w:val="CommentText"/>
        <w:jc w:val="center"/>
        <w:rPr>
          <w:b/>
          <w:u w:val="single"/>
        </w:rPr>
      </w:pPr>
      <w:r w:rsidRPr="00F57809">
        <w:rPr>
          <w:b/>
          <w:u w:val="single"/>
        </w:rPr>
        <w:t>SERVICE LIST</w:t>
      </w:r>
    </w:p>
    <w:p w:rsidR="009D37EA" w:rsidRPr="00F57809" w14:paraId="2FACFBE3" w14:textId="77777777">
      <w:pPr>
        <w:pStyle w:val="CommentText"/>
        <w:jc w:val="center"/>
        <w:rPr>
          <w:b/>
          <w:u w:val="single"/>
        </w:rPr>
      </w:pPr>
    </w:p>
    <w:p w:rsidR="00A044B5" w:rsidRPr="00F57809" w14:paraId="1A4811E1" w14:textId="77777777">
      <w:pPr>
        <w:pStyle w:val="BodyText"/>
        <w:rPr>
          <w:b/>
          <w:bCs/>
          <w:szCs w:val="24"/>
        </w:rPr>
      </w:pP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4500"/>
        <w:gridCol w:w="4860"/>
      </w:tblGrid>
      <w:tr w14:paraId="6678586F" w14:textId="77777777" w:rsidTr="00450797">
        <w:tblPrEx>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4500" w:type="dxa"/>
          </w:tcPr>
          <w:p w:rsidR="009D37EA" w:rsidRPr="00F57809" w14:paraId="59E2931E" w14:textId="5DBDA195">
            <w:pPr>
              <w:pStyle w:val="BodyText"/>
              <w:jc w:val="both"/>
              <w:rPr>
                <w:sz w:val="24"/>
                <w:szCs w:val="24"/>
                <w:lang w:val="en-US" w:eastAsia="en-US" w:bidi="ar-SA"/>
              </w:rPr>
            </w:pPr>
            <w:hyperlink r:id="rId11" w:history="1">
              <w:r w:rsidRPr="00F57809" w:rsidR="00FD70F6">
                <w:rPr>
                  <w:rStyle w:val="Hyperlink"/>
                  <w:color w:val="0000FF"/>
                  <w:sz w:val="24"/>
                  <w:szCs w:val="24"/>
                  <w:u w:val="single"/>
                  <w:lang w:val="en-US" w:eastAsia="en-US" w:bidi="ar-SA"/>
                </w:rPr>
                <w:t>ashley.wnek@ohioAGO.gov</w:t>
              </w:r>
            </w:hyperlink>
          </w:p>
          <w:p w:rsidR="00FD70F6" w:rsidRPr="00F57809" w14:paraId="7DCDB325" w14:textId="25EDCBE6">
            <w:pPr>
              <w:pStyle w:val="BodyText"/>
              <w:jc w:val="both"/>
              <w:rPr>
                <w:rStyle w:val="Hyperlink"/>
                <w:color w:val="0000FF"/>
                <w:sz w:val="24"/>
                <w:szCs w:val="24"/>
                <w:u w:val="single"/>
                <w:lang w:val="en-US" w:eastAsia="en-US" w:bidi="ar-SA"/>
              </w:rPr>
            </w:pPr>
            <w:hyperlink r:id="rId12" w:history="1">
              <w:r w:rsidRPr="00F57809" w:rsidR="00E90AB3">
                <w:rPr>
                  <w:rStyle w:val="Hyperlink"/>
                  <w:color w:val="0000FF"/>
                  <w:sz w:val="24"/>
                  <w:szCs w:val="24"/>
                  <w:u w:val="single"/>
                  <w:lang w:val="en-US" w:eastAsia="en-US" w:bidi="ar-SA"/>
                </w:rPr>
                <w:t>amy.botschnerobrien@ohioAGO.gov</w:t>
              </w:r>
            </w:hyperlink>
          </w:p>
          <w:p w:rsidR="0012303E" w:rsidRPr="00F57809" w14:paraId="58E0C29D" w14:textId="5D36318A">
            <w:pPr>
              <w:pStyle w:val="BodyText"/>
              <w:jc w:val="both"/>
              <w:rPr>
                <w:sz w:val="24"/>
                <w:szCs w:val="24"/>
                <w:lang w:val="en-US" w:eastAsia="en-US" w:bidi="ar-SA"/>
              </w:rPr>
            </w:pPr>
            <w:hyperlink r:id="rId13" w:history="1">
              <w:r w:rsidRPr="00F57809" w:rsidR="000D0372">
                <w:rPr>
                  <w:rStyle w:val="Hyperlink"/>
                  <w:color w:val="0000FF"/>
                  <w:sz w:val="24"/>
                  <w:szCs w:val="24"/>
                  <w:u w:val="single"/>
                  <w:lang w:val="en-US" w:eastAsia="en-US" w:bidi="ar-SA"/>
                </w:rPr>
                <w:t>Bojko@carpenterlipps.com</w:t>
              </w:r>
            </w:hyperlink>
          </w:p>
          <w:p w:rsidR="0012303E" w:rsidRPr="00F57809" w14:paraId="6C4D2107" w14:textId="03175C18">
            <w:pPr>
              <w:pStyle w:val="BodyText"/>
              <w:jc w:val="both"/>
              <w:rPr>
                <w:sz w:val="24"/>
                <w:szCs w:val="24"/>
                <w:lang w:val="en-US" w:eastAsia="en-US" w:bidi="ar-SA"/>
              </w:rPr>
            </w:pPr>
            <w:hyperlink r:id="rId14" w:history="1">
              <w:r w:rsidRPr="00F57809" w:rsidR="000D0372">
                <w:rPr>
                  <w:rStyle w:val="Hyperlink"/>
                  <w:color w:val="0000FF"/>
                  <w:sz w:val="24"/>
                  <w:szCs w:val="24"/>
                  <w:u w:val="single"/>
                  <w:lang w:val="en-US" w:eastAsia="en-US" w:bidi="ar-SA"/>
                </w:rPr>
                <w:t>Easley@carpenterlipps.com</w:t>
              </w:r>
            </w:hyperlink>
          </w:p>
          <w:p w:rsidR="00572055" w:rsidRPr="00F57809" w14:paraId="47514EAA" w14:textId="77777777">
            <w:pPr>
              <w:pStyle w:val="BodyText"/>
              <w:jc w:val="both"/>
              <w:rPr>
                <w:sz w:val="24"/>
                <w:szCs w:val="24"/>
                <w:lang w:val="en-US" w:eastAsia="en-US" w:bidi="ar-SA"/>
              </w:rPr>
            </w:pPr>
          </w:p>
          <w:p w:rsidR="00FD70F6" w:rsidRPr="00F57809" w14:paraId="6301B2DA" w14:textId="43C2381C">
            <w:pPr>
              <w:pStyle w:val="BodyText"/>
              <w:jc w:val="both"/>
              <w:rPr>
                <w:sz w:val="24"/>
                <w:szCs w:val="24"/>
                <w:lang w:val="en-US" w:eastAsia="en-US" w:bidi="ar-SA"/>
              </w:rPr>
            </w:pPr>
            <w:r w:rsidRPr="00F57809">
              <w:rPr>
                <w:sz w:val="24"/>
                <w:szCs w:val="24"/>
                <w:lang w:val="en-US" w:eastAsia="en-US" w:bidi="ar-SA"/>
              </w:rPr>
              <w:t>Attorney Examiners:</w:t>
            </w:r>
          </w:p>
          <w:p w:rsidR="00D24D29" w:rsidRPr="00F57809" w14:paraId="4C9CDFDE" w14:textId="1CDCA1B5">
            <w:pPr>
              <w:pStyle w:val="BodyText"/>
              <w:jc w:val="both"/>
              <w:rPr>
                <w:sz w:val="24"/>
                <w:szCs w:val="24"/>
                <w:lang w:val="en-US" w:eastAsia="en-US" w:bidi="ar-SA"/>
              </w:rPr>
            </w:pPr>
            <w:hyperlink r:id="rId15" w:history="1">
              <w:r w:rsidRPr="00F57809" w:rsidR="00FD70F6">
                <w:rPr>
                  <w:rStyle w:val="Hyperlink"/>
                  <w:color w:val="0000FF"/>
                  <w:sz w:val="24"/>
                  <w:szCs w:val="24"/>
                  <w:u w:val="single"/>
                  <w:lang w:val="en-US" w:eastAsia="en-US" w:bidi="ar-SA"/>
                </w:rPr>
                <w:t>Gregory.price@puco.ohio.gov</w:t>
              </w:r>
            </w:hyperlink>
          </w:p>
          <w:p w:rsidR="00D24D29" w:rsidRPr="00F57809" w14:paraId="24C06867" w14:textId="0D729B32">
            <w:pPr>
              <w:pStyle w:val="BodyText"/>
              <w:jc w:val="both"/>
              <w:rPr>
                <w:sz w:val="24"/>
                <w:szCs w:val="24"/>
                <w:lang w:val="en-US" w:eastAsia="en-US" w:bidi="ar-SA"/>
              </w:rPr>
            </w:pPr>
            <w:hyperlink r:id="rId16" w:history="1">
              <w:r w:rsidRPr="00F57809" w:rsidR="00450797">
                <w:rPr>
                  <w:rStyle w:val="Hyperlink"/>
                  <w:color w:val="0000FF"/>
                  <w:sz w:val="24"/>
                  <w:szCs w:val="24"/>
                  <w:u w:val="single"/>
                  <w:lang w:val="en-US" w:eastAsia="en-US" w:bidi="ar-SA"/>
                </w:rPr>
                <w:t>clint.white@puco.ohio.gov</w:t>
              </w:r>
            </w:hyperlink>
          </w:p>
          <w:p w:rsidR="00D24D29" w:rsidRPr="00F57809" w14:paraId="20D5B426" w14:textId="52DDDEFD">
            <w:pPr>
              <w:pStyle w:val="BodyText"/>
              <w:jc w:val="both"/>
              <w:rPr>
                <w:sz w:val="24"/>
                <w:szCs w:val="24"/>
                <w:lang w:val="en-US" w:eastAsia="en-US" w:bidi="ar-SA"/>
              </w:rPr>
            </w:pPr>
          </w:p>
        </w:tc>
        <w:tc>
          <w:tcPr>
            <w:tcW w:w="4860" w:type="dxa"/>
          </w:tcPr>
          <w:p w:rsidR="00D24D29" w:rsidRPr="00F57809" w:rsidP="00450797" w14:paraId="785F6EC1" w14:textId="55A4C1C0">
            <w:pPr>
              <w:autoSpaceDE w:val="0"/>
              <w:autoSpaceDN w:val="0"/>
              <w:adjustRightInd w:val="0"/>
              <w:ind w:left="-110"/>
              <w:rPr>
                <w:sz w:val="24"/>
                <w:szCs w:val="24"/>
                <w:lang w:val="en-US" w:eastAsia="en-US" w:bidi="ar-SA"/>
              </w:rPr>
            </w:pPr>
            <w:hyperlink r:id="rId17" w:history="1">
              <w:r w:rsidRPr="00F57809" w:rsidR="00450797">
                <w:rPr>
                  <w:rStyle w:val="Hyperlink"/>
                  <w:color w:val="0000FF"/>
                  <w:sz w:val="24"/>
                  <w:szCs w:val="24"/>
                  <w:u w:val="single"/>
                  <w:lang w:val="en-US" w:eastAsia="en-US" w:bidi="ar-SA"/>
                </w:rPr>
                <w:t>kennedy@whitt-sturtevant.com</w:t>
              </w:r>
            </w:hyperlink>
          </w:p>
          <w:p w:rsidR="00450797" w:rsidRPr="00F57809" w:rsidP="00450797" w14:paraId="5C8AA06C" w14:textId="10E8F199">
            <w:pPr>
              <w:autoSpaceDE w:val="0"/>
              <w:autoSpaceDN w:val="0"/>
              <w:adjustRightInd w:val="0"/>
              <w:ind w:left="-110"/>
              <w:rPr>
                <w:rStyle w:val="Hyperlink"/>
                <w:color w:val="0000FF"/>
                <w:sz w:val="24"/>
                <w:szCs w:val="24"/>
                <w:u w:val="single"/>
                <w:lang w:val="en-US" w:eastAsia="en-US" w:bidi="ar-SA"/>
              </w:rPr>
            </w:pPr>
            <w:hyperlink r:id="rId18" w:history="1">
              <w:r w:rsidRPr="00F57809" w:rsidR="00E90AB3">
                <w:rPr>
                  <w:rStyle w:val="Hyperlink"/>
                  <w:color w:val="0000FF"/>
                  <w:sz w:val="24"/>
                  <w:szCs w:val="24"/>
                  <w:u w:val="single"/>
                  <w:lang w:val="en-US" w:eastAsia="en-US" w:bidi="ar-SA"/>
                </w:rPr>
                <w:t>Andrew.j.campbell@dominionenergy.com</w:t>
              </w:r>
            </w:hyperlink>
          </w:p>
          <w:p w:rsidR="001B683C" w:rsidRPr="00F57809" w:rsidP="00450797" w14:paraId="134A09B6" w14:textId="4676D7B2">
            <w:pPr>
              <w:autoSpaceDE w:val="0"/>
              <w:autoSpaceDN w:val="0"/>
              <w:adjustRightInd w:val="0"/>
              <w:ind w:left="-110"/>
              <w:rPr>
                <w:rStyle w:val="Hyperlink"/>
                <w:color w:val="0000FF"/>
                <w:sz w:val="24"/>
                <w:szCs w:val="24"/>
                <w:u w:val="single"/>
                <w:lang w:val="en-US" w:eastAsia="en-US" w:bidi="ar-SA"/>
              </w:rPr>
            </w:pPr>
            <w:hyperlink r:id="rId19" w:history="1">
              <w:r w:rsidRPr="00F57809" w:rsidR="0012499B">
                <w:rPr>
                  <w:rStyle w:val="Hyperlink"/>
                  <w:color w:val="0000FF"/>
                  <w:sz w:val="24"/>
                  <w:szCs w:val="24"/>
                  <w:u w:val="single"/>
                  <w:lang w:val="en-US" w:eastAsia="en-US" w:bidi="ar-SA"/>
                </w:rPr>
                <w:t>demonte@whitt-sturtevant.com</w:t>
              </w:r>
            </w:hyperlink>
          </w:p>
          <w:p w:rsidR="0012499B" w:rsidRPr="00F57809" w:rsidP="00450797" w14:paraId="2836D43E" w14:textId="0A3BA3C6">
            <w:pPr>
              <w:autoSpaceDE w:val="0"/>
              <w:autoSpaceDN w:val="0"/>
              <w:adjustRightInd w:val="0"/>
              <w:ind w:left="-110"/>
              <w:rPr>
                <w:rStyle w:val="Hyperlink"/>
                <w:color w:val="0000FF"/>
                <w:sz w:val="24"/>
                <w:szCs w:val="24"/>
                <w:u w:val="single"/>
                <w:lang w:val="en-US" w:eastAsia="en-US" w:bidi="ar-SA"/>
              </w:rPr>
            </w:pPr>
            <w:hyperlink r:id="rId20" w:history="1">
              <w:r w:rsidRPr="00F57809" w:rsidR="000C0653">
                <w:rPr>
                  <w:rStyle w:val="Hyperlink"/>
                  <w:color w:val="0000FF"/>
                  <w:sz w:val="24"/>
                  <w:szCs w:val="24"/>
                  <w:u w:val="single"/>
                  <w:lang w:val="en-US" w:eastAsia="en-US" w:bidi="ar-SA"/>
                </w:rPr>
                <w:t>mbarbara@calfee.com</w:t>
              </w:r>
            </w:hyperlink>
          </w:p>
          <w:p w:rsidR="00334EC4" w:rsidRPr="00F57809" w:rsidP="00334EC4" w14:paraId="4F84E222" w14:textId="77777777">
            <w:pPr>
              <w:adjustRightInd w:val="0"/>
              <w:ind w:left="-110"/>
              <w:rPr>
                <w:rStyle w:val="Hyperlink"/>
                <w:color w:val="0000FF"/>
                <w:sz w:val="24"/>
                <w:szCs w:val="24"/>
                <w:u w:val="single"/>
                <w:lang w:val="en-US" w:eastAsia="en-US" w:bidi="ar-SA"/>
              </w:rPr>
            </w:pPr>
            <w:hyperlink r:id="rId21" w:history="1">
              <w:r w:rsidRPr="00F57809" w:rsidR="000C0653">
                <w:rPr>
                  <w:rStyle w:val="Hyperlink"/>
                  <w:color w:val="0000FF"/>
                  <w:sz w:val="24"/>
                  <w:szCs w:val="24"/>
                  <w:u w:val="single"/>
                  <w:lang w:val="en-US" w:eastAsia="en-US" w:bidi="ar-SA"/>
                </w:rPr>
                <w:t>tgallagher@fgplaborlaw.com</w:t>
              </w:r>
            </w:hyperlink>
          </w:p>
          <w:p w:rsidR="00334EC4" w:rsidRPr="00F57809" w:rsidP="00334EC4" w14:paraId="37E41B07" w14:textId="77777777">
            <w:pPr>
              <w:adjustRightInd w:val="0"/>
              <w:ind w:left="-110"/>
              <w:rPr>
                <w:rStyle w:val="Hyperlink"/>
                <w:color w:val="0000FF"/>
                <w:sz w:val="24"/>
                <w:szCs w:val="24"/>
                <w:u w:val="single"/>
                <w:lang w:val="en-US" w:eastAsia="en-US" w:bidi="ar-SA"/>
              </w:rPr>
            </w:pPr>
            <w:hyperlink r:id="rId22" w:history="1">
              <w:r w:rsidRPr="00F57809" w:rsidR="000C0653">
                <w:rPr>
                  <w:rStyle w:val="Hyperlink"/>
                  <w:color w:val="0000FF"/>
                  <w:sz w:val="24"/>
                  <w:szCs w:val="24"/>
                  <w:u w:val="single"/>
                  <w:lang w:val="en-US" w:eastAsia="en-US" w:bidi="ar-SA"/>
                </w:rPr>
                <w:t>michael.nugent@igs.com</w:t>
              </w:r>
            </w:hyperlink>
          </w:p>
          <w:p w:rsidR="00334EC4" w:rsidRPr="00F57809" w:rsidP="00334EC4" w14:paraId="44EDABDE" w14:textId="77777777">
            <w:pPr>
              <w:adjustRightInd w:val="0"/>
              <w:ind w:left="-110"/>
              <w:rPr>
                <w:rStyle w:val="Hyperlink"/>
                <w:color w:val="0000FF"/>
                <w:sz w:val="24"/>
                <w:szCs w:val="24"/>
                <w:u w:val="single"/>
                <w:lang w:val="en-US" w:eastAsia="en-US" w:bidi="ar-SA"/>
              </w:rPr>
            </w:pPr>
            <w:hyperlink r:id="rId23" w:history="1">
              <w:r w:rsidRPr="00F57809" w:rsidR="000C0653">
                <w:rPr>
                  <w:rStyle w:val="Hyperlink"/>
                  <w:color w:val="0000FF"/>
                  <w:sz w:val="24"/>
                  <w:szCs w:val="24"/>
                  <w:u w:val="single"/>
                  <w:lang w:val="en-US" w:eastAsia="en-US" w:bidi="ar-SA"/>
                </w:rPr>
                <w:t>stacie.cathcart@igs.com</w:t>
              </w:r>
            </w:hyperlink>
          </w:p>
          <w:p w:rsidR="00334EC4" w:rsidRPr="00F57809" w:rsidP="00334EC4" w14:paraId="6CE732B2" w14:textId="77777777">
            <w:pPr>
              <w:adjustRightInd w:val="0"/>
              <w:ind w:left="-110"/>
              <w:rPr>
                <w:rStyle w:val="Hyperlink"/>
                <w:color w:val="0000FF"/>
                <w:sz w:val="24"/>
                <w:szCs w:val="24"/>
                <w:u w:val="single"/>
                <w:lang w:val="en-US" w:eastAsia="en-US" w:bidi="ar-SA"/>
              </w:rPr>
            </w:pPr>
            <w:hyperlink r:id="rId24" w:history="1">
              <w:r w:rsidRPr="00F57809" w:rsidR="000C0653">
                <w:rPr>
                  <w:rStyle w:val="Hyperlink"/>
                  <w:color w:val="0000FF"/>
                  <w:sz w:val="24"/>
                  <w:szCs w:val="24"/>
                  <w:u w:val="single"/>
                  <w:lang w:val="en-US" w:eastAsia="en-US" w:bidi="ar-SA"/>
                </w:rPr>
                <w:t>jlang@calfee.com</w:t>
              </w:r>
            </w:hyperlink>
          </w:p>
          <w:p w:rsidR="0012499B" w:rsidRPr="00F57809" w:rsidP="00450797" w14:paraId="10398F19" w14:textId="53CA3239">
            <w:pPr>
              <w:autoSpaceDE w:val="0"/>
              <w:autoSpaceDN w:val="0"/>
              <w:adjustRightInd w:val="0"/>
              <w:ind w:left="-110"/>
              <w:rPr>
                <w:rStyle w:val="Hyperlink"/>
                <w:color w:val="0000FF"/>
                <w:sz w:val="24"/>
                <w:szCs w:val="24"/>
                <w:u w:val="single"/>
                <w:lang w:val="en-US" w:eastAsia="en-US" w:bidi="ar-SA"/>
              </w:rPr>
            </w:pPr>
            <w:hyperlink r:id="rId25" w:history="1">
              <w:r w:rsidRPr="00F57809" w:rsidR="000C0653">
                <w:rPr>
                  <w:rStyle w:val="Hyperlink"/>
                  <w:color w:val="0000FF"/>
                  <w:sz w:val="24"/>
                  <w:szCs w:val="24"/>
                  <w:u w:val="single"/>
                  <w:lang w:val="en-US" w:eastAsia="en-US" w:bidi="ar-SA"/>
                </w:rPr>
                <w:t>dproano@bakerlaw.com</w:t>
              </w:r>
            </w:hyperlink>
          </w:p>
          <w:p w:rsidR="0012499B" w:rsidRPr="00F57809" w:rsidP="00450797" w14:paraId="01BBA852" w14:textId="5A26F426">
            <w:pPr>
              <w:autoSpaceDE w:val="0"/>
              <w:autoSpaceDN w:val="0"/>
              <w:adjustRightInd w:val="0"/>
              <w:ind w:left="-110"/>
              <w:rPr>
                <w:rStyle w:val="Hyperlink"/>
                <w:color w:val="0000FF"/>
                <w:sz w:val="24"/>
                <w:szCs w:val="24"/>
                <w:u w:val="single"/>
                <w:lang w:val="en-US" w:eastAsia="en-US" w:bidi="ar-SA"/>
              </w:rPr>
            </w:pPr>
            <w:hyperlink r:id="rId26" w:history="1">
              <w:r w:rsidRPr="00F57809" w:rsidR="000C0653">
                <w:rPr>
                  <w:rStyle w:val="Hyperlink"/>
                  <w:color w:val="0000FF"/>
                  <w:sz w:val="24"/>
                  <w:szCs w:val="24"/>
                  <w:u w:val="single"/>
                  <w:lang w:val="en-US" w:eastAsia="en-US" w:bidi="ar-SA"/>
                </w:rPr>
                <w:t>pwillison@bakerlaw.com</w:t>
              </w:r>
            </w:hyperlink>
          </w:p>
          <w:p w:rsidR="00EC166B" w:rsidP="00EC166B" w14:paraId="6E45B896" w14:textId="77777777">
            <w:pPr>
              <w:autoSpaceDE w:val="0"/>
              <w:autoSpaceDN w:val="0"/>
              <w:adjustRightInd w:val="0"/>
              <w:ind w:left="-110"/>
              <w:rPr>
                <w:rStyle w:val="Hyperlink"/>
                <w:color w:val="0000FF"/>
                <w:sz w:val="24"/>
                <w:szCs w:val="24"/>
                <w:u w:val="single"/>
                <w:lang w:val="en-US" w:eastAsia="en-US" w:bidi="ar-SA"/>
              </w:rPr>
            </w:pPr>
            <w:hyperlink r:id="rId27" w:history="1">
              <w:r w:rsidRPr="00F57809" w:rsidR="000C0653">
                <w:rPr>
                  <w:rStyle w:val="Hyperlink"/>
                  <w:color w:val="0000FF"/>
                  <w:sz w:val="24"/>
                  <w:szCs w:val="24"/>
                  <w:u w:val="single"/>
                  <w:lang w:val="en-US" w:eastAsia="en-US" w:bidi="ar-SA"/>
                </w:rPr>
                <w:t>whitt@whitt-sturtevant.com</w:t>
              </w:r>
            </w:hyperlink>
          </w:p>
          <w:p w:rsidR="00EC166B" w:rsidRPr="00EC166B" w:rsidP="00EC166B" w14:paraId="5D6E175D" w14:textId="3DB1EFB5">
            <w:pPr>
              <w:autoSpaceDE w:val="0"/>
              <w:autoSpaceDN w:val="0"/>
              <w:adjustRightInd w:val="0"/>
              <w:ind w:left="-110"/>
              <w:rPr>
                <w:color w:val="0000FF"/>
                <w:sz w:val="24"/>
                <w:szCs w:val="24"/>
                <w:u w:val="single"/>
                <w:lang w:val="en-US" w:eastAsia="en-US" w:bidi="ar-SA"/>
              </w:rPr>
            </w:pPr>
            <w:hyperlink r:id="rId28" w:history="1">
              <w:r>
                <w:rPr>
                  <w:rStyle w:val="Hyperlink"/>
                  <w:color w:val="0000FF"/>
                  <w:sz w:val="24"/>
                  <w:u w:val="single"/>
                  <w:lang w:val="en-US" w:eastAsia="en-US" w:bidi="ar-SA"/>
                </w:rPr>
                <w:t>mcurrie@ablelaw.org</w:t>
              </w:r>
            </w:hyperlink>
            <w:r>
              <w:rPr>
                <w:sz w:val="24"/>
                <w:lang w:val="en-US" w:eastAsia="en-US" w:bidi="ar-SA"/>
              </w:rPr>
              <w:t xml:space="preserve"> </w:t>
            </w:r>
          </w:p>
          <w:p w:rsidR="0012499B" w:rsidRPr="00F57809" w:rsidP="00450797" w14:paraId="4E0A4057" w14:textId="77777777">
            <w:pPr>
              <w:autoSpaceDE w:val="0"/>
              <w:autoSpaceDN w:val="0"/>
              <w:adjustRightInd w:val="0"/>
              <w:ind w:left="-110"/>
              <w:rPr>
                <w:rStyle w:val="Hyperlink"/>
                <w:color w:val="0000FF"/>
                <w:sz w:val="24"/>
                <w:szCs w:val="24"/>
                <w:u w:val="single"/>
                <w:lang w:val="en-US" w:eastAsia="en-US" w:bidi="ar-SA"/>
              </w:rPr>
            </w:pPr>
          </w:p>
          <w:p w:rsidR="0012499B" w:rsidRPr="00F57809" w:rsidP="00450797" w14:paraId="063A4CC7" w14:textId="77777777">
            <w:pPr>
              <w:autoSpaceDE w:val="0"/>
              <w:autoSpaceDN w:val="0"/>
              <w:adjustRightInd w:val="0"/>
              <w:ind w:left="-110"/>
              <w:rPr>
                <w:rStyle w:val="Hyperlink"/>
                <w:color w:val="0000FF"/>
                <w:sz w:val="24"/>
                <w:szCs w:val="24"/>
                <w:u w:val="single"/>
                <w:lang w:val="en-US" w:eastAsia="en-US" w:bidi="ar-SA"/>
              </w:rPr>
            </w:pPr>
          </w:p>
          <w:p w:rsidR="0012499B" w:rsidRPr="00F57809" w:rsidP="00450797" w14:paraId="473604A5" w14:textId="77777777">
            <w:pPr>
              <w:autoSpaceDE w:val="0"/>
              <w:autoSpaceDN w:val="0"/>
              <w:adjustRightInd w:val="0"/>
              <w:ind w:left="-110"/>
              <w:rPr>
                <w:sz w:val="24"/>
                <w:szCs w:val="24"/>
                <w:lang w:val="en-US" w:eastAsia="en-US" w:bidi="ar-SA"/>
              </w:rPr>
            </w:pPr>
          </w:p>
          <w:p w:rsidR="009D37EA" w:rsidRPr="00F57809" w:rsidP="00AF57F7" w14:paraId="71AF2055" w14:textId="77777777">
            <w:pPr>
              <w:pStyle w:val="BodyText"/>
              <w:ind w:left="553"/>
              <w:jc w:val="both"/>
              <w:rPr>
                <w:sz w:val="24"/>
                <w:szCs w:val="24"/>
                <w:lang w:val="en-US" w:eastAsia="en-US" w:bidi="ar-SA"/>
              </w:rPr>
            </w:pPr>
          </w:p>
        </w:tc>
      </w:tr>
    </w:tbl>
    <w:p w:rsidR="00A044B5" w:rsidRPr="00F57809" w14:paraId="31E58865" w14:textId="77777777">
      <w:pPr>
        <w:pStyle w:val="BodyText"/>
        <w:rPr>
          <w:b/>
          <w:bCs/>
          <w:szCs w:val="24"/>
        </w:rPr>
      </w:pPr>
    </w:p>
    <w:sectPr w:rsidSect="00440B51">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5F0" w14:paraId="05DF878B" w14:textId="77777777">
    <w:pPr>
      <w:pStyle w:val="Footer"/>
    </w:pPr>
  </w:p>
  <w:p w:rsidR="002E4849" w14:paraId="6078B22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55097B" w14:paraId="15358668" w14:textId="0F47AE5B">
        <w:pPr>
          <w:pStyle w:val="Footer"/>
          <w:jc w:val="center"/>
          <w:rPr>
            <w:sz w:val="24"/>
            <w:szCs w:val="24"/>
          </w:rPr>
        </w:pPr>
        <w:r w:rsidRPr="0055097B">
          <w:rPr>
            <w:sz w:val="24"/>
            <w:szCs w:val="24"/>
          </w:rPr>
          <w:fldChar w:fldCharType="begin"/>
        </w:r>
        <w:r w:rsidRPr="0055097B">
          <w:rPr>
            <w:sz w:val="24"/>
            <w:szCs w:val="24"/>
          </w:rPr>
          <w:instrText xml:space="preserve"> PAGE   \* MERGEFORMAT </w:instrText>
        </w:r>
        <w:r w:rsidRPr="0055097B">
          <w:rPr>
            <w:sz w:val="24"/>
            <w:szCs w:val="24"/>
          </w:rPr>
          <w:fldChar w:fldCharType="separate"/>
        </w:r>
        <w:r w:rsidRPr="0055097B">
          <w:rPr>
            <w:noProof/>
            <w:sz w:val="24"/>
            <w:szCs w:val="24"/>
          </w:rPr>
          <w:t>2</w:t>
        </w:r>
        <w:r w:rsidRPr="0055097B">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9A" w14:paraId="6ED0B7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07DF5" w14:paraId="7E84F717" w14:textId="77777777">
      <w:r>
        <w:separator/>
      </w:r>
    </w:p>
  </w:footnote>
  <w:footnote w:type="continuationSeparator" w:id="1">
    <w:p w:rsidR="00607DF5" w14:paraId="2913AC5B" w14:textId="77777777">
      <w:r>
        <w:continuationSeparator/>
      </w:r>
    </w:p>
  </w:footnote>
  <w:footnote w:id="2">
    <w:p w:rsidR="00367084" w:rsidRPr="00532E0E" w:rsidP="00947FEE" w14:paraId="48A75771" w14:textId="55D3ACA3">
      <w:pPr>
        <w:pStyle w:val="FootnoteText"/>
        <w:spacing w:before="120"/>
      </w:pPr>
      <w:r w:rsidRPr="00532E0E">
        <w:rPr>
          <w:rStyle w:val="FootnoteReference"/>
        </w:rPr>
        <w:footnoteRef/>
      </w:r>
      <w:r w:rsidRPr="00532E0E">
        <w:t xml:space="preserve"> </w:t>
      </w:r>
      <w:r w:rsidRPr="00DB1F21" w:rsidR="00DB1F21">
        <w:t>See, for examples, Case No. 23-856-GE-UNC, Entry (November 30, 2023) and Case No. 21-1233-GE-UNC, Finding and Order (May 4, 2022).</w:t>
      </w:r>
    </w:p>
  </w:footnote>
  <w:footnote w:id="3">
    <w:p w:rsidR="00D11FF7" w:rsidP="00947FEE" w14:paraId="548DDFAA" w14:textId="30A9D28D">
      <w:pPr>
        <w:pStyle w:val="FootnoteText"/>
        <w:spacing w:before="120"/>
      </w:pPr>
      <w:r>
        <w:rPr>
          <w:rStyle w:val="FootnoteReference"/>
        </w:rPr>
        <w:footnoteRef/>
      </w:r>
      <w:r>
        <w:t xml:space="preserve"> </w:t>
      </w:r>
      <w:r w:rsidRPr="00D11FF7">
        <w:rPr>
          <w:i/>
          <w:iCs/>
        </w:rPr>
        <w:t>See</w:t>
      </w:r>
      <w:r w:rsidRPr="00D11FF7">
        <w:t xml:space="preserve"> </w:t>
      </w:r>
      <w:r w:rsidRPr="00D11FF7">
        <w:rPr>
          <w:i/>
          <w:iCs/>
        </w:rPr>
        <w:t>Ohio Consumers</w:t>
      </w:r>
      <w:r w:rsidR="00DF66A7">
        <w:rPr>
          <w:i/>
          <w:iCs/>
        </w:rPr>
        <w:t>’</w:t>
      </w:r>
      <w:r w:rsidRPr="00D11FF7">
        <w:rPr>
          <w:i/>
          <w:iCs/>
        </w:rPr>
        <w:t xml:space="preserve"> Counsel v. Pub. Util. Comm</w:t>
      </w:r>
      <w:r w:rsidRPr="00D11FF7">
        <w:t xml:space="preserve">., 111 Ohio St.3d 384, 2006-Ohio-5853, ¶ </w:t>
      </w:r>
      <w:r>
        <w:t>16</w:t>
      </w:r>
      <w:r w:rsidRPr="00D11FF7">
        <w:t>.</w:t>
      </w:r>
    </w:p>
  </w:footnote>
  <w:footnote w:id="4">
    <w:p w:rsidR="004531E9" w:rsidP="00947FEE" w14:paraId="6436A102" w14:textId="6F639DA8">
      <w:pPr>
        <w:pStyle w:val="FootnoteText"/>
        <w:spacing w:before="120"/>
      </w:pPr>
      <w:r>
        <w:rPr>
          <w:rStyle w:val="FootnoteReference"/>
        </w:rPr>
        <w:footnoteRef/>
      </w:r>
      <w:r>
        <w:t xml:space="preserve"> </w:t>
      </w:r>
      <w:r w:rsidRPr="00EA5AF4">
        <w:t>See, for examples, Case No. 23-856-GE-UNC, Entry (November 30, 2023) and Case No. 21-1233-GE-UNC, Finding and Order (May 4, 2022).</w:t>
      </w:r>
    </w:p>
  </w:footnote>
  <w:footnote w:id="5">
    <w:p w:rsidR="00367084" w:rsidP="00947FEE" w14:paraId="56D26B4E" w14:textId="77777777">
      <w:pPr>
        <w:pStyle w:val="FootnoteText"/>
        <w:spacing w:before="120"/>
      </w:pPr>
      <w:r w:rsidRPr="00532E0E">
        <w:rPr>
          <w:rStyle w:val="FootnoteReference"/>
        </w:rPr>
        <w:footnoteRef/>
      </w:r>
      <w:r w:rsidRPr="00532E0E">
        <w:t xml:space="preserve"> Case No. 23-894, Motion for Virtual “Local” Public Hearing (December 8, 2023).</w:t>
      </w:r>
    </w:p>
  </w:footnote>
  <w:footnote w:id="6">
    <w:p w:rsidR="000479AF" w:rsidP="00947FEE" w14:paraId="650786D6" w14:textId="10F0844D">
      <w:pPr>
        <w:pStyle w:val="FootnoteText"/>
        <w:spacing w:before="120"/>
      </w:pPr>
      <w:r>
        <w:rPr>
          <w:rStyle w:val="FootnoteReference"/>
        </w:rPr>
        <w:footnoteRef/>
      </w:r>
      <w:r>
        <w:t xml:space="preserve"> </w:t>
      </w:r>
      <w:r w:rsidRPr="00EA5AF4">
        <w:t>See, for examples, Case No. 23-856-GE-UNC, Entry (November 30, 2023) and Case No. 21-1233-GE-UNC, Finding and Order (May 4, 2022).</w:t>
      </w:r>
    </w:p>
  </w:footnote>
  <w:footnote w:id="7">
    <w:p w:rsidR="000479AF" w:rsidP="00947FEE" w14:paraId="6D6CAE7A" w14:textId="2873142C">
      <w:pPr>
        <w:pStyle w:val="FootnoteText"/>
        <w:spacing w:before="120"/>
      </w:pPr>
      <w:r>
        <w:rPr>
          <w:rStyle w:val="FootnoteReference"/>
        </w:rPr>
        <w:footnoteRef/>
      </w:r>
      <w:r>
        <w:t xml:space="preserve"> </w:t>
      </w:r>
      <w:r w:rsidR="00947FEE">
        <w:rPr>
          <w:szCs w:val="24"/>
        </w:rPr>
        <w:t>O.A.C.</w:t>
      </w:r>
      <w:r w:rsidRPr="00F57809" w:rsidR="00947FEE">
        <w:rPr>
          <w:szCs w:val="24"/>
        </w:rPr>
        <w:t xml:space="preserve"> </w:t>
      </w:r>
      <w:r w:rsidRPr="00EA5AF4">
        <w:t>4901-1-11(B)(2)</w:t>
      </w:r>
      <w:r w:rsidR="00B53906">
        <w:t>.</w:t>
      </w:r>
    </w:p>
  </w:footnote>
  <w:footnote w:id="8">
    <w:p w:rsidR="000479AF" w:rsidP="00947FEE" w14:paraId="32F4C678" w14:textId="41AADCE9">
      <w:pPr>
        <w:pStyle w:val="FootnoteText"/>
        <w:spacing w:before="120"/>
      </w:pPr>
      <w:r>
        <w:rPr>
          <w:rStyle w:val="FootnoteReference"/>
        </w:rPr>
        <w:footnoteRef/>
      </w:r>
      <w:r>
        <w:t xml:space="preserve"> </w:t>
      </w:r>
      <w:r w:rsidRPr="00EA5AF4">
        <w:t>R.C. 4903.221(B)(4)</w:t>
      </w:r>
      <w:r w:rsidR="00B53906">
        <w:t>.</w:t>
      </w:r>
    </w:p>
  </w:footnote>
  <w:footnote w:id="9">
    <w:p w:rsidR="00367084" w:rsidRPr="00532E0E" w:rsidP="00947FEE" w14:paraId="751B4210" w14:textId="52E9B3C8">
      <w:pPr>
        <w:pStyle w:val="FootnoteText"/>
        <w:spacing w:before="120"/>
      </w:pPr>
      <w:r w:rsidRPr="00532E0E">
        <w:rPr>
          <w:rStyle w:val="FootnoteReference"/>
        </w:rPr>
        <w:footnoteRef/>
      </w:r>
      <w:r w:rsidRPr="00532E0E">
        <w:rPr>
          <w:i/>
          <w:iCs/>
        </w:rPr>
        <w:t xml:space="preserve"> See</w:t>
      </w:r>
      <w:r w:rsidRPr="00532E0E">
        <w:t xml:space="preserve"> 2001 Ohio PUC LEXIS 912 at 6, footnote 2. – In Case No. 1532-TP-COI, the PUCO invited various parties who all represented consumers to comment on rulemaking, including the Ohio Consumers</w:t>
      </w:r>
      <w:r w:rsidR="00DF66A7">
        <w:t>’</w:t>
      </w:r>
      <w:r w:rsidRPr="00532E0E">
        <w:t xml:space="preserve"> Counsel, American Association of Retired Persons (AARP), Appalachian People's Action Coalition, Communities United for Action, Edgemont Neighborhood Coalition, Empowerment Center of Greater Cleveland, City of Columbus, City of Cleveland, and the City of Toledo</w:t>
      </w:r>
      <w:r w:rsidR="00B53906">
        <w:t>.</w:t>
      </w:r>
    </w:p>
  </w:footnote>
  <w:footnote w:id="10">
    <w:p w:rsidR="00367084" w:rsidRPr="00532E0E" w:rsidP="00947FEE" w14:paraId="31C25321" w14:textId="7A17181D">
      <w:pPr>
        <w:pStyle w:val="FootnoteText"/>
        <w:spacing w:before="120"/>
      </w:pPr>
      <w:r w:rsidRPr="00532E0E">
        <w:rPr>
          <w:rStyle w:val="FootnoteReference"/>
        </w:rPr>
        <w:footnoteRef/>
      </w:r>
      <w:r w:rsidRPr="00532E0E">
        <w:t xml:space="preserve"> </w:t>
      </w:r>
      <w:bookmarkStart w:id="3" w:name="_Hlk154708441"/>
      <w:r w:rsidRPr="00532E0E">
        <w:rPr>
          <w:i/>
          <w:iCs/>
        </w:rPr>
        <w:t>See</w:t>
      </w:r>
      <w:r w:rsidRPr="00532E0E">
        <w:t xml:space="preserve"> </w:t>
      </w:r>
      <w:r w:rsidRPr="00532E0E">
        <w:rPr>
          <w:i/>
          <w:iCs/>
        </w:rPr>
        <w:t>Ohio Consumers</w:t>
      </w:r>
      <w:r w:rsidR="00DF66A7">
        <w:rPr>
          <w:i/>
          <w:iCs/>
        </w:rPr>
        <w:t>’</w:t>
      </w:r>
      <w:r w:rsidRPr="00532E0E">
        <w:rPr>
          <w:i/>
          <w:iCs/>
        </w:rPr>
        <w:t xml:space="preserve"> Counsel v. Pub. Util. Comm</w:t>
      </w:r>
      <w:r w:rsidRPr="00532E0E">
        <w:t>., 111 Ohio St.3d 384, 2006-Ohio-5853, ¶ 18.</w:t>
      </w:r>
      <w:bookmarkEnd w:id="3"/>
    </w:p>
  </w:footnote>
  <w:footnote w:id="11">
    <w:p w:rsidR="00367084" w:rsidP="00947FEE" w14:paraId="06FBE173" w14:textId="77777777">
      <w:pPr>
        <w:pStyle w:val="FootnoteText"/>
        <w:spacing w:before="120"/>
      </w:pPr>
      <w:r w:rsidRPr="00532E0E">
        <w:rPr>
          <w:rStyle w:val="FootnoteReference"/>
        </w:rPr>
        <w:footnoteRef/>
      </w:r>
      <w:r w:rsidRPr="00532E0E">
        <w:t xml:space="preserve"> See, for examples, Case No. 23-856-GE-UNC, Entry (November 30, 2023) and Case No. 21-1233-GE-UNC, Finding and Order (May 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5F0" w14:paraId="73A3C8B8" w14:textId="77777777">
    <w:pPr>
      <w:pStyle w:val="Header"/>
    </w:pPr>
  </w:p>
  <w:p w:rsidR="002E4849" w14:paraId="626ADEE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9A" w14:paraId="6576E5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9A" w14:paraId="67DE21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A90ED1"/>
    <w:multiLevelType w:val="hybridMultilevel"/>
    <w:tmpl w:val="534A9606"/>
    <w:lvl w:ilvl="0">
      <w:start w:val="1"/>
      <w:numFmt w:val="upperRoman"/>
      <w:lvlText w:val="%1."/>
      <w:lvlJc w:val="left"/>
      <w:pPr>
        <w:ind w:left="720" w:hanging="720"/>
      </w:pPr>
      <w:rPr>
        <w:rFonts w:eastAsia="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5A46515"/>
    <w:multiLevelType w:val="hybridMultilevel"/>
    <w:tmpl w:val="03D6AB2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A065B0"/>
    <w:multiLevelType w:val="hybridMultilevel"/>
    <w:tmpl w:val="6D24671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E734638"/>
    <w:multiLevelType w:val="hybridMultilevel"/>
    <w:tmpl w:val="39749B8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8556CB"/>
    <w:multiLevelType w:val="hybridMultilevel"/>
    <w:tmpl w:val="78A6E3D4"/>
    <w:lvl w:ilvl="0">
      <w:start w:val="1"/>
      <w:numFmt w:val="upperRoman"/>
      <w:lvlText w:val="%1."/>
      <w:lvlJc w:val="left"/>
      <w:pPr>
        <w:ind w:left="1080" w:hanging="720"/>
      </w:pPr>
      <w:rPr>
        <w:rFonts w:eastAsia="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1F6241"/>
    <w:multiLevelType w:val="hybridMultilevel"/>
    <w:tmpl w:val="494C391A"/>
    <w:lvl w:ilvl="0">
      <w:start w:val="1"/>
      <w:numFmt w:val="upperRoman"/>
      <w:lvlText w:val="%1."/>
      <w:lvlJc w:val="left"/>
      <w:pPr>
        <w:ind w:left="720" w:hanging="720"/>
      </w:pPr>
      <w:rPr>
        <w:rFonts w:eastAsia="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6512A3B"/>
    <w:multiLevelType w:val="hybridMultilevel"/>
    <w:tmpl w:val="155A94B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4770C7"/>
    <w:multiLevelType w:val="hybridMultilevel"/>
    <w:tmpl w:val="20EA20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9EF2D41"/>
    <w:multiLevelType w:val="multilevel"/>
    <w:tmpl w:val="C708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E85542"/>
    <w:multiLevelType w:val="multilevel"/>
    <w:tmpl w:val="1F8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67E53"/>
    <w:multiLevelType w:val="multilevel"/>
    <w:tmpl w:val="F1B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9EE4ED1"/>
    <w:multiLevelType w:val="hybridMultilevel"/>
    <w:tmpl w:val="0724356E"/>
    <w:lvl w:ilvl="0">
      <w:start w:val="1"/>
      <w:numFmt w:val="lowerRoman"/>
      <w:lvlText w:val="%1."/>
      <w:lvlJc w:val="left"/>
      <w:pPr>
        <w:ind w:left="720" w:hanging="720"/>
      </w:pPr>
      <w:rPr>
        <w:rFonts w:eastAsia="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49F53AA"/>
    <w:multiLevelType w:val="hybridMultilevel"/>
    <w:tmpl w:val="C5028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79A338E2"/>
    <w:multiLevelType w:val="hybridMultilevel"/>
    <w:tmpl w:val="4FFE5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6"/>
  </w:num>
  <w:num w:numId="4">
    <w:abstractNumId w:val="15"/>
  </w:num>
  <w:num w:numId="5">
    <w:abstractNumId w:val="0"/>
  </w:num>
  <w:num w:numId="6">
    <w:abstractNumId w:val="18"/>
  </w:num>
  <w:num w:numId="7">
    <w:abstractNumId w:val="9"/>
  </w:num>
  <w:num w:numId="8">
    <w:abstractNumId w:val="10"/>
  </w:num>
  <w:num w:numId="9">
    <w:abstractNumId w:val="19"/>
  </w:num>
  <w:num w:numId="10">
    <w:abstractNumId w:val="17"/>
  </w:num>
  <w:num w:numId="11">
    <w:abstractNumId w:val="5"/>
  </w:num>
  <w:num w:numId="12">
    <w:abstractNumId w:val="6"/>
  </w:num>
  <w:num w:numId="13">
    <w:abstractNumId w:val="13"/>
  </w:num>
  <w:num w:numId="14">
    <w:abstractNumId w:val="1"/>
  </w:num>
  <w:num w:numId="15">
    <w:abstractNumId w:val="7"/>
  </w:num>
  <w:num w:numId="16">
    <w:abstractNumId w:val="8"/>
  </w:num>
  <w:num w:numId="17">
    <w:abstractNumId w:val="3"/>
  </w:num>
  <w:num w:numId="18">
    <w:abstractNumId w:val="2"/>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58"/>
    <w:rsid w:val="00003F35"/>
    <w:rsid w:val="00003F3C"/>
    <w:rsid w:val="00011796"/>
    <w:rsid w:val="0001537E"/>
    <w:rsid w:val="000159E2"/>
    <w:rsid w:val="00020E0B"/>
    <w:rsid w:val="000320A7"/>
    <w:rsid w:val="00032B2D"/>
    <w:rsid w:val="0003323D"/>
    <w:rsid w:val="000336A8"/>
    <w:rsid w:val="00041EFA"/>
    <w:rsid w:val="00043C23"/>
    <w:rsid w:val="00045A92"/>
    <w:rsid w:val="000469FD"/>
    <w:rsid w:val="000479AF"/>
    <w:rsid w:val="000671F8"/>
    <w:rsid w:val="00072120"/>
    <w:rsid w:val="000830DB"/>
    <w:rsid w:val="00083800"/>
    <w:rsid w:val="00091C3E"/>
    <w:rsid w:val="000A4FB0"/>
    <w:rsid w:val="000B1982"/>
    <w:rsid w:val="000B2C32"/>
    <w:rsid w:val="000C0653"/>
    <w:rsid w:val="000C0F5D"/>
    <w:rsid w:val="000C7951"/>
    <w:rsid w:val="000D0372"/>
    <w:rsid w:val="000D1D58"/>
    <w:rsid w:val="000D45A4"/>
    <w:rsid w:val="000D4E83"/>
    <w:rsid w:val="000E34FF"/>
    <w:rsid w:val="000F0654"/>
    <w:rsid w:val="000F2669"/>
    <w:rsid w:val="000F7AF3"/>
    <w:rsid w:val="0010266C"/>
    <w:rsid w:val="00104D37"/>
    <w:rsid w:val="001222D0"/>
    <w:rsid w:val="0012303E"/>
    <w:rsid w:val="0012499B"/>
    <w:rsid w:val="001324D6"/>
    <w:rsid w:val="00137D04"/>
    <w:rsid w:val="001410F0"/>
    <w:rsid w:val="00144842"/>
    <w:rsid w:val="0014534B"/>
    <w:rsid w:val="001467EC"/>
    <w:rsid w:val="0015424E"/>
    <w:rsid w:val="00160E78"/>
    <w:rsid w:val="001611FC"/>
    <w:rsid w:val="00167265"/>
    <w:rsid w:val="001709F4"/>
    <w:rsid w:val="00171048"/>
    <w:rsid w:val="00171889"/>
    <w:rsid w:val="00172339"/>
    <w:rsid w:val="0017379A"/>
    <w:rsid w:val="00177519"/>
    <w:rsid w:val="00182CC4"/>
    <w:rsid w:val="0019413F"/>
    <w:rsid w:val="001A04E6"/>
    <w:rsid w:val="001A5325"/>
    <w:rsid w:val="001B2C4D"/>
    <w:rsid w:val="001B3524"/>
    <w:rsid w:val="001B406E"/>
    <w:rsid w:val="001B4DE6"/>
    <w:rsid w:val="001B55EE"/>
    <w:rsid w:val="001B683C"/>
    <w:rsid w:val="001B70A6"/>
    <w:rsid w:val="001C5BFB"/>
    <w:rsid w:val="001D1E49"/>
    <w:rsid w:val="001D1EC9"/>
    <w:rsid w:val="001E3BBB"/>
    <w:rsid w:val="001F0898"/>
    <w:rsid w:val="001F1E16"/>
    <w:rsid w:val="001F754A"/>
    <w:rsid w:val="002018E3"/>
    <w:rsid w:val="00201F25"/>
    <w:rsid w:val="002024C5"/>
    <w:rsid w:val="002130A4"/>
    <w:rsid w:val="00214035"/>
    <w:rsid w:val="0021481A"/>
    <w:rsid w:val="00215046"/>
    <w:rsid w:val="00215CB2"/>
    <w:rsid w:val="00215D0C"/>
    <w:rsid w:val="002304D7"/>
    <w:rsid w:val="002336CF"/>
    <w:rsid w:val="00240539"/>
    <w:rsid w:val="002415F9"/>
    <w:rsid w:val="00243282"/>
    <w:rsid w:val="00245E1D"/>
    <w:rsid w:val="00247971"/>
    <w:rsid w:val="00250455"/>
    <w:rsid w:val="002644DD"/>
    <w:rsid w:val="002709BC"/>
    <w:rsid w:val="002733E6"/>
    <w:rsid w:val="00274C22"/>
    <w:rsid w:val="0027728E"/>
    <w:rsid w:val="00282B56"/>
    <w:rsid w:val="002A749A"/>
    <w:rsid w:val="002C550F"/>
    <w:rsid w:val="002C7265"/>
    <w:rsid w:val="002C7471"/>
    <w:rsid w:val="002D2474"/>
    <w:rsid w:val="002D270E"/>
    <w:rsid w:val="002E1642"/>
    <w:rsid w:val="002E35B9"/>
    <w:rsid w:val="002E4816"/>
    <w:rsid w:val="002E4849"/>
    <w:rsid w:val="002F144B"/>
    <w:rsid w:val="002F23D5"/>
    <w:rsid w:val="002F2D2D"/>
    <w:rsid w:val="002F72C4"/>
    <w:rsid w:val="00304554"/>
    <w:rsid w:val="0030568E"/>
    <w:rsid w:val="0031242C"/>
    <w:rsid w:val="00317647"/>
    <w:rsid w:val="00317A56"/>
    <w:rsid w:val="00323F67"/>
    <w:rsid w:val="003275A9"/>
    <w:rsid w:val="0033132F"/>
    <w:rsid w:val="0033422C"/>
    <w:rsid w:val="00334EC4"/>
    <w:rsid w:val="00350D3F"/>
    <w:rsid w:val="003513EB"/>
    <w:rsid w:val="00352B28"/>
    <w:rsid w:val="00353E32"/>
    <w:rsid w:val="0036250E"/>
    <w:rsid w:val="00367084"/>
    <w:rsid w:val="00373347"/>
    <w:rsid w:val="0039172C"/>
    <w:rsid w:val="003A2B03"/>
    <w:rsid w:val="003D3E39"/>
    <w:rsid w:val="003D5255"/>
    <w:rsid w:val="003D5EC5"/>
    <w:rsid w:val="003D6175"/>
    <w:rsid w:val="003E278F"/>
    <w:rsid w:val="003E36F4"/>
    <w:rsid w:val="003E723C"/>
    <w:rsid w:val="003F5368"/>
    <w:rsid w:val="003F7876"/>
    <w:rsid w:val="00415210"/>
    <w:rsid w:val="0042697F"/>
    <w:rsid w:val="00432E81"/>
    <w:rsid w:val="004351B6"/>
    <w:rsid w:val="00435D0D"/>
    <w:rsid w:val="00440B51"/>
    <w:rsid w:val="00440EAB"/>
    <w:rsid w:val="00442AB8"/>
    <w:rsid w:val="0044748B"/>
    <w:rsid w:val="00450797"/>
    <w:rsid w:val="00451E18"/>
    <w:rsid w:val="004531E9"/>
    <w:rsid w:val="00457A68"/>
    <w:rsid w:val="00460D90"/>
    <w:rsid w:val="00460DE5"/>
    <w:rsid w:val="004665CD"/>
    <w:rsid w:val="00467732"/>
    <w:rsid w:val="00467DF7"/>
    <w:rsid w:val="00476C16"/>
    <w:rsid w:val="004840D1"/>
    <w:rsid w:val="0049162E"/>
    <w:rsid w:val="00493097"/>
    <w:rsid w:val="004A3692"/>
    <w:rsid w:val="004B0377"/>
    <w:rsid w:val="004B3876"/>
    <w:rsid w:val="004B49FB"/>
    <w:rsid w:val="004B5EFE"/>
    <w:rsid w:val="004C315D"/>
    <w:rsid w:val="004C3EBD"/>
    <w:rsid w:val="004C67D5"/>
    <w:rsid w:val="004C7618"/>
    <w:rsid w:val="004D1F96"/>
    <w:rsid w:val="004D5D23"/>
    <w:rsid w:val="004E6F0E"/>
    <w:rsid w:val="004F52EA"/>
    <w:rsid w:val="005008E9"/>
    <w:rsid w:val="0050593D"/>
    <w:rsid w:val="00522E94"/>
    <w:rsid w:val="00532E0E"/>
    <w:rsid w:val="0054054F"/>
    <w:rsid w:val="005413FE"/>
    <w:rsid w:val="00546971"/>
    <w:rsid w:val="005508A3"/>
    <w:rsid w:val="0055097B"/>
    <w:rsid w:val="00553879"/>
    <w:rsid w:val="00572055"/>
    <w:rsid w:val="005806CA"/>
    <w:rsid w:val="00580C7C"/>
    <w:rsid w:val="005837F3"/>
    <w:rsid w:val="00584B15"/>
    <w:rsid w:val="005909FC"/>
    <w:rsid w:val="00592142"/>
    <w:rsid w:val="00596745"/>
    <w:rsid w:val="005A1B2F"/>
    <w:rsid w:val="005A44D5"/>
    <w:rsid w:val="005A4973"/>
    <w:rsid w:val="005A4A50"/>
    <w:rsid w:val="005A57D6"/>
    <w:rsid w:val="005B17DB"/>
    <w:rsid w:val="005B390F"/>
    <w:rsid w:val="005D66C2"/>
    <w:rsid w:val="005E0ADF"/>
    <w:rsid w:val="005E4691"/>
    <w:rsid w:val="005E7DD3"/>
    <w:rsid w:val="005F07DE"/>
    <w:rsid w:val="00602B88"/>
    <w:rsid w:val="00607DF5"/>
    <w:rsid w:val="006150C9"/>
    <w:rsid w:val="0061687B"/>
    <w:rsid w:val="0061709D"/>
    <w:rsid w:val="00622B5C"/>
    <w:rsid w:val="00624291"/>
    <w:rsid w:val="00632551"/>
    <w:rsid w:val="00632C6D"/>
    <w:rsid w:val="006331E8"/>
    <w:rsid w:val="0063513F"/>
    <w:rsid w:val="00642913"/>
    <w:rsid w:val="00647425"/>
    <w:rsid w:val="00650A41"/>
    <w:rsid w:val="00662816"/>
    <w:rsid w:val="00663EC5"/>
    <w:rsid w:val="0066607A"/>
    <w:rsid w:val="006669A4"/>
    <w:rsid w:val="0066748D"/>
    <w:rsid w:val="00674B27"/>
    <w:rsid w:val="00675467"/>
    <w:rsid w:val="006815F0"/>
    <w:rsid w:val="00687FA2"/>
    <w:rsid w:val="00691E33"/>
    <w:rsid w:val="006A1731"/>
    <w:rsid w:val="006A31F2"/>
    <w:rsid w:val="006C03FF"/>
    <w:rsid w:val="006C4BA3"/>
    <w:rsid w:val="006D3929"/>
    <w:rsid w:val="006D70CE"/>
    <w:rsid w:val="006E71FC"/>
    <w:rsid w:val="006E755E"/>
    <w:rsid w:val="006F00ED"/>
    <w:rsid w:val="006F686A"/>
    <w:rsid w:val="006F6AE1"/>
    <w:rsid w:val="00701CBC"/>
    <w:rsid w:val="0070342A"/>
    <w:rsid w:val="0071050F"/>
    <w:rsid w:val="00710C6A"/>
    <w:rsid w:val="0073688C"/>
    <w:rsid w:val="00743156"/>
    <w:rsid w:val="00745BE0"/>
    <w:rsid w:val="00747B1B"/>
    <w:rsid w:val="00751EEA"/>
    <w:rsid w:val="00753C4F"/>
    <w:rsid w:val="00756327"/>
    <w:rsid w:val="007571DD"/>
    <w:rsid w:val="00763DAE"/>
    <w:rsid w:val="00763E0E"/>
    <w:rsid w:val="00765138"/>
    <w:rsid w:val="00772D6F"/>
    <w:rsid w:val="00773157"/>
    <w:rsid w:val="0077639A"/>
    <w:rsid w:val="007771EE"/>
    <w:rsid w:val="0078504C"/>
    <w:rsid w:val="007874D3"/>
    <w:rsid w:val="0079252F"/>
    <w:rsid w:val="007A1AEC"/>
    <w:rsid w:val="007A2735"/>
    <w:rsid w:val="007A3C04"/>
    <w:rsid w:val="007A409F"/>
    <w:rsid w:val="007B3DAD"/>
    <w:rsid w:val="007B7DF7"/>
    <w:rsid w:val="007C349B"/>
    <w:rsid w:val="007D009D"/>
    <w:rsid w:val="007D2070"/>
    <w:rsid w:val="007D2ADB"/>
    <w:rsid w:val="007D30C6"/>
    <w:rsid w:val="007E1F13"/>
    <w:rsid w:val="007E3554"/>
    <w:rsid w:val="007E6C15"/>
    <w:rsid w:val="00822F05"/>
    <w:rsid w:val="00824D53"/>
    <w:rsid w:val="00827317"/>
    <w:rsid w:val="00840CAF"/>
    <w:rsid w:val="0084358C"/>
    <w:rsid w:val="00850286"/>
    <w:rsid w:val="00861B84"/>
    <w:rsid w:val="00867B5E"/>
    <w:rsid w:val="00886D62"/>
    <w:rsid w:val="008916C8"/>
    <w:rsid w:val="00891BAB"/>
    <w:rsid w:val="00893678"/>
    <w:rsid w:val="008A3448"/>
    <w:rsid w:val="008A4518"/>
    <w:rsid w:val="008A5E78"/>
    <w:rsid w:val="008A6793"/>
    <w:rsid w:val="008A690C"/>
    <w:rsid w:val="008B413D"/>
    <w:rsid w:val="008C01FF"/>
    <w:rsid w:val="008C3302"/>
    <w:rsid w:val="008F44F9"/>
    <w:rsid w:val="00900102"/>
    <w:rsid w:val="00901B36"/>
    <w:rsid w:val="009066DC"/>
    <w:rsid w:val="00910F2E"/>
    <w:rsid w:val="009210EC"/>
    <w:rsid w:val="0092691E"/>
    <w:rsid w:val="00930D0F"/>
    <w:rsid w:val="009418A1"/>
    <w:rsid w:val="00946CD9"/>
    <w:rsid w:val="00947FEE"/>
    <w:rsid w:val="009536CC"/>
    <w:rsid w:val="009556D4"/>
    <w:rsid w:val="0096270E"/>
    <w:rsid w:val="00971AFE"/>
    <w:rsid w:val="00971F68"/>
    <w:rsid w:val="00980E3E"/>
    <w:rsid w:val="009834F7"/>
    <w:rsid w:val="00994E44"/>
    <w:rsid w:val="009A1EA2"/>
    <w:rsid w:val="009B2982"/>
    <w:rsid w:val="009C5998"/>
    <w:rsid w:val="009C6218"/>
    <w:rsid w:val="009C6AEF"/>
    <w:rsid w:val="009D37EA"/>
    <w:rsid w:val="009E6188"/>
    <w:rsid w:val="009E6624"/>
    <w:rsid w:val="009E6C67"/>
    <w:rsid w:val="009F7175"/>
    <w:rsid w:val="00A044B5"/>
    <w:rsid w:val="00A047EC"/>
    <w:rsid w:val="00A07681"/>
    <w:rsid w:val="00A17B9E"/>
    <w:rsid w:val="00A203D2"/>
    <w:rsid w:val="00A22AD3"/>
    <w:rsid w:val="00A25005"/>
    <w:rsid w:val="00A32CAB"/>
    <w:rsid w:val="00A4449A"/>
    <w:rsid w:val="00A453A3"/>
    <w:rsid w:val="00A516E8"/>
    <w:rsid w:val="00A616E2"/>
    <w:rsid w:val="00A725F2"/>
    <w:rsid w:val="00A7347E"/>
    <w:rsid w:val="00A803B1"/>
    <w:rsid w:val="00A931E1"/>
    <w:rsid w:val="00AA0BEA"/>
    <w:rsid w:val="00AA595E"/>
    <w:rsid w:val="00AC0A32"/>
    <w:rsid w:val="00AC0E6A"/>
    <w:rsid w:val="00AC1845"/>
    <w:rsid w:val="00AC32F2"/>
    <w:rsid w:val="00AD6EE5"/>
    <w:rsid w:val="00AF1458"/>
    <w:rsid w:val="00AF178D"/>
    <w:rsid w:val="00AF317A"/>
    <w:rsid w:val="00AF57F7"/>
    <w:rsid w:val="00AF61FF"/>
    <w:rsid w:val="00B00FB3"/>
    <w:rsid w:val="00B02600"/>
    <w:rsid w:val="00B0483A"/>
    <w:rsid w:val="00B12B8F"/>
    <w:rsid w:val="00B159F9"/>
    <w:rsid w:val="00B23790"/>
    <w:rsid w:val="00B25C09"/>
    <w:rsid w:val="00B32766"/>
    <w:rsid w:val="00B41A0C"/>
    <w:rsid w:val="00B4258A"/>
    <w:rsid w:val="00B52E31"/>
    <w:rsid w:val="00B53906"/>
    <w:rsid w:val="00B57478"/>
    <w:rsid w:val="00B72F96"/>
    <w:rsid w:val="00B81E54"/>
    <w:rsid w:val="00B9255C"/>
    <w:rsid w:val="00BA2FD4"/>
    <w:rsid w:val="00BB2EA9"/>
    <w:rsid w:val="00BB5424"/>
    <w:rsid w:val="00BC424D"/>
    <w:rsid w:val="00BC7C6F"/>
    <w:rsid w:val="00BF0451"/>
    <w:rsid w:val="00BF09D0"/>
    <w:rsid w:val="00BF3CC9"/>
    <w:rsid w:val="00BF466B"/>
    <w:rsid w:val="00BF6270"/>
    <w:rsid w:val="00C02C94"/>
    <w:rsid w:val="00C07CD7"/>
    <w:rsid w:val="00C13EED"/>
    <w:rsid w:val="00C205D0"/>
    <w:rsid w:val="00C25AEB"/>
    <w:rsid w:val="00C3073B"/>
    <w:rsid w:val="00C32F1F"/>
    <w:rsid w:val="00C34EC2"/>
    <w:rsid w:val="00C45F73"/>
    <w:rsid w:val="00C50913"/>
    <w:rsid w:val="00C509CA"/>
    <w:rsid w:val="00C55FC8"/>
    <w:rsid w:val="00C6075E"/>
    <w:rsid w:val="00C65600"/>
    <w:rsid w:val="00C66263"/>
    <w:rsid w:val="00C73574"/>
    <w:rsid w:val="00C77E11"/>
    <w:rsid w:val="00C82222"/>
    <w:rsid w:val="00C92BF4"/>
    <w:rsid w:val="00C95EA3"/>
    <w:rsid w:val="00CA4785"/>
    <w:rsid w:val="00CB2AD6"/>
    <w:rsid w:val="00CB62B6"/>
    <w:rsid w:val="00CC0981"/>
    <w:rsid w:val="00CC5E58"/>
    <w:rsid w:val="00CD0BC2"/>
    <w:rsid w:val="00CD2C28"/>
    <w:rsid w:val="00CD3477"/>
    <w:rsid w:val="00CF537C"/>
    <w:rsid w:val="00D02950"/>
    <w:rsid w:val="00D0336A"/>
    <w:rsid w:val="00D04E17"/>
    <w:rsid w:val="00D11863"/>
    <w:rsid w:val="00D11FF7"/>
    <w:rsid w:val="00D121E3"/>
    <w:rsid w:val="00D126C8"/>
    <w:rsid w:val="00D15185"/>
    <w:rsid w:val="00D16CDA"/>
    <w:rsid w:val="00D24D29"/>
    <w:rsid w:val="00D27178"/>
    <w:rsid w:val="00D32135"/>
    <w:rsid w:val="00D3609A"/>
    <w:rsid w:val="00D37402"/>
    <w:rsid w:val="00D418D9"/>
    <w:rsid w:val="00D41AB5"/>
    <w:rsid w:val="00D4727A"/>
    <w:rsid w:val="00D50986"/>
    <w:rsid w:val="00D5207F"/>
    <w:rsid w:val="00D5683B"/>
    <w:rsid w:val="00D57324"/>
    <w:rsid w:val="00D57EF5"/>
    <w:rsid w:val="00D57FA9"/>
    <w:rsid w:val="00D715D5"/>
    <w:rsid w:val="00D71A7D"/>
    <w:rsid w:val="00D74FF1"/>
    <w:rsid w:val="00D76111"/>
    <w:rsid w:val="00D8075B"/>
    <w:rsid w:val="00D86B27"/>
    <w:rsid w:val="00D96402"/>
    <w:rsid w:val="00D9752F"/>
    <w:rsid w:val="00DA5859"/>
    <w:rsid w:val="00DB1F21"/>
    <w:rsid w:val="00DB4451"/>
    <w:rsid w:val="00DB464E"/>
    <w:rsid w:val="00DB4E6C"/>
    <w:rsid w:val="00DB62C7"/>
    <w:rsid w:val="00DD53A2"/>
    <w:rsid w:val="00DD5D21"/>
    <w:rsid w:val="00DE068E"/>
    <w:rsid w:val="00DE2EFF"/>
    <w:rsid w:val="00DE7EFA"/>
    <w:rsid w:val="00DF5CD5"/>
    <w:rsid w:val="00DF66A7"/>
    <w:rsid w:val="00E07E49"/>
    <w:rsid w:val="00E10494"/>
    <w:rsid w:val="00E16F93"/>
    <w:rsid w:val="00E50E53"/>
    <w:rsid w:val="00E567EE"/>
    <w:rsid w:val="00E6701B"/>
    <w:rsid w:val="00E71D00"/>
    <w:rsid w:val="00E77743"/>
    <w:rsid w:val="00E82C03"/>
    <w:rsid w:val="00E82F08"/>
    <w:rsid w:val="00E83601"/>
    <w:rsid w:val="00E87F65"/>
    <w:rsid w:val="00E90AB3"/>
    <w:rsid w:val="00E94266"/>
    <w:rsid w:val="00EA1FC7"/>
    <w:rsid w:val="00EA5AF4"/>
    <w:rsid w:val="00EB1BD2"/>
    <w:rsid w:val="00EB3129"/>
    <w:rsid w:val="00EB44A2"/>
    <w:rsid w:val="00EB754C"/>
    <w:rsid w:val="00EC166B"/>
    <w:rsid w:val="00EC35F8"/>
    <w:rsid w:val="00EC66A0"/>
    <w:rsid w:val="00ED2AA8"/>
    <w:rsid w:val="00EF6331"/>
    <w:rsid w:val="00F00274"/>
    <w:rsid w:val="00F02D5E"/>
    <w:rsid w:val="00F02F44"/>
    <w:rsid w:val="00F12BA9"/>
    <w:rsid w:val="00F135A3"/>
    <w:rsid w:val="00F14154"/>
    <w:rsid w:val="00F15499"/>
    <w:rsid w:val="00F21B7D"/>
    <w:rsid w:val="00F312B7"/>
    <w:rsid w:val="00F3578F"/>
    <w:rsid w:val="00F43475"/>
    <w:rsid w:val="00F45119"/>
    <w:rsid w:val="00F50780"/>
    <w:rsid w:val="00F52EDD"/>
    <w:rsid w:val="00F57809"/>
    <w:rsid w:val="00F57BDF"/>
    <w:rsid w:val="00F61957"/>
    <w:rsid w:val="00F61EFE"/>
    <w:rsid w:val="00F62D9F"/>
    <w:rsid w:val="00F7333A"/>
    <w:rsid w:val="00F7377A"/>
    <w:rsid w:val="00F74B99"/>
    <w:rsid w:val="00F775BD"/>
    <w:rsid w:val="00F83FB3"/>
    <w:rsid w:val="00F84A20"/>
    <w:rsid w:val="00F96CE8"/>
    <w:rsid w:val="00F97269"/>
    <w:rsid w:val="00F979C2"/>
    <w:rsid w:val="00FB563B"/>
    <w:rsid w:val="00FB6B6C"/>
    <w:rsid w:val="00FC2330"/>
    <w:rsid w:val="00FC7FF3"/>
    <w:rsid w:val="00FD20B8"/>
    <w:rsid w:val="00FD55F5"/>
    <w:rsid w:val="00FD70F6"/>
    <w:rsid w:val="00FE05A8"/>
    <w:rsid w:val="00FE2459"/>
    <w:rsid w:val="00FE7F0A"/>
    <w:rsid w:val="00FF1A50"/>
    <w:rsid w:val="00FF53DC"/>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2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E6"/>
    <w:rPr>
      <w:sz w:val="24"/>
    </w:rPr>
  </w:style>
  <w:style w:type="paragraph" w:styleId="Heading1">
    <w:name w:val="heading 1"/>
    <w:basedOn w:val="Normal"/>
    <w:next w:val="Normal"/>
    <w:link w:val="Heading1Char"/>
    <w:qFormat/>
    <w:rsid w:val="00A047EC"/>
    <w:pPr>
      <w:spacing w:after="240"/>
      <w:ind w:left="720" w:hanging="720"/>
      <w:outlineLvl w:val="0"/>
    </w:pPr>
    <w:rPr>
      <w:b/>
      <w:bCs/>
      <w:szCs w:val="24"/>
    </w:rPr>
  </w:style>
  <w:style w:type="paragraph" w:styleId="Heading2">
    <w:name w:val="heading 2"/>
    <w:basedOn w:val="Heading1"/>
    <w:next w:val="Normal"/>
    <w:qFormat/>
    <w:rsid w:val="0001537E"/>
    <w:pPr>
      <w:ind w:left="1440"/>
      <w:outlineLvl w:val="1"/>
    </w:p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A4A50"/>
    <w:rPr>
      <w:color w:val="605E5C"/>
      <w:shd w:val="clear" w:color="auto" w:fill="E1DFDD"/>
    </w:rPr>
  </w:style>
  <w:style w:type="character" w:customStyle="1" w:styleId="Heading1Char">
    <w:name w:val="Heading 1 Char"/>
    <w:basedOn w:val="DefaultParagraphFont"/>
    <w:link w:val="Heading1"/>
    <w:rsid w:val="00A047EC"/>
    <w:rPr>
      <w:b/>
      <w:bCs/>
      <w:sz w:val="24"/>
      <w:szCs w:val="24"/>
    </w:rPr>
  </w:style>
  <w:style w:type="character" w:customStyle="1" w:styleId="BodyTextIndent3Char">
    <w:name w:val="Body Text Indent 3 Char"/>
    <w:basedOn w:val="DefaultParagraphFont"/>
    <w:link w:val="BodyTextIndent3"/>
    <w:rsid w:val="00020E0B"/>
    <w:rPr>
      <w:sz w:val="24"/>
    </w:rPr>
  </w:style>
  <w:style w:type="character" w:customStyle="1" w:styleId="HTMLPreformattedChar">
    <w:name w:val="HTML Preformatted Char"/>
    <w:basedOn w:val="DefaultParagraphFont"/>
    <w:link w:val="HTMLPreformatted"/>
    <w:rsid w:val="00243282"/>
    <w:rPr>
      <w:rFonts w:ascii="Courier New" w:eastAsia="Courier New" w:hAnsi="Courier New" w:cs="Courier New"/>
    </w:rPr>
  </w:style>
  <w:style w:type="character" w:customStyle="1" w:styleId="UnresolvedMention3">
    <w:name w:val="Unresolved Mention3"/>
    <w:basedOn w:val="DefaultParagraphFont"/>
    <w:rsid w:val="00D24D29"/>
    <w:rPr>
      <w:color w:val="605E5C"/>
      <w:shd w:val="clear" w:color="auto" w:fill="E1DFDD"/>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rsid w:val="00A32CAB"/>
  </w:style>
  <w:style w:type="paragraph" w:styleId="Revision">
    <w:name w:val="Revision"/>
    <w:hidden/>
    <w:uiPriority w:val="99"/>
    <w:semiHidden/>
    <w:rsid w:val="00861B84"/>
    <w:rPr>
      <w:sz w:val="24"/>
    </w:rPr>
  </w:style>
  <w:style w:type="character" w:customStyle="1" w:styleId="UnresolvedMention4">
    <w:name w:val="Unresolved Mention4"/>
    <w:basedOn w:val="DefaultParagraphFont"/>
    <w:rsid w:val="00A725F2"/>
    <w:rPr>
      <w:color w:val="605E5C"/>
      <w:shd w:val="clear" w:color="auto" w:fill="E1DFDD"/>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uiPriority w:val="99"/>
    <w:rsid w:val="00FF53DC"/>
    <w:rPr>
      <w:sz w:val="20"/>
      <w:szCs w:val="20"/>
    </w:rPr>
  </w:style>
  <w:style w:type="character" w:customStyle="1" w:styleId="UnresolvedMention5">
    <w:name w:val="Unresolved Mention5"/>
    <w:basedOn w:val="DefaultParagraphFont"/>
    <w:rsid w:val="0012499B"/>
    <w:rPr>
      <w:color w:val="605E5C"/>
      <w:shd w:val="clear" w:color="auto" w:fill="E1DFDD"/>
    </w:rPr>
  </w:style>
  <w:style w:type="character" w:customStyle="1" w:styleId="BodyTextChar">
    <w:name w:val="Body Text Char"/>
    <w:basedOn w:val="DefaultParagraphFont"/>
    <w:link w:val="BodyText"/>
    <w:rsid w:val="001B4DE6"/>
    <w:rPr>
      <w:sz w:val="24"/>
    </w:rPr>
  </w:style>
  <w:style w:type="character" w:customStyle="1" w:styleId="UnresolvedMention6">
    <w:name w:val="Unresolved Mention6"/>
    <w:basedOn w:val="DefaultParagraphFont"/>
    <w:rsid w:val="0012303E"/>
    <w:rPr>
      <w:color w:val="605E5C"/>
      <w:shd w:val="clear" w:color="auto" w:fill="E1DFDD"/>
    </w:rPr>
  </w:style>
  <w:style w:type="paragraph" w:styleId="ListParagraph">
    <w:name w:val="List Paragraph"/>
    <w:basedOn w:val="Normal"/>
    <w:uiPriority w:val="34"/>
    <w:qFormat/>
    <w:rsid w:val="003E278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UnresolvedMention7">
    <w:name w:val="Unresolved Mention7"/>
    <w:basedOn w:val="DefaultParagraphFont"/>
    <w:rsid w:val="0017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ashley.wnek@ohioAGO.gov" TargetMode="External" /><Relationship Id="rId12" Type="http://schemas.openxmlformats.org/officeDocument/2006/relationships/hyperlink" Target="mailto:amy.botschnerobrien@ohioAGO.gov" TargetMode="External" /><Relationship Id="rId13" Type="http://schemas.openxmlformats.org/officeDocument/2006/relationships/hyperlink" Target="mailto:Bojko@carpenterlipps.com" TargetMode="External" /><Relationship Id="rId14" Type="http://schemas.openxmlformats.org/officeDocument/2006/relationships/hyperlink" Target="mailto:Easley@carpenterlipps.com" TargetMode="External" /><Relationship Id="rId15" Type="http://schemas.openxmlformats.org/officeDocument/2006/relationships/hyperlink" Target="mailto:Gregory.price@puco.ohio.gov" TargetMode="External" /><Relationship Id="rId16" Type="http://schemas.openxmlformats.org/officeDocument/2006/relationships/hyperlink" Target="mailto:clint.white@puco.ohio.gov" TargetMode="External" /><Relationship Id="rId17" Type="http://schemas.openxmlformats.org/officeDocument/2006/relationships/hyperlink" Target="mailto:kennedy@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demonte@whitt-sturtevant.com" TargetMode="External" /><Relationship Id="rId2" Type="http://schemas.openxmlformats.org/officeDocument/2006/relationships/settings" Target="settings.xml" /><Relationship Id="rId20" Type="http://schemas.openxmlformats.org/officeDocument/2006/relationships/hyperlink" Target="mailto:mbarbara@calfee.com" TargetMode="External" /><Relationship Id="rId21" Type="http://schemas.openxmlformats.org/officeDocument/2006/relationships/hyperlink" Target="mailto:tgallagher@fgplaborlaw.com" TargetMode="External" /><Relationship Id="rId22" Type="http://schemas.openxmlformats.org/officeDocument/2006/relationships/hyperlink" Target="mailto:michael.nugent@igs.com" TargetMode="External" /><Relationship Id="rId23" Type="http://schemas.openxmlformats.org/officeDocument/2006/relationships/hyperlink" Target="mailto:stacie.cathcart@igs.com" TargetMode="External" /><Relationship Id="rId24" Type="http://schemas.openxmlformats.org/officeDocument/2006/relationships/hyperlink" Target="mailto:jlang@calfee.com" TargetMode="External" /><Relationship Id="rId25" Type="http://schemas.openxmlformats.org/officeDocument/2006/relationships/hyperlink" Target="mailto:dproano@bakerlaw.com" TargetMode="External" /><Relationship Id="rId26" Type="http://schemas.openxmlformats.org/officeDocument/2006/relationships/hyperlink" Target="mailto:pwillison@bakerlaw.com" TargetMode="External" /><Relationship Id="rId27" Type="http://schemas.openxmlformats.org/officeDocument/2006/relationships/hyperlink" Target="mailto:whitt@whitt-sturtevant.com" TargetMode="External" /><Relationship Id="rId28" Type="http://schemas.openxmlformats.org/officeDocument/2006/relationships/hyperlink" Target="mailto:mcurrie@ablelaw.org" TargetMode="External" /><Relationship Id="rId29" Type="http://schemas.openxmlformats.org/officeDocument/2006/relationships/header" Target="header1.xm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robert.eubanks@occ.ohio.gov" TargetMode="External" /><Relationship Id="rId7" Type="http://schemas.openxmlformats.org/officeDocument/2006/relationships/hyperlink" Target="mailto:donald.kral@occ.ohio.gov" TargetMode="External" /><Relationship Id="rId8" Type="http://schemas.openxmlformats.org/officeDocument/2006/relationships/hyperlink" Target="mailto:thomas.brodbeck@occ.ohio.gov" TargetMode="External" /><Relationship Id="rId9" Type="http://schemas.openxmlformats.org/officeDocument/2006/relationships/hyperlink" Target="mailto:smoes@lascin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4E97-60BA-40AC-A906-5ECEDCA5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2023-12-29T20:47:06Z</dcterms:created>
  <dcterms:modified xsi:type="dcterms:W3CDTF">2023-12-29T20:47:06Z</dcterms:modified>
</cp:coreProperties>
</file>