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21FD5" w:rsidRPr="00937028" w:rsidP="00421FD5" w14:paraId="63E728C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862829">
        <w:rPr>
          <w:rFonts w:ascii="Times New Roman" w:eastAsia="Calibri" w:hAnsi="Times New Roman" w:cs="Times New Roman"/>
          <w:b/>
          <w:bCs/>
          <w:sz w:val="24"/>
          <w:szCs w:val="24"/>
        </w:rPr>
        <w:t>BEFORE</w:t>
      </w:r>
    </w:p>
    <w:p w:rsidR="00421FD5" w:rsidRPr="00E45058" w:rsidP="00421FD5" w14:paraId="3613CA4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937028">
        <w:rPr>
          <w:rFonts w:ascii="Times New Roman" w:eastAsia="Calibri" w:hAnsi="Times New Roman" w:cs="Times New Roman"/>
          <w:b/>
          <w:bCs/>
          <w:sz w:val="24"/>
          <w:szCs w:val="24"/>
        </w:rPr>
        <w:t>THE PUBLIC UTILITIES COMMISSION OF OHIO</w:t>
      </w:r>
    </w:p>
    <w:p w:rsidR="00421FD5" w:rsidRPr="001C2A4D" w:rsidP="00421FD5" w14:paraId="304324C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8640" w:type="dxa"/>
        <w:tblLayout w:type="fixed"/>
        <w:tblLook w:val="01E0"/>
      </w:tblPr>
      <w:tblGrid>
        <w:gridCol w:w="4230"/>
        <w:gridCol w:w="462"/>
        <w:gridCol w:w="3948"/>
      </w:tblGrid>
      <w:tr w14:paraId="0191DF23" w14:textId="77777777" w:rsidTr="00945FC4">
        <w:tblPrEx>
          <w:tblW w:w="8640" w:type="dxa"/>
          <w:tblLayout w:type="fixed"/>
          <w:tblLook w:val="01E0"/>
        </w:tblPrEx>
        <w:trPr>
          <w:trHeight w:val="807"/>
        </w:trPr>
        <w:tc>
          <w:tcPr>
            <w:tcW w:w="4230" w:type="dxa"/>
            <w:tcMar>
              <w:left w:w="108" w:type="dxa"/>
              <w:right w:w="108" w:type="dxa"/>
            </w:tcMar>
          </w:tcPr>
          <w:p w:rsidR="005E05DC" w:rsidRPr="00862829" w:rsidP="00431E6E" w14:paraId="7B49577D"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In the Matter of the Commission’s Review of the Minimum Gas Service Standards in Chapter 4901:1-13 of the Ohio Administrative Code.</w:t>
            </w:r>
          </w:p>
        </w:tc>
        <w:tc>
          <w:tcPr>
            <w:tcW w:w="462" w:type="dxa"/>
            <w:tcMar>
              <w:left w:w="108" w:type="dxa"/>
              <w:right w:w="108" w:type="dxa"/>
            </w:tcMar>
          </w:tcPr>
          <w:p w:rsidR="005E05DC" w:rsidRPr="00862829" w:rsidP="00431E6E" w14:paraId="47AE5CC2"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w:t>
            </w:r>
          </w:p>
          <w:p w:rsidR="005E05DC" w:rsidRPr="00862829" w:rsidP="00431E6E" w14:paraId="07294C2E"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w:t>
            </w:r>
          </w:p>
          <w:p w:rsidR="005E05DC" w:rsidRPr="00862829" w:rsidP="00431E6E" w14:paraId="565C420C"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w:t>
            </w:r>
          </w:p>
          <w:p w:rsidR="005E05DC" w:rsidRPr="00862829" w:rsidP="00431E6E" w14:paraId="2C5EAF30"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w:t>
            </w:r>
          </w:p>
        </w:tc>
        <w:tc>
          <w:tcPr>
            <w:tcW w:w="3948" w:type="dxa"/>
            <w:tcMar>
              <w:left w:w="108" w:type="dxa"/>
              <w:right w:w="108" w:type="dxa"/>
            </w:tcMar>
          </w:tcPr>
          <w:p w:rsidR="005E05DC" w:rsidRPr="00862829" w:rsidP="00431E6E" w14:paraId="47737C55" w14:textId="77777777">
            <w:pPr>
              <w:pStyle w:val="HTMLPreformatted"/>
              <w:rPr>
                <w:rFonts w:ascii="Times New Roman" w:hAnsi="Times New Roman" w:cs="Times New Roman"/>
                <w:sz w:val="24"/>
                <w:szCs w:val="24"/>
              </w:rPr>
            </w:pPr>
          </w:p>
          <w:p w:rsidR="005E05DC" w:rsidRPr="00862829" w:rsidP="00431E6E" w14:paraId="3475B60D"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Case No. 19-1429-GA-ORD</w:t>
            </w:r>
          </w:p>
          <w:p w:rsidR="005E05DC" w:rsidRPr="00862829" w:rsidP="00431E6E" w14:paraId="22D5DD27" w14:textId="77777777">
            <w:pPr>
              <w:pStyle w:val="HTMLPreformatted"/>
              <w:rPr>
                <w:rFonts w:ascii="Times New Roman" w:hAnsi="Times New Roman" w:cs="Times New Roman"/>
                <w:sz w:val="24"/>
                <w:szCs w:val="24"/>
              </w:rPr>
            </w:pPr>
          </w:p>
        </w:tc>
      </w:tr>
    </w:tbl>
    <w:p w:rsidR="00421FD5" w:rsidRPr="00862829" w:rsidP="00421FD5" w14:paraId="11B65D87"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421FD5" w:rsidRPr="00937028" w:rsidP="00421FD5" w14:paraId="1C2EAD1B" w14:textId="77777777">
      <w:pPr>
        <w:autoSpaceDE w:val="0"/>
        <w:autoSpaceDN w:val="0"/>
        <w:adjustRightInd w:val="0"/>
        <w:spacing w:after="0" w:line="240" w:lineRule="auto"/>
        <w:rPr>
          <w:rFonts w:ascii="Times New Roman" w:eastAsia="Calibri" w:hAnsi="Times New Roman" w:cs="Times New Roman"/>
          <w:sz w:val="24"/>
          <w:szCs w:val="24"/>
        </w:rPr>
      </w:pPr>
    </w:p>
    <w:p w:rsidR="00421FD5" w:rsidRPr="00862829" w:rsidP="00421FD5" w14:paraId="45B3ACF7" w14:textId="54D2A81D">
      <w:pPr>
        <w:widowControl w:val="0"/>
        <w:spacing w:after="0" w:line="240" w:lineRule="auto"/>
        <w:jc w:val="center"/>
        <w:rPr>
          <w:rFonts w:ascii="Times New Roman" w:hAnsi="Times New Roman" w:cs="Times New Roman"/>
          <w:b/>
          <w:sz w:val="24"/>
          <w:szCs w:val="24"/>
        </w:rPr>
      </w:pPr>
      <w:r w:rsidRPr="00E45058">
        <w:rPr>
          <w:rFonts w:ascii="Times New Roman" w:hAnsi="Times New Roman" w:cs="Times New Roman"/>
          <w:b/>
          <w:sz w:val="24"/>
          <w:szCs w:val="24"/>
        </w:rPr>
        <w:t xml:space="preserve">APPLICATION FOR REHEARING </w:t>
      </w:r>
      <w:r w:rsidRPr="00862829" w:rsidR="00894148">
        <w:rPr>
          <w:rFonts w:ascii="Times New Roman" w:hAnsi="Times New Roman" w:cs="Times New Roman"/>
          <w:b/>
          <w:sz w:val="24"/>
          <w:szCs w:val="24"/>
        </w:rPr>
        <w:t>TO</w:t>
      </w:r>
      <w:r w:rsidRPr="00862829" w:rsidR="00A303F0">
        <w:rPr>
          <w:rFonts w:ascii="Times New Roman" w:hAnsi="Times New Roman" w:cs="Times New Roman"/>
          <w:b/>
          <w:sz w:val="24"/>
          <w:szCs w:val="24"/>
        </w:rPr>
        <w:t xml:space="preserve"> PROTECT </w:t>
      </w:r>
      <w:r w:rsidRPr="00862829" w:rsidR="00094141">
        <w:rPr>
          <w:rFonts w:ascii="Times New Roman" w:hAnsi="Times New Roman" w:cs="Times New Roman"/>
          <w:b/>
          <w:sz w:val="24"/>
          <w:szCs w:val="24"/>
        </w:rPr>
        <w:t xml:space="preserve">NATURAL GAS </w:t>
      </w:r>
      <w:r w:rsidRPr="00862829" w:rsidR="00A303F0">
        <w:rPr>
          <w:rFonts w:ascii="Times New Roman" w:hAnsi="Times New Roman" w:cs="Times New Roman"/>
          <w:b/>
          <w:sz w:val="24"/>
          <w:szCs w:val="24"/>
        </w:rPr>
        <w:t>CONSUMERS</w:t>
      </w:r>
    </w:p>
    <w:p w:rsidR="00421FD5" w:rsidRPr="00862829" w:rsidP="00421FD5" w14:paraId="18FF5680" w14:textId="77777777">
      <w:pPr>
        <w:widowControl w:val="0"/>
        <w:spacing w:after="0" w:line="240" w:lineRule="auto"/>
        <w:jc w:val="center"/>
        <w:rPr>
          <w:rFonts w:ascii="Times New Roman" w:hAnsi="Times New Roman" w:cs="Times New Roman"/>
          <w:b/>
          <w:sz w:val="24"/>
          <w:szCs w:val="24"/>
        </w:rPr>
      </w:pPr>
      <w:r w:rsidRPr="00862829">
        <w:rPr>
          <w:rFonts w:ascii="Times New Roman" w:hAnsi="Times New Roman" w:cs="Times New Roman"/>
          <w:b/>
          <w:sz w:val="24"/>
          <w:szCs w:val="24"/>
        </w:rPr>
        <w:t>BY</w:t>
      </w:r>
    </w:p>
    <w:p w:rsidR="00421FD5" w:rsidRPr="00862829" w:rsidP="00421FD5" w14:paraId="6153AEC4" w14:textId="4795235A">
      <w:pPr>
        <w:widowControl w:val="0"/>
        <w:spacing w:after="0" w:line="240" w:lineRule="auto"/>
        <w:jc w:val="center"/>
        <w:rPr>
          <w:rFonts w:ascii="Times New Roman" w:hAnsi="Times New Roman" w:cs="Times New Roman"/>
          <w:b/>
          <w:sz w:val="24"/>
          <w:szCs w:val="24"/>
        </w:rPr>
      </w:pPr>
      <w:r w:rsidRPr="00862829">
        <w:rPr>
          <w:rFonts w:ascii="Times New Roman" w:hAnsi="Times New Roman" w:cs="Times New Roman"/>
          <w:b/>
          <w:sz w:val="24"/>
          <w:szCs w:val="24"/>
        </w:rPr>
        <w:t>OFFICE OF THE OHIO CONSUMERS’ COUNSEL</w:t>
      </w:r>
    </w:p>
    <w:p w:rsidR="00421FD5" w:rsidRPr="00862829" w:rsidP="00421FD5" w14:paraId="0E28CD5F"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421FD5" w:rsidRPr="00862829" w:rsidP="00421FD5" w14:paraId="4E5B7341" w14:textId="77777777">
      <w:pPr>
        <w:spacing w:after="0" w:line="240" w:lineRule="auto"/>
        <w:ind w:firstLine="720"/>
        <w:rPr>
          <w:rFonts w:ascii="Times New Roman" w:hAnsi="Times New Roman" w:cs="Times New Roman"/>
          <w:sz w:val="24"/>
          <w:szCs w:val="24"/>
        </w:rPr>
      </w:pPr>
    </w:p>
    <w:p w:rsidR="003B52EA" w:rsidRPr="00862829" w:rsidP="003B52EA" w14:paraId="33D60461" w14:textId="77777777">
      <w:pPr>
        <w:pStyle w:val="Footer"/>
        <w:ind w:left="4320"/>
        <w:rPr>
          <w:rFonts w:ascii="Times New Roman" w:hAnsi="Times New Roman" w:cs="Times New Roman"/>
          <w:sz w:val="24"/>
          <w:szCs w:val="24"/>
        </w:rPr>
      </w:pPr>
    </w:p>
    <w:p w:rsidR="00CF7A6F" w:rsidRPr="00862829" w:rsidP="003B52EA" w14:paraId="49A803F5" w14:textId="77777777">
      <w:pPr>
        <w:pStyle w:val="Footer"/>
        <w:ind w:left="4320"/>
        <w:rPr>
          <w:rFonts w:ascii="Times New Roman" w:hAnsi="Times New Roman" w:cs="Times New Roman"/>
          <w:sz w:val="24"/>
          <w:szCs w:val="24"/>
        </w:rPr>
      </w:pPr>
    </w:p>
    <w:p w:rsidR="00CF7A6F" w:rsidRPr="00862829" w:rsidP="003B52EA" w14:paraId="73709DFC" w14:textId="77777777">
      <w:pPr>
        <w:pStyle w:val="Footer"/>
        <w:ind w:left="4320"/>
        <w:rPr>
          <w:rFonts w:ascii="Times New Roman" w:hAnsi="Times New Roman" w:cs="Times New Roman"/>
          <w:sz w:val="24"/>
          <w:szCs w:val="24"/>
        </w:rPr>
      </w:pPr>
    </w:p>
    <w:p w:rsidR="00CF7A6F" w:rsidRPr="00862829" w:rsidP="003B52EA" w14:paraId="6C265E6E" w14:textId="77777777">
      <w:pPr>
        <w:pStyle w:val="Footer"/>
        <w:ind w:left="4320"/>
        <w:rPr>
          <w:rFonts w:ascii="Times New Roman" w:hAnsi="Times New Roman" w:cs="Times New Roman"/>
          <w:sz w:val="24"/>
          <w:szCs w:val="24"/>
        </w:rPr>
      </w:pPr>
    </w:p>
    <w:p w:rsidR="00CF7A6F" w:rsidRPr="00862829" w:rsidP="003B52EA" w14:paraId="33C2A213" w14:textId="77777777">
      <w:pPr>
        <w:pStyle w:val="Footer"/>
        <w:ind w:left="4320"/>
        <w:rPr>
          <w:rFonts w:ascii="Times New Roman" w:hAnsi="Times New Roman" w:cs="Times New Roman"/>
          <w:sz w:val="24"/>
          <w:szCs w:val="24"/>
        </w:rPr>
      </w:pPr>
    </w:p>
    <w:p w:rsidR="00CF7A6F" w:rsidRPr="00862829" w:rsidP="003B52EA" w14:paraId="74BA68F7" w14:textId="77777777">
      <w:pPr>
        <w:pStyle w:val="Footer"/>
        <w:ind w:left="4320"/>
        <w:rPr>
          <w:rFonts w:ascii="Times New Roman" w:hAnsi="Times New Roman" w:cs="Times New Roman"/>
          <w:sz w:val="24"/>
          <w:szCs w:val="24"/>
        </w:rPr>
      </w:pPr>
    </w:p>
    <w:p w:rsidR="00CF7A6F" w:rsidRPr="00862829" w:rsidP="003B52EA" w14:paraId="42CF6594" w14:textId="77777777">
      <w:pPr>
        <w:pStyle w:val="Footer"/>
        <w:ind w:left="4320"/>
        <w:rPr>
          <w:rFonts w:ascii="Times New Roman" w:hAnsi="Times New Roman" w:cs="Times New Roman"/>
          <w:sz w:val="24"/>
          <w:szCs w:val="24"/>
        </w:rPr>
      </w:pPr>
    </w:p>
    <w:p w:rsidR="00CF7A6F" w:rsidRPr="00862829" w:rsidP="003B52EA" w14:paraId="171286B3" w14:textId="77777777">
      <w:pPr>
        <w:pStyle w:val="Footer"/>
        <w:ind w:left="4320"/>
        <w:rPr>
          <w:rFonts w:ascii="Times New Roman" w:hAnsi="Times New Roman" w:cs="Times New Roman"/>
          <w:sz w:val="24"/>
          <w:szCs w:val="24"/>
        </w:rPr>
      </w:pPr>
    </w:p>
    <w:p w:rsidR="00CF7A6F" w:rsidRPr="00862829" w:rsidP="003B52EA" w14:paraId="1C405A5F" w14:textId="77777777">
      <w:pPr>
        <w:pStyle w:val="Footer"/>
        <w:ind w:left="4320"/>
        <w:rPr>
          <w:rFonts w:ascii="Times New Roman" w:hAnsi="Times New Roman" w:cs="Times New Roman"/>
          <w:sz w:val="24"/>
          <w:szCs w:val="24"/>
        </w:rPr>
      </w:pPr>
    </w:p>
    <w:p w:rsidR="003B52EA" w:rsidRPr="00862829" w:rsidP="003B52EA" w14:paraId="3472DECC" w14:textId="3CC63DDF">
      <w:pPr>
        <w:pStyle w:val="Footer"/>
        <w:ind w:left="4320"/>
        <w:rPr>
          <w:rFonts w:ascii="Times New Roman" w:hAnsi="Times New Roman" w:cs="Times New Roman"/>
          <w:sz w:val="24"/>
          <w:szCs w:val="24"/>
        </w:rPr>
      </w:pPr>
      <w:r w:rsidRPr="00862829">
        <w:rPr>
          <w:rFonts w:ascii="Times New Roman" w:hAnsi="Times New Roman" w:cs="Times New Roman"/>
          <w:sz w:val="24"/>
          <w:szCs w:val="24"/>
        </w:rPr>
        <w:t>Bruce Weston (0016973)</w:t>
      </w:r>
    </w:p>
    <w:p w:rsidR="003B52EA" w:rsidRPr="00862829" w:rsidP="003B52EA" w14:paraId="35D9FE9E" w14:textId="77777777">
      <w:pPr>
        <w:tabs>
          <w:tab w:val="left" w:pos="4320"/>
        </w:tabs>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Ohio Consumers’ Counsel</w:t>
      </w:r>
    </w:p>
    <w:p w:rsidR="003B52EA" w:rsidRPr="00862829" w:rsidP="003B52EA" w14:paraId="0709CA52" w14:textId="77777777">
      <w:pPr>
        <w:tabs>
          <w:tab w:val="left" w:pos="4320"/>
        </w:tabs>
        <w:spacing w:after="0" w:line="240" w:lineRule="auto"/>
        <w:ind w:left="4320"/>
        <w:rPr>
          <w:rFonts w:ascii="Times New Roman" w:hAnsi="Times New Roman" w:cs="Times New Roman"/>
          <w:sz w:val="24"/>
          <w:szCs w:val="24"/>
        </w:rPr>
      </w:pPr>
    </w:p>
    <w:p w:rsidR="003B52EA" w:rsidRPr="00862829" w:rsidP="003B52EA" w14:paraId="1DA353E1" w14:textId="3A81440A">
      <w:pPr>
        <w:tabs>
          <w:tab w:val="left" w:pos="4320"/>
        </w:tabs>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Ambrosia E. Wilson (0096598)</w:t>
      </w:r>
    </w:p>
    <w:p w:rsidR="003B52EA" w:rsidRPr="00862829" w:rsidP="003B52EA" w14:paraId="1DD59909" w14:textId="77777777">
      <w:pPr>
        <w:tabs>
          <w:tab w:val="left" w:pos="4320"/>
        </w:tabs>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 xml:space="preserve">Counsel of Record </w:t>
      </w:r>
    </w:p>
    <w:p w:rsidR="003B52EA" w:rsidRPr="00862829" w:rsidP="003B52EA" w14:paraId="4C87991B" w14:textId="77777777">
      <w:pPr>
        <w:tabs>
          <w:tab w:val="left" w:pos="4320"/>
        </w:tabs>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Assistant Consumers’ Counsel</w:t>
      </w:r>
    </w:p>
    <w:p w:rsidR="003B52EA" w:rsidRPr="00862829" w:rsidP="003B52EA" w14:paraId="09099121" w14:textId="77777777">
      <w:pPr>
        <w:spacing w:after="0" w:line="240" w:lineRule="auto"/>
        <w:ind w:left="4320"/>
        <w:rPr>
          <w:rFonts w:ascii="Times New Roman" w:hAnsi="Times New Roman" w:cs="Times New Roman"/>
          <w:b/>
          <w:sz w:val="24"/>
          <w:szCs w:val="24"/>
        </w:rPr>
      </w:pPr>
    </w:p>
    <w:p w:rsidR="003B52EA" w:rsidRPr="00862829" w:rsidP="003B52EA" w14:paraId="4F115D2E" w14:textId="77777777">
      <w:pPr>
        <w:spacing w:after="0" w:line="240" w:lineRule="auto"/>
        <w:ind w:left="4320"/>
        <w:rPr>
          <w:rFonts w:ascii="Times New Roman" w:hAnsi="Times New Roman" w:cs="Times New Roman"/>
          <w:b/>
          <w:sz w:val="24"/>
          <w:szCs w:val="24"/>
        </w:rPr>
      </w:pPr>
      <w:r w:rsidRPr="00862829">
        <w:rPr>
          <w:rFonts w:ascii="Times New Roman" w:hAnsi="Times New Roman" w:cs="Times New Roman"/>
          <w:b/>
          <w:sz w:val="24"/>
          <w:szCs w:val="24"/>
        </w:rPr>
        <w:t>Office of the Ohio Consumers’ Counsel</w:t>
      </w:r>
    </w:p>
    <w:p w:rsidR="003B52EA" w:rsidRPr="00862829" w:rsidP="003B52EA" w14:paraId="68307E68" w14:textId="77777777">
      <w:pPr>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65 E. State Street, 7th Floor</w:t>
      </w:r>
    </w:p>
    <w:p w:rsidR="003B52EA" w:rsidRPr="00862829" w:rsidP="003B52EA" w14:paraId="276E4DAD" w14:textId="77777777">
      <w:pPr>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Columbus, Ohio 43215-3485</w:t>
      </w:r>
    </w:p>
    <w:p w:rsidR="003B52EA" w:rsidRPr="00862829" w:rsidP="003B52EA" w14:paraId="4DA69CEB" w14:textId="189CFAEF">
      <w:pPr>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Telephone: 614-466-1292</w:t>
      </w:r>
    </w:p>
    <w:p w:rsidR="003B52EA" w:rsidRPr="00862829" w:rsidP="003B52EA" w14:paraId="7DF610CA" w14:textId="5E4DE009">
      <w:pPr>
        <w:spacing w:after="0" w:line="240" w:lineRule="auto"/>
        <w:ind w:left="4320"/>
        <w:rPr>
          <w:rFonts w:ascii="Times New Roman" w:hAnsi="Times New Roman" w:cs="Times New Roman"/>
          <w:color w:val="0000FF"/>
          <w:sz w:val="24"/>
          <w:szCs w:val="24"/>
        </w:rPr>
      </w:pPr>
      <w:hyperlink r:id="rId6" w:history="1">
        <w:r w:rsidRPr="00862829">
          <w:rPr>
            <w:rStyle w:val="Hyperlink"/>
            <w:rFonts w:ascii="Times New Roman" w:hAnsi="Times New Roman" w:cs="Times New Roman"/>
            <w:color w:val="0000FF"/>
            <w:sz w:val="24"/>
            <w:szCs w:val="24"/>
          </w:rPr>
          <w:t>Ambrosia.Wilson@occ.ohio.gov</w:t>
        </w:r>
      </w:hyperlink>
    </w:p>
    <w:p w:rsidR="003B52EA" w:rsidRPr="00E45058" w:rsidP="003B52EA" w14:paraId="6710422B" w14:textId="457886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March 26, 2021</w:t>
      </w:r>
      <w:r w:rsidRPr="00937028">
        <w:rPr>
          <w:rFonts w:ascii="Times New Roman" w:hAnsi="Times New Roman" w:cs="Times New Roman"/>
          <w:sz w:val="24"/>
          <w:szCs w:val="24"/>
        </w:rPr>
        <w:tab/>
      </w:r>
      <w:r w:rsidRPr="00937028">
        <w:rPr>
          <w:rFonts w:ascii="Times New Roman" w:hAnsi="Times New Roman" w:cs="Times New Roman"/>
          <w:sz w:val="24"/>
          <w:szCs w:val="24"/>
        </w:rPr>
        <w:tab/>
      </w:r>
      <w:r w:rsidRPr="00937028">
        <w:rPr>
          <w:rFonts w:ascii="Times New Roman" w:hAnsi="Times New Roman" w:cs="Times New Roman"/>
          <w:sz w:val="24"/>
          <w:szCs w:val="24"/>
        </w:rPr>
        <w:tab/>
      </w:r>
      <w:r w:rsidRPr="00937028">
        <w:rPr>
          <w:rFonts w:ascii="Times New Roman" w:hAnsi="Times New Roman" w:cs="Times New Roman"/>
          <w:sz w:val="24"/>
          <w:szCs w:val="24"/>
        </w:rPr>
        <w:tab/>
        <w:t>(willing to accept service by e-mail)</w:t>
      </w:r>
    </w:p>
    <w:p w:rsidR="003B52EA" w:rsidRPr="001C2A4D" w:rsidP="00D25904" w14:paraId="5E1784B5" w14:textId="77777777">
      <w:pPr>
        <w:spacing w:after="0" w:line="240" w:lineRule="auto"/>
        <w:jc w:val="center"/>
        <w:rPr>
          <w:rFonts w:ascii="Times New Roman" w:eastAsia="Calibri" w:hAnsi="Times New Roman" w:cs="Times New Roman"/>
          <w:b/>
          <w:bCs/>
          <w:sz w:val="24"/>
          <w:szCs w:val="24"/>
        </w:rPr>
      </w:pPr>
    </w:p>
    <w:p w:rsidR="003B52EA" w:rsidRPr="00862829" w:rsidP="00D25904" w14:paraId="22445DFA" w14:textId="23E71A40">
      <w:pPr>
        <w:spacing w:after="0" w:line="240" w:lineRule="auto"/>
        <w:jc w:val="center"/>
        <w:rPr>
          <w:rFonts w:ascii="Times New Roman" w:eastAsia="Calibri" w:hAnsi="Times New Roman" w:cs="Times New Roman"/>
          <w:b/>
          <w:bCs/>
          <w:sz w:val="24"/>
          <w:szCs w:val="24"/>
        </w:rPr>
      </w:pPr>
    </w:p>
    <w:p w:rsidR="00CF7A6F" w:rsidRPr="00862829" w:rsidP="00D25904" w14:paraId="73E6DA65" w14:textId="3C800B58">
      <w:pPr>
        <w:spacing w:after="0" w:line="240" w:lineRule="auto"/>
        <w:jc w:val="center"/>
        <w:rPr>
          <w:rFonts w:ascii="Times New Roman" w:eastAsia="Calibri" w:hAnsi="Times New Roman" w:cs="Times New Roman"/>
          <w:b/>
          <w:bCs/>
          <w:sz w:val="24"/>
          <w:szCs w:val="24"/>
        </w:rPr>
      </w:pPr>
    </w:p>
    <w:p w:rsidR="00CF7A6F" w:rsidRPr="00862829" w:rsidP="00D25904" w14:paraId="7C064685" w14:textId="77777777">
      <w:pPr>
        <w:spacing w:after="0" w:line="240" w:lineRule="auto"/>
        <w:jc w:val="center"/>
        <w:rPr>
          <w:rFonts w:ascii="Times New Roman" w:eastAsia="Calibri" w:hAnsi="Times New Roman" w:cs="Times New Roman"/>
          <w:b/>
          <w:bCs/>
          <w:sz w:val="24"/>
          <w:szCs w:val="24"/>
        </w:rPr>
        <w:sectPr w:rsidSect="00B00089">
          <w:footerReference w:type="default" r:id="rId7"/>
          <w:pgSz w:w="12240" w:h="15840"/>
          <w:pgMar w:top="1440" w:right="1800" w:bottom="1440" w:left="1800" w:header="720" w:footer="720" w:gutter="0"/>
          <w:pgNumType w:start="2"/>
          <w:cols w:space="720"/>
          <w:docGrid w:linePitch="360"/>
        </w:sectPr>
      </w:pPr>
    </w:p>
    <w:p w:rsidR="00152A74" w:rsidRPr="00937028" w:rsidP="00D25904" w14:paraId="10AF7151" w14:textId="17CC55EE">
      <w:pPr>
        <w:spacing w:after="0" w:line="240" w:lineRule="auto"/>
        <w:jc w:val="center"/>
        <w:rPr>
          <w:rFonts w:ascii="Times New Roman" w:eastAsia="Calibri" w:hAnsi="Times New Roman" w:cs="Times New Roman"/>
          <w:b/>
          <w:bCs/>
          <w:sz w:val="24"/>
          <w:szCs w:val="24"/>
        </w:rPr>
      </w:pPr>
      <w:r w:rsidRPr="00862829">
        <w:rPr>
          <w:rFonts w:ascii="Times New Roman" w:eastAsia="Calibri" w:hAnsi="Times New Roman" w:cs="Times New Roman"/>
          <w:b/>
          <w:bCs/>
          <w:sz w:val="24"/>
          <w:szCs w:val="24"/>
        </w:rPr>
        <w:t>BEFORE</w:t>
      </w:r>
    </w:p>
    <w:p w:rsidR="00A438A0" w:rsidRPr="00E45058" w:rsidP="00D25904" w14:paraId="1BAF3373" w14:textId="5940E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E45058">
        <w:rPr>
          <w:rFonts w:ascii="Times New Roman" w:eastAsia="Calibri" w:hAnsi="Times New Roman" w:cs="Times New Roman"/>
          <w:b/>
          <w:bCs/>
          <w:sz w:val="24"/>
          <w:szCs w:val="24"/>
        </w:rPr>
        <w:t>THE PUBLIC UTILITIES COMMISSION OF OHIO</w:t>
      </w:r>
    </w:p>
    <w:p w:rsidR="0008270A" w:rsidRPr="001C2A4D" w:rsidP="00152A74" w14:paraId="2AACB020" w14:textId="3DED8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8640" w:type="dxa"/>
        <w:tblLayout w:type="fixed"/>
        <w:tblLook w:val="01E0"/>
      </w:tblPr>
      <w:tblGrid>
        <w:gridCol w:w="4230"/>
        <w:gridCol w:w="462"/>
        <w:gridCol w:w="3948"/>
      </w:tblGrid>
      <w:tr w14:paraId="3EE6A006" w14:textId="77777777" w:rsidTr="00D06FF1">
        <w:tblPrEx>
          <w:tblW w:w="8640" w:type="dxa"/>
          <w:tblLayout w:type="fixed"/>
          <w:tblLook w:val="01E0"/>
        </w:tblPrEx>
        <w:trPr>
          <w:trHeight w:val="807"/>
        </w:trPr>
        <w:tc>
          <w:tcPr>
            <w:tcW w:w="4230" w:type="dxa"/>
            <w:tcMar>
              <w:left w:w="108" w:type="dxa"/>
              <w:right w:w="108" w:type="dxa"/>
            </w:tcMar>
          </w:tcPr>
          <w:p w:rsidR="005E05DC" w:rsidRPr="00862829" w:rsidP="00431E6E" w14:paraId="1E1E82D2"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In the Matter of the Commission’s Review of the Minimum Gas Service Standards in Chapter 4901:1-13 of the Ohio Administrative Code.</w:t>
            </w:r>
          </w:p>
        </w:tc>
        <w:tc>
          <w:tcPr>
            <w:tcW w:w="462" w:type="dxa"/>
            <w:tcMar>
              <w:left w:w="108" w:type="dxa"/>
              <w:right w:w="108" w:type="dxa"/>
            </w:tcMar>
          </w:tcPr>
          <w:p w:rsidR="005E05DC" w:rsidRPr="00862829" w:rsidP="00431E6E" w14:paraId="138D682A"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w:t>
            </w:r>
          </w:p>
          <w:p w:rsidR="005E05DC" w:rsidRPr="00862829" w:rsidP="00431E6E" w14:paraId="32E1DDBD"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w:t>
            </w:r>
          </w:p>
          <w:p w:rsidR="005E05DC" w:rsidRPr="00862829" w:rsidP="00431E6E" w14:paraId="1E046445"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w:t>
            </w:r>
          </w:p>
          <w:p w:rsidR="005E05DC" w:rsidRPr="00862829" w:rsidP="00431E6E" w14:paraId="29875EEB"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w:t>
            </w:r>
          </w:p>
        </w:tc>
        <w:tc>
          <w:tcPr>
            <w:tcW w:w="3948" w:type="dxa"/>
            <w:tcMar>
              <w:left w:w="108" w:type="dxa"/>
              <w:right w:w="108" w:type="dxa"/>
            </w:tcMar>
          </w:tcPr>
          <w:p w:rsidR="005E05DC" w:rsidRPr="00862829" w:rsidP="00431E6E" w14:paraId="49512B85" w14:textId="77777777">
            <w:pPr>
              <w:pStyle w:val="HTMLPreformatted"/>
              <w:rPr>
                <w:rFonts w:ascii="Times New Roman" w:hAnsi="Times New Roman" w:cs="Times New Roman"/>
                <w:sz w:val="24"/>
                <w:szCs w:val="24"/>
              </w:rPr>
            </w:pPr>
          </w:p>
          <w:p w:rsidR="005E05DC" w:rsidRPr="00862829" w:rsidP="00431E6E" w14:paraId="49FF7877"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Case No. 19-1429-GA-ORD</w:t>
            </w:r>
          </w:p>
          <w:p w:rsidR="005E05DC" w:rsidRPr="00862829" w:rsidP="00431E6E" w14:paraId="68BD3D54" w14:textId="77777777">
            <w:pPr>
              <w:pStyle w:val="HTMLPreformatted"/>
              <w:rPr>
                <w:rFonts w:ascii="Times New Roman" w:hAnsi="Times New Roman" w:cs="Times New Roman"/>
                <w:sz w:val="24"/>
                <w:szCs w:val="24"/>
              </w:rPr>
            </w:pPr>
          </w:p>
        </w:tc>
      </w:tr>
    </w:tbl>
    <w:p w:rsidR="00152A74" w:rsidRPr="00862829" w:rsidP="00152A74"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937028"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E3367C" w:rsidRPr="00862829" w:rsidP="00E3367C" w14:paraId="17CA8E0E" w14:textId="5609331C">
      <w:pPr>
        <w:widowControl w:val="0"/>
        <w:spacing w:after="0" w:line="240" w:lineRule="auto"/>
        <w:jc w:val="center"/>
        <w:rPr>
          <w:rFonts w:ascii="Times New Roman" w:hAnsi="Times New Roman" w:cs="Times New Roman"/>
          <w:b/>
          <w:sz w:val="24"/>
          <w:szCs w:val="24"/>
        </w:rPr>
      </w:pPr>
      <w:r w:rsidRPr="00E45058">
        <w:rPr>
          <w:rFonts w:ascii="Times New Roman" w:hAnsi="Times New Roman" w:cs="Times New Roman"/>
          <w:b/>
          <w:sz w:val="24"/>
          <w:szCs w:val="24"/>
        </w:rPr>
        <w:t>APPLICATION FOR REHEARING TO</w:t>
      </w:r>
      <w:r w:rsidRPr="001C2A4D">
        <w:rPr>
          <w:rFonts w:ascii="Times New Roman" w:hAnsi="Times New Roman" w:cs="Times New Roman"/>
          <w:b/>
          <w:sz w:val="24"/>
          <w:szCs w:val="24"/>
        </w:rPr>
        <w:t xml:space="preserve"> PROTECT </w:t>
      </w:r>
      <w:r w:rsidRPr="00080966">
        <w:rPr>
          <w:rFonts w:ascii="Times New Roman" w:hAnsi="Times New Roman" w:cs="Times New Roman"/>
          <w:b/>
          <w:sz w:val="24"/>
          <w:szCs w:val="24"/>
        </w:rPr>
        <w:t xml:space="preserve">NATURAL GAS </w:t>
      </w:r>
      <w:r w:rsidRPr="00862829">
        <w:rPr>
          <w:rFonts w:ascii="Times New Roman" w:hAnsi="Times New Roman" w:cs="Times New Roman"/>
          <w:b/>
          <w:sz w:val="24"/>
          <w:szCs w:val="24"/>
        </w:rPr>
        <w:t>CONSUMERS</w:t>
      </w:r>
    </w:p>
    <w:p w:rsidR="00E3367C" w:rsidRPr="00862829" w:rsidP="00E3367C" w14:paraId="50B869FB" w14:textId="77777777">
      <w:pPr>
        <w:widowControl w:val="0"/>
        <w:spacing w:after="0" w:line="240" w:lineRule="auto"/>
        <w:jc w:val="center"/>
        <w:rPr>
          <w:rFonts w:ascii="Times New Roman" w:hAnsi="Times New Roman" w:cs="Times New Roman"/>
          <w:b/>
          <w:sz w:val="24"/>
          <w:szCs w:val="24"/>
        </w:rPr>
      </w:pPr>
      <w:r w:rsidRPr="00862829">
        <w:rPr>
          <w:rFonts w:ascii="Times New Roman" w:hAnsi="Times New Roman" w:cs="Times New Roman"/>
          <w:b/>
          <w:sz w:val="24"/>
          <w:szCs w:val="24"/>
        </w:rPr>
        <w:t>BY</w:t>
      </w:r>
    </w:p>
    <w:p w:rsidR="00152A74" w:rsidRPr="00862829" w:rsidP="00152A74" w14:paraId="6EA33050" w14:textId="6A710ECC">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r w:rsidRPr="00862829">
        <w:rPr>
          <w:rFonts w:ascii="Times New Roman" w:hAnsi="Times New Roman" w:cs="Times New Roman"/>
          <w:b/>
          <w:sz w:val="24"/>
          <w:szCs w:val="24"/>
        </w:rPr>
        <w:t>OFFICE OF THE OHIO CONSUMERS’ COUNSEL</w:t>
      </w:r>
    </w:p>
    <w:p w:rsidR="009978FD" w:rsidRPr="00862829" w:rsidP="009978FD" w14:paraId="0C2EA7B8" w14:textId="77777777">
      <w:pPr>
        <w:spacing w:after="0" w:line="240" w:lineRule="auto"/>
        <w:ind w:firstLine="720"/>
        <w:rPr>
          <w:rFonts w:ascii="Times New Roman" w:hAnsi="Times New Roman" w:cs="Times New Roman"/>
          <w:sz w:val="24"/>
          <w:szCs w:val="24"/>
        </w:rPr>
      </w:pPr>
    </w:p>
    <w:p w:rsidR="00C3683C" w:rsidRPr="00862829" w:rsidP="006C356E" w14:paraId="5C2F9175" w14:textId="17B6B213">
      <w:pPr>
        <w:spacing w:after="0" w:line="480" w:lineRule="auto"/>
        <w:ind w:firstLine="720"/>
        <w:rPr>
          <w:rFonts w:ascii="Times New Roman" w:hAnsi="Times New Roman" w:cs="Times New Roman"/>
          <w:sz w:val="24"/>
          <w:szCs w:val="24"/>
        </w:rPr>
      </w:pPr>
      <w:r w:rsidRPr="00862829">
        <w:rPr>
          <w:rFonts w:ascii="Times New Roman" w:hAnsi="Times New Roman" w:cs="Times New Roman"/>
          <w:sz w:val="24"/>
          <w:szCs w:val="24"/>
        </w:rPr>
        <w:t>T</w:t>
      </w:r>
      <w:r w:rsidRPr="00862829" w:rsidR="001411AE">
        <w:rPr>
          <w:rFonts w:ascii="Times New Roman" w:hAnsi="Times New Roman" w:cs="Times New Roman"/>
          <w:sz w:val="24"/>
          <w:szCs w:val="24"/>
        </w:rPr>
        <w:t xml:space="preserve">he </w:t>
      </w:r>
      <w:r w:rsidRPr="00862829" w:rsidR="00712F19">
        <w:rPr>
          <w:rFonts w:ascii="Times New Roman" w:hAnsi="Times New Roman" w:cs="Times New Roman"/>
          <w:sz w:val="24"/>
          <w:szCs w:val="24"/>
        </w:rPr>
        <w:t>minimum gas service standards rules</w:t>
      </w:r>
      <w:r w:rsidRPr="00862829" w:rsidR="00D35FCF">
        <w:rPr>
          <w:rFonts w:ascii="Times New Roman" w:hAnsi="Times New Roman" w:cs="Times New Roman"/>
          <w:sz w:val="24"/>
          <w:szCs w:val="24"/>
        </w:rPr>
        <w:t xml:space="preserve"> found </w:t>
      </w:r>
      <w:r w:rsidRPr="00862829" w:rsidR="00F974A3">
        <w:rPr>
          <w:rFonts w:ascii="Times New Roman" w:hAnsi="Times New Roman" w:cs="Times New Roman"/>
          <w:sz w:val="24"/>
          <w:szCs w:val="24"/>
        </w:rPr>
        <w:t>in O.A.C.</w:t>
      </w:r>
      <w:r w:rsidRPr="00862829" w:rsidR="00DA569F">
        <w:rPr>
          <w:rFonts w:ascii="Times New Roman" w:hAnsi="Times New Roman" w:cs="Times New Roman"/>
          <w:sz w:val="24"/>
          <w:szCs w:val="24"/>
        </w:rPr>
        <w:t xml:space="preserve"> </w:t>
      </w:r>
      <w:r w:rsidRPr="00862829" w:rsidR="00D35FCF">
        <w:rPr>
          <w:rFonts w:ascii="Times New Roman" w:hAnsi="Times New Roman" w:cs="Times New Roman"/>
          <w:sz w:val="24"/>
          <w:szCs w:val="24"/>
        </w:rPr>
        <w:t xml:space="preserve">Chapter </w:t>
      </w:r>
      <w:r w:rsidRPr="00862829" w:rsidR="00DA569F">
        <w:rPr>
          <w:rFonts w:ascii="Times New Roman" w:hAnsi="Times New Roman" w:cs="Times New Roman"/>
          <w:sz w:val="24"/>
          <w:szCs w:val="24"/>
        </w:rPr>
        <w:t>4901:1-13</w:t>
      </w:r>
      <w:r w:rsidRPr="00862829" w:rsidR="00D35FCF">
        <w:rPr>
          <w:rFonts w:ascii="Times New Roman" w:hAnsi="Times New Roman" w:cs="Times New Roman"/>
          <w:sz w:val="24"/>
          <w:szCs w:val="24"/>
        </w:rPr>
        <w:t xml:space="preserve"> are designed </w:t>
      </w:r>
      <w:r w:rsidRPr="00937028" w:rsidR="00F974A3">
        <w:rPr>
          <w:rFonts w:ascii="Times New Roman" w:hAnsi="Times New Roman" w:cs="Times New Roman"/>
          <w:sz w:val="24"/>
          <w:szCs w:val="24"/>
        </w:rPr>
        <w:t xml:space="preserve">to </w:t>
      </w:r>
      <w:r w:rsidR="00983093">
        <w:rPr>
          <w:rFonts w:ascii="Times New Roman" w:hAnsi="Times New Roman" w:cs="Times New Roman"/>
          <w:sz w:val="24"/>
          <w:szCs w:val="24"/>
        </w:rPr>
        <w:t>“</w:t>
      </w:r>
      <w:r w:rsidRPr="00937028" w:rsidR="00F974A3">
        <w:rPr>
          <w:rFonts w:ascii="Times New Roman" w:hAnsi="Times New Roman" w:cs="Times New Roman"/>
          <w:sz w:val="24"/>
          <w:szCs w:val="24"/>
        </w:rPr>
        <w:t>promote</w:t>
      </w:r>
      <w:r w:rsidRPr="00E45058" w:rsidR="00070EA5">
        <w:rPr>
          <w:rFonts w:ascii="Times New Roman" w:hAnsi="Times New Roman" w:cs="Times New Roman"/>
          <w:sz w:val="24"/>
          <w:szCs w:val="24"/>
        </w:rPr>
        <w:t xml:space="preserve"> reliable and reasonably priced natural gas </w:t>
      </w:r>
      <w:r w:rsidRPr="001C2A4D" w:rsidR="000058BF">
        <w:rPr>
          <w:rFonts w:ascii="Times New Roman" w:hAnsi="Times New Roman" w:cs="Times New Roman"/>
          <w:sz w:val="24"/>
          <w:szCs w:val="24"/>
        </w:rPr>
        <w:t>services</w:t>
      </w:r>
      <w:r w:rsidRPr="00080966" w:rsidR="00070EA5">
        <w:rPr>
          <w:rFonts w:ascii="Times New Roman" w:hAnsi="Times New Roman" w:cs="Times New Roman"/>
          <w:sz w:val="24"/>
          <w:szCs w:val="24"/>
        </w:rPr>
        <w:t xml:space="preserve"> and goods to millions of Ohio consumers.</w:t>
      </w:r>
      <w:r w:rsidR="00983093">
        <w:rPr>
          <w:rFonts w:ascii="Times New Roman" w:hAnsi="Times New Roman" w:cs="Times New Roman"/>
          <w:sz w:val="24"/>
          <w:szCs w:val="24"/>
        </w:rPr>
        <w:t>”</w:t>
      </w:r>
      <w:r w:rsidRPr="00862829" w:rsidR="001411AE">
        <w:rPr>
          <w:rFonts w:ascii="Times New Roman" w:hAnsi="Times New Roman" w:cs="Times New Roman"/>
          <w:sz w:val="24"/>
          <w:szCs w:val="24"/>
        </w:rPr>
        <w:t xml:space="preserve"> </w:t>
      </w:r>
      <w:r w:rsidRPr="00862829" w:rsidR="00094141">
        <w:rPr>
          <w:rFonts w:ascii="Times New Roman" w:hAnsi="Times New Roman" w:cs="Times New Roman"/>
          <w:sz w:val="24"/>
          <w:szCs w:val="24"/>
        </w:rPr>
        <w:t>Although</w:t>
      </w:r>
      <w:r w:rsidRPr="00862829" w:rsidR="008052C0">
        <w:rPr>
          <w:rFonts w:ascii="Times New Roman" w:hAnsi="Times New Roman" w:cs="Times New Roman"/>
          <w:sz w:val="24"/>
          <w:szCs w:val="24"/>
        </w:rPr>
        <w:t xml:space="preserve"> the </w:t>
      </w:r>
      <w:r w:rsidRPr="00862829" w:rsidR="007943CD">
        <w:rPr>
          <w:rFonts w:ascii="Times New Roman" w:hAnsi="Times New Roman" w:cs="Times New Roman"/>
          <w:sz w:val="24"/>
          <w:szCs w:val="24"/>
        </w:rPr>
        <w:t>PUCO’s February</w:t>
      </w:r>
      <w:r w:rsidRPr="00862829" w:rsidR="00094141">
        <w:rPr>
          <w:rFonts w:ascii="Times New Roman" w:hAnsi="Times New Roman" w:cs="Times New Roman"/>
          <w:sz w:val="24"/>
          <w:szCs w:val="24"/>
        </w:rPr>
        <w:t xml:space="preserve"> 24, 2021 Finding and Order (“Order”) provided some protections for consumers, the PUCO should have done </w:t>
      </w:r>
      <w:r w:rsidRPr="00862829" w:rsidR="007943CD">
        <w:rPr>
          <w:rFonts w:ascii="Times New Roman" w:hAnsi="Times New Roman" w:cs="Times New Roman"/>
          <w:sz w:val="24"/>
          <w:szCs w:val="24"/>
        </w:rPr>
        <w:t>more</w:t>
      </w:r>
      <w:r w:rsidR="007943CD">
        <w:rPr>
          <w:rFonts w:ascii="Times New Roman" w:hAnsi="Times New Roman" w:cs="Times New Roman"/>
          <w:sz w:val="24"/>
          <w:szCs w:val="24"/>
        </w:rPr>
        <w:t>.</w:t>
      </w:r>
      <w:r w:rsidRPr="00862829" w:rsidR="007943CD">
        <w:rPr>
          <w:rFonts w:ascii="Times New Roman" w:hAnsi="Times New Roman" w:cs="Times New Roman"/>
          <w:sz w:val="24"/>
          <w:szCs w:val="24"/>
        </w:rPr>
        <w:t xml:space="preserve"> The</w:t>
      </w:r>
      <w:r w:rsidRPr="00862829">
        <w:rPr>
          <w:rFonts w:ascii="Times New Roman" w:hAnsi="Times New Roman" w:cs="Times New Roman"/>
          <w:sz w:val="24"/>
          <w:szCs w:val="24"/>
        </w:rPr>
        <w:t xml:space="preserve"> PUCO should have adopted </w:t>
      </w:r>
      <w:r w:rsidRPr="00862829" w:rsidR="009247E9">
        <w:rPr>
          <w:rFonts w:ascii="Times New Roman" w:hAnsi="Times New Roman" w:cs="Times New Roman"/>
          <w:sz w:val="24"/>
          <w:szCs w:val="24"/>
        </w:rPr>
        <w:t>its Staff’s</w:t>
      </w:r>
      <w:r w:rsidRPr="00862829" w:rsidR="00F974A3">
        <w:rPr>
          <w:rFonts w:ascii="Times New Roman" w:hAnsi="Times New Roman" w:cs="Times New Roman"/>
          <w:sz w:val="24"/>
          <w:szCs w:val="24"/>
        </w:rPr>
        <w:t xml:space="preserve"> proposed rules</w:t>
      </w:r>
      <w:r w:rsidRPr="00862829" w:rsidR="009247E9">
        <w:rPr>
          <w:rFonts w:ascii="Times New Roman" w:hAnsi="Times New Roman" w:cs="Times New Roman"/>
          <w:sz w:val="24"/>
          <w:szCs w:val="24"/>
        </w:rPr>
        <w:t xml:space="preserve"> and </w:t>
      </w:r>
      <w:r w:rsidRPr="00862829" w:rsidR="0009747B">
        <w:rPr>
          <w:rFonts w:ascii="Times New Roman" w:hAnsi="Times New Roman" w:cs="Times New Roman"/>
          <w:sz w:val="24"/>
          <w:szCs w:val="24"/>
        </w:rPr>
        <w:t>OCC</w:t>
      </w:r>
      <w:r w:rsidRPr="00862829" w:rsidR="009247E9">
        <w:rPr>
          <w:rFonts w:ascii="Times New Roman" w:hAnsi="Times New Roman" w:cs="Times New Roman"/>
          <w:sz w:val="24"/>
          <w:szCs w:val="24"/>
        </w:rPr>
        <w:t>’s</w:t>
      </w:r>
      <w:r w:rsidRPr="00862829" w:rsidR="00C23452">
        <w:rPr>
          <w:rFonts w:ascii="Times New Roman" w:hAnsi="Times New Roman" w:cs="Times New Roman"/>
          <w:sz w:val="24"/>
          <w:szCs w:val="24"/>
        </w:rPr>
        <w:t xml:space="preserve"> recommendations</w:t>
      </w:r>
      <w:r>
        <w:rPr>
          <w:rStyle w:val="FootnoteReference"/>
          <w:rFonts w:ascii="Times New Roman" w:hAnsi="Times New Roman" w:cs="Times New Roman"/>
          <w:sz w:val="24"/>
          <w:szCs w:val="24"/>
        </w:rPr>
        <w:footnoteReference w:id="3"/>
      </w:r>
      <w:r w:rsidRPr="00862829" w:rsidR="00C23452">
        <w:rPr>
          <w:rFonts w:ascii="Times New Roman" w:hAnsi="Times New Roman" w:cs="Times New Roman"/>
          <w:sz w:val="24"/>
          <w:szCs w:val="24"/>
        </w:rPr>
        <w:t xml:space="preserve"> </w:t>
      </w:r>
      <w:r w:rsidRPr="00937028" w:rsidR="00A51872">
        <w:rPr>
          <w:rFonts w:ascii="Times New Roman" w:hAnsi="Times New Roman" w:cs="Times New Roman"/>
          <w:sz w:val="24"/>
          <w:szCs w:val="24"/>
        </w:rPr>
        <w:t xml:space="preserve">that </w:t>
      </w:r>
      <w:r w:rsidRPr="00937028" w:rsidR="00C23452">
        <w:rPr>
          <w:rFonts w:ascii="Times New Roman" w:hAnsi="Times New Roman" w:cs="Times New Roman"/>
          <w:sz w:val="24"/>
          <w:szCs w:val="24"/>
        </w:rPr>
        <w:t xml:space="preserve">were </w:t>
      </w:r>
      <w:r w:rsidRPr="00E45058">
        <w:rPr>
          <w:rFonts w:ascii="Times New Roman" w:hAnsi="Times New Roman" w:cs="Times New Roman"/>
          <w:sz w:val="24"/>
          <w:szCs w:val="24"/>
        </w:rPr>
        <w:t>designed to adapt</w:t>
      </w:r>
      <w:r w:rsidRPr="001C2A4D" w:rsidR="00A53757">
        <w:rPr>
          <w:rFonts w:ascii="Times New Roman" w:hAnsi="Times New Roman" w:cs="Times New Roman"/>
          <w:sz w:val="24"/>
          <w:szCs w:val="24"/>
        </w:rPr>
        <w:t xml:space="preserve"> </w:t>
      </w:r>
      <w:r w:rsidRPr="00080966">
        <w:rPr>
          <w:rFonts w:ascii="Times New Roman" w:hAnsi="Times New Roman" w:cs="Times New Roman"/>
          <w:sz w:val="24"/>
          <w:szCs w:val="24"/>
        </w:rPr>
        <w:t xml:space="preserve">these PUCO rules to the needs of the </w:t>
      </w:r>
      <w:r w:rsidRPr="00862829" w:rsidR="00F974A3">
        <w:rPr>
          <w:rFonts w:ascii="Times New Roman" w:hAnsi="Times New Roman" w:cs="Times New Roman"/>
          <w:sz w:val="24"/>
          <w:szCs w:val="24"/>
        </w:rPr>
        <w:t xml:space="preserve">consumers </w:t>
      </w:r>
      <w:r w:rsidRPr="00862829" w:rsidR="0038772D">
        <w:rPr>
          <w:rFonts w:ascii="Times New Roman" w:hAnsi="Times New Roman" w:cs="Times New Roman"/>
          <w:sz w:val="24"/>
          <w:szCs w:val="24"/>
        </w:rPr>
        <w:t xml:space="preserve">and </w:t>
      </w:r>
      <w:r w:rsidRPr="00862829" w:rsidR="00F974A3">
        <w:rPr>
          <w:rFonts w:ascii="Times New Roman" w:hAnsi="Times New Roman" w:cs="Times New Roman"/>
          <w:sz w:val="24"/>
          <w:szCs w:val="24"/>
        </w:rPr>
        <w:t>to</w:t>
      </w:r>
      <w:r w:rsidRPr="00862829" w:rsidR="002063F6">
        <w:rPr>
          <w:rFonts w:ascii="Times New Roman" w:hAnsi="Times New Roman" w:cs="Times New Roman"/>
          <w:sz w:val="24"/>
          <w:szCs w:val="24"/>
        </w:rPr>
        <w:t xml:space="preserve"> </w:t>
      </w:r>
      <w:r w:rsidRPr="00862829" w:rsidR="00D2314E">
        <w:rPr>
          <w:rFonts w:ascii="Times New Roman" w:hAnsi="Times New Roman" w:cs="Times New Roman"/>
          <w:sz w:val="24"/>
          <w:szCs w:val="24"/>
        </w:rPr>
        <w:t>protect all residential customers.</w:t>
      </w:r>
      <w:r w:rsidRPr="00862829" w:rsidR="00A1089E">
        <w:rPr>
          <w:rFonts w:ascii="Times New Roman" w:hAnsi="Times New Roman" w:cs="Times New Roman"/>
          <w:sz w:val="24"/>
          <w:szCs w:val="24"/>
        </w:rPr>
        <w:t xml:space="preserve"> </w:t>
      </w:r>
    </w:p>
    <w:p w:rsidR="00152A74" w:rsidRPr="00862829" w:rsidP="005A29AE" w14:paraId="50F35F54" w14:textId="085FD589">
      <w:pPr>
        <w:spacing w:after="0" w:line="480" w:lineRule="auto"/>
        <w:ind w:firstLine="720"/>
        <w:rPr>
          <w:rFonts w:ascii="Times New Roman" w:hAnsi="Times New Roman" w:cs="Times New Roman"/>
          <w:sz w:val="24"/>
          <w:szCs w:val="24"/>
        </w:rPr>
      </w:pPr>
      <w:r w:rsidRPr="00862829">
        <w:rPr>
          <w:rFonts w:ascii="Times New Roman" w:hAnsi="Times New Roman" w:cs="Times New Roman"/>
          <w:sz w:val="24"/>
          <w:szCs w:val="24"/>
        </w:rPr>
        <w:t xml:space="preserve">The PUCO’s order was </w:t>
      </w:r>
      <w:r w:rsidRPr="00862829" w:rsidR="00115AE7">
        <w:rPr>
          <w:rFonts w:ascii="Times New Roman" w:hAnsi="Times New Roman" w:cs="Times New Roman"/>
          <w:sz w:val="24"/>
          <w:szCs w:val="24"/>
        </w:rPr>
        <w:t xml:space="preserve">unlawful or </w:t>
      </w:r>
      <w:r w:rsidRPr="00862829">
        <w:rPr>
          <w:rFonts w:ascii="Times New Roman" w:hAnsi="Times New Roman" w:cs="Times New Roman"/>
          <w:sz w:val="24"/>
          <w:szCs w:val="24"/>
        </w:rPr>
        <w:t>unreasonable in the following respect</w:t>
      </w:r>
      <w:r w:rsidRPr="00862829" w:rsidR="009B6232">
        <w:rPr>
          <w:rFonts w:ascii="Times New Roman" w:hAnsi="Times New Roman" w:cs="Times New Roman"/>
          <w:sz w:val="24"/>
          <w:szCs w:val="24"/>
        </w:rPr>
        <w:t>s</w:t>
      </w:r>
      <w:r w:rsidRPr="00862829">
        <w:rPr>
          <w:rFonts w:ascii="Times New Roman" w:hAnsi="Times New Roman" w:cs="Times New Roman"/>
          <w:sz w:val="24"/>
          <w:szCs w:val="24"/>
        </w:rPr>
        <w:t>:</w:t>
      </w:r>
      <w:r w:rsidRPr="00862829" w:rsidR="00BB12AA">
        <w:rPr>
          <w:rFonts w:ascii="Times New Roman" w:hAnsi="Times New Roman" w:cs="Times New Roman"/>
          <w:sz w:val="24"/>
          <w:szCs w:val="24"/>
        </w:rPr>
        <w:t xml:space="preserve"> </w:t>
      </w:r>
    </w:p>
    <w:p w:rsidR="002506BD" w:rsidRPr="00D06FF1" w:rsidP="00D06FF1" w14:paraId="1062FB48" w14:textId="16161077">
      <w:r w:rsidRPr="00D06FF1">
        <w:rPr>
          <w:rFonts w:ascii="Times New Roman" w:hAnsi="Times New Roman" w:cs="Times New Roman"/>
          <w:sz w:val="24"/>
          <w:szCs w:val="24"/>
        </w:rPr>
        <w:t>ASSIGNMENT OF ERROR NO. 1:</w:t>
      </w:r>
      <w:r w:rsidR="00D06FF1">
        <w:rPr>
          <w:rFonts w:ascii="Times New Roman" w:hAnsi="Times New Roman" w:cs="Times New Roman"/>
          <w:sz w:val="24"/>
          <w:szCs w:val="24"/>
        </w:rPr>
        <w:t xml:space="preserve"> </w:t>
      </w:r>
      <w:r w:rsidRPr="00D06FF1">
        <w:rPr>
          <w:rFonts w:ascii="Times New Roman" w:hAnsi="Times New Roman" w:cs="Times New Roman"/>
          <w:sz w:val="24"/>
          <w:szCs w:val="24"/>
        </w:rPr>
        <w:t>The PUCO erred when it unlawfully failed to adopt OCC’s “shadow-billing” proposal for two reasons.</w:t>
      </w:r>
    </w:p>
    <w:p w:rsidR="002506BD" w:rsidRPr="00D06FF1" w:rsidP="00D06FF1" w14:paraId="210C8DBD" w14:textId="79CEFD46">
      <w:r w:rsidRPr="00D06FF1">
        <w:rPr>
          <w:rFonts w:ascii="Times New Roman" w:hAnsi="Times New Roman" w:cs="Times New Roman"/>
          <w:sz w:val="24"/>
          <w:szCs w:val="24"/>
        </w:rPr>
        <w:t>ASSIGNMENT OF ERROR NO. 2: The PUCO erred when it unreasonably failed to protect consumers by rejecting Staff’s recommendation to amend O.A.C. 4901:1-13-01 to define the term “commodity charge,” and by rejecting Staff’s recommendation to amend O.A.C. 4901:1-13-1 (K) to only include “commodity” charges on regulated natural gas bills.</w:t>
      </w:r>
    </w:p>
    <w:p w:rsidR="00D06FF1" w:rsidP="00D06FF1" w14:paraId="3E167C41" w14:textId="77777777">
      <w:pPr>
        <w:rPr>
          <w:rFonts w:ascii="Times New Roman" w:hAnsi="Times New Roman" w:cs="Times New Roman"/>
          <w:sz w:val="24"/>
          <w:szCs w:val="24"/>
        </w:rPr>
        <w:sectPr w:rsidSect="00F208B6">
          <w:footerReference w:type="default" r:id="rId8"/>
          <w:pgSz w:w="12240" w:h="15840"/>
          <w:pgMar w:top="1440" w:right="1800" w:bottom="1440" w:left="1800" w:header="720" w:footer="720" w:gutter="0"/>
          <w:cols w:space="720"/>
          <w:docGrid w:linePitch="360"/>
        </w:sectPr>
      </w:pPr>
      <w:r w:rsidRPr="00D06FF1">
        <w:rPr>
          <w:rFonts w:ascii="Times New Roman" w:hAnsi="Times New Roman" w:cs="Times New Roman"/>
          <w:sz w:val="24"/>
          <w:szCs w:val="24"/>
        </w:rPr>
        <w:t>ASSIGNMENT OF ERROR NO. 3: The PUCO erred when it unlawfully and unreasonably failed to require the current standard choice offer or gas cost recovery rate to be printed on gas bills, which violates state policy in R.C. 4929.02 (A)(1).</w:t>
      </w:r>
    </w:p>
    <w:p w:rsidR="00F33FA5" w:rsidRPr="00D06FF1" w:rsidP="00D06FF1" w14:paraId="08C3D3F4" w14:textId="5BA6FAC6">
      <w:r w:rsidRPr="00D06FF1">
        <w:rPr>
          <w:rFonts w:ascii="Times New Roman" w:hAnsi="Times New Roman" w:cs="Times New Roman"/>
          <w:sz w:val="24"/>
          <w:szCs w:val="24"/>
        </w:rPr>
        <w:t>ASSIGNMENT OF ERROR NO. 4: The PUCO erred when it unreasonably failed to protect consumers by rejecting Staff’s and OCC’s recommendations to include a switching block provision to customer rights and obligations as a new rule O.A.C. 4901:1-13-12(G). This results in consumers having less education as to their rights and less ability to protect themselves against slamming.</w:t>
      </w:r>
    </w:p>
    <w:p w:rsidR="002506BD" w:rsidRPr="00D06FF1" w:rsidP="00D06FF1" w14:paraId="5EF58906" w14:textId="77777777"/>
    <w:p w:rsidR="00D25904" w:rsidRPr="00937028" w:rsidP="004F73BF" w14:paraId="551E8EEC" w14:textId="6C6C4386">
      <w:pPr>
        <w:widowControl w:val="0"/>
        <w:ind w:left="3600" w:firstLine="720"/>
        <w:rPr>
          <w:rFonts w:ascii="Times New Roman" w:hAnsi="Times New Roman" w:cs="Times New Roman"/>
          <w:sz w:val="24"/>
          <w:szCs w:val="24"/>
        </w:rPr>
      </w:pPr>
      <w:r w:rsidRPr="00862829">
        <w:rPr>
          <w:rFonts w:ascii="Times New Roman" w:hAnsi="Times New Roman" w:cs="Times New Roman"/>
          <w:sz w:val="24"/>
          <w:szCs w:val="24"/>
        </w:rPr>
        <w:t>Respectfully submitted,</w:t>
      </w:r>
    </w:p>
    <w:p w:rsidR="00AC33F3" w:rsidRPr="00E45058" w:rsidP="00AC33F3" w14:paraId="6DB1261B" w14:textId="77777777">
      <w:pPr>
        <w:pStyle w:val="Footer"/>
        <w:ind w:left="4320"/>
        <w:rPr>
          <w:rFonts w:ascii="Times New Roman" w:hAnsi="Times New Roman" w:cs="Times New Roman"/>
          <w:sz w:val="24"/>
          <w:szCs w:val="24"/>
        </w:rPr>
      </w:pPr>
      <w:bookmarkStart w:id="0" w:name="_Hlk14430722"/>
      <w:r w:rsidRPr="00E45058">
        <w:rPr>
          <w:rFonts w:ascii="Times New Roman" w:hAnsi="Times New Roman" w:cs="Times New Roman"/>
          <w:sz w:val="24"/>
          <w:szCs w:val="24"/>
        </w:rPr>
        <w:t>Bruce Weston (0016973)</w:t>
      </w:r>
    </w:p>
    <w:p w:rsidR="00AC33F3" w:rsidRPr="001C2A4D" w:rsidP="00AC33F3" w14:paraId="400FD451" w14:textId="77777777">
      <w:pPr>
        <w:tabs>
          <w:tab w:val="left" w:pos="4320"/>
        </w:tabs>
        <w:spacing w:after="0" w:line="240" w:lineRule="auto"/>
        <w:ind w:left="4320"/>
        <w:rPr>
          <w:rFonts w:ascii="Times New Roman" w:hAnsi="Times New Roman" w:cs="Times New Roman"/>
          <w:sz w:val="24"/>
          <w:szCs w:val="24"/>
        </w:rPr>
      </w:pPr>
      <w:r w:rsidRPr="001C2A4D">
        <w:rPr>
          <w:rFonts w:ascii="Times New Roman" w:hAnsi="Times New Roman" w:cs="Times New Roman"/>
          <w:sz w:val="24"/>
          <w:szCs w:val="24"/>
        </w:rPr>
        <w:t>Ohio Consumers’ Counsel</w:t>
      </w:r>
    </w:p>
    <w:p w:rsidR="00AC33F3" w:rsidRPr="00862829" w:rsidP="00AC33F3" w14:paraId="3A5100AB" w14:textId="77777777">
      <w:pPr>
        <w:tabs>
          <w:tab w:val="left" w:pos="4320"/>
        </w:tabs>
        <w:spacing w:after="0" w:line="240" w:lineRule="auto"/>
        <w:ind w:left="4320"/>
        <w:rPr>
          <w:rFonts w:ascii="Times New Roman" w:hAnsi="Times New Roman" w:cs="Times New Roman"/>
          <w:sz w:val="24"/>
          <w:szCs w:val="24"/>
        </w:rPr>
      </w:pPr>
    </w:p>
    <w:p w:rsidR="00CF7A6F" w:rsidRPr="00862829" w:rsidP="00AC33F3" w14:paraId="3F1CCA3F" w14:textId="67B14D61">
      <w:pPr>
        <w:tabs>
          <w:tab w:val="left" w:pos="4320"/>
        </w:tabs>
        <w:spacing w:after="0" w:line="240" w:lineRule="auto"/>
        <w:ind w:left="4320"/>
        <w:rPr>
          <w:rFonts w:ascii="Times New Roman" w:hAnsi="Times New Roman" w:cs="Times New Roman"/>
          <w:i/>
          <w:iCs/>
          <w:sz w:val="24"/>
          <w:szCs w:val="24"/>
          <w:u w:val="single"/>
        </w:rPr>
      </w:pPr>
      <w:r w:rsidRPr="00862829">
        <w:rPr>
          <w:rFonts w:ascii="Times New Roman" w:hAnsi="Times New Roman" w:cs="Times New Roman"/>
          <w:i/>
          <w:iCs/>
          <w:sz w:val="24"/>
          <w:szCs w:val="24"/>
          <w:u w:val="single"/>
        </w:rPr>
        <w:t>/s/ Ambrosia E. Wilson</w:t>
      </w:r>
    </w:p>
    <w:p w:rsidR="00AC33F3" w:rsidRPr="00862829" w:rsidP="00AC33F3" w14:paraId="50936069" w14:textId="1DA0DBCB">
      <w:pPr>
        <w:tabs>
          <w:tab w:val="left" w:pos="4320"/>
        </w:tabs>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Ambrosia E. Wilson (0096598)</w:t>
      </w:r>
    </w:p>
    <w:p w:rsidR="00AC33F3" w:rsidRPr="00862829" w:rsidP="00AC33F3" w14:paraId="40E67024" w14:textId="77777777">
      <w:pPr>
        <w:tabs>
          <w:tab w:val="left" w:pos="4320"/>
        </w:tabs>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 xml:space="preserve">Counsel of Record </w:t>
      </w:r>
    </w:p>
    <w:p w:rsidR="00AC33F3" w:rsidRPr="00862829" w:rsidP="00AC33F3" w14:paraId="6368E04E" w14:textId="77777777">
      <w:pPr>
        <w:tabs>
          <w:tab w:val="left" w:pos="4320"/>
        </w:tabs>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Assistant Consumers’ Counsel</w:t>
      </w:r>
    </w:p>
    <w:p w:rsidR="00AC33F3" w:rsidRPr="00862829" w:rsidP="00AC33F3" w14:paraId="4971F843" w14:textId="77777777">
      <w:pPr>
        <w:spacing w:after="0" w:line="240" w:lineRule="auto"/>
        <w:ind w:left="4320"/>
        <w:rPr>
          <w:rFonts w:ascii="Times New Roman" w:hAnsi="Times New Roman" w:cs="Times New Roman"/>
          <w:b/>
          <w:sz w:val="24"/>
          <w:szCs w:val="24"/>
        </w:rPr>
      </w:pPr>
    </w:p>
    <w:p w:rsidR="00AC33F3" w:rsidRPr="00862829" w:rsidP="00AC33F3" w14:paraId="344DF9B5" w14:textId="77777777">
      <w:pPr>
        <w:spacing w:after="0" w:line="240" w:lineRule="auto"/>
        <w:ind w:left="4320"/>
        <w:rPr>
          <w:rFonts w:ascii="Times New Roman" w:hAnsi="Times New Roman" w:cs="Times New Roman"/>
          <w:b/>
          <w:sz w:val="24"/>
          <w:szCs w:val="24"/>
        </w:rPr>
      </w:pPr>
      <w:r w:rsidRPr="00862829">
        <w:rPr>
          <w:rFonts w:ascii="Times New Roman" w:hAnsi="Times New Roman" w:cs="Times New Roman"/>
          <w:b/>
          <w:sz w:val="24"/>
          <w:szCs w:val="24"/>
        </w:rPr>
        <w:t>Office of the Ohio Consumers’ Counsel</w:t>
      </w:r>
    </w:p>
    <w:p w:rsidR="00AC33F3" w:rsidRPr="00862829" w:rsidP="00AC33F3" w14:paraId="2E7166A7" w14:textId="77777777">
      <w:pPr>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65 E. State Street, 7th Floor</w:t>
      </w:r>
    </w:p>
    <w:p w:rsidR="00AC33F3" w:rsidRPr="00862829" w:rsidP="00AC33F3" w14:paraId="4F7BDC99" w14:textId="77777777">
      <w:pPr>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Columbus, Ohio 43215-3485</w:t>
      </w:r>
    </w:p>
    <w:p w:rsidR="00AC33F3" w:rsidRPr="00862829" w:rsidP="00AC33F3" w14:paraId="5DCAC1CE" w14:textId="77777777">
      <w:pPr>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Telephone: 614-466-1292</w:t>
      </w:r>
    </w:p>
    <w:p w:rsidR="00AC33F3" w:rsidRPr="00862829" w:rsidP="00AC33F3" w14:paraId="4679EF13" w14:textId="77777777">
      <w:pPr>
        <w:spacing w:after="0" w:line="240" w:lineRule="auto"/>
        <w:ind w:left="4320"/>
        <w:rPr>
          <w:rFonts w:ascii="Times New Roman" w:hAnsi="Times New Roman" w:cs="Times New Roman"/>
          <w:color w:val="0000FF"/>
          <w:sz w:val="24"/>
          <w:szCs w:val="24"/>
        </w:rPr>
      </w:pPr>
      <w:hyperlink r:id="rId6" w:history="1">
        <w:r w:rsidRPr="00862829">
          <w:rPr>
            <w:rStyle w:val="Hyperlink"/>
            <w:rFonts w:ascii="Times New Roman" w:hAnsi="Times New Roman" w:cs="Times New Roman"/>
            <w:color w:val="0000FF"/>
            <w:sz w:val="24"/>
            <w:szCs w:val="24"/>
          </w:rPr>
          <w:t>Ambrosia.Wilson@occ.ohio.gov</w:t>
        </w:r>
      </w:hyperlink>
    </w:p>
    <w:p w:rsidR="00AC33F3" w:rsidRPr="00E45058" w:rsidP="00AC33F3" w14:paraId="4ED593AD" w14:textId="77777777">
      <w:pPr>
        <w:autoSpaceDE w:val="0"/>
        <w:autoSpaceDN w:val="0"/>
        <w:adjustRightInd w:val="0"/>
        <w:rPr>
          <w:rFonts w:ascii="Times New Roman" w:hAnsi="Times New Roman" w:cs="Times New Roman"/>
          <w:sz w:val="24"/>
          <w:szCs w:val="24"/>
        </w:rPr>
      </w:pPr>
      <w:r w:rsidRPr="00937028">
        <w:rPr>
          <w:rFonts w:ascii="Times New Roman" w:hAnsi="Times New Roman" w:cs="Times New Roman"/>
          <w:sz w:val="24"/>
          <w:szCs w:val="24"/>
        </w:rPr>
        <w:tab/>
      </w:r>
      <w:r w:rsidRPr="00937028">
        <w:rPr>
          <w:rFonts w:ascii="Times New Roman" w:hAnsi="Times New Roman" w:cs="Times New Roman"/>
          <w:sz w:val="24"/>
          <w:szCs w:val="24"/>
        </w:rPr>
        <w:tab/>
      </w:r>
      <w:r w:rsidRPr="00937028">
        <w:rPr>
          <w:rFonts w:ascii="Times New Roman" w:hAnsi="Times New Roman" w:cs="Times New Roman"/>
          <w:sz w:val="24"/>
          <w:szCs w:val="24"/>
        </w:rPr>
        <w:tab/>
      </w:r>
      <w:r w:rsidRPr="00937028">
        <w:rPr>
          <w:rFonts w:ascii="Times New Roman" w:hAnsi="Times New Roman" w:cs="Times New Roman"/>
          <w:sz w:val="24"/>
          <w:szCs w:val="24"/>
        </w:rPr>
        <w:tab/>
      </w:r>
      <w:r w:rsidRPr="00937028">
        <w:rPr>
          <w:rFonts w:ascii="Times New Roman" w:hAnsi="Times New Roman" w:cs="Times New Roman"/>
          <w:sz w:val="24"/>
          <w:szCs w:val="24"/>
        </w:rPr>
        <w:tab/>
      </w:r>
      <w:r w:rsidRPr="00937028">
        <w:rPr>
          <w:rFonts w:ascii="Times New Roman" w:hAnsi="Times New Roman" w:cs="Times New Roman"/>
          <w:sz w:val="24"/>
          <w:szCs w:val="24"/>
        </w:rPr>
        <w:tab/>
        <w:t>(willing to accept service by e-mail)</w:t>
      </w:r>
    </w:p>
    <w:p w:rsidR="00AC33F3" w:rsidRPr="00862829" w:rsidP="00EC6140" w14:paraId="0D77AFB8" w14:textId="5F5864D8">
      <w:pPr>
        <w:spacing w:after="0" w:line="240" w:lineRule="auto"/>
        <w:jc w:val="center"/>
        <w:rPr>
          <w:rFonts w:ascii="Times New Roman" w:hAnsi="Times New Roman" w:cs="Times New Roman"/>
          <w:b/>
          <w:bCs/>
          <w:sz w:val="24"/>
          <w:szCs w:val="24"/>
          <w:u w:val="single"/>
        </w:rPr>
        <w:sectPr w:rsidSect="00D06FF1">
          <w:footerReference w:type="default" r:id="rId9"/>
          <w:pgSz w:w="12240" w:h="15840"/>
          <w:pgMar w:top="1440" w:right="1800" w:bottom="1440" w:left="1800" w:header="720" w:footer="720" w:gutter="0"/>
          <w:pgNumType w:start="2"/>
          <w:cols w:space="720"/>
          <w:docGrid w:linePitch="360"/>
        </w:sectPr>
      </w:pPr>
    </w:p>
    <w:p w:rsidR="00EC6140" w:rsidRPr="00E45058" w:rsidP="00EC6140" w14:paraId="327D585B" w14:textId="54925946">
      <w:pPr>
        <w:spacing w:after="0" w:line="240" w:lineRule="auto"/>
        <w:jc w:val="center"/>
        <w:rPr>
          <w:rFonts w:ascii="Times New Roman" w:hAnsi="Times New Roman" w:cs="Times New Roman"/>
          <w:b/>
          <w:bCs/>
          <w:sz w:val="24"/>
          <w:szCs w:val="24"/>
          <w:u w:val="single"/>
        </w:rPr>
      </w:pPr>
      <w:r w:rsidRPr="00862829">
        <w:rPr>
          <w:rFonts w:ascii="Times New Roman" w:hAnsi="Times New Roman" w:cs="Times New Roman"/>
          <w:b/>
          <w:bCs/>
          <w:sz w:val="24"/>
          <w:szCs w:val="24"/>
          <w:u w:val="single"/>
        </w:rPr>
        <w:t xml:space="preserve">TABLE OF </w:t>
      </w:r>
      <w:r w:rsidRPr="00937028">
        <w:rPr>
          <w:rFonts w:ascii="Times New Roman" w:hAnsi="Times New Roman" w:cs="Times New Roman"/>
          <w:b/>
          <w:bCs/>
          <w:sz w:val="24"/>
          <w:szCs w:val="24"/>
          <w:u w:val="single"/>
        </w:rPr>
        <w:t>CONTENTS</w:t>
      </w:r>
    </w:p>
    <w:p w:rsidR="00EC6140" w:rsidRPr="001C2A4D" w:rsidP="00EC6140" w14:paraId="10942C70" w14:textId="1F7976F7">
      <w:pPr>
        <w:spacing w:after="0" w:line="240" w:lineRule="auto"/>
        <w:jc w:val="center"/>
        <w:rPr>
          <w:rFonts w:ascii="Times New Roman" w:hAnsi="Times New Roman" w:cs="Times New Roman"/>
          <w:sz w:val="24"/>
          <w:szCs w:val="24"/>
        </w:rPr>
      </w:pPr>
    </w:p>
    <w:p w:rsidR="00EC6140" w:rsidRPr="00862829" w:rsidP="00EC6140" w14:paraId="11D5B701" w14:textId="3646F548">
      <w:pPr>
        <w:spacing w:after="0" w:line="240" w:lineRule="auto"/>
        <w:jc w:val="center"/>
        <w:rPr>
          <w:rFonts w:ascii="Times New Roman" w:hAnsi="Times New Roman" w:cs="Times New Roman"/>
          <w:b/>
          <w:bCs/>
          <w:sz w:val="24"/>
          <w:szCs w:val="24"/>
        </w:rPr>
      </w:pP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b/>
          <w:bCs/>
          <w:sz w:val="24"/>
          <w:szCs w:val="24"/>
        </w:rPr>
        <w:t>PAGE</w:t>
      </w:r>
    </w:p>
    <w:p w:rsidR="00EC6140" w:rsidRPr="00862829" w:rsidP="00EC6140" w14:paraId="2E184D52" w14:textId="755AFF54">
      <w:pPr>
        <w:spacing w:after="0" w:line="240" w:lineRule="auto"/>
        <w:jc w:val="center"/>
        <w:rPr>
          <w:rFonts w:ascii="Times New Roman" w:hAnsi="Times New Roman" w:cs="Times New Roman"/>
          <w:b/>
          <w:bCs/>
          <w:sz w:val="24"/>
          <w:szCs w:val="24"/>
        </w:rPr>
      </w:pPr>
    </w:p>
    <w:p w:rsidR="0097783E" w14:paraId="668DC561" w14:textId="58282024">
      <w:pPr>
        <w:pStyle w:val="TOC1"/>
        <w:rPr>
          <w:rFonts w:asciiTheme="minorHAnsi" w:eastAsiaTheme="minorEastAsia" w:hAnsiTheme="minorHAnsi"/>
          <w:noProof/>
          <w:sz w:val="22"/>
        </w:rPr>
      </w:pPr>
      <w:r>
        <w:rPr>
          <w:rFonts w:cs="Times New Roman"/>
          <w:b/>
          <w:bCs/>
          <w:szCs w:val="24"/>
        </w:rPr>
        <w:fldChar w:fldCharType="begin"/>
      </w:r>
      <w:r>
        <w:rPr>
          <w:rFonts w:cs="Times New Roman"/>
          <w:b/>
          <w:bCs/>
          <w:szCs w:val="24"/>
        </w:rPr>
        <w:instrText xml:space="preserve"> TOC \o "1-3" \h \z \u </w:instrText>
      </w:r>
      <w:r>
        <w:rPr>
          <w:rFonts w:cs="Times New Roman"/>
          <w:b/>
          <w:bCs/>
          <w:szCs w:val="24"/>
        </w:rPr>
        <w:fldChar w:fldCharType="separate"/>
      </w:r>
      <w:hyperlink w:anchor="_Toc67671090" w:history="1">
        <w:r w:rsidRPr="009A7CA4">
          <w:rPr>
            <w:rStyle w:val="Hyperlink"/>
            <w:noProof/>
          </w:rPr>
          <w:t>I.</w:t>
        </w:r>
        <w:r>
          <w:rPr>
            <w:rFonts w:asciiTheme="minorHAnsi" w:eastAsiaTheme="minorEastAsia" w:hAnsiTheme="minorHAnsi"/>
            <w:noProof/>
            <w:sz w:val="22"/>
          </w:rPr>
          <w:tab/>
        </w:r>
        <w:r w:rsidRPr="009A7CA4">
          <w:rPr>
            <w:rStyle w:val="Hyperlink"/>
            <w:noProof/>
          </w:rPr>
          <w:t>INTRODUCTION</w:t>
        </w:r>
        <w:r>
          <w:rPr>
            <w:noProof/>
            <w:webHidden/>
          </w:rPr>
          <w:tab/>
        </w:r>
        <w:r>
          <w:rPr>
            <w:noProof/>
            <w:webHidden/>
          </w:rPr>
          <w:fldChar w:fldCharType="begin"/>
        </w:r>
        <w:r>
          <w:rPr>
            <w:noProof/>
            <w:webHidden/>
          </w:rPr>
          <w:instrText xml:space="preserve"> PAGEREF _Toc67671090 \h </w:instrText>
        </w:r>
        <w:r>
          <w:rPr>
            <w:noProof/>
            <w:webHidden/>
          </w:rPr>
          <w:fldChar w:fldCharType="separate"/>
        </w:r>
        <w:r>
          <w:rPr>
            <w:noProof/>
            <w:webHidden/>
          </w:rPr>
          <w:t>1</w:t>
        </w:r>
        <w:r>
          <w:rPr>
            <w:noProof/>
            <w:webHidden/>
          </w:rPr>
          <w:fldChar w:fldCharType="end"/>
        </w:r>
      </w:hyperlink>
    </w:p>
    <w:p w:rsidR="0097783E" w14:paraId="67DA07B5" w14:textId="54F25FA9">
      <w:pPr>
        <w:pStyle w:val="TOC1"/>
        <w:rPr>
          <w:rFonts w:asciiTheme="minorHAnsi" w:eastAsiaTheme="minorEastAsia" w:hAnsiTheme="minorHAnsi"/>
          <w:noProof/>
          <w:sz w:val="22"/>
        </w:rPr>
      </w:pPr>
      <w:hyperlink w:anchor="_Toc67671091" w:history="1">
        <w:r w:rsidRPr="009A7CA4">
          <w:rPr>
            <w:rStyle w:val="Hyperlink"/>
            <w:noProof/>
          </w:rPr>
          <w:t>II.</w:t>
        </w:r>
        <w:r>
          <w:rPr>
            <w:rFonts w:asciiTheme="minorHAnsi" w:eastAsiaTheme="minorEastAsia" w:hAnsiTheme="minorHAnsi"/>
            <w:noProof/>
            <w:sz w:val="22"/>
          </w:rPr>
          <w:tab/>
        </w:r>
        <w:r w:rsidRPr="009A7CA4">
          <w:rPr>
            <w:rStyle w:val="Hyperlink"/>
            <w:noProof/>
          </w:rPr>
          <w:t>MATTERS FOR REHEARING</w:t>
        </w:r>
        <w:r>
          <w:rPr>
            <w:noProof/>
            <w:webHidden/>
          </w:rPr>
          <w:tab/>
        </w:r>
        <w:r>
          <w:rPr>
            <w:noProof/>
            <w:webHidden/>
          </w:rPr>
          <w:fldChar w:fldCharType="begin"/>
        </w:r>
        <w:r>
          <w:rPr>
            <w:noProof/>
            <w:webHidden/>
          </w:rPr>
          <w:instrText xml:space="preserve"> PAGEREF _Toc67671091 \h </w:instrText>
        </w:r>
        <w:r>
          <w:rPr>
            <w:noProof/>
            <w:webHidden/>
          </w:rPr>
          <w:fldChar w:fldCharType="separate"/>
        </w:r>
        <w:r>
          <w:rPr>
            <w:noProof/>
            <w:webHidden/>
          </w:rPr>
          <w:t>2</w:t>
        </w:r>
        <w:r>
          <w:rPr>
            <w:noProof/>
            <w:webHidden/>
          </w:rPr>
          <w:fldChar w:fldCharType="end"/>
        </w:r>
      </w:hyperlink>
    </w:p>
    <w:p w:rsidR="0097783E" w14:paraId="3266930E" w14:textId="1D241ADA">
      <w:pPr>
        <w:pStyle w:val="TOC2"/>
        <w:rPr>
          <w:rFonts w:asciiTheme="minorHAnsi" w:eastAsiaTheme="minorEastAsia" w:hAnsiTheme="minorHAnsi"/>
          <w:noProof/>
          <w:sz w:val="22"/>
        </w:rPr>
      </w:pPr>
      <w:hyperlink w:anchor="_Toc67671092" w:history="1">
        <w:r w:rsidRPr="009A7CA4">
          <w:rPr>
            <w:rStyle w:val="Hyperlink"/>
            <w:noProof/>
          </w:rPr>
          <w:t>ASSIGNMENT OF ERROR NO. 1: The PUCO erred when it unlawfully failed to adopt OCC’s “shadow-billing” proposal for two reasons.</w:t>
        </w:r>
        <w:r>
          <w:rPr>
            <w:noProof/>
            <w:webHidden/>
          </w:rPr>
          <w:tab/>
        </w:r>
        <w:r>
          <w:rPr>
            <w:noProof/>
            <w:webHidden/>
          </w:rPr>
          <w:fldChar w:fldCharType="begin"/>
        </w:r>
        <w:r>
          <w:rPr>
            <w:noProof/>
            <w:webHidden/>
          </w:rPr>
          <w:instrText xml:space="preserve"> PAGEREF _Toc67671092 \h </w:instrText>
        </w:r>
        <w:r>
          <w:rPr>
            <w:noProof/>
            <w:webHidden/>
          </w:rPr>
          <w:fldChar w:fldCharType="separate"/>
        </w:r>
        <w:r>
          <w:rPr>
            <w:noProof/>
            <w:webHidden/>
          </w:rPr>
          <w:t>2</w:t>
        </w:r>
        <w:r>
          <w:rPr>
            <w:noProof/>
            <w:webHidden/>
          </w:rPr>
          <w:fldChar w:fldCharType="end"/>
        </w:r>
      </w:hyperlink>
    </w:p>
    <w:p w:rsidR="0097783E" w14:paraId="242453EF" w14:textId="622C07F8">
      <w:pPr>
        <w:pStyle w:val="TOC3"/>
        <w:tabs>
          <w:tab w:val="left" w:pos="1440"/>
        </w:tabs>
        <w:rPr>
          <w:rFonts w:asciiTheme="minorHAnsi" w:eastAsiaTheme="minorEastAsia" w:hAnsiTheme="minorHAnsi"/>
          <w:noProof/>
          <w:sz w:val="22"/>
        </w:rPr>
      </w:pPr>
      <w:hyperlink w:anchor="_Toc67671093" w:history="1">
        <w:r w:rsidRPr="009A7CA4">
          <w:rPr>
            <w:rStyle w:val="Hyperlink"/>
            <w:noProof/>
          </w:rPr>
          <w:t>A.</w:t>
        </w:r>
        <w:r>
          <w:rPr>
            <w:rFonts w:asciiTheme="minorHAnsi" w:eastAsiaTheme="minorEastAsia" w:hAnsiTheme="minorHAnsi"/>
            <w:noProof/>
            <w:sz w:val="22"/>
          </w:rPr>
          <w:tab/>
        </w:r>
        <w:r w:rsidRPr="009A7CA4">
          <w:rPr>
            <w:rStyle w:val="Hyperlink"/>
            <w:noProof/>
          </w:rPr>
          <w:t>The PUCO erred when it based its decision to reject OCC’s “shadow-billing” proposal on the Utilities’ and marketers assertion that it would require “significant billing system changes” and without any record evidence of what the changes would be and what the associated costs of the changes would be. This violates R.C. 4903.09 and the Ohio Supreme Court precedent in Tongren</w:t>
        </w:r>
        <w:r>
          <w:rPr>
            <w:rStyle w:val="Hyperlink"/>
            <w:noProof/>
          </w:rPr>
          <w:t>……………………………………………….</w:t>
        </w:r>
        <w:r>
          <w:rPr>
            <w:noProof/>
            <w:webHidden/>
          </w:rPr>
          <w:fldChar w:fldCharType="begin"/>
        </w:r>
        <w:r>
          <w:rPr>
            <w:noProof/>
            <w:webHidden/>
          </w:rPr>
          <w:instrText xml:space="preserve"> PAGEREF _Toc67671093 \h </w:instrText>
        </w:r>
        <w:r>
          <w:rPr>
            <w:noProof/>
            <w:webHidden/>
          </w:rPr>
          <w:fldChar w:fldCharType="separate"/>
        </w:r>
        <w:r>
          <w:rPr>
            <w:noProof/>
            <w:webHidden/>
          </w:rPr>
          <w:t>2</w:t>
        </w:r>
        <w:r>
          <w:rPr>
            <w:noProof/>
            <w:webHidden/>
          </w:rPr>
          <w:fldChar w:fldCharType="end"/>
        </w:r>
      </w:hyperlink>
    </w:p>
    <w:p w:rsidR="0097783E" w14:paraId="20B4B51E" w14:textId="264BC636">
      <w:pPr>
        <w:pStyle w:val="TOC3"/>
        <w:tabs>
          <w:tab w:val="left" w:pos="1440"/>
        </w:tabs>
        <w:rPr>
          <w:rFonts w:asciiTheme="minorHAnsi" w:eastAsiaTheme="minorEastAsia" w:hAnsiTheme="minorHAnsi"/>
          <w:noProof/>
          <w:sz w:val="22"/>
        </w:rPr>
      </w:pPr>
      <w:hyperlink w:anchor="_Toc67671094" w:history="1">
        <w:r w:rsidRPr="009A7CA4">
          <w:rPr>
            <w:rStyle w:val="Hyperlink"/>
            <w:noProof/>
          </w:rPr>
          <w:t>B.</w:t>
        </w:r>
        <w:r>
          <w:rPr>
            <w:rFonts w:asciiTheme="minorHAnsi" w:eastAsiaTheme="minorEastAsia" w:hAnsiTheme="minorHAnsi"/>
            <w:noProof/>
            <w:sz w:val="22"/>
          </w:rPr>
          <w:tab/>
        </w:r>
        <w:r w:rsidRPr="009A7CA4">
          <w:rPr>
            <w:rStyle w:val="Hyperlink"/>
            <w:noProof/>
          </w:rPr>
          <w:t>The PUCO also erred when it unreasonably found that “there are a number of existing resources, such as the Commissions’ Energy Choice Ohio website, that provide substantial amount of information for customers to compare pricing and available offers.”</w:t>
        </w:r>
        <w:r>
          <w:rPr>
            <w:rStyle w:val="Hyperlink"/>
            <w:noProof/>
          </w:rPr>
          <w:t>……………………………………</w:t>
        </w:r>
        <w:r>
          <w:rPr>
            <w:noProof/>
            <w:webHidden/>
          </w:rPr>
          <w:fldChar w:fldCharType="begin"/>
        </w:r>
        <w:r>
          <w:rPr>
            <w:noProof/>
            <w:webHidden/>
          </w:rPr>
          <w:instrText xml:space="preserve"> PAGEREF _Toc67671094 \h </w:instrText>
        </w:r>
        <w:r>
          <w:rPr>
            <w:noProof/>
            <w:webHidden/>
          </w:rPr>
          <w:fldChar w:fldCharType="separate"/>
        </w:r>
        <w:r>
          <w:rPr>
            <w:noProof/>
            <w:webHidden/>
          </w:rPr>
          <w:t>5</w:t>
        </w:r>
        <w:r>
          <w:rPr>
            <w:noProof/>
            <w:webHidden/>
          </w:rPr>
          <w:fldChar w:fldCharType="end"/>
        </w:r>
      </w:hyperlink>
    </w:p>
    <w:p w:rsidR="0097783E" w14:paraId="4F9509B4" w14:textId="6AC8A1AC">
      <w:pPr>
        <w:pStyle w:val="TOC2"/>
        <w:rPr>
          <w:rFonts w:asciiTheme="minorHAnsi" w:eastAsiaTheme="minorEastAsia" w:hAnsiTheme="minorHAnsi"/>
          <w:noProof/>
          <w:sz w:val="22"/>
        </w:rPr>
      </w:pPr>
      <w:hyperlink w:anchor="_Toc67671095" w:history="1">
        <w:r w:rsidRPr="009A7CA4">
          <w:rPr>
            <w:rStyle w:val="Hyperlink"/>
            <w:noProof/>
          </w:rPr>
          <w:t>ASSIGNMENT OF ERROR NO. 2: The PUCO erred when it unreasonably failed to protect consumers by rejecting Staff’s recommendation to amend O.A.C. 4901:1-13-01 to define the term “commodity charge,” and by rejecting Staff’s recommendation to amend O.A.C. 4901:1-13-1 (K) to only include “commodity” charges on regulated natural gas bills.</w:t>
        </w:r>
        <w:r>
          <w:rPr>
            <w:noProof/>
            <w:webHidden/>
          </w:rPr>
          <w:tab/>
        </w:r>
        <w:r>
          <w:rPr>
            <w:noProof/>
            <w:webHidden/>
          </w:rPr>
          <w:fldChar w:fldCharType="begin"/>
        </w:r>
        <w:r>
          <w:rPr>
            <w:noProof/>
            <w:webHidden/>
          </w:rPr>
          <w:instrText xml:space="preserve"> PAGEREF _Toc67671095 \h </w:instrText>
        </w:r>
        <w:r>
          <w:rPr>
            <w:noProof/>
            <w:webHidden/>
          </w:rPr>
          <w:fldChar w:fldCharType="separate"/>
        </w:r>
        <w:r>
          <w:rPr>
            <w:noProof/>
            <w:webHidden/>
          </w:rPr>
          <w:t>7</w:t>
        </w:r>
        <w:r>
          <w:rPr>
            <w:noProof/>
            <w:webHidden/>
          </w:rPr>
          <w:fldChar w:fldCharType="end"/>
        </w:r>
      </w:hyperlink>
    </w:p>
    <w:p w:rsidR="0097783E" w14:paraId="23A21503" w14:textId="68D90356">
      <w:pPr>
        <w:pStyle w:val="TOC3"/>
        <w:tabs>
          <w:tab w:val="left" w:pos="1440"/>
        </w:tabs>
        <w:rPr>
          <w:rFonts w:asciiTheme="minorHAnsi" w:eastAsiaTheme="minorEastAsia" w:hAnsiTheme="minorHAnsi"/>
          <w:noProof/>
          <w:sz w:val="22"/>
        </w:rPr>
      </w:pPr>
      <w:hyperlink w:anchor="_Toc67671096" w:history="1">
        <w:r w:rsidRPr="009A7CA4">
          <w:rPr>
            <w:rStyle w:val="Hyperlink"/>
            <w:noProof/>
          </w:rPr>
          <w:t>A.</w:t>
        </w:r>
        <w:r>
          <w:rPr>
            <w:rFonts w:asciiTheme="minorHAnsi" w:eastAsiaTheme="minorEastAsia" w:hAnsiTheme="minorHAnsi"/>
            <w:noProof/>
            <w:sz w:val="22"/>
          </w:rPr>
          <w:tab/>
        </w:r>
        <w:r w:rsidRPr="009A7CA4">
          <w:rPr>
            <w:rStyle w:val="Hyperlink"/>
            <w:noProof/>
          </w:rPr>
          <w:t>The PUCO erred when it unreasonably failed to protect consumers by rejecting Staff’s proposal that O.A.C. 4901:1-13-01 definitions should include the term “commodity charge” (Staff only proposed that a definition was needed, but did not propose any wording to define the term)</w:t>
        </w:r>
        <w:r>
          <w:rPr>
            <w:rStyle w:val="Hyperlink"/>
            <w:noProof/>
          </w:rPr>
          <w:t>……………………………………………………………………….</w:t>
        </w:r>
        <w:r>
          <w:rPr>
            <w:noProof/>
            <w:webHidden/>
          </w:rPr>
          <w:fldChar w:fldCharType="begin"/>
        </w:r>
        <w:r>
          <w:rPr>
            <w:noProof/>
            <w:webHidden/>
          </w:rPr>
          <w:instrText xml:space="preserve"> PAGEREF _Toc67671096 \h </w:instrText>
        </w:r>
        <w:r>
          <w:rPr>
            <w:noProof/>
            <w:webHidden/>
          </w:rPr>
          <w:fldChar w:fldCharType="separate"/>
        </w:r>
        <w:r>
          <w:rPr>
            <w:noProof/>
            <w:webHidden/>
          </w:rPr>
          <w:t>7</w:t>
        </w:r>
        <w:r>
          <w:rPr>
            <w:noProof/>
            <w:webHidden/>
          </w:rPr>
          <w:fldChar w:fldCharType="end"/>
        </w:r>
      </w:hyperlink>
    </w:p>
    <w:p w:rsidR="0097783E" w14:paraId="1C0CC6AB" w14:textId="3284BECC">
      <w:pPr>
        <w:pStyle w:val="TOC3"/>
        <w:tabs>
          <w:tab w:val="left" w:pos="1440"/>
        </w:tabs>
        <w:rPr>
          <w:rFonts w:asciiTheme="minorHAnsi" w:eastAsiaTheme="minorEastAsia" w:hAnsiTheme="minorHAnsi"/>
          <w:noProof/>
          <w:sz w:val="22"/>
        </w:rPr>
      </w:pPr>
      <w:hyperlink w:anchor="_Toc67671097" w:history="1">
        <w:r w:rsidRPr="009A7CA4">
          <w:rPr>
            <w:rStyle w:val="Hyperlink"/>
            <w:noProof/>
          </w:rPr>
          <w:t>B.</w:t>
        </w:r>
        <w:r>
          <w:rPr>
            <w:rFonts w:asciiTheme="minorHAnsi" w:eastAsiaTheme="minorEastAsia" w:hAnsiTheme="minorHAnsi"/>
            <w:noProof/>
            <w:sz w:val="22"/>
          </w:rPr>
          <w:tab/>
        </w:r>
        <w:r w:rsidRPr="009A7CA4">
          <w:rPr>
            <w:rStyle w:val="Hyperlink"/>
            <w:noProof/>
          </w:rPr>
          <w:t>The PUCO unreasonably failed to protect consumers by refusing to adopt the Staff’s proposed new rule in O.A.C. 4901:1-13-11(K)</w:t>
        </w:r>
        <w:r>
          <w:rPr>
            <w:rStyle w:val="Hyperlink"/>
            <w:noProof/>
          </w:rPr>
          <w:t>………………..</w:t>
        </w:r>
        <w:r>
          <w:rPr>
            <w:noProof/>
            <w:webHidden/>
          </w:rPr>
          <w:fldChar w:fldCharType="begin"/>
        </w:r>
        <w:r>
          <w:rPr>
            <w:noProof/>
            <w:webHidden/>
          </w:rPr>
          <w:instrText xml:space="preserve"> PAGEREF _Toc67671097 \h </w:instrText>
        </w:r>
        <w:r>
          <w:rPr>
            <w:noProof/>
            <w:webHidden/>
          </w:rPr>
          <w:fldChar w:fldCharType="separate"/>
        </w:r>
        <w:r>
          <w:rPr>
            <w:noProof/>
            <w:webHidden/>
          </w:rPr>
          <w:t>8</w:t>
        </w:r>
        <w:r>
          <w:rPr>
            <w:noProof/>
            <w:webHidden/>
          </w:rPr>
          <w:fldChar w:fldCharType="end"/>
        </w:r>
      </w:hyperlink>
    </w:p>
    <w:p w:rsidR="0097783E" w14:paraId="312E58E7" w14:textId="24480AA1">
      <w:pPr>
        <w:pStyle w:val="TOC2"/>
        <w:rPr>
          <w:rFonts w:asciiTheme="minorHAnsi" w:eastAsiaTheme="minorEastAsia" w:hAnsiTheme="minorHAnsi"/>
          <w:noProof/>
          <w:sz w:val="22"/>
        </w:rPr>
      </w:pPr>
      <w:hyperlink w:anchor="_Toc67671098" w:history="1">
        <w:r w:rsidRPr="009A7CA4">
          <w:rPr>
            <w:rStyle w:val="Hyperlink"/>
            <w:noProof/>
          </w:rPr>
          <w:t>ASSIGNMENT OF ERROR NO. 3: The PUCO erred when it unlawfully and unreasonably failed to require the current standard choice offer or gas cost recovery rate to be printed on gas bills, which violates state policy in R.C. 4929.02 (A)(1).</w:t>
        </w:r>
        <w:r>
          <w:rPr>
            <w:noProof/>
            <w:webHidden/>
          </w:rPr>
          <w:tab/>
        </w:r>
        <w:r>
          <w:rPr>
            <w:noProof/>
            <w:webHidden/>
          </w:rPr>
          <w:fldChar w:fldCharType="begin"/>
        </w:r>
        <w:r>
          <w:rPr>
            <w:noProof/>
            <w:webHidden/>
          </w:rPr>
          <w:instrText xml:space="preserve"> PAGEREF _Toc67671098 \h </w:instrText>
        </w:r>
        <w:r>
          <w:rPr>
            <w:noProof/>
            <w:webHidden/>
          </w:rPr>
          <w:fldChar w:fldCharType="separate"/>
        </w:r>
        <w:r>
          <w:rPr>
            <w:noProof/>
            <w:webHidden/>
          </w:rPr>
          <w:t>10</w:t>
        </w:r>
        <w:r>
          <w:rPr>
            <w:noProof/>
            <w:webHidden/>
          </w:rPr>
          <w:fldChar w:fldCharType="end"/>
        </w:r>
      </w:hyperlink>
    </w:p>
    <w:p w:rsidR="0097783E" w14:paraId="5A155408" w14:textId="25F744FC">
      <w:pPr>
        <w:pStyle w:val="TOC2"/>
        <w:rPr>
          <w:rFonts w:asciiTheme="minorHAnsi" w:eastAsiaTheme="minorEastAsia" w:hAnsiTheme="minorHAnsi"/>
          <w:noProof/>
          <w:sz w:val="22"/>
        </w:rPr>
      </w:pPr>
      <w:hyperlink w:anchor="_Toc67671099" w:history="1">
        <w:r w:rsidRPr="009A7CA4">
          <w:rPr>
            <w:rStyle w:val="Hyperlink"/>
            <w:noProof/>
          </w:rPr>
          <w:t>ASSIGNMENT OF ERROR NO. 4: The PUCO erred when it unreasonably failed to protect consumers by rejecting Staff’s and OCC’s recommendations to include a switching block provision to customer rights and obligations as a new rule O.A.C. 4901:1-13-12(G). This results in consumers having less education as to their rights and less ability to protect themselves against slamming.</w:t>
        </w:r>
        <w:r>
          <w:rPr>
            <w:noProof/>
            <w:webHidden/>
          </w:rPr>
          <w:tab/>
        </w:r>
        <w:r>
          <w:rPr>
            <w:noProof/>
            <w:webHidden/>
          </w:rPr>
          <w:fldChar w:fldCharType="begin"/>
        </w:r>
        <w:r>
          <w:rPr>
            <w:noProof/>
            <w:webHidden/>
          </w:rPr>
          <w:instrText xml:space="preserve"> PAGEREF _Toc67671099 \h </w:instrText>
        </w:r>
        <w:r>
          <w:rPr>
            <w:noProof/>
            <w:webHidden/>
          </w:rPr>
          <w:fldChar w:fldCharType="separate"/>
        </w:r>
        <w:r>
          <w:rPr>
            <w:noProof/>
            <w:webHidden/>
          </w:rPr>
          <w:t>11</w:t>
        </w:r>
        <w:r>
          <w:rPr>
            <w:noProof/>
            <w:webHidden/>
          </w:rPr>
          <w:fldChar w:fldCharType="end"/>
        </w:r>
      </w:hyperlink>
    </w:p>
    <w:p w:rsidR="0097783E" w14:paraId="7F45A6FF" w14:textId="09B8024B">
      <w:pPr>
        <w:pStyle w:val="TOC1"/>
        <w:rPr>
          <w:rFonts w:asciiTheme="minorHAnsi" w:eastAsiaTheme="minorEastAsia" w:hAnsiTheme="minorHAnsi"/>
          <w:noProof/>
          <w:sz w:val="22"/>
        </w:rPr>
      </w:pPr>
      <w:hyperlink w:anchor="_Toc67671100" w:history="1">
        <w:r w:rsidRPr="009A7CA4">
          <w:rPr>
            <w:rStyle w:val="Hyperlink"/>
            <w:noProof/>
          </w:rPr>
          <w:t>III.</w:t>
        </w:r>
        <w:r>
          <w:rPr>
            <w:rFonts w:asciiTheme="minorHAnsi" w:eastAsiaTheme="minorEastAsia" w:hAnsiTheme="minorHAnsi"/>
            <w:noProof/>
            <w:sz w:val="22"/>
          </w:rPr>
          <w:tab/>
        </w:r>
        <w:r w:rsidRPr="009A7CA4">
          <w:rPr>
            <w:rStyle w:val="Hyperlink"/>
            <w:noProof/>
          </w:rPr>
          <w:t>CONCLUSION</w:t>
        </w:r>
        <w:r>
          <w:rPr>
            <w:noProof/>
            <w:webHidden/>
          </w:rPr>
          <w:tab/>
        </w:r>
        <w:r>
          <w:rPr>
            <w:noProof/>
            <w:webHidden/>
          </w:rPr>
          <w:fldChar w:fldCharType="begin"/>
        </w:r>
        <w:r>
          <w:rPr>
            <w:noProof/>
            <w:webHidden/>
          </w:rPr>
          <w:instrText xml:space="preserve"> PAGEREF _Toc67671100 \h </w:instrText>
        </w:r>
        <w:r>
          <w:rPr>
            <w:noProof/>
            <w:webHidden/>
          </w:rPr>
          <w:fldChar w:fldCharType="separate"/>
        </w:r>
        <w:r>
          <w:rPr>
            <w:noProof/>
            <w:webHidden/>
          </w:rPr>
          <w:t>12</w:t>
        </w:r>
        <w:r>
          <w:rPr>
            <w:noProof/>
            <w:webHidden/>
          </w:rPr>
          <w:fldChar w:fldCharType="end"/>
        </w:r>
      </w:hyperlink>
    </w:p>
    <w:p w:rsidR="004F2AB7" w:rsidRPr="00862829" w:rsidP="00AD52A4" w14:paraId="3D95394D" w14:textId="2E247AA6">
      <w:pPr>
        <w:spacing w:after="0" w:line="240" w:lineRule="auto"/>
        <w:jc w:val="center"/>
        <w:rPr>
          <w:rFonts w:ascii="Times New Roman" w:hAnsi="Times New Roman" w:cs="Times New Roman"/>
          <w:sz w:val="24"/>
          <w:szCs w:val="24"/>
        </w:rPr>
        <w:sectPr w:rsidSect="00A913B9">
          <w:headerReference w:type="default" r:id="rId10"/>
          <w:pgSz w:w="12240" w:h="15840"/>
          <w:pgMar w:top="1440" w:right="1800" w:bottom="1440" w:left="1800" w:header="720" w:footer="720" w:gutter="0"/>
          <w:pgNumType w:fmt="lowerRoman" w:start="1"/>
          <w:cols w:space="720"/>
          <w:docGrid w:linePitch="360"/>
        </w:sectPr>
      </w:pPr>
      <w:r>
        <w:rPr>
          <w:rFonts w:ascii="Times New Roman" w:hAnsi="Times New Roman" w:cs="Times New Roman"/>
          <w:b/>
          <w:bCs/>
          <w:sz w:val="24"/>
          <w:szCs w:val="24"/>
        </w:rPr>
        <w:fldChar w:fldCharType="end"/>
      </w:r>
    </w:p>
    <w:bookmarkEnd w:id="0"/>
    <w:p w:rsidR="00CA63A9" w:rsidRPr="00937028" w:rsidP="00CA63A9" w14:paraId="5328746A" w14:textId="77777777">
      <w:pPr>
        <w:spacing w:after="0" w:line="240" w:lineRule="auto"/>
        <w:jc w:val="center"/>
        <w:rPr>
          <w:rFonts w:ascii="Times New Roman" w:eastAsia="Calibri" w:hAnsi="Times New Roman" w:cs="Times New Roman"/>
          <w:b/>
          <w:bCs/>
          <w:sz w:val="24"/>
          <w:szCs w:val="24"/>
        </w:rPr>
      </w:pPr>
      <w:r w:rsidRPr="00862829">
        <w:rPr>
          <w:rFonts w:ascii="Times New Roman" w:eastAsia="Calibri" w:hAnsi="Times New Roman" w:cs="Times New Roman"/>
          <w:b/>
          <w:bCs/>
          <w:sz w:val="24"/>
          <w:szCs w:val="24"/>
        </w:rPr>
        <w:t>BEFORE</w:t>
      </w:r>
    </w:p>
    <w:p w:rsidR="00CA63A9" w:rsidRPr="00E45058" w:rsidP="00CA63A9" w14:paraId="5206F30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937028">
        <w:rPr>
          <w:rFonts w:ascii="Times New Roman" w:eastAsia="Calibri" w:hAnsi="Times New Roman" w:cs="Times New Roman"/>
          <w:b/>
          <w:bCs/>
          <w:sz w:val="24"/>
          <w:szCs w:val="24"/>
        </w:rPr>
        <w:t>THE PUBLIC UTILITIES COMMISSION OF OHIO</w:t>
      </w:r>
    </w:p>
    <w:p w:rsidR="00CA63A9" w:rsidRPr="001C2A4D" w:rsidP="00CA63A9" w14:paraId="6FA547C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8640" w:type="dxa"/>
        <w:tblLayout w:type="fixed"/>
        <w:tblLook w:val="01E0"/>
      </w:tblPr>
      <w:tblGrid>
        <w:gridCol w:w="4230"/>
        <w:gridCol w:w="462"/>
        <w:gridCol w:w="3948"/>
      </w:tblGrid>
      <w:tr w14:paraId="370E1459" w14:textId="77777777" w:rsidTr="00945FC4">
        <w:tblPrEx>
          <w:tblW w:w="8640" w:type="dxa"/>
          <w:tblLayout w:type="fixed"/>
          <w:tblLook w:val="01E0"/>
        </w:tblPrEx>
        <w:trPr>
          <w:trHeight w:val="807"/>
        </w:trPr>
        <w:tc>
          <w:tcPr>
            <w:tcW w:w="4230" w:type="dxa"/>
            <w:tcMar>
              <w:left w:w="108" w:type="dxa"/>
              <w:right w:w="108" w:type="dxa"/>
            </w:tcMar>
          </w:tcPr>
          <w:p w:rsidR="00CF3558" w:rsidRPr="00862829" w:rsidP="00431E6E" w14:paraId="0F34F75E"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In the Matter of the Commission’s Review of the Minimum Gas Service Standards in Chapter 4901:1-13 of the Ohio Administrative Code.</w:t>
            </w:r>
          </w:p>
        </w:tc>
        <w:tc>
          <w:tcPr>
            <w:tcW w:w="462" w:type="dxa"/>
            <w:tcMar>
              <w:left w:w="108" w:type="dxa"/>
              <w:right w:w="108" w:type="dxa"/>
            </w:tcMar>
          </w:tcPr>
          <w:p w:rsidR="00CF3558" w:rsidRPr="00862829" w:rsidP="00431E6E" w14:paraId="7E028884"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w:t>
            </w:r>
          </w:p>
          <w:p w:rsidR="00CF3558" w:rsidRPr="00862829" w:rsidP="00431E6E" w14:paraId="423C3912"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w:t>
            </w:r>
          </w:p>
          <w:p w:rsidR="00CF3558" w:rsidRPr="00862829" w:rsidP="00431E6E" w14:paraId="1B6650F7"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w:t>
            </w:r>
          </w:p>
          <w:p w:rsidR="00CF3558" w:rsidRPr="00862829" w:rsidP="00431E6E" w14:paraId="3F3CDD03"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w:t>
            </w:r>
          </w:p>
        </w:tc>
        <w:tc>
          <w:tcPr>
            <w:tcW w:w="3948" w:type="dxa"/>
            <w:tcMar>
              <w:left w:w="108" w:type="dxa"/>
              <w:right w:w="108" w:type="dxa"/>
            </w:tcMar>
          </w:tcPr>
          <w:p w:rsidR="00CF3558" w:rsidRPr="00862829" w:rsidP="00431E6E" w14:paraId="1CF7884B" w14:textId="77777777">
            <w:pPr>
              <w:pStyle w:val="HTMLPreformatted"/>
              <w:rPr>
                <w:rFonts w:ascii="Times New Roman" w:hAnsi="Times New Roman" w:cs="Times New Roman"/>
                <w:sz w:val="24"/>
                <w:szCs w:val="24"/>
              </w:rPr>
            </w:pPr>
          </w:p>
          <w:p w:rsidR="00CF3558" w:rsidRPr="00862829" w:rsidP="00431E6E" w14:paraId="5F3474AB" w14:textId="77777777">
            <w:pPr>
              <w:pStyle w:val="HTMLPreformatted"/>
              <w:rPr>
                <w:rFonts w:ascii="Times New Roman" w:hAnsi="Times New Roman" w:cs="Times New Roman"/>
                <w:sz w:val="24"/>
                <w:szCs w:val="24"/>
              </w:rPr>
            </w:pPr>
            <w:r w:rsidRPr="00862829">
              <w:rPr>
                <w:rFonts w:ascii="Times New Roman" w:hAnsi="Times New Roman" w:cs="Times New Roman"/>
                <w:sz w:val="24"/>
                <w:szCs w:val="24"/>
              </w:rPr>
              <w:t>Case No. 19-1429-GA-ORD</w:t>
            </w:r>
          </w:p>
          <w:p w:rsidR="00CF3558" w:rsidRPr="00862829" w:rsidP="00431E6E" w14:paraId="7A6CB2A3" w14:textId="77777777">
            <w:pPr>
              <w:pStyle w:val="HTMLPreformatted"/>
              <w:rPr>
                <w:rFonts w:ascii="Times New Roman" w:hAnsi="Times New Roman" w:cs="Times New Roman"/>
                <w:sz w:val="24"/>
                <w:szCs w:val="24"/>
              </w:rPr>
            </w:pPr>
          </w:p>
        </w:tc>
      </w:tr>
    </w:tbl>
    <w:p w:rsidR="0099412E" w:rsidRPr="00862829" w:rsidP="0099412E" w14:paraId="0E13689A"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99412E" w:rsidRPr="00937028" w:rsidP="0099412E" w14:paraId="19A08442" w14:textId="77777777">
      <w:pPr>
        <w:autoSpaceDE w:val="0"/>
        <w:autoSpaceDN w:val="0"/>
        <w:adjustRightInd w:val="0"/>
        <w:spacing w:after="0" w:line="240" w:lineRule="auto"/>
        <w:rPr>
          <w:rFonts w:ascii="Times New Roman" w:eastAsia="Calibri" w:hAnsi="Times New Roman" w:cs="Times New Roman"/>
          <w:sz w:val="24"/>
          <w:szCs w:val="24"/>
        </w:rPr>
      </w:pPr>
    </w:p>
    <w:p w:rsidR="00644C4A" w:rsidRPr="00080966" w:rsidP="00644C4A" w14:paraId="7062CB35" w14:textId="639B5691">
      <w:pPr>
        <w:widowControl w:val="0"/>
        <w:spacing w:after="0" w:line="240" w:lineRule="auto"/>
        <w:jc w:val="center"/>
        <w:rPr>
          <w:rFonts w:ascii="Times New Roman" w:hAnsi="Times New Roman" w:cs="Times New Roman"/>
          <w:b/>
          <w:sz w:val="24"/>
          <w:szCs w:val="24"/>
        </w:rPr>
      </w:pPr>
      <w:r w:rsidRPr="00E45058">
        <w:rPr>
          <w:rFonts w:ascii="Times New Roman" w:hAnsi="Times New Roman" w:cs="Times New Roman"/>
          <w:b/>
          <w:sz w:val="24"/>
          <w:szCs w:val="24"/>
        </w:rPr>
        <w:t xml:space="preserve">MEMORANDUM </w:t>
      </w:r>
      <w:r w:rsidRPr="00E45058" w:rsidR="00B74A62">
        <w:rPr>
          <w:rFonts w:ascii="Times New Roman" w:hAnsi="Times New Roman" w:cs="Times New Roman"/>
          <w:b/>
          <w:sz w:val="24"/>
          <w:szCs w:val="24"/>
        </w:rPr>
        <w:t xml:space="preserve">IN </w:t>
      </w:r>
      <w:r w:rsidRPr="001C2A4D" w:rsidR="00894148">
        <w:rPr>
          <w:rFonts w:ascii="Times New Roman" w:hAnsi="Times New Roman" w:cs="Times New Roman"/>
          <w:b/>
          <w:sz w:val="24"/>
          <w:szCs w:val="24"/>
        </w:rPr>
        <w:t>SUPPORT</w:t>
      </w:r>
    </w:p>
    <w:p w:rsidR="0099412E" w:rsidRPr="00862829" w:rsidP="0099412E" w14:paraId="6D6042F6"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141BD6" w:rsidRPr="00862829" w:rsidP="00F974A3" w14:paraId="0E007FF8" w14:textId="6574FDD8">
      <w:pPr>
        <w:pStyle w:val="Heading1"/>
      </w:pPr>
      <w:bookmarkStart w:id="1" w:name="_Toc57629876"/>
      <w:bookmarkStart w:id="2" w:name="_Toc67669759"/>
      <w:bookmarkStart w:id="3" w:name="_Toc67670093"/>
      <w:bookmarkStart w:id="4" w:name="_Toc67671090"/>
      <w:r w:rsidRPr="00862829">
        <w:t>I.</w:t>
      </w:r>
      <w:r w:rsidRPr="00862829">
        <w:tab/>
      </w:r>
      <w:r w:rsidRPr="00862829" w:rsidR="001D2205">
        <w:t>INTRODUCTION</w:t>
      </w:r>
      <w:bookmarkEnd w:id="1"/>
      <w:bookmarkEnd w:id="2"/>
      <w:bookmarkEnd w:id="3"/>
      <w:bookmarkEnd w:id="4"/>
      <w:r w:rsidRPr="00862829" w:rsidR="001D2205">
        <w:t xml:space="preserve"> </w:t>
      </w:r>
    </w:p>
    <w:p w:rsidR="00B05388" w:rsidRPr="00862829" w:rsidP="00CB782F" w14:paraId="7F575CAA" w14:textId="57998459">
      <w:pPr>
        <w:spacing w:after="0" w:line="480" w:lineRule="auto"/>
        <w:ind w:firstLine="720"/>
        <w:rPr>
          <w:rFonts w:ascii="Times New Roman" w:hAnsi="Times New Roman" w:cs="Times New Roman"/>
          <w:sz w:val="24"/>
          <w:szCs w:val="24"/>
        </w:rPr>
      </w:pPr>
      <w:bookmarkStart w:id="5" w:name="_Hlk43471448"/>
      <w:r w:rsidRPr="00862829">
        <w:rPr>
          <w:rFonts w:ascii="Times New Roman" w:hAnsi="Times New Roman" w:cs="Times New Roman"/>
          <w:sz w:val="24"/>
          <w:szCs w:val="24"/>
        </w:rPr>
        <w:t xml:space="preserve">The minimum gas service standards serve the important purpose of promoting, , the availability of adequate, reliable, and reasonably priced natural gas services </w:t>
      </w:r>
      <w:r w:rsidRPr="00937028" w:rsidR="003471EC">
        <w:rPr>
          <w:rFonts w:ascii="Times New Roman" w:hAnsi="Times New Roman" w:cs="Times New Roman"/>
          <w:sz w:val="24"/>
          <w:szCs w:val="24"/>
        </w:rPr>
        <w:t>for millions of Ohio natural gas consumers</w:t>
      </w:r>
      <w:r w:rsidRPr="00862829" w:rsidR="00E24943">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862829" w:rsidR="00B83700">
        <w:rPr>
          <w:rFonts w:ascii="Times New Roman" w:hAnsi="Times New Roman" w:cs="Times New Roman"/>
          <w:sz w:val="24"/>
          <w:szCs w:val="24"/>
        </w:rPr>
        <w:t xml:space="preserve"> </w:t>
      </w:r>
      <w:r w:rsidRPr="00937028" w:rsidR="00F24A7B">
        <w:rPr>
          <w:rFonts w:ascii="Times New Roman" w:hAnsi="Times New Roman" w:cs="Times New Roman"/>
          <w:sz w:val="24"/>
          <w:szCs w:val="24"/>
        </w:rPr>
        <w:t>The PUCO</w:t>
      </w:r>
      <w:r w:rsidRPr="00937028" w:rsidR="00894148">
        <w:rPr>
          <w:rFonts w:ascii="Times New Roman" w:hAnsi="Times New Roman" w:cs="Times New Roman"/>
          <w:sz w:val="24"/>
          <w:szCs w:val="24"/>
        </w:rPr>
        <w:t xml:space="preserve"> rules</w:t>
      </w:r>
      <w:r w:rsidRPr="00E45058" w:rsidR="00F24A7B">
        <w:rPr>
          <w:rFonts w:ascii="Times New Roman" w:hAnsi="Times New Roman" w:cs="Times New Roman"/>
          <w:sz w:val="24"/>
          <w:szCs w:val="24"/>
        </w:rPr>
        <w:t xml:space="preserve"> should </w:t>
      </w:r>
      <w:r w:rsidRPr="001C2A4D" w:rsidR="003F5A2D">
        <w:rPr>
          <w:rFonts w:ascii="Times New Roman" w:hAnsi="Times New Roman" w:cs="Times New Roman"/>
          <w:sz w:val="24"/>
          <w:szCs w:val="24"/>
        </w:rPr>
        <w:t xml:space="preserve">consistently </w:t>
      </w:r>
      <w:r w:rsidRPr="00080966" w:rsidR="005B2D08">
        <w:rPr>
          <w:rFonts w:ascii="Times New Roman" w:hAnsi="Times New Roman" w:cs="Times New Roman"/>
          <w:sz w:val="24"/>
          <w:szCs w:val="24"/>
        </w:rPr>
        <w:t>implement</w:t>
      </w:r>
      <w:r w:rsidRPr="00862829" w:rsidR="00F24A7B">
        <w:rPr>
          <w:rFonts w:ascii="Times New Roman" w:hAnsi="Times New Roman" w:cs="Times New Roman"/>
          <w:sz w:val="24"/>
          <w:szCs w:val="24"/>
        </w:rPr>
        <w:t xml:space="preserve"> </w:t>
      </w:r>
      <w:r w:rsidRPr="00862829" w:rsidR="00D0707C">
        <w:rPr>
          <w:rFonts w:ascii="Times New Roman" w:hAnsi="Times New Roman" w:cs="Times New Roman"/>
          <w:sz w:val="24"/>
          <w:szCs w:val="24"/>
        </w:rPr>
        <w:t>s</w:t>
      </w:r>
      <w:r w:rsidRPr="00862829" w:rsidR="00F24A7B">
        <w:rPr>
          <w:rFonts w:ascii="Times New Roman" w:hAnsi="Times New Roman" w:cs="Times New Roman"/>
          <w:sz w:val="24"/>
          <w:szCs w:val="24"/>
        </w:rPr>
        <w:t>olutions t</w:t>
      </w:r>
      <w:r w:rsidRPr="00862829" w:rsidR="00D0707C">
        <w:rPr>
          <w:rFonts w:ascii="Times New Roman" w:hAnsi="Times New Roman" w:cs="Times New Roman"/>
          <w:sz w:val="24"/>
          <w:szCs w:val="24"/>
        </w:rPr>
        <w:t xml:space="preserve">hat </w:t>
      </w:r>
      <w:r w:rsidRPr="00862829" w:rsidR="003471EC">
        <w:rPr>
          <w:rFonts w:ascii="Times New Roman" w:hAnsi="Times New Roman" w:cs="Times New Roman"/>
          <w:sz w:val="24"/>
          <w:szCs w:val="24"/>
        </w:rPr>
        <w:t xml:space="preserve">serve these purposes and </w:t>
      </w:r>
      <w:r w:rsidRPr="00862829" w:rsidR="00D0707C">
        <w:rPr>
          <w:rFonts w:ascii="Times New Roman" w:hAnsi="Times New Roman" w:cs="Times New Roman"/>
          <w:sz w:val="24"/>
          <w:szCs w:val="24"/>
        </w:rPr>
        <w:t>protect residential customers.</w:t>
      </w:r>
      <w:r w:rsidRPr="00862829" w:rsidR="005B72A6">
        <w:rPr>
          <w:rFonts w:ascii="Times New Roman" w:hAnsi="Times New Roman" w:cs="Times New Roman"/>
          <w:sz w:val="24"/>
          <w:szCs w:val="24"/>
        </w:rPr>
        <w:t xml:space="preserve"> </w:t>
      </w:r>
      <w:r w:rsidRPr="00862829" w:rsidR="00F24A7B">
        <w:rPr>
          <w:rFonts w:ascii="Times New Roman" w:hAnsi="Times New Roman" w:cs="Times New Roman"/>
          <w:sz w:val="24"/>
          <w:szCs w:val="24"/>
        </w:rPr>
        <w:t>T</w:t>
      </w:r>
      <w:r w:rsidRPr="00862829" w:rsidR="00933149">
        <w:rPr>
          <w:rFonts w:ascii="Times New Roman" w:hAnsi="Times New Roman" w:cs="Times New Roman"/>
          <w:sz w:val="24"/>
          <w:szCs w:val="24"/>
        </w:rPr>
        <w:t>h</w:t>
      </w:r>
      <w:r w:rsidRPr="00862829" w:rsidR="002300C2">
        <w:rPr>
          <w:rFonts w:ascii="Times New Roman" w:hAnsi="Times New Roman" w:cs="Times New Roman"/>
          <w:sz w:val="24"/>
          <w:szCs w:val="24"/>
        </w:rPr>
        <w:t>e</w:t>
      </w:r>
      <w:r w:rsidRPr="00862829" w:rsidR="003471EC">
        <w:rPr>
          <w:rFonts w:ascii="Times New Roman" w:hAnsi="Times New Roman" w:cs="Times New Roman"/>
          <w:sz w:val="24"/>
          <w:szCs w:val="24"/>
        </w:rPr>
        <w:t xml:space="preserve">se </w:t>
      </w:r>
      <w:r w:rsidRPr="00862829" w:rsidR="002300C2">
        <w:rPr>
          <w:rFonts w:ascii="Times New Roman" w:hAnsi="Times New Roman" w:cs="Times New Roman"/>
          <w:sz w:val="24"/>
          <w:szCs w:val="24"/>
        </w:rPr>
        <w:t xml:space="preserve">rules </w:t>
      </w:r>
      <w:r w:rsidRPr="00862829" w:rsidR="003471EC">
        <w:rPr>
          <w:rFonts w:ascii="Times New Roman" w:hAnsi="Times New Roman" w:cs="Times New Roman"/>
          <w:sz w:val="24"/>
          <w:szCs w:val="24"/>
        </w:rPr>
        <w:t xml:space="preserve">are </w:t>
      </w:r>
      <w:r w:rsidRPr="00862829" w:rsidR="00ED4A83">
        <w:rPr>
          <w:rFonts w:ascii="Times New Roman" w:hAnsi="Times New Roman" w:cs="Times New Roman"/>
          <w:sz w:val="24"/>
          <w:szCs w:val="24"/>
        </w:rPr>
        <w:t>even more crucial for consumers in these times</w:t>
      </w:r>
      <w:r w:rsidRPr="00862829" w:rsidR="007B1DC5">
        <w:rPr>
          <w:rFonts w:ascii="Times New Roman" w:hAnsi="Times New Roman" w:cs="Times New Roman"/>
          <w:sz w:val="24"/>
          <w:szCs w:val="24"/>
        </w:rPr>
        <w:t xml:space="preserve"> </w:t>
      </w:r>
      <w:r w:rsidRPr="00862829" w:rsidR="003471EC">
        <w:rPr>
          <w:rFonts w:ascii="Times New Roman" w:hAnsi="Times New Roman" w:cs="Times New Roman"/>
          <w:sz w:val="24"/>
          <w:szCs w:val="24"/>
        </w:rPr>
        <w:t xml:space="preserve">where they are suffering from </w:t>
      </w:r>
      <w:r w:rsidRPr="00862829" w:rsidR="00D2314E">
        <w:rPr>
          <w:rFonts w:ascii="Times New Roman" w:hAnsi="Times New Roman" w:cs="Times New Roman"/>
          <w:sz w:val="24"/>
          <w:szCs w:val="24"/>
        </w:rPr>
        <w:t xml:space="preserve">financial </w:t>
      </w:r>
      <w:r w:rsidRPr="00862829" w:rsidR="002300C2">
        <w:rPr>
          <w:rFonts w:ascii="Times New Roman" w:hAnsi="Times New Roman" w:cs="Times New Roman"/>
          <w:sz w:val="24"/>
          <w:szCs w:val="24"/>
        </w:rPr>
        <w:t xml:space="preserve">and health </w:t>
      </w:r>
      <w:r w:rsidRPr="00862829" w:rsidR="00D2314E">
        <w:rPr>
          <w:rFonts w:ascii="Times New Roman" w:hAnsi="Times New Roman" w:cs="Times New Roman"/>
          <w:sz w:val="24"/>
          <w:szCs w:val="24"/>
        </w:rPr>
        <w:t>cris</w:t>
      </w:r>
      <w:r w:rsidRPr="00862829" w:rsidR="00B41161">
        <w:rPr>
          <w:rFonts w:ascii="Times New Roman" w:hAnsi="Times New Roman" w:cs="Times New Roman"/>
          <w:sz w:val="24"/>
          <w:szCs w:val="24"/>
        </w:rPr>
        <w:t>e</w:t>
      </w:r>
      <w:r w:rsidRPr="00862829" w:rsidR="00D2314E">
        <w:rPr>
          <w:rFonts w:ascii="Times New Roman" w:hAnsi="Times New Roman" w:cs="Times New Roman"/>
          <w:sz w:val="24"/>
          <w:szCs w:val="24"/>
        </w:rPr>
        <w:t>s</w:t>
      </w:r>
      <w:r w:rsidRPr="00862829" w:rsidR="007B1DC5">
        <w:rPr>
          <w:rFonts w:ascii="Times New Roman" w:hAnsi="Times New Roman" w:cs="Times New Roman"/>
          <w:sz w:val="24"/>
          <w:szCs w:val="24"/>
        </w:rPr>
        <w:t xml:space="preserve"> caused by </w:t>
      </w:r>
      <w:r w:rsidRPr="00862829" w:rsidR="00D2314E">
        <w:rPr>
          <w:rFonts w:ascii="Times New Roman" w:hAnsi="Times New Roman" w:cs="Times New Roman"/>
          <w:sz w:val="24"/>
          <w:szCs w:val="24"/>
        </w:rPr>
        <w:t>the global pandemic</w:t>
      </w:r>
      <w:r w:rsidRPr="00862829" w:rsidR="00794D51">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862829" w:rsidR="00933149">
        <w:rPr>
          <w:rFonts w:ascii="Times New Roman" w:hAnsi="Times New Roman" w:cs="Times New Roman"/>
          <w:sz w:val="24"/>
          <w:szCs w:val="24"/>
        </w:rPr>
        <w:t xml:space="preserve"> </w:t>
      </w:r>
      <w:r w:rsidRPr="00862829" w:rsidR="00933149">
        <w:rPr>
          <w:rFonts w:ascii="Times New Roman" w:hAnsi="Times New Roman" w:cs="Times New Roman"/>
          <w:sz w:val="24"/>
          <w:szCs w:val="24"/>
        </w:rPr>
        <w:cr/>
      </w:r>
      <w:r w:rsidR="00D06FF1">
        <w:rPr>
          <w:rFonts w:ascii="Times New Roman" w:hAnsi="Times New Roman" w:cs="Times New Roman"/>
          <w:sz w:val="24"/>
          <w:szCs w:val="24"/>
        </w:rPr>
        <w:t xml:space="preserve">      </w:t>
      </w:r>
      <w:r w:rsidRPr="00E45058" w:rsidR="00933149">
        <w:rPr>
          <w:rFonts w:ascii="Times New Roman" w:hAnsi="Times New Roman" w:cs="Times New Roman"/>
          <w:sz w:val="24"/>
          <w:szCs w:val="24"/>
        </w:rPr>
        <w:t xml:space="preserve">The PUCO in its Order should have done more to </w:t>
      </w:r>
      <w:r w:rsidRPr="001C2A4D" w:rsidR="00933149">
        <w:rPr>
          <w:rFonts w:ascii="Times New Roman" w:hAnsi="Times New Roman" w:cs="Times New Roman"/>
          <w:sz w:val="24"/>
          <w:szCs w:val="24"/>
        </w:rPr>
        <w:t>protect consumers</w:t>
      </w:r>
      <w:r w:rsidRPr="00080966" w:rsidR="00ED4A83">
        <w:rPr>
          <w:rFonts w:ascii="Times New Roman" w:hAnsi="Times New Roman" w:cs="Times New Roman"/>
          <w:sz w:val="24"/>
          <w:szCs w:val="24"/>
        </w:rPr>
        <w:t>.</w:t>
      </w:r>
      <w:r w:rsidRPr="00862829" w:rsidR="00933149">
        <w:rPr>
          <w:rFonts w:ascii="Times New Roman" w:hAnsi="Times New Roman" w:cs="Times New Roman"/>
          <w:sz w:val="24"/>
          <w:szCs w:val="24"/>
        </w:rPr>
        <w:t xml:space="preserve"> </w:t>
      </w:r>
      <w:r w:rsidRPr="00862829" w:rsidR="00E82E7F">
        <w:rPr>
          <w:rFonts w:ascii="Times New Roman" w:hAnsi="Times New Roman" w:cs="Times New Roman"/>
          <w:sz w:val="24"/>
          <w:szCs w:val="24"/>
        </w:rPr>
        <w:t>It should have adopted Staff’s and OCC’s recommendations</w:t>
      </w:r>
      <w:r>
        <w:rPr>
          <w:rStyle w:val="FootnoteReference"/>
          <w:rFonts w:ascii="Times New Roman" w:hAnsi="Times New Roman" w:cs="Times New Roman"/>
          <w:sz w:val="24"/>
          <w:szCs w:val="24"/>
        </w:rPr>
        <w:footnoteReference w:id="6"/>
      </w:r>
      <w:r w:rsidRPr="00862829" w:rsidR="00E82E7F">
        <w:rPr>
          <w:rFonts w:ascii="Times New Roman" w:hAnsi="Times New Roman" w:cs="Times New Roman"/>
          <w:sz w:val="24"/>
          <w:szCs w:val="24"/>
        </w:rPr>
        <w:t xml:space="preserve"> that </w:t>
      </w:r>
      <w:r w:rsidRPr="00937028" w:rsidR="00E82E7F">
        <w:rPr>
          <w:rFonts w:ascii="Times New Roman" w:hAnsi="Times New Roman" w:cs="Times New Roman"/>
          <w:sz w:val="24"/>
          <w:szCs w:val="24"/>
        </w:rPr>
        <w:t xml:space="preserve">were designed to adapt these PUCO rules to </w:t>
      </w:r>
      <w:r w:rsidRPr="00E45058" w:rsidR="007B1DC5">
        <w:rPr>
          <w:rFonts w:ascii="Times New Roman" w:hAnsi="Times New Roman" w:cs="Times New Roman"/>
          <w:sz w:val="24"/>
          <w:szCs w:val="24"/>
        </w:rPr>
        <w:t>the</w:t>
      </w:r>
      <w:r w:rsidRPr="00862829" w:rsidR="00E82E7F">
        <w:rPr>
          <w:rFonts w:ascii="Times New Roman" w:hAnsi="Times New Roman" w:cs="Times New Roman"/>
          <w:sz w:val="24"/>
          <w:szCs w:val="24"/>
        </w:rPr>
        <w:t xml:space="preserve"> needs of </w:t>
      </w:r>
      <w:r w:rsidR="00FA5EFB">
        <w:rPr>
          <w:rFonts w:ascii="Times New Roman" w:hAnsi="Times New Roman" w:cs="Times New Roman"/>
          <w:sz w:val="24"/>
          <w:szCs w:val="24"/>
        </w:rPr>
        <w:t>consumers.</w:t>
      </w:r>
      <w:r w:rsidRPr="00862829" w:rsidR="00E82E7F">
        <w:rPr>
          <w:rFonts w:ascii="Times New Roman" w:hAnsi="Times New Roman" w:cs="Times New Roman"/>
          <w:sz w:val="24"/>
          <w:szCs w:val="24"/>
        </w:rPr>
        <w:t xml:space="preserve"> </w:t>
      </w:r>
      <w:r w:rsidRPr="00862829" w:rsidR="00933149">
        <w:rPr>
          <w:rFonts w:ascii="Times New Roman" w:hAnsi="Times New Roman" w:cs="Times New Roman"/>
          <w:sz w:val="24"/>
          <w:szCs w:val="24"/>
        </w:rPr>
        <w:t>The PUCO’s failure to protect consumers was unreasonable</w:t>
      </w:r>
      <w:r w:rsidRPr="00862829" w:rsidR="003F5A2D">
        <w:rPr>
          <w:rFonts w:ascii="Times New Roman" w:hAnsi="Times New Roman" w:cs="Times New Roman"/>
          <w:sz w:val="24"/>
          <w:szCs w:val="24"/>
        </w:rPr>
        <w:t xml:space="preserve"> and the Order should be modified.</w:t>
      </w:r>
      <w:bookmarkEnd w:id="5"/>
    </w:p>
    <w:p w:rsidR="0053578E" w:rsidRPr="00862829" w:rsidP="0053578E" w14:paraId="1496F0FF" w14:textId="77777777">
      <w:pPr>
        <w:spacing w:after="0" w:line="240" w:lineRule="auto"/>
        <w:ind w:firstLine="720"/>
        <w:rPr>
          <w:rFonts w:ascii="Times New Roman" w:hAnsi="Times New Roman" w:cs="Times New Roman"/>
          <w:sz w:val="24"/>
          <w:szCs w:val="24"/>
        </w:rPr>
      </w:pPr>
    </w:p>
    <w:p w:rsidR="00E95F3D" w:rsidRPr="00862829" w:rsidP="00F974A3" w14:paraId="67FDAEC9" w14:textId="3617711E">
      <w:pPr>
        <w:pStyle w:val="Heading1"/>
      </w:pPr>
      <w:bookmarkStart w:id="6" w:name="_Toc57629878"/>
      <w:bookmarkStart w:id="7" w:name="_Toc67669760"/>
      <w:bookmarkStart w:id="8" w:name="_Toc67670094"/>
      <w:bookmarkStart w:id="9" w:name="_Toc67671091"/>
      <w:r w:rsidRPr="00862829">
        <w:t>II.</w:t>
      </w:r>
      <w:r w:rsidRPr="00862829" w:rsidR="001411AE">
        <w:tab/>
      </w:r>
      <w:r w:rsidRPr="00862829" w:rsidR="00EE7693">
        <w:t>MATTERS FOR RE</w:t>
      </w:r>
      <w:bookmarkEnd w:id="6"/>
      <w:r w:rsidRPr="00862829" w:rsidR="00EE7693">
        <w:t>HEARING</w:t>
      </w:r>
      <w:bookmarkEnd w:id="7"/>
      <w:bookmarkEnd w:id="8"/>
      <w:bookmarkEnd w:id="9"/>
      <w:r w:rsidRPr="00862829" w:rsidR="00EE7693">
        <w:t xml:space="preserve"> </w:t>
      </w:r>
    </w:p>
    <w:p w:rsidR="003027EA" w:rsidRPr="00862829" w:rsidP="008943A3" w14:paraId="3820EA2C" w14:textId="0F7BC919">
      <w:pPr>
        <w:pStyle w:val="Heading2"/>
      </w:pPr>
      <w:bookmarkStart w:id="10" w:name="_Toc67669761"/>
      <w:bookmarkStart w:id="11" w:name="_Toc67670095"/>
      <w:bookmarkStart w:id="12" w:name="_Toc67671092"/>
      <w:r w:rsidRPr="00862829">
        <w:t>ASSIGNMENT OF ERROR NO. 1:</w:t>
      </w:r>
      <w:r w:rsidR="00D06FF1">
        <w:t xml:space="preserve"> </w:t>
      </w:r>
      <w:r w:rsidRPr="00862829">
        <w:t xml:space="preserve">The PUCO erred when it unlawfully failed to </w:t>
      </w:r>
      <w:r w:rsidRPr="00862829" w:rsidR="00B53A1F">
        <w:t xml:space="preserve">adopt OCC’s </w:t>
      </w:r>
      <w:r w:rsidRPr="00862829">
        <w:t>“</w:t>
      </w:r>
      <w:r w:rsidRPr="00862829" w:rsidR="00B53A1F">
        <w:t>shadow-billing”</w:t>
      </w:r>
      <w:r w:rsidRPr="00862829">
        <w:t xml:space="preserve"> proposal</w:t>
      </w:r>
      <w:r w:rsidRPr="00862829" w:rsidR="00A6785A">
        <w:t xml:space="preserve"> for two reasons</w:t>
      </w:r>
      <w:r w:rsidRPr="00862829">
        <w:t>.</w:t>
      </w:r>
      <w:bookmarkEnd w:id="10"/>
      <w:bookmarkEnd w:id="11"/>
      <w:bookmarkEnd w:id="12"/>
    </w:p>
    <w:p w:rsidR="008365B3" w:rsidRPr="00B774D3" w:rsidP="00E60BEF" w14:paraId="7D5FA6CD" w14:textId="225D6FC2">
      <w:pPr>
        <w:pStyle w:val="Heading3"/>
        <w:rPr>
          <w:rFonts w:hint="eastAsia"/>
        </w:rPr>
      </w:pPr>
      <w:bookmarkStart w:id="13" w:name="_Toc67671093"/>
      <w:r>
        <w:rPr>
          <w:rStyle w:val="Heading3Char"/>
        </w:rPr>
        <w:t>A.</w:t>
      </w:r>
      <w:r>
        <w:rPr>
          <w:rStyle w:val="Heading3Char"/>
        </w:rPr>
        <w:tab/>
      </w:r>
      <w:r w:rsidRPr="000A7E40">
        <w:rPr>
          <w:rStyle w:val="Heading3Char"/>
        </w:rPr>
        <w:t>The PUCO erred when it based its decision to reject</w:t>
      </w:r>
      <w:r w:rsidRPr="00B774D3">
        <w:rPr>
          <w:rStyle w:val="Heading3Char"/>
        </w:rPr>
        <w:t xml:space="preserve"> OCC’s “shadow</w:t>
      </w:r>
      <w:r w:rsidRPr="00B774D3" w:rsidR="00B10C8E">
        <w:rPr>
          <w:rStyle w:val="Heading3Char"/>
        </w:rPr>
        <w:t>-</w:t>
      </w:r>
      <w:r w:rsidRPr="00B774D3">
        <w:rPr>
          <w:rStyle w:val="Heading3Char"/>
        </w:rPr>
        <w:t xml:space="preserve">billing” proposal on the Utilities’ and marketers assertion that it would require “significant billing system changes” </w:t>
      </w:r>
      <w:r w:rsidRPr="00B774D3" w:rsidR="003D5E1B">
        <w:rPr>
          <w:rStyle w:val="Heading3Char"/>
        </w:rPr>
        <w:t xml:space="preserve">and </w:t>
      </w:r>
      <w:r w:rsidRPr="00B774D3">
        <w:rPr>
          <w:rStyle w:val="Heading3Char"/>
        </w:rPr>
        <w:t>without any record evidence of what the changes would be and what the associated costs of the changes would be.</w:t>
      </w:r>
      <w:r>
        <w:rPr>
          <w:rStyle w:val="Heading3Char"/>
          <w:vertAlign w:val="superscript"/>
        </w:rPr>
        <w:footnoteReference w:id="7"/>
      </w:r>
      <w:r w:rsidRPr="00B774D3" w:rsidR="00103A68">
        <w:rPr>
          <w:rStyle w:val="Heading3Char"/>
        </w:rPr>
        <w:t xml:space="preserve"> This violates </w:t>
      </w:r>
      <w:r w:rsidRPr="00B774D3" w:rsidR="00EB4C9A">
        <w:rPr>
          <w:rStyle w:val="Heading3Char"/>
        </w:rPr>
        <w:t>R.C. 4903.09 and the Ohio Supreme Court precedent in Tongren.</w:t>
      </w:r>
      <w:r>
        <w:rPr>
          <w:rStyle w:val="Heading3Char"/>
          <w:vertAlign w:val="superscript"/>
        </w:rPr>
        <w:footnoteReference w:id="8"/>
      </w:r>
      <w:bookmarkEnd w:id="13"/>
    </w:p>
    <w:p w:rsidR="00DC095B" w:rsidRPr="008D1D68" w:rsidP="00DC095B" w14:paraId="45A7339E" w14:textId="274A12CA">
      <w:pPr>
        <w:spacing w:after="0" w:line="480" w:lineRule="auto"/>
        <w:ind w:firstLine="720"/>
        <w:rPr>
          <w:rFonts w:ascii="Times New Roman" w:hAnsi="Times New Roman" w:cs="Times New Roman"/>
          <w:sz w:val="24"/>
          <w:szCs w:val="24"/>
        </w:rPr>
      </w:pPr>
      <w:r w:rsidRPr="00937028">
        <w:rPr>
          <w:rFonts w:ascii="Times New Roman" w:hAnsi="Times New Roman" w:cs="Times New Roman"/>
          <w:sz w:val="24"/>
          <w:szCs w:val="24"/>
        </w:rPr>
        <w:t>Shadow-billing</w:t>
      </w:r>
      <w:r w:rsidRPr="00E45058">
        <w:rPr>
          <w:rFonts w:ascii="Times New Roman" w:hAnsi="Times New Roman" w:cs="Times New Roman"/>
          <w:sz w:val="24"/>
          <w:szCs w:val="24"/>
        </w:rPr>
        <w:t xml:space="preserve"> </w:t>
      </w:r>
      <w:r w:rsidRPr="001C2A4D">
        <w:rPr>
          <w:rFonts w:ascii="Times New Roman" w:hAnsi="Times New Roman" w:cs="Times New Roman"/>
          <w:sz w:val="24"/>
          <w:szCs w:val="24"/>
        </w:rPr>
        <w:t>is an important consumer protection tool. Shadow</w:t>
      </w:r>
      <w:r w:rsidR="00B10C8E">
        <w:rPr>
          <w:rFonts w:ascii="Times New Roman" w:hAnsi="Times New Roman" w:cs="Times New Roman"/>
          <w:sz w:val="24"/>
          <w:szCs w:val="24"/>
        </w:rPr>
        <w:t>-b</w:t>
      </w:r>
      <w:r w:rsidRPr="001C2A4D">
        <w:rPr>
          <w:rFonts w:ascii="Times New Roman" w:hAnsi="Times New Roman" w:cs="Times New Roman"/>
          <w:sz w:val="24"/>
          <w:szCs w:val="24"/>
        </w:rPr>
        <w:t xml:space="preserve">illing </w:t>
      </w:r>
      <w:r w:rsidRPr="00080966">
        <w:rPr>
          <w:rFonts w:ascii="Times New Roman" w:hAnsi="Times New Roman" w:cs="Times New Roman"/>
          <w:sz w:val="24"/>
          <w:szCs w:val="24"/>
        </w:rPr>
        <w:t>show</w:t>
      </w:r>
      <w:r w:rsidRPr="00862829">
        <w:rPr>
          <w:rFonts w:ascii="Times New Roman" w:hAnsi="Times New Roman" w:cs="Times New Roman"/>
          <w:sz w:val="24"/>
          <w:szCs w:val="24"/>
        </w:rPr>
        <w:t xml:space="preserve">s the difference between what shopping customers paid for natural gas and what the customers would have paid had they chosen the utility standard choice offer or gas cost recovery rate. </w:t>
      </w:r>
      <w:r w:rsidRPr="00862829" w:rsidR="00910FEA">
        <w:rPr>
          <w:rFonts w:ascii="Times New Roman" w:hAnsi="Times New Roman" w:cs="Times New Roman"/>
          <w:sz w:val="24"/>
          <w:szCs w:val="24"/>
        </w:rPr>
        <w:t>This</w:t>
      </w:r>
      <w:r w:rsidRPr="00862829">
        <w:rPr>
          <w:rFonts w:ascii="Times New Roman" w:hAnsi="Times New Roman" w:cs="Times New Roman"/>
          <w:sz w:val="24"/>
          <w:szCs w:val="24"/>
        </w:rPr>
        <w:t xml:space="preserve"> data provides consumers with the ability to determine the </w:t>
      </w:r>
      <w:r w:rsidRPr="00862829" w:rsidR="00910FEA">
        <w:rPr>
          <w:rFonts w:ascii="Times New Roman" w:hAnsi="Times New Roman" w:cs="Times New Roman"/>
          <w:sz w:val="24"/>
          <w:szCs w:val="24"/>
        </w:rPr>
        <w:t>savings</w:t>
      </w:r>
      <w:r w:rsidRPr="00862829">
        <w:rPr>
          <w:rFonts w:ascii="Times New Roman" w:hAnsi="Times New Roman" w:cs="Times New Roman"/>
          <w:sz w:val="24"/>
          <w:szCs w:val="24"/>
        </w:rPr>
        <w:t xml:space="preserve"> or lack of savings they are getting </w:t>
      </w:r>
      <w:r w:rsidRPr="00862829" w:rsidR="00A03F27">
        <w:rPr>
          <w:rFonts w:ascii="Times New Roman" w:hAnsi="Times New Roman" w:cs="Times New Roman"/>
          <w:sz w:val="24"/>
          <w:szCs w:val="24"/>
        </w:rPr>
        <w:t xml:space="preserve">from </w:t>
      </w:r>
      <w:r w:rsidRPr="00862829" w:rsidR="00103A68">
        <w:rPr>
          <w:rFonts w:ascii="Times New Roman" w:hAnsi="Times New Roman" w:cs="Times New Roman"/>
          <w:sz w:val="24"/>
          <w:szCs w:val="24"/>
        </w:rPr>
        <w:t>the gas</w:t>
      </w:r>
      <w:r w:rsidRPr="00862829">
        <w:rPr>
          <w:rFonts w:ascii="Times New Roman" w:hAnsi="Times New Roman" w:cs="Times New Roman"/>
          <w:sz w:val="24"/>
          <w:szCs w:val="24"/>
        </w:rPr>
        <w:t xml:space="preserve"> choice program.</w:t>
      </w:r>
      <w:r>
        <w:rPr>
          <w:rStyle w:val="FootnoteReference"/>
          <w:rFonts w:ascii="Times New Roman" w:hAnsi="Times New Roman" w:cs="Times New Roman"/>
          <w:sz w:val="24"/>
          <w:szCs w:val="24"/>
        </w:rPr>
        <w:footnoteReference w:id="9"/>
      </w:r>
      <w:r w:rsidRPr="00862829">
        <w:rPr>
          <w:rFonts w:ascii="Times New Roman" w:hAnsi="Times New Roman" w:cs="Times New Roman"/>
          <w:sz w:val="24"/>
          <w:szCs w:val="24"/>
        </w:rPr>
        <w:t xml:space="preserve"> </w:t>
      </w:r>
      <w:r w:rsidR="008E2B76">
        <w:rPr>
          <w:rFonts w:ascii="Times New Roman" w:hAnsi="Times New Roman" w:cs="Times New Roman"/>
          <w:sz w:val="24"/>
          <w:szCs w:val="24"/>
        </w:rPr>
        <w:t>And as a recent Wall Street Journal article</w:t>
      </w:r>
      <w:r w:rsidRPr="008D1D68" w:rsidR="008D1D68">
        <w:rPr>
          <w:rFonts w:ascii="Times New Roman" w:hAnsi="Times New Roman" w:cs="Times New Roman"/>
          <w:sz w:val="24"/>
          <w:szCs w:val="24"/>
        </w:rPr>
        <w:t>—</w:t>
      </w:r>
      <w:r w:rsidRPr="008D1D68" w:rsidR="00312B5E">
        <w:rPr>
          <w:rFonts w:ascii="Times New Roman" w:hAnsi="Times New Roman" w:cs="Times New Roman"/>
          <w:sz w:val="24"/>
          <w:szCs w:val="24"/>
        </w:rPr>
        <w:t>titled</w:t>
      </w:r>
      <w:r w:rsidRPr="008D1D68" w:rsidR="008D1D68">
        <w:rPr>
          <w:rFonts w:ascii="Times New Roman" w:hAnsi="Times New Roman" w:cs="Times New Roman"/>
          <w:sz w:val="24"/>
          <w:szCs w:val="24"/>
        </w:rPr>
        <w:t xml:space="preserve"> “</w:t>
      </w:r>
      <w:r w:rsidRPr="00D06FF1" w:rsidR="00312B5E">
        <w:rPr>
          <w:rFonts w:ascii="Times New Roman" w:hAnsi="Times New Roman" w:cs="Times New Roman"/>
          <w:i/>
          <w:iCs/>
          <w:sz w:val="24"/>
          <w:szCs w:val="24"/>
        </w:rPr>
        <w:t>Deregulation Aimed to Lower Home-Power Bills. For Many, it Didn’t</w:t>
      </w:r>
      <w:r w:rsidRPr="00D06FF1" w:rsidR="008D1D68">
        <w:rPr>
          <w:rFonts w:ascii="Times New Roman" w:hAnsi="Times New Roman" w:cs="Times New Roman"/>
          <w:sz w:val="24"/>
          <w:szCs w:val="24"/>
        </w:rPr>
        <w:t>”</w:t>
      </w:r>
      <w:r w:rsidRPr="008D1D68" w:rsidR="008D1D68">
        <w:rPr>
          <w:rFonts w:ascii="Times New Roman" w:hAnsi="Times New Roman" w:cs="Times New Roman"/>
          <w:sz w:val="24"/>
          <w:szCs w:val="24"/>
        </w:rPr>
        <w:t>—</w:t>
      </w:r>
      <w:r w:rsidRPr="008D1D68" w:rsidR="008E2B76">
        <w:rPr>
          <w:rFonts w:ascii="Times New Roman" w:hAnsi="Times New Roman" w:cs="Times New Roman"/>
          <w:sz w:val="24"/>
          <w:szCs w:val="24"/>
        </w:rPr>
        <w:t xml:space="preserve">found, </w:t>
      </w:r>
      <w:r w:rsidRPr="008D1D68" w:rsidR="0008553F">
        <w:rPr>
          <w:rFonts w:ascii="Times New Roman" w:hAnsi="Times New Roman" w:cs="Times New Roman"/>
          <w:sz w:val="24"/>
          <w:szCs w:val="24"/>
        </w:rPr>
        <w:t>consumer</w:t>
      </w:r>
      <w:r w:rsidRPr="008D1D68" w:rsidR="004F39D0">
        <w:rPr>
          <w:rFonts w:ascii="Times New Roman" w:hAnsi="Times New Roman" w:cs="Times New Roman"/>
          <w:sz w:val="24"/>
          <w:szCs w:val="24"/>
        </w:rPr>
        <w:t>s</w:t>
      </w:r>
      <w:r w:rsidRPr="008D1D68" w:rsidR="0008553F">
        <w:rPr>
          <w:rFonts w:ascii="Times New Roman" w:hAnsi="Times New Roman" w:cs="Times New Roman"/>
          <w:sz w:val="24"/>
          <w:szCs w:val="24"/>
        </w:rPr>
        <w:t xml:space="preserve"> are mostly receiving a lack of savings from the choice program</w:t>
      </w:r>
      <w:r w:rsidRPr="007C5AF7" w:rsidR="007C5AF7">
        <w:rPr>
          <w:rFonts w:ascii="Times New Roman" w:hAnsi="Times New Roman" w:cs="Times New Roman"/>
          <w:sz w:val="24"/>
          <w:szCs w:val="24"/>
        </w:rPr>
        <w:t>—</w:t>
      </w:r>
      <w:r w:rsidR="007C5AF7">
        <w:rPr>
          <w:rFonts w:ascii="Times New Roman" w:hAnsi="Times New Roman" w:cs="Times New Roman"/>
          <w:sz w:val="24"/>
          <w:szCs w:val="24"/>
        </w:rPr>
        <w:t>to the tune of $19.2 billion</w:t>
      </w:r>
      <w:r w:rsidRPr="008D1D68" w:rsidR="0008553F">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rsidR="00DC095B" w:rsidRPr="00862829" w:rsidP="00DC095B" w14:paraId="3A7402ED" w14:textId="5C3FCD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937028">
        <w:rPr>
          <w:rFonts w:ascii="Times New Roman" w:hAnsi="Times New Roman" w:cs="Times New Roman"/>
          <w:sz w:val="24"/>
          <w:szCs w:val="24"/>
        </w:rPr>
        <w:t xml:space="preserve">he PUCO turned its back on </w:t>
      </w:r>
      <w:r w:rsidRPr="00E45058">
        <w:rPr>
          <w:rFonts w:ascii="Times New Roman" w:hAnsi="Times New Roman" w:cs="Times New Roman"/>
          <w:sz w:val="24"/>
          <w:szCs w:val="24"/>
        </w:rPr>
        <w:t>consumers</w:t>
      </w:r>
      <w:r w:rsidRPr="001C2A4D">
        <w:rPr>
          <w:rFonts w:ascii="Times New Roman" w:hAnsi="Times New Roman" w:cs="Times New Roman"/>
          <w:sz w:val="24"/>
          <w:szCs w:val="24"/>
        </w:rPr>
        <w:t xml:space="preserve"> when </w:t>
      </w:r>
      <w:r w:rsidRPr="00080966" w:rsidR="00910FEA">
        <w:rPr>
          <w:rFonts w:ascii="Times New Roman" w:hAnsi="Times New Roman" w:cs="Times New Roman"/>
          <w:sz w:val="24"/>
          <w:szCs w:val="24"/>
        </w:rPr>
        <w:t xml:space="preserve">it </w:t>
      </w:r>
      <w:r w:rsidRPr="00862829" w:rsidR="00A03F27">
        <w:rPr>
          <w:rFonts w:ascii="Times New Roman" w:hAnsi="Times New Roman" w:cs="Times New Roman"/>
          <w:sz w:val="24"/>
          <w:szCs w:val="24"/>
        </w:rPr>
        <w:t>rejected OCC’s</w:t>
      </w:r>
      <w:r w:rsidRPr="00862829">
        <w:rPr>
          <w:rFonts w:ascii="Times New Roman" w:hAnsi="Times New Roman" w:cs="Times New Roman"/>
          <w:sz w:val="24"/>
          <w:szCs w:val="24"/>
        </w:rPr>
        <w:t xml:space="preserve"> “shadow-billing” proposal. The PUCO’s Order is unlawful and unreasonable.</w:t>
      </w:r>
      <w:r>
        <w:rPr>
          <w:rStyle w:val="FootnoteReference"/>
          <w:rFonts w:ascii="Times New Roman" w:hAnsi="Times New Roman" w:cs="Times New Roman"/>
          <w:sz w:val="24"/>
          <w:szCs w:val="24"/>
        </w:rPr>
        <w:footnoteReference w:id="11"/>
      </w:r>
      <w:r w:rsidRPr="00862829">
        <w:rPr>
          <w:rFonts w:ascii="Times New Roman" w:hAnsi="Times New Roman" w:cs="Times New Roman"/>
          <w:sz w:val="24"/>
          <w:szCs w:val="24"/>
        </w:rPr>
        <w:t xml:space="preserve"> </w:t>
      </w:r>
      <w:r w:rsidRPr="00937028">
        <w:rPr>
          <w:rFonts w:ascii="Times New Roman" w:hAnsi="Times New Roman" w:cs="Times New Roman"/>
          <w:sz w:val="24"/>
          <w:szCs w:val="24"/>
        </w:rPr>
        <w:t xml:space="preserve">It is unlawful because </w:t>
      </w:r>
      <w:r w:rsidRPr="00E45058">
        <w:rPr>
          <w:rFonts w:ascii="Times New Roman" w:hAnsi="Times New Roman" w:cs="Times New Roman"/>
          <w:sz w:val="24"/>
          <w:szCs w:val="24"/>
        </w:rPr>
        <w:t xml:space="preserve">it failed to </w:t>
      </w:r>
      <w:r w:rsidRPr="001C2A4D">
        <w:rPr>
          <w:rFonts w:ascii="Times New Roman" w:hAnsi="Times New Roman" w:cs="Times New Roman"/>
          <w:sz w:val="24"/>
          <w:szCs w:val="24"/>
        </w:rPr>
        <w:t>make</w:t>
      </w:r>
      <w:r w:rsidRPr="00080966">
        <w:rPr>
          <w:rFonts w:ascii="Times New Roman" w:hAnsi="Times New Roman" w:cs="Times New Roman"/>
          <w:sz w:val="24"/>
          <w:szCs w:val="24"/>
        </w:rPr>
        <w:t xml:space="preserve"> findings of fact </w:t>
      </w:r>
      <w:r w:rsidRPr="00862829">
        <w:rPr>
          <w:rFonts w:ascii="Times New Roman" w:hAnsi="Times New Roman" w:cs="Times New Roman"/>
          <w:sz w:val="24"/>
          <w:szCs w:val="24"/>
        </w:rPr>
        <w:t xml:space="preserve">based on record evidence. This violates R.C. 4903.09 and Ohio Supreme Court precedent in </w:t>
      </w:r>
      <w:r w:rsidRPr="00862829">
        <w:rPr>
          <w:rFonts w:ascii="Times New Roman" w:hAnsi="Times New Roman" w:cs="Times New Roman"/>
          <w:i/>
          <w:iCs/>
          <w:sz w:val="24"/>
          <w:szCs w:val="24"/>
        </w:rPr>
        <w:t>Tongren</w:t>
      </w:r>
      <w:r w:rsidRPr="00862829">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Pr="00862829">
        <w:rPr>
          <w:rFonts w:ascii="Times New Roman" w:hAnsi="Times New Roman" w:cs="Times New Roman"/>
          <w:sz w:val="24"/>
          <w:szCs w:val="24"/>
        </w:rPr>
        <w:t xml:space="preserve"> In particular,</w:t>
      </w:r>
      <w:r w:rsidRPr="00862829">
        <w:rPr>
          <w:rFonts w:ascii="Times New Roman" w:hAnsi="Times New Roman" w:cs="Times New Roman"/>
          <w:i/>
          <w:iCs/>
          <w:sz w:val="24"/>
          <w:szCs w:val="24"/>
        </w:rPr>
        <w:t xml:space="preserve"> </w:t>
      </w:r>
      <w:r w:rsidRPr="00862829">
        <w:rPr>
          <w:rFonts w:ascii="Times New Roman" w:hAnsi="Times New Roman" w:cs="Times New Roman"/>
          <w:sz w:val="24"/>
          <w:szCs w:val="24"/>
        </w:rPr>
        <w:t xml:space="preserve">the Order is unreasonable because it failed to determine what “significant billing system changes” entail and what the associated costs of these changes are. </w:t>
      </w:r>
    </w:p>
    <w:p w:rsidR="00DC095B" w:rsidRPr="00862829" w:rsidP="00DC095B" w14:paraId="0FA0FF5D" w14:textId="77777777">
      <w:pPr>
        <w:spacing w:after="0" w:line="480" w:lineRule="auto"/>
        <w:ind w:firstLine="720"/>
        <w:rPr>
          <w:rFonts w:ascii="Times New Roman" w:hAnsi="Times New Roman" w:cs="Times New Roman"/>
          <w:color w:val="373739"/>
          <w:sz w:val="24"/>
          <w:szCs w:val="24"/>
          <w:shd w:val="clear" w:color="auto" w:fill="FFFFFF"/>
        </w:rPr>
      </w:pPr>
      <w:r w:rsidRPr="00862829">
        <w:rPr>
          <w:rFonts w:ascii="Times New Roman" w:hAnsi="Times New Roman" w:cs="Times New Roman"/>
          <w:color w:val="373739"/>
          <w:sz w:val="24"/>
          <w:szCs w:val="24"/>
          <w:shd w:val="clear" w:color="auto" w:fill="FFFFFF"/>
        </w:rPr>
        <w:t>R.C. 4903.09 requires that the PUCO decisions must be based on findings of fact and written opinions setting forth the reasons prompting the decisions arrived at, based upon said findings of fact.</w:t>
      </w:r>
      <w:r>
        <w:rPr>
          <w:rStyle w:val="FootnoteReference"/>
          <w:rFonts w:ascii="Times New Roman" w:hAnsi="Times New Roman" w:cs="Times New Roman"/>
          <w:color w:val="373739"/>
          <w:sz w:val="24"/>
          <w:szCs w:val="24"/>
          <w:shd w:val="clear" w:color="auto" w:fill="FFFFFF"/>
        </w:rPr>
        <w:footnoteReference w:id="13"/>
      </w:r>
      <w:r w:rsidRPr="00862829">
        <w:rPr>
          <w:rFonts w:ascii="Times New Roman" w:hAnsi="Times New Roman" w:cs="Times New Roman"/>
          <w:color w:val="373739"/>
          <w:sz w:val="24"/>
          <w:szCs w:val="24"/>
          <w:shd w:val="clear" w:color="auto" w:fill="FFFFFF"/>
        </w:rPr>
        <w:t xml:space="preserve"> </w:t>
      </w:r>
      <w:r w:rsidRPr="00937028">
        <w:rPr>
          <w:rFonts w:ascii="Times New Roman" w:hAnsi="Times New Roman" w:cs="Times New Roman"/>
          <w:color w:val="373739"/>
          <w:sz w:val="24"/>
          <w:szCs w:val="24"/>
          <w:shd w:val="clear" w:color="auto" w:fill="FFFFFF"/>
        </w:rPr>
        <w:t xml:space="preserve">This concept has been confirmed by the Ohio Supreme Court in </w:t>
      </w:r>
      <w:r w:rsidRPr="00937028">
        <w:rPr>
          <w:rFonts w:ascii="Times New Roman" w:hAnsi="Times New Roman" w:cs="Times New Roman"/>
          <w:i/>
          <w:iCs/>
          <w:color w:val="373739"/>
          <w:sz w:val="24"/>
          <w:szCs w:val="24"/>
          <w:shd w:val="clear" w:color="auto" w:fill="FFFFFF"/>
        </w:rPr>
        <w:t>Tongren</w:t>
      </w:r>
      <w:r w:rsidRPr="00E45058">
        <w:rPr>
          <w:rFonts w:ascii="Times New Roman" w:hAnsi="Times New Roman" w:cs="Times New Roman"/>
          <w:color w:val="373739"/>
          <w:sz w:val="24"/>
          <w:szCs w:val="24"/>
          <w:shd w:val="clear" w:color="auto" w:fill="FFFFFF"/>
        </w:rPr>
        <w:t>.</w:t>
      </w:r>
      <w:r>
        <w:rPr>
          <w:rStyle w:val="FootnoteReference"/>
          <w:rFonts w:ascii="Times New Roman" w:hAnsi="Times New Roman" w:cs="Times New Roman"/>
          <w:color w:val="373739"/>
          <w:sz w:val="24"/>
          <w:szCs w:val="24"/>
          <w:shd w:val="clear" w:color="auto" w:fill="FFFFFF"/>
        </w:rPr>
        <w:footnoteReference w:id="14"/>
      </w:r>
    </w:p>
    <w:p w:rsidR="00DC095B" w:rsidRPr="00862829" w:rsidP="00DC095B" w14:paraId="2E714E48" w14:textId="77777777">
      <w:pPr>
        <w:spacing w:after="0" w:line="480" w:lineRule="auto"/>
        <w:ind w:firstLine="720"/>
        <w:rPr>
          <w:rFonts w:ascii="Times New Roman" w:hAnsi="Times New Roman" w:cs="Times New Roman"/>
          <w:i/>
          <w:iCs/>
          <w:sz w:val="24"/>
          <w:szCs w:val="24"/>
        </w:rPr>
      </w:pPr>
      <w:r w:rsidRPr="00937028">
        <w:rPr>
          <w:rFonts w:ascii="Times New Roman" w:hAnsi="Times New Roman" w:cs="Times New Roman"/>
          <w:color w:val="373739"/>
          <w:sz w:val="24"/>
          <w:szCs w:val="24"/>
          <w:shd w:val="clear" w:color="auto" w:fill="FFFFFF"/>
        </w:rPr>
        <w:t xml:space="preserve">In </w:t>
      </w:r>
      <w:r w:rsidRPr="00937028">
        <w:rPr>
          <w:rFonts w:ascii="Times New Roman" w:hAnsi="Times New Roman" w:cs="Times New Roman"/>
          <w:i/>
          <w:iCs/>
          <w:color w:val="373739"/>
          <w:sz w:val="24"/>
          <w:szCs w:val="24"/>
          <w:shd w:val="clear" w:color="auto" w:fill="FFFFFF"/>
        </w:rPr>
        <w:t xml:space="preserve">Tongren, </w:t>
      </w:r>
      <w:r w:rsidRPr="00E45058">
        <w:rPr>
          <w:rFonts w:ascii="Times New Roman" w:hAnsi="Times New Roman" w:cs="Times New Roman"/>
          <w:color w:val="373739"/>
          <w:sz w:val="24"/>
          <w:szCs w:val="24"/>
          <w:shd w:val="clear" w:color="auto" w:fill="FFFFFF"/>
        </w:rPr>
        <w:t xml:space="preserve">the </w:t>
      </w:r>
      <w:r w:rsidRPr="001C2A4D">
        <w:rPr>
          <w:rFonts w:ascii="Times New Roman" w:hAnsi="Times New Roman" w:cs="Times New Roman"/>
          <w:color w:val="373739"/>
          <w:sz w:val="24"/>
          <w:szCs w:val="24"/>
          <w:shd w:val="clear" w:color="auto" w:fill="FFFFFF"/>
        </w:rPr>
        <w:t xml:space="preserve">Ohio Supreme Court determined that </w:t>
      </w:r>
      <w:r w:rsidRPr="00080966">
        <w:rPr>
          <w:rStyle w:val="ssrfcsection"/>
          <w:rFonts w:ascii="Times New Roman" w:hAnsi="Times New Roman" w:cs="Times New Roman"/>
          <w:color w:val="373739"/>
          <w:sz w:val="24"/>
          <w:szCs w:val="24"/>
          <w:bdr w:val="none" w:sz="0" w:space="0" w:color="auto" w:frame="1"/>
        </w:rPr>
        <w:t xml:space="preserve">a </w:t>
      </w:r>
      <w:r w:rsidRPr="00862829">
        <w:rPr>
          <w:rStyle w:val="ssrfcsection"/>
          <w:rFonts w:ascii="Times New Roman" w:hAnsi="Times New Roman" w:cs="Times New Roman"/>
          <w:color w:val="373739"/>
          <w:sz w:val="24"/>
          <w:szCs w:val="24"/>
          <w:bdr w:val="none" w:sz="0" w:space="0" w:color="auto" w:frame="1"/>
        </w:rPr>
        <w:t>PUCO order must provide "in sufficient detail, the facts in the record upon which the order is based, and the reasoning followed by the PUCO in reaching its conclusion.”</w:t>
      </w:r>
      <w:r>
        <w:rPr>
          <w:rStyle w:val="FootnoteReference"/>
          <w:rFonts w:ascii="Times New Roman" w:hAnsi="Times New Roman" w:cs="Times New Roman"/>
          <w:color w:val="373739"/>
          <w:sz w:val="24"/>
          <w:szCs w:val="24"/>
          <w:bdr w:val="none" w:sz="0" w:space="0" w:color="auto" w:frame="1"/>
        </w:rPr>
        <w:footnoteReference w:id="15"/>
      </w:r>
      <w:r w:rsidRPr="00862829">
        <w:rPr>
          <w:rStyle w:val="ssrfcsection"/>
          <w:rFonts w:ascii="Times New Roman" w:hAnsi="Times New Roman" w:cs="Times New Roman"/>
          <w:color w:val="373739"/>
          <w:sz w:val="24"/>
          <w:szCs w:val="24"/>
          <w:bdr w:val="none" w:sz="0" w:space="0" w:color="auto" w:frame="1"/>
        </w:rPr>
        <w:t xml:space="preserve"> </w:t>
      </w:r>
      <w:r w:rsidRPr="00937028">
        <w:rPr>
          <w:rStyle w:val="ssrfcsection"/>
          <w:rFonts w:ascii="Times New Roman" w:hAnsi="Times New Roman" w:cs="Times New Roman"/>
          <w:color w:val="373739"/>
          <w:sz w:val="24"/>
          <w:szCs w:val="24"/>
          <w:bdr w:val="none" w:sz="0" w:space="0" w:color="auto" w:frame="1"/>
        </w:rPr>
        <w:t>The Court also clarified that</w:t>
      </w:r>
      <w:r w:rsidRPr="00937028">
        <w:rPr>
          <w:rStyle w:val="ssrfcpassagedeactivated"/>
          <w:rFonts w:ascii="Times New Roman" w:hAnsi="Times New Roman" w:cs="Times New Roman"/>
          <w:color w:val="373739"/>
          <w:sz w:val="24"/>
          <w:szCs w:val="24"/>
          <w:bdr w:val="none" w:sz="0" w:space="0" w:color="auto" w:frame="1"/>
        </w:rPr>
        <w:t xml:space="preserve"> some factual support for </w:t>
      </w:r>
      <w:r w:rsidRPr="00E45058">
        <w:rPr>
          <w:rStyle w:val="ssrfcpassagedeactivated"/>
          <w:rFonts w:ascii="Times New Roman" w:hAnsi="Times New Roman" w:cs="Times New Roman"/>
          <w:color w:val="373739"/>
          <w:sz w:val="24"/>
          <w:szCs w:val="24"/>
          <w:bdr w:val="none" w:sz="0" w:space="0" w:color="auto" w:frame="1"/>
        </w:rPr>
        <w:t>PUCO</w:t>
      </w:r>
      <w:r w:rsidRPr="001C2A4D">
        <w:rPr>
          <w:rStyle w:val="ssrfcpassagedeactivated"/>
          <w:rFonts w:ascii="Times New Roman" w:hAnsi="Times New Roman" w:cs="Times New Roman"/>
          <w:color w:val="373739"/>
          <w:sz w:val="24"/>
          <w:szCs w:val="24"/>
          <w:bdr w:val="none" w:sz="0" w:space="0" w:color="auto" w:frame="1"/>
        </w:rPr>
        <w:t xml:space="preserve"> determinations must exist in the record, an</w:t>
      </w:r>
      <w:r w:rsidRPr="00080966">
        <w:rPr>
          <w:rStyle w:val="ssrfcpassagedeactivated"/>
          <w:rFonts w:ascii="Times New Roman" w:hAnsi="Times New Roman" w:cs="Times New Roman"/>
          <w:color w:val="373739"/>
          <w:sz w:val="24"/>
          <w:szCs w:val="24"/>
          <w:bdr w:val="none" w:sz="0" w:space="0" w:color="auto" w:frame="1"/>
        </w:rPr>
        <w:t>d</w:t>
      </w:r>
      <w:r w:rsidRPr="00862829">
        <w:rPr>
          <w:rStyle w:val="ssrfcpassagedeactivated"/>
          <w:rFonts w:ascii="Times New Roman" w:hAnsi="Times New Roman" w:cs="Times New Roman"/>
          <w:color w:val="373739"/>
          <w:sz w:val="24"/>
          <w:szCs w:val="24"/>
          <w:bdr w:val="none" w:sz="0" w:space="0" w:color="auto" w:frame="1"/>
        </w:rPr>
        <w:t xml:space="preserve"> this is an obligation which the PUCO itself has recognized in its orders.</w:t>
      </w:r>
      <w:r>
        <w:rPr>
          <w:rStyle w:val="FootnoteReference"/>
          <w:rFonts w:ascii="Times New Roman" w:hAnsi="Times New Roman" w:cs="Times New Roman"/>
          <w:color w:val="373739"/>
          <w:sz w:val="24"/>
          <w:szCs w:val="24"/>
          <w:bdr w:val="none" w:sz="0" w:space="0" w:color="auto" w:frame="1"/>
        </w:rPr>
        <w:footnoteReference w:id="16"/>
      </w:r>
      <w:r w:rsidRPr="00862829">
        <w:rPr>
          <w:rStyle w:val="ssrfcpassagedeactivated"/>
          <w:rFonts w:ascii="Times New Roman" w:hAnsi="Times New Roman" w:cs="Times New Roman"/>
          <w:color w:val="373739"/>
          <w:sz w:val="24"/>
          <w:szCs w:val="24"/>
          <w:bdr w:val="none" w:sz="0" w:space="0" w:color="auto" w:frame="1"/>
        </w:rPr>
        <w:t xml:space="preserve"> </w:t>
      </w:r>
      <w:r w:rsidRPr="00937028">
        <w:rPr>
          <w:rStyle w:val="ssrfcpassagedeactivated"/>
          <w:rFonts w:ascii="Times New Roman" w:hAnsi="Times New Roman" w:cs="Times New Roman"/>
          <w:color w:val="373739"/>
          <w:sz w:val="24"/>
          <w:szCs w:val="24"/>
          <w:bdr w:val="none" w:sz="0" w:space="0" w:color="auto" w:frame="1"/>
        </w:rPr>
        <w:t>In this case, the PUCO failed to p</w:t>
      </w:r>
      <w:r w:rsidRPr="00E45058">
        <w:rPr>
          <w:rStyle w:val="ssrfcsection"/>
          <w:rFonts w:ascii="Times New Roman" w:hAnsi="Times New Roman" w:cs="Times New Roman"/>
          <w:color w:val="373739"/>
          <w:sz w:val="24"/>
          <w:szCs w:val="24"/>
          <w:bdr w:val="none" w:sz="0" w:space="0" w:color="auto" w:frame="1"/>
        </w:rPr>
        <w:t xml:space="preserve">rovide "in sufficient detail, the facts in the record upon which the order is based, and the reasoning </w:t>
      </w:r>
      <w:r w:rsidRPr="001C2A4D">
        <w:rPr>
          <w:rStyle w:val="ssrfcsection"/>
          <w:rFonts w:ascii="Times New Roman" w:hAnsi="Times New Roman" w:cs="Times New Roman"/>
          <w:color w:val="373739"/>
          <w:sz w:val="24"/>
          <w:szCs w:val="24"/>
          <w:bdr w:val="none" w:sz="0" w:space="0" w:color="auto" w:frame="1"/>
        </w:rPr>
        <w:t xml:space="preserve">it </w:t>
      </w:r>
      <w:r w:rsidRPr="00080966">
        <w:rPr>
          <w:rStyle w:val="ssrfcsection"/>
          <w:rFonts w:ascii="Times New Roman" w:hAnsi="Times New Roman" w:cs="Times New Roman"/>
          <w:color w:val="373739"/>
          <w:sz w:val="24"/>
          <w:szCs w:val="24"/>
          <w:bdr w:val="none" w:sz="0" w:space="0" w:color="auto" w:frame="1"/>
        </w:rPr>
        <w:t>followed in reaching its conclusio</w:t>
      </w:r>
      <w:r w:rsidRPr="00862829">
        <w:rPr>
          <w:rStyle w:val="ssrfcsection"/>
          <w:rFonts w:ascii="Times New Roman" w:hAnsi="Times New Roman" w:cs="Times New Roman"/>
          <w:color w:val="373739"/>
          <w:sz w:val="24"/>
          <w:szCs w:val="24"/>
          <w:bdr w:val="none" w:sz="0" w:space="0" w:color="auto" w:frame="1"/>
        </w:rPr>
        <w:t>n.</w:t>
      </w:r>
    </w:p>
    <w:p w:rsidR="00DC095B" w:rsidRPr="00080966" w:rsidP="00DC095B" w14:paraId="4BD4DC2C" w14:textId="6A421718">
      <w:pPr>
        <w:spacing w:after="0" w:line="480" w:lineRule="auto"/>
        <w:ind w:firstLine="720"/>
        <w:rPr>
          <w:rFonts w:ascii="Times New Roman" w:hAnsi="Times New Roman" w:cs="Times New Roman"/>
          <w:sz w:val="24"/>
          <w:szCs w:val="24"/>
        </w:rPr>
      </w:pPr>
      <w:r w:rsidRPr="00862829">
        <w:rPr>
          <w:rFonts w:ascii="Times New Roman" w:hAnsi="Times New Roman" w:cs="Times New Roman"/>
          <w:i/>
          <w:iCs/>
          <w:sz w:val="24"/>
          <w:szCs w:val="24"/>
        </w:rPr>
        <w:t xml:space="preserve">Tongren </w:t>
      </w:r>
      <w:r w:rsidRPr="00862829">
        <w:rPr>
          <w:rFonts w:ascii="Times New Roman" w:hAnsi="Times New Roman" w:cs="Times New Roman"/>
          <w:sz w:val="24"/>
          <w:szCs w:val="24"/>
        </w:rPr>
        <w:t xml:space="preserve">requires that the PUCO provide reasoning based on facts </w:t>
      </w:r>
      <w:r w:rsidRPr="00862829">
        <w:rPr>
          <w:rFonts w:ascii="Times New Roman" w:hAnsi="Times New Roman" w:cs="Times New Roman"/>
          <w:i/>
          <w:iCs/>
          <w:sz w:val="24"/>
          <w:szCs w:val="24"/>
        </w:rPr>
        <w:t xml:space="preserve">on the record </w:t>
      </w:r>
      <w:r w:rsidRPr="00862829">
        <w:rPr>
          <w:rFonts w:ascii="Times New Roman" w:hAnsi="Times New Roman" w:cs="Times New Roman"/>
          <w:sz w:val="24"/>
          <w:szCs w:val="24"/>
        </w:rPr>
        <w:t xml:space="preserve">in </w:t>
      </w:r>
      <w:r w:rsidRPr="00862829">
        <w:rPr>
          <w:rFonts w:ascii="Times New Roman" w:hAnsi="Times New Roman" w:cs="Times New Roman"/>
          <w:i/>
          <w:iCs/>
          <w:sz w:val="24"/>
          <w:szCs w:val="24"/>
        </w:rPr>
        <w:t>this</w:t>
      </w:r>
      <w:r w:rsidRPr="00862829">
        <w:rPr>
          <w:rFonts w:ascii="Times New Roman" w:hAnsi="Times New Roman" w:cs="Times New Roman"/>
          <w:sz w:val="24"/>
          <w:szCs w:val="24"/>
        </w:rPr>
        <w:t xml:space="preserve"> case for its decision to reject “shadow</w:t>
      </w:r>
      <w:r w:rsidR="009F7843">
        <w:rPr>
          <w:rFonts w:ascii="Times New Roman" w:hAnsi="Times New Roman" w:cs="Times New Roman"/>
          <w:sz w:val="24"/>
          <w:szCs w:val="24"/>
        </w:rPr>
        <w:t>-</w:t>
      </w:r>
      <w:r w:rsidRPr="00862829">
        <w:rPr>
          <w:rFonts w:ascii="Times New Roman" w:hAnsi="Times New Roman" w:cs="Times New Roman"/>
          <w:sz w:val="24"/>
          <w:szCs w:val="24"/>
        </w:rPr>
        <w:t xml:space="preserve">billing.” The PUCO failed to do so when it found that shadow-billing </w:t>
      </w:r>
      <w:r w:rsidRPr="00862829" w:rsidR="00910FEA">
        <w:rPr>
          <w:rFonts w:ascii="Times New Roman" w:hAnsi="Times New Roman" w:cs="Times New Roman"/>
          <w:sz w:val="24"/>
          <w:szCs w:val="24"/>
        </w:rPr>
        <w:t>would “</w:t>
      </w:r>
      <w:r w:rsidRPr="00862829">
        <w:rPr>
          <w:rFonts w:ascii="Times New Roman" w:hAnsi="Times New Roman" w:cs="Times New Roman"/>
          <w:sz w:val="24"/>
          <w:szCs w:val="24"/>
        </w:rPr>
        <w:t>require significant billing changes” (the Utilities’ and marketers’ argument).</w:t>
      </w:r>
      <w:r>
        <w:rPr>
          <w:rStyle w:val="FootnoteReference"/>
          <w:rFonts w:ascii="Times New Roman" w:hAnsi="Times New Roman" w:cs="Times New Roman"/>
          <w:sz w:val="24"/>
          <w:szCs w:val="24"/>
        </w:rPr>
        <w:footnoteReference w:id="17"/>
      </w:r>
      <w:r w:rsidRPr="00862829">
        <w:rPr>
          <w:rFonts w:ascii="Times New Roman" w:hAnsi="Times New Roman" w:cs="Times New Roman"/>
          <w:sz w:val="24"/>
          <w:szCs w:val="24"/>
        </w:rPr>
        <w:t xml:space="preserve"> </w:t>
      </w:r>
      <w:r w:rsidRPr="00937028">
        <w:rPr>
          <w:rFonts w:ascii="Times New Roman" w:hAnsi="Times New Roman" w:cs="Times New Roman"/>
          <w:sz w:val="24"/>
          <w:szCs w:val="24"/>
        </w:rPr>
        <w:t xml:space="preserve">And it couldn’t have </w:t>
      </w:r>
      <w:r w:rsidRPr="00E45058">
        <w:rPr>
          <w:rFonts w:ascii="Times New Roman" w:hAnsi="Times New Roman" w:cs="Times New Roman"/>
          <w:sz w:val="24"/>
          <w:szCs w:val="24"/>
        </w:rPr>
        <w:t>because no data or costs were provided</w:t>
      </w:r>
      <w:r w:rsidR="00623F15">
        <w:rPr>
          <w:rFonts w:ascii="Times New Roman" w:hAnsi="Times New Roman" w:cs="Times New Roman"/>
          <w:sz w:val="24"/>
          <w:szCs w:val="24"/>
        </w:rPr>
        <w:t>.</w:t>
      </w:r>
      <w:r w:rsidRPr="001C2A4D">
        <w:rPr>
          <w:rFonts w:ascii="Times New Roman" w:hAnsi="Times New Roman" w:cs="Times New Roman"/>
          <w:sz w:val="24"/>
          <w:szCs w:val="24"/>
        </w:rPr>
        <w:t xml:space="preserve"> </w:t>
      </w:r>
    </w:p>
    <w:p w:rsidR="00E1467F" w:rsidP="000664E8" w14:paraId="7CAA7D01" w14:textId="15EA5410">
      <w:pPr>
        <w:spacing w:after="0" w:line="480" w:lineRule="auto"/>
        <w:ind w:firstLine="720"/>
        <w:rPr>
          <w:rFonts w:ascii="Times New Roman" w:hAnsi="Times New Roman" w:cs="Times New Roman"/>
          <w:sz w:val="24"/>
          <w:szCs w:val="24"/>
        </w:rPr>
      </w:pPr>
      <w:r w:rsidRPr="00862829">
        <w:rPr>
          <w:rFonts w:ascii="Times New Roman" w:hAnsi="Times New Roman" w:cs="Times New Roman"/>
          <w:sz w:val="24"/>
          <w:szCs w:val="24"/>
        </w:rPr>
        <w:t>The PUCO’s order states that “consistent with our decisions in prior cases, the Commission declines to adopt OCC’s shadow-billing proposal…its proposal would require significant billing system changes.”</w:t>
      </w:r>
      <w:r>
        <w:rPr>
          <w:rStyle w:val="FootnoteReference"/>
          <w:rFonts w:ascii="Times New Roman" w:hAnsi="Times New Roman" w:cs="Times New Roman"/>
          <w:sz w:val="24"/>
          <w:szCs w:val="24"/>
        </w:rPr>
        <w:footnoteReference w:id="18"/>
      </w:r>
      <w:r w:rsidRPr="00862829">
        <w:rPr>
          <w:rFonts w:ascii="Times New Roman" w:hAnsi="Times New Roman" w:cs="Times New Roman"/>
          <w:sz w:val="24"/>
          <w:szCs w:val="24"/>
        </w:rPr>
        <w:t xml:space="preserve"> </w:t>
      </w:r>
      <w:r w:rsidRPr="00937028">
        <w:rPr>
          <w:rFonts w:ascii="Times New Roman" w:hAnsi="Times New Roman" w:cs="Times New Roman"/>
          <w:sz w:val="24"/>
          <w:szCs w:val="24"/>
        </w:rPr>
        <w:t>But none of the “significant billing system changes</w:t>
      </w:r>
      <w:r w:rsidRPr="00E45058">
        <w:rPr>
          <w:rFonts w:ascii="Times New Roman" w:hAnsi="Times New Roman" w:cs="Times New Roman"/>
          <w:sz w:val="24"/>
          <w:szCs w:val="24"/>
        </w:rPr>
        <w:t>,</w:t>
      </w:r>
      <w:r w:rsidRPr="001C2A4D">
        <w:rPr>
          <w:rFonts w:ascii="Times New Roman" w:hAnsi="Times New Roman" w:cs="Times New Roman"/>
          <w:sz w:val="24"/>
          <w:szCs w:val="24"/>
        </w:rPr>
        <w:t>”</w:t>
      </w:r>
      <w:r w:rsidRPr="00080966">
        <w:rPr>
          <w:rFonts w:ascii="Times New Roman" w:hAnsi="Times New Roman" w:cs="Times New Roman"/>
          <w:sz w:val="24"/>
          <w:szCs w:val="24"/>
        </w:rPr>
        <w:t xml:space="preserve"> </w:t>
      </w:r>
      <w:r w:rsidRPr="00862829">
        <w:rPr>
          <w:rFonts w:ascii="Times New Roman" w:hAnsi="Times New Roman" w:cs="Times New Roman"/>
          <w:sz w:val="24"/>
          <w:szCs w:val="24"/>
        </w:rPr>
        <w:t xml:space="preserve">nor their implementation costs were provided. </w:t>
      </w:r>
      <w:r w:rsidR="003A7526">
        <w:rPr>
          <w:rFonts w:ascii="Times New Roman" w:hAnsi="Times New Roman" w:cs="Times New Roman"/>
          <w:sz w:val="24"/>
          <w:szCs w:val="24"/>
        </w:rPr>
        <w:t xml:space="preserve">The only costs were do know are </w:t>
      </w:r>
      <w:r w:rsidR="0072055F">
        <w:rPr>
          <w:rFonts w:ascii="Times New Roman" w:hAnsi="Times New Roman" w:cs="Times New Roman"/>
          <w:sz w:val="24"/>
          <w:szCs w:val="24"/>
        </w:rPr>
        <w:t>how much</w:t>
      </w:r>
      <w:r w:rsidR="003A7526">
        <w:rPr>
          <w:rFonts w:ascii="Times New Roman" w:hAnsi="Times New Roman" w:cs="Times New Roman"/>
          <w:sz w:val="24"/>
          <w:szCs w:val="24"/>
        </w:rPr>
        <w:t xml:space="preserve"> consumers are over-paying</w:t>
      </w:r>
      <w:r w:rsidRPr="0072055F" w:rsidR="0072055F">
        <w:rPr>
          <w:rFonts w:ascii="Times New Roman" w:hAnsi="Times New Roman" w:cs="Times New Roman"/>
          <w:sz w:val="24"/>
          <w:szCs w:val="24"/>
        </w:rPr>
        <w:t>—</w:t>
      </w:r>
      <w:r w:rsidR="003A7526">
        <w:rPr>
          <w:rFonts w:ascii="Times New Roman" w:hAnsi="Times New Roman" w:cs="Times New Roman"/>
          <w:sz w:val="24"/>
          <w:szCs w:val="24"/>
        </w:rPr>
        <w:t>$19.2 billion.</w:t>
      </w:r>
      <w:r>
        <w:rPr>
          <w:rStyle w:val="FootnoteReference"/>
          <w:rFonts w:ascii="Times New Roman" w:hAnsi="Times New Roman" w:cs="Times New Roman"/>
          <w:sz w:val="24"/>
          <w:szCs w:val="24"/>
        </w:rPr>
        <w:footnoteReference w:id="19"/>
      </w:r>
      <w:r w:rsidR="003A7526">
        <w:rPr>
          <w:rFonts w:ascii="Times New Roman" w:hAnsi="Times New Roman" w:cs="Times New Roman"/>
          <w:sz w:val="24"/>
          <w:szCs w:val="24"/>
        </w:rPr>
        <w:t xml:space="preserve"> </w:t>
      </w:r>
    </w:p>
    <w:p w:rsidR="000664E8" w:rsidRPr="00E45058" w:rsidP="000664E8" w14:paraId="7D3C9B0D" w14:textId="6956C988">
      <w:pPr>
        <w:spacing w:after="0" w:line="480" w:lineRule="auto"/>
        <w:ind w:firstLine="720"/>
        <w:rPr>
          <w:rFonts w:ascii="Times New Roman" w:hAnsi="Times New Roman" w:cs="Times New Roman"/>
          <w:sz w:val="24"/>
          <w:szCs w:val="24"/>
        </w:rPr>
      </w:pPr>
      <w:r w:rsidRPr="00862829">
        <w:rPr>
          <w:rFonts w:ascii="Times New Roman" w:hAnsi="Times New Roman" w:cs="Times New Roman"/>
          <w:sz w:val="24"/>
          <w:szCs w:val="24"/>
        </w:rPr>
        <w:t>Without th</w:t>
      </w:r>
      <w:r w:rsidR="003A7526">
        <w:rPr>
          <w:rFonts w:ascii="Times New Roman" w:hAnsi="Times New Roman" w:cs="Times New Roman"/>
          <w:sz w:val="24"/>
          <w:szCs w:val="24"/>
        </w:rPr>
        <w:t>e utilit</w:t>
      </w:r>
      <w:r w:rsidR="0072055F">
        <w:rPr>
          <w:rFonts w:ascii="Times New Roman" w:hAnsi="Times New Roman" w:cs="Times New Roman"/>
          <w:sz w:val="24"/>
          <w:szCs w:val="24"/>
        </w:rPr>
        <w:t>ies’</w:t>
      </w:r>
      <w:r w:rsidR="003A7526">
        <w:rPr>
          <w:rFonts w:ascii="Times New Roman" w:hAnsi="Times New Roman" w:cs="Times New Roman"/>
          <w:sz w:val="24"/>
          <w:szCs w:val="24"/>
        </w:rPr>
        <w:t xml:space="preserve"> </w:t>
      </w:r>
      <w:r w:rsidR="00BD478C">
        <w:rPr>
          <w:rFonts w:ascii="Times New Roman" w:hAnsi="Times New Roman" w:cs="Times New Roman"/>
          <w:sz w:val="24"/>
          <w:szCs w:val="24"/>
        </w:rPr>
        <w:t>costs for their “significant billing system” changes</w:t>
      </w:r>
      <w:r w:rsidRPr="00862829">
        <w:rPr>
          <w:rFonts w:ascii="Times New Roman" w:hAnsi="Times New Roman" w:cs="Times New Roman"/>
          <w:sz w:val="24"/>
          <w:szCs w:val="24"/>
        </w:rPr>
        <w:t xml:space="preserve"> </w:t>
      </w:r>
      <w:r w:rsidR="00BD478C">
        <w:rPr>
          <w:rFonts w:ascii="Times New Roman" w:hAnsi="Times New Roman" w:cs="Times New Roman"/>
          <w:sz w:val="24"/>
          <w:szCs w:val="24"/>
        </w:rPr>
        <w:t xml:space="preserve">and </w:t>
      </w:r>
      <w:r w:rsidRPr="00862829">
        <w:rPr>
          <w:rFonts w:ascii="Times New Roman" w:hAnsi="Times New Roman" w:cs="Times New Roman"/>
          <w:sz w:val="24"/>
          <w:szCs w:val="24"/>
        </w:rPr>
        <w:t>information on the record, the PUCO failed to base its decision on findings of fact and record evidence</w:t>
      </w:r>
      <w:r w:rsidRPr="00937028">
        <w:rPr>
          <w:rFonts w:ascii="Times New Roman" w:hAnsi="Times New Roman" w:cs="Times New Roman"/>
          <w:sz w:val="24"/>
          <w:szCs w:val="24"/>
        </w:rPr>
        <w:t>. An</w:t>
      </w:r>
      <w:r w:rsidRPr="00E45058">
        <w:rPr>
          <w:rFonts w:ascii="Times New Roman" w:hAnsi="Times New Roman" w:cs="Times New Roman"/>
          <w:sz w:val="24"/>
          <w:szCs w:val="24"/>
        </w:rPr>
        <w:t>d</w:t>
      </w:r>
      <w:r w:rsidRPr="001C2A4D">
        <w:rPr>
          <w:rFonts w:ascii="Times New Roman" w:hAnsi="Times New Roman" w:cs="Times New Roman"/>
          <w:sz w:val="24"/>
          <w:szCs w:val="24"/>
        </w:rPr>
        <w:t xml:space="preserve"> in this </w:t>
      </w:r>
      <w:r w:rsidRPr="009344C8">
        <w:rPr>
          <w:rFonts w:ascii="Times New Roman" w:hAnsi="Times New Roman" w:cs="Times New Roman"/>
          <w:sz w:val="24"/>
          <w:szCs w:val="24"/>
        </w:rPr>
        <w:t>specific case</w:t>
      </w:r>
      <w:r w:rsidRPr="00080966">
        <w:rPr>
          <w:rFonts w:ascii="Times New Roman" w:hAnsi="Times New Roman" w:cs="Times New Roman"/>
          <w:sz w:val="24"/>
          <w:szCs w:val="24"/>
        </w:rPr>
        <w:t>—it</w:t>
      </w:r>
      <w:r w:rsidRPr="00862829">
        <w:rPr>
          <w:rFonts w:ascii="Times New Roman" w:hAnsi="Times New Roman" w:cs="Times New Roman"/>
          <w:sz w:val="24"/>
          <w:szCs w:val="24"/>
        </w:rPr>
        <w:t xml:space="preserve"> cannot just make a blanket rejection statement merely because “it did so before.”</w:t>
      </w:r>
      <w:r>
        <w:rPr>
          <w:rStyle w:val="FootnoteReference"/>
          <w:rFonts w:ascii="Times New Roman" w:hAnsi="Times New Roman" w:cs="Times New Roman"/>
          <w:sz w:val="24"/>
          <w:szCs w:val="24"/>
        </w:rPr>
        <w:footnoteReference w:id="20"/>
      </w:r>
      <w:r w:rsidRPr="00862829">
        <w:rPr>
          <w:rFonts w:ascii="Times New Roman" w:hAnsi="Times New Roman" w:cs="Times New Roman"/>
          <w:sz w:val="24"/>
          <w:szCs w:val="24"/>
        </w:rPr>
        <w:t xml:space="preserve"> </w:t>
      </w:r>
      <w:r w:rsidRPr="00D06FF1" w:rsidR="00EA7BE4">
        <w:rPr>
          <w:rFonts w:ascii="Times New Roman" w:hAnsi="Times New Roman" w:cs="Times New Roman"/>
          <w:sz w:val="24"/>
          <w:szCs w:val="24"/>
        </w:rPr>
        <w:t xml:space="preserve">This decision violates R.C. 4903.09 and the Ohio Supreme Court precedent in </w:t>
      </w:r>
      <w:r w:rsidRPr="00D06FF1" w:rsidR="00EA7BE4">
        <w:rPr>
          <w:rFonts w:ascii="Times New Roman" w:hAnsi="Times New Roman" w:cs="Times New Roman"/>
          <w:i/>
          <w:iCs/>
          <w:sz w:val="24"/>
          <w:szCs w:val="24"/>
        </w:rPr>
        <w:t>Tongren.</w:t>
      </w:r>
      <w:r>
        <w:rPr>
          <w:rStyle w:val="FootnoteReference"/>
          <w:rFonts w:ascii="Times New Roman" w:hAnsi="Times New Roman" w:cs="Times New Roman"/>
          <w:sz w:val="24"/>
          <w:szCs w:val="24"/>
        </w:rPr>
        <w:footnoteReference w:id="21"/>
      </w:r>
      <w:r w:rsidRPr="00D06FF1" w:rsidR="00EA7BE4">
        <w:rPr>
          <w:rFonts w:ascii="Times New Roman" w:hAnsi="Times New Roman" w:cs="Times New Roman"/>
          <w:i/>
          <w:iCs/>
          <w:sz w:val="24"/>
          <w:szCs w:val="24"/>
        </w:rPr>
        <w:t xml:space="preserve"> </w:t>
      </w:r>
      <w:r w:rsidRPr="00862829">
        <w:rPr>
          <w:rFonts w:ascii="Times New Roman" w:hAnsi="Times New Roman" w:cs="Times New Roman"/>
          <w:sz w:val="24"/>
          <w:szCs w:val="24"/>
        </w:rPr>
        <w:t>The PUCO’s Order is unreasonable</w:t>
      </w:r>
      <w:r w:rsidRPr="00937028">
        <w:rPr>
          <w:rFonts w:ascii="Times New Roman" w:hAnsi="Times New Roman" w:cs="Times New Roman"/>
          <w:sz w:val="24"/>
          <w:szCs w:val="24"/>
        </w:rPr>
        <w:t xml:space="preserve"> and OCC’s application for rehearing should be granted.</w:t>
      </w:r>
    </w:p>
    <w:p w:rsidR="004C434B" w:rsidRPr="0028685C" w:rsidP="00E60BEF" w14:paraId="0E566C67" w14:textId="51FDD71F">
      <w:pPr>
        <w:pStyle w:val="Heading3"/>
        <w:rPr>
          <w:rFonts w:hint="eastAsia"/>
        </w:rPr>
      </w:pPr>
      <w:bookmarkStart w:id="14" w:name="_Toc67669762"/>
      <w:bookmarkStart w:id="15" w:name="_Toc67670096"/>
      <w:bookmarkStart w:id="16" w:name="_Toc67671094"/>
      <w:r>
        <w:rPr>
          <w:rStyle w:val="Heading2Char"/>
          <w:rFonts w:ascii="Times New Roman Bold" w:hAnsi="Times New Roman Bold" w:eastAsiaTheme="majorEastAsia" w:cstheme="majorBidi"/>
          <w:b/>
          <w:bCs w:val="0"/>
        </w:rPr>
        <w:t>B.</w:t>
      </w:r>
      <w:r>
        <w:rPr>
          <w:rStyle w:val="Heading2Char"/>
          <w:rFonts w:ascii="Times New Roman Bold" w:hAnsi="Times New Roman Bold" w:eastAsiaTheme="majorEastAsia" w:cstheme="majorBidi"/>
          <w:b/>
          <w:bCs w:val="0"/>
        </w:rPr>
        <w:tab/>
      </w:r>
      <w:r w:rsidRPr="0028685C" w:rsidR="00EA7BE4">
        <w:rPr>
          <w:rStyle w:val="Heading2Char"/>
          <w:rFonts w:ascii="Times New Roman Bold" w:hAnsi="Times New Roman Bold" w:eastAsiaTheme="majorEastAsia" w:cstheme="majorBidi"/>
          <w:b/>
          <w:bCs w:val="0"/>
        </w:rPr>
        <w:t xml:space="preserve">The PUCO also erred when it </w:t>
      </w:r>
      <w:r w:rsidRPr="0028685C" w:rsidR="00CB6F0C">
        <w:rPr>
          <w:rStyle w:val="Heading2Char"/>
          <w:rFonts w:ascii="Times New Roman Bold" w:hAnsi="Times New Roman Bold" w:eastAsiaTheme="majorEastAsia" w:cstheme="majorBidi"/>
          <w:b/>
          <w:bCs w:val="0"/>
        </w:rPr>
        <w:t xml:space="preserve">unreasonably </w:t>
      </w:r>
      <w:r w:rsidRPr="0028685C" w:rsidR="00DE1FD6">
        <w:rPr>
          <w:rStyle w:val="Heading2Char"/>
          <w:rFonts w:ascii="Times New Roman Bold" w:hAnsi="Times New Roman Bold" w:eastAsiaTheme="majorEastAsia" w:cstheme="majorBidi"/>
          <w:b/>
          <w:bCs w:val="0"/>
        </w:rPr>
        <w:t xml:space="preserve">found that </w:t>
      </w:r>
      <w:r w:rsidRPr="0028685C" w:rsidR="007B701B">
        <w:rPr>
          <w:rStyle w:val="Heading2Char"/>
          <w:rFonts w:ascii="Times New Roman Bold" w:hAnsi="Times New Roman Bold" w:eastAsiaTheme="majorEastAsia" w:cstheme="majorBidi"/>
          <w:b/>
          <w:bCs w:val="0"/>
        </w:rPr>
        <w:t xml:space="preserve">“there are a number of existing resources, such as the Commissions’ Energy Choice Ohio website, that provide </w:t>
      </w:r>
      <w:r w:rsidRPr="0028685C" w:rsidR="00312810">
        <w:rPr>
          <w:rStyle w:val="Heading2Char"/>
          <w:rFonts w:ascii="Times New Roman Bold" w:hAnsi="Times New Roman Bold" w:eastAsiaTheme="majorEastAsia" w:cstheme="majorBidi"/>
          <w:b/>
          <w:bCs w:val="0"/>
        </w:rPr>
        <w:t>substantial</w:t>
      </w:r>
      <w:r w:rsidRPr="0028685C" w:rsidR="007B701B">
        <w:rPr>
          <w:rStyle w:val="Heading2Char"/>
          <w:rFonts w:ascii="Times New Roman Bold" w:hAnsi="Times New Roman Bold" w:eastAsiaTheme="majorEastAsia" w:cstheme="majorBidi"/>
          <w:b/>
          <w:bCs w:val="0"/>
        </w:rPr>
        <w:t xml:space="preserve"> amount of information for customers to compare pricing and available offers</w:t>
      </w:r>
      <w:r w:rsidRPr="0028685C" w:rsidR="00312810">
        <w:rPr>
          <w:rStyle w:val="Heading2Char"/>
          <w:rFonts w:ascii="Times New Roman Bold" w:hAnsi="Times New Roman Bold" w:eastAsiaTheme="majorEastAsia" w:cstheme="majorBidi"/>
          <w:b/>
          <w:bCs w:val="0"/>
        </w:rPr>
        <w:t>.</w:t>
      </w:r>
      <w:r w:rsidRPr="0028685C" w:rsidR="007B701B">
        <w:rPr>
          <w:rStyle w:val="Heading2Char"/>
          <w:rFonts w:ascii="Times New Roman Bold" w:hAnsi="Times New Roman Bold" w:eastAsiaTheme="majorEastAsia" w:cstheme="majorBidi"/>
          <w:b/>
          <w:bCs w:val="0"/>
        </w:rPr>
        <w:t>”</w:t>
      </w:r>
      <w:r>
        <w:rPr>
          <w:rStyle w:val="Heading2Char"/>
          <w:rFonts w:ascii="Times New Roman Bold" w:hAnsi="Times New Roman Bold" w:eastAsiaTheme="majorEastAsia" w:cstheme="majorBidi"/>
          <w:b/>
          <w:bCs w:val="0"/>
        </w:rPr>
        <w:footnoteReference w:id="22"/>
      </w:r>
      <w:bookmarkEnd w:id="14"/>
      <w:bookmarkEnd w:id="15"/>
      <w:bookmarkEnd w:id="16"/>
      <w:r w:rsidRPr="0028685C" w:rsidR="003E30A9">
        <w:t xml:space="preserve"> </w:t>
      </w:r>
    </w:p>
    <w:p w:rsidR="00E45058" w:rsidP="00536DA2" w14:paraId="2F2B8014" w14:textId="77777777">
      <w:pPr>
        <w:spacing w:after="0" w:line="480" w:lineRule="auto"/>
        <w:ind w:firstLine="720"/>
        <w:rPr>
          <w:rFonts w:ascii="Times New Roman" w:hAnsi="Times New Roman" w:cs="Times New Roman"/>
          <w:sz w:val="24"/>
          <w:szCs w:val="24"/>
        </w:rPr>
      </w:pPr>
      <w:r w:rsidRPr="00D06FF1">
        <w:rPr>
          <w:rFonts w:ascii="Times New Roman" w:hAnsi="Times New Roman" w:cs="Times New Roman"/>
          <w:sz w:val="24"/>
          <w:szCs w:val="24"/>
        </w:rPr>
        <w:t xml:space="preserve">The PUCO’s statement </w:t>
      </w:r>
      <w:r w:rsidRPr="00D06FF1" w:rsidR="00675532">
        <w:rPr>
          <w:rStyle w:val="Heading2Char"/>
          <w:rFonts w:eastAsiaTheme="minorHAnsi"/>
          <w:b w:val="0"/>
        </w:rPr>
        <w:t>that “there are a number of existing resources, such as the Commissions’ Energy Choice Ohio website, that provide substantial amount of information for customers to compare pricing and available offers</w:t>
      </w:r>
      <w:r w:rsidR="00675532">
        <w:rPr>
          <w:rStyle w:val="Heading2Char"/>
          <w:rFonts w:eastAsiaTheme="minorHAnsi"/>
          <w:b w:val="0"/>
        </w:rPr>
        <w:t>”</w:t>
      </w:r>
      <w:r>
        <w:rPr>
          <w:rStyle w:val="FootnoteReference"/>
          <w:rFonts w:ascii="Times New Roman" w:hAnsi="Times New Roman" w:cs="Times New Roman"/>
          <w:bCs/>
          <w:sz w:val="24"/>
          <w:szCs w:val="24"/>
        </w:rPr>
        <w:footnoteReference w:id="23"/>
      </w:r>
      <w:r w:rsidR="00675532">
        <w:rPr>
          <w:rStyle w:val="Heading2Char"/>
          <w:rFonts w:eastAsiaTheme="minorHAnsi"/>
          <w:b w:val="0"/>
        </w:rPr>
        <w:t xml:space="preserve"> </w:t>
      </w:r>
      <w:r w:rsidRPr="00D06FF1">
        <w:rPr>
          <w:rFonts w:ascii="Times New Roman" w:hAnsi="Times New Roman" w:cs="Times New Roman"/>
          <w:sz w:val="24"/>
          <w:szCs w:val="24"/>
        </w:rPr>
        <w:t xml:space="preserve">contradicts the PUCO’s reasoning later in the Order, when addressing the price-to-compare on the bill. </w:t>
      </w:r>
    </w:p>
    <w:p w:rsidR="00C72143" w:rsidP="00536DA2" w14:paraId="460696FB" w14:textId="472F44B9">
      <w:pPr>
        <w:spacing w:after="0" w:line="480" w:lineRule="auto"/>
        <w:ind w:firstLine="720"/>
        <w:rPr>
          <w:rFonts w:ascii="Times New Roman" w:hAnsi="Times New Roman" w:cs="Times New Roman"/>
          <w:sz w:val="24"/>
          <w:szCs w:val="24"/>
        </w:rPr>
      </w:pPr>
      <w:r w:rsidRPr="00D06FF1">
        <w:rPr>
          <w:rFonts w:ascii="Times New Roman" w:hAnsi="Times New Roman" w:cs="Times New Roman"/>
          <w:sz w:val="24"/>
          <w:szCs w:val="24"/>
        </w:rPr>
        <w:t xml:space="preserve">The PUCO reasoned when </w:t>
      </w:r>
      <w:r w:rsidRPr="00D06FF1" w:rsidR="00564C20">
        <w:rPr>
          <w:rFonts w:ascii="Times New Roman" w:hAnsi="Times New Roman" w:cs="Times New Roman"/>
          <w:sz w:val="24"/>
          <w:szCs w:val="24"/>
        </w:rPr>
        <w:t>adopting</w:t>
      </w:r>
      <w:r w:rsidRPr="00D06FF1" w:rsidR="00F85FE8">
        <w:rPr>
          <w:rFonts w:ascii="Times New Roman" w:hAnsi="Times New Roman" w:cs="Times New Roman"/>
          <w:sz w:val="24"/>
          <w:szCs w:val="24"/>
        </w:rPr>
        <w:t xml:space="preserve"> Staff’s </w:t>
      </w:r>
      <w:r w:rsidRPr="00D06FF1" w:rsidR="00575FF8">
        <w:rPr>
          <w:rFonts w:ascii="Times New Roman" w:hAnsi="Times New Roman" w:cs="Times New Roman"/>
          <w:sz w:val="24"/>
          <w:szCs w:val="24"/>
        </w:rPr>
        <w:t xml:space="preserve">price-to-compare </w:t>
      </w:r>
      <w:r w:rsidRPr="00D06FF1" w:rsidR="00F85FE8">
        <w:rPr>
          <w:rFonts w:ascii="Times New Roman" w:hAnsi="Times New Roman" w:cs="Times New Roman"/>
          <w:sz w:val="24"/>
          <w:szCs w:val="24"/>
        </w:rPr>
        <w:t xml:space="preserve">proposal that </w:t>
      </w:r>
      <w:r w:rsidRPr="00D06FF1" w:rsidR="008575EF">
        <w:rPr>
          <w:rFonts w:ascii="Times New Roman" w:hAnsi="Times New Roman" w:cs="Times New Roman"/>
          <w:sz w:val="24"/>
          <w:szCs w:val="24"/>
        </w:rPr>
        <w:t>“[a]</w:t>
      </w:r>
      <w:r w:rsidRPr="00D06FF1" w:rsidR="006F25F0">
        <w:rPr>
          <w:rFonts w:ascii="Times New Roman" w:hAnsi="Times New Roman" w:cs="Times New Roman"/>
          <w:sz w:val="24"/>
          <w:szCs w:val="24"/>
        </w:rPr>
        <w:t xml:space="preserve">s some of the commenters have noted, the Commission’s Energy Choice Ohio website provides information intended to facilitate a comparison of rates that will enable customers to make informed decisions about their choice of supplier. </w:t>
      </w:r>
      <w:r w:rsidRPr="00D06FF1" w:rsidR="006F25F0">
        <w:rPr>
          <w:rFonts w:ascii="Times New Roman" w:hAnsi="Times New Roman" w:cs="Times New Roman"/>
          <w:sz w:val="24"/>
          <w:szCs w:val="24"/>
          <w:u w:val="single"/>
        </w:rPr>
        <w:t>However, as the COVID-19 pandemic has made clear, there are many Ohioans with insufficient or no internet access.</w:t>
      </w:r>
      <w:r w:rsidRPr="00D06FF1" w:rsidR="00564C20">
        <w:rPr>
          <w:rFonts w:ascii="Times New Roman" w:hAnsi="Times New Roman" w:cs="Times New Roman"/>
          <w:sz w:val="24"/>
          <w:szCs w:val="24"/>
          <w:u w:val="single"/>
        </w:rPr>
        <w:t>”</w:t>
      </w:r>
      <w:r>
        <w:rPr>
          <w:rStyle w:val="FootnoteReference"/>
          <w:rFonts w:ascii="Times New Roman" w:hAnsi="Times New Roman" w:cs="Times New Roman"/>
          <w:sz w:val="24"/>
          <w:szCs w:val="24"/>
        </w:rPr>
        <w:footnoteReference w:id="24"/>
      </w:r>
      <w:r w:rsidRPr="00D06FF1" w:rsidR="00564C20">
        <w:rPr>
          <w:rFonts w:ascii="Times New Roman" w:hAnsi="Times New Roman" w:cs="Times New Roman"/>
          <w:sz w:val="24"/>
          <w:szCs w:val="24"/>
          <w:u w:val="single"/>
        </w:rPr>
        <w:t xml:space="preserve"> (emphasis added)</w:t>
      </w:r>
      <w:r w:rsidRPr="00D06FF1" w:rsidR="007B701B">
        <w:rPr>
          <w:rFonts w:ascii="Times New Roman" w:hAnsi="Times New Roman" w:cs="Times New Roman"/>
          <w:sz w:val="24"/>
          <w:szCs w:val="24"/>
        </w:rPr>
        <w:t>.</w:t>
      </w:r>
      <w:r w:rsidRPr="00862829" w:rsidR="00946F74">
        <w:rPr>
          <w:rFonts w:ascii="Times New Roman" w:hAnsi="Times New Roman" w:cs="Times New Roman"/>
          <w:sz w:val="24"/>
          <w:szCs w:val="24"/>
        </w:rPr>
        <w:t xml:space="preserve"> </w:t>
      </w:r>
      <w:r w:rsidR="003340E5">
        <w:rPr>
          <w:rFonts w:ascii="Times New Roman" w:hAnsi="Times New Roman" w:cs="Times New Roman"/>
          <w:sz w:val="24"/>
          <w:szCs w:val="24"/>
        </w:rPr>
        <w:t>And e</w:t>
      </w:r>
      <w:r w:rsidR="00D84601">
        <w:rPr>
          <w:rFonts w:ascii="Times New Roman" w:hAnsi="Times New Roman" w:cs="Times New Roman"/>
          <w:sz w:val="24"/>
          <w:szCs w:val="24"/>
        </w:rPr>
        <w:t xml:space="preserve">ven more concerning is the </w:t>
      </w:r>
      <w:r w:rsidR="0057591E">
        <w:rPr>
          <w:rFonts w:ascii="Times New Roman" w:hAnsi="Times New Roman" w:cs="Times New Roman"/>
          <w:sz w:val="24"/>
          <w:szCs w:val="24"/>
        </w:rPr>
        <w:t>occurrences of marketers providing misleading information about variable rates</w:t>
      </w:r>
      <w:r w:rsidR="00F94DED">
        <w:rPr>
          <w:rFonts w:ascii="Times New Roman" w:hAnsi="Times New Roman" w:cs="Times New Roman"/>
          <w:sz w:val="24"/>
          <w:szCs w:val="24"/>
        </w:rPr>
        <w:t>; it’s difficult to rely on the Energy Choice Ohio website when marketers are providing misleading information and harming consumers.</w:t>
      </w:r>
      <w:r>
        <w:rPr>
          <w:rStyle w:val="FootnoteReference"/>
          <w:rFonts w:ascii="Times New Roman" w:hAnsi="Times New Roman" w:cs="Times New Roman"/>
          <w:sz w:val="24"/>
          <w:szCs w:val="24"/>
        </w:rPr>
        <w:footnoteReference w:id="25"/>
      </w:r>
    </w:p>
    <w:p w:rsidR="009344C8" w:rsidRPr="009344C8" w:rsidP="009344C8" w14:paraId="027864D8" w14:textId="58C189C1">
      <w:pPr>
        <w:widowControl w:val="0"/>
        <w:spacing w:after="0" w:line="480" w:lineRule="auto"/>
        <w:ind w:firstLine="720"/>
        <w:contextualSpacing/>
        <w:rPr>
          <w:rFonts w:ascii="Times New Roman" w:hAnsi="Times New Roman" w:cs="Times New Roman"/>
          <w:sz w:val="24"/>
          <w:szCs w:val="24"/>
        </w:rPr>
      </w:pPr>
      <w:r w:rsidRPr="00937028">
        <w:rPr>
          <w:rFonts w:ascii="Times New Roman" w:hAnsi="Times New Roman" w:cs="Times New Roman"/>
          <w:sz w:val="24"/>
          <w:szCs w:val="24"/>
        </w:rPr>
        <w:t xml:space="preserve">It is unclear </w:t>
      </w:r>
      <w:r w:rsidRPr="00937028" w:rsidR="00625511">
        <w:rPr>
          <w:rFonts w:ascii="Times New Roman" w:hAnsi="Times New Roman" w:cs="Times New Roman"/>
          <w:sz w:val="24"/>
          <w:szCs w:val="24"/>
        </w:rPr>
        <w:t>why consumers must</w:t>
      </w:r>
      <w:r w:rsidRPr="00675532" w:rsidR="00625511">
        <w:rPr>
          <w:rFonts w:ascii="Times New Roman" w:hAnsi="Times New Roman" w:cs="Times New Roman"/>
          <w:sz w:val="24"/>
          <w:szCs w:val="24"/>
        </w:rPr>
        <w:t xml:space="preserve"> rely on the Energy Choice Ohio website to </w:t>
      </w:r>
      <w:r w:rsidRPr="00E45058" w:rsidR="00625511">
        <w:rPr>
          <w:rFonts w:ascii="Times New Roman" w:hAnsi="Times New Roman" w:cs="Times New Roman"/>
          <w:sz w:val="24"/>
          <w:szCs w:val="24"/>
        </w:rPr>
        <w:t xml:space="preserve">compare pricing in lieu of shadow-billing when the PUCO acknowledged that </w:t>
      </w:r>
      <w:r w:rsidRPr="00E45058" w:rsidR="002D073B">
        <w:rPr>
          <w:rFonts w:ascii="Times New Roman" w:hAnsi="Times New Roman" w:cs="Times New Roman"/>
          <w:sz w:val="24"/>
          <w:szCs w:val="24"/>
        </w:rPr>
        <w:t xml:space="preserve">for the price-to-compare, </w:t>
      </w:r>
      <w:r w:rsidRPr="00E45058" w:rsidR="001F7B1B">
        <w:rPr>
          <w:rFonts w:ascii="Times New Roman" w:hAnsi="Times New Roman" w:cs="Times New Roman"/>
          <w:sz w:val="24"/>
          <w:szCs w:val="24"/>
        </w:rPr>
        <w:t>“</w:t>
      </w:r>
      <w:r w:rsidRPr="0026614D" w:rsidR="001F7B1B">
        <w:rPr>
          <w:rFonts w:ascii="Times New Roman" w:hAnsi="Times New Roman" w:cs="Times New Roman"/>
          <w:sz w:val="24"/>
          <w:szCs w:val="24"/>
        </w:rPr>
        <w:t>there are many Ohioans with insufficient or no internet access.</w:t>
      </w:r>
      <w:r w:rsidRPr="001C2A4D" w:rsidR="001F7B1B">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sidR="00D06FF1">
        <w:rPr>
          <w:rFonts w:ascii="Times New Roman" w:hAnsi="Times New Roman" w:cs="Times New Roman"/>
          <w:sz w:val="24"/>
          <w:szCs w:val="24"/>
        </w:rPr>
        <w:t xml:space="preserve"> </w:t>
      </w:r>
      <w:r w:rsidRPr="001C2A4D" w:rsidR="00DC719D">
        <w:rPr>
          <w:rFonts w:ascii="Times New Roman" w:hAnsi="Times New Roman" w:cs="Times New Roman"/>
          <w:sz w:val="24"/>
          <w:szCs w:val="24"/>
        </w:rPr>
        <w:t>The PUCO must determine if</w:t>
      </w:r>
      <w:r w:rsidRPr="00CC16E9" w:rsidR="00E44B3F">
        <w:rPr>
          <w:rFonts w:ascii="Times New Roman" w:hAnsi="Times New Roman" w:cs="Times New Roman"/>
          <w:sz w:val="24"/>
          <w:szCs w:val="24"/>
        </w:rPr>
        <w:t>—</w:t>
      </w:r>
      <w:r w:rsidRPr="00CC16E9" w:rsidR="004879A8">
        <w:rPr>
          <w:rFonts w:ascii="Times New Roman" w:hAnsi="Times New Roman" w:cs="Times New Roman"/>
          <w:sz w:val="24"/>
          <w:szCs w:val="24"/>
        </w:rPr>
        <w:t xml:space="preserve">considering its own </w:t>
      </w:r>
      <w:r w:rsidRPr="00CC16E9" w:rsidR="00E44B3F">
        <w:rPr>
          <w:rFonts w:ascii="Times New Roman" w:hAnsi="Times New Roman" w:cs="Times New Roman"/>
          <w:sz w:val="24"/>
          <w:szCs w:val="24"/>
        </w:rPr>
        <w:t>determination</w:t>
      </w:r>
      <w:r w:rsidRPr="00C72143" w:rsidR="004879A8">
        <w:rPr>
          <w:rFonts w:ascii="Times New Roman" w:hAnsi="Times New Roman" w:cs="Times New Roman"/>
          <w:sz w:val="24"/>
          <w:szCs w:val="24"/>
        </w:rPr>
        <w:t xml:space="preserve"> that ma</w:t>
      </w:r>
      <w:r w:rsidRPr="009344C8" w:rsidR="00E44B3F">
        <w:rPr>
          <w:rFonts w:ascii="Times New Roman" w:hAnsi="Times New Roman" w:cs="Times New Roman"/>
          <w:sz w:val="24"/>
          <w:szCs w:val="24"/>
        </w:rPr>
        <w:t xml:space="preserve">ny </w:t>
      </w:r>
      <w:r w:rsidRPr="00080966" w:rsidR="004879A8">
        <w:rPr>
          <w:rFonts w:ascii="Times New Roman" w:hAnsi="Times New Roman" w:cs="Times New Roman"/>
          <w:sz w:val="24"/>
          <w:szCs w:val="24"/>
        </w:rPr>
        <w:t>Ohioans lack sufficient inter</w:t>
      </w:r>
      <w:r w:rsidRPr="00862829" w:rsidR="00E44B3F">
        <w:rPr>
          <w:rFonts w:ascii="Times New Roman" w:hAnsi="Times New Roman" w:cs="Times New Roman"/>
          <w:sz w:val="24"/>
          <w:szCs w:val="24"/>
        </w:rPr>
        <w:t>net</w:t>
      </w:r>
      <w:r w:rsidRPr="00862829" w:rsidR="004879A8">
        <w:rPr>
          <w:rFonts w:ascii="Times New Roman" w:hAnsi="Times New Roman" w:cs="Times New Roman"/>
          <w:sz w:val="24"/>
          <w:szCs w:val="24"/>
        </w:rPr>
        <w:t xml:space="preserve"> access</w:t>
      </w:r>
      <w:r w:rsidRPr="00862829" w:rsidR="00E44B3F">
        <w:rPr>
          <w:rFonts w:ascii="Times New Roman" w:hAnsi="Times New Roman" w:cs="Times New Roman"/>
          <w:sz w:val="24"/>
          <w:szCs w:val="24"/>
        </w:rPr>
        <w:t>—</w:t>
      </w:r>
      <w:r w:rsidRPr="00862829" w:rsidR="004879A8">
        <w:rPr>
          <w:rFonts w:ascii="Times New Roman" w:hAnsi="Times New Roman" w:cs="Times New Roman"/>
          <w:sz w:val="24"/>
          <w:szCs w:val="24"/>
        </w:rPr>
        <w:t xml:space="preserve">that the Energy Choice Ohio website </w:t>
      </w:r>
      <w:r w:rsidRPr="00862829" w:rsidR="009A5C4C">
        <w:rPr>
          <w:rFonts w:ascii="Times New Roman" w:hAnsi="Times New Roman" w:cs="Times New Roman"/>
          <w:sz w:val="24"/>
          <w:szCs w:val="24"/>
        </w:rPr>
        <w:t xml:space="preserve">is a </w:t>
      </w:r>
      <w:r w:rsidRPr="00862829" w:rsidR="003C5C37">
        <w:rPr>
          <w:rFonts w:ascii="Times New Roman" w:hAnsi="Times New Roman" w:cs="Times New Roman"/>
          <w:sz w:val="24"/>
          <w:szCs w:val="24"/>
        </w:rPr>
        <w:t xml:space="preserve">sufficient </w:t>
      </w:r>
      <w:r w:rsidRPr="00862829" w:rsidR="00085495">
        <w:rPr>
          <w:rFonts w:ascii="Times New Roman" w:hAnsi="Times New Roman" w:cs="Times New Roman"/>
          <w:sz w:val="24"/>
          <w:szCs w:val="24"/>
        </w:rPr>
        <w:t>substitution for</w:t>
      </w:r>
      <w:r w:rsidRPr="00862829" w:rsidR="009A5C4C">
        <w:rPr>
          <w:rFonts w:ascii="Times New Roman" w:hAnsi="Times New Roman" w:cs="Times New Roman"/>
          <w:sz w:val="24"/>
          <w:szCs w:val="24"/>
        </w:rPr>
        <w:t xml:space="preserve"> shadow-billing, </w:t>
      </w:r>
      <w:r w:rsidRPr="00862829" w:rsidR="00085495">
        <w:rPr>
          <w:rFonts w:ascii="Times New Roman" w:hAnsi="Times New Roman" w:cs="Times New Roman"/>
          <w:sz w:val="24"/>
          <w:szCs w:val="24"/>
        </w:rPr>
        <w:t>when it is not for the price-to-compare. The answer is</w:t>
      </w:r>
      <w:r w:rsidRPr="00862829" w:rsidR="00BC25C9">
        <w:rPr>
          <w:rFonts w:ascii="Times New Roman" w:hAnsi="Times New Roman" w:cs="Times New Roman"/>
          <w:sz w:val="24"/>
          <w:szCs w:val="24"/>
        </w:rPr>
        <w:t xml:space="preserve"> the Energy Choice Ohio website is not sufficient to inform all Ohioans of </w:t>
      </w:r>
      <w:r w:rsidRPr="00862829" w:rsidR="00F31816">
        <w:rPr>
          <w:rFonts w:ascii="Times New Roman" w:hAnsi="Times New Roman" w:cs="Times New Roman"/>
          <w:sz w:val="24"/>
          <w:szCs w:val="24"/>
        </w:rPr>
        <w:t>their utility choices and associated costs.</w:t>
      </w:r>
      <w:r w:rsidRPr="00862829" w:rsidR="00DC719D">
        <w:rPr>
          <w:rFonts w:ascii="Times New Roman" w:hAnsi="Times New Roman" w:cs="Times New Roman"/>
          <w:sz w:val="24"/>
          <w:szCs w:val="24"/>
        </w:rPr>
        <w:t xml:space="preserve"> </w:t>
      </w:r>
      <w:r>
        <w:rPr>
          <w:rFonts w:ascii="Times New Roman" w:hAnsi="Times New Roman" w:cs="Times New Roman"/>
          <w:sz w:val="24"/>
          <w:szCs w:val="24"/>
        </w:rPr>
        <w:t>Moreover, i</w:t>
      </w:r>
      <w:r w:rsidRPr="00937028">
        <w:rPr>
          <w:rFonts w:ascii="Times New Roman" w:hAnsi="Times New Roman" w:cs="Times New Roman"/>
          <w:sz w:val="24"/>
          <w:szCs w:val="24"/>
        </w:rPr>
        <w:t xml:space="preserve">t is </w:t>
      </w:r>
      <w:r w:rsidRPr="00E45058">
        <w:rPr>
          <w:rFonts w:ascii="Times New Roman" w:hAnsi="Times New Roman" w:cs="Times New Roman"/>
          <w:sz w:val="24"/>
          <w:szCs w:val="24"/>
        </w:rPr>
        <w:t xml:space="preserve">illogical </w:t>
      </w:r>
      <w:r w:rsidRPr="001C2A4D">
        <w:rPr>
          <w:rFonts w:ascii="Times New Roman" w:hAnsi="Times New Roman" w:cs="Times New Roman"/>
          <w:sz w:val="24"/>
          <w:szCs w:val="24"/>
        </w:rPr>
        <w:t>for the PUCO</w:t>
      </w:r>
      <w:r w:rsidRPr="00CC16E9">
        <w:rPr>
          <w:rFonts w:ascii="Times New Roman" w:hAnsi="Times New Roman" w:cs="Times New Roman"/>
          <w:sz w:val="24"/>
          <w:szCs w:val="24"/>
        </w:rPr>
        <w:t xml:space="preserve"> to reject a recommendation for the same reason that </w:t>
      </w:r>
      <w:r w:rsidRPr="00DA3B6B">
        <w:rPr>
          <w:rFonts w:ascii="Times New Roman" w:hAnsi="Times New Roman" w:cs="Times New Roman"/>
          <w:sz w:val="24"/>
          <w:szCs w:val="24"/>
        </w:rPr>
        <w:t>it adopted a similar recommendation.</w:t>
      </w:r>
      <w:r w:rsidRPr="009344C8">
        <w:rPr>
          <w:rFonts w:ascii="Times New Roman" w:hAnsi="Times New Roman" w:cs="Times New Roman"/>
          <w:sz w:val="24"/>
          <w:szCs w:val="24"/>
        </w:rPr>
        <w:t xml:space="preserve"> </w:t>
      </w:r>
    </w:p>
    <w:p w:rsidR="00946F74" w:rsidRPr="009344C8" w:rsidP="00536DA2" w14:paraId="11A455B8" w14:textId="4EDA6921">
      <w:pPr>
        <w:spacing w:after="0" w:line="480" w:lineRule="auto"/>
        <w:ind w:firstLine="720"/>
        <w:rPr>
          <w:rFonts w:ascii="Times New Roman" w:hAnsi="Times New Roman" w:cs="Times New Roman"/>
          <w:sz w:val="24"/>
          <w:szCs w:val="24"/>
        </w:rPr>
      </w:pPr>
      <w:r w:rsidRPr="009344C8">
        <w:rPr>
          <w:rFonts w:ascii="Times New Roman" w:hAnsi="Times New Roman" w:cs="Times New Roman"/>
          <w:sz w:val="24"/>
          <w:szCs w:val="24"/>
        </w:rPr>
        <w:t>The protection of both “shadow-billing”</w:t>
      </w:r>
      <w:r w:rsidRPr="00080966">
        <w:rPr>
          <w:rFonts w:ascii="Times New Roman" w:hAnsi="Times New Roman" w:cs="Times New Roman"/>
          <w:sz w:val="24"/>
          <w:szCs w:val="24"/>
        </w:rPr>
        <w:t xml:space="preserve"> and the </w:t>
      </w:r>
      <w:r w:rsidRPr="00862829">
        <w:rPr>
          <w:rFonts w:ascii="Times New Roman" w:hAnsi="Times New Roman" w:cs="Times New Roman"/>
          <w:sz w:val="24"/>
          <w:szCs w:val="24"/>
        </w:rPr>
        <w:t xml:space="preserve">“price-to-compare” must be added to the tools available to consumers </w:t>
      </w:r>
      <w:r w:rsidRPr="00862829" w:rsidR="00921643">
        <w:rPr>
          <w:rFonts w:ascii="Times New Roman" w:hAnsi="Times New Roman" w:cs="Times New Roman"/>
          <w:sz w:val="24"/>
          <w:szCs w:val="24"/>
        </w:rPr>
        <w:t>to make informed decisions about their utility services.</w:t>
      </w:r>
      <w:r w:rsidR="009344C8">
        <w:rPr>
          <w:rFonts w:ascii="Times New Roman" w:hAnsi="Times New Roman" w:cs="Times New Roman"/>
          <w:sz w:val="24"/>
          <w:szCs w:val="24"/>
        </w:rPr>
        <w:t xml:space="preserve"> </w:t>
      </w:r>
      <w:r w:rsidRPr="003053D2" w:rsidR="009344C8">
        <w:rPr>
          <w:rFonts w:ascii="Times New Roman" w:hAnsi="Times New Roman" w:cs="Times New Roman"/>
          <w:sz w:val="24"/>
          <w:szCs w:val="24"/>
        </w:rPr>
        <w:t xml:space="preserve">All customers get a bill, regardless of whether they have internet access. </w:t>
      </w:r>
      <w:r w:rsidR="009344C8">
        <w:rPr>
          <w:rFonts w:ascii="Times New Roman" w:hAnsi="Times New Roman" w:cs="Times New Roman"/>
          <w:sz w:val="24"/>
          <w:szCs w:val="24"/>
        </w:rPr>
        <w:t>And c</w:t>
      </w:r>
      <w:r w:rsidRPr="003053D2" w:rsidR="009344C8">
        <w:rPr>
          <w:rFonts w:ascii="Times New Roman" w:hAnsi="Times New Roman" w:cs="Times New Roman"/>
          <w:sz w:val="24"/>
          <w:szCs w:val="24"/>
        </w:rPr>
        <w:t xml:space="preserve">ustomers should not have less information and choices available to them because they do not have internet access. </w:t>
      </w:r>
      <w:r w:rsidRPr="00937028" w:rsidR="009344C8">
        <w:rPr>
          <w:rFonts w:ascii="Times New Roman" w:hAnsi="Times New Roman" w:cs="Times New Roman"/>
          <w:sz w:val="24"/>
          <w:szCs w:val="24"/>
        </w:rPr>
        <w:t>“Shadow</w:t>
      </w:r>
      <w:r w:rsidRPr="00E45058" w:rsidR="009344C8">
        <w:rPr>
          <w:rFonts w:ascii="Times New Roman" w:hAnsi="Times New Roman" w:cs="Times New Roman"/>
          <w:sz w:val="24"/>
          <w:szCs w:val="24"/>
        </w:rPr>
        <w:t>-</w:t>
      </w:r>
      <w:r w:rsidRPr="001C2A4D" w:rsidR="009344C8">
        <w:rPr>
          <w:rFonts w:ascii="Times New Roman" w:hAnsi="Times New Roman" w:cs="Times New Roman"/>
          <w:sz w:val="24"/>
          <w:szCs w:val="24"/>
        </w:rPr>
        <w:t xml:space="preserve">billing” </w:t>
      </w:r>
      <w:r w:rsidR="00080966">
        <w:rPr>
          <w:rFonts w:ascii="Times New Roman" w:hAnsi="Times New Roman" w:cs="Times New Roman"/>
          <w:sz w:val="24"/>
          <w:szCs w:val="24"/>
        </w:rPr>
        <w:t xml:space="preserve">and the “price-to-compare” provide </w:t>
      </w:r>
      <w:r w:rsidRPr="001C2A4D" w:rsidR="009344C8">
        <w:rPr>
          <w:rFonts w:ascii="Times New Roman" w:hAnsi="Times New Roman" w:cs="Times New Roman"/>
          <w:sz w:val="24"/>
          <w:szCs w:val="24"/>
        </w:rPr>
        <w:t>the most straightforward</w:t>
      </w:r>
      <w:r w:rsidRPr="00CC16E9" w:rsidR="009344C8">
        <w:rPr>
          <w:rFonts w:ascii="Times New Roman" w:hAnsi="Times New Roman" w:cs="Times New Roman"/>
          <w:sz w:val="24"/>
          <w:szCs w:val="24"/>
        </w:rPr>
        <w:t xml:space="preserve"> and reliable way to provide consumers with access to pricing to help decide what is the best option for them.</w:t>
      </w:r>
    </w:p>
    <w:p w:rsidR="001233DD" w:rsidRPr="00862829" w:rsidP="001233DD" w14:paraId="60E52BC8" w14:textId="1D40531B">
      <w:pPr>
        <w:widowControl w:val="0"/>
        <w:spacing w:after="0" w:line="480" w:lineRule="auto"/>
        <w:ind w:firstLine="720"/>
        <w:contextualSpacing/>
        <w:rPr>
          <w:rFonts w:ascii="Times New Roman" w:hAnsi="Times New Roman" w:cs="Times New Roman"/>
          <w:sz w:val="24"/>
          <w:szCs w:val="24"/>
        </w:rPr>
      </w:pPr>
      <w:r w:rsidRPr="009344C8">
        <w:rPr>
          <w:rFonts w:ascii="Times New Roman" w:hAnsi="Times New Roman" w:cs="Times New Roman"/>
          <w:sz w:val="24"/>
          <w:szCs w:val="24"/>
        </w:rPr>
        <w:t>The PUCO’s decision to decline adoption of shadow-billing as proposed by OCC was unreasonable and harms consumers.</w:t>
      </w:r>
      <w:r w:rsidR="006B1D87">
        <w:rPr>
          <w:rFonts w:ascii="Times New Roman" w:hAnsi="Times New Roman" w:cs="Times New Roman"/>
          <w:sz w:val="24"/>
          <w:szCs w:val="24"/>
        </w:rPr>
        <w:t xml:space="preserve"> </w:t>
      </w:r>
      <w:r w:rsidRPr="003053D2" w:rsidR="006B1D87">
        <w:rPr>
          <w:rFonts w:ascii="Times New Roman" w:hAnsi="Times New Roman" w:cs="Times New Roman"/>
          <w:sz w:val="24"/>
          <w:szCs w:val="24"/>
        </w:rPr>
        <w:t>OCC’s application for rehearing should be granted, and the Order modified consistent with our recommendations.</w:t>
      </w:r>
    </w:p>
    <w:p w:rsidR="001233DD" w:rsidRPr="00937028" w:rsidP="00536DA2" w14:paraId="53B9B7B4" w14:textId="77777777">
      <w:pPr>
        <w:spacing w:after="0" w:line="480" w:lineRule="auto"/>
        <w:ind w:firstLine="720"/>
        <w:rPr>
          <w:rFonts w:ascii="Times New Roman" w:hAnsi="Times New Roman" w:cs="Times New Roman"/>
          <w:sz w:val="24"/>
          <w:szCs w:val="24"/>
        </w:rPr>
      </w:pPr>
    </w:p>
    <w:p w:rsidR="00EF44EA" w:rsidRPr="00862829" w:rsidP="0068645A" w14:paraId="3F899379" w14:textId="77777777">
      <w:pPr>
        <w:widowControl w:val="0"/>
        <w:ind w:left="720"/>
        <w:rPr>
          <w:rFonts w:ascii="Times New Roman" w:hAnsi="Times New Roman" w:cs="Times New Roman"/>
          <w:b/>
          <w:bCs/>
          <w:sz w:val="24"/>
          <w:szCs w:val="24"/>
        </w:rPr>
        <w:sectPr w:rsidSect="004F2AB7">
          <w:headerReference w:type="default" r:id="rId11"/>
          <w:footerReference w:type="default" r:id="rId12"/>
          <w:pgSz w:w="12240" w:h="15840"/>
          <w:pgMar w:top="1440" w:right="1800" w:bottom="1440" w:left="1800" w:header="720" w:footer="720" w:gutter="0"/>
          <w:pgNumType w:start="1"/>
          <w:cols w:space="720"/>
          <w:docGrid w:linePitch="360"/>
        </w:sectPr>
      </w:pPr>
      <w:bookmarkStart w:id="17" w:name="_Toc57629881"/>
    </w:p>
    <w:p w:rsidR="0068645A" w:rsidRPr="00937028" w:rsidP="008943A3" w14:paraId="588945B7" w14:textId="1F9BAB6E">
      <w:pPr>
        <w:pStyle w:val="Heading2"/>
      </w:pPr>
      <w:bookmarkStart w:id="18" w:name="_Toc67669763"/>
      <w:bookmarkStart w:id="19" w:name="_Toc67670097"/>
      <w:bookmarkStart w:id="20" w:name="_Toc67671095"/>
      <w:r w:rsidRPr="00862829">
        <w:t xml:space="preserve">ASSIGNMENT OF ERROR NO. </w:t>
      </w:r>
      <w:r w:rsidRPr="00862829" w:rsidR="00200AE5">
        <w:t>2</w:t>
      </w:r>
      <w:r w:rsidRPr="00862829">
        <w:t xml:space="preserve">: </w:t>
      </w:r>
      <w:bookmarkEnd w:id="17"/>
      <w:r w:rsidRPr="00862829">
        <w:t xml:space="preserve">The PUCO erred when it unreasonably failed to protect consumers by rejecting </w:t>
      </w:r>
      <w:r w:rsidRPr="00862829" w:rsidR="00CD4EAC">
        <w:t xml:space="preserve">Staff’s </w:t>
      </w:r>
      <w:r w:rsidRPr="00862829">
        <w:t>recommendation to amend O.A.C</w:t>
      </w:r>
      <w:r w:rsidRPr="00B70BB7">
        <w:t xml:space="preserve">. </w:t>
      </w:r>
      <w:r w:rsidRPr="00862829">
        <w:t>4901:1-13-01 to define</w:t>
      </w:r>
      <w:r w:rsidR="00DA0ABC">
        <w:t xml:space="preserve"> the term</w:t>
      </w:r>
      <w:r w:rsidRPr="00862829">
        <w:t xml:space="preserve"> “commodity charge,” and by rejecting </w:t>
      </w:r>
      <w:r w:rsidR="00881C4D">
        <w:t xml:space="preserve">Staff’s recommendation to </w:t>
      </w:r>
      <w:r w:rsidR="00B70BB7">
        <w:t xml:space="preserve">amend O.A.C. 4901:1-13-1 (K) to </w:t>
      </w:r>
      <w:r w:rsidR="00881C4D">
        <w:t>only include “commodity</w:t>
      </w:r>
      <w:r w:rsidR="004122A5">
        <w:t>”</w:t>
      </w:r>
      <w:r w:rsidR="00881C4D">
        <w:t xml:space="preserve"> charges</w:t>
      </w:r>
      <w:r w:rsidR="00B70BB7">
        <w:t xml:space="preserve"> on regulated natural gas bills</w:t>
      </w:r>
      <w:r w:rsidRPr="00862829">
        <w:t>.</w:t>
      </w:r>
      <w:bookmarkEnd w:id="18"/>
      <w:bookmarkEnd w:id="19"/>
      <w:bookmarkEnd w:id="20"/>
    </w:p>
    <w:p w:rsidR="002175B5" w:rsidRPr="0028685C" w:rsidP="00E60BEF" w14:paraId="31D4EB2D" w14:textId="10531075">
      <w:pPr>
        <w:pStyle w:val="Heading3"/>
        <w:rPr>
          <w:rFonts w:hint="eastAsia"/>
        </w:rPr>
      </w:pPr>
      <w:bookmarkStart w:id="21" w:name="_Toc67671096"/>
      <w:r>
        <w:t>A.</w:t>
      </w:r>
      <w:r>
        <w:tab/>
      </w:r>
      <w:r w:rsidRPr="0028685C" w:rsidR="00AF7416">
        <w:t xml:space="preserve">The PUCO erred when it unreasonably failed to protect consumers by rejecting </w:t>
      </w:r>
      <w:r w:rsidRPr="0028685C" w:rsidR="00355975">
        <w:t>Staff</w:t>
      </w:r>
      <w:r w:rsidRPr="0028685C" w:rsidR="00AF7416">
        <w:t>’s</w:t>
      </w:r>
      <w:r w:rsidRPr="0028685C" w:rsidR="00F31860">
        <w:t xml:space="preserve"> </w:t>
      </w:r>
      <w:r w:rsidRPr="0028685C" w:rsidR="00355975">
        <w:t>propos</w:t>
      </w:r>
      <w:r w:rsidRPr="0028685C" w:rsidR="00AF7416">
        <w:t>al</w:t>
      </w:r>
      <w:r w:rsidRPr="0028685C" w:rsidR="00355975">
        <w:t xml:space="preserve"> that </w:t>
      </w:r>
      <w:r w:rsidRPr="0028685C" w:rsidR="00113344">
        <w:t xml:space="preserve">O.A.C. 4901:1-13-01 </w:t>
      </w:r>
      <w:r w:rsidRPr="0028685C" w:rsidR="00A51C11">
        <w:t>definitions should include</w:t>
      </w:r>
      <w:r w:rsidRPr="0028685C" w:rsidR="000924B1">
        <w:t xml:space="preserve"> the term “commodity charge”</w:t>
      </w:r>
      <w:r w:rsidRPr="0028685C" w:rsidR="00A15D69">
        <w:t xml:space="preserve"> (Staff only proposed that a definition was needed, but </w:t>
      </w:r>
      <w:r w:rsidRPr="0028685C" w:rsidR="00933042">
        <w:t xml:space="preserve">did </w:t>
      </w:r>
      <w:r w:rsidRPr="0028685C" w:rsidR="00A15D69">
        <w:t>not propose any wording to define the term).</w:t>
      </w:r>
      <w:r>
        <w:rPr>
          <w:rStyle w:val="FootnoteReference"/>
        </w:rPr>
        <w:footnoteReference w:id="27"/>
      </w:r>
      <w:bookmarkEnd w:id="21"/>
      <w:r w:rsidRPr="0028685C" w:rsidR="000924B1">
        <w:rPr>
          <w:vertAlign w:val="superscript"/>
        </w:rPr>
        <w:t xml:space="preserve"> </w:t>
      </w:r>
    </w:p>
    <w:p w:rsidR="007A2254" w:rsidRPr="00D06FF1" w14:paraId="7C948123" w14:textId="6A478A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erred when it unreasonably </w:t>
      </w:r>
      <w:r w:rsidR="00F9668C">
        <w:rPr>
          <w:rFonts w:ascii="Times New Roman" w:hAnsi="Times New Roman" w:cs="Times New Roman"/>
          <w:sz w:val="24"/>
          <w:szCs w:val="24"/>
        </w:rPr>
        <w:t xml:space="preserve">failed to protect consumers by rejecting </w:t>
      </w:r>
      <w:r>
        <w:rPr>
          <w:rFonts w:ascii="Times New Roman" w:hAnsi="Times New Roman" w:cs="Times New Roman"/>
          <w:sz w:val="24"/>
          <w:szCs w:val="24"/>
        </w:rPr>
        <w:t>Staff</w:t>
      </w:r>
      <w:r w:rsidR="00F9668C">
        <w:rPr>
          <w:rFonts w:ascii="Times New Roman" w:hAnsi="Times New Roman" w:cs="Times New Roman"/>
          <w:sz w:val="24"/>
          <w:szCs w:val="24"/>
        </w:rPr>
        <w:t>’s</w:t>
      </w:r>
      <w:r>
        <w:rPr>
          <w:rFonts w:ascii="Times New Roman" w:hAnsi="Times New Roman" w:cs="Times New Roman"/>
          <w:sz w:val="24"/>
          <w:szCs w:val="24"/>
        </w:rPr>
        <w:t xml:space="preserve"> propos</w:t>
      </w:r>
      <w:r w:rsidR="00F9668C">
        <w:rPr>
          <w:rFonts w:ascii="Times New Roman" w:hAnsi="Times New Roman" w:cs="Times New Roman"/>
          <w:sz w:val="24"/>
          <w:szCs w:val="24"/>
        </w:rPr>
        <w:t>al to include the definition for “</w:t>
      </w:r>
      <w:r w:rsidR="00537DE7">
        <w:rPr>
          <w:rFonts w:ascii="Times New Roman" w:hAnsi="Times New Roman" w:cs="Times New Roman"/>
          <w:sz w:val="24"/>
          <w:szCs w:val="24"/>
        </w:rPr>
        <w:t>commodity</w:t>
      </w:r>
      <w:r w:rsidR="00F9668C">
        <w:rPr>
          <w:rFonts w:ascii="Times New Roman" w:hAnsi="Times New Roman" w:cs="Times New Roman"/>
          <w:sz w:val="24"/>
          <w:szCs w:val="24"/>
        </w:rPr>
        <w:t xml:space="preserve"> charge” in O.A.C. 4901:1-13-01</w:t>
      </w:r>
      <w:r w:rsidR="00537DE7">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Pr="00D06FF1">
        <w:rPr>
          <w:rFonts w:ascii="Times New Roman" w:hAnsi="Times New Roman" w:cs="Times New Roman"/>
          <w:sz w:val="24"/>
          <w:szCs w:val="24"/>
        </w:rPr>
        <w:t xml:space="preserve">It also erred by declining to adopt OCC’s strong consumer protection definition </w:t>
      </w:r>
      <w:r w:rsidRPr="00D06FF1" w:rsidR="00F128EE">
        <w:rPr>
          <w:rFonts w:ascii="Times New Roman" w:hAnsi="Times New Roman" w:cs="Times New Roman"/>
          <w:sz w:val="24"/>
          <w:szCs w:val="24"/>
        </w:rPr>
        <w:t xml:space="preserve">that </w:t>
      </w:r>
      <w:r w:rsidRPr="00D06FF1" w:rsidR="00404C74">
        <w:rPr>
          <w:rFonts w:ascii="Times New Roman" w:hAnsi="Times New Roman" w:cs="Times New Roman"/>
          <w:sz w:val="24"/>
          <w:szCs w:val="24"/>
        </w:rPr>
        <w:t xml:space="preserve">“ </w:t>
      </w:r>
      <w:r w:rsidRPr="00D06FF1" w:rsidR="00D547CE">
        <w:rPr>
          <w:rFonts w:ascii="Times New Roman" w:hAnsi="Times New Roman" w:cs="Times New Roman"/>
          <w:sz w:val="24"/>
          <w:szCs w:val="24"/>
        </w:rPr>
        <w:t>“commodity charge”</w:t>
      </w:r>
      <w:r w:rsidRPr="002175B5" w:rsidR="00E85616">
        <w:rPr>
          <w:rFonts w:ascii="Times New Roman" w:hAnsi="Times New Roman" w:cs="Times New Roman"/>
          <w:sz w:val="24"/>
          <w:szCs w:val="24"/>
        </w:rPr>
        <w:t xml:space="preserve"> </w:t>
      </w:r>
      <w:r w:rsidRPr="00D06FF1" w:rsidR="002909E9">
        <w:rPr>
          <w:rFonts w:ascii="Times New Roman" w:hAnsi="Times New Roman" w:cs="Times New Roman"/>
          <w:sz w:val="24"/>
          <w:szCs w:val="24"/>
        </w:rPr>
        <w:t>includes the portion of the natural gas bill that is based on the cost of the actual natural gas supplied to the customer by either the natural gas utility or competitive retail natural gas supplier.”</w:t>
      </w:r>
      <w:r w:rsidRPr="00D06FF1" w:rsidR="00404C74">
        <w:rPr>
          <w:rFonts w:ascii="Times New Roman" w:hAnsi="Times New Roman" w:cs="Times New Roman"/>
          <w:sz w:val="24"/>
          <w:szCs w:val="24"/>
        </w:rPr>
        <w:t xml:space="preserve"> </w:t>
      </w:r>
      <w:r w:rsidRPr="00D06FF1" w:rsidR="00F10074">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r w:rsidRPr="002175B5">
        <w:rPr>
          <w:rFonts w:ascii="Times New Roman" w:hAnsi="Times New Roman" w:cs="Times New Roman"/>
          <w:sz w:val="24"/>
          <w:szCs w:val="24"/>
        </w:rPr>
        <w:t xml:space="preserve"> Without these consumer protections, consumers may be confused about</w:t>
      </w:r>
      <w:r w:rsidRPr="002175B5" w:rsidR="00793EED">
        <w:rPr>
          <w:rFonts w:ascii="Times New Roman" w:hAnsi="Times New Roman" w:cs="Times New Roman"/>
          <w:sz w:val="24"/>
          <w:szCs w:val="24"/>
        </w:rPr>
        <w:t xml:space="preserve"> </w:t>
      </w:r>
      <w:r w:rsidRPr="002175B5">
        <w:rPr>
          <w:rFonts w:ascii="Times New Roman" w:hAnsi="Times New Roman" w:cs="Times New Roman"/>
          <w:sz w:val="24"/>
          <w:szCs w:val="24"/>
        </w:rPr>
        <w:t>what unpaid</w:t>
      </w:r>
      <w:r w:rsidRPr="00D06FF1">
        <w:rPr>
          <w:rFonts w:ascii="Times New Roman" w:hAnsi="Times New Roman" w:cs="Times New Roman"/>
          <w:sz w:val="24"/>
          <w:szCs w:val="24"/>
        </w:rPr>
        <w:t xml:space="preserve"> charges</w:t>
      </w:r>
      <w:r w:rsidRPr="00D06FF1" w:rsidR="002D7DFB">
        <w:rPr>
          <w:rFonts w:ascii="Times New Roman" w:hAnsi="Times New Roman" w:cs="Times New Roman"/>
          <w:sz w:val="24"/>
          <w:szCs w:val="24"/>
        </w:rPr>
        <w:t xml:space="preserve"> for which</w:t>
      </w:r>
      <w:r w:rsidRPr="00D06FF1">
        <w:rPr>
          <w:rFonts w:ascii="Times New Roman" w:hAnsi="Times New Roman" w:cs="Times New Roman"/>
          <w:sz w:val="24"/>
          <w:szCs w:val="24"/>
        </w:rPr>
        <w:t xml:space="preserve"> they can be disconnected.</w:t>
      </w:r>
    </w:p>
    <w:p w:rsidR="005F0320" w:rsidP="009A2D6E" w14:paraId="6E35801F"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definition of what constitutes a “commodity charge” versus a “non-commo</w:t>
      </w:r>
      <w:r w:rsidR="006858CB">
        <w:rPr>
          <w:rFonts w:ascii="Times New Roman" w:hAnsi="Times New Roman" w:cs="Times New Roman"/>
          <w:sz w:val="24"/>
          <w:szCs w:val="24"/>
        </w:rPr>
        <w:t>dity</w:t>
      </w:r>
      <w:r>
        <w:rPr>
          <w:rFonts w:ascii="Times New Roman" w:hAnsi="Times New Roman" w:cs="Times New Roman"/>
          <w:sz w:val="24"/>
          <w:szCs w:val="24"/>
        </w:rPr>
        <w:t xml:space="preserve">” </w:t>
      </w:r>
      <w:r w:rsidR="006858CB">
        <w:rPr>
          <w:rFonts w:ascii="Times New Roman" w:hAnsi="Times New Roman" w:cs="Times New Roman"/>
          <w:sz w:val="24"/>
          <w:szCs w:val="24"/>
        </w:rPr>
        <w:t>charge is necessary for disclosing what consumers can and cannot be disconnected for. Consumers may be disconnected for failing to pay for their natural gas (the commodity charge</w:t>
      </w:r>
      <w:r w:rsidR="00FF6659">
        <w:rPr>
          <w:rFonts w:ascii="Times New Roman" w:hAnsi="Times New Roman" w:cs="Times New Roman"/>
          <w:sz w:val="24"/>
          <w:szCs w:val="24"/>
        </w:rPr>
        <w:t>) but</w:t>
      </w:r>
      <w:r w:rsidR="006858CB">
        <w:rPr>
          <w:rFonts w:ascii="Times New Roman" w:hAnsi="Times New Roman" w:cs="Times New Roman"/>
          <w:sz w:val="24"/>
          <w:szCs w:val="24"/>
        </w:rPr>
        <w:t xml:space="preserve"> cannot be disconnected for not pa</w:t>
      </w:r>
      <w:r w:rsidR="00407D9E">
        <w:rPr>
          <w:rFonts w:ascii="Times New Roman" w:hAnsi="Times New Roman" w:cs="Times New Roman"/>
          <w:sz w:val="24"/>
          <w:szCs w:val="24"/>
        </w:rPr>
        <w:t>ying for any extras (meaning not just the natural gas commodity) offered by marketers (non-commodity charges).</w:t>
      </w:r>
      <w:r w:rsidR="008353B6">
        <w:rPr>
          <w:rFonts w:ascii="Times New Roman" w:hAnsi="Times New Roman" w:cs="Times New Roman"/>
          <w:sz w:val="24"/>
          <w:szCs w:val="24"/>
        </w:rPr>
        <w:t xml:space="preserve"> </w:t>
      </w:r>
      <w:r w:rsidRPr="00937028" w:rsidR="008353B6">
        <w:rPr>
          <w:rFonts w:ascii="Times New Roman" w:hAnsi="Times New Roman" w:cs="Times New Roman"/>
          <w:sz w:val="24"/>
          <w:szCs w:val="24"/>
        </w:rPr>
        <w:t xml:space="preserve">The PUCO failed to protect consumers by declining to adopt a </w:t>
      </w:r>
      <w:r w:rsidRPr="00E45058" w:rsidR="008353B6">
        <w:rPr>
          <w:rFonts w:ascii="Times New Roman" w:hAnsi="Times New Roman" w:cs="Times New Roman"/>
          <w:sz w:val="24"/>
          <w:szCs w:val="24"/>
        </w:rPr>
        <w:t xml:space="preserve">definition for “commodity charge.” </w:t>
      </w:r>
      <w:r w:rsidRPr="001C2A4D" w:rsidR="008353B6">
        <w:rPr>
          <w:rFonts w:ascii="Times New Roman" w:hAnsi="Times New Roman" w:cs="Times New Roman"/>
          <w:sz w:val="24"/>
          <w:szCs w:val="24"/>
        </w:rPr>
        <w:t xml:space="preserve">Even if </w:t>
      </w:r>
      <w:r w:rsidRPr="003053D2" w:rsidR="008353B6">
        <w:rPr>
          <w:rFonts w:ascii="Times New Roman" w:hAnsi="Times New Roman" w:cs="Times New Roman"/>
          <w:sz w:val="24"/>
          <w:szCs w:val="24"/>
        </w:rPr>
        <w:t xml:space="preserve">the PUCO does not adopt OCC’s proposed definition (which it should), it should provide a clear definition for the meaning of “commodity charge” in O.A.C. 4901:1-13-01. </w:t>
      </w:r>
    </w:p>
    <w:p w:rsidR="00407D9E" w:rsidP="009A2D6E" w14:paraId="0F36965E" w14:textId="237F859C">
      <w:pPr>
        <w:spacing w:after="0" w:line="480" w:lineRule="auto"/>
        <w:ind w:firstLine="720"/>
        <w:rPr>
          <w:rFonts w:ascii="Times New Roman" w:hAnsi="Times New Roman" w:cs="Times New Roman"/>
          <w:sz w:val="24"/>
          <w:szCs w:val="24"/>
        </w:rPr>
      </w:pPr>
      <w:r w:rsidRPr="003053D2">
        <w:rPr>
          <w:rFonts w:ascii="Times New Roman" w:hAnsi="Times New Roman" w:cs="Times New Roman"/>
          <w:sz w:val="24"/>
          <w:szCs w:val="24"/>
        </w:rPr>
        <w:t>The PUCO’s decision was unreasonable and OCC’s application for rehearing should be granted, and the Order modified consistent with our recommendations.</w:t>
      </w:r>
    </w:p>
    <w:p w:rsidR="00686831" w:rsidRPr="0028685C" w:rsidP="00E60BEF" w14:paraId="38AD0D00" w14:textId="26CC297A">
      <w:pPr>
        <w:pStyle w:val="Heading3"/>
        <w:rPr>
          <w:rFonts w:hint="eastAsia"/>
        </w:rPr>
      </w:pPr>
      <w:bookmarkStart w:id="22" w:name="_Toc67671097"/>
      <w:r>
        <w:t>B.</w:t>
      </w:r>
      <w:r>
        <w:tab/>
      </w:r>
      <w:r w:rsidRPr="0028685C" w:rsidR="00C553DE">
        <w:t>The PUCO unreasonably failed to protect consumers by refusing to adopt the Staff’s proposed new rule in O.A.C. 4901:1-13-11(K).</w:t>
      </w:r>
      <w:r>
        <w:rPr>
          <w:rStyle w:val="FootnoteReference"/>
          <w:vertAlign w:val="baseline"/>
        </w:rPr>
        <w:footnoteReference w:id="30"/>
      </w:r>
      <w:bookmarkEnd w:id="22"/>
      <w:r w:rsidRPr="0028685C" w:rsidR="00C553DE">
        <w:t xml:space="preserve"> </w:t>
      </w:r>
    </w:p>
    <w:p w:rsidR="00C553DE" w:rsidRPr="00CC16E9" w14:paraId="4DEA05D5" w14:textId="0F01CB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also unreasonably failed to protect consumers by rejecting </w:t>
      </w:r>
      <w:r w:rsidR="00244712">
        <w:rPr>
          <w:rFonts w:ascii="Times New Roman" w:hAnsi="Times New Roman" w:cs="Times New Roman"/>
          <w:sz w:val="24"/>
          <w:szCs w:val="24"/>
        </w:rPr>
        <w:t>S</w:t>
      </w:r>
      <w:r w:rsidRPr="003053D2">
        <w:rPr>
          <w:rFonts w:ascii="Times New Roman" w:hAnsi="Times New Roman" w:cs="Times New Roman"/>
          <w:sz w:val="24"/>
          <w:szCs w:val="24"/>
        </w:rPr>
        <w:t xml:space="preserve">taff’s proposed new rule </w:t>
      </w:r>
      <w:r w:rsidR="00244712">
        <w:rPr>
          <w:rFonts w:ascii="Times New Roman" w:hAnsi="Times New Roman" w:cs="Times New Roman"/>
          <w:sz w:val="24"/>
          <w:szCs w:val="24"/>
        </w:rPr>
        <w:t>O.A.C. 4901:1-13-11(K).</w:t>
      </w:r>
      <w:r>
        <w:rPr>
          <w:rStyle w:val="FootnoteReference"/>
          <w:rFonts w:ascii="Times New Roman" w:hAnsi="Times New Roman" w:cs="Times New Roman"/>
          <w:sz w:val="24"/>
          <w:szCs w:val="24"/>
        </w:rPr>
        <w:footnoteReference w:id="31"/>
      </w:r>
      <w:r w:rsidR="00244712">
        <w:rPr>
          <w:rFonts w:ascii="Times New Roman" w:hAnsi="Times New Roman" w:cs="Times New Roman"/>
          <w:sz w:val="24"/>
          <w:szCs w:val="24"/>
        </w:rPr>
        <w:t xml:space="preserve"> The proposed rule </w:t>
      </w:r>
      <w:r w:rsidR="00500E84">
        <w:rPr>
          <w:rFonts w:ascii="Times New Roman" w:hAnsi="Times New Roman" w:cs="Times New Roman"/>
          <w:sz w:val="24"/>
          <w:szCs w:val="24"/>
        </w:rPr>
        <w:t>limits</w:t>
      </w:r>
      <w:r w:rsidRPr="003053D2">
        <w:rPr>
          <w:rFonts w:ascii="Times New Roman" w:hAnsi="Times New Roman" w:cs="Times New Roman"/>
          <w:sz w:val="24"/>
          <w:szCs w:val="24"/>
        </w:rPr>
        <w:t xml:space="preserve"> the charges that can be imposed on a natural gas bill to contain only natural gas company or competitive retail natural gas </w:t>
      </w:r>
      <w:r>
        <w:rPr>
          <w:rFonts w:ascii="Times New Roman" w:hAnsi="Times New Roman" w:cs="Times New Roman"/>
          <w:sz w:val="24"/>
          <w:szCs w:val="24"/>
        </w:rPr>
        <w:t>“</w:t>
      </w:r>
      <w:r w:rsidRPr="003053D2">
        <w:rPr>
          <w:rFonts w:ascii="Times New Roman" w:hAnsi="Times New Roman" w:cs="Times New Roman"/>
          <w:sz w:val="24"/>
          <w:szCs w:val="24"/>
        </w:rPr>
        <w:t>commodity charges</w:t>
      </w:r>
      <w:r>
        <w:rPr>
          <w:rFonts w:ascii="Times New Roman" w:hAnsi="Times New Roman" w:cs="Times New Roman"/>
          <w:sz w:val="24"/>
          <w:szCs w:val="24"/>
        </w:rPr>
        <w:t>” (which the PUCO refused to define in O.A.C. 4901:1-13-01)</w:t>
      </w:r>
      <w:r>
        <w:rPr>
          <w:rStyle w:val="FootnoteReference"/>
          <w:rFonts w:ascii="Times New Roman" w:hAnsi="Times New Roman" w:cs="Times New Roman"/>
          <w:sz w:val="24"/>
          <w:szCs w:val="24"/>
        </w:rPr>
        <w:footnoteReference w:id="32"/>
      </w:r>
      <w:r w:rsidRPr="003053D2">
        <w:rPr>
          <w:rFonts w:ascii="Times New Roman" w:hAnsi="Times New Roman" w:cs="Times New Roman"/>
          <w:sz w:val="24"/>
          <w:szCs w:val="24"/>
        </w:rPr>
        <w:t xml:space="preserve"> and a tariff-approved distribution charge or service.</w:t>
      </w:r>
      <w:r>
        <w:rPr>
          <w:rStyle w:val="FootnoteReference"/>
          <w:rFonts w:ascii="Times New Roman" w:hAnsi="Times New Roman" w:cs="Times New Roman"/>
          <w:sz w:val="24"/>
          <w:szCs w:val="24"/>
        </w:rPr>
        <w:footnoteReference w:id="33"/>
      </w:r>
      <w:r w:rsidRPr="00862829">
        <w:rPr>
          <w:rFonts w:ascii="Times New Roman" w:hAnsi="Times New Roman" w:cs="Times New Roman"/>
          <w:sz w:val="24"/>
          <w:szCs w:val="24"/>
        </w:rPr>
        <w:t xml:space="preserve"> OCC supported the addition of this rule</w:t>
      </w:r>
      <w:r w:rsidRPr="00937028">
        <w:rPr>
          <w:rFonts w:ascii="Times New Roman" w:hAnsi="Times New Roman" w:cs="Times New Roman"/>
          <w:sz w:val="24"/>
          <w:szCs w:val="24"/>
        </w:rPr>
        <w:t xml:space="preserve"> becau</w:t>
      </w:r>
      <w:r w:rsidRPr="00E45058">
        <w:rPr>
          <w:rFonts w:ascii="Times New Roman" w:hAnsi="Times New Roman" w:cs="Times New Roman"/>
          <w:sz w:val="24"/>
          <w:szCs w:val="24"/>
        </w:rPr>
        <w:t xml:space="preserve">se it is an </w:t>
      </w:r>
      <w:r w:rsidRPr="001C2A4D">
        <w:rPr>
          <w:rFonts w:ascii="Times New Roman" w:hAnsi="Times New Roman" w:cs="Times New Roman"/>
          <w:sz w:val="24"/>
          <w:szCs w:val="24"/>
        </w:rPr>
        <w:t xml:space="preserve">important consumer protection that helps limit the types of charges that can be </w:t>
      </w:r>
      <w:r>
        <w:rPr>
          <w:rFonts w:ascii="Times New Roman" w:hAnsi="Times New Roman" w:cs="Times New Roman"/>
          <w:sz w:val="24"/>
          <w:szCs w:val="24"/>
        </w:rPr>
        <w:t>included</w:t>
      </w:r>
      <w:r w:rsidRPr="001C2A4D">
        <w:rPr>
          <w:rFonts w:ascii="Times New Roman" w:hAnsi="Times New Roman" w:cs="Times New Roman"/>
          <w:sz w:val="24"/>
          <w:szCs w:val="24"/>
        </w:rPr>
        <w:t xml:space="preserve"> </w:t>
      </w:r>
      <w:r w:rsidRPr="00862829">
        <w:rPr>
          <w:rFonts w:ascii="Times New Roman" w:hAnsi="Times New Roman" w:cs="Times New Roman"/>
          <w:sz w:val="24"/>
          <w:szCs w:val="24"/>
        </w:rPr>
        <w:t>on a natural gas bill.</w:t>
      </w:r>
      <w:r>
        <w:rPr>
          <w:rStyle w:val="FootnoteReference"/>
          <w:rFonts w:ascii="Times New Roman" w:hAnsi="Times New Roman" w:cs="Times New Roman"/>
          <w:sz w:val="24"/>
          <w:szCs w:val="24"/>
        </w:rPr>
        <w:footnoteReference w:id="34"/>
      </w:r>
      <w:r w:rsidRPr="00862829">
        <w:rPr>
          <w:rFonts w:ascii="Times New Roman" w:hAnsi="Times New Roman" w:cs="Times New Roman"/>
          <w:sz w:val="24"/>
          <w:szCs w:val="24"/>
        </w:rPr>
        <w:t xml:space="preserve"> </w:t>
      </w:r>
      <w:r w:rsidRPr="00937028">
        <w:rPr>
          <w:rFonts w:ascii="Times New Roman" w:hAnsi="Times New Roman" w:cs="Times New Roman"/>
          <w:sz w:val="24"/>
          <w:szCs w:val="24"/>
        </w:rPr>
        <w:t>It also reduces—if not eliminates—</w:t>
      </w:r>
      <w:r w:rsidRPr="00E45058">
        <w:rPr>
          <w:rFonts w:ascii="Times New Roman" w:hAnsi="Times New Roman" w:cs="Times New Roman"/>
          <w:sz w:val="24"/>
          <w:szCs w:val="24"/>
        </w:rPr>
        <w:t>consumer exposure to scams and cramming</w:t>
      </w:r>
      <w:r w:rsidRPr="001C2A4D">
        <w:rPr>
          <w:rFonts w:ascii="Times New Roman" w:hAnsi="Times New Roman" w:cs="Times New Roman"/>
          <w:sz w:val="24"/>
          <w:szCs w:val="24"/>
        </w:rPr>
        <w:t>.</w:t>
      </w:r>
    </w:p>
    <w:p w:rsidR="00C553DE" w:rsidRPr="00CC16E9" w:rsidP="00C553DE" w14:paraId="4CC0B71E" w14:textId="7E5E9E5C">
      <w:pPr>
        <w:spacing w:after="0" w:line="480" w:lineRule="auto"/>
        <w:ind w:firstLine="720"/>
        <w:rPr>
          <w:rFonts w:ascii="Times New Roman" w:hAnsi="Times New Roman" w:cs="Times New Roman"/>
          <w:sz w:val="24"/>
          <w:szCs w:val="24"/>
        </w:rPr>
      </w:pPr>
      <w:r w:rsidRPr="00CC16E9">
        <w:rPr>
          <w:rFonts w:ascii="Times New Roman" w:hAnsi="Times New Roman" w:cs="Times New Roman"/>
          <w:sz w:val="24"/>
          <w:szCs w:val="24"/>
        </w:rPr>
        <w:t>The PUCO stated that the proposed rule would “impose an outright prohibition” of charges for non-commodity goods and services and should not be adopted.</w:t>
      </w:r>
      <w:r>
        <w:rPr>
          <w:rStyle w:val="FootnoteReference"/>
          <w:rFonts w:ascii="Times New Roman" w:hAnsi="Times New Roman" w:cs="Times New Roman"/>
          <w:sz w:val="24"/>
          <w:szCs w:val="24"/>
        </w:rPr>
        <w:footnoteReference w:id="35"/>
      </w:r>
      <w:r w:rsidRPr="00862829">
        <w:rPr>
          <w:rFonts w:ascii="Times New Roman" w:hAnsi="Times New Roman" w:cs="Times New Roman"/>
          <w:sz w:val="24"/>
          <w:szCs w:val="24"/>
        </w:rPr>
        <w:t xml:space="preserve"> But this is exactly why it </w:t>
      </w:r>
      <w:r w:rsidRPr="00937028">
        <w:rPr>
          <w:rFonts w:ascii="Times New Roman" w:hAnsi="Times New Roman" w:cs="Times New Roman"/>
          <w:i/>
          <w:iCs/>
          <w:sz w:val="24"/>
          <w:szCs w:val="24"/>
        </w:rPr>
        <w:t xml:space="preserve">should </w:t>
      </w:r>
      <w:r w:rsidRPr="00E45058">
        <w:rPr>
          <w:rFonts w:ascii="Times New Roman" w:hAnsi="Times New Roman" w:cs="Times New Roman"/>
          <w:sz w:val="24"/>
          <w:szCs w:val="24"/>
        </w:rPr>
        <w:t>be adopted. IGS claimed that that there is no harm in having non-commodity charges on the bill because customers</w:t>
      </w:r>
      <w:r w:rsidRPr="001C2A4D">
        <w:rPr>
          <w:rFonts w:ascii="Times New Roman" w:hAnsi="Times New Roman" w:cs="Times New Roman"/>
          <w:sz w:val="24"/>
          <w:szCs w:val="24"/>
        </w:rPr>
        <w:t xml:space="preserve"> are not eligible for disconnection if these charges are not paid.</w:t>
      </w:r>
      <w:r>
        <w:rPr>
          <w:rStyle w:val="FootnoteReference"/>
          <w:rFonts w:ascii="Times New Roman" w:hAnsi="Times New Roman" w:cs="Times New Roman"/>
          <w:sz w:val="24"/>
          <w:szCs w:val="24"/>
        </w:rPr>
        <w:footnoteReference w:id="36"/>
      </w:r>
      <w:r w:rsidRPr="00862829">
        <w:rPr>
          <w:rFonts w:ascii="Times New Roman" w:hAnsi="Times New Roman" w:cs="Times New Roman"/>
          <w:sz w:val="24"/>
          <w:szCs w:val="24"/>
        </w:rPr>
        <w:t xml:space="preserve"> </w:t>
      </w:r>
      <w:r w:rsidR="00D96266">
        <w:rPr>
          <w:rFonts w:ascii="Times New Roman" w:hAnsi="Times New Roman" w:cs="Times New Roman"/>
          <w:sz w:val="24"/>
          <w:szCs w:val="24"/>
        </w:rPr>
        <w:t>But</w:t>
      </w:r>
      <w:r w:rsidRPr="00937028">
        <w:rPr>
          <w:rFonts w:ascii="Times New Roman" w:hAnsi="Times New Roman" w:cs="Times New Roman"/>
          <w:sz w:val="24"/>
          <w:szCs w:val="24"/>
        </w:rPr>
        <w:t xml:space="preserve"> many customers are not aware of different consumer protection rights that apply for unregulated charges that appear on a regulated natural gas bill</w:t>
      </w:r>
      <w:r w:rsidR="00CF265E">
        <w:rPr>
          <w:rFonts w:ascii="Times New Roman" w:hAnsi="Times New Roman" w:cs="Times New Roman"/>
          <w:sz w:val="24"/>
          <w:szCs w:val="24"/>
        </w:rPr>
        <w:t xml:space="preserve">. </w:t>
      </w:r>
      <w:r w:rsidRPr="003053D2">
        <w:rPr>
          <w:rFonts w:ascii="Times New Roman" w:hAnsi="Times New Roman" w:cs="Times New Roman"/>
          <w:sz w:val="24"/>
          <w:szCs w:val="24"/>
        </w:rPr>
        <w:t xml:space="preserve">The </w:t>
      </w:r>
      <w:r>
        <w:rPr>
          <w:rFonts w:ascii="Times New Roman" w:hAnsi="Times New Roman" w:cs="Times New Roman"/>
          <w:sz w:val="24"/>
          <w:szCs w:val="24"/>
        </w:rPr>
        <w:t>m</w:t>
      </w:r>
      <w:r w:rsidRPr="003053D2">
        <w:rPr>
          <w:rFonts w:ascii="Times New Roman" w:hAnsi="Times New Roman" w:cs="Times New Roman"/>
          <w:sz w:val="24"/>
          <w:szCs w:val="24"/>
        </w:rPr>
        <w:t xml:space="preserve">arketers </w:t>
      </w:r>
      <w:r w:rsidRPr="00862829">
        <w:rPr>
          <w:rFonts w:ascii="Times New Roman" w:hAnsi="Times New Roman" w:cs="Times New Roman"/>
          <w:sz w:val="24"/>
          <w:szCs w:val="24"/>
        </w:rPr>
        <w:t xml:space="preserve">will not be harmed by removing unregulated products and services from the regulated bill. </w:t>
      </w:r>
      <w:r w:rsidRPr="00937028">
        <w:rPr>
          <w:rFonts w:ascii="Times New Roman" w:hAnsi="Times New Roman" w:cs="Times New Roman"/>
          <w:sz w:val="24"/>
          <w:szCs w:val="24"/>
        </w:rPr>
        <w:t xml:space="preserve">Consumers still have access to the plethora of unregulated products and services available through the market; however, they </w:t>
      </w:r>
      <w:r w:rsidR="00D96266">
        <w:rPr>
          <w:rFonts w:ascii="Times New Roman" w:hAnsi="Times New Roman" w:cs="Times New Roman"/>
          <w:sz w:val="24"/>
          <w:szCs w:val="24"/>
        </w:rPr>
        <w:t xml:space="preserve">would </w:t>
      </w:r>
      <w:r w:rsidRPr="00937028">
        <w:rPr>
          <w:rFonts w:ascii="Times New Roman" w:hAnsi="Times New Roman" w:cs="Times New Roman"/>
          <w:sz w:val="24"/>
          <w:szCs w:val="24"/>
        </w:rPr>
        <w:t xml:space="preserve">not </w:t>
      </w:r>
      <w:r w:rsidR="00E45A79">
        <w:rPr>
          <w:rFonts w:ascii="Times New Roman" w:hAnsi="Times New Roman" w:cs="Times New Roman"/>
          <w:sz w:val="24"/>
          <w:szCs w:val="24"/>
        </w:rPr>
        <w:t xml:space="preserve">be </w:t>
      </w:r>
      <w:r w:rsidRPr="00937028">
        <w:rPr>
          <w:rFonts w:ascii="Times New Roman" w:hAnsi="Times New Roman" w:cs="Times New Roman"/>
          <w:sz w:val="24"/>
          <w:szCs w:val="24"/>
        </w:rPr>
        <w:t xml:space="preserve">bombarded with this </w:t>
      </w:r>
      <w:r w:rsidRPr="00E45058">
        <w:rPr>
          <w:rFonts w:ascii="Times New Roman" w:hAnsi="Times New Roman" w:cs="Times New Roman"/>
          <w:sz w:val="24"/>
          <w:szCs w:val="24"/>
        </w:rPr>
        <w:t xml:space="preserve">confusing </w:t>
      </w:r>
      <w:r w:rsidRPr="001C2A4D">
        <w:rPr>
          <w:rFonts w:ascii="Times New Roman" w:hAnsi="Times New Roman" w:cs="Times New Roman"/>
          <w:sz w:val="24"/>
          <w:szCs w:val="24"/>
        </w:rPr>
        <w:t>inf</w:t>
      </w:r>
      <w:r w:rsidRPr="00CC16E9">
        <w:rPr>
          <w:rFonts w:ascii="Times New Roman" w:hAnsi="Times New Roman" w:cs="Times New Roman"/>
          <w:sz w:val="24"/>
          <w:szCs w:val="24"/>
        </w:rPr>
        <w:t xml:space="preserve">ormation on their regulated gas bill. The PUCO should not sacrifice consumer protection for </w:t>
      </w:r>
      <w:r w:rsidR="00E45A79">
        <w:rPr>
          <w:rFonts w:ascii="Times New Roman" w:hAnsi="Times New Roman" w:cs="Times New Roman"/>
          <w:sz w:val="24"/>
          <w:szCs w:val="24"/>
        </w:rPr>
        <w:t>m</w:t>
      </w:r>
      <w:r w:rsidRPr="00CC16E9">
        <w:rPr>
          <w:rFonts w:ascii="Times New Roman" w:hAnsi="Times New Roman" w:cs="Times New Roman"/>
          <w:sz w:val="24"/>
          <w:szCs w:val="24"/>
        </w:rPr>
        <w:t>arketer convenience.</w:t>
      </w:r>
    </w:p>
    <w:p w:rsidR="00496F03" w:rsidP="00C553DE" w14:paraId="1F01CEB8" w14:textId="77777777">
      <w:pPr>
        <w:spacing w:after="0" w:line="480" w:lineRule="auto"/>
        <w:ind w:firstLine="720"/>
        <w:rPr>
          <w:rFonts w:ascii="Times New Roman" w:hAnsi="Times New Roman" w:cs="Times New Roman"/>
          <w:sz w:val="24"/>
          <w:szCs w:val="24"/>
        </w:rPr>
      </w:pPr>
      <w:r w:rsidRPr="00555218">
        <w:rPr>
          <w:rFonts w:ascii="Times New Roman" w:hAnsi="Times New Roman" w:cs="Times New Roman"/>
          <w:sz w:val="24"/>
          <w:szCs w:val="24"/>
        </w:rPr>
        <w:t xml:space="preserve">Staff’s proposed rule to limit </w:t>
      </w:r>
      <w:r>
        <w:rPr>
          <w:rFonts w:ascii="Times New Roman" w:hAnsi="Times New Roman" w:cs="Times New Roman"/>
          <w:sz w:val="24"/>
          <w:szCs w:val="24"/>
        </w:rPr>
        <w:t xml:space="preserve">what can be included on natural </w:t>
      </w:r>
      <w:r w:rsidRPr="00555218">
        <w:rPr>
          <w:rFonts w:ascii="Times New Roman" w:hAnsi="Times New Roman" w:cs="Times New Roman"/>
          <w:sz w:val="24"/>
          <w:szCs w:val="24"/>
        </w:rPr>
        <w:t xml:space="preserve">gas bills to </w:t>
      </w:r>
      <w:r>
        <w:rPr>
          <w:rFonts w:ascii="Times New Roman" w:hAnsi="Times New Roman" w:cs="Times New Roman"/>
          <w:sz w:val="24"/>
          <w:szCs w:val="24"/>
        </w:rPr>
        <w:t>“</w:t>
      </w:r>
      <w:r w:rsidRPr="00555218">
        <w:rPr>
          <w:rFonts w:ascii="Times New Roman" w:hAnsi="Times New Roman" w:cs="Times New Roman"/>
          <w:sz w:val="24"/>
          <w:szCs w:val="24"/>
        </w:rPr>
        <w:t xml:space="preserve">commodity </w:t>
      </w:r>
      <w:r w:rsidRPr="00862829">
        <w:rPr>
          <w:rFonts w:ascii="Times New Roman" w:hAnsi="Times New Roman" w:cs="Times New Roman"/>
          <w:sz w:val="24"/>
          <w:szCs w:val="24"/>
        </w:rPr>
        <w:t>charges</w:t>
      </w:r>
      <w:r>
        <w:rPr>
          <w:rFonts w:ascii="Times New Roman" w:hAnsi="Times New Roman" w:cs="Times New Roman"/>
          <w:sz w:val="24"/>
          <w:szCs w:val="24"/>
        </w:rPr>
        <w:t>”</w:t>
      </w:r>
      <w:r w:rsidRPr="00937028">
        <w:rPr>
          <w:rFonts w:ascii="Times New Roman" w:hAnsi="Times New Roman" w:cs="Times New Roman"/>
          <w:sz w:val="24"/>
          <w:szCs w:val="24"/>
        </w:rPr>
        <w:t xml:space="preserve"> and OCC’s proposed definition </w:t>
      </w:r>
      <w:r>
        <w:rPr>
          <w:rFonts w:ascii="Times New Roman" w:hAnsi="Times New Roman" w:cs="Times New Roman"/>
          <w:sz w:val="24"/>
          <w:szCs w:val="24"/>
        </w:rPr>
        <w:t xml:space="preserve">of “commodity charges” </w:t>
      </w:r>
      <w:r w:rsidRPr="00937028">
        <w:rPr>
          <w:rFonts w:ascii="Times New Roman" w:hAnsi="Times New Roman" w:cs="Times New Roman"/>
          <w:sz w:val="24"/>
          <w:szCs w:val="24"/>
        </w:rPr>
        <w:t>are</w:t>
      </w:r>
      <w:r w:rsidRPr="00E45058">
        <w:rPr>
          <w:rFonts w:ascii="Times New Roman" w:hAnsi="Times New Roman" w:cs="Times New Roman"/>
          <w:sz w:val="24"/>
          <w:szCs w:val="24"/>
        </w:rPr>
        <w:t xml:space="preserve"> important to help prevent natural gas bills from being misused (e.g. as the </w:t>
      </w:r>
      <w:r w:rsidRPr="00555218">
        <w:rPr>
          <w:rFonts w:ascii="Times New Roman" w:hAnsi="Times New Roman" w:cs="Times New Roman"/>
          <w:sz w:val="24"/>
          <w:szCs w:val="24"/>
        </w:rPr>
        <w:t>vehicle</w:t>
      </w:r>
      <w:r w:rsidRPr="00862829">
        <w:rPr>
          <w:rFonts w:ascii="Times New Roman" w:hAnsi="Times New Roman" w:cs="Times New Roman"/>
          <w:sz w:val="24"/>
          <w:szCs w:val="24"/>
        </w:rPr>
        <w:t xml:space="preserve"> for </w:t>
      </w:r>
      <w:r w:rsidRPr="00555218">
        <w:rPr>
          <w:rFonts w:ascii="Times New Roman" w:hAnsi="Times New Roman" w:cs="Times New Roman"/>
          <w:sz w:val="24"/>
          <w:szCs w:val="24"/>
        </w:rPr>
        <w:t>presenting marketer monthly service fees, miscellaneous charges, or other charges for products and services to customers for collection. These charges have nothing to do with the natural gas service being provided by the gas utility).</w:t>
      </w:r>
      <w:r>
        <w:rPr>
          <w:rStyle w:val="FootnoteReference"/>
          <w:rFonts w:ascii="Times New Roman" w:hAnsi="Times New Roman" w:cs="Times New Roman"/>
          <w:sz w:val="24"/>
          <w:szCs w:val="24"/>
        </w:rPr>
        <w:footnoteReference w:id="37"/>
      </w:r>
      <w:r w:rsidRPr="00862829">
        <w:rPr>
          <w:rFonts w:ascii="Times New Roman" w:hAnsi="Times New Roman" w:cs="Times New Roman"/>
          <w:sz w:val="24"/>
          <w:szCs w:val="24"/>
        </w:rPr>
        <w:t xml:space="preserve"> </w:t>
      </w:r>
      <w:r>
        <w:rPr>
          <w:rFonts w:ascii="Times New Roman" w:hAnsi="Times New Roman" w:cs="Times New Roman"/>
          <w:sz w:val="24"/>
          <w:szCs w:val="24"/>
        </w:rPr>
        <w:t xml:space="preserve">It would also prevent cramming charges to consumer bills that they did not authorize. </w:t>
      </w:r>
    </w:p>
    <w:p w:rsidR="00A3175F" w:rsidRPr="00937028" w:rsidP="00A3175F" w14:paraId="6A3B73B4" w14:textId="77777777">
      <w:pPr>
        <w:spacing w:after="0" w:line="480" w:lineRule="auto"/>
        <w:ind w:firstLine="720"/>
        <w:rPr>
          <w:rFonts w:ascii="Times New Roman" w:hAnsi="Times New Roman" w:cs="Times New Roman"/>
          <w:sz w:val="24"/>
          <w:szCs w:val="24"/>
        </w:rPr>
      </w:pPr>
      <w:r w:rsidRPr="003053D2">
        <w:rPr>
          <w:rFonts w:ascii="Times New Roman" w:hAnsi="Times New Roman" w:cs="Times New Roman"/>
          <w:sz w:val="24"/>
          <w:szCs w:val="24"/>
        </w:rPr>
        <w:t xml:space="preserve">The PUCO erred by declining to adopt Staff’s proposed Rule (K) to limit what appears on the natural gas bill to protect consumers against slamming and cramming. </w:t>
      </w:r>
      <w:r w:rsidRPr="00CC16E9" w:rsidR="00C553DE">
        <w:rPr>
          <w:rFonts w:ascii="Times New Roman" w:hAnsi="Times New Roman" w:cs="Times New Roman"/>
          <w:sz w:val="24"/>
          <w:szCs w:val="24"/>
        </w:rPr>
        <w:t xml:space="preserve">The PUCO should have adopted </w:t>
      </w:r>
      <w:r w:rsidRPr="00DA3B6B" w:rsidR="00C553DE">
        <w:rPr>
          <w:rFonts w:ascii="Times New Roman" w:hAnsi="Times New Roman" w:cs="Times New Roman"/>
          <w:sz w:val="24"/>
          <w:szCs w:val="24"/>
        </w:rPr>
        <w:t>the</w:t>
      </w:r>
      <w:r w:rsidRPr="009344C8" w:rsidR="00C553DE">
        <w:rPr>
          <w:rFonts w:ascii="Times New Roman" w:hAnsi="Times New Roman" w:cs="Times New Roman"/>
          <w:sz w:val="24"/>
          <w:szCs w:val="24"/>
        </w:rPr>
        <w:t xml:space="preserve"> simple and straight-forward proposal by </w:t>
      </w:r>
      <w:r w:rsidRPr="003053D2" w:rsidR="00C553DE">
        <w:rPr>
          <w:rFonts w:ascii="Times New Roman" w:hAnsi="Times New Roman" w:cs="Times New Roman"/>
          <w:sz w:val="24"/>
          <w:szCs w:val="24"/>
        </w:rPr>
        <w:t xml:space="preserve">Staff to facilitate using the regulated natural gas bill for its intended purpose: billing customers for natural gas charges and services. Consumer regulated utility bills should include only those charges that are specific to natural gas service that are under PUCO oversight. </w:t>
      </w:r>
      <w:r w:rsidRPr="003053D2">
        <w:rPr>
          <w:rFonts w:ascii="Times New Roman" w:hAnsi="Times New Roman" w:cs="Times New Roman"/>
          <w:sz w:val="24"/>
          <w:szCs w:val="24"/>
        </w:rPr>
        <w:t xml:space="preserve">This would go one step further towards avoiding any uncertainty </w:t>
      </w:r>
      <w:r w:rsidRPr="00862829">
        <w:rPr>
          <w:rFonts w:ascii="Times New Roman" w:hAnsi="Times New Roman" w:cs="Times New Roman"/>
          <w:sz w:val="24"/>
          <w:szCs w:val="24"/>
        </w:rPr>
        <w:t>as to what can be on the bill</w:t>
      </w:r>
      <w:r w:rsidRPr="00937028">
        <w:rPr>
          <w:rFonts w:ascii="Times New Roman" w:hAnsi="Times New Roman" w:cs="Times New Roman"/>
          <w:sz w:val="24"/>
          <w:szCs w:val="24"/>
        </w:rPr>
        <w:t xml:space="preserve"> </w:t>
      </w:r>
      <w:r>
        <w:rPr>
          <w:rFonts w:ascii="Times New Roman" w:hAnsi="Times New Roman" w:cs="Times New Roman"/>
          <w:sz w:val="24"/>
          <w:szCs w:val="24"/>
        </w:rPr>
        <w:t xml:space="preserve">(only the natural gas commodity) </w:t>
      </w:r>
      <w:r w:rsidRPr="00937028">
        <w:rPr>
          <w:rFonts w:ascii="Times New Roman" w:hAnsi="Times New Roman" w:cs="Times New Roman"/>
          <w:sz w:val="24"/>
          <w:szCs w:val="24"/>
        </w:rPr>
        <w:t xml:space="preserve">and what charges </w:t>
      </w:r>
      <w:r w:rsidRPr="00E45058">
        <w:rPr>
          <w:rFonts w:ascii="Times New Roman" w:hAnsi="Times New Roman" w:cs="Times New Roman"/>
          <w:sz w:val="24"/>
          <w:szCs w:val="24"/>
        </w:rPr>
        <w:t>consumers can be disconnected</w:t>
      </w:r>
      <w:r w:rsidRPr="001C2A4D">
        <w:rPr>
          <w:rFonts w:ascii="Times New Roman" w:hAnsi="Times New Roman" w:cs="Times New Roman"/>
          <w:sz w:val="24"/>
          <w:szCs w:val="24"/>
        </w:rPr>
        <w:t xml:space="preserve"> </w:t>
      </w:r>
      <w:r w:rsidRPr="003053D2">
        <w:rPr>
          <w:rFonts w:ascii="Times New Roman" w:hAnsi="Times New Roman" w:cs="Times New Roman"/>
          <w:sz w:val="24"/>
          <w:szCs w:val="24"/>
        </w:rPr>
        <w:t>for nonpayment</w:t>
      </w:r>
      <w:r>
        <w:rPr>
          <w:rFonts w:ascii="Times New Roman" w:hAnsi="Times New Roman" w:cs="Times New Roman"/>
          <w:sz w:val="24"/>
          <w:szCs w:val="24"/>
        </w:rPr>
        <w:t xml:space="preserve"> (only the natural gas commodity)</w:t>
      </w:r>
      <w:r w:rsidRPr="00862829">
        <w:rPr>
          <w:rFonts w:ascii="Times New Roman" w:hAnsi="Times New Roman" w:cs="Times New Roman"/>
          <w:sz w:val="24"/>
          <w:szCs w:val="24"/>
        </w:rPr>
        <w:t xml:space="preserve">. </w:t>
      </w:r>
    </w:p>
    <w:p w:rsidR="007A7991" w:rsidRPr="00937028" w:rsidP="00D06FF1" w14:paraId="75061901" w14:textId="19C84F17">
      <w:pPr>
        <w:spacing w:after="0" w:line="480" w:lineRule="auto"/>
        <w:ind w:firstLine="720"/>
        <w:rPr>
          <w:rFonts w:ascii="Times New Roman" w:hAnsi="Times New Roman" w:cs="Times New Roman"/>
          <w:sz w:val="24"/>
          <w:szCs w:val="24"/>
        </w:rPr>
      </w:pPr>
      <w:r w:rsidRPr="00862829">
        <w:rPr>
          <w:rFonts w:ascii="Times New Roman" w:hAnsi="Times New Roman" w:cs="Times New Roman"/>
          <w:sz w:val="24"/>
          <w:szCs w:val="24"/>
        </w:rPr>
        <w:t xml:space="preserve">The PUCO’s decision was unreasonable and OCC’s application for rehearing should be granted, and the Order modified consistent with our recommendations. </w:t>
      </w:r>
    </w:p>
    <w:p w:rsidR="0068645A" w:rsidRPr="00862829" w:rsidP="008943A3" w14:paraId="737758A9" w14:textId="214FC086">
      <w:pPr>
        <w:pStyle w:val="Heading2"/>
      </w:pPr>
      <w:bookmarkStart w:id="23" w:name="_Toc67669764"/>
      <w:bookmarkStart w:id="24" w:name="_Toc67670098"/>
      <w:bookmarkStart w:id="25" w:name="_Toc67671098"/>
      <w:r w:rsidRPr="00E45058">
        <w:t xml:space="preserve">ASSIGNMENT OF ERROR NO. </w:t>
      </w:r>
      <w:r w:rsidR="002506BD">
        <w:t>3</w:t>
      </w:r>
      <w:r w:rsidRPr="00862829">
        <w:t>: The PUCO erred when it unlawfully and unreasonably failed to require the current standard choice offer or gas cost recovery rate to be printed on gas bills, which violates state policy in R.C. 4929.02 (A)(1)</w:t>
      </w:r>
      <w:r w:rsidR="00A3175F">
        <w:t>.</w:t>
      </w:r>
      <w:bookmarkEnd w:id="23"/>
      <w:bookmarkEnd w:id="24"/>
      <w:bookmarkEnd w:id="25"/>
      <w:r w:rsidRPr="00862829" w:rsidR="00A3175F">
        <w:t xml:space="preserve"> </w:t>
      </w:r>
    </w:p>
    <w:p w:rsidR="008D15CC" w:rsidRPr="00862829" w:rsidP="008D15CC" w14:paraId="303E4C1F" w14:textId="5EB42F9A">
      <w:pPr>
        <w:spacing w:after="0" w:line="480" w:lineRule="auto"/>
        <w:rPr>
          <w:rFonts w:ascii="Times New Roman" w:hAnsi="Times New Roman" w:cs="Times New Roman"/>
          <w:sz w:val="24"/>
          <w:szCs w:val="24"/>
        </w:rPr>
      </w:pPr>
      <w:r w:rsidRPr="00937028">
        <w:rPr>
          <w:rFonts w:ascii="Times New Roman" w:hAnsi="Times New Roman" w:cs="Times New Roman"/>
          <w:sz w:val="24"/>
          <w:szCs w:val="24"/>
        </w:rPr>
        <w:tab/>
      </w:r>
      <w:r w:rsidRPr="00675532">
        <w:rPr>
          <w:rFonts w:ascii="Times New Roman" w:hAnsi="Times New Roman" w:cs="Times New Roman"/>
          <w:sz w:val="24"/>
          <w:szCs w:val="24"/>
        </w:rPr>
        <w:t xml:space="preserve">The PUCO </w:t>
      </w:r>
      <w:r w:rsidRPr="00E45058" w:rsidR="00430FEC">
        <w:rPr>
          <w:rFonts w:ascii="Times New Roman" w:hAnsi="Times New Roman" w:cs="Times New Roman"/>
          <w:sz w:val="24"/>
          <w:szCs w:val="24"/>
        </w:rPr>
        <w:t xml:space="preserve">adopted </w:t>
      </w:r>
      <w:r w:rsidRPr="00862829" w:rsidR="00430FEC">
        <w:rPr>
          <w:rFonts w:ascii="Times New Roman" w:hAnsi="Times New Roman" w:cs="Times New Roman"/>
          <w:sz w:val="24"/>
          <w:szCs w:val="24"/>
        </w:rPr>
        <w:t xml:space="preserve">Staff’s </w:t>
      </w:r>
      <w:r w:rsidRPr="00862829" w:rsidR="009540C4">
        <w:rPr>
          <w:rFonts w:ascii="Times New Roman" w:hAnsi="Times New Roman" w:cs="Times New Roman"/>
          <w:sz w:val="24"/>
          <w:szCs w:val="24"/>
        </w:rPr>
        <w:t>price-to-compare statement on customer bills</w:t>
      </w:r>
      <w:r w:rsidRPr="00862829" w:rsidR="000E61A3">
        <w:rPr>
          <w:rFonts w:ascii="Times New Roman" w:hAnsi="Times New Roman" w:cs="Times New Roman"/>
          <w:sz w:val="24"/>
          <w:szCs w:val="24"/>
        </w:rPr>
        <w:t xml:space="preserve"> and recognized that “as the COVID-19 pandemic has made clear, there are many Ohioans with insufficient or no internet access</w:t>
      </w:r>
      <w:r w:rsidRPr="00862829" w:rsidR="00E504D0">
        <w:rPr>
          <w:rFonts w:ascii="Times New Roman" w:hAnsi="Times New Roman" w:cs="Times New Roman"/>
          <w:sz w:val="24"/>
          <w:szCs w:val="24"/>
        </w:rPr>
        <w:t>.</w:t>
      </w:r>
      <w:r w:rsidRPr="00862829" w:rsidR="00435982">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sidRPr="00862829" w:rsidR="00E504D0">
        <w:rPr>
          <w:rFonts w:ascii="Times New Roman" w:hAnsi="Times New Roman" w:cs="Times New Roman"/>
          <w:sz w:val="24"/>
          <w:szCs w:val="24"/>
        </w:rPr>
        <w:t xml:space="preserve"> </w:t>
      </w:r>
      <w:r w:rsidRPr="00937028" w:rsidR="007B1DD4">
        <w:rPr>
          <w:rFonts w:ascii="Times New Roman" w:hAnsi="Times New Roman" w:cs="Times New Roman"/>
          <w:sz w:val="24"/>
          <w:szCs w:val="24"/>
        </w:rPr>
        <w:t xml:space="preserve">And </w:t>
      </w:r>
      <w:r w:rsidRPr="00937028" w:rsidR="00E172CB">
        <w:rPr>
          <w:rFonts w:ascii="Times New Roman" w:hAnsi="Times New Roman" w:cs="Times New Roman"/>
          <w:sz w:val="24"/>
          <w:szCs w:val="24"/>
        </w:rPr>
        <w:t xml:space="preserve">OCC supported </w:t>
      </w:r>
      <w:r w:rsidRPr="00862829" w:rsidR="00E172CB">
        <w:rPr>
          <w:rFonts w:ascii="Times New Roman" w:hAnsi="Times New Roman" w:cs="Times New Roman"/>
          <w:sz w:val="24"/>
          <w:szCs w:val="24"/>
        </w:rPr>
        <w:t>Staff’s</w:t>
      </w:r>
      <w:r w:rsidRPr="00862829" w:rsidR="007B1DD4">
        <w:rPr>
          <w:rFonts w:ascii="Times New Roman" w:hAnsi="Times New Roman" w:cs="Times New Roman"/>
          <w:sz w:val="24"/>
          <w:szCs w:val="24"/>
        </w:rPr>
        <w:t xml:space="preserve"> proposed language. </w:t>
      </w:r>
      <w:r w:rsidRPr="00862829" w:rsidR="009540C4">
        <w:rPr>
          <w:rFonts w:ascii="Times New Roman" w:hAnsi="Times New Roman" w:cs="Times New Roman"/>
          <w:sz w:val="24"/>
          <w:szCs w:val="24"/>
        </w:rPr>
        <w:t xml:space="preserve">However, </w:t>
      </w:r>
      <w:r w:rsidR="00375C0F">
        <w:rPr>
          <w:rFonts w:ascii="Times New Roman" w:hAnsi="Times New Roman" w:cs="Times New Roman"/>
          <w:sz w:val="24"/>
          <w:szCs w:val="24"/>
        </w:rPr>
        <w:t xml:space="preserve">the </w:t>
      </w:r>
      <w:r w:rsidRPr="00862829" w:rsidR="00F64FA9">
        <w:rPr>
          <w:rFonts w:ascii="Times New Roman" w:hAnsi="Times New Roman" w:cs="Times New Roman"/>
          <w:sz w:val="24"/>
          <w:szCs w:val="24"/>
        </w:rPr>
        <w:t xml:space="preserve">PUCO modified the language of the </w:t>
      </w:r>
      <w:r w:rsidRPr="00862829" w:rsidR="009E1E4A">
        <w:rPr>
          <w:rFonts w:ascii="Times New Roman" w:hAnsi="Times New Roman" w:cs="Times New Roman"/>
          <w:sz w:val="24"/>
          <w:szCs w:val="24"/>
        </w:rPr>
        <w:t>Staff’s propose</w:t>
      </w:r>
      <w:r w:rsidRPr="00862829" w:rsidR="007B1DD4">
        <w:rPr>
          <w:rFonts w:ascii="Times New Roman" w:hAnsi="Times New Roman" w:cs="Times New Roman"/>
          <w:sz w:val="24"/>
          <w:szCs w:val="24"/>
        </w:rPr>
        <w:t>d</w:t>
      </w:r>
      <w:r w:rsidRPr="00862829" w:rsidR="009E1E4A">
        <w:rPr>
          <w:rFonts w:ascii="Times New Roman" w:hAnsi="Times New Roman" w:cs="Times New Roman"/>
          <w:sz w:val="24"/>
          <w:szCs w:val="24"/>
        </w:rPr>
        <w:t xml:space="preserve"> price-to-compare </w:t>
      </w:r>
      <w:r w:rsidRPr="00862829" w:rsidR="00375C0F">
        <w:rPr>
          <w:rFonts w:ascii="Times New Roman" w:hAnsi="Times New Roman" w:cs="Times New Roman"/>
          <w:sz w:val="24"/>
          <w:szCs w:val="24"/>
        </w:rPr>
        <w:t>statement. In</w:t>
      </w:r>
      <w:r w:rsidRPr="00862829" w:rsidR="00F64FA9">
        <w:rPr>
          <w:rFonts w:ascii="Times New Roman" w:hAnsi="Times New Roman" w:cs="Times New Roman"/>
          <w:sz w:val="24"/>
          <w:szCs w:val="24"/>
        </w:rPr>
        <w:t xml:space="preserve"> doing so, the</w:t>
      </w:r>
      <w:r w:rsidRPr="00862829" w:rsidR="000E746B">
        <w:rPr>
          <w:rFonts w:ascii="Times New Roman" w:hAnsi="Times New Roman" w:cs="Times New Roman"/>
          <w:sz w:val="24"/>
          <w:szCs w:val="24"/>
        </w:rPr>
        <w:t xml:space="preserve"> PUCO failed to require the actual current </w:t>
      </w:r>
      <w:r w:rsidRPr="00862829" w:rsidR="000350F2">
        <w:rPr>
          <w:rFonts w:ascii="Times New Roman" w:hAnsi="Times New Roman" w:cs="Times New Roman"/>
          <w:sz w:val="24"/>
          <w:szCs w:val="24"/>
        </w:rPr>
        <w:t xml:space="preserve">standard choice offer or gas cost recovery </w:t>
      </w:r>
      <w:r w:rsidRPr="00862829" w:rsidR="000350F2">
        <w:rPr>
          <w:rFonts w:ascii="Times New Roman" w:hAnsi="Times New Roman" w:cs="Times New Roman"/>
          <w:i/>
          <w:iCs/>
          <w:sz w:val="24"/>
          <w:szCs w:val="24"/>
        </w:rPr>
        <w:t xml:space="preserve">rate </w:t>
      </w:r>
      <w:r w:rsidRPr="00862829" w:rsidR="000350F2">
        <w:rPr>
          <w:rFonts w:ascii="Times New Roman" w:hAnsi="Times New Roman" w:cs="Times New Roman"/>
          <w:sz w:val="24"/>
          <w:szCs w:val="24"/>
        </w:rPr>
        <w:t>to be printed on bills.</w:t>
      </w:r>
      <w:r>
        <w:rPr>
          <w:rStyle w:val="FootnoteReference"/>
          <w:rFonts w:ascii="Times New Roman" w:hAnsi="Times New Roman" w:cs="Times New Roman"/>
          <w:sz w:val="24"/>
          <w:szCs w:val="24"/>
        </w:rPr>
        <w:footnoteReference w:id="39"/>
      </w:r>
      <w:r w:rsidRPr="00862829" w:rsidR="007E34A9">
        <w:rPr>
          <w:rFonts w:ascii="Times New Roman" w:hAnsi="Times New Roman" w:cs="Times New Roman"/>
          <w:sz w:val="24"/>
          <w:szCs w:val="24"/>
        </w:rPr>
        <w:t xml:space="preserve"> </w:t>
      </w:r>
      <w:r w:rsidRPr="00937028" w:rsidR="00F64FA9">
        <w:rPr>
          <w:rFonts w:ascii="Times New Roman" w:hAnsi="Times New Roman" w:cs="Times New Roman"/>
          <w:sz w:val="24"/>
          <w:szCs w:val="24"/>
        </w:rPr>
        <w:t>I</w:t>
      </w:r>
      <w:r w:rsidRPr="00937028" w:rsidR="007E34A9">
        <w:rPr>
          <w:rFonts w:ascii="Times New Roman" w:hAnsi="Times New Roman" w:cs="Times New Roman"/>
          <w:sz w:val="24"/>
          <w:szCs w:val="24"/>
        </w:rPr>
        <w:t>nstead</w:t>
      </w:r>
      <w:r w:rsidRPr="00E45058" w:rsidR="00F64FA9">
        <w:rPr>
          <w:rFonts w:ascii="Times New Roman" w:hAnsi="Times New Roman" w:cs="Times New Roman"/>
          <w:sz w:val="24"/>
          <w:szCs w:val="24"/>
        </w:rPr>
        <w:t>, the PUCO</w:t>
      </w:r>
      <w:r w:rsidRPr="001C2A4D" w:rsidR="007E34A9">
        <w:rPr>
          <w:rFonts w:ascii="Times New Roman" w:hAnsi="Times New Roman" w:cs="Times New Roman"/>
          <w:sz w:val="24"/>
          <w:szCs w:val="24"/>
        </w:rPr>
        <w:t xml:space="preserve"> directs con</w:t>
      </w:r>
      <w:r w:rsidRPr="00CC16E9" w:rsidR="00F64FA9">
        <w:rPr>
          <w:rFonts w:ascii="Times New Roman" w:hAnsi="Times New Roman" w:cs="Times New Roman"/>
          <w:sz w:val="24"/>
          <w:szCs w:val="24"/>
        </w:rPr>
        <w:t>s</w:t>
      </w:r>
      <w:r w:rsidRPr="00CC16E9" w:rsidR="007E34A9">
        <w:rPr>
          <w:rFonts w:ascii="Times New Roman" w:hAnsi="Times New Roman" w:cs="Times New Roman"/>
          <w:sz w:val="24"/>
          <w:szCs w:val="24"/>
        </w:rPr>
        <w:t xml:space="preserve">umers </w:t>
      </w:r>
      <w:r w:rsidRPr="00CC16E9" w:rsidR="007F02BD">
        <w:rPr>
          <w:rFonts w:ascii="Times New Roman" w:hAnsi="Times New Roman" w:cs="Times New Roman"/>
          <w:sz w:val="24"/>
          <w:szCs w:val="24"/>
        </w:rPr>
        <w:t xml:space="preserve">to </w:t>
      </w:r>
      <w:r w:rsidRPr="00DA3B6B" w:rsidR="00D04425">
        <w:rPr>
          <w:rFonts w:ascii="Times New Roman" w:hAnsi="Times New Roman" w:cs="Times New Roman"/>
          <w:sz w:val="24"/>
          <w:szCs w:val="24"/>
        </w:rPr>
        <w:t xml:space="preserve">compare supplier offers to </w:t>
      </w:r>
      <w:r w:rsidRPr="009344C8" w:rsidR="007260DC">
        <w:rPr>
          <w:rFonts w:ascii="Times New Roman" w:hAnsi="Times New Roman" w:cs="Times New Roman"/>
          <w:sz w:val="24"/>
          <w:szCs w:val="24"/>
        </w:rPr>
        <w:t xml:space="preserve">the standard choice offer </w:t>
      </w:r>
      <w:r w:rsidRPr="009344C8" w:rsidR="00F94ACE">
        <w:rPr>
          <w:rFonts w:ascii="Times New Roman" w:hAnsi="Times New Roman" w:cs="Times New Roman"/>
          <w:sz w:val="24"/>
          <w:szCs w:val="24"/>
        </w:rPr>
        <w:t xml:space="preserve">and other marketer offers </w:t>
      </w:r>
      <w:r w:rsidRPr="00080966" w:rsidR="00F21F98">
        <w:rPr>
          <w:rFonts w:ascii="Times New Roman" w:hAnsi="Times New Roman" w:cs="Times New Roman"/>
          <w:sz w:val="24"/>
          <w:szCs w:val="24"/>
        </w:rPr>
        <w:t>at energychoice.ohio.gov or by contacting the PUCO.</w:t>
      </w:r>
      <w:r w:rsidR="00D06FF1">
        <w:rPr>
          <w:rFonts w:ascii="Times New Roman" w:hAnsi="Times New Roman" w:cs="Times New Roman"/>
          <w:sz w:val="24"/>
          <w:szCs w:val="24"/>
        </w:rPr>
        <w:t xml:space="preserve"> </w:t>
      </w:r>
    </w:p>
    <w:p w:rsidR="004F109D" w:rsidP="004F109D" w14:paraId="2D817B65" w14:textId="4FC81EF8">
      <w:pPr>
        <w:spacing w:after="0" w:line="480" w:lineRule="auto"/>
        <w:rPr>
          <w:rFonts w:ascii="Times New Roman" w:hAnsi="Times New Roman" w:cs="Times New Roman"/>
          <w:sz w:val="24"/>
          <w:szCs w:val="24"/>
        </w:rPr>
      </w:pPr>
      <w:r w:rsidRPr="00862829">
        <w:rPr>
          <w:rFonts w:ascii="Times New Roman" w:hAnsi="Times New Roman" w:cs="Times New Roman"/>
          <w:sz w:val="24"/>
          <w:szCs w:val="24"/>
        </w:rPr>
        <w:t>Th</w:t>
      </w:r>
      <w:r w:rsidRPr="00862829" w:rsidR="008D15CC">
        <w:rPr>
          <w:rFonts w:ascii="Times New Roman" w:hAnsi="Times New Roman" w:cs="Times New Roman"/>
          <w:sz w:val="24"/>
          <w:szCs w:val="24"/>
        </w:rPr>
        <w:t>e</w:t>
      </w:r>
      <w:r w:rsidRPr="00862829">
        <w:rPr>
          <w:rFonts w:ascii="Times New Roman" w:hAnsi="Times New Roman" w:cs="Times New Roman"/>
          <w:sz w:val="24"/>
          <w:szCs w:val="24"/>
        </w:rPr>
        <w:t xml:space="preserve"> </w:t>
      </w:r>
      <w:r w:rsidRPr="00862829" w:rsidR="008C3D01">
        <w:rPr>
          <w:rFonts w:ascii="Times New Roman" w:hAnsi="Times New Roman" w:cs="Times New Roman"/>
          <w:sz w:val="24"/>
          <w:szCs w:val="24"/>
        </w:rPr>
        <w:t xml:space="preserve">purpose of including the price-to-compare with </w:t>
      </w:r>
      <w:r w:rsidRPr="00862829" w:rsidR="004168EC">
        <w:rPr>
          <w:rFonts w:ascii="Times New Roman" w:hAnsi="Times New Roman" w:cs="Times New Roman"/>
          <w:sz w:val="24"/>
          <w:szCs w:val="24"/>
        </w:rPr>
        <w:t xml:space="preserve">the </w:t>
      </w:r>
      <w:r w:rsidR="00683D94">
        <w:rPr>
          <w:rFonts w:ascii="Times New Roman" w:hAnsi="Times New Roman" w:cs="Times New Roman"/>
          <w:sz w:val="24"/>
          <w:szCs w:val="24"/>
        </w:rPr>
        <w:t>standard choice offer (“</w:t>
      </w:r>
      <w:r w:rsidRPr="00862829" w:rsidR="004168EC">
        <w:rPr>
          <w:rFonts w:ascii="Times New Roman" w:hAnsi="Times New Roman" w:cs="Times New Roman"/>
          <w:sz w:val="24"/>
          <w:szCs w:val="24"/>
        </w:rPr>
        <w:t>SCO</w:t>
      </w:r>
      <w:r w:rsidR="00683D94">
        <w:rPr>
          <w:rFonts w:ascii="Times New Roman" w:hAnsi="Times New Roman" w:cs="Times New Roman"/>
          <w:sz w:val="24"/>
          <w:szCs w:val="24"/>
        </w:rPr>
        <w:t>”)</w:t>
      </w:r>
      <w:r w:rsidRPr="00862829" w:rsidR="004168EC">
        <w:rPr>
          <w:rFonts w:ascii="Times New Roman" w:hAnsi="Times New Roman" w:cs="Times New Roman"/>
          <w:sz w:val="24"/>
          <w:szCs w:val="24"/>
        </w:rPr>
        <w:t xml:space="preserve"> or </w:t>
      </w:r>
      <w:r w:rsidR="00683D94">
        <w:rPr>
          <w:rFonts w:ascii="Times New Roman" w:hAnsi="Times New Roman" w:cs="Times New Roman"/>
          <w:sz w:val="24"/>
          <w:szCs w:val="24"/>
        </w:rPr>
        <w:t>the gas cost recovery rate (“</w:t>
      </w:r>
      <w:r w:rsidRPr="00862829" w:rsidR="004168EC">
        <w:rPr>
          <w:rFonts w:ascii="Times New Roman" w:hAnsi="Times New Roman" w:cs="Times New Roman"/>
          <w:sz w:val="24"/>
          <w:szCs w:val="24"/>
        </w:rPr>
        <w:t>GCR</w:t>
      </w:r>
      <w:r w:rsidR="00683D94">
        <w:rPr>
          <w:rFonts w:ascii="Times New Roman" w:hAnsi="Times New Roman" w:cs="Times New Roman"/>
          <w:sz w:val="24"/>
          <w:szCs w:val="24"/>
        </w:rPr>
        <w:t>”)</w:t>
      </w:r>
      <w:r w:rsidRPr="00862829" w:rsidR="00012281">
        <w:rPr>
          <w:rFonts w:ascii="Times New Roman" w:hAnsi="Times New Roman" w:cs="Times New Roman"/>
          <w:sz w:val="24"/>
          <w:szCs w:val="24"/>
        </w:rPr>
        <w:t>, is</w:t>
      </w:r>
      <w:r w:rsidRPr="00937028" w:rsidR="004168EC">
        <w:rPr>
          <w:rFonts w:ascii="Times New Roman" w:hAnsi="Times New Roman" w:cs="Times New Roman"/>
          <w:sz w:val="24"/>
          <w:szCs w:val="24"/>
        </w:rPr>
        <w:t xml:space="preserve"> so consumers can make the comparison based on their bill</w:t>
      </w:r>
      <w:r w:rsidRPr="00937028" w:rsidR="006636DE">
        <w:rPr>
          <w:rFonts w:ascii="Times New Roman" w:hAnsi="Times New Roman" w:cs="Times New Roman"/>
          <w:sz w:val="24"/>
          <w:szCs w:val="24"/>
        </w:rPr>
        <w:t>, without needing to check the internet to see which price is better</w:t>
      </w:r>
      <w:r w:rsidRPr="00E45058" w:rsidR="00673BD7">
        <w:rPr>
          <w:rFonts w:ascii="Times New Roman" w:hAnsi="Times New Roman" w:cs="Times New Roman"/>
          <w:sz w:val="24"/>
          <w:szCs w:val="24"/>
        </w:rPr>
        <w:t xml:space="preserve">. Adding the price-to-compare language without the rate </w:t>
      </w:r>
      <w:r w:rsidRPr="001C2A4D" w:rsidR="001A518F">
        <w:rPr>
          <w:rFonts w:ascii="Times New Roman" w:hAnsi="Times New Roman" w:cs="Times New Roman"/>
          <w:sz w:val="24"/>
          <w:szCs w:val="24"/>
        </w:rPr>
        <w:t>remove</w:t>
      </w:r>
      <w:r w:rsidRPr="00CC16E9" w:rsidR="00493952">
        <w:rPr>
          <w:rFonts w:ascii="Times New Roman" w:hAnsi="Times New Roman" w:cs="Times New Roman"/>
          <w:sz w:val="24"/>
          <w:szCs w:val="24"/>
        </w:rPr>
        <w:t>s</w:t>
      </w:r>
      <w:r w:rsidRPr="00862829" w:rsidR="001A518F">
        <w:rPr>
          <w:rFonts w:ascii="Times New Roman" w:hAnsi="Times New Roman" w:cs="Times New Roman"/>
          <w:sz w:val="24"/>
          <w:szCs w:val="24"/>
        </w:rPr>
        <w:t xml:space="preserve"> any benefit gained by adding the price-to-compare message to the bill. </w:t>
      </w:r>
      <w:r w:rsidRPr="00862829" w:rsidR="000350F2">
        <w:rPr>
          <w:rFonts w:ascii="Times New Roman" w:hAnsi="Times New Roman" w:cs="Times New Roman"/>
          <w:sz w:val="24"/>
          <w:szCs w:val="24"/>
        </w:rPr>
        <w:t xml:space="preserve">This omission violates </w:t>
      </w:r>
      <w:r w:rsidRPr="00862829" w:rsidR="00727264">
        <w:rPr>
          <w:rFonts w:ascii="Times New Roman" w:hAnsi="Times New Roman" w:cs="Times New Roman"/>
          <w:sz w:val="24"/>
          <w:szCs w:val="24"/>
        </w:rPr>
        <w:t>state policy in R.C. 4929.02 (A)(1)</w:t>
      </w:r>
      <w:r w:rsidRPr="00862829" w:rsidR="009816CD">
        <w:rPr>
          <w:rFonts w:ascii="Times New Roman" w:hAnsi="Times New Roman" w:cs="Times New Roman"/>
          <w:sz w:val="24"/>
          <w:szCs w:val="24"/>
        </w:rPr>
        <w:t xml:space="preserve"> </w:t>
      </w:r>
      <w:r w:rsidRPr="00862829" w:rsidR="00BB3BB5">
        <w:rPr>
          <w:rFonts w:ascii="Times New Roman" w:hAnsi="Times New Roman" w:cs="Times New Roman"/>
          <w:sz w:val="24"/>
          <w:szCs w:val="24"/>
        </w:rPr>
        <w:t>to promote the availability to consumers of adequate, reliable, and reasonably priced natural gas services and goods. It also</w:t>
      </w:r>
      <w:r w:rsidRPr="00862829" w:rsidR="002B37DE">
        <w:rPr>
          <w:rFonts w:ascii="Times New Roman" w:hAnsi="Times New Roman" w:cs="Times New Roman"/>
          <w:sz w:val="24"/>
          <w:szCs w:val="24"/>
        </w:rPr>
        <w:t xml:space="preserve"> harms consumers that do not have internet access </w:t>
      </w:r>
      <w:r w:rsidRPr="00862829" w:rsidR="003B0243">
        <w:rPr>
          <w:rFonts w:ascii="Times New Roman" w:hAnsi="Times New Roman" w:cs="Times New Roman"/>
          <w:sz w:val="24"/>
          <w:szCs w:val="24"/>
        </w:rPr>
        <w:t>by forcing</w:t>
      </w:r>
      <w:r w:rsidRPr="00862829" w:rsidR="002B37DE">
        <w:rPr>
          <w:rFonts w:ascii="Times New Roman" w:hAnsi="Times New Roman" w:cs="Times New Roman"/>
          <w:sz w:val="24"/>
          <w:szCs w:val="24"/>
        </w:rPr>
        <w:t xml:space="preserve"> </w:t>
      </w:r>
      <w:r w:rsidRPr="00862829" w:rsidR="003B0243">
        <w:rPr>
          <w:rFonts w:ascii="Times New Roman" w:hAnsi="Times New Roman" w:cs="Times New Roman"/>
          <w:sz w:val="24"/>
          <w:szCs w:val="24"/>
        </w:rPr>
        <w:t xml:space="preserve">them to </w:t>
      </w:r>
      <w:r w:rsidRPr="00862829" w:rsidR="00B61783">
        <w:rPr>
          <w:rFonts w:ascii="Times New Roman" w:hAnsi="Times New Roman" w:cs="Times New Roman"/>
          <w:sz w:val="24"/>
          <w:szCs w:val="24"/>
        </w:rPr>
        <w:t xml:space="preserve">contact the PUCO or </w:t>
      </w:r>
      <w:r w:rsidRPr="00862829" w:rsidR="00512BF9">
        <w:rPr>
          <w:rFonts w:ascii="Times New Roman" w:hAnsi="Times New Roman" w:cs="Times New Roman"/>
          <w:sz w:val="24"/>
          <w:szCs w:val="24"/>
        </w:rPr>
        <w:t>check the PUCO’s Energychoice website</w:t>
      </w:r>
      <w:r w:rsidRPr="00862829" w:rsidR="00F21F98">
        <w:rPr>
          <w:rFonts w:ascii="Times New Roman" w:hAnsi="Times New Roman" w:cs="Times New Roman"/>
          <w:sz w:val="24"/>
          <w:szCs w:val="24"/>
        </w:rPr>
        <w:t xml:space="preserve">—which is the reason </w:t>
      </w:r>
      <w:r w:rsidRPr="00862829" w:rsidR="00012281">
        <w:rPr>
          <w:rFonts w:ascii="Times New Roman" w:hAnsi="Times New Roman" w:cs="Times New Roman"/>
          <w:sz w:val="24"/>
          <w:szCs w:val="24"/>
        </w:rPr>
        <w:t xml:space="preserve">(lack of internet) </w:t>
      </w:r>
      <w:r w:rsidRPr="00862829" w:rsidR="00F21F98">
        <w:rPr>
          <w:rFonts w:ascii="Times New Roman" w:hAnsi="Times New Roman" w:cs="Times New Roman"/>
          <w:sz w:val="24"/>
          <w:szCs w:val="24"/>
        </w:rPr>
        <w:t>the PUCO gave for adopting a price-to-compare</w:t>
      </w:r>
      <w:r w:rsidRPr="00862829" w:rsidR="00F64FA9">
        <w:rPr>
          <w:rFonts w:ascii="Times New Roman" w:hAnsi="Times New Roman" w:cs="Times New Roman"/>
          <w:sz w:val="24"/>
          <w:szCs w:val="24"/>
        </w:rPr>
        <w:t xml:space="preserve"> statement.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r w:rsidRPr="00862829" w:rsidR="00495197">
        <w:rPr>
          <w:rFonts w:ascii="Times New Roman" w:hAnsi="Times New Roman" w:cs="Times New Roman"/>
          <w:sz w:val="24"/>
          <w:szCs w:val="24"/>
        </w:rPr>
        <w:t>The PUCO erred by</w:t>
      </w:r>
      <w:r w:rsidRPr="00862829" w:rsidR="002A5FF2">
        <w:rPr>
          <w:rFonts w:ascii="Times New Roman" w:hAnsi="Times New Roman" w:cs="Times New Roman"/>
          <w:sz w:val="24"/>
          <w:szCs w:val="24"/>
        </w:rPr>
        <w:t xml:space="preserve"> </w:t>
      </w:r>
      <w:r w:rsidRPr="00862829" w:rsidR="00495197">
        <w:rPr>
          <w:rFonts w:ascii="Times New Roman" w:hAnsi="Times New Roman" w:cs="Times New Roman"/>
          <w:sz w:val="24"/>
          <w:szCs w:val="24"/>
        </w:rPr>
        <w:t xml:space="preserve">failing to include the SCO or GCR rate in the </w:t>
      </w:r>
      <w:r w:rsidRPr="00862829" w:rsidR="002A5FF2">
        <w:rPr>
          <w:rFonts w:ascii="Times New Roman" w:hAnsi="Times New Roman" w:cs="Times New Roman"/>
          <w:sz w:val="24"/>
          <w:szCs w:val="24"/>
        </w:rPr>
        <w:t>price</w:t>
      </w:r>
      <w:r w:rsidRPr="00862829" w:rsidR="00495197">
        <w:rPr>
          <w:rFonts w:ascii="Times New Roman" w:hAnsi="Times New Roman" w:cs="Times New Roman"/>
          <w:sz w:val="24"/>
          <w:szCs w:val="24"/>
        </w:rPr>
        <w:t xml:space="preserve">-to-compare. </w:t>
      </w:r>
    </w:p>
    <w:p w:rsidR="00495197" w:rsidRPr="00862829" w:rsidP="00D06FF1" w14:paraId="2BDE2B75" w14:textId="2BBDDAD9">
      <w:pPr>
        <w:spacing w:after="0" w:line="480" w:lineRule="auto"/>
        <w:ind w:firstLine="720"/>
        <w:rPr>
          <w:rFonts w:ascii="Times New Roman" w:hAnsi="Times New Roman" w:cs="Times New Roman"/>
          <w:sz w:val="24"/>
          <w:szCs w:val="24"/>
        </w:rPr>
      </w:pPr>
      <w:r w:rsidRPr="00862829">
        <w:rPr>
          <w:rFonts w:ascii="Times New Roman" w:hAnsi="Times New Roman" w:cs="Times New Roman"/>
          <w:sz w:val="24"/>
          <w:szCs w:val="24"/>
        </w:rPr>
        <w:t xml:space="preserve">OCC’s application for rehearing should be granted, and the Order modified consistent with our recommendations. </w:t>
      </w:r>
    </w:p>
    <w:p w:rsidR="0068645A" w:rsidRPr="00862829" w:rsidP="008943A3" w14:paraId="1EB7AA73" w14:textId="5986DE5F">
      <w:pPr>
        <w:pStyle w:val="Heading2"/>
      </w:pPr>
      <w:bookmarkStart w:id="26" w:name="_Toc67669765"/>
      <w:bookmarkStart w:id="27" w:name="_Toc67670099"/>
      <w:bookmarkStart w:id="28" w:name="_Toc67671099"/>
      <w:r w:rsidRPr="00862829">
        <w:t xml:space="preserve">ASSIGNMENT OF ERROR NO. </w:t>
      </w:r>
      <w:r w:rsidR="00F33FA5">
        <w:t>4</w:t>
      </w:r>
      <w:r w:rsidRPr="00862829">
        <w:t>: The PUCO erred when it unreasonably failed to protect consumers by rejecting Staff’s and OCC’s recommendations to include a switching block provision to customer rights and obligations as a new rule O.A.C. 4901:1-13-12(G)</w:t>
      </w:r>
      <w:r w:rsidRPr="00862829" w:rsidR="00493952">
        <w:t>.</w:t>
      </w:r>
      <w:r w:rsidRPr="00862829">
        <w:t xml:space="preserve"> </w:t>
      </w:r>
      <w:r w:rsidRPr="00862829" w:rsidR="00493952">
        <w:t>This</w:t>
      </w:r>
      <w:r w:rsidRPr="00862829">
        <w:t xml:space="preserve"> results in consumers having less education as to their rights and </w:t>
      </w:r>
      <w:r w:rsidRPr="00862829" w:rsidR="00543EB6">
        <w:t xml:space="preserve">less </w:t>
      </w:r>
      <w:r w:rsidRPr="00862829">
        <w:t>ability to protect themselves against slamming.</w:t>
      </w:r>
      <w:bookmarkEnd w:id="26"/>
      <w:bookmarkEnd w:id="27"/>
      <w:bookmarkEnd w:id="28"/>
    </w:p>
    <w:p w:rsidR="00214759" w:rsidRPr="00862829" w:rsidP="00214759" w14:paraId="24434317" w14:textId="2623D621">
      <w:pPr>
        <w:spacing w:after="0" w:line="480" w:lineRule="auto"/>
        <w:ind w:firstLine="720"/>
        <w:rPr>
          <w:rFonts w:ascii="Times New Roman" w:eastAsia="Times New Roman" w:hAnsi="Times New Roman" w:cs="Times New Roman"/>
          <w:color w:val="000000"/>
          <w:sz w:val="24"/>
          <w:szCs w:val="24"/>
        </w:rPr>
      </w:pPr>
      <w:r w:rsidRPr="00862829">
        <w:rPr>
          <w:rFonts w:ascii="Times New Roman" w:eastAsia="Times New Roman" w:hAnsi="Times New Roman" w:cs="Times New Roman"/>
          <w:color w:val="000000"/>
          <w:sz w:val="24"/>
          <w:szCs w:val="24"/>
        </w:rPr>
        <w:t>The PUCO erred and unreasonably failed to protect consumers when it rejected Staff’s and OCC’s r</w:t>
      </w:r>
      <w:r w:rsidRPr="00862829" w:rsidR="00DE0C2D">
        <w:rPr>
          <w:rFonts w:ascii="Times New Roman" w:eastAsia="Times New Roman" w:hAnsi="Times New Roman" w:cs="Times New Roman"/>
          <w:color w:val="000000"/>
          <w:sz w:val="24"/>
          <w:szCs w:val="24"/>
        </w:rPr>
        <w:t xml:space="preserve">ecommendation to adopt </w:t>
      </w:r>
      <w:r w:rsidRPr="00862829" w:rsidR="002C20F6">
        <w:rPr>
          <w:rFonts w:ascii="Times New Roman" w:eastAsia="Times New Roman" w:hAnsi="Times New Roman" w:cs="Times New Roman"/>
          <w:color w:val="000000"/>
          <w:sz w:val="24"/>
          <w:szCs w:val="24"/>
        </w:rPr>
        <w:t>Staff proposed new rule 4901:1-13-12(G)</w:t>
      </w:r>
      <w:r w:rsidRPr="00862829" w:rsidR="00DE0C2D">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41"/>
      </w:r>
      <w:r w:rsidRPr="00862829" w:rsidR="00DE0C2D">
        <w:rPr>
          <w:rFonts w:ascii="Times New Roman" w:eastAsia="Times New Roman" w:hAnsi="Times New Roman" w:cs="Times New Roman"/>
          <w:color w:val="000000"/>
          <w:sz w:val="24"/>
          <w:szCs w:val="24"/>
        </w:rPr>
        <w:t xml:space="preserve"> </w:t>
      </w:r>
      <w:r w:rsidRPr="00937028" w:rsidR="003723E5">
        <w:rPr>
          <w:rFonts w:ascii="Times New Roman" w:eastAsia="Times New Roman" w:hAnsi="Times New Roman" w:cs="Times New Roman"/>
          <w:color w:val="000000"/>
          <w:sz w:val="24"/>
          <w:szCs w:val="24"/>
        </w:rPr>
        <w:t xml:space="preserve">The current rule </w:t>
      </w:r>
      <w:r w:rsidRPr="00862829" w:rsidR="003723E5">
        <w:rPr>
          <w:rFonts w:ascii="Times New Roman" w:eastAsia="Times New Roman" w:hAnsi="Times New Roman" w:cs="Times New Roman"/>
          <w:color w:val="000000"/>
          <w:sz w:val="24"/>
          <w:szCs w:val="24"/>
        </w:rPr>
        <w:t>requires the customer to contact the Utility to cancel the unauthorized enrollment once they receive the seven</w:t>
      </w:r>
      <w:r w:rsidRPr="00862829" w:rsidR="00474875">
        <w:rPr>
          <w:rFonts w:ascii="Times New Roman" w:eastAsia="Times New Roman" w:hAnsi="Times New Roman" w:cs="Times New Roman"/>
          <w:color w:val="000000"/>
          <w:sz w:val="24"/>
          <w:szCs w:val="24"/>
        </w:rPr>
        <w:t>-</w:t>
      </w:r>
      <w:r w:rsidRPr="00862829" w:rsidR="003723E5">
        <w:rPr>
          <w:rFonts w:ascii="Times New Roman" w:eastAsia="Times New Roman" w:hAnsi="Times New Roman" w:cs="Times New Roman"/>
          <w:color w:val="000000"/>
          <w:sz w:val="24"/>
          <w:szCs w:val="24"/>
        </w:rPr>
        <w:t xml:space="preserve">day right to rescind from the Utility. </w:t>
      </w:r>
      <w:r w:rsidRPr="00862829" w:rsidR="00474875">
        <w:rPr>
          <w:rFonts w:ascii="Times New Roman" w:eastAsia="Times New Roman" w:hAnsi="Times New Roman" w:cs="Times New Roman"/>
          <w:color w:val="000000"/>
          <w:sz w:val="24"/>
          <w:szCs w:val="24"/>
        </w:rPr>
        <w:t xml:space="preserve">This is not the best way to </w:t>
      </w:r>
      <w:r w:rsidRPr="00862829">
        <w:rPr>
          <w:rFonts w:ascii="Times New Roman" w:eastAsia="Times New Roman" w:hAnsi="Times New Roman" w:cs="Times New Roman"/>
          <w:color w:val="000000"/>
          <w:sz w:val="24"/>
          <w:szCs w:val="24"/>
        </w:rPr>
        <w:t xml:space="preserve">protect consumers against </w:t>
      </w:r>
      <w:r w:rsidRPr="00862829" w:rsidR="00752A6C">
        <w:rPr>
          <w:rFonts w:ascii="Times New Roman" w:eastAsia="Times New Roman" w:hAnsi="Times New Roman" w:cs="Times New Roman"/>
          <w:color w:val="000000"/>
          <w:sz w:val="24"/>
          <w:szCs w:val="24"/>
        </w:rPr>
        <w:t xml:space="preserve">utility </w:t>
      </w:r>
      <w:r w:rsidRPr="00862829">
        <w:rPr>
          <w:rFonts w:ascii="Times New Roman" w:eastAsia="Times New Roman" w:hAnsi="Times New Roman" w:cs="Times New Roman"/>
          <w:color w:val="000000"/>
          <w:sz w:val="24"/>
          <w:szCs w:val="24"/>
        </w:rPr>
        <w:t>slamming.</w:t>
      </w:r>
    </w:p>
    <w:p w:rsidR="00A24DD5" w:rsidRPr="00862829" w:rsidP="00F221D6" w14:paraId="1CA3AEDB" w14:textId="24C9C87E">
      <w:pPr>
        <w:spacing w:after="0" w:line="480" w:lineRule="auto"/>
        <w:ind w:firstLine="720"/>
        <w:rPr>
          <w:rFonts w:ascii="Times New Roman" w:eastAsia="Times New Roman" w:hAnsi="Times New Roman" w:cs="Times New Roman"/>
          <w:color w:val="000000"/>
          <w:sz w:val="24"/>
          <w:szCs w:val="24"/>
        </w:rPr>
      </w:pPr>
      <w:r w:rsidRPr="00862829">
        <w:rPr>
          <w:rFonts w:ascii="Times New Roman" w:eastAsia="Times New Roman" w:hAnsi="Times New Roman" w:cs="Times New Roman"/>
          <w:color w:val="000000"/>
          <w:sz w:val="24"/>
          <w:szCs w:val="24"/>
        </w:rPr>
        <w:t>Staff’s propose</w:t>
      </w:r>
      <w:r w:rsidRPr="00862829" w:rsidR="00140527">
        <w:rPr>
          <w:rFonts w:ascii="Times New Roman" w:eastAsia="Times New Roman" w:hAnsi="Times New Roman" w:cs="Times New Roman"/>
          <w:color w:val="000000"/>
          <w:sz w:val="24"/>
          <w:szCs w:val="24"/>
        </w:rPr>
        <w:t>d</w:t>
      </w:r>
      <w:r w:rsidRPr="00862829">
        <w:rPr>
          <w:rFonts w:ascii="Times New Roman" w:eastAsia="Times New Roman" w:hAnsi="Times New Roman" w:cs="Times New Roman"/>
          <w:color w:val="000000"/>
          <w:sz w:val="24"/>
          <w:szCs w:val="24"/>
        </w:rPr>
        <w:t xml:space="preserve"> </w:t>
      </w:r>
      <w:r w:rsidRPr="00862829" w:rsidR="00DE0C2D">
        <w:rPr>
          <w:rFonts w:ascii="Times New Roman" w:eastAsia="Times New Roman" w:hAnsi="Times New Roman" w:cs="Times New Roman"/>
          <w:color w:val="000000"/>
          <w:sz w:val="24"/>
          <w:szCs w:val="24"/>
        </w:rPr>
        <w:t xml:space="preserve">rule </w:t>
      </w:r>
      <w:r w:rsidRPr="00862829">
        <w:rPr>
          <w:rFonts w:ascii="Times New Roman" w:eastAsia="Times New Roman" w:hAnsi="Times New Roman" w:cs="Times New Roman"/>
          <w:color w:val="000000"/>
          <w:sz w:val="24"/>
          <w:szCs w:val="24"/>
        </w:rPr>
        <w:t xml:space="preserve">is proactive and </w:t>
      </w:r>
      <w:r w:rsidRPr="00862829" w:rsidR="00DE0C2D">
        <w:rPr>
          <w:rFonts w:ascii="Times New Roman" w:eastAsia="Times New Roman" w:hAnsi="Times New Roman" w:cs="Times New Roman"/>
          <w:color w:val="000000"/>
          <w:sz w:val="24"/>
          <w:szCs w:val="24"/>
        </w:rPr>
        <w:t>would</w:t>
      </w:r>
      <w:r w:rsidRPr="00862829" w:rsidR="002C20F6">
        <w:rPr>
          <w:rFonts w:ascii="Times New Roman" w:eastAsia="Times New Roman" w:hAnsi="Times New Roman" w:cs="Times New Roman"/>
          <w:color w:val="000000"/>
          <w:sz w:val="24"/>
          <w:szCs w:val="24"/>
        </w:rPr>
        <w:t xml:space="preserve"> enable consumers to block a switch in their gas supply without </w:t>
      </w:r>
      <w:r w:rsidRPr="00862829" w:rsidR="00DE0C2D">
        <w:rPr>
          <w:rFonts w:ascii="Times New Roman" w:eastAsia="Times New Roman" w:hAnsi="Times New Roman" w:cs="Times New Roman"/>
          <w:color w:val="000000"/>
          <w:sz w:val="24"/>
          <w:szCs w:val="24"/>
        </w:rPr>
        <w:t>first</w:t>
      </w:r>
      <w:r w:rsidRPr="00862829" w:rsidR="002C20F6">
        <w:rPr>
          <w:rFonts w:ascii="Times New Roman" w:eastAsia="Times New Roman" w:hAnsi="Times New Roman" w:cs="Times New Roman"/>
          <w:color w:val="000000"/>
          <w:sz w:val="24"/>
          <w:szCs w:val="24"/>
        </w:rPr>
        <w:t xml:space="preserve"> </w:t>
      </w:r>
      <w:r w:rsidRPr="00862829" w:rsidR="00DE0C2D">
        <w:rPr>
          <w:rFonts w:ascii="Times New Roman" w:eastAsia="Times New Roman" w:hAnsi="Times New Roman" w:cs="Times New Roman"/>
          <w:color w:val="000000"/>
          <w:sz w:val="24"/>
          <w:szCs w:val="24"/>
        </w:rPr>
        <w:t>providing</w:t>
      </w:r>
      <w:r w:rsidRPr="00862829" w:rsidR="002C20F6">
        <w:rPr>
          <w:rFonts w:ascii="Times New Roman" w:eastAsia="Times New Roman" w:hAnsi="Times New Roman" w:cs="Times New Roman"/>
          <w:color w:val="000000"/>
          <w:sz w:val="24"/>
          <w:szCs w:val="24"/>
        </w:rPr>
        <w:t xml:space="preserve"> the </w:t>
      </w:r>
      <w:r w:rsidRPr="00862829" w:rsidR="00035AB6">
        <w:rPr>
          <w:rFonts w:ascii="Times New Roman" w:eastAsia="Times New Roman" w:hAnsi="Times New Roman" w:cs="Times New Roman"/>
          <w:color w:val="000000"/>
          <w:sz w:val="24"/>
          <w:szCs w:val="24"/>
        </w:rPr>
        <w:t>Utility</w:t>
      </w:r>
      <w:r w:rsidRPr="00862829" w:rsidR="002C20F6">
        <w:rPr>
          <w:rFonts w:ascii="Times New Roman" w:eastAsia="Times New Roman" w:hAnsi="Times New Roman" w:cs="Times New Roman"/>
          <w:color w:val="000000"/>
          <w:sz w:val="24"/>
          <w:szCs w:val="24"/>
        </w:rPr>
        <w:t xml:space="preserve"> with a code or pin number </w:t>
      </w:r>
      <w:r w:rsidRPr="00862829" w:rsidR="00BB0B26">
        <w:rPr>
          <w:rFonts w:ascii="Times New Roman" w:eastAsia="Times New Roman" w:hAnsi="Times New Roman" w:cs="Times New Roman"/>
          <w:color w:val="000000"/>
          <w:sz w:val="24"/>
          <w:szCs w:val="24"/>
        </w:rPr>
        <w:t>prior to the switch</w:t>
      </w:r>
      <w:r w:rsidRPr="00862829" w:rsidR="002C20F6">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42"/>
      </w:r>
      <w:r w:rsidRPr="00862829" w:rsidR="002C20F6">
        <w:rPr>
          <w:rFonts w:ascii="Times New Roman" w:eastAsia="Times New Roman" w:hAnsi="Times New Roman" w:cs="Times New Roman"/>
          <w:color w:val="000000"/>
          <w:sz w:val="24"/>
          <w:szCs w:val="24"/>
        </w:rPr>
        <w:t xml:space="preserve"> Staff</w:t>
      </w:r>
      <w:r w:rsidRPr="00937028" w:rsidR="00BC18D8">
        <w:rPr>
          <w:rFonts w:ascii="Times New Roman" w:eastAsia="Times New Roman" w:hAnsi="Times New Roman" w:cs="Times New Roman"/>
          <w:color w:val="000000"/>
          <w:sz w:val="24"/>
          <w:szCs w:val="24"/>
        </w:rPr>
        <w:t>’s</w:t>
      </w:r>
      <w:r w:rsidRPr="00E45058" w:rsidR="002C20F6">
        <w:rPr>
          <w:rFonts w:ascii="Times New Roman" w:eastAsia="Times New Roman" w:hAnsi="Times New Roman" w:cs="Times New Roman"/>
          <w:color w:val="000000"/>
          <w:sz w:val="24"/>
          <w:szCs w:val="24"/>
        </w:rPr>
        <w:t xml:space="preserve"> proposal was supported by OCC because it </w:t>
      </w:r>
      <w:r w:rsidRPr="001C2A4D" w:rsidR="00BC18D8">
        <w:rPr>
          <w:rFonts w:ascii="Times New Roman" w:eastAsia="Times New Roman" w:hAnsi="Times New Roman" w:cs="Times New Roman"/>
          <w:color w:val="000000"/>
          <w:sz w:val="24"/>
          <w:szCs w:val="24"/>
        </w:rPr>
        <w:t xml:space="preserve">would </w:t>
      </w:r>
      <w:r w:rsidRPr="00CC16E9" w:rsidR="002C20F6">
        <w:rPr>
          <w:rFonts w:ascii="Times New Roman" w:eastAsia="Times New Roman" w:hAnsi="Times New Roman" w:cs="Times New Roman"/>
          <w:color w:val="000000"/>
          <w:sz w:val="24"/>
          <w:szCs w:val="24"/>
        </w:rPr>
        <w:t xml:space="preserve">prevent slamming from occurring rather than placing the </w:t>
      </w:r>
      <w:r w:rsidRPr="00CC16E9" w:rsidR="005C65A4">
        <w:rPr>
          <w:rFonts w:ascii="Times New Roman" w:eastAsia="Times New Roman" w:hAnsi="Times New Roman" w:cs="Times New Roman"/>
          <w:color w:val="000000"/>
          <w:sz w:val="24"/>
          <w:szCs w:val="24"/>
        </w:rPr>
        <w:t>burden</w:t>
      </w:r>
      <w:r w:rsidRPr="00CC16E9" w:rsidR="002C20F6">
        <w:rPr>
          <w:rFonts w:ascii="Times New Roman" w:eastAsia="Times New Roman" w:hAnsi="Times New Roman" w:cs="Times New Roman"/>
          <w:color w:val="000000"/>
          <w:sz w:val="24"/>
          <w:szCs w:val="24"/>
        </w:rPr>
        <w:t xml:space="preserve"> on customers to cancel an unauthorized enrollment</w:t>
      </w:r>
      <w:r w:rsidRPr="00DA3B6B" w:rsidR="006A5D82">
        <w:rPr>
          <w:rFonts w:ascii="Times New Roman" w:eastAsia="Times New Roman" w:hAnsi="Times New Roman" w:cs="Times New Roman"/>
          <w:color w:val="000000"/>
          <w:sz w:val="24"/>
          <w:szCs w:val="24"/>
        </w:rPr>
        <w:t>.</w:t>
      </w:r>
      <w:r w:rsidRPr="009344C8" w:rsidR="002C20F6">
        <w:rPr>
          <w:rFonts w:ascii="Times New Roman" w:eastAsia="Times New Roman" w:hAnsi="Times New Roman" w:cs="Times New Roman"/>
          <w:color w:val="000000"/>
          <w:sz w:val="24"/>
          <w:szCs w:val="24"/>
        </w:rPr>
        <w:t xml:space="preserve"> Staff's proposal is </w:t>
      </w:r>
      <w:r w:rsidRPr="009344C8" w:rsidR="00366EEF">
        <w:rPr>
          <w:rFonts w:ascii="Times New Roman" w:eastAsia="Times New Roman" w:hAnsi="Times New Roman" w:cs="Times New Roman"/>
          <w:color w:val="000000"/>
          <w:sz w:val="24"/>
          <w:szCs w:val="24"/>
        </w:rPr>
        <w:t xml:space="preserve">also </w:t>
      </w:r>
      <w:r w:rsidRPr="00080966" w:rsidR="002C20F6">
        <w:rPr>
          <w:rFonts w:ascii="Times New Roman" w:eastAsia="Times New Roman" w:hAnsi="Times New Roman" w:cs="Times New Roman"/>
          <w:color w:val="000000"/>
          <w:sz w:val="24"/>
          <w:szCs w:val="24"/>
        </w:rPr>
        <w:t>more aligned with Ohio law</w:t>
      </w:r>
      <w:r>
        <w:rPr>
          <w:rStyle w:val="FootnoteReference"/>
          <w:rFonts w:ascii="Times New Roman" w:eastAsia="Times New Roman" w:hAnsi="Times New Roman" w:cs="Times New Roman"/>
          <w:color w:val="000000"/>
          <w:sz w:val="24"/>
          <w:szCs w:val="24"/>
        </w:rPr>
        <w:footnoteReference w:id="43"/>
      </w:r>
      <w:r w:rsidRPr="00862829" w:rsidR="002C20F6">
        <w:rPr>
          <w:rFonts w:ascii="Times New Roman" w:eastAsia="Times New Roman" w:hAnsi="Times New Roman" w:cs="Times New Roman"/>
          <w:color w:val="000000"/>
          <w:sz w:val="24"/>
          <w:szCs w:val="24"/>
        </w:rPr>
        <w:t xml:space="preserve"> because it provides consumers with a pro</w:t>
      </w:r>
      <w:r w:rsidRPr="00937028" w:rsidR="002C20F6">
        <w:rPr>
          <w:rFonts w:ascii="Times New Roman" w:eastAsia="Times New Roman" w:hAnsi="Times New Roman" w:cs="Times New Roman"/>
          <w:color w:val="000000"/>
          <w:sz w:val="24"/>
          <w:szCs w:val="24"/>
        </w:rPr>
        <w:t xml:space="preserve">active way to prevent slamming without </w:t>
      </w:r>
      <w:r w:rsidRPr="00E45058" w:rsidR="00366EEF">
        <w:rPr>
          <w:rFonts w:ascii="Times New Roman" w:eastAsia="Times New Roman" w:hAnsi="Times New Roman" w:cs="Times New Roman"/>
          <w:color w:val="000000"/>
          <w:sz w:val="24"/>
          <w:szCs w:val="24"/>
        </w:rPr>
        <w:t>the need</w:t>
      </w:r>
      <w:r w:rsidRPr="001C2A4D" w:rsidR="002C20F6">
        <w:rPr>
          <w:rFonts w:ascii="Times New Roman" w:eastAsia="Times New Roman" w:hAnsi="Times New Roman" w:cs="Times New Roman"/>
          <w:color w:val="000000"/>
          <w:sz w:val="24"/>
          <w:szCs w:val="24"/>
        </w:rPr>
        <w:t xml:space="preserve"> to rely exclusively on the seven-day notice</w:t>
      </w:r>
      <w:r>
        <w:rPr>
          <w:rStyle w:val="FootnoteReference"/>
          <w:rFonts w:ascii="Times New Roman" w:eastAsia="Times New Roman" w:hAnsi="Times New Roman" w:cs="Times New Roman"/>
          <w:color w:val="000000"/>
          <w:sz w:val="24"/>
          <w:szCs w:val="24"/>
        </w:rPr>
        <w:footnoteReference w:id="44"/>
      </w:r>
      <w:r w:rsidRPr="00862829" w:rsidR="002C20F6">
        <w:rPr>
          <w:rFonts w:ascii="Times New Roman" w:eastAsia="Times New Roman" w:hAnsi="Times New Roman" w:cs="Times New Roman"/>
          <w:color w:val="000000"/>
          <w:sz w:val="24"/>
          <w:szCs w:val="24"/>
        </w:rPr>
        <w:t xml:space="preserve"> </w:t>
      </w:r>
    </w:p>
    <w:p w:rsidR="00140C09" w:rsidRPr="001C2A4D" w:rsidP="0019684C" w14:paraId="146D2838" w14:textId="6F2BB108">
      <w:pPr>
        <w:spacing w:after="0" w:line="480" w:lineRule="auto"/>
        <w:ind w:firstLine="720"/>
        <w:rPr>
          <w:rFonts w:ascii="Times New Roman" w:eastAsia="Times New Roman" w:hAnsi="Times New Roman" w:cs="Times New Roman"/>
          <w:color w:val="000000"/>
          <w:sz w:val="24"/>
          <w:szCs w:val="24"/>
        </w:rPr>
      </w:pPr>
      <w:r w:rsidRPr="00862829">
        <w:rPr>
          <w:rFonts w:ascii="Times New Roman" w:eastAsia="Times New Roman" w:hAnsi="Times New Roman" w:cs="Times New Roman"/>
          <w:color w:val="000000"/>
          <w:sz w:val="24"/>
          <w:szCs w:val="24"/>
        </w:rPr>
        <w:t xml:space="preserve">The </w:t>
      </w:r>
      <w:r w:rsidRPr="00862829" w:rsidR="002C20F6">
        <w:rPr>
          <w:rFonts w:ascii="Times New Roman" w:eastAsia="Times New Roman" w:hAnsi="Times New Roman" w:cs="Times New Roman"/>
          <w:color w:val="000000"/>
          <w:sz w:val="24"/>
          <w:szCs w:val="24"/>
        </w:rPr>
        <w:t>Utilities said it will cost them money to implement</w:t>
      </w:r>
      <w:r w:rsidRPr="00862829">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45"/>
      </w:r>
      <w:r w:rsidRPr="00862829" w:rsidR="002C20F6">
        <w:rPr>
          <w:rFonts w:ascii="Times New Roman" w:eastAsia="Times New Roman" w:hAnsi="Times New Roman" w:cs="Times New Roman"/>
          <w:color w:val="000000"/>
          <w:sz w:val="24"/>
          <w:szCs w:val="24"/>
        </w:rPr>
        <w:t xml:space="preserve"> </w:t>
      </w:r>
      <w:r w:rsidR="00BE7020">
        <w:rPr>
          <w:rFonts w:ascii="Times New Roman" w:eastAsia="Times New Roman" w:hAnsi="Times New Roman" w:cs="Times New Roman"/>
          <w:color w:val="000000"/>
          <w:sz w:val="24"/>
          <w:szCs w:val="24"/>
        </w:rPr>
        <w:t>b</w:t>
      </w:r>
      <w:r w:rsidRPr="00862829" w:rsidR="002C20F6">
        <w:rPr>
          <w:rFonts w:ascii="Times New Roman" w:eastAsia="Times New Roman" w:hAnsi="Times New Roman" w:cs="Times New Roman"/>
          <w:color w:val="000000"/>
          <w:sz w:val="24"/>
          <w:szCs w:val="24"/>
        </w:rPr>
        <w:t xml:space="preserve">ut </w:t>
      </w:r>
      <w:r w:rsidRPr="00862829">
        <w:rPr>
          <w:rFonts w:ascii="Times New Roman" w:eastAsia="Times New Roman" w:hAnsi="Times New Roman" w:cs="Times New Roman"/>
          <w:color w:val="000000"/>
          <w:sz w:val="24"/>
          <w:szCs w:val="24"/>
        </w:rPr>
        <w:t xml:space="preserve">failed to provide the cost information for the record in this proceeding. </w:t>
      </w:r>
      <w:r w:rsidR="00BE7020">
        <w:rPr>
          <w:rFonts w:ascii="Times New Roman" w:eastAsia="Times New Roman" w:hAnsi="Times New Roman" w:cs="Times New Roman"/>
          <w:color w:val="000000"/>
          <w:sz w:val="24"/>
          <w:szCs w:val="24"/>
        </w:rPr>
        <w:t>The m</w:t>
      </w:r>
      <w:r w:rsidRPr="00862829" w:rsidR="002C20F6">
        <w:rPr>
          <w:rFonts w:ascii="Times New Roman" w:eastAsia="Times New Roman" w:hAnsi="Times New Roman" w:cs="Times New Roman"/>
          <w:color w:val="000000"/>
          <w:sz w:val="24"/>
          <w:szCs w:val="24"/>
        </w:rPr>
        <w:t xml:space="preserve">arketers said the change was unnecessary and could restrict competition and favor the </w:t>
      </w:r>
      <w:r w:rsidRPr="00862829" w:rsidR="001F0CFA">
        <w:rPr>
          <w:rFonts w:ascii="Times New Roman" w:eastAsia="Times New Roman" w:hAnsi="Times New Roman" w:cs="Times New Roman"/>
          <w:color w:val="000000"/>
          <w:sz w:val="24"/>
          <w:szCs w:val="24"/>
        </w:rPr>
        <w:t>Utility</w:t>
      </w:r>
      <w:r w:rsidRPr="00862829" w:rsidR="002C20F6">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46"/>
      </w:r>
      <w:r w:rsidRPr="00862829" w:rsidR="002C20F6">
        <w:rPr>
          <w:rFonts w:ascii="Times New Roman" w:eastAsia="Times New Roman" w:hAnsi="Times New Roman" w:cs="Times New Roman"/>
          <w:color w:val="000000"/>
          <w:sz w:val="24"/>
          <w:szCs w:val="24"/>
        </w:rPr>
        <w:t xml:space="preserve"> But the supplier block would protect both </w:t>
      </w:r>
      <w:r w:rsidR="00023C93">
        <w:rPr>
          <w:rFonts w:ascii="Times New Roman" w:eastAsia="Times New Roman" w:hAnsi="Times New Roman" w:cs="Times New Roman"/>
          <w:color w:val="000000"/>
          <w:sz w:val="24"/>
          <w:szCs w:val="24"/>
        </w:rPr>
        <w:t>u</w:t>
      </w:r>
      <w:r w:rsidRPr="00937028" w:rsidR="001F0CFA">
        <w:rPr>
          <w:rFonts w:ascii="Times New Roman" w:eastAsia="Times New Roman" w:hAnsi="Times New Roman" w:cs="Times New Roman"/>
          <w:color w:val="000000"/>
          <w:sz w:val="24"/>
          <w:szCs w:val="24"/>
        </w:rPr>
        <w:t>tility</w:t>
      </w:r>
      <w:r w:rsidRPr="00E45058" w:rsidR="002C20F6">
        <w:rPr>
          <w:rFonts w:ascii="Times New Roman" w:eastAsia="Times New Roman" w:hAnsi="Times New Roman" w:cs="Times New Roman"/>
          <w:color w:val="000000"/>
          <w:sz w:val="24"/>
          <w:szCs w:val="24"/>
        </w:rPr>
        <w:t xml:space="preserve"> customers and shopping customers from being slammed. </w:t>
      </w:r>
    </w:p>
    <w:p w:rsidR="00023C93" w:rsidP="00023C93" w14:paraId="73386D5F" w14:textId="4EBAD5F5">
      <w:pPr>
        <w:spacing w:after="0" w:line="480" w:lineRule="auto"/>
        <w:rPr>
          <w:rFonts w:ascii="Times New Roman" w:hAnsi="Times New Roman" w:cs="Times New Roman"/>
          <w:sz w:val="24"/>
          <w:szCs w:val="24"/>
        </w:rPr>
      </w:pPr>
      <w:r w:rsidRPr="00CC16E9">
        <w:rPr>
          <w:rFonts w:ascii="Times New Roman" w:eastAsia="Times New Roman" w:hAnsi="Times New Roman" w:cs="Times New Roman"/>
          <w:color w:val="000000"/>
          <w:sz w:val="24"/>
          <w:szCs w:val="24"/>
        </w:rPr>
        <w:t>The PUCO</w:t>
      </w:r>
      <w:r w:rsidRPr="00CC16E9" w:rsidR="00BF5B63">
        <w:rPr>
          <w:rFonts w:ascii="Times New Roman" w:eastAsia="Times New Roman" w:hAnsi="Times New Roman" w:cs="Times New Roman"/>
          <w:color w:val="000000"/>
          <w:sz w:val="24"/>
          <w:szCs w:val="24"/>
        </w:rPr>
        <w:t>’s</w:t>
      </w:r>
      <w:r w:rsidRPr="00CC16E9">
        <w:rPr>
          <w:rFonts w:ascii="Times New Roman" w:eastAsia="Times New Roman" w:hAnsi="Times New Roman" w:cs="Times New Roman"/>
          <w:color w:val="000000"/>
          <w:sz w:val="24"/>
          <w:szCs w:val="24"/>
        </w:rPr>
        <w:t xml:space="preserve"> </w:t>
      </w:r>
      <w:r w:rsidRPr="00DA3B6B" w:rsidR="00FF5AF0">
        <w:rPr>
          <w:rFonts w:ascii="Times New Roman" w:eastAsia="Times New Roman" w:hAnsi="Times New Roman" w:cs="Times New Roman"/>
          <w:color w:val="000000"/>
          <w:sz w:val="24"/>
          <w:szCs w:val="24"/>
        </w:rPr>
        <w:t xml:space="preserve">decision </w:t>
      </w:r>
      <w:r w:rsidRPr="009344C8" w:rsidR="00BF5B63">
        <w:rPr>
          <w:rFonts w:ascii="Times New Roman" w:eastAsia="Times New Roman" w:hAnsi="Times New Roman" w:cs="Times New Roman"/>
          <w:color w:val="000000"/>
          <w:sz w:val="24"/>
          <w:szCs w:val="24"/>
        </w:rPr>
        <w:t>stated</w:t>
      </w:r>
      <w:r w:rsidRPr="009344C8">
        <w:rPr>
          <w:rFonts w:ascii="Times New Roman" w:eastAsia="Times New Roman" w:hAnsi="Times New Roman" w:cs="Times New Roman"/>
          <w:color w:val="000000"/>
          <w:sz w:val="24"/>
          <w:szCs w:val="24"/>
        </w:rPr>
        <w:t xml:space="preserve"> there are ways customers can protect themselves</w:t>
      </w:r>
      <w:r w:rsidRPr="00080966" w:rsidR="00FF5AF0">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47"/>
      </w:r>
      <w:r w:rsidRPr="00862829" w:rsidR="00FF5AF0">
        <w:rPr>
          <w:rFonts w:ascii="Times New Roman" w:eastAsia="Times New Roman" w:hAnsi="Times New Roman" w:cs="Times New Roman"/>
          <w:color w:val="000000"/>
          <w:sz w:val="24"/>
          <w:szCs w:val="24"/>
        </w:rPr>
        <w:t xml:space="preserve"> and while true, </w:t>
      </w:r>
      <w:r w:rsidRPr="00862829" w:rsidR="00140527">
        <w:rPr>
          <w:rFonts w:ascii="Times New Roman" w:eastAsia="Times New Roman" w:hAnsi="Times New Roman" w:cs="Times New Roman"/>
          <w:color w:val="000000"/>
          <w:sz w:val="24"/>
          <w:szCs w:val="24"/>
        </w:rPr>
        <w:t>Staff’s proposal</w:t>
      </w:r>
      <w:r w:rsidRPr="00862829" w:rsidR="00FF5AF0">
        <w:rPr>
          <w:rFonts w:ascii="Times New Roman" w:eastAsia="Times New Roman" w:hAnsi="Times New Roman" w:cs="Times New Roman"/>
          <w:color w:val="000000"/>
          <w:sz w:val="24"/>
          <w:szCs w:val="24"/>
        </w:rPr>
        <w:t xml:space="preserve"> is better protection</w:t>
      </w:r>
      <w:r w:rsidRPr="00862829" w:rsidR="00F12222">
        <w:rPr>
          <w:rFonts w:ascii="Times New Roman" w:eastAsia="Times New Roman" w:hAnsi="Times New Roman" w:cs="Times New Roman"/>
          <w:color w:val="000000"/>
          <w:sz w:val="24"/>
          <w:szCs w:val="24"/>
        </w:rPr>
        <w:t xml:space="preserve"> for consumers—the right to block the switch </w:t>
      </w:r>
      <w:r w:rsidRPr="00862829" w:rsidR="00943F32">
        <w:rPr>
          <w:rFonts w:ascii="Times New Roman" w:eastAsia="Times New Roman" w:hAnsi="Times New Roman" w:cs="Times New Roman"/>
          <w:color w:val="000000"/>
          <w:sz w:val="24"/>
          <w:szCs w:val="24"/>
        </w:rPr>
        <w:t>before it happens</w:t>
      </w:r>
      <w:r w:rsidRPr="00862829">
        <w:rPr>
          <w:rFonts w:ascii="Times New Roman" w:eastAsia="Times New Roman" w:hAnsi="Times New Roman" w:cs="Times New Roman"/>
          <w:color w:val="000000"/>
          <w:sz w:val="24"/>
          <w:szCs w:val="24"/>
        </w:rPr>
        <w:t xml:space="preserve">. While customers can request to not be solicited by marketers, this is not going to protect customers from being slammed. </w:t>
      </w:r>
      <w:r w:rsidRPr="00862829" w:rsidR="00943F32">
        <w:rPr>
          <w:rFonts w:ascii="Times New Roman" w:eastAsia="Times New Roman" w:hAnsi="Times New Roman" w:cs="Times New Roman"/>
          <w:color w:val="000000"/>
          <w:sz w:val="24"/>
          <w:szCs w:val="24"/>
        </w:rPr>
        <w:t xml:space="preserve">Additionally, </w:t>
      </w:r>
      <w:r w:rsidRPr="00862829" w:rsidR="0019684C">
        <w:rPr>
          <w:rFonts w:ascii="Times New Roman" w:eastAsia="Times New Roman" w:hAnsi="Times New Roman" w:cs="Times New Roman"/>
          <w:color w:val="000000"/>
          <w:sz w:val="24"/>
          <w:szCs w:val="24"/>
        </w:rPr>
        <w:t>the marketers will not be harmed because they</w:t>
      </w:r>
      <w:r w:rsidRPr="00862829" w:rsidR="00943F32">
        <w:rPr>
          <w:rFonts w:ascii="Times New Roman" w:eastAsia="Times New Roman" w:hAnsi="Times New Roman" w:cs="Times New Roman"/>
          <w:color w:val="000000"/>
          <w:sz w:val="24"/>
          <w:szCs w:val="24"/>
        </w:rPr>
        <w:t xml:space="preserve"> have alternative ways to att</w:t>
      </w:r>
      <w:r w:rsidRPr="00862829" w:rsidR="00AE0866">
        <w:rPr>
          <w:rFonts w:ascii="Times New Roman" w:eastAsia="Times New Roman" w:hAnsi="Times New Roman" w:cs="Times New Roman"/>
          <w:color w:val="000000"/>
          <w:sz w:val="24"/>
          <w:szCs w:val="24"/>
        </w:rPr>
        <w:t>r</w:t>
      </w:r>
      <w:r w:rsidRPr="00862829" w:rsidR="00943F32">
        <w:rPr>
          <w:rFonts w:ascii="Times New Roman" w:eastAsia="Times New Roman" w:hAnsi="Times New Roman" w:cs="Times New Roman"/>
          <w:color w:val="000000"/>
          <w:sz w:val="24"/>
          <w:szCs w:val="24"/>
        </w:rPr>
        <w:t>ac</w:t>
      </w:r>
      <w:r w:rsidRPr="00862829" w:rsidR="00AE0866">
        <w:rPr>
          <w:rFonts w:ascii="Times New Roman" w:eastAsia="Times New Roman" w:hAnsi="Times New Roman" w:cs="Times New Roman"/>
          <w:color w:val="000000"/>
          <w:sz w:val="24"/>
          <w:szCs w:val="24"/>
        </w:rPr>
        <w:t>t</w:t>
      </w:r>
      <w:r w:rsidRPr="00862829" w:rsidR="00943F32">
        <w:rPr>
          <w:rFonts w:ascii="Times New Roman" w:eastAsia="Times New Roman" w:hAnsi="Times New Roman" w:cs="Times New Roman"/>
          <w:color w:val="000000"/>
          <w:sz w:val="24"/>
          <w:szCs w:val="24"/>
        </w:rPr>
        <w:t xml:space="preserve"> and keep customers. There is plenty of advertising through the mail</w:t>
      </w:r>
      <w:r w:rsidRPr="00862829" w:rsidR="00F443C0">
        <w:rPr>
          <w:rFonts w:ascii="Times New Roman" w:eastAsia="Times New Roman" w:hAnsi="Times New Roman" w:cs="Times New Roman"/>
          <w:color w:val="000000"/>
          <w:sz w:val="24"/>
          <w:szCs w:val="24"/>
        </w:rPr>
        <w:t xml:space="preserve"> and online that is available to </w:t>
      </w:r>
      <w:r w:rsidRPr="00862829" w:rsidR="00140527">
        <w:rPr>
          <w:rFonts w:ascii="Times New Roman" w:eastAsia="Times New Roman" w:hAnsi="Times New Roman" w:cs="Times New Roman"/>
          <w:color w:val="000000"/>
          <w:sz w:val="24"/>
          <w:szCs w:val="24"/>
        </w:rPr>
        <w:t>market</w:t>
      </w:r>
      <w:r w:rsidRPr="00862829" w:rsidR="00F443C0">
        <w:rPr>
          <w:rFonts w:ascii="Times New Roman" w:eastAsia="Times New Roman" w:hAnsi="Times New Roman" w:cs="Times New Roman"/>
          <w:color w:val="000000"/>
          <w:sz w:val="24"/>
          <w:szCs w:val="24"/>
        </w:rPr>
        <w:t xml:space="preserve"> to consumers without the added risk and frustration of being slammed. </w:t>
      </w:r>
      <w:r w:rsidRPr="00862829">
        <w:rPr>
          <w:rFonts w:ascii="Times New Roman" w:eastAsia="Times New Roman" w:hAnsi="Times New Roman" w:cs="Times New Roman"/>
          <w:color w:val="000000"/>
          <w:sz w:val="24"/>
          <w:szCs w:val="24"/>
        </w:rPr>
        <w:t>The customer rights and obligations document should reflect this important right</w:t>
      </w:r>
      <w:r w:rsidRPr="00862829" w:rsidR="00140C0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3053D2">
        <w:rPr>
          <w:rFonts w:ascii="Times New Roman" w:hAnsi="Times New Roman" w:cs="Times New Roman"/>
          <w:sz w:val="24"/>
          <w:szCs w:val="24"/>
        </w:rPr>
        <w:t xml:space="preserve">The PUCO erred by failing to </w:t>
      </w:r>
      <w:r w:rsidR="004C7159">
        <w:rPr>
          <w:rFonts w:ascii="Times New Roman" w:hAnsi="Times New Roman" w:cs="Times New Roman"/>
          <w:sz w:val="24"/>
          <w:szCs w:val="24"/>
        </w:rPr>
        <w:t xml:space="preserve">require </w:t>
      </w:r>
      <w:r w:rsidRPr="003053D2">
        <w:rPr>
          <w:rFonts w:ascii="Times New Roman" w:hAnsi="Times New Roman" w:cs="Times New Roman"/>
          <w:sz w:val="24"/>
          <w:szCs w:val="24"/>
        </w:rPr>
        <w:t>inclu</w:t>
      </w:r>
      <w:r w:rsidR="004C7159">
        <w:rPr>
          <w:rFonts w:ascii="Times New Roman" w:hAnsi="Times New Roman" w:cs="Times New Roman"/>
          <w:sz w:val="24"/>
          <w:szCs w:val="24"/>
        </w:rPr>
        <w:t>sion of information regarding the ability for consumers to place a switching block on their account to avoid unapproved changes to their gas services.</w:t>
      </w:r>
      <w:r w:rsidRPr="003053D2">
        <w:rPr>
          <w:rFonts w:ascii="Times New Roman" w:hAnsi="Times New Roman" w:cs="Times New Roman"/>
          <w:sz w:val="24"/>
          <w:szCs w:val="24"/>
        </w:rPr>
        <w:t xml:space="preserve"> </w:t>
      </w:r>
    </w:p>
    <w:p w:rsidR="002C20F6" w:rsidRPr="00862829" w:rsidP="00D06FF1" w14:paraId="46F7E0A8" w14:textId="40248A19">
      <w:pPr>
        <w:spacing w:after="0" w:line="480" w:lineRule="auto"/>
        <w:ind w:firstLine="720"/>
        <w:rPr>
          <w:rFonts w:ascii="Times New Roman" w:hAnsi="Times New Roman" w:cs="Times New Roman"/>
          <w:sz w:val="24"/>
          <w:szCs w:val="24"/>
        </w:rPr>
      </w:pPr>
      <w:r w:rsidRPr="003053D2">
        <w:rPr>
          <w:rFonts w:ascii="Times New Roman" w:hAnsi="Times New Roman" w:cs="Times New Roman"/>
          <w:sz w:val="24"/>
          <w:szCs w:val="24"/>
        </w:rPr>
        <w:t>OCC’s application for rehearing should be granted</w:t>
      </w:r>
      <w:r w:rsidR="00320578">
        <w:rPr>
          <w:rFonts w:ascii="Times New Roman" w:hAnsi="Times New Roman" w:cs="Times New Roman"/>
          <w:sz w:val="24"/>
          <w:szCs w:val="24"/>
        </w:rPr>
        <w:t>.</w:t>
      </w:r>
      <w:r w:rsidR="00D06FF1">
        <w:rPr>
          <w:rFonts w:ascii="Times New Roman" w:hAnsi="Times New Roman" w:cs="Times New Roman"/>
          <w:sz w:val="24"/>
          <w:szCs w:val="24"/>
        </w:rPr>
        <w:t xml:space="preserve"> </w:t>
      </w:r>
      <w:r w:rsidRPr="00862829" w:rsidR="00A24DD5">
        <w:rPr>
          <w:rFonts w:ascii="Times New Roman" w:eastAsia="Times New Roman" w:hAnsi="Times New Roman" w:cs="Times New Roman"/>
          <w:color w:val="000000"/>
          <w:sz w:val="24"/>
          <w:szCs w:val="24"/>
        </w:rPr>
        <w:t xml:space="preserve">The PUCO should reverse its decision to </w:t>
      </w:r>
      <w:r w:rsidRPr="00862829" w:rsidR="00752A6C">
        <w:rPr>
          <w:rFonts w:ascii="Times New Roman" w:eastAsia="Times New Roman" w:hAnsi="Times New Roman" w:cs="Times New Roman"/>
          <w:color w:val="000000"/>
          <w:sz w:val="24"/>
          <w:szCs w:val="24"/>
        </w:rPr>
        <w:t xml:space="preserve">and adopt </w:t>
      </w:r>
      <w:r w:rsidRPr="00862829" w:rsidR="00A24DD5">
        <w:rPr>
          <w:rFonts w:ascii="Times New Roman" w:eastAsia="Times New Roman" w:hAnsi="Times New Roman" w:cs="Times New Roman"/>
          <w:color w:val="000000"/>
          <w:sz w:val="24"/>
          <w:szCs w:val="24"/>
        </w:rPr>
        <w:t xml:space="preserve">Staff’s proposed </w:t>
      </w:r>
      <w:r w:rsidRPr="00862829" w:rsidR="00F13D7E">
        <w:rPr>
          <w:rFonts w:ascii="Times New Roman" w:eastAsia="Times New Roman" w:hAnsi="Times New Roman" w:cs="Times New Roman"/>
          <w:color w:val="000000"/>
          <w:sz w:val="24"/>
          <w:szCs w:val="24"/>
        </w:rPr>
        <w:t>new rule O.A.C. 4901:1-13-12 (G)</w:t>
      </w:r>
      <w:r w:rsidRPr="00862829" w:rsidR="0019684C">
        <w:rPr>
          <w:rFonts w:ascii="Times New Roman" w:eastAsia="Times New Roman" w:hAnsi="Times New Roman" w:cs="Times New Roman"/>
          <w:color w:val="000000"/>
          <w:sz w:val="24"/>
          <w:szCs w:val="24"/>
        </w:rPr>
        <w:t xml:space="preserve"> to better </w:t>
      </w:r>
      <w:r w:rsidRPr="00862829" w:rsidR="002172CF">
        <w:rPr>
          <w:rFonts w:ascii="Times New Roman" w:eastAsia="Times New Roman" w:hAnsi="Times New Roman" w:cs="Times New Roman"/>
          <w:color w:val="000000"/>
          <w:sz w:val="24"/>
          <w:szCs w:val="24"/>
        </w:rPr>
        <w:t xml:space="preserve">educate </w:t>
      </w:r>
      <w:r w:rsidRPr="00862829" w:rsidR="0019684C">
        <w:rPr>
          <w:rFonts w:ascii="Times New Roman" w:eastAsia="Times New Roman" w:hAnsi="Times New Roman" w:cs="Times New Roman"/>
          <w:color w:val="000000"/>
          <w:sz w:val="24"/>
          <w:szCs w:val="24"/>
        </w:rPr>
        <w:t xml:space="preserve">consumers </w:t>
      </w:r>
      <w:r w:rsidRPr="00862829" w:rsidR="000852EE">
        <w:rPr>
          <w:rFonts w:ascii="Times New Roman" w:eastAsia="Times New Roman" w:hAnsi="Times New Roman" w:cs="Times New Roman"/>
          <w:color w:val="000000"/>
          <w:sz w:val="24"/>
          <w:szCs w:val="24"/>
        </w:rPr>
        <w:t xml:space="preserve">about </w:t>
      </w:r>
      <w:r w:rsidRPr="00862829" w:rsidR="0019684C">
        <w:rPr>
          <w:rFonts w:ascii="Times New Roman" w:eastAsia="Times New Roman" w:hAnsi="Times New Roman" w:cs="Times New Roman"/>
          <w:color w:val="000000"/>
          <w:sz w:val="24"/>
          <w:szCs w:val="24"/>
        </w:rPr>
        <w:t>slamming</w:t>
      </w:r>
      <w:r w:rsidRPr="00862829" w:rsidR="000852EE">
        <w:rPr>
          <w:rFonts w:ascii="Times New Roman" w:eastAsia="Times New Roman" w:hAnsi="Times New Roman" w:cs="Times New Roman"/>
          <w:color w:val="000000"/>
          <w:sz w:val="24"/>
          <w:szCs w:val="24"/>
        </w:rPr>
        <w:t xml:space="preserve"> </w:t>
      </w:r>
      <w:r w:rsidRPr="00862829" w:rsidR="00BD4DFF">
        <w:rPr>
          <w:rFonts w:ascii="Times New Roman" w:eastAsia="Times New Roman" w:hAnsi="Times New Roman" w:cs="Times New Roman"/>
          <w:color w:val="000000"/>
          <w:sz w:val="24"/>
          <w:szCs w:val="24"/>
        </w:rPr>
        <w:t>and</w:t>
      </w:r>
      <w:r w:rsidRPr="00862829" w:rsidR="000852EE">
        <w:rPr>
          <w:rFonts w:ascii="Times New Roman" w:eastAsia="Times New Roman" w:hAnsi="Times New Roman" w:cs="Times New Roman"/>
          <w:color w:val="000000"/>
          <w:sz w:val="24"/>
          <w:szCs w:val="24"/>
        </w:rPr>
        <w:t xml:space="preserve"> protect them from it</w:t>
      </w:r>
      <w:r w:rsidRPr="00862829" w:rsidR="0019684C">
        <w:rPr>
          <w:rFonts w:ascii="Times New Roman" w:eastAsia="Times New Roman" w:hAnsi="Times New Roman" w:cs="Times New Roman"/>
          <w:color w:val="000000"/>
          <w:sz w:val="24"/>
          <w:szCs w:val="24"/>
        </w:rPr>
        <w:t>.</w:t>
      </w:r>
    </w:p>
    <w:p w:rsidR="00141BD6" w:rsidRPr="00862829" w:rsidP="00F974A3" w14:paraId="1339FCF6" w14:textId="49468676">
      <w:pPr>
        <w:pStyle w:val="Heading1"/>
      </w:pPr>
      <w:bookmarkStart w:id="29" w:name="_Toc534639773"/>
      <w:bookmarkStart w:id="30" w:name="_Toc57629883"/>
      <w:bookmarkStart w:id="31" w:name="_Toc67669766"/>
      <w:bookmarkStart w:id="32" w:name="_Toc67670100"/>
      <w:bookmarkStart w:id="33" w:name="_Toc67671100"/>
      <w:r w:rsidRPr="00862829">
        <w:t>I</w:t>
      </w:r>
      <w:r w:rsidRPr="00862829" w:rsidR="00EE7693">
        <w:t>II</w:t>
      </w:r>
      <w:r w:rsidRPr="00862829">
        <w:t>.</w:t>
      </w:r>
      <w:r w:rsidRPr="00862829" w:rsidR="001411AE">
        <w:tab/>
      </w:r>
      <w:r w:rsidRPr="00862829" w:rsidR="001D2205">
        <w:t>CONCLUSION</w:t>
      </w:r>
      <w:bookmarkEnd w:id="29"/>
      <w:bookmarkEnd w:id="30"/>
      <w:bookmarkEnd w:id="31"/>
      <w:bookmarkEnd w:id="32"/>
      <w:bookmarkEnd w:id="33"/>
      <w:r w:rsidRPr="00862829" w:rsidR="007327BD">
        <w:t xml:space="preserve"> </w:t>
      </w:r>
    </w:p>
    <w:p w:rsidR="005A29AE" w:rsidRPr="00862829" w:rsidP="00BB12AA" w14:paraId="6BD01A56" w14:textId="74AEBE5E">
      <w:pPr>
        <w:autoSpaceDE w:val="0"/>
        <w:autoSpaceDN w:val="0"/>
        <w:adjustRightInd w:val="0"/>
        <w:spacing w:line="480" w:lineRule="auto"/>
        <w:ind w:firstLine="720"/>
        <w:rPr>
          <w:rFonts w:ascii="Times New Roman" w:hAnsi="Times New Roman" w:cs="Times New Roman"/>
          <w:sz w:val="24"/>
          <w:szCs w:val="24"/>
        </w:rPr>
      </w:pPr>
      <w:r w:rsidRPr="00862829">
        <w:rPr>
          <w:rFonts w:ascii="Times New Roman" w:hAnsi="Times New Roman" w:cs="Times New Roman"/>
          <w:sz w:val="24"/>
          <w:szCs w:val="24"/>
        </w:rPr>
        <w:t>Rules regarding</w:t>
      </w:r>
      <w:r w:rsidRPr="00862829" w:rsidR="00504A37">
        <w:rPr>
          <w:rFonts w:ascii="Times New Roman" w:hAnsi="Times New Roman" w:cs="Times New Roman"/>
          <w:sz w:val="24"/>
          <w:szCs w:val="24"/>
        </w:rPr>
        <w:t xml:space="preserve"> residential </w:t>
      </w:r>
      <w:r w:rsidRPr="00862829" w:rsidR="00E52F05">
        <w:rPr>
          <w:rFonts w:ascii="Times New Roman" w:hAnsi="Times New Roman" w:cs="Times New Roman"/>
          <w:sz w:val="24"/>
          <w:szCs w:val="24"/>
        </w:rPr>
        <w:t>billing</w:t>
      </w:r>
      <w:r w:rsidRPr="00862829" w:rsidR="00C94E3A">
        <w:rPr>
          <w:rFonts w:ascii="Times New Roman" w:hAnsi="Times New Roman" w:cs="Times New Roman"/>
          <w:sz w:val="24"/>
          <w:szCs w:val="24"/>
        </w:rPr>
        <w:t xml:space="preserve"> and reasons for </w:t>
      </w:r>
      <w:r w:rsidRPr="00862829" w:rsidR="00504A37">
        <w:rPr>
          <w:rFonts w:ascii="Times New Roman" w:hAnsi="Times New Roman" w:cs="Times New Roman"/>
          <w:sz w:val="24"/>
          <w:szCs w:val="24"/>
        </w:rPr>
        <w:t xml:space="preserve">disconnection </w:t>
      </w:r>
      <w:r w:rsidRPr="00862829" w:rsidR="00140C09">
        <w:rPr>
          <w:rFonts w:ascii="Times New Roman" w:hAnsi="Times New Roman" w:cs="Times New Roman"/>
          <w:sz w:val="24"/>
          <w:szCs w:val="24"/>
        </w:rPr>
        <w:t xml:space="preserve">are especially important for residential customers. </w:t>
      </w:r>
      <w:r w:rsidRPr="00862829">
        <w:rPr>
          <w:rFonts w:ascii="Times New Roman" w:hAnsi="Times New Roman" w:cs="Times New Roman"/>
          <w:sz w:val="24"/>
          <w:szCs w:val="24"/>
        </w:rPr>
        <w:t xml:space="preserve">Especially in this financially challenging time, it is important to </w:t>
      </w:r>
      <w:r w:rsidRPr="00862829" w:rsidR="00C94E3A">
        <w:rPr>
          <w:rFonts w:ascii="Times New Roman" w:hAnsi="Times New Roman" w:cs="Times New Roman"/>
          <w:sz w:val="24"/>
          <w:szCs w:val="24"/>
        </w:rPr>
        <w:t>protect consumers as much as possible.</w:t>
      </w:r>
      <w:r w:rsidRPr="00862829" w:rsidR="001411AE">
        <w:rPr>
          <w:rFonts w:ascii="Times New Roman" w:hAnsi="Times New Roman" w:cs="Times New Roman"/>
          <w:sz w:val="24"/>
          <w:szCs w:val="24"/>
        </w:rPr>
        <w:t xml:space="preserve"> </w:t>
      </w:r>
      <w:r w:rsidRPr="00862829" w:rsidR="00C94E3A">
        <w:rPr>
          <w:rFonts w:ascii="Times New Roman" w:hAnsi="Times New Roman" w:cs="Times New Roman"/>
          <w:sz w:val="24"/>
          <w:szCs w:val="24"/>
        </w:rPr>
        <w:t>OCC’s</w:t>
      </w:r>
      <w:r w:rsidRPr="00862829" w:rsidR="001411AE">
        <w:rPr>
          <w:rFonts w:ascii="Times New Roman" w:hAnsi="Times New Roman" w:cs="Times New Roman"/>
          <w:sz w:val="24"/>
          <w:szCs w:val="24"/>
        </w:rPr>
        <w:t xml:space="preserve"> recommendation</w:t>
      </w:r>
      <w:r w:rsidRPr="00862829" w:rsidR="00504A37">
        <w:rPr>
          <w:rFonts w:ascii="Times New Roman" w:hAnsi="Times New Roman" w:cs="Times New Roman"/>
          <w:sz w:val="24"/>
          <w:szCs w:val="24"/>
        </w:rPr>
        <w:t xml:space="preserve">s </w:t>
      </w:r>
      <w:r w:rsidRPr="00862829" w:rsidR="00752A6C">
        <w:rPr>
          <w:rFonts w:ascii="Times New Roman" w:hAnsi="Times New Roman" w:cs="Times New Roman"/>
          <w:sz w:val="24"/>
          <w:szCs w:val="24"/>
        </w:rPr>
        <w:t>will</w:t>
      </w:r>
      <w:r w:rsidRPr="00862829" w:rsidR="00504A37">
        <w:rPr>
          <w:rFonts w:ascii="Times New Roman" w:hAnsi="Times New Roman" w:cs="Times New Roman"/>
          <w:sz w:val="24"/>
          <w:szCs w:val="24"/>
        </w:rPr>
        <w:t xml:space="preserve"> protect</w:t>
      </w:r>
      <w:r w:rsidRPr="00862829" w:rsidR="001411AE">
        <w:rPr>
          <w:rFonts w:ascii="Times New Roman" w:hAnsi="Times New Roman" w:cs="Times New Roman"/>
          <w:sz w:val="24"/>
          <w:szCs w:val="24"/>
        </w:rPr>
        <w:t xml:space="preserve"> </w:t>
      </w:r>
      <w:r w:rsidRPr="00862829">
        <w:rPr>
          <w:rFonts w:ascii="Times New Roman" w:hAnsi="Times New Roman" w:cs="Times New Roman"/>
          <w:sz w:val="24"/>
          <w:szCs w:val="24"/>
        </w:rPr>
        <w:t>residential customers.</w:t>
      </w:r>
      <w:r w:rsidRPr="00862829" w:rsidR="001411AE">
        <w:rPr>
          <w:rFonts w:ascii="Times New Roman" w:hAnsi="Times New Roman" w:cs="Times New Roman"/>
          <w:sz w:val="24"/>
          <w:szCs w:val="24"/>
        </w:rPr>
        <w:t xml:space="preserve"> The PUCO should have adopted them.</w:t>
      </w:r>
      <w:r w:rsidR="00FB7024">
        <w:rPr>
          <w:rFonts w:ascii="Times New Roman" w:hAnsi="Times New Roman" w:cs="Times New Roman"/>
          <w:sz w:val="24"/>
          <w:szCs w:val="24"/>
        </w:rPr>
        <w:t xml:space="preserve"> A</w:t>
      </w:r>
      <w:r w:rsidR="000A48CC">
        <w:rPr>
          <w:rFonts w:ascii="Times New Roman" w:hAnsi="Times New Roman" w:cs="Times New Roman"/>
          <w:sz w:val="24"/>
          <w:szCs w:val="24"/>
        </w:rPr>
        <w:t xml:space="preserve">n application for rehearing must </w:t>
      </w:r>
      <w:r w:rsidR="00A4558F">
        <w:rPr>
          <w:rFonts w:ascii="Times New Roman" w:hAnsi="Times New Roman" w:cs="Times New Roman"/>
          <w:sz w:val="24"/>
          <w:szCs w:val="24"/>
        </w:rPr>
        <w:t xml:space="preserve">set forth the specific grounds upon which it considers the PUCO order to be unreasonable or unlawful. </w:t>
      </w:r>
      <w:r w:rsidR="002B146F">
        <w:rPr>
          <w:rFonts w:ascii="Times New Roman" w:hAnsi="Times New Roman" w:cs="Times New Roman"/>
          <w:sz w:val="24"/>
          <w:szCs w:val="24"/>
        </w:rPr>
        <w:t xml:space="preserve">The PUCO’s Order in this case was both unlawful and unreasonable because it </w:t>
      </w:r>
      <w:r w:rsidR="00EF174E">
        <w:rPr>
          <w:rFonts w:ascii="Times New Roman" w:hAnsi="Times New Roman" w:cs="Times New Roman"/>
          <w:sz w:val="24"/>
          <w:szCs w:val="24"/>
        </w:rPr>
        <w:t xml:space="preserve">failed to adopt Staff’s and OCC’s </w:t>
      </w:r>
      <w:r w:rsidR="00EE3A06">
        <w:rPr>
          <w:rFonts w:ascii="Times New Roman" w:hAnsi="Times New Roman" w:cs="Times New Roman"/>
          <w:sz w:val="24"/>
          <w:szCs w:val="24"/>
        </w:rPr>
        <w:t xml:space="preserve">consumer protection recommendations </w:t>
      </w:r>
      <w:r w:rsidR="004C7E77">
        <w:rPr>
          <w:rFonts w:ascii="Times New Roman" w:hAnsi="Times New Roman" w:cs="Times New Roman"/>
          <w:sz w:val="24"/>
          <w:szCs w:val="24"/>
        </w:rPr>
        <w:t>in violation of Ohio law and Supreme Court of Ohio precedent</w:t>
      </w:r>
      <w:r w:rsidR="00320578">
        <w:rPr>
          <w:rFonts w:ascii="Times New Roman" w:hAnsi="Times New Roman" w:cs="Times New Roman"/>
          <w:sz w:val="24"/>
          <w:szCs w:val="24"/>
        </w:rPr>
        <w:t>.</w:t>
      </w:r>
      <w:r w:rsidRPr="00862829" w:rsidR="001411AE">
        <w:rPr>
          <w:rFonts w:ascii="Times New Roman" w:hAnsi="Times New Roman" w:cs="Times New Roman"/>
          <w:sz w:val="24"/>
          <w:szCs w:val="24"/>
        </w:rPr>
        <w:t xml:space="preserve"> </w:t>
      </w:r>
    </w:p>
    <w:p w:rsidR="00941F8F" w:rsidRPr="00862829" w:rsidP="00D836C2" w14:paraId="7C1DF367" w14:textId="15F18AD8">
      <w:pPr>
        <w:widowControl w:val="0"/>
        <w:ind w:left="3600" w:firstLine="720"/>
        <w:rPr>
          <w:rFonts w:ascii="Times New Roman" w:hAnsi="Times New Roman" w:cs="Times New Roman"/>
          <w:sz w:val="24"/>
          <w:szCs w:val="24"/>
        </w:rPr>
      </w:pPr>
      <w:r w:rsidRPr="00862829">
        <w:rPr>
          <w:rFonts w:ascii="Times New Roman" w:hAnsi="Times New Roman" w:cs="Times New Roman"/>
          <w:sz w:val="24"/>
          <w:szCs w:val="24"/>
        </w:rPr>
        <w:t>Respectfully submitted,</w:t>
      </w:r>
    </w:p>
    <w:p w:rsidR="00B00ECF" w:rsidRPr="00862829" w:rsidP="00B00ECF" w14:paraId="568A43DC" w14:textId="794D304C">
      <w:pPr>
        <w:pStyle w:val="Footer"/>
        <w:tabs>
          <w:tab w:val="clear" w:pos="4680"/>
          <w:tab w:val="clear" w:pos="9360"/>
        </w:tabs>
        <w:ind w:left="4320"/>
        <w:rPr>
          <w:rFonts w:ascii="Times New Roman" w:hAnsi="Times New Roman" w:cs="Times New Roman"/>
          <w:sz w:val="24"/>
          <w:szCs w:val="24"/>
        </w:rPr>
      </w:pPr>
      <w:r w:rsidRPr="00862829">
        <w:rPr>
          <w:rFonts w:ascii="Times New Roman" w:hAnsi="Times New Roman" w:cs="Times New Roman"/>
          <w:sz w:val="24"/>
          <w:szCs w:val="24"/>
        </w:rPr>
        <w:t>Bruce Weston (0016973)</w:t>
      </w:r>
    </w:p>
    <w:p w:rsidR="00B00ECF" w:rsidRPr="00862829" w:rsidP="00B00ECF" w14:paraId="115A3AAC" w14:textId="77777777">
      <w:pPr>
        <w:tabs>
          <w:tab w:val="left" w:pos="4320"/>
        </w:tabs>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Ohio Consumers’ Counsel</w:t>
      </w:r>
    </w:p>
    <w:p w:rsidR="00B00ECF" w:rsidRPr="00862829" w:rsidP="00B00ECF" w14:paraId="4D89939A" w14:textId="77777777">
      <w:pPr>
        <w:tabs>
          <w:tab w:val="left" w:pos="4320"/>
        </w:tabs>
        <w:spacing w:after="0" w:line="240" w:lineRule="auto"/>
        <w:ind w:left="4320"/>
        <w:rPr>
          <w:rFonts w:ascii="Times New Roman" w:hAnsi="Times New Roman" w:cs="Times New Roman"/>
          <w:sz w:val="24"/>
          <w:szCs w:val="24"/>
        </w:rPr>
      </w:pPr>
    </w:p>
    <w:p w:rsidR="00F208B6" w:rsidRPr="00862829" w:rsidP="00B00ECF" w14:paraId="76527D5C" w14:textId="2FBF8FCD">
      <w:pPr>
        <w:tabs>
          <w:tab w:val="left" w:pos="4320"/>
        </w:tabs>
        <w:spacing w:after="0" w:line="240" w:lineRule="auto"/>
        <w:ind w:left="4320"/>
        <w:rPr>
          <w:rFonts w:ascii="Times New Roman" w:hAnsi="Times New Roman" w:cs="Times New Roman"/>
          <w:i/>
          <w:iCs/>
          <w:sz w:val="24"/>
          <w:szCs w:val="24"/>
          <w:u w:val="single"/>
        </w:rPr>
      </w:pPr>
      <w:r w:rsidRPr="00862829">
        <w:rPr>
          <w:rFonts w:ascii="Times New Roman" w:hAnsi="Times New Roman" w:cs="Times New Roman"/>
          <w:i/>
          <w:iCs/>
          <w:sz w:val="24"/>
          <w:szCs w:val="24"/>
          <w:u w:val="single"/>
        </w:rPr>
        <w:t>/s/ Ambrosia E. Wilson</w:t>
      </w:r>
    </w:p>
    <w:p w:rsidR="00B00ECF" w:rsidRPr="00862829" w:rsidP="00B00ECF" w14:paraId="31F060D9" w14:textId="3A8AB51A">
      <w:pPr>
        <w:tabs>
          <w:tab w:val="left" w:pos="4320"/>
        </w:tabs>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Ambrosia E. Wilson (0096598)</w:t>
      </w:r>
    </w:p>
    <w:p w:rsidR="00B00ECF" w:rsidRPr="00862829" w:rsidP="00B00ECF" w14:paraId="6DC03FDE" w14:textId="77777777">
      <w:pPr>
        <w:tabs>
          <w:tab w:val="left" w:pos="4320"/>
        </w:tabs>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 xml:space="preserve">Counsel of Record </w:t>
      </w:r>
    </w:p>
    <w:p w:rsidR="00B00ECF" w:rsidRPr="00862829" w:rsidP="00B00ECF" w14:paraId="035F1C17" w14:textId="77777777">
      <w:pPr>
        <w:tabs>
          <w:tab w:val="left" w:pos="4320"/>
        </w:tabs>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Assistant Consumers’ Counsel</w:t>
      </w:r>
    </w:p>
    <w:p w:rsidR="00B00ECF" w:rsidRPr="00862829" w:rsidP="00B00ECF" w14:paraId="72C55C52" w14:textId="77777777">
      <w:pPr>
        <w:spacing w:after="0" w:line="240" w:lineRule="auto"/>
        <w:ind w:left="4320"/>
        <w:rPr>
          <w:rFonts w:ascii="Times New Roman" w:hAnsi="Times New Roman" w:cs="Times New Roman"/>
          <w:b/>
          <w:sz w:val="24"/>
          <w:szCs w:val="24"/>
        </w:rPr>
      </w:pPr>
    </w:p>
    <w:p w:rsidR="00B00ECF" w:rsidRPr="00862829" w:rsidP="00B00ECF" w14:paraId="187397F3" w14:textId="77777777">
      <w:pPr>
        <w:spacing w:after="0" w:line="240" w:lineRule="auto"/>
        <w:ind w:left="4320"/>
        <w:rPr>
          <w:rFonts w:ascii="Times New Roman" w:hAnsi="Times New Roman" w:cs="Times New Roman"/>
          <w:b/>
          <w:sz w:val="24"/>
          <w:szCs w:val="24"/>
        </w:rPr>
      </w:pPr>
      <w:r w:rsidRPr="00862829">
        <w:rPr>
          <w:rFonts w:ascii="Times New Roman" w:hAnsi="Times New Roman" w:cs="Times New Roman"/>
          <w:b/>
          <w:sz w:val="24"/>
          <w:szCs w:val="24"/>
        </w:rPr>
        <w:t>Office of the Ohio Consumers’ Counsel</w:t>
      </w:r>
    </w:p>
    <w:p w:rsidR="00B00ECF" w:rsidRPr="00862829" w:rsidP="00B00ECF" w14:paraId="2598F6F5" w14:textId="77777777">
      <w:pPr>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65 E. State Street, 7th Floor</w:t>
      </w:r>
    </w:p>
    <w:p w:rsidR="00B00ECF" w:rsidRPr="00862829" w:rsidP="00B00ECF" w14:paraId="7846D8E3" w14:textId="77777777">
      <w:pPr>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Columbus, Ohio 43215-3485</w:t>
      </w:r>
    </w:p>
    <w:p w:rsidR="00B00ECF" w:rsidRPr="00862829" w:rsidP="00B00ECF" w14:paraId="50FB6C08" w14:textId="77777777">
      <w:pPr>
        <w:spacing w:after="0" w:line="240" w:lineRule="auto"/>
        <w:ind w:left="4320"/>
        <w:rPr>
          <w:rFonts w:ascii="Times New Roman" w:hAnsi="Times New Roman" w:cs="Times New Roman"/>
          <w:sz w:val="24"/>
          <w:szCs w:val="24"/>
        </w:rPr>
      </w:pPr>
      <w:r w:rsidRPr="00862829">
        <w:rPr>
          <w:rFonts w:ascii="Times New Roman" w:hAnsi="Times New Roman" w:cs="Times New Roman"/>
          <w:sz w:val="24"/>
          <w:szCs w:val="24"/>
        </w:rPr>
        <w:t>Telephone: 614-466-1292</w:t>
      </w:r>
    </w:p>
    <w:p w:rsidR="00B00ECF" w:rsidRPr="00862829" w:rsidP="00B00ECF" w14:paraId="586C5A94" w14:textId="77777777">
      <w:pPr>
        <w:spacing w:after="0" w:line="240" w:lineRule="auto"/>
        <w:ind w:left="4320"/>
        <w:rPr>
          <w:rFonts w:ascii="Times New Roman" w:hAnsi="Times New Roman" w:cs="Times New Roman"/>
          <w:color w:val="0000FF"/>
          <w:sz w:val="24"/>
          <w:szCs w:val="24"/>
        </w:rPr>
      </w:pPr>
      <w:hyperlink r:id="rId6" w:history="1">
        <w:r w:rsidRPr="00862829">
          <w:rPr>
            <w:rStyle w:val="Hyperlink"/>
            <w:rFonts w:ascii="Times New Roman" w:hAnsi="Times New Roman" w:cs="Times New Roman"/>
            <w:color w:val="0000FF"/>
            <w:sz w:val="24"/>
            <w:szCs w:val="24"/>
          </w:rPr>
          <w:t>Ambrosia.Wilson@occ.ohio.gov</w:t>
        </w:r>
      </w:hyperlink>
    </w:p>
    <w:p w:rsidR="00B00ECF" w:rsidRPr="00E45058" w:rsidP="00B00ECF" w14:paraId="4FDBBA47" w14:textId="77777777">
      <w:pPr>
        <w:autoSpaceDE w:val="0"/>
        <w:autoSpaceDN w:val="0"/>
        <w:adjustRightInd w:val="0"/>
        <w:rPr>
          <w:rFonts w:ascii="Times New Roman" w:hAnsi="Times New Roman" w:cs="Times New Roman"/>
          <w:sz w:val="24"/>
          <w:szCs w:val="24"/>
        </w:rPr>
      </w:pP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t>(w</w:t>
      </w:r>
      <w:r w:rsidRPr="00937028">
        <w:rPr>
          <w:rFonts w:ascii="Times New Roman" w:hAnsi="Times New Roman" w:cs="Times New Roman"/>
          <w:sz w:val="24"/>
          <w:szCs w:val="24"/>
        </w:rPr>
        <w:t>illing to accept service by e-mail)</w:t>
      </w:r>
    </w:p>
    <w:p w:rsidR="00B00ECF" w:rsidRPr="00862829" w:rsidP="006528FC" w14:paraId="53A1D752" w14:textId="3B861FD1">
      <w:pPr>
        <w:widowControl w:val="0"/>
        <w:rPr>
          <w:rFonts w:ascii="Times New Roman" w:hAnsi="Times New Roman" w:cs="Times New Roman"/>
          <w:sz w:val="24"/>
          <w:szCs w:val="24"/>
        </w:rPr>
        <w:sectPr w:rsidSect="00F208B6">
          <w:pgSz w:w="12240" w:h="15840"/>
          <w:pgMar w:top="1440" w:right="1800" w:bottom="1440" w:left="1800" w:header="720" w:footer="720" w:gutter="0"/>
          <w:cols w:space="720"/>
          <w:docGrid w:linePitch="360"/>
        </w:sectPr>
      </w:pPr>
    </w:p>
    <w:p w:rsidR="00644C4A" w:rsidRPr="00E45058" w:rsidP="00644C4A" w14:paraId="30103ED6" w14:textId="327E4BCB">
      <w:pPr>
        <w:ind w:left="2160" w:firstLine="720"/>
        <w:rPr>
          <w:rFonts w:ascii="Times New Roman" w:hAnsi="Times New Roman" w:cs="Times New Roman"/>
          <w:b/>
          <w:bCs/>
          <w:sz w:val="24"/>
          <w:szCs w:val="24"/>
          <w:u w:val="single"/>
        </w:rPr>
      </w:pPr>
      <w:r w:rsidRPr="00862829">
        <w:rPr>
          <w:rFonts w:ascii="Times New Roman" w:hAnsi="Times New Roman" w:cs="Times New Roman"/>
          <w:b/>
          <w:bCs/>
          <w:sz w:val="24"/>
          <w:szCs w:val="24"/>
          <w:u w:val="single"/>
        </w:rPr>
        <w:t>C</w:t>
      </w:r>
      <w:r w:rsidRPr="00937028" w:rsidR="001411AE">
        <w:rPr>
          <w:rFonts w:ascii="Times New Roman" w:hAnsi="Times New Roman" w:cs="Times New Roman"/>
          <w:b/>
          <w:bCs/>
          <w:sz w:val="24"/>
          <w:szCs w:val="24"/>
          <w:u w:val="single"/>
        </w:rPr>
        <w:t>ERTIFICATE OF SERVICE</w:t>
      </w:r>
    </w:p>
    <w:p w:rsidR="00644C4A" w:rsidRPr="00862829" w:rsidP="00080426" w14:paraId="201CC6FA" w14:textId="28A74017">
      <w:pPr>
        <w:tabs>
          <w:tab w:val="left" w:pos="-720"/>
        </w:tabs>
        <w:suppressAutoHyphens/>
        <w:spacing w:after="0" w:line="480" w:lineRule="auto"/>
        <w:ind w:firstLine="720"/>
        <w:rPr>
          <w:rFonts w:ascii="Times New Roman" w:hAnsi="Times New Roman" w:cs="Times New Roman"/>
          <w:sz w:val="24"/>
          <w:szCs w:val="24"/>
        </w:rPr>
      </w:pPr>
      <w:r w:rsidRPr="001C2A4D">
        <w:rPr>
          <w:rFonts w:ascii="Times New Roman" w:hAnsi="Times New Roman" w:cs="Times New Roman"/>
          <w:sz w:val="24"/>
          <w:szCs w:val="24"/>
        </w:rPr>
        <w:t xml:space="preserve">It is hereby certified that a true copy of the foregoing Application for Rehearing was served by electronic transmission upon the parties below this </w:t>
      </w:r>
      <w:r w:rsidRPr="00CC16E9" w:rsidR="00C106BD">
        <w:rPr>
          <w:rFonts w:ascii="Times New Roman" w:hAnsi="Times New Roman" w:cs="Times New Roman"/>
          <w:sz w:val="24"/>
          <w:szCs w:val="24"/>
        </w:rPr>
        <w:t>26</w:t>
      </w:r>
      <w:r w:rsidRPr="00CC16E9" w:rsidR="006429E5">
        <w:rPr>
          <w:rFonts w:ascii="Times New Roman" w:hAnsi="Times New Roman" w:cs="Times New Roman"/>
          <w:sz w:val="24"/>
          <w:szCs w:val="24"/>
        </w:rPr>
        <w:t>th</w:t>
      </w:r>
      <w:r w:rsidRPr="00CC16E9">
        <w:rPr>
          <w:rFonts w:ascii="Times New Roman" w:hAnsi="Times New Roman" w:cs="Times New Roman"/>
          <w:sz w:val="24"/>
          <w:szCs w:val="24"/>
        </w:rPr>
        <w:t xml:space="preserve"> day of </w:t>
      </w:r>
      <w:r w:rsidRPr="00DA3B6B" w:rsidR="00C106BD">
        <w:rPr>
          <w:rFonts w:ascii="Times New Roman" w:hAnsi="Times New Roman" w:cs="Times New Roman"/>
          <w:sz w:val="24"/>
          <w:szCs w:val="24"/>
        </w:rPr>
        <w:t>March</w:t>
      </w:r>
      <w:r w:rsidRPr="009344C8">
        <w:rPr>
          <w:rFonts w:ascii="Times New Roman" w:hAnsi="Times New Roman" w:cs="Times New Roman"/>
          <w:sz w:val="24"/>
          <w:szCs w:val="24"/>
        </w:rPr>
        <w:t xml:space="preserve"> 20</w:t>
      </w:r>
      <w:r w:rsidRPr="009344C8" w:rsidR="00775677">
        <w:rPr>
          <w:rFonts w:ascii="Times New Roman" w:hAnsi="Times New Roman" w:cs="Times New Roman"/>
          <w:sz w:val="24"/>
          <w:szCs w:val="24"/>
        </w:rPr>
        <w:t>2</w:t>
      </w:r>
      <w:r w:rsidRPr="00080966" w:rsidR="00C106BD">
        <w:rPr>
          <w:rFonts w:ascii="Times New Roman" w:hAnsi="Times New Roman" w:cs="Times New Roman"/>
          <w:sz w:val="24"/>
          <w:szCs w:val="24"/>
        </w:rPr>
        <w:t>1</w:t>
      </w:r>
      <w:r w:rsidRPr="00A23910" w:rsidR="00775677">
        <w:rPr>
          <w:rFonts w:ascii="Times New Roman" w:hAnsi="Times New Roman" w:cs="Times New Roman"/>
          <w:sz w:val="24"/>
          <w:szCs w:val="24"/>
        </w:rPr>
        <w:t>.</w:t>
      </w:r>
    </w:p>
    <w:p w:rsidR="00644C4A" w:rsidRPr="00862829" w:rsidP="00080426" w14:paraId="21A2BB9F" w14:textId="3555CFF8">
      <w:pPr>
        <w:pStyle w:val="EndnoteText"/>
        <w:rPr>
          <w:rFonts w:ascii="Times New Roman" w:hAnsi="Times New Roman" w:cs="Times New Roman"/>
          <w:sz w:val="24"/>
          <w:szCs w:val="24"/>
        </w:rPr>
      </w:pP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i/>
          <w:sz w:val="24"/>
          <w:szCs w:val="24"/>
          <w:u w:val="single"/>
        </w:rPr>
        <w:t>/s</w:t>
      </w:r>
      <w:r w:rsidRPr="00862829" w:rsidR="0008270A">
        <w:rPr>
          <w:rFonts w:ascii="Times New Roman" w:hAnsi="Times New Roman" w:cs="Times New Roman"/>
          <w:i/>
          <w:sz w:val="24"/>
          <w:szCs w:val="24"/>
          <w:u w:val="single"/>
        </w:rPr>
        <w:t xml:space="preserve">/ </w:t>
      </w:r>
      <w:r w:rsidRPr="00862829" w:rsidR="00C106BD">
        <w:rPr>
          <w:rFonts w:ascii="Times New Roman" w:hAnsi="Times New Roman" w:cs="Times New Roman"/>
          <w:i/>
          <w:sz w:val="24"/>
          <w:szCs w:val="24"/>
          <w:u w:val="single"/>
        </w:rPr>
        <w:t>Ambrosia E. Wilson</w:t>
      </w:r>
      <w:r w:rsidRPr="00862829">
        <w:rPr>
          <w:rFonts w:ascii="Times New Roman" w:hAnsi="Times New Roman" w:cs="Times New Roman"/>
          <w:i/>
          <w:sz w:val="24"/>
          <w:szCs w:val="24"/>
          <w:u w:val="single"/>
        </w:rPr>
        <w:tab/>
      </w:r>
    </w:p>
    <w:p w:rsidR="00644C4A" w:rsidRPr="00862829" w:rsidP="00644C4A" w14:paraId="7B04928F" w14:textId="1A7FD4B1">
      <w:pPr>
        <w:pStyle w:val="EndnoteText"/>
        <w:rPr>
          <w:rFonts w:ascii="Times New Roman" w:hAnsi="Times New Roman" w:cs="Times New Roman"/>
          <w:sz w:val="24"/>
          <w:szCs w:val="24"/>
        </w:rPr>
      </w:pP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sidR="00C106BD">
        <w:rPr>
          <w:rFonts w:ascii="Times New Roman" w:hAnsi="Times New Roman" w:cs="Times New Roman"/>
          <w:sz w:val="24"/>
          <w:szCs w:val="24"/>
        </w:rPr>
        <w:t>Ambrosia E. Wilson</w:t>
      </w:r>
    </w:p>
    <w:p w:rsidR="00644C4A" w:rsidRPr="00862829" w:rsidP="00644C4A" w14:paraId="797762F2" w14:textId="0A7D6369">
      <w:pPr>
        <w:pStyle w:val="EndnoteText"/>
        <w:rPr>
          <w:rFonts w:ascii="Times New Roman" w:hAnsi="Times New Roman" w:cs="Times New Roman"/>
          <w:sz w:val="24"/>
          <w:szCs w:val="24"/>
        </w:rPr>
      </w:pP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r>
      <w:r w:rsidRPr="00862829">
        <w:rPr>
          <w:rFonts w:ascii="Times New Roman" w:hAnsi="Times New Roman" w:cs="Times New Roman"/>
          <w:sz w:val="24"/>
          <w:szCs w:val="24"/>
        </w:rPr>
        <w:tab/>
        <w:t>Assistant Consumers’ Counsel</w:t>
      </w:r>
    </w:p>
    <w:p w:rsidR="0008270A" w:rsidRPr="00862829" w:rsidP="00644C4A" w14:paraId="075B6546" w14:textId="5848F5C3">
      <w:pPr>
        <w:pStyle w:val="EndnoteText"/>
        <w:rPr>
          <w:rFonts w:ascii="Times New Roman" w:hAnsi="Times New Roman" w:cs="Times New Roman"/>
          <w:sz w:val="24"/>
          <w:szCs w:val="24"/>
        </w:rPr>
      </w:pPr>
    </w:p>
    <w:p w:rsidR="00945FC4" w:rsidRPr="00862829" w:rsidP="00945FC4" w14:paraId="50685BD9" w14:textId="77777777">
      <w:pPr>
        <w:pStyle w:val="CommentText"/>
        <w:rPr>
          <w:rFonts w:ascii="Times New Roman" w:hAnsi="Times New Roman" w:cs="Times New Roman"/>
          <w:b/>
          <w:sz w:val="24"/>
          <w:szCs w:val="24"/>
          <w:u w:val="single"/>
        </w:rPr>
      </w:pPr>
      <w:r w:rsidRPr="00862829">
        <w:rPr>
          <w:rFonts w:ascii="Times New Roman" w:hAnsi="Times New Roman" w:cs="Times New Roman"/>
          <w:sz w:val="24"/>
          <w:szCs w:val="24"/>
        </w:rPr>
        <w:t>The PUCO’s e-filing system will electronically serve notice of the filing of this document on the following parties:</w:t>
      </w:r>
      <w:r w:rsidRPr="00862829">
        <w:rPr>
          <w:rFonts w:ascii="Times New Roman" w:hAnsi="Times New Roman" w:cs="Times New Roman"/>
          <w:b/>
          <w:sz w:val="24"/>
          <w:szCs w:val="24"/>
          <w:u w:val="single"/>
        </w:rPr>
        <w:t xml:space="preserve"> </w:t>
      </w:r>
    </w:p>
    <w:p w:rsidR="00945FC4" w:rsidRPr="00862829" w:rsidP="00945FC4" w14:paraId="5CA0C406" w14:textId="7D5C1396">
      <w:pPr>
        <w:pStyle w:val="CommentText"/>
        <w:jc w:val="center"/>
        <w:rPr>
          <w:rFonts w:ascii="Times New Roman" w:hAnsi="Times New Roman" w:cs="Times New Roman"/>
          <w:b/>
          <w:sz w:val="24"/>
          <w:szCs w:val="24"/>
          <w:u w:val="single"/>
        </w:rPr>
      </w:pPr>
      <w:r w:rsidRPr="00862829">
        <w:rPr>
          <w:rFonts w:ascii="Times New Roman" w:hAnsi="Times New Roman" w:cs="Times New Roman"/>
          <w:b/>
          <w:sz w:val="24"/>
          <w:szCs w:val="24"/>
          <w:u w:val="single"/>
        </w:rPr>
        <w:t>SERVICE LIST</w:t>
      </w:r>
    </w:p>
    <w:tbl>
      <w:tblPr>
        <w:tblW w:w="8730" w:type="dxa"/>
        <w:tblLayout w:type="fixed"/>
        <w:tblLook w:val="04A0"/>
      </w:tblPr>
      <w:tblGrid>
        <w:gridCol w:w="4230"/>
        <w:gridCol w:w="4500"/>
      </w:tblGrid>
      <w:tr w14:paraId="26AD3C16" w14:textId="77777777" w:rsidTr="00D06FF1">
        <w:tblPrEx>
          <w:tblW w:w="8730" w:type="dxa"/>
          <w:tblLayout w:type="fixed"/>
          <w:tblLook w:val="04A0"/>
        </w:tblPrEx>
        <w:trPr>
          <w:trHeight w:val="1530"/>
        </w:trPr>
        <w:tc>
          <w:tcPr>
            <w:tcW w:w="4230" w:type="dxa"/>
            <w:shd w:val="clear" w:color="auto" w:fill="auto"/>
          </w:tcPr>
          <w:p w:rsidR="00945FC4" w:rsidRPr="00862829" w:rsidP="00431E6E" w14:paraId="1E8D14EA" w14:textId="77777777">
            <w:pPr>
              <w:autoSpaceDE w:val="0"/>
              <w:autoSpaceDN w:val="0"/>
              <w:adjustRightInd w:val="0"/>
              <w:rPr>
                <w:rFonts w:ascii="Times New Roman" w:hAnsi="Times New Roman" w:cs="Times New Roman"/>
                <w:color w:val="0000FF"/>
                <w:sz w:val="24"/>
                <w:szCs w:val="24"/>
                <w:u w:val="single"/>
              </w:rPr>
            </w:pPr>
            <w:r w:rsidRPr="00862829">
              <w:rPr>
                <w:rFonts w:ascii="Times New Roman" w:hAnsi="Times New Roman" w:cs="Times New Roman"/>
                <w:color w:val="0000FF"/>
                <w:sz w:val="24"/>
                <w:szCs w:val="24"/>
                <w:u w:val="single"/>
              </w:rPr>
              <w:t>John.jones@ohioattorneygeneral.gov</w:t>
            </w:r>
          </w:p>
          <w:p w:rsidR="00945FC4" w:rsidRPr="00D06FF1" w:rsidP="00431E6E" w14:paraId="25681CB7" w14:textId="77777777">
            <w:pPr>
              <w:pStyle w:val="BodyText"/>
              <w:jc w:val="both"/>
              <w:rPr>
                <w:rFonts w:ascii="Times New Roman" w:hAnsi="Times New Roman" w:cs="Times New Roman"/>
                <w:sz w:val="24"/>
                <w:szCs w:val="24"/>
              </w:rPr>
            </w:pPr>
          </w:p>
          <w:p w:rsidR="00945FC4" w:rsidRPr="00937028" w:rsidP="00431E6E" w14:paraId="26226BCD" w14:textId="77777777">
            <w:pPr>
              <w:pStyle w:val="BodyText"/>
              <w:jc w:val="both"/>
              <w:rPr>
                <w:rFonts w:ascii="Times New Roman" w:hAnsi="Times New Roman" w:cs="Times New Roman"/>
                <w:b/>
                <w:sz w:val="24"/>
                <w:szCs w:val="24"/>
              </w:rPr>
            </w:pPr>
            <w:r w:rsidRPr="00862829">
              <w:rPr>
                <w:rFonts w:ascii="Times New Roman" w:hAnsi="Times New Roman" w:cs="Times New Roman"/>
                <w:sz w:val="24"/>
                <w:szCs w:val="24"/>
              </w:rPr>
              <w:t>Attorney Examiner:</w:t>
            </w:r>
          </w:p>
          <w:p w:rsidR="00945FC4" w:rsidRPr="00862829" w:rsidP="00431E6E" w14:paraId="118E70B7" w14:textId="77777777">
            <w:pPr>
              <w:pStyle w:val="BodyText"/>
              <w:jc w:val="both"/>
              <w:rPr>
                <w:rFonts w:ascii="Times New Roman" w:hAnsi="Times New Roman" w:cs="Times New Roman"/>
                <w:b/>
                <w:color w:val="0000FF"/>
                <w:sz w:val="24"/>
                <w:szCs w:val="24"/>
              </w:rPr>
            </w:pPr>
            <w:hyperlink r:id="rId13" w:history="1">
              <w:r w:rsidRPr="00862829">
                <w:rPr>
                  <w:rStyle w:val="Hyperlink"/>
                  <w:rFonts w:ascii="Times New Roman" w:hAnsi="Times New Roman" w:cs="Times New Roman"/>
                  <w:color w:val="0000FF"/>
                  <w:sz w:val="24"/>
                  <w:szCs w:val="24"/>
                </w:rPr>
                <w:t>Sarah.parrott@puco.ohio.gov</w:t>
              </w:r>
            </w:hyperlink>
          </w:p>
          <w:p w:rsidR="00945FC4" w:rsidRPr="00D06FF1" w:rsidP="00431E6E" w14:paraId="2086DCC5" w14:textId="77777777">
            <w:pPr>
              <w:pStyle w:val="BodyText"/>
              <w:jc w:val="both"/>
              <w:rPr>
                <w:rFonts w:ascii="Times New Roman" w:hAnsi="Times New Roman" w:cs="Times New Roman"/>
                <w:b/>
                <w:sz w:val="24"/>
                <w:szCs w:val="24"/>
              </w:rPr>
            </w:pPr>
          </w:p>
          <w:p w:rsidR="00945FC4" w:rsidRPr="00D06FF1" w:rsidP="00431E6E" w14:paraId="4C134510" w14:textId="77777777">
            <w:pPr>
              <w:pStyle w:val="BodyText"/>
              <w:jc w:val="both"/>
              <w:rPr>
                <w:rFonts w:ascii="Times New Roman" w:hAnsi="Times New Roman" w:cs="Times New Roman"/>
                <w:sz w:val="24"/>
                <w:szCs w:val="24"/>
              </w:rPr>
            </w:pPr>
          </w:p>
          <w:p w:rsidR="00080426" w:rsidRPr="00D06FF1" w:rsidP="00080426" w14:paraId="22587123" w14:textId="77777777">
            <w:pPr>
              <w:rPr>
                <w:rFonts w:ascii="Times New Roman" w:hAnsi="Times New Roman" w:cs="Times New Roman"/>
                <w:sz w:val="24"/>
                <w:szCs w:val="24"/>
              </w:rPr>
            </w:pPr>
          </w:p>
          <w:p w:rsidR="00080426" w:rsidRPr="00D06FF1" w:rsidP="00080426" w14:paraId="2E11F913" w14:textId="77777777">
            <w:pPr>
              <w:rPr>
                <w:rFonts w:ascii="Times New Roman" w:hAnsi="Times New Roman" w:cs="Times New Roman"/>
                <w:sz w:val="24"/>
                <w:szCs w:val="24"/>
              </w:rPr>
            </w:pPr>
          </w:p>
          <w:p w:rsidR="00080426" w:rsidRPr="00D06FF1" w:rsidP="00080426" w14:paraId="7B827DF8" w14:textId="77777777">
            <w:pPr>
              <w:rPr>
                <w:rFonts w:ascii="Times New Roman" w:hAnsi="Times New Roman" w:cs="Times New Roman"/>
                <w:sz w:val="24"/>
                <w:szCs w:val="24"/>
              </w:rPr>
            </w:pPr>
          </w:p>
          <w:p w:rsidR="00080426" w:rsidRPr="00D06FF1" w:rsidP="00080426" w14:paraId="00817C57" w14:textId="77777777">
            <w:pPr>
              <w:rPr>
                <w:rFonts w:ascii="Times New Roman" w:hAnsi="Times New Roman" w:cs="Times New Roman"/>
                <w:sz w:val="24"/>
                <w:szCs w:val="24"/>
              </w:rPr>
            </w:pPr>
          </w:p>
          <w:p w:rsidR="00080426" w:rsidRPr="00D06FF1" w:rsidP="00080426" w14:paraId="493D8A53" w14:textId="77777777">
            <w:pPr>
              <w:rPr>
                <w:rFonts w:ascii="Times New Roman" w:hAnsi="Times New Roman" w:cs="Times New Roman"/>
                <w:sz w:val="24"/>
                <w:szCs w:val="24"/>
              </w:rPr>
            </w:pPr>
          </w:p>
          <w:p w:rsidR="00080426" w:rsidRPr="00D06FF1" w:rsidP="00080426" w14:paraId="1C784261" w14:textId="77777777">
            <w:pPr>
              <w:rPr>
                <w:rFonts w:ascii="Times New Roman" w:hAnsi="Times New Roman" w:cs="Times New Roman"/>
                <w:sz w:val="24"/>
                <w:szCs w:val="24"/>
              </w:rPr>
            </w:pPr>
          </w:p>
          <w:p w:rsidR="00080426" w:rsidRPr="00D06FF1" w:rsidP="00080426" w14:paraId="64312D13" w14:textId="77777777">
            <w:pPr>
              <w:rPr>
                <w:rFonts w:ascii="Times New Roman" w:hAnsi="Times New Roman" w:cs="Times New Roman"/>
                <w:sz w:val="24"/>
                <w:szCs w:val="24"/>
              </w:rPr>
            </w:pPr>
          </w:p>
          <w:p w:rsidR="00080426" w:rsidRPr="00D06FF1" w:rsidP="00080426" w14:paraId="55374EFB" w14:textId="77777777">
            <w:pPr>
              <w:rPr>
                <w:rFonts w:ascii="Times New Roman" w:hAnsi="Times New Roman" w:cs="Times New Roman"/>
                <w:sz w:val="24"/>
                <w:szCs w:val="24"/>
              </w:rPr>
            </w:pPr>
          </w:p>
          <w:p w:rsidR="00080426" w:rsidRPr="00D06FF1" w:rsidP="00080426" w14:paraId="6A51225D" w14:textId="77777777">
            <w:pPr>
              <w:rPr>
                <w:rFonts w:ascii="Times New Roman" w:hAnsi="Times New Roman" w:cs="Times New Roman"/>
                <w:sz w:val="24"/>
                <w:szCs w:val="24"/>
              </w:rPr>
            </w:pPr>
          </w:p>
          <w:p w:rsidR="00080426" w:rsidRPr="00D06FF1" w:rsidP="00080426" w14:paraId="70D0458F" w14:textId="45A04857">
            <w:pPr>
              <w:ind w:firstLine="720"/>
              <w:rPr>
                <w:rFonts w:ascii="Times New Roman" w:hAnsi="Times New Roman" w:cs="Times New Roman"/>
                <w:sz w:val="24"/>
                <w:szCs w:val="24"/>
              </w:rPr>
            </w:pPr>
          </w:p>
        </w:tc>
        <w:tc>
          <w:tcPr>
            <w:tcW w:w="4500" w:type="dxa"/>
            <w:shd w:val="clear" w:color="auto" w:fill="auto"/>
          </w:tcPr>
          <w:p w:rsidR="00945FC4" w:rsidRPr="00862829" w:rsidP="00431E6E" w14:paraId="0109708B" w14:textId="77777777">
            <w:pPr>
              <w:autoSpaceDE w:val="0"/>
              <w:autoSpaceDN w:val="0"/>
              <w:adjustRightInd w:val="0"/>
              <w:spacing w:after="0"/>
              <w:ind w:left="159"/>
              <w:rPr>
                <w:rFonts w:ascii="Times New Roman" w:hAnsi="Times New Roman" w:cs="Times New Roman"/>
                <w:color w:val="0000FF"/>
                <w:sz w:val="24"/>
                <w:szCs w:val="24"/>
                <w:u w:val="single"/>
              </w:rPr>
            </w:pPr>
            <w:hyperlink r:id="rId14" w:history="1">
              <w:r w:rsidRPr="00862829">
                <w:rPr>
                  <w:rStyle w:val="Hyperlink"/>
                  <w:rFonts w:ascii="Times New Roman" w:hAnsi="Times New Roman" w:cs="Times New Roman"/>
                  <w:color w:val="0000FF"/>
                  <w:sz w:val="24"/>
                  <w:szCs w:val="24"/>
                </w:rPr>
                <w:t>regulatory@infiniteenergy.com</w:t>
              </w:r>
            </w:hyperlink>
          </w:p>
          <w:p w:rsidR="00945FC4" w:rsidRPr="00862829" w:rsidP="00431E6E" w14:paraId="622F460E" w14:textId="77777777">
            <w:pPr>
              <w:autoSpaceDE w:val="0"/>
              <w:autoSpaceDN w:val="0"/>
              <w:adjustRightInd w:val="0"/>
              <w:spacing w:after="0"/>
              <w:ind w:left="159"/>
              <w:rPr>
                <w:rFonts w:ascii="Times New Roman" w:hAnsi="Times New Roman" w:cs="Times New Roman"/>
                <w:color w:val="0000FF"/>
                <w:sz w:val="24"/>
                <w:szCs w:val="24"/>
                <w:u w:val="single"/>
              </w:rPr>
            </w:pPr>
            <w:hyperlink r:id="rId15" w:history="1">
              <w:r w:rsidRPr="00862829">
                <w:rPr>
                  <w:rStyle w:val="Hyperlink"/>
                  <w:rFonts w:ascii="Times New Roman" w:hAnsi="Times New Roman" w:cs="Times New Roman"/>
                  <w:color w:val="0000FF"/>
                  <w:sz w:val="24"/>
                  <w:szCs w:val="24"/>
                </w:rPr>
                <w:t>josephclark@nisource.com</w:t>
              </w:r>
            </w:hyperlink>
          </w:p>
          <w:p w:rsidR="00945FC4" w:rsidRPr="00D06FF1" w:rsidP="00431E6E" w14:paraId="4A9F84D1" w14:textId="2A5043A1">
            <w:pPr>
              <w:autoSpaceDE w:val="0"/>
              <w:autoSpaceDN w:val="0"/>
              <w:adjustRightInd w:val="0"/>
              <w:spacing w:after="0"/>
              <w:ind w:left="159"/>
              <w:rPr>
                <w:rFonts w:ascii="Times New Roman" w:hAnsi="Times New Roman" w:cs="Times New Roman"/>
                <w:color w:val="0000FF"/>
                <w:sz w:val="24"/>
                <w:szCs w:val="24"/>
                <w:u w:val="single"/>
              </w:rPr>
            </w:pPr>
            <w:hyperlink r:id="rId16" w:history="1">
              <w:r w:rsidRPr="00D06FF1" w:rsidR="00D06FF1">
                <w:rPr>
                  <w:rStyle w:val="Hyperlink"/>
                  <w:rFonts w:ascii="Times New Roman" w:hAnsi="Times New Roman" w:cs="Times New Roman"/>
                  <w:color w:val="0000FF"/>
                  <w:sz w:val="24"/>
                  <w:szCs w:val="24"/>
                </w:rPr>
                <w:t>talexander@beneschlaw.com</w:t>
              </w:r>
            </w:hyperlink>
          </w:p>
          <w:p w:rsidR="00945FC4" w:rsidRPr="00D06FF1" w:rsidP="00431E6E" w14:paraId="64B72349" w14:textId="6270B8FF">
            <w:pPr>
              <w:autoSpaceDE w:val="0"/>
              <w:autoSpaceDN w:val="0"/>
              <w:adjustRightInd w:val="0"/>
              <w:spacing w:after="0"/>
              <w:ind w:left="159"/>
              <w:rPr>
                <w:rFonts w:ascii="Times New Roman" w:hAnsi="Times New Roman" w:cs="Times New Roman"/>
                <w:color w:val="0000FF"/>
                <w:sz w:val="24"/>
                <w:szCs w:val="24"/>
                <w:u w:val="single"/>
              </w:rPr>
            </w:pPr>
            <w:hyperlink r:id="rId17" w:history="1">
              <w:r w:rsidRPr="00D06FF1" w:rsidR="00D06FF1">
                <w:rPr>
                  <w:rStyle w:val="Hyperlink"/>
                  <w:rFonts w:ascii="Times New Roman" w:hAnsi="Times New Roman" w:cs="Times New Roman"/>
                  <w:color w:val="0000FF"/>
                  <w:sz w:val="24"/>
                  <w:szCs w:val="24"/>
                </w:rPr>
                <w:t>slesser@beneschlaw.com</w:t>
              </w:r>
            </w:hyperlink>
          </w:p>
          <w:p w:rsidR="00945FC4" w:rsidRPr="00D06FF1" w:rsidP="00431E6E" w14:paraId="60D18DCC" w14:textId="7965CD26">
            <w:pPr>
              <w:autoSpaceDE w:val="0"/>
              <w:autoSpaceDN w:val="0"/>
              <w:adjustRightInd w:val="0"/>
              <w:spacing w:after="0"/>
              <w:ind w:left="159"/>
              <w:rPr>
                <w:rFonts w:ascii="Times New Roman" w:hAnsi="Times New Roman" w:cs="Times New Roman"/>
                <w:color w:val="0000FF"/>
                <w:sz w:val="24"/>
                <w:szCs w:val="24"/>
                <w:u w:val="single"/>
              </w:rPr>
            </w:pPr>
            <w:hyperlink r:id="rId18" w:history="1">
              <w:r w:rsidRPr="00D06FF1" w:rsidR="00D06FF1">
                <w:rPr>
                  <w:rStyle w:val="Hyperlink"/>
                  <w:rFonts w:ascii="Times New Roman" w:hAnsi="Times New Roman" w:cs="Times New Roman"/>
                  <w:color w:val="0000FF"/>
                  <w:sz w:val="24"/>
                  <w:szCs w:val="24"/>
                </w:rPr>
                <w:t>khehmeyer@beneschlaw.com</w:t>
              </w:r>
            </w:hyperlink>
          </w:p>
          <w:p w:rsidR="00945FC4" w:rsidRPr="00862829" w:rsidP="00431E6E" w14:paraId="6239A2A0" w14:textId="77777777">
            <w:pPr>
              <w:autoSpaceDE w:val="0"/>
              <w:autoSpaceDN w:val="0"/>
              <w:adjustRightInd w:val="0"/>
              <w:spacing w:after="0"/>
              <w:ind w:left="159"/>
              <w:rPr>
                <w:rFonts w:ascii="Times New Roman" w:hAnsi="Times New Roman" w:cs="Times New Roman"/>
                <w:color w:val="0000FF"/>
                <w:sz w:val="24"/>
                <w:szCs w:val="24"/>
                <w:u w:val="single"/>
              </w:rPr>
            </w:pPr>
            <w:hyperlink r:id="rId19" w:history="1">
              <w:r w:rsidRPr="00862829">
                <w:rPr>
                  <w:rStyle w:val="Hyperlink"/>
                  <w:rFonts w:ascii="Times New Roman" w:hAnsi="Times New Roman" w:cs="Times New Roman"/>
                  <w:color w:val="0000FF"/>
                  <w:sz w:val="24"/>
                  <w:szCs w:val="24"/>
                </w:rPr>
                <w:t>Rocco.dascenzo@duke-energy.com</w:t>
              </w:r>
            </w:hyperlink>
          </w:p>
          <w:p w:rsidR="00945FC4" w:rsidRPr="00862829" w:rsidP="00431E6E" w14:paraId="5820B3F5" w14:textId="77777777">
            <w:pPr>
              <w:autoSpaceDE w:val="0"/>
              <w:autoSpaceDN w:val="0"/>
              <w:adjustRightInd w:val="0"/>
              <w:spacing w:after="0"/>
              <w:ind w:left="159"/>
              <w:rPr>
                <w:rFonts w:ascii="Times New Roman" w:hAnsi="Times New Roman" w:cs="Times New Roman"/>
                <w:color w:val="0000FF"/>
                <w:sz w:val="24"/>
                <w:szCs w:val="24"/>
                <w:u w:val="single"/>
              </w:rPr>
            </w:pPr>
            <w:hyperlink r:id="rId20" w:history="1">
              <w:r w:rsidRPr="00862829">
                <w:rPr>
                  <w:rStyle w:val="Hyperlink"/>
                  <w:rFonts w:ascii="Times New Roman" w:hAnsi="Times New Roman" w:cs="Times New Roman"/>
                  <w:color w:val="0000FF"/>
                  <w:sz w:val="24"/>
                  <w:szCs w:val="24"/>
                </w:rPr>
                <w:t>Jeanne.Kingery@duke-energy.com</w:t>
              </w:r>
            </w:hyperlink>
          </w:p>
          <w:p w:rsidR="00945FC4" w:rsidRPr="00862829" w:rsidP="00431E6E" w14:paraId="79A4A40E" w14:textId="77777777">
            <w:pPr>
              <w:autoSpaceDE w:val="0"/>
              <w:autoSpaceDN w:val="0"/>
              <w:adjustRightInd w:val="0"/>
              <w:spacing w:after="0"/>
              <w:ind w:left="159"/>
              <w:rPr>
                <w:rFonts w:ascii="Times New Roman" w:hAnsi="Times New Roman" w:cs="Times New Roman"/>
                <w:color w:val="0000FF"/>
                <w:sz w:val="24"/>
                <w:szCs w:val="24"/>
                <w:u w:val="single"/>
              </w:rPr>
            </w:pPr>
            <w:hyperlink r:id="rId21" w:history="1">
              <w:r w:rsidRPr="00862829">
                <w:rPr>
                  <w:rStyle w:val="Hyperlink"/>
                  <w:rFonts w:ascii="Times New Roman" w:hAnsi="Times New Roman" w:cs="Times New Roman"/>
                  <w:color w:val="0000FF"/>
                  <w:sz w:val="24"/>
                  <w:szCs w:val="24"/>
                </w:rPr>
                <w:t>Larisa.vaysman@duke-energy.com</w:t>
              </w:r>
            </w:hyperlink>
          </w:p>
          <w:p w:rsidR="00945FC4" w:rsidRPr="00862829" w:rsidP="00431E6E" w14:paraId="3C369610" w14:textId="77777777">
            <w:pPr>
              <w:autoSpaceDE w:val="0"/>
              <w:autoSpaceDN w:val="0"/>
              <w:adjustRightInd w:val="0"/>
              <w:spacing w:after="0"/>
              <w:ind w:left="159"/>
              <w:rPr>
                <w:rFonts w:ascii="Times New Roman" w:hAnsi="Times New Roman" w:cs="Times New Roman"/>
                <w:color w:val="0000FF"/>
                <w:sz w:val="24"/>
                <w:szCs w:val="24"/>
                <w:u w:val="single"/>
              </w:rPr>
            </w:pPr>
            <w:hyperlink r:id="rId22" w:history="1">
              <w:r w:rsidRPr="00862829">
                <w:rPr>
                  <w:rStyle w:val="Hyperlink"/>
                  <w:rFonts w:ascii="Times New Roman" w:hAnsi="Times New Roman" w:cs="Times New Roman"/>
                  <w:color w:val="0000FF"/>
                  <w:sz w:val="24"/>
                  <w:szCs w:val="24"/>
                </w:rPr>
                <w:t>mpritchard@mcneeslaw.com</w:t>
              </w:r>
            </w:hyperlink>
          </w:p>
          <w:p w:rsidR="00945FC4" w:rsidRPr="00862829" w:rsidP="00431E6E" w14:paraId="1527A9B9" w14:textId="77777777">
            <w:pPr>
              <w:autoSpaceDE w:val="0"/>
              <w:autoSpaceDN w:val="0"/>
              <w:adjustRightInd w:val="0"/>
              <w:spacing w:after="0"/>
              <w:ind w:left="159"/>
              <w:rPr>
                <w:rFonts w:ascii="Times New Roman" w:hAnsi="Times New Roman" w:cs="Times New Roman"/>
                <w:color w:val="0000FF"/>
                <w:sz w:val="24"/>
                <w:szCs w:val="24"/>
                <w:u w:val="single"/>
              </w:rPr>
            </w:pPr>
            <w:hyperlink r:id="rId23" w:history="1">
              <w:r w:rsidRPr="00862829">
                <w:rPr>
                  <w:rStyle w:val="Hyperlink"/>
                  <w:rFonts w:ascii="Times New Roman" w:hAnsi="Times New Roman" w:cs="Times New Roman"/>
                  <w:color w:val="0000FF"/>
                  <w:sz w:val="24"/>
                  <w:szCs w:val="24"/>
                </w:rPr>
                <w:t>cendsley@ofbf.org</w:t>
              </w:r>
            </w:hyperlink>
          </w:p>
          <w:p w:rsidR="00945FC4" w:rsidRPr="00862829" w:rsidP="00431E6E" w14:paraId="2DA6E3BE" w14:textId="77777777">
            <w:pPr>
              <w:autoSpaceDE w:val="0"/>
              <w:autoSpaceDN w:val="0"/>
              <w:adjustRightInd w:val="0"/>
              <w:spacing w:after="0"/>
              <w:ind w:left="159"/>
              <w:rPr>
                <w:rFonts w:ascii="Times New Roman" w:hAnsi="Times New Roman" w:cs="Times New Roman"/>
                <w:color w:val="0000FF"/>
                <w:sz w:val="24"/>
                <w:szCs w:val="24"/>
                <w:u w:val="single"/>
              </w:rPr>
            </w:pPr>
            <w:hyperlink r:id="rId24" w:history="1">
              <w:r w:rsidRPr="00862829">
                <w:rPr>
                  <w:rStyle w:val="Hyperlink"/>
                  <w:rFonts w:ascii="Times New Roman" w:hAnsi="Times New Roman" w:cs="Times New Roman"/>
                  <w:color w:val="0000FF"/>
                  <w:sz w:val="24"/>
                  <w:szCs w:val="24"/>
                </w:rPr>
                <w:t>lcurtis@ofbf.org</w:t>
              </w:r>
            </w:hyperlink>
          </w:p>
          <w:p w:rsidR="00945FC4" w:rsidRPr="00862829" w:rsidP="00431E6E" w14:paraId="767BB913" w14:textId="77777777">
            <w:pPr>
              <w:autoSpaceDE w:val="0"/>
              <w:autoSpaceDN w:val="0"/>
              <w:adjustRightInd w:val="0"/>
              <w:spacing w:after="0"/>
              <w:ind w:left="159"/>
              <w:rPr>
                <w:rFonts w:ascii="Times New Roman" w:hAnsi="Times New Roman" w:cs="Times New Roman"/>
                <w:color w:val="0000FF"/>
                <w:sz w:val="24"/>
                <w:szCs w:val="24"/>
                <w:u w:val="single"/>
              </w:rPr>
            </w:pPr>
            <w:hyperlink r:id="rId25" w:history="1">
              <w:r w:rsidRPr="00862829">
                <w:rPr>
                  <w:rStyle w:val="Hyperlink"/>
                  <w:rFonts w:ascii="Times New Roman" w:hAnsi="Times New Roman" w:cs="Times New Roman"/>
                  <w:color w:val="0000FF"/>
                  <w:sz w:val="24"/>
                  <w:szCs w:val="24"/>
                </w:rPr>
                <w:t>amilam@ofbf.org</w:t>
              </w:r>
            </w:hyperlink>
          </w:p>
          <w:p w:rsidR="00945FC4" w:rsidRPr="00862829" w:rsidP="00431E6E" w14:paraId="037811EE" w14:textId="77777777">
            <w:pPr>
              <w:autoSpaceDE w:val="0"/>
              <w:autoSpaceDN w:val="0"/>
              <w:adjustRightInd w:val="0"/>
              <w:spacing w:after="0"/>
              <w:ind w:left="159"/>
              <w:rPr>
                <w:rFonts w:ascii="Times New Roman" w:hAnsi="Times New Roman" w:cs="Times New Roman"/>
                <w:color w:val="0000FF"/>
                <w:sz w:val="24"/>
                <w:szCs w:val="24"/>
                <w:u w:val="single"/>
              </w:rPr>
            </w:pPr>
            <w:hyperlink r:id="rId26" w:history="1">
              <w:r w:rsidRPr="00862829">
                <w:rPr>
                  <w:rStyle w:val="Hyperlink"/>
                  <w:rFonts w:ascii="Times New Roman" w:hAnsi="Times New Roman" w:cs="Times New Roman"/>
                  <w:color w:val="0000FF"/>
                  <w:sz w:val="24"/>
                  <w:szCs w:val="24"/>
                </w:rPr>
                <w:t>sdismukes@eckertseamans.com</w:t>
              </w:r>
            </w:hyperlink>
          </w:p>
          <w:p w:rsidR="00945FC4" w:rsidRPr="00862829" w:rsidP="00431E6E" w14:paraId="30548D09" w14:textId="77777777">
            <w:pPr>
              <w:autoSpaceDE w:val="0"/>
              <w:autoSpaceDN w:val="0"/>
              <w:adjustRightInd w:val="0"/>
              <w:spacing w:after="0"/>
              <w:ind w:left="159"/>
              <w:rPr>
                <w:rFonts w:ascii="Times New Roman" w:hAnsi="Times New Roman" w:cs="Times New Roman"/>
                <w:color w:val="0000FF"/>
                <w:sz w:val="24"/>
                <w:szCs w:val="24"/>
                <w:u w:val="single"/>
              </w:rPr>
            </w:pPr>
            <w:hyperlink r:id="rId27" w:history="1">
              <w:r w:rsidRPr="00862829">
                <w:rPr>
                  <w:rStyle w:val="Hyperlink"/>
                  <w:rFonts w:ascii="Times New Roman" w:hAnsi="Times New Roman" w:cs="Times New Roman"/>
                  <w:color w:val="0000FF"/>
                  <w:sz w:val="24"/>
                  <w:szCs w:val="24"/>
                </w:rPr>
                <w:t>dclearfield@eckertseamans.com</w:t>
              </w:r>
            </w:hyperlink>
          </w:p>
          <w:p w:rsidR="00945FC4" w:rsidRPr="00862829" w:rsidP="00431E6E" w14:paraId="36B3673D" w14:textId="77777777">
            <w:pPr>
              <w:autoSpaceDE w:val="0"/>
              <w:autoSpaceDN w:val="0"/>
              <w:adjustRightInd w:val="0"/>
              <w:spacing w:after="0"/>
              <w:ind w:left="159"/>
              <w:rPr>
                <w:rFonts w:ascii="Times New Roman" w:hAnsi="Times New Roman" w:cs="Times New Roman"/>
                <w:color w:val="0000FF"/>
                <w:sz w:val="24"/>
                <w:szCs w:val="24"/>
                <w:u w:val="single"/>
              </w:rPr>
            </w:pPr>
            <w:hyperlink r:id="rId28" w:history="1">
              <w:r w:rsidRPr="00862829">
                <w:rPr>
                  <w:rStyle w:val="Hyperlink"/>
                  <w:rFonts w:ascii="Times New Roman" w:hAnsi="Times New Roman" w:cs="Times New Roman"/>
                  <w:color w:val="0000FF"/>
                  <w:sz w:val="24"/>
                  <w:szCs w:val="24"/>
                </w:rPr>
                <w:t>SStoner@eckertseamans.com</w:t>
              </w:r>
            </w:hyperlink>
          </w:p>
          <w:p w:rsidR="00945FC4" w:rsidRPr="00862829" w:rsidP="00431E6E" w14:paraId="1B8C6841" w14:textId="77777777">
            <w:pPr>
              <w:autoSpaceDE w:val="0"/>
              <w:autoSpaceDN w:val="0"/>
              <w:adjustRightInd w:val="0"/>
              <w:spacing w:after="0"/>
              <w:ind w:left="159"/>
              <w:rPr>
                <w:rFonts w:ascii="Times New Roman" w:hAnsi="Times New Roman" w:cs="Times New Roman"/>
                <w:color w:val="0000FF"/>
                <w:sz w:val="24"/>
                <w:szCs w:val="24"/>
                <w:u w:val="single"/>
              </w:rPr>
            </w:pPr>
            <w:hyperlink r:id="rId29" w:history="1">
              <w:r w:rsidRPr="00862829">
                <w:rPr>
                  <w:rStyle w:val="Hyperlink"/>
                  <w:rFonts w:ascii="Times New Roman" w:hAnsi="Times New Roman" w:cs="Times New Roman"/>
                  <w:color w:val="0000FF"/>
                  <w:sz w:val="24"/>
                  <w:szCs w:val="24"/>
                </w:rPr>
                <w:t>gkrassen@bricker.com</w:t>
              </w:r>
            </w:hyperlink>
          </w:p>
          <w:p w:rsidR="00945FC4" w:rsidRPr="00862829" w:rsidP="00431E6E" w14:paraId="748837F6" w14:textId="77777777">
            <w:pPr>
              <w:autoSpaceDE w:val="0"/>
              <w:autoSpaceDN w:val="0"/>
              <w:adjustRightInd w:val="0"/>
              <w:spacing w:after="0"/>
              <w:ind w:left="159"/>
              <w:rPr>
                <w:rFonts w:ascii="Times New Roman" w:hAnsi="Times New Roman" w:cs="Times New Roman"/>
                <w:color w:val="0000FF"/>
                <w:sz w:val="24"/>
                <w:szCs w:val="24"/>
                <w:u w:val="single"/>
              </w:rPr>
            </w:pPr>
            <w:hyperlink r:id="rId30" w:history="1">
              <w:r w:rsidRPr="00862829">
                <w:rPr>
                  <w:rStyle w:val="Hyperlink"/>
                  <w:rFonts w:ascii="Times New Roman" w:hAnsi="Times New Roman" w:cs="Times New Roman"/>
                  <w:color w:val="0000FF"/>
                  <w:sz w:val="24"/>
                  <w:szCs w:val="24"/>
                </w:rPr>
                <w:t>dstinson@bricker.com</w:t>
              </w:r>
            </w:hyperlink>
          </w:p>
          <w:p w:rsidR="00945FC4" w:rsidRPr="00862829" w:rsidP="00431E6E" w14:paraId="28D7DAF8" w14:textId="77777777">
            <w:pPr>
              <w:autoSpaceDE w:val="0"/>
              <w:autoSpaceDN w:val="0"/>
              <w:adjustRightInd w:val="0"/>
              <w:spacing w:after="0"/>
              <w:ind w:left="159"/>
              <w:rPr>
                <w:rFonts w:ascii="Times New Roman" w:hAnsi="Times New Roman" w:cs="Times New Roman"/>
                <w:color w:val="0000FF"/>
                <w:sz w:val="24"/>
                <w:szCs w:val="24"/>
                <w:u w:val="single"/>
              </w:rPr>
            </w:pPr>
            <w:hyperlink r:id="rId31" w:history="1">
              <w:r w:rsidRPr="00862829">
                <w:rPr>
                  <w:rStyle w:val="Hyperlink"/>
                  <w:rFonts w:ascii="Times New Roman" w:hAnsi="Times New Roman" w:cs="Times New Roman"/>
                  <w:color w:val="0000FF"/>
                  <w:sz w:val="24"/>
                  <w:szCs w:val="24"/>
                </w:rPr>
                <w:t>dparram@bricker.com</w:t>
              </w:r>
            </w:hyperlink>
          </w:p>
          <w:p w:rsidR="00945FC4" w:rsidRPr="00862829" w:rsidP="00431E6E" w14:paraId="7BF826A5" w14:textId="77777777">
            <w:pPr>
              <w:autoSpaceDE w:val="0"/>
              <w:autoSpaceDN w:val="0"/>
              <w:adjustRightInd w:val="0"/>
              <w:spacing w:after="0"/>
              <w:ind w:left="159"/>
              <w:rPr>
                <w:rFonts w:ascii="Times New Roman" w:hAnsi="Times New Roman" w:cs="Times New Roman"/>
                <w:color w:val="0000FF"/>
                <w:sz w:val="24"/>
                <w:szCs w:val="24"/>
                <w:u w:val="single"/>
              </w:rPr>
            </w:pPr>
            <w:hyperlink r:id="rId32" w:history="1">
              <w:r w:rsidRPr="00862829">
                <w:rPr>
                  <w:rStyle w:val="Hyperlink"/>
                  <w:rFonts w:ascii="Times New Roman" w:hAnsi="Times New Roman" w:cs="Times New Roman"/>
                  <w:color w:val="0000FF"/>
                  <w:sz w:val="24"/>
                  <w:szCs w:val="24"/>
                </w:rPr>
                <w:t>Bethany.Allen@igs.com</w:t>
              </w:r>
            </w:hyperlink>
          </w:p>
          <w:p w:rsidR="00945FC4" w:rsidRPr="00862829" w:rsidP="00431E6E" w14:paraId="79EF7DE0" w14:textId="77777777">
            <w:pPr>
              <w:autoSpaceDE w:val="0"/>
              <w:autoSpaceDN w:val="0"/>
              <w:adjustRightInd w:val="0"/>
              <w:spacing w:after="0"/>
              <w:ind w:left="159"/>
              <w:rPr>
                <w:rFonts w:ascii="Times New Roman" w:hAnsi="Times New Roman" w:cs="Times New Roman"/>
                <w:color w:val="0000FF"/>
                <w:sz w:val="24"/>
                <w:szCs w:val="24"/>
                <w:u w:val="single"/>
              </w:rPr>
            </w:pPr>
            <w:hyperlink r:id="rId33" w:history="1">
              <w:r w:rsidRPr="00862829">
                <w:rPr>
                  <w:rStyle w:val="Hyperlink"/>
                  <w:rFonts w:ascii="Times New Roman" w:hAnsi="Times New Roman" w:cs="Times New Roman"/>
                  <w:color w:val="0000FF"/>
                  <w:sz w:val="24"/>
                  <w:szCs w:val="24"/>
                </w:rPr>
                <w:t>Michael.Nugent@igs.com</w:t>
              </w:r>
            </w:hyperlink>
          </w:p>
          <w:p w:rsidR="00945FC4" w:rsidRPr="00862829" w:rsidP="00431E6E" w14:paraId="73BCF6FA" w14:textId="77777777">
            <w:pPr>
              <w:autoSpaceDE w:val="0"/>
              <w:autoSpaceDN w:val="0"/>
              <w:adjustRightInd w:val="0"/>
              <w:spacing w:after="0"/>
              <w:ind w:left="159"/>
              <w:rPr>
                <w:rFonts w:ascii="Times New Roman" w:hAnsi="Times New Roman" w:cs="Times New Roman"/>
                <w:color w:val="0000FF"/>
                <w:sz w:val="24"/>
                <w:szCs w:val="24"/>
                <w:u w:val="single"/>
              </w:rPr>
            </w:pPr>
            <w:hyperlink r:id="rId34" w:history="1">
              <w:r w:rsidRPr="00862829">
                <w:rPr>
                  <w:rStyle w:val="Hyperlink"/>
                  <w:rFonts w:ascii="Times New Roman" w:hAnsi="Times New Roman" w:cs="Times New Roman"/>
                  <w:color w:val="0000FF"/>
                  <w:sz w:val="24"/>
                  <w:szCs w:val="24"/>
                </w:rPr>
                <w:t>Joe.Oliker@igs.com</w:t>
              </w:r>
            </w:hyperlink>
          </w:p>
          <w:p w:rsidR="00945FC4" w:rsidRPr="00862829" w:rsidP="00431E6E" w14:paraId="335BD7B9" w14:textId="2C98F9B5">
            <w:pPr>
              <w:autoSpaceDE w:val="0"/>
              <w:autoSpaceDN w:val="0"/>
              <w:adjustRightInd w:val="0"/>
              <w:spacing w:after="0"/>
              <w:ind w:left="159"/>
              <w:rPr>
                <w:rStyle w:val="Hyperlink"/>
                <w:rFonts w:ascii="Times New Roman" w:hAnsi="Times New Roman" w:cs="Times New Roman"/>
                <w:color w:val="0000FF"/>
                <w:sz w:val="24"/>
                <w:szCs w:val="24"/>
              </w:rPr>
            </w:pPr>
            <w:hyperlink r:id="rId35" w:history="1">
              <w:r w:rsidRPr="00862829">
                <w:rPr>
                  <w:rStyle w:val="Hyperlink"/>
                  <w:rFonts w:ascii="Times New Roman" w:hAnsi="Times New Roman" w:cs="Times New Roman"/>
                  <w:color w:val="0000FF"/>
                  <w:sz w:val="24"/>
                  <w:szCs w:val="24"/>
                </w:rPr>
                <w:t>kennedy@whitt-sturtevant.com</w:t>
              </w:r>
            </w:hyperlink>
          </w:p>
          <w:p w:rsidR="00D06FF1" w:rsidP="00431E6E" w14:paraId="5E9F9056" w14:textId="77777777">
            <w:pPr>
              <w:autoSpaceDE w:val="0"/>
              <w:autoSpaceDN w:val="0"/>
              <w:adjustRightInd w:val="0"/>
              <w:spacing w:after="0"/>
              <w:ind w:left="159"/>
              <w:rPr>
                <w:rFonts w:ascii="Times New Roman" w:hAnsi="Times New Roman" w:cs="Times New Roman"/>
                <w:sz w:val="24"/>
                <w:szCs w:val="24"/>
              </w:rPr>
            </w:pPr>
          </w:p>
          <w:p w:rsidR="00D06FF1" w:rsidP="00431E6E" w14:paraId="515CCA47" w14:textId="77777777">
            <w:pPr>
              <w:autoSpaceDE w:val="0"/>
              <w:autoSpaceDN w:val="0"/>
              <w:adjustRightInd w:val="0"/>
              <w:spacing w:after="0"/>
              <w:ind w:left="159"/>
              <w:rPr>
                <w:rFonts w:ascii="Times New Roman" w:hAnsi="Times New Roman" w:cs="Times New Roman"/>
                <w:sz w:val="24"/>
                <w:szCs w:val="24"/>
              </w:rPr>
            </w:pPr>
          </w:p>
          <w:p w:rsidR="00D06FF1" w:rsidP="00431E6E" w14:paraId="0A8E00A1" w14:textId="77777777">
            <w:pPr>
              <w:autoSpaceDE w:val="0"/>
              <w:autoSpaceDN w:val="0"/>
              <w:adjustRightInd w:val="0"/>
              <w:spacing w:after="0"/>
              <w:ind w:left="159"/>
              <w:rPr>
                <w:rFonts w:ascii="Times New Roman" w:hAnsi="Times New Roman" w:cs="Times New Roman"/>
                <w:sz w:val="24"/>
                <w:szCs w:val="24"/>
              </w:rPr>
            </w:pPr>
          </w:p>
          <w:p w:rsidR="00D06FF1" w:rsidP="00431E6E" w14:paraId="0C5D13AF" w14:textId="77777777">
            <w:pPr>
              <w:autoSpaceDE w:val="0"/>
              <w:autoSpaceDN w:val="0"/>
              <w:adjustRightInd w:val="0"/>
              <w:spacing w:after="0"/>
              <w:ind w:left="159"/>
              <w:rPr>
                <w:rFonts w:ascii="Times New Roman" w:hAnsi="Times New Roman" w:cs="Times New Roman"/>
                <w:sz w:val="24"/>
                <w:szCs w:val="24"/>
              </w:rPr>
            </w:pPr>
          </w:p>
          <w:p w:rsidR="00945FC4" w:rsidRPr="00862829" w:rsidP="00431E6E" w14:paraId="656F9445" w14:textId="0ACD53BF">
            <w:pPr>
              <w:autoSpaceDE w:val="0"/>
              <w:autoSpaceDN w:val="0"/>
              <w:adjustRightInd w:val="0"/>
              <w:spacing w:after="0"/>
              <w:ind w:left="159"/>
              <w:rPr>
                <w:rFonts w:ascii="Times New Roman" w:hAnsi="Times New Roman" w:cs="Times New Roman"/>
                <w:color w:val="0000FF"/>
                <w:sz w:val="24"/>
                <w:szCs w:val="24"/>
                <w:u w:val="single"/>
              </w:rPr>
            </w:pPr>
            <w:hyperlink r:id="rId36" w:history="1">
              <w:r w:rsidRPr="007C65A0" w:rsidR="00D06FF1">
                <w:rPr>
                  <w:rStyle w:val="Hyperlink"/>
                  <w:rFonts w:ascii="Times New Roman" w:hAnsi="Times New Roman" w:cs="Times New Roman"/>
                  <w:sz w:val="24"/>
                  <w:szCs w:val="24"/>
                </w:rPr>
                <w:t>fykes@whitt-sturtevant.com</w:t>
              </w:r>
            </w:hyperlink>
          </w:p>
          <w:p w:rsidR="00945FC4" w:rsidRPr="00862829" w:rsidP="00431E6E" w14:paraId="04980086" w14:textId="77777777">
            <w:pPr>
              <w:autoSpaceDE w:val="0"/>
              <w:autoSpaceDN w:val="0"/>
              <w:adjustRightInd w:val="0"/>
              <w:spacing w:after="0"/>
              <w:ind w:left="159"/>
              <w:rPr>
                <w:rFonts w:ascii="Times New Roman" w:hAnsi="Times New Roman" w:cs="Times New Roman"/>
                <w:color w:val="0000FF"/>
                <w:sz w:val="24"/>
                <w:szCs w:val="24"/>
                <w:u w:val="single"/>
              </w:rPr>
            </w:pPr>
            <w:hyperlink r:id="rId37" w:history="1">
              <w:r w:rsidRPr="00862829">
                <w:rPr>
                  <w:rStyle w:val="Hyperlink"/>
                  <w:rFonts w:ascii="Times New Roman" w:hAnsi="Times New Roman" w:cs="Times New Roman"/>
                  <w:color w:val="0000FF"/>
                  <w:sz w:val="24"/>
                  <w:szCs w:val="24"/>
                </w:rPr>
                <w:t>Andrew.j.campbell@dominionenergy.commjsettineri@vorys.com</w:t>
              </w:r>
            </w:hyperlink>
          </w:p>
          <w:p w:rsidR="00945FC4" w:rsidRPr="00D06FF1" w:rsidP="00431E6E" w14:paraId="5658C5E8" w14:textId="77777777">
            <w:pPr>
              <w:autoSpaceDE w:val="0"/>
              <w:autoSpaceDN w:val="0"/>
              <w:adjustRightInd w:val="0"/>
              <w:spacing w:after="0"/>
              <w:ind w:left="159"/>
              <w:rPr>
                <w:rFonts w:ascii="Times New Roman" w:hAnsi="Times New Roman" w:cs="Times New Roman"/>
                <w:color w:val="0000FF"/>
                <w:sz w:val="24"/>
                <w:szCs w:val="24"/>
              </w:rPr>
            </w:pPr>
            <w:r w:rsidRPr="00937028">
              <w:rPr>
                <w:rFonts w:ascii="Times New Roman" w:hAnsi="Times New Roman" w:cs="Times New Roman"/>
                <w:color w:val="0000FF"/>
                <w:sz w:val="24"/>
                <w:szCs w:val="24"/>
                <w:u w:val="single"/>
              </w:rPr>
              <w:t>glpetrucci@vorys.com</w:t>
            </w:r>
          </w:p>
        </w:tc>
      </w:tr>
    </w:tbl>
    <w:p w:rsidR="0008270A" w:rsidRPr="00862829" w:rsidP="00D06FF1" w14:paraId="30D1D10F" w14:textId="5EE6D38F">
      <w:pPr>
        <w:rPr>
          <w:rFonts w:ascii="Times New Roman" w:hAnsi="Times New Roman" w:cs="Times New Roman"/>
          <w:sz w:val="24"/>
          <w:szCs w:val="24"/>
        </w:rPr>
      </w:pPr>
    </w:p>
    <w:sectPr w:rsidSect="006528FC">
      <w:headerReference w:type="default" r:id="rId38"/>
      <w:footerReference w:type="default" r:id="rId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6FF1" w:rsidRPr="00CF7A6F" w14:paraId="03CCBDE1" w14:textId="7C5B2CC3">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5990224"/>
      <w:docPartObj>
        <w:docPartGallery w:val="Page Numbers (Bottom of Page)"/>
        <w:docPartUnique/>
      </w:docPartObj>
    </w:sdtPr>
    <w:sdtEndPr>
      <w:rPr>
        <w:rFonts w:ascii="Times New Roman" w:hAnsi="Times New Roman" w:cs="Times New Roman"/>
        <w:noProof/>
        <w:sz w:val="24"/>
        <w:szCs w:val="24"/>
      </w:rPr>
    </w:sdtEndPr>
    <w:sdtContent>
      <w:p w:rsidR="00D06FF1" w:rsidRPr="00CF7A6F" w14:paraId="2047692D" w14:textId="7FA9B13C">
        <w:pPr>
          <w:pStyle w:val="Footer"/>
          <w:jc w:val="center"/>
          <w:rPr>
            <w:rFonts w:ascii="Times New Roman" w:hAnsi="Times New Roman" w:cs="Times New Roman"/>
            <w:sz w:val="24"/>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1813282"/>
      <w:docPartObj>
        <w:docPartGallery w:val="Page Numbers (Bottom of Page)"/>
        <w:docPartUnique/>
      </w:docPartObj>
    </w:sdtPr>
    <w:sdtEndPr>
      <w:rPr>
        <w:rFonts w:ascii="Times New Roman" w:hAnsi="Times New Roman" w:cs="Times New Roman"/>
        <w:noProof/>
        <w:sz w:val="24"/>
        <w:szCs w:val="24"/>
      </w:rPr>
    </w:sdtEndPr>
    <w:sdtContent>
      <w:p w:rsidR="00D06FF1" w:rsidRPr="00D06FF1" w14:paraId="5CCBF5B4" w14:textId="1D8785BC">
        <w:pPr>
          <w:pStyle w:val="Footer"/>
          <w:jc w:val="center"/>
          <w:rPr>
            <w:rFonts w:ascii="Times New Roman" w:hAnsi="Times New Roman" w:cs="Times New Roman"/>
            <w:sz w:val="24"/>
            <w:szCs w:val="24"/>
          </w:rPr>
        </w:pPr>
        <w:r w:rsidRPr="00D06FF1">
          <w:rPr>
            <w:rFonts w:ascii="Times New Roman" w:hAnsi="Times New Roman" w:cs="Times New Roman"/>
            <w:sz w:val="24"/>
            <w:szCs w:val="24"/>
          </w:rPr>
          <w:fldChar w:fldCharType="begin"/>
        </w:r>
        <w:r w:rsidRPr="00D06FF1">
          <w:rPr>
            <w:rFonts w:ascii="Times New Roman" w:hAnsi="Times New Roman" w:cs="Times New Roman"/>
            <w:sz w:val="24"/>
            <w:szCs w:val="24"/>
          </w:rPr>
          <w:instrText xml:space="preserve"> PAGE   \* MERGEFORMAT </w:instrText>
        </w:r>
        <w:r w:rsidRPr="00D06FF1">
          <w:rPr>
            <w:rFonts w:ascii="Times New Roman" w:hAnsi="Times New Roman" w:cs="Times New Roman"/>
            <w:sz w:val="24"/>
            <w:szCs w:val="24"/>
          </w:rPr>
          <w:fldChar w:fldCharType="separate"/>
        </w:r>
        <w:r w:rsidRPr="00D06FF1">
          <w:rPr>
            <w:rFonts w:ascii="Times New Roman" w:hAnsi="Times New Roman" w:cs="Times New Roman"/>
            <w:noProof/>
            <w:sz w:val="24"/>
            <w:szCs w:val="24"/>
          </w:rPr>
          <w:t>2</w:t>
        </w:r>
        <w:r w:rsidRPr="00D06FF1">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30960067"/>
      <w:docPartObj>
        <w:docPartGallery w:val="Page Numbers (Bottom of Page)"/>
        <w:docPartUnique/>
      </w:docPartObj>
    </w:sdtPr>
    <w:sdtEndPr>
      <w:rPr>
        <w:rFonts w:ascii="Times New Roman" w:hAnsi="Times New Roman" w:cs="Times New Roman"/>
        <w:noProof/>
        <w:sz w:val="24"/>
        <w:szCs w:val="24"/>
      </w:rPr>
    </w:sdtEndPr>
    <w:sdtContent>
      <w:p w:rsidR="00D06FF1" w:rsidRPr="00C43233" w14:paraId="31618361" w14:textId="77777777">
        <w:pPr>
          <w:pStyle w:val="Footer"/>
          <w:jc w:val="center"/>
          <w:rPr>
            <w:rFonts w:ascii="Times New Roman" w:hAnsi="Times New Roman" w:cs="Times New Roman"/>
            <w:sz w:val="24"/>
            <w:szCs w:val="24"/>
          </w:rPr>
        </w:pPr>
        <w:r w:rsidRPr="00C43233">
          <w:rPr>
            <w:rFonts w:ascii="Times New Roman" w:hAnsi="Times New Roman" w:cs="Times New Roman"/>
            <w:sz w:val="24"/>
            <w:szCs w:val="24"/>
          </w:rPr>
          <w:fldChar w:fldCharType="begin"/>
        </w:r>
        <w:r w:rsidRPr="00C43233">
          <w:rPr>
            <w:rFonts w:ascii="Times New Roman" w:hAnsi="Times New Roman" w:cs="Times New Roman"/>
            <w:sz w:val="24"/>
            <w:szCs w:val="24"/>
          </w:rPr>
          <w:instrText xml:space="preserve"> PAGE   \* MERGEFORMAT </w:instrText>
        </w:r>
        <w:r w:rsidRPr="00C43233">
          <w:rPr>
            <w:rFonts w:ascii="Times New Roman" w:hAnsi="Times New Roman" w:cs="Times New Roman"/>
            <w:sz w:val="24"/>
            <w:szCs w:val="24"/>
          </w:rPr>
          <w:fldChar w:fldCharType="separate"/>
        </w:r>
        <w:r>
          <w:rPr>
            <w:rFonts w:ascii="Times New Roman" w:hAnsi="Times New Roman" w:cs="Times New Roman"/>
            <w:noProof/>
            <w:sz w:val="24"/>
            <w:szCs w:val="24"/>
          </w:rPr>
          <w:t>14</w:t>
        </w:r>
        <w:r w:rsidRPr="00C43233">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3192650"/>
      <w:docPartObj>
        <w:docPartGallery w:val="Page Numbers (Bottom of Page)"/>
        <w:docPartUnique/>
      </w:docPartObj>
    </w:sdtPr>
    <w:sdtEndPr>
      <w:rPr>
        <w:rFonts w:ascii="Times New Roman" w:hAnsi="Times New Roman" w:cs="Times New Roman"/>
        <w:noProof/>
        <w:sz w:val="24"/>
        <w:szCs w:val="24"/>
      </w:rPr>
    </w:sdtEndPr>
    <w:sdtContent>
      <w:p w:rsidR="00D06FF1" w:rsidRPr="00F37F6B" w14:paraId="7A689D64" w14:textId="14C05B2D">
        <w:pPr>
          <w:pStyle w:val="Footer"/>
          <w:jc w:val="center"/>
          <w:rPr>
            <w:rFonts w:ascii="Times New Roman" w:hAnsi="Times New Roman" w:cs="Times New Roman"/>
            <w:sz w:val="24"/>
            <w:szCs w:val="24"/>
          </w:rPr>
        </w:pPr>
        <w:r w:rsidRPr="00F37F6B">
          <w:rPr>
            <w:rFonts w:ascii="Times New Roman" w:hAnsi="Times New Roman" w:cs="Times New Roman"/>
            <w:sz w:val="24"/>
            <w:szCs w:val="24"/>
          </w:rPr>
          <w:fldChar w:fldCharType="begin"/>
        </w:r>
        <w:r w:rsidRPr="00F37F6B">
          <w:rPr>
            <w:rFonts w:ascii="Times New Roman" w:hAnsi="Times New Roman" w:cs="Times New Roman"/>
            <w:sz w:val="24"/>
            <w:szCs w:val="24"/>
          </w:rPr>
          <w:instrText xml:space="preserve"> PAGE   \* MERGEFORMAT </w:instrText>
        </w:r>
        <w:r w:rsidRPr="00F37F6B">
          <w:rPr>
            <w:rFonts w:ascii="Times New Roman" w:hAnsi="Times New Roman" w:cs="Times New Roman"/>
            <w:sz w:val="24"/>
            <w:szCs w:val="24"/>
          </w:rPr>
          <w:fldChar w:fldCharType="separate"/>
        </w:r>
        <w:r>
          <w:rPr>
            <w:rFonts w:ascii="Times New Roman" w:hAnsi="Times New Roman" w:cs="Times New Roman"/>
            <w:noProof/>
            <w:sz w:val="24"/>
            <w:szCs w:val="24"/>
          </w:rPr>
          <w:t>16</w:t>
        </w:r>
        <w:r w:rsidRPr="00F37F6B">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6FF1" w:rsidP="00152A74" w14:paraId="62B168F8" w14:textId="77777777">
      <w:pPr>
        <w:spacing w:after="0" w:line="240" w:lineRule="auto"/>
      </w:pPr>
      <w:r>
        <w:separator/>
      </w:r>
    </w:p>
  </w:footnote>
  <w:footnote w:type="continuationSeparator" w:id="1">
    <w:p w:rsidR="00D06FF1" w:rsidP="00152A74" w14:paraId="7861BBAC" w14:textId="77777777">
      <w:pPr>
        <w:spacing w:after="0" w:line="240" w:lineRule="auto"/>
      </w:pPr>
      <w:r>
        <w:continuationSeparator/>
      </w:r>
    </w:p>
  </w:footnote>
  <w:footnote w:type="continuationNotice" w:id="2">
    <w:p w:rsidR="00D06FF1" w14:paraId="2EE02FF2" w14:textId="77777777">
      <w:pPr>
        <w:spacing w:after="0" w:line="240" w:lineRule="auto"/>
      </w:pPr>
    </w:p>
  </w:footnote>
  <w:footnote w:id="3">
    <w:p w:rsidR="00D06FF1" w:rsidRPr="000A7E40" w:rsidP="000A7E40" w14:paraId="43B4CD20" w14:textId="2392F811">
      <w:pPr>
        <w:pStyle w:val="FootnoteText"/>
        <w:spacing w:after="120"/>
        <w:rPr>
          <w:rFonts w:cs="Times New Roman"/>
        </w:rPr>
      </w:pPr>
      <w:r w:rsidRPr="000A7E40">
        <w:rPr>
          <w:rStyle w:val="FootnoteReference"/>
          <w:rFonts w:cs="Times New Roman"/>
        </w:rPr>
        <w:footnoteRef/>
      </w:r>
      <w:r w:rsidRPr="000A7E40">
        <w:rPr>
          <w:rFonts w:cs="Times New Roman"/>
        </w:rPr>
        <w:t xml:space="preserve"> </w:t>
      </w:r>
      <w:r w:rsidRPr="000A7E40">
        <w:rPr>
          <w:rFonts w:cs="Times New Roman"/>
          <w:i/>
          <w:iCs/>
        </w:rPr>
        <w:t>See</w:t>
      </w:r>
      <w:r w:rsidRPr="000A7E40">
        <w:rPr>
          <w:rFonts w:cs="Times New Roman"/>
        </w:rPr>
        <w:t xml:space="preserve"> OCC Comments (January 17, 2021); Reply Comments (January 31, 2021).</w:t>
      </w:r>
    </w:p>
  </w:footnote>
  <w:footnote w:id="4">
    <w:p w:rsidR="00D06FF1" w:rsidRPr="000A7E40" w:rsidP="000A7E40" w14:paraId="248BF4D5" w14:textId="395407F7">
      <w:pPr>
        <w:pStyle w:val="FootnoteText"/>
        <w:spacing w:after="120"/>
        <w:rPr>
          <w:rFonts w:cs="Times New Roman"/>
        </w:rPr>
      </w:pPr>
      <w:r w:rsidRPr="000A7E40">
        <w:rPr>
          <w:rStyle w:val="FootnoteReference"/>
          <w:rFonts w:cs="Times New Roman"/>
        </w:rPr>
        <w:footnoteRef/>
      </w:r>
      <w:r w:rsidRPr="000A7E40">
        <w:rPr>
          <w:rFonts w:cs="Times New Roman"/>
        </w:rPr>
        <w:t xml:space="preserve"> R.C. 4929.02(A)(1).</w:t>
      </w:r>
    </w:p>
  </w:footnote>
  <w:footnote w:id="5">
    <w:p w:rsidR="00D06FF1" w:rsidRPr="000A7E40" w:rsidP="000A7E40" w14:paraId="1D705E4F" w14:textId="2804E48C">
      <w:pPr>
        <w:spacing w:after="120" w:line="240" w:lineRule="auto"/>
        <w:rPr>
          <w:rFonts w:ascii="Times New Roman" w:hAnsi="Times New Roman" w:cs="Times New Roman"/>
          <w:sz w:val="20"/>
          <w:szCs w:val="20"/>
        </w:rPr>
      </w:pPr>
      <w:r w:rsidRPr="000A7E40">
        <w:rPr>
          <w:rStyle w:val="FootnoteReference"/>
          <w:rFonts w:ascii="Times New Roman" w:hAnsi="Times New Roman" w:cs="Times New Roman"/>
          <w:sz w:val="20"/>
          <w:szCs w:val="20"/>
        </w:rPr>
        <w:footnoteRef/>
      </w:r>
      <w:r w:rsidRPr="000A7E40">
        <w:rPr>
          <w:rFonts w:ascii="Times New Roman" w:hAnsi="Times New Roman" w:cs="Times New Roman"/>
          <w:sz w:val="20"/>
          <w:szCs w:val="20"/>
        </w:rPr>
        <w:t xml:space="preserve"> </w:t>
      </w:r>
      <w:hyperlink r:id="rId1" w:history="1">
        <w:r w:rsidRPr="000A7E40">
          <w:rPr>
            <w:rStyle w:val="Hyperlink"/>
            <w:rFonts w:ascii="Times New Roman" w:hAnsi="Times New Roman" w:cs="Times New Roman"/>
            <w:color w:val="0000FF"/>
            <w:sz w:val="20"/>
            <w:szCs w:val="20"/>
          </w:rPr>
          <w:t>https://www.nytimes.com/2020/04/15/opinion/coronavirus-stimulus-check-payment.html</w:t>
        </w:r>
      </w:hyperlink>
      <w:r w:rsidRPr="000A7E40">
        <w:rPr>
          <w:rStyle w:val="Hyperlink"/>
          <w:rFonts w:ascii="Times New Roman" w:hAnsi="Times New Roman" w:cs="Times New Roman"/>
          <w:color w:val="0000FF"/>
          <w:sz w:val="20"/>
          <w:szCs w:val="20"/>
        </w:rPr>
        <w:t xml:space="preserve">; </w:t>
      </w:r>
      <w:hyperlink r:id="rId2" w:history="1">
        <w:r w:rsidRPr="000A7E40">
          <w:rPr>
            <w:rStyle w:val="Hyperlink"/>
            <w:rFonts w:ascii="Times New Roman" w:hAnsi="Times New Roman" w:cs="Times New Roman"/>
            <w:color w:val="0000FF"/>
            <w:sz w:val="20"/>
            <w:szCs w:val="20"/>
          </w:rPr>
          <w:t>https://www.dispatch.com/story/news/2020/09/25/hunger-among-ohio-families-increasing-covid-19-pandemic-persists/3519850001/</w:t>
        </w:r>
      </w:hyperlink>
      <w:r w:rsidRPr="000A7E40">
        <w:rPr>
          <w:rStyle w:val="Hyperlink"/>
          <w:rFonts w:ascii="Times New Roman" w:hAnsi="Times New Roman" w:cs="Times New Roman"/>
          <w:color w:val="0000FF"/>
          <w:sz w:val="20"/>
          <w:szCs w:val="20"/>
        </w:rPr>
        <w:t>.</w:t>
      </w:r>
    </w:p>
  </w:footnote>
  <w:footnote w:id="6">
    <w:p w:rsidR="00D06FF1" w:rsidRPr="000A7E40" w:rsidP="000A7E40" w14:paraId="676CA1D8" w14:textId="77777777">
      <w:pPr>
        <w:pStyle w:val="FootnoteText"/>
        <w:spacing w:after="120"/>
        <w:rPr>
          <w:rFonts w:cs="Times New Roman"/>
        </w:rPr>
      </w:pPr>
      <w:r w:rsidRPr="000A7E40">
        <w:rPr>
          <w:rStyle w:val="FootnoteReference"/>
          <w:rFonts w:cs="Times New Roman"/>
        </w:rPr>
        <w:footnoteRef/>
      </w:r>
      <w:r w:rsidRPr="000A7E40">
        <w:rPr>
          <w:rFonts w:cs="Times New Roman"/>
        </w:rPr>
        <w:t xml:space="preserve"> </w:t>
      </w:r>
      <w:r w:rsidRPr="000A7E40">
        <w:rPr>
          <w:rFonts w:cs="Times New Roman"/>
          <w:i/>
          <w:iCs/>
        </w:rPr>
        <w:t>See</w:t>
      </w:r>
      <w:r w:rsidRPr="000A7E40">
        <w:rPr>
          <w:rFonts w:cs="Times New Roman"/>
        </w:rPr>
        <w:t xml:space="preserve"> OCC Comments (January 17, 2021); Reply Comments (January 31, 2021).</w:t>
      </w:r>
    </w:p>
  </w:footnote>
  <w:footnote w:id="7">
    <w:p w:rsidR="00D06FF1" w:rsidRPr="000A7E40" w:rsidP="000A7E40" w14:paraId="1127DEE5" w14:textId="77777777">
      <w:pPr>
        <w:pStyle w:val="FootnoteText"/>
        <w:spacing w:after="120"/>
      </w:pPr>
      <w:r w:rsidRPr="000A7E40">
        <w:rPr>
          <w:rStyle w:val="FootnoteReference"/>
        </w:rPr>
        <w:footnoteRef/>
      </w:r>
      <w:r w:rsidRPr="000A7E40">
        <w:t xml:space="preserve"> Order at 27.</w:t>
      </w:r>
    </w:p>
  </w:footnote>
  <w:footnote w:id="8">
    <w:p w:rsidR="00D06FF1" w:rsidRPr="000A7E40" w:rsidP="000A7E40" w14:paraId="3317FD1F" w14:textId="42D01B4F">
      <w:pPr>
        <w:pStyle w:val="FootnoteText"/>
        <w:spacing w:after="120"/>
      </w:pPr>
      <w:r w:rsidRPr="000A7E40">
        <w:rPr>
          <w:rStyle w:val="FootnoteReference"/>
        </w:rPr>
        <w:footnoteRef/>
      </w:r>
      <w:r w:rsidRPr="000A7E40">
        <w:t xml:space="preserve"> </w:t>
      </w:r>
      <w:r w:rsidRPr="000A7E40">
        <w:rPr>
          <w:rFonts w:cs="Times New Roman"/>
          <w:i/>
          <w:iCs/>
        </w:rPr>
        <w:t xml:space="preserve">See </w:t>
      </w:r>
      <w:r w:rsidRPr="000A7E40">
        <w:rPr>
          <w:rFonts w:cs="Times New Roman"/>
          <w:i/>
          <w:iCs/>
          <w:bdr w:val="none" w:sz="0" w:space="0" w:color="auto" w:frame="1"/>
          <w:shd w:val="clear" w:color="auto" w:fill="FFFFFF"/>
        </w:rPr>
        <w:t>Tongren v. PUC</w:t>
      </w:r>
      <w:r w:rsidRPr="000A7E40">
        <w:rPr>
          <w:rFonts w:cs="Times New Roman"/>
          <w:bdr w:val="none" w:sz="0" w:space="0" w:color="auto" w:frame="1"/>
          <w:shd w:val="clear" w:color="auto" w:fill="FFFFFF"/>
        </w:rPr>
        <w:t>, 85 Ohio St.3d 87, 1999-Ohio-206, 706 N.E.2d 1255.</w:t>
      </w:r>
    </w:p>
  </w:footnote>
  <w:footnote w:id="9">
    <w:p w:rsidR="00D06FF1" w:rsidRPr="000A7E40" w:rsidP="000A7E40" w14:paraId="152DA4E2" w14:textId="77777777">
      <w:pPr>
        <w:pStyle w:val="FootnoteText"/>
        <w:spacing w:after="120"/>
      </w:pPr>
      <w:r w:rsidRPr="000A7E40">
        <w:rPr>
          <w:rStyle w:val="FootnoteReference"/>
        </w:rPr>
        <w:footnoteRef/>
      </w:r>
      <w:r w:rsidRPr="000A7E40">
        <w:t xml:space="preserve"> </w:t>
      </w:r>
      <w:r w:rsidRPr="000A7E40">
        <w:rPr>
          <w:i/>
          <w:iCs/>
        </w:rPr>
        <w:t>See</w:t>
      </w:r>
      <w:r w:rsidRPr="000A7E40">
        <w:t xml:space="preserve"> OCC’s Comments at 3-4 and Reply Comments at 2-5. </w:t>
      </w:r>
    </w:p>
  </w:footnote>
  <w:footnote w:id="10">
    <w:p w:rsidR="00D06FF1" w:rsidRPr="000A7E40" w:rsidP="000A7E40" w14:paraId="40BE1D95" w14:textId="7E05CF14">
      <w:pPr>
        <w:pStyle w:val="FootnoteText"/>
        <w:spacing w:after="120"/>
      </w:pPr>
      <w:r w:rsidRPr="000A7E40">
        <w:rPr>
          <w:rStyle w:val="FootnoteReference"/>
        </w:rPr>
        <w:footnoteRef/>
      </w:r>
      <w:r w:rsidRPr="000A7E40">
        <w:t xml:space="preserve"> Scott Patterson &amp; Tom McGinty, </w:t>
      </w:r>
      <w:r w:rsidRPr="000A7E40">
        <w:rPr>
          <w:i/>
          <w:iCs/>
        </w:rPr>
        <w:t>Deregulation Aimed to Lower Home-Power Bills. For Many, it Didn’t</w:t>
      </w:r>
      <w:r w:rsidRPr="000A7E40">
        <w:t xml:space="preserve">, The Wall Street Journal, (March 8, 2021, 12:24 PM), </w:t>
      </w:r>
      <w:hyperlink r:id="rId3" w:history="1">
        <w:r w:rsidRPr="000A7E40">
          <w:rPr>
            <w:rStyle w:val="Hyperlink"/>
          </w:rPr>
          <w:t>https://www.wsj.com/articles/electricity-deregulation-utility-retail-energy-bills-11615213623</w:t>
        </w:r>
      </w:hyperlink>
      <w:r w:rsidRPr="000A7E40">
        <w:t xml:space="preserve"> (</w:t>
      </w:r>
      <w:r w:rsidRPr="000A7E40">
        <w:rPr>
          <w:rFonts w:cs="Times New Roman"/>
          <w:color w:val="333333"/>
        </w:rPr>
        <w:t>U.S. consumers who signed up with retail energy companies that emerged from deregulation paid $19.2 billion more than they would have if they’d stuck with incumbent utilities from 2010 through 2019, a Wall Street Journal analysis of U.S. Energy Information Administration data found)</w:t>
      </w:r>
      <w:r w:rsidRPr="000A7E40">
        <w:rPr>
          <w:rFonts w:cs="Times New Roman"/>
        </w:rPr>
        <w:t>.</w:t>
      </w:r>
    </w:p>
  </w:footnote>
  <w:footnote w:id="11">
    <w:p w:rsidR="00D06FF1" w:rsidRPr="000A7E40" w:rsidP="000A7E40" w14:paraId="131B2C06" w14:textId="77777777">
      <w:pPr>
        <w:pStyle w:val="FootnoteText"/>
        <w:spacing w:after="120"/>
        <w:rPr>
          <w:rFonts w:cs="Times New Roman"/>
        </w:rPr>
      </w:pPr>
      <w:r w:rsidRPr="000A7E40">
        <w:rPr>
          <w:rStyle w:val="FootnoteReference"/>
          <w:rFonts w:cs="Times New Roman"/>
        </w:rPr>
        <w:footnoteRef/>
      </w:r>
      <w:r w:rsidRPr="000A7E40">
        <w:rPr>
          <w:rFonts w:cs="Times New Roman"/>
        </w:rPr>
        <w:t xml:space="preserve"> Order at 27-28.</w:t>
      </w:r>
    </w:p>
  </w:footnote>
  <w:footnote w:id="12">
    <w:p w:rsidR="00D06FF1" w:rsidRPr="000A7E40" w:rsidP="000A7E40" w14:paraId="75D43305" w14:textId="3CA3E21D">
      <w:pPr>
        <w:pStyle w:val="FootnoteText"/>
        <w:spacing w:after="120"/>
      </w:pPr>
      <w:r w:rsidRPr="000A7E40">
        <w:rPr>
          <w:rStyle w:val="FootnoteReference"/>
        </w:rPr>
        <w:footnoteRef/>
      </w:r>
      <w:r w:rsidRPr="000A7E40">
        <w:t xml:space="preserve"> </w:t>
      </w:r>
      <w:r w:rsidRPr="000A7E40">
        <w:rPr>
          <w:rFonts w:cs="Times New Roman"/>
          <w:i/>
          <w:iCs/>
        </w:rPr>
        <w:t xml:space="preserve">See </w:t>
      </w:r>
      <w:r w:rsidRPr="000A7E40">
        <w:rPr>
          <w:rFonts w:cs="Times New Roman"/>
          <w:i/>
          <w:iCs/>
          <w:bdr w:val="none" w:sz="0" w:space="0" w:color="auto" w:frame="1"/>
          <w:shd w:val="clear" w:color="auto" w:fill="FFFFFF"/>
        </w:rPr>
        <w:t>Tongren v. PUC</w:t>
      </w:r>
      <w:r w:rsidRPr="000A7E40">
        <w:rPr>
          <w:rFonts w:cs="Times New Roman"/>
          <w:bdr w:val="none" w:sz="0" w:space="0" w:color="auto" w:frame="1"/>
          <w:shd w:val="clear" w:color="auto" w:fill="FFFFFF"/>
        </w:rPr>
        <w:t>, 85 Ohio St.3d 87, 1999-Ohio-206, 706 N.E.2d 1255.</w:t>
      </w:r>
    </w:p>
  </w:footnote>
  <w:footnote w:id="13">
    <w:p w:rsidR="00D06FF1" w:rsidRPr="000A7E40" w:rsidP="000A7E40" w14:paraId="1474A552" w14:textId="77777777">
      <w:pPr>
        <w:pStyle w:val="FootnoteText"/>
        <w:spacing w:after="120"/>
        <w:rPr>
          <w:rFonts w:cs="Times New Roman"/>
        </w:rPr>
      </w:pPr>
      <w:r w:rsidRPr="000A7E40">
        <w:rPr>
          <w:rStyle w:val="FootnoteReference"/>
          <w:rFonts w:cs="Times New Roman"/>
        </w:rPr>
        <w:footnoteRef/>
      </w:r>
      <w:r w:rsidRPr="000A7E40">
        <w:rPr>
          <w:rFonts w:cs="Times New Roman"/>
        </w:rPr>
        <w:t xml:space="preserve"> R.C. 4903.09.</w:t>
      </w:r>
    </w:p>
  </w:footnote>
  <w:footnote w:id="14">
    <w:p w:rsidR="00D06FF1" w:rsidRPr="000A7E40" w:rsidP="000A7E40" w14:paraId="59F6E4AC" w14:textId="77777777">
      <w:pPr>
        <w:pStyle w:val="FootnoteText"/>
        <w:spacing w:after="120"/>
        <w:rPr>
          <w:rFonts w:cs="Times New Roman"/>
        </w:rPr>
      </w:pPr>
      <w:r w:rsidRPr="000A7E40">
        <w:rPr>
          <w:rStyle w:val="FootnoteReference"/>
          <w:rFonts w:cs="Times New Roman"/>
        </w:rPr>
        <w:footnoteRef/>
      </w:r>
      <w:r w:rsidRPr="000A7E40">
        <w:rPr>
          <w:rFonts w:cs="Times New Roman"/>
        </w:rPr>
        <w:t xml:space="preserve"> </w:t>
      </w:r>
      <w:r w:rsidRPr="000A7E40">
        <w:rPr>
          <w:rFonts w:cs="Times New Roman"/>
          <w:i/>
          <w:iCs/>
        </w:rPr>
        <w:t xml:space="preserve">See </w:t>
      </w:r>
      <w:r w:rsidRPr="000A7E40">
        <w:rPr>
          <w:rFonts w:cs="Times New Roman"/>
          <w:i/>
          <w:iCs/>
          <w:bdr w:val="none" w:sz="0" w:space="0" w:color="auto" w:frame="1"/>
          <w:shd w:val="clear" w:color="auto" w:fill="FFFFFF"/>
        </w:rPr>
        <w:t>Tongren v. PUC</w:t>
      </w:r>
      <w:r w:rsidRPr="000A7E40">
        <w:rPr>
          <w:rFonts w:cs="Times New Roman"/>
          <w:bdr w:val="none" w:sz="0" w:space="0" w:color="auto" w:frame="1"/>
          <w:shd w:val="clear" w:color="auto" w:fill="FFFFFF"/>
        </w:rPr>
        <w:t>, 85 Ohio St.3d 87, 1999-Ohio-206, 706 N.E.2d 1255.</w:t>
      </w:r>
    </w:p>
  </w:footnote>
  <w:footnote w:id="15">
    <w:p w:rsidR="00D06FF1" w:rsidRPr="000A7E40" w:rsidP="000A7E40" w14:paraId="6FAF88ED" w14:textId="77777777">
      <w:pPr>
        <w:pStyle w:val="FootnoteText"/>
        <w:spacing w:after="120"/>
        <w:rPr>
          <w:rFonts w:cs="Times New Roman"/>
        </w:rPr>
      </w:pPr>
      <w:r w:rsidRPr="000A7E40">
        <w:rPr>
          <w:rStyle w:val="FootnoteReference"/>
          <w:rFonts w:cs="Times New Roman"/>
        </w:rPr>
        <w:footnoteRef/>
      </w:r>
      <w:r w:rsidRPr="000A7E40">
        <w:rPr>
          <w:rFonts w:cs="Times New Roman"/>
        </w:rPr>
        <w:t xml:space="preserve"> </w:t>
      </w:r>
      <w:r w:rsidRPr="000A7E40">
        <w:rPr>
          <w:rFonts w:cs="Times New Roman"/>
          <w:i/>
          <w:iCs/>
        </w:rPr>
        <w:t>See id; see also</w:t>
      </w:r>
      <w:r w:rsidRPr="000A7E40">
        <w:rPr>
          <w:rStyle w:val="ssrfcsection"/>
          <w:rFonts w:cs="Times New Roman"/>
          <w:bdr w:val="none" w:sz="0" w:space="0" w:color="auto" w:frame="1"/>
        </w:rPr>
        <w:t> </w:t>
      </w:r>
      <w:r w:rsidRPr="000A7E40">
        <w:rPr>
          <w:rStyle w:val="ssit"/>
          <w:rFonts w:cs="Times New Roman"/>
          <w:i/>
          <w:iCs/>
          <w:bdr w:val="none" w:sz="0" w:space="0" w:color="auto" w:frame="1"/>
          <w:shd w:val="clear" w:color="auto" w:fill="FFFFFF"/>
        </w:rPr>
        <w:t>MCI Telecommunications Corp. v. Pub. Util. Comm</w:t>
      </w:r>
      <w:r w:rsidRPr="000A7E40">
        <w:rPr>
          <w:rFonts w:cs="Times New Roman"/>
          <w:bdr w:val="none" w:sz="0" w:space="0" w:color="auto" w:frame="1"/>
          <w:shd w:val="clear" w:color="auto" w:fill="FFFFFF"/>
        </w:rPr>
        <w:t>. (1987), 32 Ohio St.3d 306, 311, 513 N.E.2d 337, 34</w:t>
      </w:r>
      <w:r w:rsidRPr="000A7E40">
        <w:rPr>
          <w:rFonts w:cs="Times New Roman"/>
        </w:rPr>
        <w:t>4</w:t>
      </w:r>
      <w:r w:rsidRPr="000A7E40">
        <w:rPr>
          <w:rStyle w:val="ssrfcsection"/>
          <w:rFonts w:cs="Times New Roman"/>
          <w:bdr w:val="none" w:sz="0" w:space="0" w:color="auto" w:frame="1"/>
        </w:rPr>
        <w:t>; </w:t>
      </w:r>
      <w:r w:rsidRPr="000A7E40">
        <w:rPr>
          <w:rStyle w:val="ssit"/>
          <w:rFonts w:cs="Times New Roman"/>
          <w:i/>
          <w:iCs/>
          <w:bdr w:val="none" w:sz="0" w:space="0" w:color="auto" w:frame="1"/>
        </w:rPr>
        <w:t xml:space="preserve">Allnet Communications Serv., Inc. v. Pub. Util. </w:t>
      </w:r>
      <w:r w:rsidRPr="000A7E40">
        <w:rPr>
          <w:rStyle w:val="ssit"/>
          <w:rFonts w:cs="Times New Roman"/>
          <w:i/>
          <w:iCs/>
          <w:color w:val="373739"/>
          <w:bdr w:val="none" w:sz="0" w:space="0" w:color="auto" w:frame="1"/>
        </w:rPr>
        <w:t>Comm</w:t>
      </w:r>
      <w:r w:rsidRPr="000A7E40">
        <w:rPr>
          <w:rStyle w:val="ssrfcsection"/>
          <w:rFonts w:cs="Times New Roman"/>
          <w:color w:val="373739"/>
          <w:bdr w:val="none" w:sz="0" w:space="0" w:color="auto" w:frame="1"/>
        </w:rPr>
        <w:t>. (1994), 70 Ohio St.3d 202, 209, 638 N.E.2d 516, 521.</w:t>
      </w:r>
    </w:p>
  </w:footnote>
  <w:footnote w:id="16">
    <w:p w:rsidR="00D06FF1" w:rsidRPr="000A7E40" w:rsidP="000A7E40" w14:paraId="3C24E243" w14:textId="2DD50A91">
      <w:pPr>
        <w:pStyle w:val="FootnoteText"/>
        <w:spacing w:after="120"/>
        <w:rPr>
          <w:rFonts w:cs="Times New Roman"/>
        </w:rPr>
      </w:pPr>
      <w:r w:rsidRPr="000A7E40">
        <w:rPr>
          <w:rStyle w:val="FootnoteReference"/>
          <w:rFonts w:cs="Times New Roman"/>
        </w:rPr>
        <w:footnoteRef/>
      </w:r>
      <w:r w:rsidRPr="000A7E40">
        <w:rPr>
          <w:rFonts w:cs="Times New Roman"/>
        </w:rPr>
        <w:t xml:space="preserve"> </w:t>
      </w:r>
      <w:r w:rsidRPr="000A7E40">
        <w:rPr>
          <w:rFonts w:cs="Times New Roman"/>
          <w:i/>
          <w:iCs/>
        </w:rPr>
        <w:t>See Tongren</w:t>
      </w:r>
      <w:r w:rsidRPr="000A7E40">
        <w:rPr>
          <w:rFonts w:cs="Times New Roman"/>
        </w:rPr>
        <w:t xml:space="preserve"> at 89-90;</w:t>
      </w:r>
      <w:r w:rsidRPr="000A7E40">
        <w:rPr>
          <w:rStyle w:val="ssrfcpassagedeactivated"/>
          <w:rFonts w:cs="Times New Roman"/>
          <w:color w:val="373739"/>
          <w:bdr w:val="none" w:sz="0" w:space="0" w:color="auto" w:frame="1"/>
        </w:rPr>
        <w:t> </w:t>
      </w:r>
      <w:r w:rsidRPr="000A7E40">
        <w:rPr>
          <w:rFonts w:cs="Times New Roman"/>
          <w:i/>
          <w:iCs/>
          <w:color w:val="373739"/>
        </w:rPr>
        <w:t>see</w:t>
      </w:r>
      <w:r w:rsidRPr="000A7E40">
        <w:rPr>
          <w:rFonts w:cs="Times New Roman"/>
          <w:color w:val="373739"/>
        </w:rPr>
        <w:t xml:space="preserve">, </w:t>
      </w:r>
      <w:r w:rsidRPr="000A7E40">
        <w:rPr>
          <w:rStyle w:val="ssit"/>
          <w:rFonts w:cs="Times New Roman"/>
          <w:i/>
          <w:iCs/>
          <w:color w:val="373739"/>
          <w:bdr w:val="none" w:sz="0" w:space="0" w:color="auto" w:frame="1"/>
        </w:rPr>
        <w:t>e.g., In re Petition of Studer &amp; Numerous Other Subscribers of Neapolis Exchange of ALLTEL Ohio</w:t>
      </w:r>
      <w:r w:rsidRPr="000A7E40">
        <w:rPr>
          <w:rFonts w:cs="Times New Roman"/>
          <w:color w:val="373739"/>
        </w:rPr>
        <w:t>, PUCO Case No. 88-481-TP-PEX, Entry on Rehearing (Sept</w:t>
      </w:r>
      <w:r w:rsidR="000A7E40">
        <w:rPr>
          <w:rFonts w:cs="Times New Roman"/>
          <w:color w:val="373739"/>
        </w:rPr>
        <w:t>ember</w:t>
      </w:r>
      <w:r w:rsidRPr="000A7E40">
        <w:rPr>
          <w:rFonts w:cs="Times New Roman"/>
          <w:color w:val="373739"/>
        </w:rPr>
        <w:t xml:space="preserve"> 6, 1990).</w:t>
      </w:r>
    </w:p>
  </w:footnote>
  <w:footnote w:id="17">
    <w:p w:rsidR="00D06FF1" w:rsidRPr="000A7E40" w:rsidP="000A7E40" w14:paraId="6E08E90C" w14:textId="77777777">
      <w:pPr>
        <w:pStyle w:val="FootnoteText"/>
        <w:spacing w:after="120"/>
        <w:rPr>
          <w:rFonts w:cs="Times New Roman"/>
        </w:rPr>
      </w:pPr>
      <w:r w:rsidRPr="000A7E40">
        <w:rPr>
          <w:rStyle w:val="FootnoteReference"/>
          <w:rFonts w:cs="Times New Roman"/>
        </w:rPr>
        <w:footnoteRef/>
      </w:r>
      <w:r w:rsidRPr="000A7E40">
        <w:rPr>
          <w:rFonts w:cs="Times New Roman"/>
        </w:rPr>
        <w:t xml:space="preserve"> Order at 27-28.</w:t>
      </w:r>
    </w:p>
  </w:footnote>
  <w:footnote w:id="18">
    <w:p w:rsidR="00D06FF1" w:rsidRPr="000A7E40" w:rsidP="000A7E40" w14:paraId="1B8BE6CF" w14:textId="77777777">
      <w:pPr>
        <w:pStyle w:val="FootnoteText"/>
        <w:spacing w:after="120"/>
      </w:pPr>
      <w:r w:rsidRPr="000A7E40">
        <w:rPr>
          <w:rStyle w:val="FootnoteReference"/>
        </w:rPr>
        <w:footnoteRef/>
      </w:r>
      <w:r w:rsidRPr="000A7E40">
        <w:t xml:space="preserve"> Order at 28.</w:t>
      </w:r>
    </w:p>
  </w:footnote>
  <w:footnote w:id="19">
    <w:p w:rsidR="00D06FF1" w:rsidRPr="000A7E40" w:rsidP="000A7E40" w14:paraId="40B9AF5F" w14:textId="342B1CF4">
      <w:pPr>
        <w:pStyle w:val="FootnoteText"/>
        <w:spacing w:after="120"/>
      </w:pPr>
      <w:r w:rsidRPr="000A7E40">
        <w:rPr>
          <w:rStyle w:val="FootnoteReference"/>
        </w:rPr>
        <w:footnoteRef/>
      </w:r>
      <w:r w:rsidRPr="000A7E40">
        <w:t xml:space="preserve"> Scott Patterson &amp; Tom McGinty, </w:t>
      </w:r>
      <w:r w:rsidRPr="000A7E40">
        <w:rPr>
          <w:i/>
          <w:iCs/>
        </w:rPr>
        <w:t>Deregulation Aimed to Lower Home-Power Bills. For Many, it Didn’t</w:t>
      </w:r>
      <w:r w:rsidRPr="000A7E40">
        <w:t xml:space="preserve">, The Wall Street Journal, (March 8, 2021, 12:24 PM), </w:t>
      </w:r>
      <w:hyperlink r:id="rId3" w:history="1">
        <w:r w:rsidRPr="000A7E40">
          <w:rPr>
            <w:rStyle w:val="Hyperlink"/>
          </w:rPr>
          <w:t>https://www.wsj.com/articles/electricity-deregulation-utility-retail-energy-bills-11615213623</w:t>
        </w:r>
      </w:hyperlink>
      <w:r w:rsidRPr="000A7E40">
        <w:t xml:space="preserve"> (</w:t>
      </w:r>
      <w:r w:rsidRPr="000A7E40">
        <w:rPr>
          <w:rFonts w:cs="Times New Roman"/>
          <w:color w:val="333333"/>
        </w:rPr>
        <w:t>U.S. consumers who signed up with retail energy companies that emerged from deregulation paid $19.2 billion more than they would have if they’d stuck with incumbent utilities from 2010 through 2019, a Wall Street Journal analysis of U.S. Energy Information Administration data found)</w:t>
      </w:r>
      <w:r w:rsidRPr="000A7E40">
        <w:rPr>
          <w:rFonts w:cs="Times New Roman"/>
        </w:rPr>
        <w:t>.</w:t>
      </w:r>
    </w:p>
  </w:footnote>
  <w:footnote w:id="20">
    <w:p w:rsidR="00D06FF1" w:rsidRPr="000A7E40" w:rsidP="000A7E40" w14:paraId="6122598E" w14:textId="77777777">
      <w:pPr>
        <w:pStyle w:val="FootnoteText"/>
        <w:spacing w:after="120"/>
        <w:rPr>
          <w:rFonts w:cs="Times New Roman"/>
        </w:rPr>
      </w:pPr>
      <w:r w:rsidRPr="000A7E40">
        <w:rPr>
          <w:rStyle w:val="FootnoteReference"/>
          <w:rFonts w:cs="Times New Roman"/>
        </w:rPr>
        <w:footnoteRef/>
      </w:r>
      <w:r w:rsidRPr="000A7E40">
        <w:rPr>
          <w:rFonts w:cs="Times New Roman"/>
        </w:rPr>
        <w:t xml:space="preserve"> Order at 27 (“</w:t>
      </w:r>
      <w:r w:rsidRPr="000A7E40">
        <w:t>Consistent with our decisions in prior cases, the Commission declines to adopt OCC’s shadow-billing proposal”).</w:t>
      </w:r>
    </w:p>
  </w:footnote>
  <w:footnote w:id="21">
    <w:p w:rsidR="00D06FF1" w:rsidRPr="000A7E40" w:rsidP="000A7E40" w14:paraId="76DF95CD" w14:textId="77777777">
      <w:pPr>
        <w:pStyle w:val="FootnoteText"/>
        <w:spacing w:after="120"/>
        <w:rPr>
          <w:rFonts w:cs="Times New Roman"/>
        </w:rPr>
      </w:pPr>
      <w:r w:rsidRPr="000A7E40">
        <w:rPr>
          <w:rStyle w:val="FootnoteReference"/>
          <w:rFonts w:cs="Times New Roman"/>
        </w:rPr>
        <w:footnoteRef/>
      </w:r>
      <w:r w:rsidRPr="000A7E40">
        <w:rPr>
          <w:rFonts w:cs="Times New Roman"/>
        </w:rPr>
        <w:t xml:space="preserve"> </w:t>
      </w:r>
      <w:r w:rsidRPr="000A7E40">
        <w:rPr>
          <w:rFonts w:cs="Times New Roman"/>
          <w:i/>
          <w:iCs/>
        </w:rPr>
        <w:t xml:space="preserve">See </w:t>
      </w:r>
      <w:r w:rsidRPr="000A7E40">
        <w:rPr>
          <w:rFonts w:cs="Times New Roman"/>
          <w:i/>
          <w:iCs/>
          <w:bdr w:val="none" w:sz="0" w:space="0" w:color="auto" w:frame="1"/>
          <w:shd w:val="clear" w:color="auto" w:fill="FFFFFF"/>
        </w:rPr>
        <w:t>Tongren v. PUC</w:t>
      </w:r>
      <w:r w:rsidRPr="000A7E40">
        <w:rPr>
          <w:rFonts w:cs="Times New Roman"/>
          <w:bdr w:val="none" w:sz="0" w:space="0" w:color="auto" w:frame="1"/>
          <w:shd w:val="clear" w:color="auto" w:fill="FFFFFF"/>
        </w:rPr>
        <w:t>, 85 Ohio St.3d 87, 1999-Ohio-206, 706 N.E.2d 1255.</w:t>
      </w:r>
    </w:p>
  </w:footnote>
  <w:footnote w:id="22">
    <w:p w:rsidR="00D06FF1" w:rsidRPr="000A7E40" w:rsidP="000A7E40" w14:paraId="6739725D" w14:textId="59972ABF">
      <w:pPr>
        <w:pStyle w:val="FootnoteText"/>
        <w:spacing w:after="120"/>
      </w:pPr>
      <w:r w:rsidRPr="000A7E40">
        <w:rPr>
          <w:rStyle w:val="FootnoteReference"/>
        </w:rPr>
        <w:footnoteRef/>
      </w:r>
      <w:r w:rsidRPr="000A7E40">
        <w:t xml:space="preserve"> Order at 27-28.</w:t>
      </w:r>
    </w:p>
  </w:footnote>
  <w:footnote w:id="23">
    <w:p w:rsidR="00D06FF1" w:rsidRPr="000A7E40" w:rsidP="000A7E40" w14:paraId="29E379DB" w14:textId="43B1AF14">
      <w:pPr>
        <w:pStyle w:val="FootnoteText"/>
        <w:spacing w:after="120"/>
      </w:pPr>
      <w:r w:rsidRPr="000A7E40">
        <w:rPr>
          <w:rStyle w:val="FootnoteReference"/>
        </w:rPr>
        <w:footnoteRef/>
      </w:r>
      <w:r w:rsidRPr="000A7E40">
        <w:t xml:space="preserve"> Order at 27-28.</w:t>
      </w:r>
    </w:p>
  </w:footnote>
  <w:footnote w:id="24">
    <w:p w:rsidR="00D06FF1" w:rsidRPr="000A7E40" w:rsidP="000A7E40" w14:paraId="145C7607" w14:textId="77777777">
      <w:pPr>
        <w:pStyle w:val="FootnoteText"/>
        <w:spacing w:after="120"/>
      </w:pPr>
      <w:r w:rsidRPr="000A7E40">
        <w:rPr>
          <w:rStyle w:val="FootnoteReference"/>
        </w:rPr>
        <w:footnoteRef/>
      </w:r>
      <w:r w:rsidRPr="000A7E40">
        <w:t xml:space="preserve"> Order at 19.</w:t>
      </w:r>
    </w:p>
  </w:footnote>
  <w:footnote w:id="25">
    <w:p w:rsidR="00D06FF1" w:rsidRPr="000A7E40" w:rsidP="000A7E40" w14:paraId="7B6C3549" w14:textId="49E87771">
      <w:pPr>
        <w:spacing w:after="120" w:line="240" w:lineRule="auto"/>
        <w:rPr>
          <w:rFonts w:ascii="Times New Roman" w:hAnsi="Times New Roman"/>
          <w:sz w:val="20"/>
        </w:rPr>
      </w:pPr>
      <w:r w:rsidRPr="000A7E40">
        <w:rPr>
          <w:rStyle w:val="FootnoteReference"/>
          <w:rFonts w:ascii="Times New Roman" w:hAnsi="Times New Roman"/>
          <w:sz w:val="20"/>
        </w:rPr>
        <w:footnoteRef/>
      </w:r>
      <w:r w:rsidRPr="000A7E40">
        <w:rPr>
          <w:rFonts w:ascii="Times New Roman" w:hAnsi="Times New Roman"/>
          <w:sz w:val="20"/>
        </w:rPr>
        <w:t xml:space="preserve"> </w:t>
      </w:r>
      <w:r w:rsidRPr="000A7E40">
        <w:rPr>
          <w:rFonts w:ascii="Times New Roman" w:hAnsi="Times New Roman" w:cs="Times New Roman"/>
          <w:sz w:val="20"/>
          <w:szCs w:val="20"/>
        </w:rPr>
        <w:t xml:space="preserve">Scott Patterson &amp; Tom McGinty, </w:t>
      </w:r>
      <w:r w:rsidRPr="000A7E40">
        <w:rPr>
          <w:rFonts w:ascii="Times New Roman" w:hAnsi="Times New Roman" w:cs="Times New Roman"/>
          <w:i/>
          <w:iCs/>
          <w:sz w:val="20"/>
          <w:szCs w:val="20"/>
        </w:rPr>
        <w:t>Deregulation Aimed to Lower Home-Power Bills. For Many, it Didn’t</w:t>
      </w:r>
      <w:r w:rsidRPr="000A7E40">
        <w:rPr>
          <w:rFonts w:ascii="Times New Roman" w:hAnsi="Times New Roman" w:cs="Times New Roman"/>
          <w:sz w:val="20"/>
          <w:szCs w:val="20"/>
        </w:rPr>
        <w:t xml:space="preserve">, The Wall Street Journal, (March 8, 2021, 12:24 PM), </w:t>
      </w:r>
      <w:hyperlink r:id="rId3" w:history="1">
        <w:r w:rsidRPr="000A7E40">
          <w:rPr>
            <w:rStyle w:val="Hyperlink"/>
            <w:rFonts w:ascii="Times New Roman" w:hAnsi="Times New Roman" w:cs="Times New Roman"/>
            <w:sz w:val="20"/>
            <w:szCs w:val="20"/>
          </w:rPr>
          <w:t>https://www.wsj.com/articles/electricity-deregulation-utility-retail-energy-bills-11615213623</w:t>
        </w:r>
      </w:hyperlink>
      <w:r w:rsidRPr="000A7E40">
        <w:rPr>
          <w:rFonts w:ascii="Times New Roman" w:hAnsi="Times New Roman" w:cs="Times New Roman"/>
          <w:sz w:val="20"/>
          <w:szCs w:val="20"/>
        </w:rPr>
        <w:t xml:space="preserve"> (The PUCO is investigating whether retail energy providers PALMco Energy and Verde Energy USA, a Spark Energy Inc. affiliate, provided misleading information about variable rates, among other possible violations. The two providers were “very misleading about the nature of the price and the variable nature of it,” said Matt Schilling, public-affairs director with the agency, who said the rate they eventually charged was as much as four times the standard utility charge).</w:t>
      </w:r>
    </w:p>
  </w:footnote>
  <w:footnote w:id="26">
    <w:p w:rsidR="00D06FF1" w:rsidRPr="000A7E40" w:rsidP="000A7E40" w14:paraId="59CE61ED" w14:textId="0DA62214">
      <w:pPr>
        <w:pStyle w:val="FootnoteText"/>
        <w:spacing w:after="120"/>
      </w:pPr>
      <w:r w:rsidRPr="000A7E40">
        <w:rPr>
          <w:rStyle w:val="FootnoteReference"/>
        </w:rPr>
        <w:footnoteRef/>
      </w:r>
      <w:r w:rsidRPr="000A7E40">
        <w:t xml:space="preserve"> Order at 27-28.</w:t>
      </w:r>
    </w:p>
  </w:footnote>
  <w:footnote w:id="27">
    <w:p w:rsidR="00D06FF1" w:rsidRPr="000A7E40" w:rsidP="000A7E40" w14:paraId="574012A9" w14:textId="1327BD2C">
      <w:pPr>
        <w:pStyle w:val="FootnoteText"/>
        <w:spacing w:after="120"/>
      </w:pPr>
      <w:r w:rsidRPr="000A7E40">
        <w:rPr>
          <w:rStyle w:val="FootnoteReference"/>
        </w:rPr>
        <w:footnoteRef/>
      </w:r>
      <w:r w:rsidRPr="000A7E40">
        <w:t xml:space="preserve"> Order at 25.</w:t>
      </w:r>
    </w:p>
  </w:footnote>
  <w:footnote w:id="28">
    <w:p w:rsidR="00D06FF1" w:rsidRPr="000A7E40" w:rsidP="000A7E40" w14:paraId="55A57853" w14:textId="4106D39A">
      <w:pPr>
        <w:pStyle w:val="FootnoteText"/>
        <w:spacing w:after="120"/>
      </w:pPr>
      <w:r w:rsidRPr="000A7E40">
        <w:rPr>
          <w:rStyle w:val="FootnoteReference"/>
        </w:rPr>
        <w:footnoteRef/>
      </w:r>
      <w:r w:rsidRPr="000A7E40">
        <w:t xml:space="preserve"> Order at 25.</w:t>
      </w:r>
    </w:p>
  </w:footnote>
  <w:footnote w:id="29">
    <w:p w:rsidR="00D06FF1" w:rsidRPr="000A7E40" w:rsidP="000A7E40" w14:paraId="76AAE191" w14:textId="5CAD4FAC">
      <w:pPr>
        <w:pStyle w:val="FootnoteText"/>
        <w:spacing w:after="120"/>
      </w:pPr>
      <w:r w:rsidRPr="000A7E40">
        <w:rPr>
          <w:rStyle w:val="FootnoteReference"/>
        </w:rPr>
        <w:footnoteRef/>
      </w:r>
      <w:r w:rsidRPr="000A7E40">
        <w:t xml:space="preserve"> OCC Comments at 11.</w:t>
      </w:r>
    </w:p>
  </w:footnote>
  <w:footnote w:id="30">
    <w:p w:rsidR="00D06FF1" w:rsidRPr="000A7E40" w:rsidP="000A7E40" w14:paraId="7085B7A8" w14:textId="77777777">
      <w:pPr>
        <w:pStyle w:val="FootnoteText"/>
        <w:spacing w:after="120"/>
      </w:pPr>
      <w:r w:rsidRPr="000A7E40">
        <w:rPr>
          <w:rStyle w:val="FootnoteReference"/>
        </w:rPr>
        <w:footnoteRef/>
      </w:r>
      <w:r w:rsidRPr="000A7E40">
        <w:t xml:space="preserve"> Order at 25.</w:t>
      </w:r>
    </w:p>
  </w:footnote>
  <w:footnote w:id="31">
    <w:p w:rsidR="00D06FF1" w:rsidRPr="000A7E40" w:rsidP="000A7E40" w14:paraId="2E57D7C6" w14:textId="375A37C5">
      <w:pPr>
        <w:pStyle w:val="FootnoteText"/>
        <w:spacing w:after="120"/>
      </w:pPr>
      <w:r w:rsidRPr="000A7E40">
        <w:rPr>
          <w:rStyle w:val="FootnoteReference"/>
        </w:rPr>
        <w:footnoteRef/>
      </w:r>
      <w:r w:rsidRPr="000A7E40">
        <w:t xml:space="preserve"> Order at 25.</w:t>
      </w:r>
    </w:p>
  </w:footnote>
  <w:footnote w:id="32">
    <w:p w:rsidR="00D06FF1" w:rsidRPr="000A7E40" w:rsidP="000A7E40" w14:paraId="54E391D4" w14:textId="77777777">
      <w:pPr>
        <w:pStyle w:val="FootnoteText"/>
        <w:spacing w:after="120"/>
        <w:rPr>
          <w:i/>
          <w:iCs/>
        </w:rPr>
      </w:pPr>
      <w:r w:rsidRPr="000A7E40">
        <w:rPr>
          <w:rStyle w:val="FootnoteReference"/>
        </w:rPr>
        <w:footnoteRef/>
      </w:r>
      <w:r w:rsidRPr="000A7E40">
        <w:t xml:space="preserve"> </w:t>
      </w:r>
      <w:r w:rsidRPr="000A7E40">
        <w:rPr>
          <w:rFonts w:cs="Times New Roman"/>
          <w:i/>
          <w:iCs/>
        </w:rPr>
        <w:t>See</w:t>
      </w:r>
      <w:r w:rsidRPr="000A7E40">
        <w:rPr>
          <w:rFonts w:cs="Times New Roman"/>
        </w:rPr>
        <w:t xml:space="preserve"> Assignment of Error 2 at p. 11, </w:t>
      </w:r>
      <w:r w:rsidRPr="000A7E40">
        <w:rPr>
          <w:rFonts w:cs="Times New Roman"/>
          <w:i/>
          <w:iCs/>
        </w:rPr>
        <w:t>supra</w:t>
      </w:r>
      <w:r w:rsidRPr="000A7E40">
        <w:rPr>
          <w:rFonts w:cs="Times New Roman"/>
          <w:i/>
          <w:iCs/>
          <w:szCs w:val="24"/>
        </w:rPr>
        <w:t>.</w:t>
      </w:r>
    </w:p>
  </w:footnote>
  <w:footnote w:id="33">
    <w:p w:rsidR="00D06FF1" w:rsidRPr="000A7E40" w:rsidP="000A7E40" w14:paraId="395E5E23" w14:textId="77777777">
      <w:pPr>
        <w:pStyle w:val="FootnoteText"/>
        <w:spacing w:after="120"/>
      </w:pPr>
      <w:r w:rsidRPr="000A7E40">
        <w:rPr>
          <w:rStyle w:val="FootnoteReference"/>
        </w:rPr>
        <w:footnoteRef/>
      </w:r>
      <w:r w:rsidRPr="000A7E40">
        <w:t xml:space="preserve"> OCC Comments at 19.</w:t>
      </w:r>
    </w:p>
  </w:footnote>
  <w:footnote w:id="34">
    <w:p w:rsidR="00D06FF1" w:rsidRPr="000A7E40" w:rsidP="000A7E40" w14:paraId="744E42AC" w14:textId="77777777">
      <w:pPr>
        <w:pStyle w:val="FootnoteText"/>
        <w:spacing w:after="120"/>
      </w:pPr>
      <w:r w:rsidRPr="000A7E40">
        <w:rPr>
          <w:rStyle w:val="FootnoteReference"/>
        </w:rPr>
        <w:footnoteRef/>
      </w:r>
      <w:r w:rsidRPr="000A7E40">
        <w:t xml:space="preserve"> OCC Comments at 19; OCC Reply Comments at 15-18.</w:t>
      </w:r>
    </w:p>
  </w:footnote>
  <w:footnote w:id="35">
    <w:p w:rsidR="00D06FF1" w:rsidRPr="000A7E40" w:rsidP="000A7E40" w14:paraId="7960B824" w14:textId="77777777">
      <w:pPr>
        <w:pStyle w:val="FootnoteText"/>
        <w:spacing w:after="120"/>
      </w:pPr>
      <w:r w:rsidRPr="000A7E40">
        <w:rPr>
          <w:rStyle w:val="FootnoteReference"/>
        </w:rPr>
        <w:footnoteRef/>
      </w:r>
      <w:r w:rsidRPr="000A7E40">
        <w:t xml:space="preserve"> Order at 25.</w:t>
      </w:r>
    </w:p>
  </w:footnote>
  <w:footnote w:id="36">
    <w:p w:rsidR="00D06FF1" w:rsidRPr="000A7E40" w:rsidP="000A7E40" w14:paraId="0E85406E" w14:textId="77777777">
      <w:pPr>
        <w:pStyle w:val="FootnoteText"/>
        <w:spacing w:after="120"/>
      </w:pPr>
      <w:r w:rsidRPr="000A7E40">
        <w:rPr>
          <w:rStyle w:val="FootnoteReference"/>
        </w:rPr>
        <w:footnoteRef/>
      </w:r>
      <w:r w:rsidRPr="000A7E40">
        <w:t xml:space="preserve"> IGS Comments at 3 (January 17, 2021).</w:t>
      </w:r>
    </w:p>
  </w:footnote>
  <w:footnote w:id="37">
    <w:p w:rsidR="00D06FF1" w:rsidRPr="000A7E40" w:rsidP="000A7E40" w14:paraId="5AEAC5B6" w14:textId="77777777">
      <w:pPr>
        <w:pStyle w:val="FootnoteText"/>
        <w:spacing w:after="120"/>
      </w:pPr>
      <w:r w:rsidRPr="000A7E40">
        <w:rPr>
          <w:rStyle w:val="FootnoteReference"/>
        </w:rPr>
        <w:footnoteRef/>
      </w:r>
      <w:r w:rsidRPr="000A7E40">
        <w:t xml:space="preserve"> OCC Comments at 11; OCC Reply Comments at 15-18.</w:t>
      </w:r>
    </w:p>
  </w:footnote>
  <w:footnote w:id="38">
    <w:p w:rsidR="00D06FF1" w:rsidRPr="000A7E40" w:rsidP="000A7E40" w14:paraId="74C5E7C0" w14:textId="2232065D">
      <w:pPr>
        <w:pStyle w:val="FootnoteText"/>
        <w:spacing w:after="120"/>
      </w:pPr>
      <w:r w:rsidRPr="000A7E40">
        <w:rPr>
          <w:rStyle w:val="FootnoteReference"/>
        </w:rPr>
        <w:footnoteRef/>
      </w:r>
      <w:r w:rsidRPr="000A7E40">
        <w:t xml:space="preserve"> Order at 19.</w:t>
      </w:r>
    </w:p>
  </w:footnote>
  <w:footnote w:id="39">
    <w:p w:rsidR="00D06FF1" w:rsidRPr="000A7E40" w:rsidP="000A7E40" w14:paraId="24F5FE73" w14:textId="2B8020C2">
      <w:pPr>
        <w:pStyle w:val="FootnoteText"/>
        <w:spacing w:after="120"/>
      </w:pPr>
      <w:r w:rsidRPr="000A7E40">
        <w:rPr>
          <w:rStyle w:val="FootnoteReference"/>
        </w:rPr>
        <w:footnoteRef/>
      </w:r>
      <w:r w:rsidRPr="000A7E40">
        <w:t xml:space="preserve"> Order at 19.</w:t>
      </w:r>
    </w:p>
  </w:footnote>
  <w:footnote w:id="40">
    <w:p w:rsidR="00D06FF1" w:rsidRPr="000A7E40" w:rsidP="000A7E40" w14:paraId="6C9A0535" w14:textId="4BA14F12">
      <w:pPr>
        <w:pStyle w:val="FootnoteText"/>
        <w:spacing w:after="120"/>
      </w:pPr>
      <w:r w:rsidRPr="000A7E40">
        <w:rPr>
          <w:rStyle w:val="FootnoteReference"/>
        </w:rPr>
        <w:footnoteRef/>
      </w:r>
      <w:r w:rsidRPr="000A7E40">
        <w:t xml:space="preserve"> Order at 19.</w:t>
      </w:r>
    </w:p>
  </w:footnote>
  <w:footnote w:id="41">
    <w:p w:rsidR="00D06FF1" w:rsidRPr="000A7E40" w:rsidP="000A7E40" w14:paraId="052EF127" w14:textId="5DA3135A">
      <w:pPr>
        <w:pStyle w:val="FootnoteText"/>
        <w:spacing w:after="120"/>
        <w:rPr>
          <w:rFonts w:cs="Times New Roman"/>
        </w:rPr>
      </w:pPr>
      <w:r w:rsidRPr="000A7E40">
        <w:rPr>
          <w:rStyle w:val="FootnoteReference"/>
          <w:rFonts w:cs="Times New Roman"/>
        </w:rPr>
        <w:footnoteRef/>
      </w:r>
      <w:r w:rsidRPr="000A7E40">
        <w:rPr>
          <w:rFonts w:cs="Times New Roman"/>
        </w:rPr>
        <w:t xml:space="preserve"> Order at 34.</w:t>
      </w:r>
    </w:p>
  </w:footnote>
  <w:footnote w:id="42">
    <w:p w:rsidR="00D06FF1" w:rsidRPr="000A7E40" w:rsidP="000A7E40" w14:paraId="75EEF34F" w14:textId="5FA8ABA0">
      <w:pPr>
        <w:pStyle w:val="FootnoteText"/>
        <w:spacing w:after="120"/>
        <w:rPr>
          <w:rFonts w:cs="Times New Roman"/>
        </w:rPr>
      </w:pPr>
      <w:r w:rsidRPr="000A7E40">
        <w:rPr>
          <w:rStyle w:val="FootnoteReference"/>
          <w:rFonts w:cs="Times New Roman"/>
        </w:rPr>
        <w:footnoteRef/>
      </w:r>
      <w:r w:rsidRPr="000A7E40">
        <w:rPr>
          <w:rFonts w:cs="Times New Roman"/>
        </w:rPr>
        <w:t xml:space="preserve"> OCC Comments at 7; OCC Reply Comments at 8.</w:t>
      </w:r>
    </w:p>
  </w:footnote>
  <w:footnote w:id="43">
    <w:p w:rsidR="00D06FF1" w:rsidRPr="000A7E40" w:rsidP="000A7E40" w14:paraId="1F487EF7" w14:textId="28BF7C45">
      <w:pPr>
        <w:pStyle w:val="FootnoteText"/>
        <w:spacing w:after="120"/>
        <w:rPr>
          <w:rFonts w:cs="Times New Roman"/>
        </w:rPr>
      </w:pPr>
      <w:r w:rsidRPr="000A7E40">
        <w:rPr>
          <w:rStyle w:val="FootnoteReference"/>
          <w:rFonts w:cs="Times New Roman"/>
        </w:rPr>
        <w:footnoteRef/>
      </w:r>
      <w:r w:rsidRPr="000A7E40">
        <w:rPr>
          <w:rFonts w:cs="Times New Roman"/>
        </w:rPr>
        <w:t xml:space="preserve"> R.C. </w:t>
      </w:r>
      <w:r w:rsidRPr="000A7E40">
        <w:rPr>
          <w:rFonts w:eastAsia="Times New Roman" w:cs="Times New Roman"/>
          <w:color w:val="000000"/>
        </w:rPr>
        <w:t>4929.22.</w:t>
      </w:r>
    </w:p>
  </w:footnote>
  <w:footnote w:id="44">
    <w:p w:rsidR="00D06FF1" w:rsidRPr="000A7E40" w:rsidP="000A7E40" w14:paraId="51182482" w14:textId="3FE35887">
      <w:pPr>
        <w:pStyle w:val="FootnoteText"/>
        <w:spacing w:after="120"/>
        <w:rPr>
          <w:rFonts w:cs="Times New Roman"/>
        </w:rPr>
      </w:pPr>
      <w:r w:rsidRPr="000A7E40">
        <w:rPr>
          <w:rStyle w:val="FootnoteReference"/>
          <w:rFonts w:cs="Times New Roman"/>
        </w:rPr>
        <w:footnoteRef/>
      </w:r>
      <w:r w:rsidRPr="000A7E40">
        <w:rPr>
          <w:rFonts w:cs="Times New Roman"/>
        </w:rPr>
        <w:t xml:space="preserve"> R.C. </w:t>
      </w:r>
      <w:r w:rsidRPr="000A7E40">
        <w:rPr>
          <w:rFonts w:eastAsia="Times New Roman" w:cs="Times New Roman"/>
          <w:color w:val="000000"/>
        </w:rPr>
        <w:t>4929.22.</w:t>
      </w:r>
    </w:p>
  </w:footnote>
  <w:footnote w:id="45">
    <w:p w:rsidR="00D06FF1" w:rsidRPr="000A7E40" w:rsidP="000A7E40" w14:paraId="7D1CC9CA" w14:textId="53C42721">
      <w:pPr>
        <w:pStyle w:val="FootnoteText"/>
        <w:spacing w:after="120"/>
        <w:rPr>
          <w:rFonts w:cs="Times New Roman"/>
        </w:rPr>
      </w:pPr>
      <w:r w:rsidRPr="000A7E40">
        <w:rPr>
          <w:rStyle w:val="FootnoteReference"/>
          <w:rFonts w:cs="Times New Roman"/>
        </w:rPr>
        <w:footnoteRef/>
      </w:r>
      <w:r w:rsidRPr="000A7E40">
        <w:rPr>
          <w:rFonts w:cs="Times New Roman"/>
        </w:rPr>
        <w:t xml:space="preserve"> Order at 33-34.</w:t>
      </w:r>
    </w:p>
  </w:footnote>
  <w:footnote w:id="46">
    <w:p w:rsidR="00D06FF1" w:rsidRPr="000A7E40" w:rsidP="000A7E40" w14:paraId="405F8993" w14:textId="41D0CFF2">
      <w:pPr>
        <w:pStyle w:val="FootnoteText"/>
        <w:spacing w:after="120"/>
        <w:rPr>
          <w:rFonts w:cs="Times New Roman"/>
        </w:rPr>
      </w:pPr>
      <w:r w:rsidRPr="000A7E40">
        <w:rPr>
          <w:rStyle w:val="FootnoteReference"/>
          <w:rFonts w:cs="Times New Roman"/>
        </w:rPr>
        <w:footnoteRef/>
      </w:r>
      <w:r w:rsidRPr="000A7E40">
        <w:rPr>
          <w:rFonts w:cs="Times New Roman"/>
        </w:rPr>
        <w:t xml:space="preserve"> Order at 33-34.</w:t>
      </w:r>
    </w:p>
  </w:footnote>
  <w:footnote w:id="47">
    <w:p w:rsidR="00D06FF1" w:rsidRPr="000A7E40" w:rsidP="000A7E40" w14:paraId="14D1E853" w14:textId="3E23A3B5">
      <w:pPr>
        <w:pStyle w:val="FootnoteText"/>
        <w:spacing w:after="120"/>
        <w:rPr>
          <w:rFonts w:cs="Times New Roman"/>
        </w:rPr>
      </w:pPr>
      <w:r w:rsidRPr="000A7E40">
        <w:rPr>
          <w:rStyle w:val="FootnoteReference"/>
          <w:rFonts w:cs="Times New Roman"/>
        </w:rPr>
        <w:footnoteRef/>
      </w:r>
      <w:r w:rsidRPr="000A7E40">
        <w:rPr>
          <w:rFonts w:cs="Times New Roman"/>
        </w:rPr>
        <w:t xml:space="preserve"> Order at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6FF1" w14:paraId="631079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6FF1" w14:paraId="4B960A9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6FF1" w14:paraId="7166B7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44C61"/>
    <w:multiLevelType w:val="hybridMultilevel"/>
    <w:tmpl w:val="8FEAA18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3C85046"/>
    <w:multiLevelType w:val="hybridMultilevel"/>
    <w:tmpl w:val="D22C90A2"/>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08A37E9C"/>
    <w:multiLevelType w:val="hybridMultilevel"/>
    <w:tmpl w:val="9A4A6F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5157B79"/>
    <w:multiLevelType w:val="hybridMultilevel"/>
    <w:tmpl w:val="3F8686F2"/>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6014EE7"/>
    <w:multiLevelType w:val="hybridMultilevel"/>
    <w:tmpl w:val="096269B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10320E3"/>
    <w:multiLevelType w:val="hybridMultilevel"/>
    <w:tmpl w:val="2146E0CC"/>
    <w:lvl w:ilvl="0">
      <w:start w:val="1"/>
      <w:numFmt w:val="upperLetter"/>
      <w:lvlText w:val="%1."/>
      <w:lvlJc w:val="left"/>
      <w:pPr>
        <w:ind w:left="2430" w:hanging="360"/>
      </w:pPr>
      <w:rPr>
        <w:rFonts w:ascii="Times New Roman Bold" w:hAnsi="Times New Roman Bold" w:eastAsiaTheme="majorEastAsia" w:cstheme="majorBidi" w:hint="default"/>
        <w:b/>
        <w:sz w:val="24"/>
      </w:rPr>
    </w:lvl>
    <w:lvl w:ilvl="1" w:tentative="1">
      <w:start w:val="1"/>
      <w:numFmt w:val="lowerLetter"/>
      <w:lvlText w:val="%2."/>
      <w:lvlJc w:val="left"/>
      <w:pPr>
        <w:ind w:left="3150" w:hanging="360"/>
      </w:pPr>
    </w:lvl>
    <w:lvl w:ilvl="2" w:tentative="1">
      <w:start w:val="1"/>
      <w:numFmt w:val="lowerRoman"/>
      <w:lvlText w:val="%3."/>
      <w:lvlJc w:val="right"/>
      <w:pPr>
        <w:ind w:left="3870" w:hanging="180"/>
      </w:pPr>
    </w:lvl>
    <w:lvl w:ilvl="3" w:tentative="1">
      <w:start w:val="1"/>
      <w:numFmt w:val="decimal"/>
      <w:lvlText w:val="%4."/>
      <w:lvlJc w:val="left"/>
      <w:pPr>
        <w:ind w:left="4590" w:hanging="360"/>
      </w:pPr>
    </w:lvl>
    <w:lvl w:ilvl="4" w:tentative="1">
      <w:start w:val="1"/>
      <w:numFmt w:val="lowerLetter"/>
      <w:lvlText w:val="%5."/>
      <w:lvlJc w:val="left"/>
      <w:pPr>
        <w:ind w:left="5310" w:hanging="360"/>
      </w:pPr>
    </w:lvl>
    <w:lvl w:ilvl="5" w:tentative="1">
      <w:start w:val="1"/>
      <w:numFmt w:val="lowerRoman"/>
      <w:lvlText w:val="%6."/>
      <w:lvlJc w:val="right"/>
      <w:pPr>
        <w:ind w:left="6030" w:hanging="180"/>
      </w:pPr>
    </w:lvl>
    <w:lvl w:ilvl="6" w:tentative="1">
      <w:start w:val="1"/>
      <w:numFmt w:val="decimal"/>
      <w:lvlText w:val="%7."/>
      <w:lvlJc w:val="left"/>
      <w:pPr>
        <w:ind w:left="6750" w:hanging="360"/>
      </w:pPr>
    </w:lvl>
    <w:lvl w:ilvl="7" w:tentative="1">
      <w:start w:val="1"/>
      <w:numFmt w:val="lowerLetter"/>
      <w:lvlText w:val="%8."/>
      <w:lvlJc w:val="left"/>
      <w:pPr>
        <w:ind w:left="7470" w:hanging="360"/>
      </w:pPr>
    </w:lvl>
    <w:lvl w:ilvl="8" w:tentative="1">
      <w:start w:val="1"/>
      <w:numFmt w:val="lowerRoman"/>
      <w:lvlText w:val="%9."/>
      <w:lvlJc w:val="right"/>
      <w:pPr>
        <w:ind w:left="8190" w:hanging="180"/>
      </w:pPr>
    </w:lvl>
  </w:abstractNum>
  <w:abstractNum w:abstractNumId="9">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28BC6967"/>
    <w:multiLevelType w:val="hybridMultilevel"/>
    <w:tmpl w:val="DB0865E6"/>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0F72022"/>
    <w:multiLevelType w:val="hybridMultilevel"/>
    <w:tmpl w:val="307C8A84"/>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57AF14CA"/>
    <w:multiLevelType w:val="hybridMultilevel"/>
    <w:tmpl w:val="83E09528"/>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6">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6B58624E"/>
    <w:multiLevelType w:val="hybridMultilevel"/>
    <w:tmpl w:val="D82CB96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3D346C8"/>
    <w:multiLevelType w:val="hybridMultilevel"/>
    <w:tmpl w:val="7688D4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A3A5E12"/>
    <w:multiLevelType w:val="hybridMultilevel"/>
    <w:tmpl w:val="C094A2F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6"/>
  </w:num>
  <w:num w:numId="3">
    <w:abstractNumId w:val="1"/>
  </w:num>
  <w:num w:numId="4">
    <w:abstractNumId w:val="1"/>
    <w:lvlOverride w:ilvl="0">
      <w:startOverride w:val="1"/>
    </w:lvlOverride>
  </w:num>
  <w:num w:numId="5">
    <w:abstractNumId w:val="1"/>
    <w:lvlOverride w:ilvl="0">
      <w:startOverride w:val="1"/>
    </w:lvlOverride>
  </w:num>
  <w:num w:numId="6">
    <w:abstractNumId w:val="25"/>
  </w:num>
  <w:num w:numId="7">
    <w:abstractNumId w:val="5"/>
  </w:num>
  <w:num w:numId="8">
    <w:abstractNumId w:val="7"/>
  </w:num>
  <w:num w:numId="9">
    <w:abstractNumId w:val="13"/>
  </w:num>
  <w:num w:numId="10">
    <w:abstractNumId w:val="21"/>
  </w:num>
  <w:num w:numId="11">
    <w:abstractNumId w:val="6"/>
  </w:num>
  <w:num w:numId="12">
    <w:abstractNumId w:val="17"/>
  </w:num>
  <w:num w:numId="13">
    <w:abstractNumId w:val="17"/>
  </w:num>
  <w:num w:numId="14">
    <w:abstractNumId w:val="18"/>
  </w:num>
  <w:num w:numId="15">
    <w:abstractNumId w:val="17"/>
  </w:num>
  <w:num w:numId="16">
    <w:abstractNumId w:val="17"/>
  </w:num>
  <w:num w:numId="17">
    <w:abstractNumId w:val="9"/>
  </w:num>
  <w:num w:numId="18">
    <w:abstractNumId w:val="20"/>
  </w:num>
  <w:num w:numId="19">
    <w:abstractNumId w:val="16"/>
  </w:num>
  <w:num w:numId="20">
    <w:abstractNumId w:val="16"/>
  </w:num>
  <w:num w:numId="21">
    <w:abstractNumId w:val="16"/>
  </w:num>
  <w:num w:numId="22">
    <w:abstractNumId w:val="16"/>
  </w:num>
  <w:num w:numId="23">
    <w:abstractNumId w:val="12"/>
  </w:num>
  <w:num w:numId="24">
    <w:abstractNumId w:val="17"/>
  </w:num>
  <w:num w:numId="25">
    <w:abstractNumId w:val="16"/>
  </w:num>
  <w:num w:numId="26">
    <w:abstractNumId w:val="14"/>
  </w:num>
  <w:num w:numId="27">
    <w:abstractNumId w:val="17"/>
  </w:num>
  <w:num w:numId="28">
    <w:abstractNumId w:val="17"/>
  </w:num>
  <w:num w:numId="29">
    <w:abstractNumId w:val="17"/>
  </w:num>
  <w:num w:numId="30">
    <w:abstractNumId w:val="19"/>
  </w:num>
  <w:num w:numId="31">
    <w:abstractNumId w:val="23"/>
  </w:num>
  <w:num w:numId="32">
    <w:abstractNumId w:val="17"/>
  </w:num>
  <w:num w:numId="33">
    <w:abstractNumId w:val="16"/>
  </w:num>
  <w:num w:numId="34">
    <w:abstractNumId w:val="26"/>
  </w:num>
  <w:num w:numId="35">
    <w:abstractNumId w:val="3"/>
  </w:num>
  <w:num w:numId="36">
    <w:abstractNumId w:val="11"/>
  </w:num>
  <w:num w:numId="37">
    <w:abstractNumId w:val="4"/>
  </w:num>
  <w:num w:numId="38">
    <w:abstractNumId w:val="10"/>
  </w:num>
  <w:num w:numId="39">
    <w:abstractNumId w:val="2"/>
  </w:num>
  <w:num w:numId="40">
    <w:abstractNumId w:val="24"/>
  </w:num>
  <w:num w:numId="41">
    <w:abstractNumId w:val="22"/>
  </w:num>
  <w:num w:numId="42">
    <w:abstractNumId w:val="15"/>
  </w:num>
  <w:num w:numId="43">
    <w:abstractNumId w:val="0"/>
  </w:num>
  <w:num w:numId="44">
    <w:abstractNumId w:val="15"/>
    <w:lvlOverride w:ilvl="0">
      <w:startOverride w:val="1"/>
    </w:lvlOverride>
  </w:num>
  <w:num w:numId="45">
    <w:abstractNumId w:val="15"/>
  </w:num>
  <w:num w:numId="46">
    <w:abstractNumId w:val="15"/>
    <w:lvlOverride w:ilvl="0">
      <w:startOverride w:val="1"/>
    </w:lvlOverride>
  </w:num>
  <w:num w:numId="47">
    <w:abstractNumId w:val="15"/>
    <w:lvlOverride w:ilvl="0">
      <w:startOverride w:val="1"/>
    </w:lvlOverride>
  </w:num>
  <w:num w:numId="48">
    <w:abstractNumId w:val="1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12"/>
    <w:rsid w:val="0000224D"/>
    <w:rsid w:val="00003382"/>
    <w:rsid w:val="00004723"/>
    <w:rsid w:val="000058BF"/>
    <w:rsid w:val="00010DE4"/>
    <w:rsid w:val="00010E8B"/>
    <w:rsid w:val="00012281"/>
    <w:rsid w:val="00012FDE"/>
    <w:rsid w:val="00016CBC"/>
    <w:rsid w:val="000202A0"/>
    <w:rsid w:val="00023C93"/>
    <w:rsid w:val="00025308"/>
    <w:rsid w:val="00030205"/>
    <w:rsid w:val="000311C6"/>
    <w:rsid w:val="0003164F"/>
    <w:rsid w:val="00033D2A"/>
    <w:rsid w:val="00034126"/>
    <w:rsid w:val="0003474C"/>
    <w:rsid w:val="000350F2"/>
    <w:rsid w:val="00035AB6"/>
    <w:rsid w:val="000373BB"/>
    <w:rsid w:val="0004051F"/>
    <w:rsid w:val="000514B6"/>
    <w:rsid w:val="0005286A"/>
    <w:rsid w:val="00052BFB"/>
    <w:rsid w:val="0005318F"/>
    <w:rsid w:val="000539BD"/>
    <w:rsid w:val="00053F16"/>
    <w:rsid w:val="00060664"/>
    <w:rsid w:val="00060C07"/>
    <w:rsid w:val="000632F8"/>
    <w:rsid w:val="00063536"/>
    <w:rsid w:val="0006438D"/>
    <w:rsid w:val="00064EF0"/>
    <w:rsid w:val="000664E8"/>
    <w:rsid w:val="00070EA5"/>
    <w:rsid w:val="000722A5"/>
    <w:rsid w:val="00072B29"/>
    <w:rsid w:val="00073318"/>
    <w:rsid w:val="000739CD"/>
    <w:rsid w:val="000761C2"/>
    <w:rsid w:val="00080426"/>
    <w:rsid w:val="00080966"/>
    <w:rsid w:val="00081E3E"/>
    <w:rsid w:val="0008270A"/>
    <w:rsid w:val="00083CD0"/>
    <w:rsid w:val="000852EE"/>
    <w:rsid w:val="00085495"/>
    <w:rsid w:val="0008553F"/>
    <w:rsid w:val="0008601A"/>
    <w:rsid w:val="000866CE"/>
    <w:rsid w:val="000924B1"/>
    <w:rsid w:val="00092CC5"/>
    <w:rsid w:val="000937AA"/>
    <w:rsid w:val="00094141"/>
    <w:rsid w:val="00094F1D"/>
    <w:rsid w:val="0009747B"/>
    <w:rsid w:val="000A20EA"/>
    <w:rsid w:val="000A48CC"/>
    <w:rsid w:val="000A7E40"/>
    <w:rsid w:val="000B037D"/>
    <w:rsid w:val="000B0B02"/>
    <w:rsid w:val="000B28D8"/>
    <w:rsid w:val="000B405F"/>
    <w:rsid w:val="000B4D13"/>
    <w:rsid w:val="000B739A"/>
    <w:rsid w:val="000C3FA6"/>
    <w:rsid w:val="000C4BEA"/>
    <w:rsid w:val="000C4FEF"/>
    <w:rsid w:val="000D3C1C"/>
    <w:rsid w:val="000D531E"/>
    <w:rsid w:val="000E2690"/>
    <w:rsid w:val="000E454A"/>
    <w:rsid w:val="000E4745"/>
    <w:rsid w:val="000E5198"/>
    <w:rsid w:val="000E5560"/>
    <w:rsid w:val="000E61A3"/>
    <w:rsid w:val="000E746B"/>
    <w:rsid w:val="000F10EC"/>
    <w:rsid w:val="000F11AA"/>
    <w:rsid w:val="000F2D6C"/>
    <w:rsid w:val="000F2DCA"/>
    <w:rsid w:val="000F48AB"/>
    <w:rsid w:val="000F6295"/>
    <w:rsid w:val="00101E4B"/>
    <w:rsid w:val="00102C3E"/>
    <w:rsid w:val="00103A68"/>
    <w:rsid w:val="00106D8D"/>
    <w:rsid w:val="00107EE9"/>
    <w:rsid w:val="0011235F"/>
    <w:rsid w:val="00113344"/>
    <w:rsid w:val="00113CA2"/>
    <w:rsid w:val="00115AE7"/>
    <w:rsid w:val="00116432"/>
    <w:rsid w:val="00120147"/>
    <w:rsid w:val="00120D10"/>
    <w:rsid w:val="00122D28"/>
    <w:rsid w:val="001233DD"/>
    <w:rsid w:val="00123C4E"/>
    <w:rsid w:val="001258E8"/>
    <w:rsid w:val="001272F1"/>
    <w:rsid w:val="0013187A"/>
    <w:rsid w:val="00132A80"/>
    <w:rsid w:val="00133EF9"/>
    <w:rsid w:val="001373EB"/>
    <w:rsid w:val="00140527"/>
    <w:rsid w:val="00140C09"/>
    <w:rsid w:val="001411AE"/>
    <w:rsid w:val="00141BD6"/>
    <w:rsid w:val="0014395B"/>
    <w:rsid w:val="001444CE"/>
    <w:rsid w:val="00144814"/>
    <w:rsid w:val="001476B1"/>
    <w:rsid w:val="001507D3"/>
    <w:rsid w:val="00152A74"/>
    <w:rsid w:val="00154D35"/>
    <w:rsid w:val="00162AFD"/>
    <w:rsid w:val="00164759"/>
    <w:rsid w:val="0016542F"/>
    <w:rsid w:val="0016554A"/>
    <w:rsid w:val="00165D01"/>
    <w:rsid w:val="00167747"/>
    <w:rsid w:val="00171D05"/>
    <w:rsid w:val="00172D46"/>
    <w:rsid w:val="00175EA0"/>
    <w:rsid w:val="00177C12"/>
    <w:rsid w:val="00182457"/>
    <w:rsid w:val="0018585C"/>
    <w:rsid w:val="00185EBA"/>
    <w:rsid w:val="00186C97"/>
    <w:rsid w:val="00186CB5"/>
    <w:rsid w:val="00186D16"/>
    <w:rsid w:val="0019056E"/>
    <w:rsid w:val="00191376"/>
    <w:rsid w:val="001923B9"/>
    <w:rsid w:val="00193A65"/>
    <w:rsid w:val="00195C32"/>
    <w:rsid w:val="0019684C"/>
    <w:rsid w:val="001A308D"/>
    <w:rsid w:val="001A33EC"/>
    <w:rsid w:val="001A4801"/>
    <w:rsid w:val="001A518F"/>
    <w:rsid w:val="001A5A4A"/>
    <w:rsid w:val="001A5C9D"/>
    <w:rsid w:val="001B45A5"/>
    <w:rsid w:val="001B4703"/>
    <w:rsid w:val="001B4B8D"/>
    <w:rsid w:val="001C2A4D"/>
    <w:rsid w:val="001C3CB3"/>
    <w:rsid w:val="001C5F10"/>
    <w:rsid w:val="001C7DF5"/>
    <w:rsid w:val="001D2205"/>
    <w:rsid w:val="001D4D00"/>
    <w:rsid w:val="001D57D5"/>
    <w:rsid w:val="001D643B"/>
    <w:rsid w:val="001D6C2D"/>
    <w:rsid w:val="001D793A"/>
    <w:rsid w:val="001E0CD4"/>
    <w:rsid w:val="001E1932"/>
    <w:rsid w:val="001E283C"/>
    <w:rsid w:val="001E2D93"/>
    <w:rsid w:val="001E4732"/>
    <w:rsid w:val="001E6B53"/>
    <w:rsid w:val="001F0CFA"/>
    <w:rsid w:val="001F0EA5"/>
    <w:rsid w:val="001F17C8"/>
    <w:rsid w:val="001F451A"/>
    <w:rsid w:val="001F4B10"/>
    <w:rsid w:val="001F6106"/>
    <w:rsid w:val="001F6F4F"/>
    <w:rsid w:val="001F7B1B"/>
    <w:rsid w:val="00200AE5"/>
    <w:rsid w:val="00201B7E"/>
    <w:rsid w:val="00203B1B"/>
    <w:rsid w:val="00203B68"/>
    <w:rsid w:val="002063F6"/>
    <w:rsid w:val="0020730B"/>
    <w:rsid w:val="00211F7E"/>
    <w:rsid w:val="00212A04"/>
    <w:rsid w:val="00212B9B"/>
    <w:rsid w:val="00214759"/>
    <w:rsid w:val="00214E0C"/>
    <w:rsid w:val="00215402"/>
    <w:rsid w:val="002161F3"/>
    <w:rsid w:val="0021725C"/>
    <w:rsid w:val="002172CF"/>
    <w:rsid w:val="002175B5"/>
    <w:rsid w:val="0022030C"/>
    <w:rsid w:val="00220B0C"/>
    <w:rsid w:val="00221CAD"/>
    <w:rsid w:val="002232F4"/>
    <w:rsid w:val="00226085"/>
    <w:rsid w:val="002300C2"/>
    <w:rsid w:val="002402DE"/>
    <w:rsid w:val="00244712"/>
    <w:rsid w:val="00244C5E"/>
    <w:rsid w:val="0024509A"/>
    <w:rsid w:val="00246318"/>
    <w:rsid w:val="002506BD"/>
    <w:rsid w:val="00252E5B"/>
    <w:rsid w:val="0025610B"/>
    <w:rsid w:val="00256F5C"/>
    <w:rsid w:val="00256FE8"/>
    <w:rsid w:val="002613FD"/>
    <w:rsid w:val="00261969"/>
    <w:rsid w:val="00262F26"/>
    <w:rsid w:val="00262F47"/>
    <w:rsid w:val="0026614D"/>
    <w:rsid w:val="002677A9"/>
    <w:rsid w:val="00267A21"/>
    <w:rsid w:val="00274D3B"/>
    <w:rsid w:val="00276E86"/>
    <w:rsid w:val="0028427A"/>
    <w:rsid w:val="00285C7C"/>
    <w:rsid w:val="00286240"/>
    <w:rsid w:val="0028685C"/>
    <w:rsid w:val="0028781C"/>
    <w:rsid w:val="0029004B"/>
    <w:rsid w:val="002909E9"/>
    <w:rsid w:val="00290D6C"/>
    <w:rsid w:val="00294094"/>
    <w:rsid w:val="0029501F"/>
    <w:rsid w:val="00295BF6"/>
    <w:rsid w:val="00295C3F"/>
    <w:rsid w:val="002A01FC"/>
    <w:rsid w:val="002A0FA7"/>
    <w:rsid w:val="002A1F81"/>
    <w:rsid w:val="002A5FF2"/>
    <w:rsid w:val="002A6376"/>
    <w:rsid w:val="002A638A"/>
    <w:rsid w:val="002A7283"/>
    <w:rsid w:val="002B11DE"/>
    <w:rsid w:val="002B146F"/>
    <w:rsid w:val="002B1839"/>
    <w:rsid w:val="002B271A"/>
    <w:rsid w:val="002B37DE"/>
    <w:rsid w:val="002B4C59"/>
    <w:rsid w:val="002B4E56"/>
    <w:rsid w:val="002B7F16"/>
    <w:rsid w:val="002C1871"/>
    <w:rsid w:val="002C20F6"/>
    <w:rsid w:val="002C24E5"/>
    <w:rsid w:val="002C4209"/>
    <w:rsid w:val="002C45BB"/>
    <w:rsid w:val="002C4B2E"/>
    <w:rsid w:val="002D073B"/>
    <w:rsid w:val="002D0DBF"/>
    <w:rsid w:val="002D2E31"/>
    <w:rsid w:val="002D4C63"/>
    <w:rsid w:val="002D4D72"/>
    <w:rsid w:val="002D5055"/>
    <w:rsid w:val="002D674E"/>
    <w:rsid w:val="002D7218"/>
    <w:rsid w:val="002D72F7"/>
    <w:rsid w:val="002D74BB"/>
    <w:rsid w:val="002D7DFB"/>
    <w:rsid w:val="002E16CC"/>
    <w:rsid w:val="002E2564"/>
    <w:rsid w:val="002E5D41"/>
    <w:rsid w:val="002E7088"/>
    <w:rsid w:val="002F1183"/>
    <w:rsid w:val="002F4F17"/>
    <w:rsid w:val="002F5C81"/>
    <w:rsid w:val="002F71B0"/>
    <w:rsid w:val="002F7222"/>
    <w:rsid w:val="002F77D2"/>
    <w:rsid w:val="003027EA"/>
    <w:rsid w:val="003053D2"/>
    <w:rsid w:val="00307656"/>
    <w:rsid w:val="00310F09"/>
    <w:rsid w:val="00312810"/>
    <w:rsid w:val="00312ABA"/>
    <w:rsid w:val="00312B5E"/>
    <w:rsid w:val="00313188"/>
    <w:rsid w:val="00314B95"/>
    <w:rsid w:val="00320578"/>
    <w:rsid w:val="00321E47"/>
    <w:rsid w:val="00322B4E"/>
    <w:rsid w:val="003235AC"/>
    <w:rsid w:val="00323740"/>
    <w:rsid w:val="0032699A"/>
    <w:rsid w:val="00327FF2"/>
    <w:rsid w:val="00331D6A"/>
    <w:rsid w:val="00332E75"/>
    <w:rsid w:val="003340E5"/>
    <w:rsid w:val="00342589"/>
    <w:rsid w:val="00345471"/>
    <w:rsid w:val="00345C20"/>
    <w:rsid w:val="003471EC"/>
    <w:rsid w:val="003503CC"/>
    <w:rsid w:val="00351719"/>
    <w:rsid w:val="003524E1"/>
    <w:rsid w:val="00354ED2"/>
    <w:rsid w:val="003554C4"/>
    <w:rsid w:val="00355975"/>
    <w:rsid w:val="00357C0A"/>
    <w:rsid w:val="003611ED"/>
    <w:rsid w:val="0036180C"/>
    <w:rsid w:val="00364CF1"/>
    <w:rsid w:val="00366EEF"/>
    <w:rsid w:val="003723E5"/>
    <w:rsid w:val="00372D3F"/>
    <w:rsid w:val="00373043"/>
    <w:rsid w:val="003741A4"/>
    <w:rsid w:val="00375599"/>
    <w:rsid w:val="00375C0F"/>
    <w:rsid w:val="00381B68"/>
    <w:rsid w:val="003838CF"/>
    <w:rsid w:val="00384788"/>
    <w:rsid w:val="00386065"/>
    <w:rsid w:val="0038772D"/>
    <w:rsid w:val="00391F0E"/>
    <w:rsid w:val="00397C07"/>
    <w:rsid w:val="003A1CAC"/>
    <w:rsid w:val="003A3A15"/>
    <w:rsid w:val="003A4571"/>
    <w:rsid w:val="003A5E01"/>
    <w:rsid w:val="003A6F3B"/>
    <w:rsid w:val="003A7185"/>
    <w:rsid w:val="003A7526"/>
    <w:rsid w:val="003A7CEB"/>
    <w:rsid w:val="003B0243"/>
    <w:rsid w:val="003B178A"/>
    <w:rsid w:val="003B1C43"/>
    <w:rsid w:val="003B2849"/>
    <w:rsid w:val="003B52EA"/>
    <w:rsid w:val="003B66C9"/>
    <w:rsid w:val="003C30DF"/>
    <w:rsid w:val="003C3EF2"/>
    <w:rsid w:val="003C44FC"/>
    <w:rsid w:val="003C5C37"/>
    <w:rsid w:val="003C6CBB"/>
    <w:rsid w:val="003D0879"/>
    <w:rsid w:val="003D3D8D"/>
    <w:rsid w:val="003D5E1B"/>
    <w:rsid w:val="003D6D30"/>
    <w:rsid w:val="003D7D18"/>
    <w:rsid w:val="003D7E6F"/>
    <w:rsid w:val="003E0655"/>
    <w:rsid w:val="003E1547"/>
    <w:rsid w:val="003E1A18"/>
    <w:rsid w:val="003E30A9"/>
    <w:rsid w:val="003E3B9C"/>
    <w:rsid w:val="003E4080"/>
    <w:rsid w:val="003E70D2"/>
    <w:rsid w:val="003F09DC"/>
    <w:rsid w:val="003F14C3"/>
    <w:rsid w:val="003F173E"/>
    <w:rsid w:val="003F2780"/>
    <w:rsid w:val="003F4AB7"/>
    <w:rsid w:val="003F4B0E"/>
    <w:rsid w:val="003F5A2D"/>
    <w:rsid w:val="003F7CC0"/>
    <w:rsid w:val="00401E4F"/>
    <w:rsid w:val="0040482F"/>
    <w:rsid w:val="00404C74"/>
    <w:rsid w:val="0040593E"/>
    <w:rsid w:val="00407811"/>
    <w:rsid w:val="00407D9E"/>
    <w:rsid w:val="004105F5"/>
    <w:rsid w:val="00411AB0"/>
    <w:rsid w:val="004122A5"/>
    <w:rsid w:val="004133EE"/>
    <w:rsid w:val="004141F3"/>
    <w:rsid w:val="00416811"/>
    <w:rsid w:val="004168EC"/>
    <w:rsid w:val="00417FC9"/>
    <w:rsid w:val="00421482"/>
    <w:rsid w:val="00421529"/>
    <w:rsid w:val="00421B29"/>
    <w:rsid w:val="00421FD5"/>
    <w:rsid w:val="004232E1"/>
    <w:rsid w:val="004242ED"/>
    <w:rsid w:val="00430FEC"/>
    <w:rsid w:val="00431E6E"/>
    <w:rsid w:val="00433DD1"/>
    <w:rsid w:val="00435982"/>
    <w:rsid w:val="00440015"/>
    <w:rsid w:val="00440C0E"/>
    <w:rsid w:val="00443F56"/>
    <w:rsid w:val="00444A13"/>
    <w:rsid w:val="00444BB6"/>
    <w:rsid w:val="00445A3B"/>
    <w:rsid w:val="00446F96"/>
    <w:rsid w:val="00454401"/>
    <w:rsid w:val="004550E8"/>
    <w:rsid w:val="004561ED"/>
    <w:rsid w:val="00457580"/>
    <w:rsid w:val="00461696"/>
    <w:rsid w:val="0046199B"/>
    <w:rsid w:val="004627C7"/>
    <w:rsid w:val="004651EA"/>
    <w:rsid w:val="00471D51"/>
    <w:rsid w:val="00474875"/>
    <w:rsid w:val="0047566F"/>
    <w:rsid w:val="004756C8"/>
    <w:rsid w:val="00482162"/>
    <w:rsid w:val="00485197"/>
    <w:rsid w:val="00485FF5"/>
    <w:rsid w:val="004879A8"/>
    <w:rsid w:val="00490BEC"/>
    <w:rsid w:val="00490D3F"/>
    <w:rsid w:val="00493952"/>
    <w:rsid w:val="00495197"/>
    <w:rsid w:val="00495934"/>
    <w:rsid w:val="00496F03"/>
    <w:rsid w:val="004A0B9F"/>
    <w:rsid w:val="004A3147"/>
    <w:rsid w:val="004A4258"/>
    <w:rsid w:val="004A4966"/>
    <w:rsid w:val="004A5BEA"/>
    <w:rsid w:val="004B2232"/>
    <w:rsid w:val="004B25B0"/>
    <w:rsid w:val="004B25E1"/>
    <w:rsid w:val="004B524B"/>
    <w:rsid w:val="004B5D64"/>
    <w:rsid w:val="004B7BE8"/>
    <w:rsid w:val="004B7DC4"/>
    <w:rsid w:val="004C3A0D"/>
    <w:rsid w:val="004C40ED"/>
    <w:rsid w:val="004C434B"/>
    <w:rsid w:val="004C7159"/>
    <w:rsid w:val="004C7E77"/>
    <w:rsid w:val="004D2E9D"/>
    <w:rsid w:val="004D33BC"/>
    <w:rsid w:val="004D6748"/>
    <w:rsid w:val="004D68B2"/>
    <w:rsid w:val="004E09DF"/>
    <w:rsid w:val="004E0C94"/>
    <w:rsid w:val="004E1C2C"/>
    <w:rsid w:val="004E1FEB"/>
    <w:rsid w:val="004E4883"/>
    <w:rsid w:val="004E5885"/>
    <w:rsid w:val="004E5BED"/>
    <w:rsid w:val="004E68AA"/>
    <w:rsid w:val="004F109D"/>
    <w:rsid w:val="004F2AB7"/>
    <w:rsid w:val="004F39D0"/>
    <w:rsid w:val="004F427F"/>
    <w:rsid w:val="004F47A7"/>
    <w:rsid w:val="004F558E"/>
    <w:rsid w:val="004F73BF"/>
    <w:rsid w:val="004F778E"/>
    <w:rsid w:val="00500E84"/>
    <w:rsid w:val="005028EB"/>
    <w:rsid w:val="005032C8"/>
    <w:rsid w:val="0050372B"/>
    <w:rsid w:val="00504A37"/>
    <w:rsid w:val="0050653F"/>
    <w:rsid w:val="00512BF9"/>
    <w:rsid w:val="005153CA"/>
    <w:rsid w:val="00516417"/>
    <w:rsid w:val="0052154A"/>
    <w:rsid w:val="00524290"/>
    <w:rsid w:val="00525783"/>
    <w:rsid w:val="00525825"/>
    <w:rsid w:val="00526D5E"/>
    <w:rsid w:val="00527AC3"/>
    <w:rsid w:val="00530C85"/>
    <w:rsid w:val="00532A68"/>
    <w:rsid w:val="00533E30"/>
    <w:rsid w:val="005342DD"/>
    <w:rsid w:val="0053578E"/>
    <w:rsid w:val="005365F6"/>
    <w:rsid w:val="00536DA2"/>
    <w:rsid w:val="00537DE7"/>
    <w:rsid w:val="00541BEC"/>
    <w:rsid w:val="00541F58"/>
    <w:rsid w:val="00543EB6"/>
    <w:rsid w:val="0054722C"/>
    <w:rsid w:val="00550275"/>
    <w:rsid w:val="00552277"/>
    <w:rsid w:val="0055230E"/>
    <w:rsid w:val="00553A29"/>
    <w:rsid w:val="00553E4D"/>
    <w:rsid w:val="005541CB"/>
    <w:rsid w:val="00555218"/>
    <w:rsid w:val="00556F50"/>
    <w:rsid w:val="005639A5"/>
    <w:rsid w:val="00563C74"/>
    <w:rsid w:val="00564912"/>
    <w:rsid w:val="00564C20"/>
    <w:rsid w:val="00567EA9"/>
    <w:rsid w:val="00571F79"/>
    <w:rsid w:val="0057591E"/>
    <w:rsid w:val="00575FF8"/>
    <w:rsid w:val="005859A7"/>
    <w:rsid w:val="00586496"/>
    <w:rsid w:val="005878CD"/>
    <w:rsid w:val="00590E43"/>
    <w:rsid w:val="00596448"/>
    <w:rsid w:val="00596B6D"/>
    <w:rsid w:val="00597228"/>
    <w:rsid w:val="005A0312"/>
    <w:rsid w:val="005A29AE"/>
    <w:rsid w:val="005A3A0F"/>
    <w:rsid w:val="005A4045"/>
    <w:rsid w:val="005A4217"/>
    <w:rsid w:val="005A60E2"/>
    <w:rsid w:val="005B2D08"/>
    <w:rsid w:val="005B354F"/>
    <w:rsid w:val="005B4FDC"/>
    <w:rsid w:val="005B63D1"/>
    <w:rsid w:val="005B72A6"/>
    <w:rsid w:val="005C1A8A"/>
    <w:rsid w:val="005C351C"/>
    <w:rsid w:val="005C48C1"/>
    <w:rsid w:val="005C50ED"/>
    <w:rsid w:val="005C65A4"/>
    <w:rsid w:val="005C6900"/>
    <w:rsid w:val="005D0F39"/>
    <w:rsid w:val="005D3303"/>
    <w:rsid w:val="005D3D3C"/>
    <w:rsid w:val="005D4B46"/>
    <w:rsid w:val="005D5043"/>
    <w:rsid w:val="005D5FBA"/>
    <w:rsid w:val="005E05DC"/>
    <w:rsid w:val="005E203E"/>
    <w:rsid w:val="005E31EC"/>
    <w:rsid w:val="005E3D2C"/>
    <w:rsid w:val="005E47F8"/>
    <w:rsid w:val="005E4CEE"/>
    <w:rsid w:val="005E51F2"/>
    <w:rsid w:val="005E67A6"/>
    <w:rsid w:val="005F0320"/>
    <w:rsid w:val="005F0F74"/>
    <w:rsid w:val="005F3639"/>
    <w:rsid w:val="005F6E0F"/>
    <w:rsid w:val="006018FA"/>
    <w:rsid w:val="00602AC3"/>
    <w:rsid w:val="006056CD"/>
    <w:rsid w:val="0061020E"/>
    <w:rsid w:val="006105EE"/>
    <w:rsid w:val="006223C1"/>
    <w:rsid w:val="00623F15"/>
    <w:rsid w:val="00624C8F"/>
    <w:rsid w:val="00625511"/>
    <w:rsid w:val="006261BF"/>
    <w:rsid w:val="00627945"/>
    <w:rsid w:val="00631FBC"/>
    <w:rsid w:val="006347CB"/>
    <w:rsid w:val="00637AA4"/>
    <w:rsid w:val="006429E5"/>
    <w:rsid w:val="00644C4A"/>
    <w:rsid w:val="0064695E"/>
    <w:rsid w:val="0065282F"/>
    <w:rsid w:val="00652897"/>
    <w:rsid w:val="006528FC"/>
    <w:rsid w:val="00653A13"/>
    <w:rsid w:val="006550F3"/>
    <w:rsid w:val="00656573"/>
    <w:rsid w:val="006636DE"/>
    <w:rsid w:val="00663CE9"/>
    <w:rsid w:val="0066697F"/>
    <w:rsid w:val="00667DF8"/>
    <w:rsid w:val="00671C66"/>
    <w:rsid w:val="0067236E"/>
    <w:rsid w:val="00672F10"/>
    <w:rsid w:val="00673BD7"/>
    <w:rsid w:val="006745A7"/>
    <w:rsid w:val="00675532"/>
    <w:rsid w:val="006774BE"/>
    <w:rsid w:val="006775B6"/>
    <w:rsid w:val="0068004D"/>
    <w:rsid w:val="00680BA8"/>
    <w:rsid w:val="00683D94"/>
    <w:rsid w:val="006858CB"/>
    <w:rsid w:val="0068645A"/>
    <w:rsid w:val="00686831"/>
    <w:rsid w:val="00686C81"/>
    <w:rsid w:val="006870F8"/>
    <w:rsid w:val="00692D8F"/>
    <w:rsid w:val="00695DD0"/>
    <w:rsid w:val="006A0726"/>
    <w:rsid w:val="006A2CF9"/>
    <w:rsid w:val="006A35B7"/>
    <w:rsid w:val="006A3711"/>
    <w:rsid w:val="006A4402"/>
    <w:rsid w:val="006A5D82"/>
    <w:rsid w:val="006A639A"/>
    <w:rsid w:val="006B0EF8"/>
    <w:rsid w:val="006B1D87"/>
    <w:rsid w:val="006B271C"/>
    <w:rsid w:val="006B37F5"/>
    <w:rsid w:val="006B6256"/>
    <w:rsid w:val="006C356E"/>
    <w:rsid w:val="006C360E"/>
    <w:rsid w:val="006C4A7C"/>
    <w:rsid w:val="006D092B"/>
    <w:rsid w:val="006D19FD"/>
    <w:rsid w:val="006D7B0A"/>
    <w:rsid w:val="006E0C6F"/>
    <w:rsid w:val="006E5926"/>
    <w:rsid w:val="006E70F0"/>
    <w:rsid w:val="006E7478"/>
    <w:rsid w:val="006F032E"/>
    <w:rsid w:val="006F25F0"/>
    <w:rsid w:val="006F4D75"/>
    <w:rsid w:val="006F52A5"/>
    <w:rsid w:val="006F6F08"/>
    <w:rsid w:val="0070006F"/>
    <w:rsid w:val="00701179"/>
    <w:rsid w:val="0070150D"/>
    <w:rsid w:val="007025EA"/>
    <w:rsid w:val="007041E9"/>
    <w:rsid w:val="0070429F"/>
    <w:rsid w:val="00705115"/>
    <w:rsid w:val="0070649A"/>
    <w:rsid w:val="007075DD"/>
    <w:rsid w:val="00712F19"/>
    <w:rsid w:val="00714ED0"/>
    <w:rsid w:val="00717034"/>
    <w:rsid w:val="0071703A"/>
    <w:rsid w:val="00720380"/>
    <w:rsid w:val="0072055F"/>
    <w:rsid w:val="00721A3F"/>
    <w:rsid w:val="0072205E"/>
    <w:rsid w:val="00723539"/>
    <w:rsid w:val="00724278"/>
    <w:rsid w:val="007260DC"/>
    <w:rsid w:val="00726296"/>
    <w:rsid w:val="00727264"/>
    <w:rsid w:val="0073245A"/>
    <w:rsid w:val="007327BD"/>
    <w:rsid w:val="00735946"/>
    <w:rsid w:val="007406B5"/>
    <w:rsid w:val="00740EAB"/>
    <w:rsid w:val="00742927"/>
    <w:rsid w:val="007439CA"/>
    <w:rsid w:val="00745CE0"/>
    <w:rsid w:val="00746228"/>
    <w:rsid w:val="007468E1"/>
    <w:rsid w:val="00747035"/>
    <w:rsid w:val="00752A6C"/>
    <w:rsid w:val="00753205"/>
    <w:rsid w:val="007542ED"/>
    <w:rsid w:val="00755504"/>
    <w:rsid w:val="00760316"/>
    <w:rsid w:val="007608B2"/>
    <w:rsid w:val="00762161"/>
    <w:rsid w:val="00766152"/>
    <w:rsid w:val="00766364"/>
    <w:rsid w:val="00772EBB"/>
    <w:rsid w:val="00772F5E"/>
    <w:rsid w:val="00774830"/>
    <w:rsid w:val="00774C64"/>
    <w:rsid w:val="007750CA"/>
    <w:rsid w:val="00775677"/>
    <w:rsid w:val="007775D1"/>
    <w:rsid w:val="00786304"/>
    <w:rsid w:val="00793EED"/>
    <w:rsid w:val="00794124"/>
    <w:rsid w:val="007943CD"/>
    <w:rsid w:val="00794D51"/>
    <w:rsid w:val="00796852"/>
    <w:rsid w:val="007A01AA"/>
    <w:rsid w:val="007A0E0C"/>
    <w:rsid w:val="007A2254"/>
    <w:rsid w:val="007A351A"/>
    <w:rsid w:val="007A587D"/>
    <w:rsid w:val="007A7991"/>
    <w:rsid w:val="007B1DC5"/>
    <w:rsid w:val="007B1DD4"/>
    <w:rsid w:val="007B38E0"/>
    <w:rsid w:val="007B4DC5"/>
    <w:rsid w:val="007B6FDF"/>
    <w:rsid w:val="007B701B"/>
    <w:rsid w:val="007C143A"/>
    <w:rsid w:val="007C38B2"/>
    <w:rsid w:val="007C5AF7"/>
    <w:rsid w:val="007C65A0"/>
    <w:rsid w:val="007D4130"/>
    <w:rsid w:val="007D54D1"/>
    <w:rsid w:val="007D6BF5"/>
    <w:rsid w:val="007E0816"/>
    <w:rsid w:val="007E1614"/>
    <w:rsid w:val="007E3417"/>
    <w:rsid w:val="007E34A9"/>
    <w:rsid w:val="007E3DDE"/>
    <w:rsid w:val="007E3FF9"/>
    <w:rsid w:val="007E52FC"/>
    <w:rsid w:val="007F001A"/>
    <w:rsid w:val="007F02BD"/>
    <w:rsid w:val="007F0FC2"/>
    <w:rsid w:val="007F29DE"/>
    <w:rsid w:val="007F3B25"/>
    <w:rsid w:val="007F5D9A"/>
    <w:rsid w:val="00800B19"/>
    <w:rsid w:val="0080362F"/>
    <w:rsid w:val="00804647"/>
    <w:rsid w:val="008052C0"/>
    <w:rsid w:val="00810840"/>
    <w:rsid w:val="008134E6"/>
    <w:rsid w:val="00813FF1"/>
    <w:rsid w:val="00814580"/>
    <w:rsid w:val="00815D68"/>
    <w:rsid w:val="00815E05"/>
    <w:rsid w:val="008166AC"/>
    <w:rsid w:val="00817AF9"/>
    <w:rsid w:val="00817FF4"/>
    <w:rsid w:val="008205C7"/>
    <w:rsid w:val="00822A65"/>
    <w:rsid w:val="00825877"/>
    <w:rsid w:val="008259C3"/>
    <w:rsid w:val="0083146E"/>
    <w:rsid w:val="0083470C"/>
    <w:rsid w:val="008353B6"/>
    <w:rsid w:val="008365B3"/>
    <w:rsid w:val="008405BD"/>
    <w:rsid w:val="00841C26"/>
    <w:rsid w:val="008475D8"/>
    <w:rsid w:val="00850EF0"/>
    <w:rsid w:val="00854107"/>
    <w:rsid w:val="00855ED3"/>
    <w:rsid w:val="008575EF"/>
    <w:rsid w:val="0086090C"/>
    <w:rsid w:val="00861D0B"/>
    <w:rsid w:val="00862829"/>
    <w:rsid w:val="00863BE6"/>
    <w:rsid w:val="00867250"/>
    <w:rsid w:val="00867E8A"/>
    <w:rsid w:val="0087025D"/>
    <w:rsid w:val="00877FEB"/>
    <w:rsid w:val="008813E0"/>
    <w:rsid w:val="00881C4D"/>
    <w:rsid w:val="00882736"/>
    <w:rsid w:val="008829A1"/>
    <w:rsid w:val="00885E29"/>
    <w:rsid w:val="008866B8"/>
    <w:rsid w:val="0088679F"/>
    <w:rsid w:val="008869A8"/>
    <w:rsid w:val="00887581"/>
    <w:rsid w:val="008918E4"/>
    <w:rsid w:val="00892820"/>
    <w:rsid w:val="00894148"/>
    <w:rsid w:val="008943A3"/>
    <w:rsid w:val="00894BD8"/>
    <w:rsid w:val="00894F0E"/>
    <w:rsid w:val="008956FD"/>
    <w:rsid w:val="008964B5"/>
    <w:rsid w:val="00897FD6"/>
    <w:rsid w:val="008A296C"/>
    <w:rsid w:val="008A2A2E"/>
    <w:rsid w:val="008A3F6E"/>
    <w:rsid w:val="008A4AB4"/>
    <w:rsid w:val="008A6905"/>
    <w:rsid w:val="008A7B95"/>
    <w:rsid w:val="008B37B4"/>
    <w:rsid w:val="008B3A5E"/>
    <w:rsid w:val="008B4F01"/>
    <w:rsid w:val="008B5374"/>
    <w:rsid w:val="008B7262"/>
    <w:rsid w:val="008C206A"/>
    <w:rsid w:val="008C219B"/>
    <w:rsid w:val="008C3D01"/>
    <w:rsid w:val="008C5C2D"/>
    <w:rsid w:val="008C665A"/>
    <w:rsid w:val="008C724F"/>
    <w:rsid w:val="008C745A"/>
    <w:rsid w:val="008D15CC"/>
    <w:rsid w:val="008D1C80"/>
    <w:rsid w:val="008D1D68"/>
    <w:rsid w:val="008D285C"/>
    <w:rsid w:val="008D2949"/>
    <w:rsid w:val="008D423F"/>
    <w:rsid w:val="008D5478"/>
    <w:rsid w:val="008D79ED"/>
    <w:rsid w:val="008D7D5A"/>
    <w:rsid w:val="008E086E"/>
    <w:rsid w:val="008E2B76"/>
    <w:rsid w:val="008E2FED"/>
    <w:rsid w:val="008E3068"/>
    <w:rsid w:val="008E42FF"/>
    <w:rsid w:val="008F46A0"/>
    <w:rsid w:val="008F6C33"/>
    <w:rsid w:val="0090143B"/>
    <w:rsid w:val="00905443"/>
    <w:rsid w:val="00905C1C"/>
    <w:rsid w:val="00910FEA"/>
    <w:rsid w:val="009120D3"/>
    <w:rsid w:val="00912F3E"/>
    <w:rsid w:val="00913E1F"/>
    <w:rsid w:val="0091554A"/>
    <w:rsid w:val="0091613E"/>
    <w:rsid w:val="00921643"/>
    <w:rsid w:val="009247E9"/>
    <w:rsid w:val="0092554F"/>
    <w:rsid w:val="00933042"/>
    <w:rsid w:val="00933149"/>
    <w:rsid w:val="009342F0"/>
    <w:rsid w:val="009344C8"/>
    <w:rsid w:val="00937028"/>
    <w:rsid w:val="00941F8F"/>
    <w:rsid w:val="00943F32"/>
    <w:rsid w:val="00945974"/>
    <w:rsid w:val="00945FC4"/>
    <w:rsid w:val="00946DCD"/>
    <w:rsid w:val="00946F74"/>
    <w:rsid w:val="00950166"/>
    <w:rsid w:val="0095220D"/>
    <w:rsid w:val="0095274F"/>
    <w:rsid w:val="00952A1C"/>
    <w:rsid w:val="009540C4"/>
    <w:rsid w:val="00954239"/>
    <w:rsid w:val="0095704E"/>
    <w:rsid w:val="00957587"/>
    <w:rsid w:val="00961112"/>
    <w:rsid w:val="00964272"/>
    <w:rsid w:val="009664C8"/>
    <w:rsid w:val="009675EE"/>
    <w:rsid w:val="00967FE0"/>
    <w:rsid w:val="009705AB"/>
    <w:rsid w:val="009712D3"/>
    <w:rsid w:val="00973970"/>
    <w:rsid w:val="009759D2"/>
    <w:rsid w:val="0097783E"/>
    <w:rsid w:val="00980123"/>
    <w:rsid w:val="00981233"/>
    <w:rsid w:val="009816CD"/>
    <w:rsid w:val="00983093"/>
    <w:rsid w:val="009833BC"/>
    <w:rsid w:val="00985D4A"/>
    <w:rsid w:val="00987413"/>
    <w:rsid w:val="009926FC"/>
    <w:rsid w:val="0099412E"/>
    <w:rsid w:val="009978FD"/>
    <w:rsid w:val="009A03A5"/>
    <w:rsid w:val="009A05F7"/>
    <w:rsid w:val="009A2D6E"/>
    <w:rsid w:val="009A3396"/>
    <w:rsid w:val="009A37A3"/>
    <w:rsid w:val="009A3B8F"/>
    <w:rsid w:val="009A3C0D"/>
    <w:rsid w:val="009A5C4C"/>
    <w:rsid w:val="009A7647"/>
    <w:rsid w:val="009A7CA4"/>
    <w:rsid w:val="009B1FC5"/>
    <w:rsid w:val="009B2491"/>
    <w:rsid w:val="009B3016"/>
    <w:rsid w:val="009B31FC"/>
    <w:rsid w:val="009B340D"/>
    <w:rsid w:val="009B4358"/>
    <w:rsid w:val="009B6232"/>
    <w:rsid w:val="009B691D"/>
    <w:rsid w:val="009C0F6D"/>
    <w:rsid w:val="009C47BB"/>
    <w:rsid w:val="009D029C"/>
    <w:rsid w:val="009D144B"/>
    <w:rsid w:val="009D245A"/>
    <w:rsid w:val="009D3081"/>
    <w:rsid w:val="009D4AE2"/>
    <w:rsid w:val="009D54F0"/>
    <w:rsid w:val="009D6CD8"/>
    <w:rsid w:val="009E1E4A"/>
    <w:rsid w:val="009E1EA6"/>
    <w:rsid w:val="009E4711"/>
    <w:rsid w:val="009E6DC8"/>
    <w:rsid w:val="009F09A4"/>
    <w:rsid w:val="009F0CE2"/>
    <w:rsid w:val="009F50CE"/>
    <w:rsid w:val="009F6537"/>
    <w:rsid w:val="009F67C9"/>
    <w:rsid w:val="009F7397"/>
    <w:rsid w:val="009F7843"/>
    <w:rsid w:val="00A019D6"/>
    <w:rsid w:val="00A03F27"/>
    <w:rsid w:val="00A03FF7"/>
    <w:rsid w:val="00A04BD0"/>
    <w:rsid w:val="00A0526F"/>
    <w:rsid w:val="00A0599E"/>
    <w:rsid w:val="00A06A04"/>
    <w:rsid w:val="00A07DE5"/>
    <w:rsid w:val="00A1089E"/>
    <w:rsid w:val="00A1476D"/>
    <w:rsid w:val="00A15099"/>
    <w:rsid w:val="00A15D69"/>
    <w:rsid w:val="00A23910"/>
    <w:rsid w:val="00A24DD5"/>
    <w:rsid w:val="00A25733"/>
    <w:rsid w:val="00A25F10"/>
    <w:rsid w:val="00A27F8B"/>
    <w:rsid w:val="00A303F0"/>
    <w:rsid w:val="00A3175F"/>
    <w:rsid w:val="00A32A92"/>
    <w:rsid w:val="00A32C07"/>
    <w:rsid w:val="00A3424B"/>
    <w:rsid w:val="00A40788"/>
    <w:rsid w:val="00A4241A"/>
    <w:rsid w:val="00A438A0"/>
    <w:rsid w:val="00A43E83"/>
    <w:rsid w:val="00A4558F"/>
    <w:rsid w:val="00A47311"/>
    <w:rsid w:val="00A51872"/>
    <w:rsid w:val="00A51C11"/>
    <w:rsid w:val="00A51C21"/>
    <w:rsid w:val="00A531A6"/>
    <w:rsid w:val="00A53576"/>
    <w:rsid w:val="00A53757"/>
    <w:rsid w:val="00A53FF8"/>
    <w:rsid w:val="00A55DFD"/>
    <w:rsid w:val="00A57FFA"/>
    <w:rsid w:val="00A60150"/>
    <w:rsid w:val="00A60684"/>
    <w:rsid w:val="00A6165D"/>
    <w:rsid w:val="00A61980"/>
    <w:rsid w:val="00A6198F"/>
    <w:rsid w:val="00A62B87"/>
    <w:rsid w:val="00A63349"/>
    <w:rsid w:val="00A64B35"/>
    <w:rsid w:val="00A67679"/>
    <w:rsid w:val="00A6785A"/>
    <w:rsid w:val="00A71E66"/>
    <w:rsid w:val="00A751CA"/>
    <w:rsid w:val="00A75EB5"/>
    <w:rsid w:val="00A77C16"/>
    <w:rsid w:val="00A81328"/>
    <w:rsid w:val="00A8231A"/>
    <w:rsid w:val="00A8305A"/>
    <w:rsid w:val="00A84172"/>
    <w:rsid w:val="00A844F6"/>
    <w:rsid w:val="00A85CFE"/>
    <w:rsid w:val="00A913B9"/>
    <w:rsid w:val="00A914B6"/>
    <w:rsid w:val="00A92215"/>
    <w:rsid w:val="00A9306F"/>
    <w:rsid w:val="00A957D0"/>
    <w:rsid w:val="00A97B2D"/>
    <w:rsid w:val="00A97F7A"/>
    <w:rsid w:val="00AA28C0"/>
    <w:rsid w:val="00AA3544"/>
    <w:rsid w:val="00AA5B30"/>
    <w:rsid w:val="00AA6C4E"/>
    <w:rsid w:val="00AA7B8C"/>
    <w:rsid w:val="00AB4319"/>
    <w:rsid w:val="00AB513C"/>
    <w:rsid w:val="00AC33F3"/>
    <w:rsid w:val="00AC34B3"/>
    <w:rsid w:val="00AC35A2"/>
    <w:rsid w:val="00AC3D07"/>
    <w:rsid w:val="00AC45E6"/>
    <w:rsid w:val="00AC4EE4"/>
    <w:rsid w:val="00AC535E"/>
    <w:rsid w:val="00AC68C4"/>
    <w:rsid w:val="00AD1173"/>
    <w:rsid w:val="00AD18D2"/>
    <w:rsid w:val="00AD1F5C"/>
    <w:rsid w:val="00AD2592"/>
    <w:rsid w:val="00AD4052"/>
    <w:rsid w:val="00AD52A4"/>
    <w:rsid w:val="00AE0866"/>
    <w:rsid w:val="00AE7C65"/>
    <w:rsid w:val="00AF11D1"/>
    <w:rsid w:val="00AF6C32"/>
    <w:rsid w:val="00AF7416"/>
    <w:rsid w:val="00AF749F"/>
    <w:rsid w:val="00B00089"/>
    <w:rsid w:val="00B00E4D"/>
    <w:rsid w:val="00B00ECF"/>
    <w:rsid w:val="00B026B5"/>
    <w:rsid w:val="00B02C0C"/>
    <w:rsid w:val="00B05388"/>
    <w:rsid w:val="00B05F22"/>
    <w:rsid w:val="00B066DD"/>
    <w:rsid w:val="00B07EE9"/>
    <w:rsid w:val="00B10C8A"/>
    <w:rsid w:val="00B10C8E"/>
    <w:rsid w:val="00B10E88"/>
    <w:rsid w:val="00B1250D"/>
    <w:rsid w:val="00B1448E"/>
    <w:rsid w:val="00B14D3A"/>
    <w:rsid w:val="00B15B8A"/>
    <w:rsid w:val="00B23417"/>
    <w:rsid w:val="00B25CB8"/>
    <w:rsid w:val="00B2726C"/>
    <w:rsid w:val="00B30FC8"/>
    <w:rsid w:val="00B32E83"/>
    <w:rsid w:val="00B34704"/>
    <w:rsid w:val="00B34C14"/>
    <w:rsid w:val="00B354B2"/>
    <w:rsid w:val="00B40B43"/>
    <w:rsid w:val="00B41161"/>
    <w:rsid w:val="00B42677"/>
    <w:rsid w:val="00B454F2"/>
    <w:rsid w:val="00B46AEB"/>
    <w:rsid w:val="00B47FBD"/>
    <w:rsid w:val="00B53A1F"/>
    <w:rsid w:val="00B54881"/>
    <w:rsid w:val="00B56B06"/>
    <w:rsid w:val="00B56DCB"/>
    <w:rsid w:val="00B572A3"/>
    <w:rsid w:val="00B57A04"/>
    <w:rsid w:val="00B61783"/>
    <w:rsid w:val="00B64B9A"/>
    <w:rsid w:val="00B676F0"/>
    <w:rsid w:val="00B70BB7"/>
    <w:rsid w:val="00B71453"/>
    <w:rsid w:val="00B73D37"/>
    <w:rsid w:val="00B74A62"/>
    <w:rsid w:val="00B74A94"/>
    <w:rsid w:val="00B75AD5"/>
    <w:rsid w:val="00B774D3"/>
    <w:rsid w:val="00B8024E"/>
    <w:rsid w:val="00B83241"/>
    <w:rsid w:val="00B83700"/>
    <w:rsid w:val="00B85067"/>
    <w:rsid w:val="00B86E48"/>
    <w:rsid w:val="00B874A1"/>
    <w:rsid w:val="00B90B9A"/>
    <w:rsid w:val="00B935E9"/>
    <w:rsid w:val="00B93ABC"/>
    <w:rsid w:val="00B9427F"/>
    <w:rsid w:val="00B9551E"/>
    <w:rsid w:val="00B96C83"/>
    <w:rsid w:val="00BA3AF0"/>
    <w:rsid w:val="00BA6A05"/>
    <w:rsid w:val="00BA6E0A"/>
    <w:rsid w:val="00BA7EF9"/>
    <w:rsid w:val="00BB0B26"/>
    <w:rsid w:val="00BB12AA"/>
    <w:rsid w:val="00BB2048"/>
    <w:rsid w:val="00BB3BB5"/>
    <w:rsid w:val="00BB7065"/>
    <w:rsid w:val="00BB77C5"/>
    <w:rsid w:val="00BC10F3"/>
    <w:rsid w:val="00BC18D8"/>
    <w:rsid w:val="00BC25C9"/>
    <w:rsid w:val="00BC76C2"/>
    <w:rsid w:val="00BC7D44"/>
    <w:rsid w:val="00BD00C4"/>
    <w:rsid w:val="00BD17C1"/>
    <w:rsid w:val="00BD256F"/>
    <w:rsid w:val="00BD478C"/>
    <w:rsid w:val="00BD4DFF"/>
    <w:rsid w:val="00BD5980"/>
    <w:rsid w:val="00BE0548"/>
    <w:rsid w:val="00BE1310"/>
    <w:rsid w:val="00BE132A"/>
    <w:rsid w:val="00BE33C1"/>
    <w:rsid w:val="00BE60F6"/>
    <w:rsid w:val="00BE6B6A"/>
    <w:rsid w:val="00BE6D05"/>
    <w:rsid w:val="00BE7020"/>
    <w:rsid w:val="00BF0013"/>
    <w:rsid w:val="00BF2CDD"/>
    <w:rsid w:val="00BF5B63"/>
    <w:rsid w:val="00BF7094"/>
    <w:rsid w:val="00C03D83"/>
    <w:rsid w:val="00C03F80"/>
    <w:rsid w:val="00C04F4C"/>
    <w:rsid w:val="00C106BD"/>
    <w:rsid w:val="00C11559"/>
    <w:rsid w:val="00C16906"/>
    <w:rsid w:val="00C22121"/>
    <w:rsid w:val="00C23452"/>
    <w:rsid w:val="00C247FF"/>
    <w:rsid w:val="00C24C2E"/>
    <w:rsid w:val="00C24F2B"/>
    <w:rsid w:val="00C25D5C"/>
    <w:rsid w:val="00C32B9D"/>
    <w:rsid w:val="00C35B4C"/>
    <w:rsid w:val="00C3683C"/>
    <w:rsid w:val="00C37F66"/>
    <w:rsid w:val="00C43233"/>
    <w:rsid w:val="00C50308"/>
    <w:rsid w:val="00C52D72"/>
    <w:rsid w:val="00C5405A"/>
    <w:rsid w:val="00C553DE"/>
    <w:rsid w:val="00C57155"/>
    <w:rsid w:val="00C625F9"/>
    <w:rsid w:val="00C66191"/>
    <w:rsid w:val="00C70106"/>
    <w:rsid w:val="00C72143"/>
    <w:rsid w:val="00C74187"/>
    <w:rsid w:val="00C7470A"/>
    <w:rsid w:val="00C749A3"/>
    <w:rsid w:val="00C7500B"/>
    <w:rsid w:val="00C75952"/>
    <w:rsid w:val="00C76AB9"/>
    <w:rsid w:val="00C8116E"/>
    <w:rsid w:val="00C8472B"/>
    <w:rsid w:val="00C8797A"/>
    <w:rsid w:val="00C87CDD"/>
    <w:rsid w:val="00C87F6D"/>
    <w:rsid w:val="00C90AC7"/>
    <w:rsid w:val="00C915C4"/>
    <w:rsid w:val="00C92C29"/>
    <w:rsid w:val="00C94E3A"/>
    <w:rsid w:val="00C96ACC"/>
    <w:rsid w:val="00CA153C"/>
    <w:rsid w:val="00CA3256"/>
    <w:rsid w:val="00CA3F30"/>
    <w:rsid w:val="00CA4F32"/>
    <w:rsid w:val="00CA57EF"/>
    <w:rsid w:val="00CA63A9"/>
    <w:rsid w:val="00CA6F7D"/>
    <w:rsid w:val="00CB1E36"/>
    <w:rsid w:val="00CB3239"/>
    <w:rsid w:val="00CB33A2"/>
    <w:rsid w:val="00CB407C"/>
    <w:rsid w:val="00CB4126"/>
    <w:rsid w:val="00CB6ED7"/>
    <w:rsid w:val="00CB6F0C"/>
    <w:rsid w:val="00CB782F"/>
    <w:rsid w:val="00CC0238"/>
    <w:rsid w:val="00CC16E9"/>
    <w:rsid w:val="00CC2B6C"/>
    <w:rsid w:val="00CC342B"/>
    <w:rsid w:val="00CC5D11"/>
    <w:rsid w:val="00CC628C"/>
    <w:rsid w:val="00CD3C6A"/>
    <w:rsid w:val="00CD4EAC"/>
    <w:rsid w:val="00CD5F29"/>
    <w:rsid w:val="00CD772A"/>
    <w:rsid w:val="00CE1140"/>
    <w:rsid w:val="00CF265E"/>
    <w:rsid w:val="00CF351A"/>
    <w:rsid w:val="00CF3558"/>
    <w:rsid w:val="00CF7228"/>
    <w:rsid w:val="00CF7A6F"/>
    <w:rsid w:val="00D00562"/>
    <w:rsid w:val="00D01A34"/>
    <w:rsid w:val="00D04425"/>
    <w:rsid w:val="00D05459"/>
    <w:rsid w:val="00D058FE"/>
    <w:rsid w:val="00D05D67"/>
    <w:rsid w:val="00D06FF1"/>
    <w:rsid w:val="00D0707C"/>
    <w:rsid w:val="00D1480B"/>
    <w:rsid w:val="00D15F57"/>
    <w:rsid w:val="00D2308A"/>
    <w:rsid w:val="00D2314E"/>
    <w:rsid w:val="00D23B5C"/>
    <w:rsid w:val="00D23E04"/>
    <w:rsid w:val="00D244F4"/>
    <w:rsid w:val="00D24A19"/>
    <w:rsid w:val="00D2552C"/>
    <w:rsid w:val="00D25904"/>
    <w:rsid w:val="00D3104F"/>
    <w:rsid w:val="00D32EBD"/>
    <w:rsid w:val="00D35FCF"/>
    <w:rsid w:val="00D3761C"/>
    <w:rsid w:val="00D37652"/>
    <w:rsid w:val="00D41874"/>
    <w:rsid w:val="00D45BD8"/>
    <w:rsid w:val="00D47050"/>
    <w:rsid w:val="00D5085C"/>
    <w:rsid w:val="00D509B0"/>
    <w:rsid w:val="00D52EAF"/>
    <w:rsid w:val="00D5374E"/>
    <w:rsid w:val="00D54435"/>
    <w:rsid w:val="00D547CE"/>
    <w:rsid w:val="00D56619"/>
    <w:rsid w:val="00D623AA"/>
    <w:rsid w:val="00D65D49"/>
    <w:rsid w:val="00D67597"/>
    <w:rsid w:val="00D6788E"/>
    <w:rsid w:val="00D72E24"/>
    <w:rsid w:val="00D72F3F"/>
    <w:rsid w:val="00D7383E"/>
    <w:rsid w:val="00D73CBD"/>
    <w:rsid w:val="00D7690E"/>
    <w:rsid w:val="00D819CA"/>
    <w:rsid w:val="00D836C2"/>
    <w:rsid w:val="00D84601"/>
    <w:rsid w:val="00D858B4"/>
    <w:rsid w:val="00D90BE5"/>
    <w:rsid w:val="00D96266"/>
    <w:rsid w:val="00DA0ABC"/>
    <w:rsid w:val="00DA3B6B"/>
    <w:rsid w:val="00DA569F"/>
    <w:rsid w:val="00DA6387"/>
    <w:rsid w:val="00DA6A1B"/>
    <w:rsid w:val="00DA6AE9"/>
    <w:rsid w:val="00DB18D9"/>
    <w:rsid w:val="00DB4565"/>
    <w:rsid w:val="00DC01AD"/>
    <w:rsid w:val="00DC095B"/>
    <w:rsid w:val="00DC3D86"/>
    <w:rsid w:val="00DC3EE7"/>
    <w:rsid w:val="00DC59E8"/>
    <w:rsid w:val="00DC719D"/>
    <w:rsid w:val="00DC7739"/>
    <w:rsid w:val="00DD5DA9"/>
    <w:rsid w:val="00DD62CC"/>
    <w:rsid w:val="00DD7D17"/>
    <w:rsid w:val="00DE0C2D"/>
    <w:rsid w:val="00DE1FD6"/>
    <w:rsid w:val="00DE3D19"/>
    <w:rsid w:val="00DE524A"/>
    <w:rsid w:val="00DE58AD"/>
    <w:rsid w:val="00DE60E7"/>
    <w:rsid w:val="00DF0263"/>
    <w:rsid w:val="00DF0BF9"/>
    <w:rsid w:val="00E00B0B"/>
    <w:rsid w:val="00E0261C"/>
    <w:rsid w:val="00E02DE1"/>
    <w:rsid w:val="00E02EEC"/>
    <w:rsid w:val="00E056BB"/>
    <w:rsid w:val="00E06BC6"/>
    <w:rsid w:val="00E07DA0"/>
    <w:rsid w:val="00E10B4C"/>
    <w:rsid w:val="00E11490"/>
    <w:rsid w:val="00E1467F"/>
    <w:rsid w:val="00E1625F"/>
    <w:rsid w:val="00E172CB"/>
    <w:rsid w:val="00E225DE"/>
    <w:rsid w:val="00E22A75"/>
    <w:rsid w:val="00E24943"/>
    <w:rsid w:val="00E256A2"/>
    <w:rsid w:val="00E26FF3"/>
    <w:rsid w:val="00E27339"/>
    <w:rsid w:val="00E27AD9"/>
    <w:rsid w:val="00E27AF8"/>
    <w:rsid w:val="00E32824"/>
    <w:rsid w:val="00E3367C"/>
    <w:rsid w:val="00E338FB"/>
    <w:rsid w:val="00E36B93"/>
    <w:rsid w:val="00E4279E"/>
    <w:rsid w:val="00E42A6B"/>
    <w:rsid w:val="00E43ED3"/>
    <w:rsid w:val="00E4459C"/>
    <w:rsid w:val="00E44AAF"/>
    <w:rsid w:val="00E44B3F"/>
    <w:rsid w:val="00E45058"/>
    <w:rsid w:val="00E45A79"/>
    <w:rsid w:val="00E46A66"/>
    <w:rsid w:val="00E504D0"/>
    <w:rsid w:val="00E52F05"/>
    <w:rsid w:val="00E54BB1"/>
    <w:rsid w:val="00E56004"/>
    <w:rsid w:val="00E60BEF"/>
    <w:rsid w:val="00E61B18"/>
    <w:rsid w:val="00E62CFE"/>
    <w:rsid w:val="00E65DBB"/>
    <w:rsid w:val="00E7106B"/>
    <w:rsid w:val="00E7212D"/>
    <w:rsid w:val="00E7300A"/>
    <w:rsid w:val="00E73951"/>
    <w:rsid w:val="00E74AF9"/>
    <w:rsid w:val="00E75D6B"/>
    <w:rsid w:val="00E761C3"/>
    <w:rsid w:val="00E77623"/>
    <w:rsid w:val="00E8202E"/>
    <w:rsid w:val="00E82E7F"/>
    <w:rsid w:val="00E83C2C"/>
    <w:rsid w:val="00E8514E"/>
    <w:rsid w:val="00E85616"/>
    <w:rsid w:val="00E8655B"/>
    <w:rsid w:val="00E867E4"/>
    <w:rsid w:val="00E939E1"/>
    <w:rsid w:val="00E94455"/>
    <w:rsid w:val="00E953E0"/>
    <w:rsid w:val="00E95F3D"/>
    <w:rsid w:val="00E9623C"/>
    <w:rsid w:val="00EA01CE"/>
    <w:rsid w:val="00EA3F4D"/>
    <w:rsid w:val="00EA6395"/>
    <w:rsid w:val="00EA79E7"/>
    <w:rsid w:val="00EA7BE4"/>
    <w:rsid w:val="00EA7F2F"/>
    <w:rsid w:val="00EB06B7"/>
    <w:rsid w:val="00EB3AD4"/>
    <w:rsid w:val="00EB4C9A"/>
    <w:rsid w:val="00EC054E"/>
    <w:rsid w:val="00EC20A5"/>
    <w:rsid w:val="00EC2356"/>
    <w:rsid w:val="00EC354D"/>
    <w:rsid w:val="00EC4FAD"/>
    <w:rsid w:val="00EC6140"/>
    <w:rsid w:val="00ED2149"/>
    <w:rsid w:val="00ED470C"/>
    <w:rsid w:val="00ED4A62"/>
    <w:rsid w:val="00ED4A83"/>
    <w:rsid w:val="00ED5F68"/>
    <w:rsid w:val="00EE02D1"/>
    <w:rsid w:val="00EE3A06"/>
    <w:rsid w:val="00EE7253"/>
    <w:rsid w:val="00EE7693"/>
    <w:rsid w:val="00EE7AD6"/>
    <w:rsid w:val="00EF0048"/>
    <w:rsid w:val="00EF0E50"/>
    <w:rsid w:val="00EF1535"/>
    <w:rsid w:val="00EF174E"/>
    <w:rsid w:val="00EF351F"/>
    <w:rsid w:val="00EF44EA"/>
    <w:rsid w:val="00EF4850"/>
    <w:rsid w:val="00F0074F"/>
    <w:rsid w:val="00F02A2A"/>
    <w:rsid w:val="00F051D8"/>
    <w:rsid w:val="00F07BE6"/>
    <w:rsid w:val="00F10074"/>
    <w:rsid w:val="00F115FB"/>
    <w:rsid w:val="00F12222"/>
    <w:rsid w:val="00F128EE"/>
    <w:rsid w:val="00F13D7E"/>
    <w:rsid w:val="00F14C8F"/>
    <w:rsid w:val="00F176BC"/>
    <w:rsid w:val="00F208B6"/>
    <w:rsid w:val="00F2129E"/>
    <w:rsid w:val="00F21F98"/>
    <w:rsid w:val="00F221D6"/>
    <w:rsid w:val="00F24186"/>
    <w:rsid w:val="00F24A7B"/>
    <w:rsid w:val="00F24BE3"/>
    <w:rsid w:val="00F25DC5"/>
    <w:rsid w:val="00F269B1"/>
    <w:rsid w:val="00F30439"/>
    <w:rsid w:val="00F31816"/>
    <w:rsid w:val="00F31860"/>
    <w:rsid w:val="00F33FA5"/>
    <w:rsid w:val="00F345B1"/>
    <w:rsid w:val="00F362CB"/>
    <w:rsid w:val="00F36F95"/>
    <w:rsid w:val="00F37F6B"/>
    <w:rsid w:val="00F4079B"/>
    <w:rsid w:val="00F4181E"/>
    <w:rsid w:val="00F443C0"/>
    <w:rsid w:val="00F46EDF"/>
    <w:rsid w:val="00F5035E"/>
    <w:rsid w:val="00F5295D"/>
    <w:rsid w:val="00F52A52"/>
    <w:rsid w:val="00F53DD9"/>
    <w:rsid w:val="00F609D6"/>
    <w:rsid w:val="00F6161C"/>
    <w:rsid w:val="00F64427"/>
    <w:rsid w:val="00F64FA9"/>
    <w:rsid w:val="00F66EB4"/>
    <w:rsid w:val="00F67E7A"/>
    <w:rsid w:val="00F75943"/>
    <w:rsid w:val="00F75BD5"/>
    <w:rsid w:val="00F80CFB"/>
    <w:rsid w:val="00F835D9"/>
    <w:rsid w:val="00F847DB"/>
    <w:rsid w:val="00F84E76"/>
    <w:rsid w:val="00F85FE8"/>
    <w:rsid w:val="00F877A0"/>
    <w:rsid w:val="00F9463F"/>
    <w:rsid w:val="00F94ACE"/>
    <w:rsid w:val="00F94DED"/>
    <w:rsid w:val="00F9668C"/>
    <w:rsid w:val="00F974A3"/>
    <w:rsid w:val="00F9797B"/>
    <w:rsid w:val="00FA04F4"/>
    <w:rsid w:val="00FA1770"/>
    <w:rsid w:val="00FA543E"/>
    <w:rsid w:val="00FA5EFB"/>
    <w:rsid w:val="00FA640A"/>
    <w:rsid w:val="00FA738C"/>
    <w:rsid w:val="00FB0E6B"/>
    <w:rsid w:val="00FB12C6"/>
    <w:rsid w:val="00FB1913"/>
    <w:rsid w:val="00FB2C05"/>
    <w:rsid w:val="00FB3C50"/>
    <w:rsid w:val="00FB6D6B"/>
    <w:rsid w:val="00FB7024"/>
    <w:rsid w:val="00FC167E"/>
    <w:rsid w:val="00FC4ACE"/>
    <w:rsid w:val="00FC7A9F"/>
    <w:rsid w:val="00FD5624"/>
    <w:rsid w:val="00FD6ADA"/>
    <w:rsid w:val="00FD78FB"/>
    <w:rsid w:val="00FE1D6E"/>
    <w:rsid w:val="00FE427B"/>
    <w:rsid w:val="00FE522E"/>
    <w:rsid w:val="00FE7659"/>
    <w:rsid w:val="00FF0DB7"/>
    <w:rsid w:val="00FF3871"/>
    <w:rsid w:val="00FF53D7"/>
    <w:rsid w:val="00FF5AF0"/>
    <w:rsid w:val="00FF6659"/>
    <w:rsid w:val="00FF696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974A3"/>
    <w:pPr>
      <w:keepNext/>
      <w:keepLines/>
      <w:spacing w:before="240" w:after="240" w:line="240" w:lineRule="auto"/>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8943A3"/>
    <w:pPr>
      <w:keepNext/>
      <w:keepLines/>
      <w:spacing w:after="240" w:line="240" w:lineRule="auto"/>
      <w:ind w:left="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E60BEF"/>
    <w:pPr>
      <w:keepNext/>
      <w:keepLines/>
      <w:spacing w:after="240" w:line="240" w:lineRule="auto"/>
      <w:ind w:left="1440" w:hanging="720"/>
      <w:outlineLvl w:val="2"/>
    </w:pPr>
    <w:rPr>
      <w:rFonts w:ascii="Times New Roman Bold" w:hAnsi="Times New Roman Bold"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8943A3"/>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uiPriority w:val="59"/>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74A3"/>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E60BEF"/>
    <w:rPr>
      <w:rFonts w:ascii="Times New Roman Bold" w:hAnsi="Times New Roman Bold"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8956FD"/>
    <w:pPr>
      <w:tabs>
        <w:tab w:val="decimal" w:leader="dot" w:pos="9360"/>
      </w:tabs>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qFormat/>
    <w:rsid w:val="008956FD"/>
    <w:pPr>
      <w:tabs>
        <w:tab w:val="decimal" w:leader="dot" w:pos="9360"/>
      </w:tabs>
      <w:spacing w:after="240" w:line="240" w:lineRule="auto"/>
      <w:ind w:left="720"/>
    </w:pPr>
    <w:rPr>
      <w:rFonts w:ascii="Times New Roman" w:hAnsi="Times New Roman"/>
      <w:sz w:val="24"/>
    </w:rPr>
  </w:style>
  <w:style w:type="paragraph" w:styleId="TOC3">
    <w:name w:val="toc 3"/>
    <w:basedOn w:val="Normal"/>
    <w:next w:val="Normal"/>
    <w:autoRedefine/>
    <w:uiPriority w:val="39"/>
    <w:unhideWhenUsed/>
    <w:rsid w:val="0028685C"/>
    <w:pPr>
      <w:tabs>
        <w:tab w:val="left" w:pos="9360"/>
      </w:tabs>
      <w:spacing w:after="240" w:line="240" w:lineRule="auto"/>
      <w:ind w:left="144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1 Char Char1 Char Char Char Char1,Footnote Text Char1 Char Char1 Char1"/>
    <w:uiPriority w:val="99"/>
    <w:locked/>
    <w:rsid w:val="00C10DB0"/>
  </w:style>
  <w:style w:type="paragraph" w:styleId="HTMLPreformatted">
    <w:name w:val="HTML Preformatted"/>
    <w:basedOn w:val="Normal"/>
    <w:link w:val="HTMLPreformattedChar"/>
    <w:uiPriority w:val="99"/>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nhideWhenUsed/>
    <w:rsid w:val="00C96ACC"/>
    <w:pPr>
      <w:spacing w:after="0" w:line="240" w:lineRule="auto"/>
    </w:pPr>
    <w:rPr>
      <w:sz w:val="20"/>
      <w:szCs w:val="20"/>
    </w:rPr>
  </w:style>
  <w:style w:type="character" w:customStyle="1" w:styleId="EndnoteTextChar">
    <w:name w:val="Endnote Text Char"/>
    <w:basedOn w:val="DefaultParagraphFont"/>
    <w:link w:val="EndnoteText"/>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3">
    <w:name w:val="Unresolved Mention3"/>
    <w:basedOn w:val="DefaultParagraphFont"/>
    <w:uiPriority w:val="99"/>
    <w:rsid w:val="00775677"/>
    <w:rPr>
      <w:color w:val="605E5C"/>
      <w:shd w:val="clear" w:color="auto" w:fill="E1DFDD"/>
    </w:rPr>
  </w:style>
  <w:style w:type="character" w:customStyle="1" w:styleId="UnresolvedMention4">
    <w:name w:val="Unresolved Mention4"/>
    <w:basedOn w:val="DefaultParagraphFont"/>
    <w:uiPriority w:val="99"/>
    <w:rsid w:val="006E0C6F"/>
    <w:rPr>
      <w:color w:val="605E5C"/>
      <w:shd w:val="clear" w:color="auto" w:fill="E1DFDD"/>
    </w:rPr>
  </w:style>
  <w:style w:type="table" w:customStyle="1" w:styleId="TableGrid1">
    <w:name w:val="Table Grid1"/>
    <w:basedOn w:val="TableNormal"/>
    <w:next w:val="TableGrid"/>
    <w:uiPriority w:val="39"/>
    <w:rsid w:val="00D2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C7470A"/>
    <w:rPr>
      <w:color w:val="605E5C"/>
      <w:shd w:val="clear" w:color="auto" w:fill="E1DFDD"/>
    </w:rPr>
  </w:style>
  <w:style w:type="character" w:customStyle="1" w:styleId="UnresolvedMention">
    <w:name w:val="Unresolved Mention"/>
    <w:basedOn w:val="DefaultParagraphFont"/>
    <w:uiPriority w:val="99"/>
    <w:rsid w:val="003B52EA"/>
    <w:rPr>
      <w:color w:val="605E5C"/>
      <w:shd w:val="clear" w:color="auto" w:fill="E1DFDD"/>
    </w:rPr>
  </w:style>
  <w:style w:type="character" w:customStyle="1" w:styleId="ssrfcsection">
    <w:name w:val="ss_rfcsection"/>
    <w:basedOn w:val="DefaultParagraphFont"/>
    <w:rsid w:val="00F66EB4"/>
  </w:style>
  <w:style w:type="paragraph" w:styleId="BodyText">
    <w:name w:val="Body Text"/>
    <w:basedOn w:val="Normal"/>
    <w:link w:val="BodyTextChar"/>
    <w:uiPriority w:val="99"/>
    <w:semiHidden/>
    <w:unhideWhenUsed/>
    <w:rsid w:val="00945FC4"/>
    <w:pPr>
      <w:spacing w:after="120"/>
    </w:pPr>
  </w:style>
  <w:style w:type="character" w:customStyle="1" w:styleId="BodyTextChar">
    <w:name w:val="Body Text Char"/>
    <w:basedOn w:val="DefaultParagraphFont"/>
    <w:link w:val="BodyText"/>
    <w:uiPriority w:val="99"/>
    <w:semiHidden/>
    <w:rsid w:val="00945FC4"/>
  </w:style>
  <w:style w:type="character" w:styleId="FollowedHyperlink">
    <w:name w:val="FollowedHyperlink"/>
    <w:basedOn w:val="DefaultParagraphFont"/>
    <w:uiPriority w:val="99"/>
    <w:semiHidden/>
    <w:unhideWhenUsed/>
    <w:rsid w:val="00D06F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4.xml" /><Relationship Id="rId13" Type="http://schemas.openxmlformats.org/officeDocument/2006/relationships/hyperlink" Target="mailto:Sarah.parrott@puco.ohio.gov" TargetMode="External" /><Relationship Id="rId14" Type="http://schemas.openxmlformats.org/officeDocument/2006/relationships/hyperlink" Target="mailto:regulatory@infiniteenergy.com" TargetMode="External" /><Relationship Id="rId15" Type="http://schemas.openxmlformats.org/officeDocument/2006/relationships/hyperlink" Target="mailto:josephclark@nisource.com" TargetMode="External" /><Relationship Id="rId16" Type="http://schemas.openxmlformats.org/officeDocument/2006/relationships/hyperlink" Target="mailto:talexander@beneschlaw.com" TargetMode="External" /><Relationship Id="rId17" Type="http://schemas.openxmlformats.org/officeDocument/2006/relationships/hyperlink" Target="mailto:slesser@beneschlaw.com" TargetMode="External" /><Relationship Id="rId18" Type="http://schemas.openxmlformats.org/officeDocument/2006/relationships/hyperlink" Target="mailto:khehmeyer@beneschlaw.com" TargetMode="External" /><Relationship Id="rId19" Type="http://schemas.openxmlformats.org/officeDocument/2006/relationships/hyperlink" Target="mailto:Rocco.dascenzo@duke-energy.com" TargetMode="External" /><Relationship Id="rId2" Type="http://schemas.openxmlformats.org/officeDocument/2006/relationships/settings" Target="settings.xml" /><Relationship Id="rId20" Type="http://schemas.openxmlformats.org/officeDocument/2006/relationships/hyperlink" Target="mailto:Jeanne.Kingery@duke-energy.com" TargetMode="External" /><Relationship Id="rId21" Type="http://schemas.openxmlformats.org/officeDocument/2006/relationships/hyperlink" Target="mailto:Larisa.vaysman@duke-energy.com" TargetMode="External" /><Relationship Id="rId22" Type="http://schemas.openxmlformats.org/officeDocument/2006/relationships/hyperlink" Target="mailto:mpritchard@mcneeslaw.com" TargetMode="External" /><Relationship Id="rId23" Type="http://schemas.openxmlformats.org/officeDocument/2006/relationships/hyperlink" Target="mailto:cendsley@ofbf.org" TargetMode="External" /><Relationship Id="rId24" Type="http://schemas.openxmlformats.org/officeDocument/2006/relationships/hyperlink" Target="mailto:lcurtis@ofbf.org" TargetMode="External" /><Relationship Id="rId25" Type="http://schemas.openxmlformats.org/officeDocument/2006/relationships/hyperlink" Target="mailto:amilam@ofbf.org" TargetMode="External" /><Relationship Id="rId26" Type="http://schemas.openxmlformats.org/officeDocument/2006/relationships/hyperlink" Target="mailto:sdismukes@eckertseamans.com" TargetMode="External" /><Relationship Id="rId27" Type="http://schemas.openxmlformats.org/officeDocument/2006/relationships/hyperlink" Target="mailto:dclearfield@eckertseamans.com" TargetMode="External" /><Relationship Id="rId28" Type="http://schemas.openxmlformats.org/officeDocument/2006/relationships/hyperlink" Target="mailto:SStoner@eckertseamans.com" TargetMode="External" /><Relationship Id="rId29" Type="http://schemas.openxmlformats.org/officeDocument/2006/relationships/hyperlink" Target="mailto:gkrassen@bricker.com" TargetMode="External" /><Relationship Id="rId3" Type="http://schemas.openxmlformats.org/officeDocument/2006/relationships/webSettings" Target="webSettings.xml" /><Relationship Id="rId30" Type="http://schemas.openxmlformats.org/officeDocument/2006/relationships/hyperlink" Target="mailto:dstinson@bricker.com" TargetMode="External" /><Relationship Id="rId31" Type="http://schemas.openxmlformats.org/officeDocument/2006/relationships/hyperlink" Target="mailto:dparram@bricker.com" TargetMode="External" /><Relationship Id="rId32" Type="http://schemas.openxmlformats.org/officeDocument/2006/relationships/hyperlink" Target="mailto:Bethany.Allen@igs.com" TargetMode="External" /><Relationship Id="rId33" Type="http://schemas.openxmlformats.org/officeDocument/2006/relationships/hyperlink" Target="mailto:Michael.Nugent@igs.com" TargetMode="External" /><Relationship Id="rId34" Type="http://schemas.openxmlformats.org/officeDocument/2006/relationships/hyperlink" Target="mailto:Joe.Oliker@igs.com" TargetMode="External" /><Relationship Id="rId35" Type="http://schemas.openxmlformats.org/officeDocument/2006/relationships/hyperlink" Target="mailto:kennedy@whitt-sturtevant.com" TargetMode="External" /><Relationship Id="rId36" Type="http://schemas.openxmlformats.org/officeDocument/2006/relationships/hyperlink" Target="mailto:fykes@whitt-sturtevant.com" TargetMode="External" /><Relationship Id="rId37" Type="http://schemas.openxmlformats.org/officeDocument/2006/relationships/hyperlink" Target="mailto:Andrew.j.campbell@dominionenergy.commjsettineri@vorys.com" TargetMode="External" /><Relationship Id="rId38" Type="http://schemas.openxmlformats.org/officeDocument/2006/relationships/header" Target="header3.xml" /><Relationship Id="rId39" Type="http://schemas.openxmlformats.org/officeDocument/2006/relationships/footer" Target="footer5.xml" /><Relationship Id="rId4" Type="http://schemas.openxmlformats.org/officeDocument/2006/relationships/fontTable" Target="fontTable.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Ambrosia.Wilson@occ.ohio.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ytimes.com/2020/04/15/opinion/coronavirus-stimulus-check-payment.html" TargetMode="External" /><Relationship Id="rId2" Type="http://schemas.openxmlformats.org/officeDocument/2006/relationships/hyperlink" Target="https://www.dispatch.com/story/news/2020/09/25/hunger-among-ohio-families-increasing-covid-19-pandemic-persists/3519850001/" TargetMode="External" /><Relationship Id="rId3" Type="http://schemas.openxmlformats.org/officeDocument/2006/relationships/hyperlink" Target="https://www.wsj.com/articles/electricity-deregulation-utility-retail-energy-bills-1161521362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FB2B9-4E3C-4FF0-8FFD-070BD4D6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4016</Words>
  <Characters>22895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(MGSS AFR).docx</vt:lpstr>
    </vt:vector>
  </TitlesOfParts>
  <Company/>
  <LinksUpToDate>false</LinksUpToDate>
  <CharactersWithSpaces>26858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2021-03-26T21:14:14Z</dcterms:created>
  <dcterms:modified xsi:type="dcterms:W3CDTF">2021-03-26T21:14:14Z</dcterms:modified>
</cp:coreProperties>
</file>