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B0ACF" w:rsidP="009E4459" w14:paraId="5F37D9DC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B0ACF" w14:paraId="7CADA88E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DB0ACF" w14:paraId="2D285569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640" w:type="dxa"/>
        <w:tblLook w:val="01E0"/>
      </w:tblPr>
      <w:tblGrid>
        <w:gridCol w:w="4332"/>
        <w:gridCol w:w="360"/>
        <w:gridCol w:w="3948"/>
      </w:tblGrid>
      <w:tr w14:paraId="40E1EDB2" w14:textId="77777777" w:rsidTr="00117687">
        <w:tblPrEx>
          <w:tblW w:w="8640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005991" w:rsidP="00005991" w14:paraId="7F616080" w14:textId="013BA62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  <w:r w:rsidR="00966B75">
              <w:rPr>
                <w:rFonts w:ascii="Times New Roman" w:hAnsi="Times New Roman" w:cs="Times New Roman"/>
                <w:sz w:val="24"/>
                <w:szCs w:val="24"/>
              </w:rPr>
              <w:t>Northeast Ohio Natural Gas Corp. for Approval of an Income Tax Credit Mechanism Rider.</w:t>
            </w:r>
          </w:p>
          <w:p w:rsidR="00F6315F" w:rsidRPr="007D76A8" w:rsidP="00966B75" w14:paraId="7C55316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B0ACF" w:rsidRPr="00A044B5" w14:paraId="6B564783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DB0ACF" w:rsidRPr="00A044B5" w14:paraId="680264D9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005991" w14:paraId="3EE3C73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F6315F" w14:paraId="435DDEB9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DB1378" w:rsidRPr="00A044B5" w:rsidP="00966B75" w14:paraId="3DFBDAC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DB0ACF" w:rsidRPr="00A044B5" w14:paraId="0203CF7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F6315F" w14:paraId="673BE325" w14:textId="049456CD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 w:rsidR="00966B75">
              <w:rPr>
                <w:rFonts w:ascii="Times New Roman" w:hAnsi="Times New Roman"/>
                <w:sz w:val="24"/>
              </w:rPr>
              <w:t>20-146-GA-ATA</w:t>
            </w:r>
          </w:p>
          <w:p w:rsidR="00005991" w14:paraId="7F86027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DB1378" w14:paraId="531A9CE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DB1378" w:rsidRPr="00A044B5" w:rsidP="00966B75" w14:paraId="6CE5A46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DB0ACF" w14:paraId="3668A87F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DB0ACF" w14:paraId="6814DA04" w14:textId="0428F579">
      <w:pPr>
        <w:jc w:val="center"/>
        <w:rPr>
          <w:b/>
          <w:bCs/>
        </w:rPr>
      </w:pPr>
      <w:r>
        <w:rPr>
          <w:b/>
          <w:bCs/>
        </w:rPr>
        <w:t>COMMENTS</w:t>
      </w:r>
    </w:p>
    <w:p w:rsidR="00DB0ACF" w14:paraId="02FCA90B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DB0ACF" w14:paraId="31EDB974" w14:textId="77777777">
      <w:pPr>
        <w:jc w:val="center"/>
        <w:rPr>
          <w:b/>
          <w:bCs/>
        </w:rPr>
      </w:pPr>
      <w:r>
        <w:rPr>
          <w:b/>
          <w:bCs/>
        </w:rPr>
        <w:t>THE OFFICE OF THE OHIO CONSUMERS’ COUNSEL</w:t>
      </w:r>
    </w:p>
    <w:p w:rsidR="00DB0ACF" w14:paraId="07F0624D" w14:textId="77777777">
      <w:pPr>
        <w:pBdr>
          <w:bottom w:val="single" w:sz="12" w:space="1" w:color="auto"/>
        </w:pBdr>
        <w:tabs>
          <w:tab w:val="left" w:pos="4320"/>
        </w:tabs>
      </w:pPr>
    </w:p>
    <w:p w:rsidR="00DB0ACF" w14:paraId="2BF7CF35" w14:textId="77777777">
      <w:pPr>
        <w:tabs>
          <w:tab w:val="left" w:pos="4320"/>
        </w:tabs>
      </w:pPr>
    </w:p>
    <w:p w:rsidR="002F2A00" w:rsidRPr="002F2A00" w:rsidP="006B1078" w14:paraId="08EF1F91" w14:textId="17A3B48B">
      <w:pPr>
        <w:pStyle w:val="BodyTextIndent3"/>
        <w:widowControl w:val="0"/>
        <w:numPr>
          <w:ilvl w:val="0"/>
          <w:numId w:val="8"/>
        </w:numPr>
        <w:spacing w:line="480" w:lineRule="auto"/>
        <w:ind w:left="720" w:right="-312"/>
        <w:rPr>
          <w:b/>
          <w:bCs/>
        </w:rPr>
      </w:pPr>
      <w:r>
        <w:rPr>
          <w:b/>
          <w:bCs/>
        </w:rPr>
        <w:t>INTRODUCTION</w:t>
      </w:r>
    </w:p>
    <w:p w:rsidR="00676C19" w:rsidP="00676C19" w14:paraId="23837E6A" w14:textId="57882DE3">
      <w:pPr>
        <w:pStyle w:val="BodyTextIndent3"/>
        <w:widowControl w:val="0"/>
        <w:spacing w:line="480" w:lineRule="auto"/>
        <w:ind w:right="-312"/>
      </w:pPr>
      <w:r>
        <w:t xml:space="preserve">One of OCC’s key issues for Ohio consumers is that their electricity rates should be reduced since the </w:t>
      </w:r>
      <w:r w:rsidR="007739AF">
        <w:t xml:space="preserve">corporate income </w:t>
      </w:r>
      <w:r>
        <w:t xml:space="preserve">taxes </w:t>
      </w:r>
      <w:r w:rsidR="007739AF">
        <w:t>Northeast Ohio Natural Gas Corp. (“Northeastern</w:t>
      </w:r>
      <w:r w:rsidR="004822A2">
        <w:t>”) is</w:t>
      </w:r>
      <w:r>
        <w:t xml:space="preserve"> paying to the federal government are reduced as a result of the Tax Cuts and Jobs Act of 2017</w:t>
      </w:r>
      <w:r w:rsidR="00E66DD2">
        <w:t xml:space="preserve"> (from 35% to 21%)</w:t>
      </w:r>
      <w:r>
        <w:t xml:space="preserve">. The PUCO should guarantee that </w:t>
      </w:r>
      <w:r w:rsidR="007739AF">
        <w:t>Northeastern</w:t>
      </w:r>
      <w:r>
        <w:t xml:space="preserve"> customers receive the full benefit of the tax cuts through reductions in utilities’ rates now.</w:t>
      </w:r>
      <w:r w:rsidR="004316AF">
        <w:t xml:space="preserve"> </w:t>
      </w:r>
    </w:p>
    <w:p w:rsidR="004316AF" w:rsidP="00676C19" w14:paraId="769B86EF" w14:textId="2BA19610">
      <w:pPr>
        <w:pStyle w:val="BodyTextIndent3"/>
        <w:widowControl w:val="0"/>
        <w:spacing w:line="480" w:lineRule="auto"/>
        <w:ind w:right="-312"/>
        <w:sectPr>
          <w:footerReference w:type="default" r:id="rId6"/>
          <w:footerReference w:type="first" r:id="rId7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  <w:r>
        <w:t>T</w:t>
      </w:r>
      <w:r w:rsidR="00676C19">
        <w:t xml:space="preserve">he </w:t>
      </w:r>
      <w:r w:rsidR="00B4738B">
        <w:t>PUCO</w:t>
      </w:r>
      <w:r w:rsidR="00676C19">
        <w:t xml:space="preserve"> in</w:t>
      </w:r>
      <w:r w:rsidR="00B4738B">
        <w:t xml:space="preserve"> case 18-0047-AU-COI</w:t>
      </w:r>
      <w:r>
        <w:t xml:space="preserve"> </w:t>
      </w:r>
      <w:r w:rsidR="00676C19">
        <w:t>directed all rate-regulated utility companies to file an application “not for an increase in rates” in a newly initiated proceeding</w:t>
      </w:r>
      <w:r w:rsidR="00B4738B">
        <w:t xml:space="preserve"> to determine how best to provide Ohio consumers with the full benefit of the federal tax cuts</w:t>
      </w:r>
      <w:r>
        <w:t>.</w:t>
      </w:r>
      <w:r>
        <w:rPr>
          <w:rStyle w:val="FootnoteReference"/>
        </w:rPr>
        <w:footnoteReference w:id="2"/>
      </w:r>
      <w:r w:rsidR="00B4738B">
        <w:t xml:space="preserve"> </w:t>
      </w:r>
      <w:r w:rsidR="00621A1C">
        <w:t>Northeastern</w:t>
      </w:r>
      <w:r w:rsidR="002F2A00">
        <w:t xml:space="preserve"> filed its application </w:t>
      </w:r>
      <w:r w:rsidR="00EB495B">
        <w:t>to return the benefits of the Tax Cuts and Jobs Act of 2017 to its natural gas customers</w:t>
      </w:r>
      <w:r w:rsidR="002F2A00">
        <w:t xml:space="preserve"> on January 23, 2020</w:t>
      </w:r>
      <w:r w:rsidR="00EB495B">
        <w:t>.</w:t>
      </w:r>
      <w:r>
        <w:rPr>
          <w:rStyle w:val="FootnoteReference"/>
        </w:rPr>
        <w:footnoteReference w:id="3"/>
      </w:r>
      <w:r>
        <w:t xml:space="preserve"> </w:t>
      </w:r>
      <w:r w:rsidR="002F2A00">
        <w:t>PUCO Staff filed its Review and Recommendations on March 4, 2020.</w:t>
      </w:r>
      <w:r>
        <w:rPr>
          <w:rStyle w:val="FootnoteReference"/>
        </w:rPr>
        <w:footnoteReference w:id="4"/>
      </w:r>
      <w:r>
        <w:t xml:space="preserve"> </w:t>
      </w:r>
      <w:r w:rsidR="002F2A00">
        <w:t xml:space="preserve">By Entry dated April 6, 2020, the Attorney Examiner </w:t>
      </w:r>
    </w:p>
    <w:p w:rsidR="00024029" w:rsidP="004316AF" w14:paraId="3E8D0F06" w14:textId="2628B512">
      <w:pPr>
        <w:pStyle w:val="BodyTextIndent3"/>
        <w:widowControl w:val="0"/>
        <w:spacing w:line="480" w:lineRule="auto"/>
        <w:ind w:right="-312" w:firstLine="0"/>
      </w:pPr>
      <w:r>
        <w:t>directed that parties file comments by April 22, 2020 and reply comments by May 7, 2020.</w:t>
      </w:r>
      <w:r>
        <w:rPr>
          <w:rStyle w:val="FootnoteReference"/>
        </w:rPr>
        <w:footnoteReference w:id="5"/>
      </w:r>
      <w:r w:rsidR="004316AF">
        <w:t xml:space="preserve"> </w:t>
      </w:r>
      <w:r w:rsidR="00676C19">
        <w:t xml:space="preserve">OCC </w:t>
      </w:r>
      <w:r>
        <w:t>appreciates the opportunity to comment on Northeastern’s application and the PUCO Staff’s Review and Recommendations on behalf of Northeastern’s approximately 17,500 customers.</w:t>
      </w:r>
      <w:r w:rsidR="00EB495B">
        <w:t xml:space="preserve"> </w:t>
      </w:r>
    </w:p>
    <w:p w:rsidR="006B1078" w:rsidP="006B1078" w14:paraId="2BE9F22F" w14:textId="77777777">
      <w:pPr>
        <w:pStyle w:val="BodyTextIndent3"/>
        <w:widowControl w:val="0"/>
        <w:spacing w:line="240" w:lineRule="auto"/>
        <w:ind w:right="-312"/>
      </w:pPr>
    </w:p>
    <w:p w:rsidR="002F2A00" w:rsidP="006B1078" w14:paraId="7EE084CE" w14:textId="268E9F5C">
      <w:pPr>
        <w:pStyle w:val="BodyTextIndent3"/>
        <w:widowControl w:val="0"/>
        <w:numPr>
          <w:ilvl w:val="0"/>
          <w:numId w:val="8"/>
        </w:numPr>
        <w:spacing w:line="480" w:lineRule="auto"/>
        <w:ind w:left="720" w:right="-312"/>
        <w:rPr>
          <w:b/>
          <w:bCs/>
        </w:rPr>
      </w:pPr>
      <w:r>
        <w:rPr>
          <w:b/>
          <w:bCs/>
        </w:rPr>
        <w:t>COMMENTS</w:t>
      </w:r>
    </w:p>
    <w:p w:rsidR="00D04639" w:rsidP="00D04639" w14:paraId="1392B8E0" w14:textId="3134BE90">
      <w:pPr>
        <w:spacing w:line="480" w:lineRule="auto"/>
        <w:ind w:firstLine="720"/>
      </w:pPr>
      <w:r>
        <w:t>OCC is generally supportive of the PUCO Staff’s Review and Recommendations.</w:t>
      </w:r>
      <w:r w:rsidR="004316AF">
        <w:t xml:space="preserve"> </w:t>
      </w:r>
      <w:r w:rsidR="0021407F">
        <w:t>Northeastern’s</w:t>
      </w:r>
      <w:r>
        <w:t xml:space="preserve"> normalized excess deferred income tax balance </w:t>
      </w:r>
      <w:r w:rsidR="00524482">
        <w:t xml:space="preserve">related to plant </w:t>
      </w:r>
      <w:r>
        <w:t xml:space="preserve">of approximately $1.8 million (as of December 31, 2017) should be amortized in accordance with </w:t>
      </w:r>
      <w:r w:rsidR="00524482">
        <w:t>federal law</w:t>
      </w:r>
      <w:r>
        <w:t>.</w:t>
      </w:r>
      <w:r>
        <w:rPr>
          <w:rStyle w:val="FootnoteReference"/>
        </w:rPr>
        <w:footnoteReference w:id="6"/>
      </w:r>
      <w:r w:rsidR="004316AF">
        <w:t xml:space="preserve"> </w:t>
      </w:r>
      <w:r w:rsidR="00524482">
        <w:t>The annual amount</w:t>
      </w:r>
      <w:r>
        <w:t xml:space="preserve"> should include a gross up for federal income taxes using the gross revenue conversion factor from Case No. 18-1720-GA-AIR et al. (Northeastern’s last rate case).</w:t>
      </w:r>
    </w:p>
    <w:p w:rsidR="00C16F7D" w:rsidP="00D04639" w14:paraId="1A331C23" w14:textId="32360E1E">
      <w:pPr>
        <w:spacing w:line="480" w:lineRule="auto"/>
        <w:ind w:firstLine="720"/>
      </w:pPr>
      <w:r>
        <w:t>Northeastern’s</w:t>
      </w:r>
      <w:r w:rsidR="00D04639">
        <w:t xml:space="preserve"> n</w:t>
      </w:r>
      <w:r>
        <w:t>on-</w:t>
      </w:r>
      <w:r w:rsidR="00D04639">
        <w:t>n</w:t>
      </w:r>
      <w:r>
        <w:t xml:space="preserve">ormalized </w:t>
      </w:r>
      <w:r w:rsidR="00D04639">
        <w:t>excess deferred income tax</w:t>
      </w:r>
      <w:r>
        <w:t xml:space="preserve"> balance </w:t>
      </w:r>
      <w:r w:rsidR="006253B7">
        <w:t xml:space="preserve">not related to plant </w:t>
      </w:r>
      <w:r>
        <w:t xml:space="preserve">of </w:t>
      </w:r>
      <w:r w:rsidR="00D04639">
        <w:t xml:space="preserve">approximately </w:t>
      </w:r>
      <w:r>
        <w:t xml:space="preserve">$40,185 </w:t>
      </w:r>
      <w:r w:rsidR="00D04639">
        <w:t>should</w:t>
      </w:r>
      <w:r>
        <w:t xml:space="preserve"> be amortized over a period of 72 months (six years)</w:t>
      </w:r>
      <w:r w:rsidR="00D04639">
        <w:t>,</w:t>
      </w:r>
      <w:r>
        <w:t xml:space="preserve"> gross</w:t>
      </w:r>
      <w:r w:rsidR="00D04639">
        <w:t>ed</w:t>
      </w:r>
      <w:r>
        <w:t xml:space="preserve">-up annually for federal income taxes using the applicable gross revenue conversions factor from </w:t>
      </w:r>
      <w:r w:rsidR="00D04639">
        <w:t>Northeastern’s last rate case</w:t>
      </w:r>
      <w:r>
        <w:t>.</w:t>
      </w:r>
      <w:r>
        <w:rPr>
          <w:rStyle w:val="FootnoteReference"/>
        </w:rPr>
        <w:footnoteReference w:id="7"/>
      </w:r>
    </w:p>
    <w:p w:rsidR="00C16F7D" w:rsidP="00D04639" w14:paraId="204B5CD7" w14:textId="21F2E10E">
      <w:pPr>
        <w:spacing w:line="480" w:lineRule="auto"/>
        <w:ind w:firstLine="720"/>
      </w:pPr>
      <w:r>
        <w:t>The deferred liability</w:t>
      </w:r>
      <w:r w:rsidR="0021407F">
        <w:t xml:space="preserve"> for taxes</w:t>
      </w:r>
      <w:r>
        <w:t xml:space="preserve"> from January 1, 2018 through September 30, 2019 (commonly referred to as the “Stub Period”), the </w:t>
      </w:r>
      <w:r w:rsidR="0021407F">
        <w:t>time period between when the tax cuts went into effect and when</w:t>
      </w:r>
      <w:r>
        <w:t xml:space="preserve"> new distribution rates became effective, should accrue compounded carrying charges.</w:t>
      </w:r>
      <w:r w:rsidR="004316AF">
        <w:t xml:space="preserve"> </w:t>
      </w:r>
      <w:r w:rsidR="005A1F36">
        <w:t xml:space="preserve">This will make certain that consumers receive the full </w:t>
      </w:r>
      <w:r w:rsidR="005A1F36">
        <w:t>benefits of the tax cuts.</w:t>
      </w:r>
      <w:r w:rsidR="004316AF">
        <w:t xml:space="preserve"> </w:t>
      </w:r>
      <w:r>
        <w:t>The carrying charges should be set at Northeastern’s cost of debt approved in its last rate case.</w:t>
      </w:r>
      <w:r>
        <w:rPr>
          <w:rStyle w:val="FootnoteReference"/>
        </w:rPr>
        <w:footnoteReference w:id="8"/>
      </w:r>
      <w:r w:rsidR="004316AF">
        <w:t xml:space="preserve"> </w:t>
      </w:r>
      <w:r>
        <w:t xml:space="preserve"> </w:t>
      </w:r>
    </w:p>
    <w:p w:rsidR="00C16F7D" w:rsidP="00F45F31" w14:paraId="0F132C3E" w14:textId="519695C8">
      <w:pPr>
        <w:spacing w:line="480" w:lineRule="auto"/>
        <w:ind w:firstLine="720"/>
      </w:pPr>
      <w:r>
        <w:t xml:space="preserve">OCC supports </w:t>
      </w:r>
      <w:r w:rsidR="00D04639">
        <w:t>Northeastern’s</w:t>
      </w:r>
      <w:r>
        <w:t xml:space="preserve"> </w:t>
      </w:r>
      <w:r w:rsidR="00D04639">
        <w:t xml:space="preserve">proposed </w:t>
      </w:r>
      <w:r>
        <w:t>allocation</w:t>
      </w:r>
      <w:r w:rsidR="00F45F31">
        <w:t xml:space="preserve"> for returning the benefits of the tax cuts</w:t>
      </w:r>
      <w:r>
        <w:t xml:space="preserve"> </w:t>
      </w:r>
      <w:r w:rsidR="00D04639">
        <w:t>in its application</w:t>
      </w:r>
      <w:r w:rsidR="00F45F31">
        <w:t xml:space="preserve"> – </w:t>
      </w:r>
      <w:r>
        <w:t>7</w:t>
      </w:r>
      <w:r w:rsidR="0079114E">
        <w:t>1</w:t>
      </w:r>
      <w:r>
        <w:t>% to the Small General Service class (</w:t>
      </w:r>
      <w:r w:rsidR="00D04639">
        <w:t>including the residential class</w:t>
      </w:r>
      <w:r>
        <w:t>).</w:t>
      </w:r>
      <w:r>
        <w:rPr>
          <w:rStyle w:val="FootnoteReference"/>
        </w:rPr>
        <w:footnoteReference w:id="9"/>
      </w:r>
      <w:r w:rsidR="004316AF">
        <w:t xml:space="preserve"> </w:t>
      </w:r>
      <w:r w:rsidR="00F45F31">
        <w:t xml:space="preserve">But </w:t>
      </w:r>
      <w:r>
        <w:t xml:space="preserve">OCC opposes </w:t>
      </w:r>
      <w:r w:rsidR="00F45F31">
        <w:t xml:space="preserve">Northeastern’s proposal in its application to </w:t>
      </w:r>
      <w:r>
        <w:t xml:space="preserve">offset </w:t>
      </w:r>
      <w:r w:rsidR="00F45F31">
        <w:t>from consumer</w:t>
      </w:r>
      <w:r w:rsidR="002F3B4E">
        <w:t>s</w:t>
      </w:r>
      <w:r w:rsidR="00F45F31">
        <w:t xml:space="preserve"> benefits from the tax cuts of an amount for </w:t>
      </w:r>
      <w:r>
        <w:t xml:space="preserve">incremental return on rate base associated with the amortization of </w:t>
      </w:r>
      <w:r w:rsidR="00F45F31">
        <w:t>excess deferred income taxes.</w:t>
      </w:r>
      <w:r w:rsidR="004316AF">
        <w:t xml:space="preserve"> </w:t>
      </w:r>
      <w:r w:rsidR="002F3B4E">
        <w:t xml:space="preserve">The reduction to rate base for </w:t>
      </w:r>
      <w:r w:rsidR="0021407F">
        <w:t>excess deferred income taxes</w:t>
      </w:r>
      <w:r w:rsidR="002F3B4E">
        <w:t xml:space="preserve"> is included in base rates and will be reset when </w:t>
      </w:r>
      <w:r w:rsidR="0021407F">
        <w:t>Northeastern</w:t>
      </w:r>
      <w:r w:rsidR="002F3B4E">
        <w:t xml:space="preserve"> files base rate cases until the EDIT is exhausted. </w:t>
      </w:r>
      <w:r w:rsidR="00F45F31">
        <w:t>Based on the PUCO Staff’s Review and Recommendations, Northeastern</w:t>
      </w:r>
      <w:r>
        <w:t xml:space="preserve"> has withdrawn its request for </w:t>
      </w:r>
      <w:r w:rsidR="00F45F31">
        <w:t>such an offset</w:t>
      </w:r>
      <w:r>
        <w:t>.</w:t>
      </w:r>
      <w:r>
        <w:rPr>
          <w:rStyle w:val="FootnoteReference"/>
        </w:rPr>
        <w:footnoteReference w:id="10"/>
      </w:r>
    </w:p>
    <w:p w:rsidR="006B1078" w:rsidP="006B1078" w14:paraId="18C1879F" w14:textId="77777777">
      <w:pPr>
        <w:ind w:firstLine="720"/>
      </w:pPr>
    </w:p>
    <w:p w:rsidR="00F45F31" w:rsidP="006B1078" w14:paraId="0747E58C" w14:textId="2335A641">
      <w:pPr>
        <w:pStyle w:val="ListParagraph"/>
        <w:numPr>
          <w:ilvl w:val="0"/>
          <w:numId w:val="8"/>
        </w:numPr>
        <w:spacing w:line="480" w:lineRule="auto"/>
        <w:ind w:left="720"/>
        <w:rPr>
          <w:b/>
          <w:bCs/>
        </w:rPr>
      </w:pPr>
      <w:r>
        <w:rPr>
          <w:b/>
          <w:bCs/>
        </w:rPr>
        <w:t>CONCLUSION</w:t>
      </w:r>
    </w:p>
    <w:p w:rsidR="00F45F31" w:rsidRPr="00F45F31" w:rsidP="00E66DD2" w14:paraId="57CBA03D" w14:textId="0411B1AA">
      <w:pPr>
        <w:spacing w:line="480" w:lineRule="auto"/>
        <w:ind w:firstLine="720"/>
      </w:pPr>
      <w:r>
        <w:t>Northeastern is paying less in taxes as a result of the Tax Cuts and Jobs Act of 2017.</w:t>
      </w:r>
      <w:r w:rsidR="004316AF">
        <w:t xml:space="preserve"> </w:t>
      </w:r>
      <w:r w:rsidR="00E66DD2">
        <w:t>But they have charged consumers under the old tax rate.</w:t>
      </w:r>
      <w:r w:rsidR="004316AF">
        <w:t xml:space="preserve"> </w:t>
      </w:r>
      <w:r w:rsidR="00E66DD2">
        <w:t>They should not keep that money.</w:t>
      </w:r>
      <w:r w:rsidR="004316AF">
        <w:t xml:space="preserve"> </w:t>
      </w:r>
      <w:r w:rsidR="00E66DD2">
        <w:t>They should return it to consumers.</w:t>
      </w:r>
      <w:r w:rsidR="004316AF">
        <w:t xml:space="preserve"> </w:t>
      </w:r>
      <w:r w:rsidR="00E66DD2">
        <w:t>The PUCO should enter an Order for Northeastern to do so consistent with OCC’s comments herein and PUCO Staff’s Review and Recommendations.</w:t>
      </w:r>
    </w:p>
    <w:p w:rsidR="00C16F7D" w:rsidRPr="002F2A00" w:rsidP="00C16F7D" w14:paraId="17B9173C" w14:textId="77777777">
      <w:pPr>
        <w:pStyle w:val="BodyTextIndent3"/>
        <w:widowControl w:val="0"/>
        <w:spacing w:line="480" w:lineRule="auto"/>
        <w:ind w:right="-312" w:firstLine="0"/>
        <w:rPr>
          <w:b/>
          <w:bCs/>
        </w:rPr>
      </w:pPr>
    </w:p>
    <w:p w:rsidR="00BA4D80" w14:paraId="284A3FDF" w14:textId="77777777">
      <w:r>
        <w:br w:type="page"/>
      </w:r>
    </w:p>
    <w:p w:rsidR="00DB0ACF" w:rsidP="00612C18" w14:paraId="5F54D28A" w14:textId="77777777">
      <w:pPr>
        <w:pStyle w:val="BodyTextIndent3"/>
        <w:widowControl w:val="0"/>
        <w:spacing w:line="480" w:lineRule="auto"/>
        <w:ind w:left="3600" w:right="-312"/>
        <w:rPr>
          <w:szCs w:val="24"/>
        </w:rPr>
      </w:pPr>
      <w:r>
        <w:rPr>
          <w:szCs w:val="24"/>
        </w:rPr>
        <w:t>Respectfully submitted,</w:t>
      </w:r>
    </w:p>
    <w:p w:rsidR="00DB0ACF" w:rsidP="00612C18" w14:paraId="541DEE25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ab/>
        <w:t>Bruce Weston (0016973)</w:t>
      </w:r>
    </w:p>
    <w:p w:rsidR="00DB0ACF" w14:paraId="1B45DE81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Ohio Consumers’ Counsel</w:t>
      </w:r>
    </w:p>
    <w:p w:rsidR="00DB0ACF" w14:paraId="6275C544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DB0ACF" w:rsidRPr="00812543" w14:paraId="5B1DA9B4" w14:textId="738B1E53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>
        <w:rPr>
          <w:i/>
          <w:szCs w:val="24"/>
          <w:u w:val="single"/>
        </w:rPr>
        <w:t xml:space="preserve">/s/ </w:t>
      </w:r>
      <w:r w:rsidR="00342972">
        <w:rPr>
          <w:i/>
          <w:szCs w:val="24"/>
          <w:u w:val="single"/>
        </w:rPr>
        <w:t>William J. Michael</w:t>
      </w:r>
      <w:r w:rsidR="00342972">
        <w:rPr>
          <w:i/>
          <w:szCs w:val="24"/>
          <w:u w:val="single"/>
        </w:rPr>
        <w:tab/>
      </w:r>
      <w:r w:rsidR="00342972">
        <w:rPr>
          <w:i/>
          <w:szCs w:val="24"/>
          <w:u w:val="single"/>
        </w:rPr>
        <w:tab/>
      </w:r>
      <w:r>
        <w:rPr>
          <w:szCs w:val="24"/>
        </w:rPr>
        <w:t xml:space="preserve"> </w:t>
      </w:r>
    </w:p>
    <w:p w:rsidR="00342972" w:rsidP="00812543" w14:paraId="0768EFD5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William J. Michael (0070921)</w:t>
      </w:r>
    </w:p>
    <w:p w:rsidR="00342972" w:rsidP="00342972" w14:paraId="0AE3EC7A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 xml:space="preserve">Counsel of Record </w:t>
      </w:r>
    </w:p>
    <w:p w:rsidR="00F6315F" w:rsidP="00342972" w14:paraId="699A7958" w14:textId="29C1CD0B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Assistant Consumers’ Counsel</w:t>
      </w:r>
    </w:p>
    <w:p w:rsidR="00DB0ACF" w14:paraId="662E13A3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DB0ACF" w14:paraId="10B438EC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  <w:t>Office of the Ohio Consumers’ Counsel</w:t>
      </w:r>
    </w:p>
    <w:p w:rsidR="00DB0ACF" w14:paraId="6CF86E01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65 East State Street, 7th Floor</w:t>
      </w:r>
    </w:p>
    <w:p w:rsidR="00DB0ACF" w14:paraId="11A10604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Columbus, Ohio 43215-4213</w:t>
      </w:r>
    </w:p>
    <w:p w:rsidR="00DB0ACF" w14:paraId="69707F6C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[Michael]: (614) 466-9571</w:t>
      </w:r>
    </w:p>
    <w:p w:rsidR="00812543" w:rsidP="00812543" w14:paraId="05765E6B" w14:textId="240F9F30">
      <w:pPr>
        <w:autoSpaceDE w:val="0"/>
        <w:autoSpaceDN w:val="0"/>
        <w:adjustRightInd w:val="0"/>
        <w:ind w:left="3600" w:firstLine="720"/>
        <w:rPr>
          <w:szCs w:val="24"/>
        </w:rPr>
      </w:pPr>
      <w:hyperlink r:id="rId8" w:history="1">
        <w:r w:rsidRPr="00533654" w:rsidR="006B1078">
          <w:rPr>
            <w:rStyle w:val="Hyperlink"/>
            <w:szCs w:val="24"/>
          </w:rPr>
          <w:t>william.michael@occ.ohio.gov</w:t>
        </w:r>
      </w:hyperlink>
    </w:p>
    <w:p w:rsidR="00DB0ACF" w14:paraId="3A3372C1" w14:textId="53960F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342972">
        <w:rPr>
          <w:szCs w:val="24"/>
        </w:rPr>
        <w:t>w</w:t>
      </w:r>
      <w:r>
        <w:rPr>
          <w:szCs w:val="24"/>
        </w:rPr>
        <w:t>ill</w:t>
      </w:r>
      <w:r w:rsidR="00342972">
        <w:rPr>
          <w:szCs w:val="24"/>
        </w:rPr>
        <w:t>ing to</w:t>
      </w:r>
      <w:r>
        <w:rPr>
          <w:szCs w:val="24"/>
        </w:rPr>
        <w:t xml:space="preserve"> accept service </w:t>
      </w:r>
      <w:r w:rsidR="00342972">
        <w:rPr>
          <w:szCs w:val="24"/>
        </w:rPr>
        <w:t>by</w:t>
      </w:r>
      <w:r>
        <w:rPr>
          <w:szCs w:val="24"/>
        </w:rPr>
        <w:t xml:space="preserve"> e</w:t>
      </w:r>
      <w:r w:rsidR="00342972">
        <w:rPr>
          <w:szCs w:val="24"/>
        </w:rPr>
        <w:t>-</w:t>
      </w:r>
      <w:r>
        <w:rPr>
          <w:szCs w:val="24"/>
        </w:rPr>
        <w:t>mail)</w:t>
      </w:r>
    </w:p>
    <w:p w:rsidR="00DB0ACF" w14:paraId="62C63C50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B0ACF" w14:paraId="6A04BFF9" w14:textId="77777777">
      <w:pPr>
        <w:rPr>
          <w:szCs w:val="24"/>
        </w:rPr>
      </w:pPr>
    </w:p>
    <w:p w:rsidR="00DB0ACF" w14:paraId="53459769" w14:textId="77777777"/>
    <w:p w:rsidR="00DB0ACF" w14:paraId="2FCE7CD3" w14:textId="77777777"/>
    <w:p w:rsidR="00EB495B" w:rsidP="00E66DD2" w14:paraId="1A7A9A66" w14:textId="41EED581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73747D" w:rsidRPr="0073747D" w:rsidP="0073747D" w14:paraId="18ED0CF0" w14:textId="77777777"/>
    <w:p w:rsidR="0073747D" w:rsidRPr="0073747D" w:rsidP="0073747D" w14:paraId="591602C4" w14:textId="77777777"/>
    <w:p w:rsidR="0073747D" w:rsidRPr="0073747D" w:rsidP="0073747D" w14:paraId="3C750028" w14:textId="77777777"/>
    <w:p w:rsidR="0073747D" w:rsidRPr="0073747D" w:rsidP="0073747D" w14:paraId="6F93C809" w14:textId="77777777"/>
    <w:p w:rsidR="0073747D" w:rsidRPr="0073747D" w:rsidP="0073747D" w14:paraId="136DE261" w14:textId="77777777"/>
    <w:p w:rsidR="0073747D" w:rsidRPr="0073747D" w:rsidP="0073747D" w14:paraId="7992664C" w14:textId="77777777"/>
    <w:p w:rsidR="0073747D" w:rsidRPr="0073747D" w:rsidP="0073747D" w14:paraId="006B6142" w14:textId="77777777"/>
    <w:p w:rsidR="0073747D" w:rsidRPr="0073747D" w:rsidP="0073747D" w14:paraId="327EC6F7" w14:textId="77777777"/>
    <w:p w:rsidR="0073747D" w:rsidRPr="0073747D" w:rsidP="0073747D" w14:paraId="44A3CF18" w14:textId="77777777"/>
    <w:p w:rsidR="0073747D" w:rsidRPr="0073747D" w:rsidP="0073747D" w14:paraId="5B4C9722" w14:textId="77777777"/>
    <w:p w:rsidR="0073747D" w:rsidP="0073747D" w14:paraId="244ED98E" w14:textId="77777777"/>
    <w:p w:rsidR="00BA4D80" w14:paraId="0E59692A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B0ACF" w14:paraId="2522154F" w14:textId="6A9FC5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:rsidR="00DB0ACF" w14:paraId="2798372A" w14:textId="57472D81">
      <w:pPr>
        <w:spacing w:line="480" w:lineRule="atLeast"/>
      </w:pPr>
      <w:r>
        <w:tab/>
        <w:t xml:space="preserve">I hereby certify that a copy of </w:t>
      </w:r>
      <w:r w:rsidR="00E66DD2">
        <w:t>these Comments were</w:t>
      </w:r>
      <w:r>
        <w:t xml:space="preserve"> served on the persons stated below </w:t>
      </w:r>
      <w:r w:rsidRPr="00EC0B73">
        <w:t xml:space="preserve">via </w:t>
      </w:r>
      <w:r>
        <w:t>electronic transmission, this 22nd day of April 2020.</w:t>
      </w:r>
    </w:p>
    <w:p w:rsidR="00DB0ACF" w14:paraId="15891A55" w14:textId="77777777">
      <w:pPr>
        <w:spacing w:line="480" w:lineRule="atLeast"/>
      </w:pPr>
    </w:p>
    <w:p w:rsidR="00DB0ACF" w:rsidRPr="00F6315F" w14:paraId="47C3DAB6" w14:textId="6F8F2318">
      <w:pPr>
        <w:tabs>
          <w:tab w:val="left" w:pos="4320"/>
        </w:tabs>
        <w:rPr>
          <w:i/>
          <w:u w:val="single"/>
        </w:rPr>
      </w:pPr>
      <w:r>
        <w:tab/>
      </w:r>
      <w:r>
        <w:rPr>
          <w:i/>
          <w:u w:val="single"/>
        </w:rPr>
        <w:t>/s/ William J. Michael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DB0ACF" w14:paraId="3FAA5BEC" w14:textId="726BBA86">
      <w:pPr>
        <w:tabs>
          <w:tab w:val="left" w:pos="4320"/>
        </w:tabs>
      </w:pPr>
      <w:r>
        <w:tab/>
        <w:t>William J. Michael</w:t>
      </w:r>
    </w:p>
    <w:p w:rsidR="00DB0ACF" w14:paraId="0595447B" w14:textId="77777777">
      <w:pPr>
        <w:tabs>
          <w:tab w:val="left" w:pos="4320"/>
        </w:tabs>
      </w:pPr>
      <w:r>
        <w:tab/>
        <w:t>Assistant Consumers’ Counsel</w:t>
      </w:r>
    </w:p>
    <w:p w:rsidR="00DB0ACF" w14:paraId="4A70CAB2" w14:textId="77777777">
      <w:pPr>
        <w:pStyle w:val="CommentSubject"/>
      </w:pPr>
    </w:p>
    <w:p w:rsidR="0083212B" w:rsidP="0083212B" w14:paraId="76AD8543" w14:textId="77777777">
      <w:r>
        <w:t>The PUCO’s e-filing system will electronically serve notice of the filing of this document on the following parties:</w:t>
      </w:r>
    </w:p>
    <w:p w:rsidR="0083212B" w:rsidP="0083212B" w14:paraId="1C177157" w14:textId="77777777">
      <w:pPr>
        <w:pStyle w:val="CommentText"/>
      </w:pPr>
    </w:p>
    <w:p w:rsidR="0083212B" w:rsidP="0083212B" w14:paraId="4A63E295" w14:textId="77777777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83212B" w:rsidP="0083212B" w14:paraId="74F84F02" w14:textId="77777777">
      <w:pPr>
        <w:pStyle w:val="CommentText"/>
        <w:jc w:val="center"/>
        <w:rPr>
          <w:b/>
          <w:u w:val="single"/>
        </w:rPr>
      </w:pPr>
    </w:p>
    <w:p w:rsidR="0083212B" w:rsidP="0083212B" w14:paraId="74FBFA9B" w14:textId="77777777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130D4E89" w14:textId="77777777" w:rsidTr="00B6529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83212B" w:rsidRPr="008243B0" w:rsidP="00B65290" w14:paraId="01CA0852" w14:textId="762DAE97">
            <w:pPr>
              <w:rPr>
                <w:color w:val="0000FF"/>
                <w:szCs w:val="24"/>
                <w:u w:val="single"/>
              </w:rPr>
            </w:pPr>
            <w:hyperlink r:id="rId9" w:history="1">
              <w:r w:rsidRPr="00533654" w:rsidR="006B1078">
                <w:rPr>
                  <w:rStyle w:val="Hyperlink"/>
                </w:rPr>
                <w:t>a</w:t>
              </w:r>
              <w:r w:rsidRPr="00533654" w:rsidR="006B1078">
                <w:rPr>
                  <w:rStyle w:val="Hyperlink"/>
                  <w:szCs w:val="24"/>
                </w:rPr>
                <w:t>ndrew.shaffer@ohioattorneygeneral.gov</w:t>
              </w:r>
            </w:hyperlink>
          </w:p>
          <w:p w:rsidR="0083212B" w:rsidP="00B65290" w14:paraId="3EADD694" w14:textId="77777777">
            <w:pPr>
              <w:pStyle w:val="CommentText"/>
              <w:jc w:val="both"/>
              <w:rPr>
                <w:bCs/>
                <w:u w:val="single"/>
              </w:rPr>
            </w:pPr>
          </w:p>
          <w:p w:rsidR="0083212B" w:rsidP="00B65290" w14:paraId="2E0DCCBA" w14:textId="77777777">
            <w:pPr>
              <w:pStyle w:val="CommentText"/>
              <w:jc w:val="both"/>
              <w:rPr>
                <w:bCs/>
              </w:rPr>
            </w:pPr>
            <w:r w:rsidRPr="008243B0">
              <w:rPr>
                <w:bCs/>
              </w:rPr>
              <w:t>Attorney Examiner:</w:t>
            </w:r>
          </w:p>
          <w:p w:rsidR="0083212B" w:rsidP="00B65290" w14:paraId="6273C7B2" w14:textId="77777777">
            <w:pPr>
              <w:pStyle w:val="CommentText"/>
              <w:jc w:val="both"/>
              <w:rPr>
                <w:bCs/>
              </w:rPr>
            </w:pPr>
          </w:p>
          <w:p w:rsidR="0083212B" w:rsidRPr="008243B0" w:rsidP="00B65290" w14:paraId="0EC0E67D" w14:textId="4662E029">
            <w:pPr>
              <w:spacing w:after="160" w:line="259" w:lineRule="auto"/>
              <w:rPr>
                <w:color w:val="0000FF"/>
                <w:szCs w:val="24"/>
                <w:u w:val="single"/>
              </w:rPr>
            </w:pPr>
            <w:hyperlink r:id="rId10" w:history="1">
              <w:r w:rsidRPr="00533654" w:rsidR="006B1078">
                <w:rPr>
                  <w:rStyle w:val="Hyperlink"/>
                </w:rPr>
                <w:t>m</w:t>
              </w:r>
              <w:r w:rsidRPr="00533654" w:rsidR="006B1078">
                <w:rPr>
                  <w:rStyle w:val="Hyperlink"/>
                  <w:szCs w:val="24"/>
                </w:rPr>
                <w:t>atthew.sandor@puco.ohio.gov</w:t>
              </w:r>
            </w:hyperlink>
          </w:p>
          <w:p w:rsidR="0083212B" w:rsidRPr="008243B0" w:rsidP="00B65290" w14:paraId="1956EF54" w14:textId="77777777">
            <w:pPr>
              <w:pStyle w:val="CommentText"/>
              <w:jc w:val="both"/>
              <w:rPr>
                <w:bCs/>
              </w:rPr>
            </w:pPr>
          </w:p>
        </w:tc>
        <w:tc>
          <w:tcPr>
            <w:tcW w:w="4315" w:type="dxa"/>
          </w:tcPr>
          <w:p w:rsidR="0083212B" w:rsidRPr="008243B0" w:rsidP="00B65290" w14:paraId="3728198C" w14:textId="77777777">
            <w:pPr>
              <w:pStyle w:val="CommentText"/>
              <w:jc w:val="both"/>
              <w:rPr>
                <w:bCs/>
                <w:u w:val="single"/>
              </w:rPr>
            </w:pPr>
            <w:hyperlink r:id="rId11" w:history="1">
              <w:r w:rsidRPr="008243B0" w:rsidR="00B4738B">
                <w:rPr>
                  <w:rStyle w:val="Hyperlink"/>
                  <w:bCs/>
                </w:rPr>
                <w:t>talexander@calfee.com</w:t>
              </w:r>
            </w:hyperlink>
          </w:p>
          <w:p w:rsidR="0083212B" w:rsidP="00B65290" w14:paraId="1868D3E6" w14:textId="77777777">
            <w:pPr>
              <w:pStyle w:val="CommentText"/>
              <w:jc w:val="both"/>
              <w:rPr>
                <w:bCs/>
                <w:u w:val="single"/>
              </w:rPr>
            </w:pPr>
            <w:hyperlink r:id="rId12" w:history="1">
              <w:r w:rsidRPr="007B45EE" w:rsidR="00B4738B">
                <w:rPr>
                  <w:rStyle w:val="Hyperlink"/>
                  <w:bCs/>
                </w:rPr>
                <w:t>slesser@calfee.com</w:t>
              </w:r>
            </w:hyperlink>
          </w:p>
          <w:p w:rsidR="0083212B" w:rsidP="00B65290" w14:paraId="0895CF56" w14:textId="77777777">
            <w:pPr>
              <w:pStyle w:val="CommentText"/>
              <w:jc w:val="both"/>
              <w:rPr>
                <w:bCs/>
                <w:u w:val="single"/>
              </w:rPr>
            </w:pPr>
            <w:hyperlink r:id="rId13" w:history="1">
              <w:r w:rsidRPr="007B45EE" w:rsidR="00B4738B">
                <w:rPr>
                  <w:rStyle w:val="Hyperlink"/>
                  <w:bCs/>
                </w:rPr>
                <w:t>mkeaney@calfee.com</w:t>
              </w:r>
            </w:hyperlink>
          </w:p>
          <w:p w:rsidR="0083212B" w:rsidP="00B65290" w14:paraId="763FD33B" w14:textId="77777777">
            <w:pPr>
              <w:pStyle w:val="CommentText"/>
              <w:jc w:val="both"/>
              <w:rPr>
                <w:bCs/>
                <w:u w:val="single"/>
              </w:rPr>
            </w:pPr>
            <w:hyperlink r:id="rId14" w:history="1">
              <w:r w:rsidRPr="007B45EE" w:rsidR="00B4738B">
                <w:rPr>
                  <w:rStyle w:val="Hyperlink"/>
                  <w:bCs/>
                </w:rPr>
                <w:t>khehmeyer@calfee.com</w:t>
              </w:r>
            </w:hyperlink>
          </w:p>
          <w:p w:rsidR="0083212B" w:rsidRPr="008243B0" w:rsidP="00B65290" w14:paraId="09977918" w14:textId="77777777">
            <w:pPr>
              <w:pStyle w:val="CommentText"/>
              <w:jc w:val="both"/>
              <w:rPr>
                <w:bCs/>
                <w:u w:val="single"/>
              </w:rPr>
            </w:pPr>
          </w:p>
        </w:tc>
      </w:tr>
    </w:tbl>
    <w:p w:rsidR="0085576D" w14:paraId="4657C8E8" w14:textId="77777777">
      <w:pPr>
        <w:pStyle w:val="CommentText"/>
        <w:jc w:val="center"/>
        <w:rPr>
          <w:b/>
          <w:u w:val="single"/>
        </w:rPr>
      </w:pPr>
    </w:p>
    <w:sectPr w:rsidSect="004316AF">
      <w:footerReference w:type="first" r:id="rId15"/>
      <w:pgSz w:w="12240" w:h="15840"/>
      <w:pgMar w:top="1440" w:right="1800" w:bottom="1440" w:left="1800" w:header="720" w:footer="720" w:gutter="0"/>
      <w:pgNumType w:start="2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046383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3747D" w:rsidRPr="0073747D" w14:paraId="441D332D" w14:textId="77777777">
        <w:pPr>
          <w:pStyle w:val="Footer"/>
          <w:jc w:val="center"/>
          <w:rPr>
            <w:sz w:val="24"/>
            <w:szCs w:val="24"/>
          </w:rPr>
        </w:pPr>
        <w:r w:rsidRPr="0073747D">
          <w:rPr>
            <w:sz w:val="24"/>
            <w:szCs w:val="24"/>
          </w:rPr>
          <w:fldChar w:fldCharType="begin"/>
        </w:r>
        <w:r w:rsidRPr="0073747D">
          <w:rPr>
            <w:sz w:val="24"/>
            <w:szCs w:val="24"/>
          </w:rPr>
          <w:instrText xml:space="preserve"> PAGE   \* MERGEFORMAT </w:instrText>
        </w:r>
        <w:r w:rsidRPr="0073747D">
          <w:rPr>
            <w:sz w:val="24"/>
            <w:szCs w:val="24"/>
          </w:rPr>
          <w:fldChar w:fldCharType="separate"/>
        </w:r>
        <w:r w:rsidRPr="0073747D">
          <w:rPr>
            <w:noProof/>
            <w:sz w:val="24"/>
            <w:szCs w:val="24"/>
          </w:rPr>
          <w:t>2</w:t>
        </w:r>
        <w:r w:rsidRPr="0073747D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D80" w:rsidRPr="00BA4D80" w14:paraId="38E13921" w14:textId="51766C3D">
    <w:pPr>
      <w:pStyle w:val="Footer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245287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316AF" w:rsidRPr="004316AF" w14:paraId="78F1D2FB" w14:textId="2A44A344">
        <w:pPr>
          <w:pStyle w:val="Footer"/>
          <w:jc w:val="center"/>
          <w:rPr>
            <w:sz w:val="24"/>
            <w:szCs w:val="24"/>
          </w:rPr>
        </w:pPr>
        <w:r w:rsidRPr="004316AF">
          <w:rPr>
            <w:sz w:val="24"/>
            <w:szCs w:val="24"/>
          </w:rPr>
          <w:fldChar w:fldCharType="begin"/>
        </w:r>
        <w:r w:rsidRPr="004316AF">
          <w:rPr>
            <w:sz w:val="24"/>
            <w:szCs w:val="24"/>
          </w:rPr>
          <w:instrText xml:space="preserve"> PAGE   \* MERGEFORMAT </w:instrText>
        </w:r>
        <w:r w:rsidRPr="004316AF">
          <w:rPr>
            <w:sz w:val="24"/>
            <w:szCs w:val="24"/>
          </w:rPr>
          <w:fldChar w:fldCharType="separate"/>
        </w:r>
        <w:r w:rsidRPr="004316AF">
          <w:rPr>
            <w:noProof/>
            <w:sz w:val="24"/>
            <w:szCs w:val="24"/>
          </w:rPr>
          <w:t>2</w:t>
        </w:r>
        <w:r w:rsidRPr="004316A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97D19" w14:paraId="798D53DD" w14:textId="77777777">
      <w:r>
        <w:separator/>
      </w:r>
    </w:p>
  </w:footnote>
  <w:footnote w:type="continuationSeparator" w:id="1">
    <w:p w:rsidR="00E97D19" w14:paraId="04193A9D" w14:textId="77777777">
      <w:r>
        <w:continuationSeparator/>
      </w:r>
    </w:p>
  </w:footnote>
  <w:footnote w:id="2">
    <w:p w:rsidR="00992C45" w:rsidRPr="00DB1378" w:rsidP="001B5ACC" w14:paraId="050AE7E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In re</w:t>
      </w:r>
      <w:r w:rsidRPr="00506D5B">
        <w:rPr>
          <w:i/>
        </w:rPr>
        <w:t xml:space="preserve"> the Commission’s Investigation of the Financial Impact of the Tax Cuts and Jobs Act of 2017 on Regulated Ohio Utility Companies</w:t>
      </w:r>
      <w:r>
        <w:t>, Case No. 18-0047-AU-COI Finding and Order (October 24, 2018).</w:t>
      </w:r>
    </w:p>
  </w:footnote>
  <w:footnote w:id="3">
    <w:p w:rsidR="00506D5B" w:rsidP="001B5ACC" w14:paraId="6F09379C" w14:textId="0061C6D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B246C">
        <w:rPr>
          <w:i/>
        </w:rPr>
        <w:t>See</w:t>
      </w:r>
      <w:r>
        <w:t xml:space="preserve"> </w:t>
      </w:r>
      <w:r w:rsidR="002F2A00">
        <w:t>Docket</w:t>
      </w:r>
      <w:r>
        <w:t>.</w:t>
      </w:r>
    </w:p>
  </w:footnote>
  <w:footnote w:id="4">
    <w:p w:rsidR="002F2A00" w:rsidRPr="002F2A00" w:rsidP="001B5ACC" w14:paraId="3285F657" w14:textId="7184E231">
      <w:pPr>
        <w:pStyle w:val="FootnoteText"/>
        <w:spacing w:after="120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5">
    <w:p w:rsidR="002F2A00" w:rsidRPr="002F2A00" w:rsidP="001B5ACC" w14:paraId="086EDE83" w14:textId="5DF5F1D7">
      <w:pPr>
        <w:pStyle w:val="FootnoteText"/>
        <w:spacing w:after="120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6">
    <w:p w:rsidR="00E66DD2" w:rsidRPr="00E66DD2" w:rsidP="001B5ACC" w14:paraId="23C8BD95" w14:textId="58C89BA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PUCO Staff’s Review and Recommendations at 1-2.</w:t>
      </w:r>
    </w:p>
  </w:footnote>
  <w:footnote w:id="7">
    <w:p w:rsidR="005A1F36" w:rsidRPr="005A1F36" w:rsidP="001B5ACC" w14:paraId="3DB48709" w14:textId="7103A4D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1, 3.</w:t>
      </w:r>
    </w:p>
  </w:footnote>
  <w:footnote w:id="8">
    <w:p w:rsidR="005A1F36" w:rsidRPr="005A1F36" w:rsidP="001B5ACC" w14:paraId="702347F8" w14:textId="7303067E">
      <w:pPr>
        <w:pStyle w:val="FootnoteText"/>
        <w:spacing w:after="120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9">
    <w:p w:rsidR="00F45F31" w:rsidRPr="00F45F31" w:rsidP="001B5ACC" w14:paraId="682595A5" w14:textId="73C113B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Northeastern’s Application at Exhibit 2, Schedule 2.</w:t>
      </w:r>
    </w:p>
  </w:footnote>
  <w:footnote w:id="10">
    <w:p w:rsidR="00F45F31" w:rsidRPr="00F45F31" w:rsidP="001B5ACC" w14:paraId="06A48ED5" w14:textId="560D915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Staff Review at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45688"/>
    <w:multiLevelType w:val="hybridMultilevel"/>
    <w:tmpl w:val="DB62B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9D94234"/>
    <w:multiLevelType w:val="hybridMultilevel"/>
    <w:tmpl w:val="2F843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8F"/>
    <w:rsid w:val="00005991"/>
    <w:rsid w:val="000109B3"/>
    <w:rsid w:val="00024029"/>
    <w:rsid w:val="000E03C4"/>
    <w:rsid w:val="000F5FF4"/>
    <w:rsid w:val="00117687"/>
    <w:rsid w:val="00180C7B"/>
    <w:rsid w:val="001A678F"/>
    <w:rsid w:val="001B5ACC"/>
    <w:rsid w:val="0021407F"/>
    <w:rsid w:val="002F038E"/>
    <w:rsid w:val="002F2A00"/>
    <w:rsid w:val="002F3B4E"/>
    <w:rsid w:val="003068DC"/>
    <w:rsid w:val="00342972"/>
    <w:rsid w:val="00344452"/>
    <w:rsid w:val="004316AF"/>
    <w:rsid w:val="004477AA"/>
    <w:rsid w:val="004822A2"/>
    <w:rsid w:val="004A55AF"/>
    <w:rsid w:val="00506D5B"/>
    <w:rsid w:val="00524482"/>
    <w:rsid w:val="00533654"/>
    <w:rsid w:val="005836FF"/>
    <w:rsid w:val="005A1F36"/>
    <w:rsid w:val="005B11F4"/>
    <w:rsid w:val="005D3ED3"/>
    <w:rsid w:val="00612C18"/>
    <w:rsid w:val="00621A1C"/>
    <w:rsid w:val="006253B7"/>
    <w:rsid w:val="00676C19"/>
    <w:rsid w:val="00676E81"/>
    <w:rsid w:val="00677B86"/>
    <w:rsid w:val="006B1078"/>
    <w:rsid w:val="006D02DD"/>
    <w:rsid w:val="0073747D"/>
    <w:rsid w:val="007739AF"/>
    <w:rsid w:val="00782784"/>
    <w:rsid w:val="0079114E"/>
    <w:rsid w:val="007B45EE"/>
    <w:rsid w:val="007D76A8"/>
    <w:rsid w:val="00812543"/>
    <w:rsid w:val="008243B0"/>
    <w:rsid w:val="0083212B"/>
    <w:rsid w:val="00841A9F"/>
    <w:rsid w:val="00841C0D"/>
    <w:rsid w:val="00853DA0"/>
    <w:rsid w:val="0085576D"/>
    <w:rsid w:val="008657B2"/>
    <w:rsid w:val="0092448B"/>
    <w:rsid w:val="0095181B"/>
    <w:rsid w:val="00966B75"/>
    <w:rsid w:val="00992C45"/>
    <w:rsid w:val="00994CA6"/>
    <w:rsid w:val="009B22ED"/>
    <w:rsid w:val="009B246C"/>
    <w:rsid w:val="009E4459"/>
    <w:rsid w:val="00A044B5"/>
    <w:rsid w:val="00A43EF8"/>
    <w:rsid w:val="00A90A49"/>
    <w:rsid w:val="00A90CED"/>
    <w:rsid w:val="00A92A7B"/>
    <w:rsid w:val="00AD52A8"/>
    <w:rsid w:val="00AE76D9"/>
    <w:rsid w:val="00B4738B"/>
    <w:rsid w:val="00B61B4C"/>
    <w:rsid w:val="00B65290"/>
    <w:rsid w:val="00B70BA1"/>
    <w:rsid w:val="00B72E47"/>
    <w:rsid w:val="00BA4D80"/>
    <w:rsid w:val="00C0562F"/>
    <w:rsid w:val="00C16F7D"/>
    <w:rsid w:val="00CA1D4D"/>
    <w:rsid w:val="00D04639"/>
    <w:rsid w:val="00DB0ACF"/>
    <w:rsid w:val="00DB1378"/>
    <w:rsid w:val="00DF1D93"/>
    <w:rsid w:val="00E10476"/>
    <w:rsid w:val="00E66DD2"/>
    <w:rsid w:val="00E83104"/>
    <w:rsid w:val="00E97D19"/>
    <w:rsid w:val="00EB495B"/>
    <w:rsid w:val="00EC0B73"/>
    <w:rsid w:val="00F45F31"/>
    <w:rsid w:val="00F6315F"/>
    <w:rsid w:val="00F87B73"/>
    <w:rsid w:val="00FF6227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5B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B1D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725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747D"/>
  </w:style>
  <w:style w:type="character" w:customStyle="1" w:styleId="UnresolvedMention2">
    <w:name w:val="Unresolved Mention2"/>
    <w:basedOn w:val="DefaultParagraphFont"/>
    <w:rsid w:val="000A526E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EB495B"/>
    <w:rPr>
      <w:rFonts w:ascii="Courier New" w:eastAsia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B495B"/>
    <w:rPr>
      <w:b/>
      <w:sz w:val="24"/>
      <w:szCs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EB495B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8321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4D80"/>
    <w:rPr>
      <w:sz w:val="24"/>
    </w:rPr>
  </w:style>
  <w:style w:type="paragraph" w:styleId="ListParagraph">
    <w:name w:val="List Paragraph"/>
    <w:basedOn w:val="Normal"/>
    <w:uiPriority w:val="34"/>
    <w:qFormat/>
    <w:rsid w:val="00C16F7D"/>
    <w:pPr>
      <w:ind w:left="720"/>
      <w:contextualSpacing/>
    </w:pPr>
  </w:style>
  <w:style w:type="character" w:customStyle="1" w:styleId="UnresolvedMention3">
    <w:name w:val="Unresolved Mention3"/>
    <w:basedOn w:val="DefaultParagraphFont"/>
    <w:rsid w:val="006B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matthew.sandor@puco.ohio.gov" TargetMode="External" /><Relationship Id="rId11" Type="http://schemas.openxmlformats.org/officeDocument/2006/relationships/hyperlink" Target="mailto:talexander@calfee.com" TargetMode="External" /><Relationship Id="rId12" Type="http://schemas.openxmlformats.org/officeDocument/2006/relationships/hyperlink" Target="mailto:slesser@calfee.com" TargetMode="External" /><Relationship Id="rId13" Type="http://schemas.openxmlformats.org/officeDocument/2006/relationships/hyperlink" Target="mailto:mkeaney@calfee.com" TargetMode="External" /><Relationship Id="rId14" Type="http://schemas.openxmlformats.org/officeDocument/2006/relationships/hyperlink" Target="mailto:khehmeyer@calfee.com" TargetMode="Externa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william.michael@occ.ohio.gov" TargetMode="External" /><Relationship Id="rId9" Type="http://schemas.openxmlformats.org/officeDocument/2006/relationships/hyperlink" Target="mailto:andrew.shaffer@ohioattorneygeneral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9410-C687-454B-B5C5-BAA76E7E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2020-04-22T21:12:13Z</dcterms:created>
  <dcterms:modified xsi:type="dcterms:W3CDTF">2020-04-22T21:12:13Z</dcterms:modified>
</cp:coreProperties>
</file>