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F03A73" w:rsidP="00367190" w14:paraId="7ABEC0BC" w14:textId="77777777"/>
    <w:p w:rsidR="00F03A73" w:rsidP="00367190" w14:paraId="09EAF333" w14:textId="77777777"/>
    <w:p w:rsidR="00F03A73" w:rsidP="00367190" w14:paraId="005E492F" w14:textId="77777777"/>
    <w:p w:rsidR="00706FD0" w:rsidP="00367190" w14:paraId="27B9F569" w14:textId="77777777"/>
    <w:p w:rsidR="00367190" w:rsidRPr="00367190" w:rsidP="00367190" w14:paraId="74FCF3B1" w14:textId="01623693">
      <w:r>
        <w:t xml:space="preserve">April </w:t>
      </w:r>
      <w:r w:rsidR="007343F2">
        <w:t>4</w:t>
      </w:r>
      <w:r>
        <w:t>, 2024</w:t>
      </w:r>
    </w:p>
    <w:p w:rsidR="00367190" w:rsidRPr="00367190" w:rsidP="00367190" w14:paraId="271DC1D1" w14:textId="77777777"/>
    <w:p w:rsidR="00367190" w:rsidRPr="00367190" w:rsidP="00367190" w14:paraId="3BA133C9" w14:textId="4516038C">
      <w:r w:rsidRPr="00367190">
        <w:t>Tanowa Troupe, Secretary</w:t>
      </w:r>
    </w:p>
    <w:p w:rsidR="00367190" w:rsidRPr="00367190" w:rsidP="00367190" w14:paraId="324C7D16" w14:textId="77777777">
      <w:r w:rsidRPr="00367190">
        <w:t>Public Utilities Commission of Ohio</w:t>
      </w:r>
    </w:p>
    <w:p w:rsidR="00367190" w:rsidRPr="00367190" w:rsidP="00367190" w14:paraId="3B679161" w14:textId="70BF4E3B">
      <w:r w:rsidRPr="00367190">
        <w:t>180 East Broad Street, 11</w:t>
      </w:r>
      <w:r w:rsidRPr="002707C1" w:rsidR="002707C1">
        <w:rPr>
          <w:vertAlign w:val="superscript"/>
        </w:rPr>
        <w:t>th</w:t>
      </w:r>
      <w:r w:rsidR="002707C1">
        <w:t xml:space="preserve"> </w:t>
      </w:r>
      <w:r w:rsidRPr="00367190">
        <w:t>Floor</w:t>
      </w:r>
    </w:p>
    <w:p w:rsidR="00367190" w:rsidRPr="00367190" w:rsidP="00367190" w14:paraId="0F410EA8" w14:textId="77777777">
      <w:r w:rsidRPr="00367190">
        <w:t>Columbus, Ohio 43215</w:t>
      </w:r>
    </w:p>
    <w:p w:rsidR="004A247C" w:rsidP="005015C5" w14:paraId="79C9E6C4" w14:textId="77777777">
      <w:pPr>
        <w:ind w:left="1080" w:hanging="360"/>
      </w:pPr>
    </w:p>
    <w:p w:rsidR="00367190" w:rsidRPr="00367190" w:rsidP="004A247C" w14:paraId="0C7B14A8" w14:textId="3DFEDD9B">
      <w:pPr>
        <w:ind w:left="720" w:hanging="720"/>
        <w:rPr>
          <w:u w:val="single"/>
        </w:rPr>
      </w:pPr>
      <w:r w:rsidRPr="00367190">
        <w:t>Re:</w:t>
      </w:r>
      <w:r w:rsidR="004A247C">
        <w:tab/>
      </w:r>
      <w:r w:rsidRPr="0010778B" w:rsidR="00757F7C">
        <w:rPr>
          <w:i/>
          <w:iCs/>
        </w:rPr>
        <w:t xml:space="preserve">In the Matter of the OVEC Generation Purchase Rider Audits Required by R.C. 4928.148 for Duke Energy Ohio, Inc., </w:t>
      </w:r>
      <w:r w:rsidR="00F55BB0">
        <w:rPr>
          <w:i/>
          <w:iCs/>
        </w:rPr>
        <w:t>T</w:t>
      </w:r>
      <w:r w:rsidRPr="0010778B" w:rsidR="00757F7C">
        <w:rPr>
          <w:i/>
          <w:iCs/>
        </w:rPr>
        <w:t>he Dayton Power and Light Company, and AEP Ohio</w:t>
      </w:r>
      <w:r w:rsidRPr="007343F2" w:rsidR="00757F7C">
        <w:t>,</w:t>
      </w:r>
      <w:r w:rsidR="00757F7C">
        <w:rPr>
          <w:i/>
          <w:iCs/>
        </w:rPr>
        <w:t xml:space="preserve"> </w:t>
      </w:r>
      <w:r w:rsidRPr="00757F7C" w:rsidR="00757F7C">
        <w:t>Case No. 21-477-EL-RDR</w:t>
      </w:r>
    </w:p>
    <w:p w:rsidR="00367190" w:rsidRPr="00367190" w:rsidP="00367190" w14:paraId="68D43823" w14:textId="77777777">
      <w:pPr>
        <w:rPr>
          <w:u w:val="single"/>
        </w:rPr>
      </w:pPr>
    </w:p>
    <w:p w:rsidR="00367190" w:rsidRPr="00367190" w:rsidP="00367190" w14:paraId="307A7F04" w14:textId="77777777">
      <w:r w:rsidRPr="00367190">
        <w:t xml:space="preserve">Dear </w:t>
      </w:r>
      <w:r>
        <w:t xml:space="preserve">Ms. </w:t>
      </w:r>
      <w:r w:rsidRPr="00367190">
        <w:t>Troupe</w:t>
      </w:r>
      <w:r>
        <w:t>:</w:t>
      </w:r>
    </w:p>
    <w:p w:rsidR="00367190" w:rsidRPr="00367190" w:rsidP="00367190" w14:paraId="6667904C" w14:textId="77777777"/>
    <w:p w:rsidR="00EC1820" w:rsidP="00EC1820" w14:paraId="160AF0FF" w14:textId="3F74EF37">
      <w:r>
        <w:t>On February 15, 2024, London Economics International LLC</w:t>
      </w:r>
      <w:r w:rsidR="006A10B8">
        <w:t xml:space="preserve"> (“London Economics”)</w:t>
      </w:r>
      <w:r>
        <w:t xml:space="preserve"> wrote to PUCO Staff asking for an increase in its budget to perform the audit work in this case.</w:t>
      </w:r>
      <w:r w:rsidR="008F5907">
        <w:t xml:space="preserve"> </w:t>
      </w:r>
      <w:r w:rsidR="00BE3C77">
        <w:t xml:space="preserve">The </w:t>
      </w:r>
      <w:r w:rsidR="006A10B8">
        <w:t xml:space="preserve">total </w:t>
      </w:r>
      <w:r w:rsidR="00BE3C77">
        <w:t>amount of the requested increase is redacted, so consumers</w:t>
      </w:r>
      <w:r w:rsidR="006A10B8">
        <w:t xml:space="preserve"> and Ohio manufacturers</w:t>
      </w:r>
      <w:r w:rsidR="00BE3C77">
        <w:t xml:space="preserve"> are unable to determine how the requested increase would impact them.</w:t>
      </w:r>
      <w:r>
        <w:rPr>
          <w:rStyle w:val="FootnoteReference"/>
        </w:rPr>
        <w:footnoteReference w:id="2"/>
      </w:r>
      <w:r w:rsidR="009D617F">
        <w:t xml:space="preserve"> </w:t>
      </w:r>
      <w:r>
        <w:t xml:space="preserve">London Economics gave </w:t>
      </w:r>
      <w:r w:rsidR="006A10B8">
        <w:t xml:space="preserve">the following </w:t>
      </w:r>
      <w:r>
        <w:t>reason for the requested increase:</w:t>
      </w:r>
    </w:p>
    <w:p w:rsidR="00EC1820" w:rsidP="00EC1820" w14:paraId="3CCC214E" w14:textId="77777777"/>
    <w:p w:rsidR="00EC1820" w:rsidP="008F5907" w14:paraId="7E268FCA" w14:textId="6EE9F01D">
      <w:pPr>
        <w:ind w:left="1440" w:right="1440"/>
      </w:pPr>
      <w:r>
        <w:t xml:space="preserve">LEI’s initial budget for preparation and testimony was capped at $20,000. It was LEI </w:t>
      </w:r>
      <w:r w:rsidR="00DC3753">
        <w:t xml:space="preserve">[sic] </w:t>
      </w:r>
      <w:r>
        <w:t>understanding that our budget for preparation and testimony was for professional fees only (and excluded travel and other reimbursable expenses) as noted in LEI’s proposal. LEI now understands that the Commission intends that the preparation and testimony budget must also include reimbursable expenses.</w:t>
      </w:r>
      <w:r>
        <w:rPr>
          <w:rStyle w:val="FootnoteReference"/>
        </w:rPr>
        <w:footnoteReference w:id="3"/>
      </w:r>
    </w:p>
    <w:p w:rsidR="00EC1820" w:rsidP="00EC1820" w14:paraId="28672C26" w14:textId="77777777"/>
    <w:p w:rsidR="00EC1820" w:rsidP="00EC1820" w14:paraId="191579B6" w14:textId="5D522B3B">
      <w:r>
        <w:t xml:space="preserve">The Office of the Ohio Consumers’ Counsel (“OCC”) and the Ohio Manufacturers’ Association Energy Group (“OMAEG”) </w:t>
      </w:r>
      <w:r>
        <w:t>recommend that, if the PUCO approves this request, then consumers</w:t>
      </w:r>
      <w:r w:rsidRPr="006A10B8">
        <w:t xml:space="preserve"> </w:t>
      </w:r>
      <w:r>
        <w:t>and Ohio manufacturers</w:t>
      </w:r>
      <w:r>
        <w:t xml:space="preserve"> should not be charged for the additional cost.</w:t>
      </w:r>
      <w:r w:rsidR="008F5907">
        <w:t xml:space="preserve"> </w:t>
      </w:r>
      <w:r>
        <w:t>The PUCO’s Request for Proposal</w:t>
      </w:r>
      <w:r>
        <w:t xml:space="preserve"> (“RFP”)</w:t>
      </w:r>
      <w:r>
        <w:t xml:space="preserve"> for the audit work clearly stated that the $20,000 budget would include the costs related to presenting testimony at the hearing.</w:t>
      </w:r>
      <w:r w:rsidR="008F5907">
        <w:t xml:space="preserve"> </w:t>
      </w:r>
      <w:r>
        <w:t>The RFP stated:</w:t>
      </w:r>
    </w:p>
    <w:p w:rsidR="00EC1820" w:rsidP="00EC1820" w14:paraId="67EAEEAA" w14:textId="77777777"/>
    <w:p w:rsidR="00EC1820" w:rsidP="008F5907" w14:paraId="3AD2EEC3" w14:textId="27CB601F">
      <w:pPr>
        <w:ind w:left="1440" w:right="1440"/>
      </w:pPr>
      <w:r>
        <w:t xml:space="preserve">For each audit, the actual costs associated with preparing and presenting expert testimony before the Commission during the </w:t>
      </w:r>
      <w:r>
        <w:t>applicable hearing will include time and materials not to exceed $20,000 without Commission Staff approval.</w:t>
      </w:r>
      <w:r>
        <w:rPr>
          <w:rStyle w:val="FootnoteReference"/>
        </w:rPr>
        <w:footnoteReference w:id="4"/>
      </w:r>
    </w:p>
    <w:p w:rsidR="00FA4EAF" w:rsidP="00EC1820" w14:paraId="094235ED" w14:textId="77777777"/>
    <w:p w:rsidR="00DA44F5" w14:paraId="5C1F7765" w14:textId="5D1D42C8">
      <w:r>
        <w:t>In addition, London Economics previously performed audit work for the PUCO in Case Nos. 20-167-EL-RDR and 18-1004-EL-RDR, so London Economics should have been well aware of the PUCO’s budgeting and billing practices for work by independent auditors.</w:t>
      </w:r>
    </w:p>
    <w:p w:rsidR="00D23310" w14:paraId="47FA5C67" w14:textId="77777777"/>
    <w:p w:rsidR="00367190" w:rsidP="009C4F9A" w14:paraId="5BB85956" w14:textId="64D37601">
      <w:r w:rsidRPr="00367190">
        <w:t>Very truly yours,</w:t>
      </w:r>
    </w:p>
    <w:p w:rsidR="00304B56" w:rsidP="00304B56" w14:paraId="2291FD45" w14:textId="77777777"/>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675"/>
        <w:gridCol w:w="4675"/>
      </w:tblGrid>
      <w:tr w14:paraId="060E2571" w14:textId="77777777" w:rsidTr="00EF5036">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Pr>
          <w:p w:rsidR="006A10B8" w:rsidP="006A10B8" w14:paraId="4B578B35" w14:textId="77777777">
            <w:pPr>
              <w:rPr>
                <w:i/>
                <w:iCs/>
                <w:sz w:val="24"/>
                <w:szCs w:val="24"/>
                <w:lang w:val="en-US" w:eastAsia="en-US" w:bidi="ar-SA"/>
              </w:rPr>
            </w:pPr>
            <w:r w:rsidRPr="00304B56">
              <w:rPr>
                <w:i/>
                <w:iCs/>
                <w:sz w:val="24"/>
                <w:szCs w:val="24"/>
                <w:lang w:val="en-US" w:eastAsia="en-US" w:bidi="ar-SA"/>
              </w:rPr>
              <w:t xml:space="preserve">/s/ </w:t>
            </w:r>
            <w:r>
              <w:rPr>
                <w:i/>
                <w:iCs/>
                <w:sz w:val="24"/>
                <w:szCs w:val="24"/>
                <w:lang w:val="en-US" w:eastAsia="en-US" w:bidi="ar-SA"/>
              </w:rPr>
              <w:t>John Finnigan</w:t>
            </w:r>
          </w:p>
          <w:p w:rsidR="006A10B8" w:rsidRPr="00304B56" w:rsidP="006A10B8" w14:paraId="78844D16" w14:textId="77777777">
            <w:pPr>
              <w:rPr>
                <w:i/>
                <w:iCs/>
                <w:sz w:val="24"/>
                <w:szCs w:val="24"/>
                <w:lang w:val="en-US" w:eastAsia="en-US" w:bidi="ar-SA"/>
              </w:rPr>
            </w:pPr>
          </w:p>
          <w:p w:rsidR="006A10B8" w:rsidRPr="00367190" w:rsidP="006A10B8" w14:paraId="068E4739" w14:textId="57CE42BF">
            <w:pPr>
              <w:rPr>
                <w:sz w:val="24"/>
                <w:szCs w:val="24"/>
                <w:lang w:val="en-US" w:eastAsia="en-US" w:bidi="ar-SA"/>
              </w:rPr>
            </w:pPr>
            <w:r>
              <w:rPr>
                <w:sz w:val="24"/>
                <w:szCs w:val="24"/>
                <w:lang w:val="en-US" w:eastAsia="en-US" w:bidi="ar-SA"/>
              </w:rPr>
              <w:t>John Finnigan</w:t>
            </w:r>
            <w:r w:rsidR="00C92685">
              <w:rPr>
                <w:sz w:val="24"/>
                <w:szCs w:val="24"/>
                <w:lang w:val="en-US" w:eastAsia="en-US" w:bidi="ar-SA"/>
              </w:rPr>
              <w:t xml:space="preserve"> (0018689)</w:t>
            </w:r>
          </w:p>
          <w:p w:rsidR="006A10B8" w:rsidP="006A10B8" w14:paraId="1B4EFD7F" w14:textId="77777777">
            <w:pPr>
              <w:rPr>
                <w:sz w:val="24"/>
                <w:szCs w:val="24"/>
                <w:lang w:val="en-US" w:eastAsia="en-US" w:bidi="ar-SA"/>
              </w:rPr>
            </w:pPr>
            <w:r>
              <w:rPr>
                <w:sz w:val="24"/>
                <w:szCs w:val="24"/>
                <w:lang w:val="en-US" w:eastAsia="en-US" w:bidi="ar-SA"/>
              </w:rPr>
              <w:t>Assistant Consumers’ Counsel</w:t>
            </w:r>
          </w:p>
          <w:p w:rsidR="006A10B8" w:rsidP="00304B56" w14:paraId="0A7D6E93" w14:textId="77777777">
            <w:pPr>
              <w:rPr>
                <w:sz w:val="24"/>
                <w:szCs w:val="24"/>
                <w:lang w:val="en-US" w:eastAsia="en-US" w:bidi="ar-SA"/>
              </w:rPr>
            </w:pPr>
          </w:p>
        </w:tc>
        <w:tc>
          <w:tcPr>
            <w:tcW w:w="4675" w:type="dxa"/>
          </w:tcPr>
          <w:p w:rsidR="006A10B8" w:rsidP="00304B56" w14:paraId="65AD0886" w14:textId="77777777">
            <w:pPr>
              <w:rPr>
                <w:sz w:val="24"/>
                <w:szCs w:val="24"/>
                <w:lang w:val="en-US" w:eastAsia="en-US" w:bidi="ar-SA"/>
              </w:rPr>
            </w:pPr>
            <w:r>
              <w:rPr>
                <w:i/>
                <w:iCs/>
                <w:sz w:val="24"/>
                <w:szCs w:val="24"/>
                <w:lang w:val="en-US" w:eastAsia="en-US" w:bidi="ar-SA"/>
              </w:rPr>
              <w:t>/s/ Kimberly W. Bojko</w:t>
            </w:r>
          </w:p>
          <w:p w:rsidR="00C92685" w:rsidP="00304B56" w14:paraId="21B73771" w14:textId="77777777">
            <w:pPr>
              <w:rPr>
                <w:sz w:val="24"/>
                <w:szCs w:val="24"/>
                <w:lang w:val="en-US" w:eastAsia="en-US" w:bidi="ar-SA"/>
              </w:rPr>
            </w:pPr>
          </w:p>
          <w:p w:rsidR="00C92685" w:rsidP="00304B56" w14:paraId="013D572F" w14:textId="77777777">
            <w:pPr>
              <w:rPr>
                <w:sz w:val="24"/>
                <w:szCs w:val="24"/>
                <w:lang w:val="en-US" w:eastAsia="en-US" w:bidi="ar-SA"/>
              </w:rPr>
            </w:pPr>
            <w:r w:rsidRPr="00C92685">
              <w:rPr>
                <w:sz w:val="24"/>
                <w:szCs w:val="24"/>
                <w:lang w:val="en-US" w:eastAsia="en-US" w:bidi="ar-SA"/>
              </w:rPr>
              <w:t>Kimberly W. Bojko (0069402)</w:t>
            </w:r>
          </w:p>
          <w:p w:rsidR="00C92685" w:rsidRPr="00C92685" w:rsidP="00304B56" w14:paraId="0907A9EA" w14:textId="491815FE">
            <w:pPr>
              <w:rPr>
                <w:sz w:val="24"/>
                <w:szCs w:val="24"/>
                <w:lang w:val="en-US" w:eastAsia="en-US" w:bidi="ar-SA"/>
              </w:rPr>
            </w:pPr>
            <w:r w:rsidRPr="00C92685">
              <w:rPr>
                <w:sz w:val="24"/>
                <w:szCs w:val="24"/>
                <w:lang w:val="en-US" w:eastAsia="en-US" w:bidi="ar-SA"/>
              </w:rPr>
              <w:t>Counsel for Ohio Manufacturers’ Association</w:t>
            </w:r>
            <w:r>
              <w:rPr>
                <w:sz w:val="24"/>
                <w:szCs w:val="24"/>
                <w:lang w:val="en-US" w:eastAsia="en-US" w:bidi="ar-SA"/>
              </w:rPr>
              <w:t xml:space="preserve"> Energy Group</w:t>
            </w:r>
          </w:p>
        </w:tc>
      </w:tr>
    </w:tbl>
    <w:p w:rsidR="00DA44F5" w:rsidP="00676820" w14:paraId="1E8A703E" w14:textId="77777777"/>
    <w:p w:rsidR="00DA44F5" w:rsidRPr="00367190" w:rsidP="00DA44F5" w14:paraId="0285A890" w14:textId="77777777">
      <w:pPr>
        <w:ind w:right="1440"/>
      </w:pPr>
      <w:r w:rsidRPr="00367190">
        <w:t>cc:</w:t>
      </w:r>
      <w:r>
        <w:t xml:space="preserve"> </w:t>
      </w:r>
      <w:r w:rsidRPr="00367190">
        <w:t>All Parties of Record &amp; Attorney Examiners</w:t>
      </w:r>
    </w:p>
    <w:p w:rsidR="00DA44F5" w:rsidRPr="00367190" w:rsidP="00676820" w14:paraId="748A8E65" w14:textId="77777777"/>
    <w:sectPr w:rsidSect="00E315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576"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9B5" w14:paraId="77BF20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9B5" w14:paraId="75FB4BC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502" w:rsidRPr="00A0550A" w:rsidP="00B557AF" w14:paraId="18EFC19A" w14:textId="0D4CEEDE">
    <w:pPr>
      <w:pStyle w:val="Footer"/>
      <w:spacing w:line="288" w:lineRule="atLeast"/>
      <w:jc w:val="center"/>
      <w:rPr>
        <w:rFonts w:ascii="Arial Narrow" w:hAnsi="Arial Narrow"/>
        <w:color w:val="003366"/>
        <w:sz w:val="18"/>
        <w:szCs w:val="18"/>
      </w:rPr>
    </w:pPr>
    <w:r>
      <w:rPr>
        <w:rFonts w:ascii="Arial Narrow" w:hAnsi="Arial Narrow"/>
        <w:noProof/>
        <w:color w:val="003366"/>
        <w:sz w:val="20"/>
        <w:szCs w:val="18"/>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132080</wp:posOffset>
              </wp:positionV>
              <wp:extent cx="7082790" cy="0"/>
              <wp:effectExtent l="9525" t="8255" r="13335" b="10795"/>
              <wp:wrapNone/>
              <wp:docPr id="1"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8279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3" style="mso-height-percent:0;mso-height-relative:page;mso-width-percent:0;mso-width-relative:page;mso-wrap-distance-bottom:0;mso-wrap-distance-left:9pt;mso-wrap-distance-right:9pt;mso-wrap-distance-top:0;mso-wrap-style:square;position:absolute;visibility:visible;z-index:251665408" from="-45pt,10.4pt" to="512.7pt,10.4pt"/>
          </w:pict>
        </mc:Fallback>
      </mc:AlternateContent>
    </w:r>
  </w:p>
  <w:p w:rsidR="00E96502" w:rsidRPr="00845F44" w:rsidP="00845F44" w14:paraId="40E2F5BB" w14:textId="6613E3B6">
    <w:pPr>
      <w:autoSpaceDE w:val="0"/>
      <w:autoSpaceDN w:val="0"/>
      <w:adjustRightInd w:val="0"/>
      <w:jc w:val="center"/>
      <w:rPr>
        <w:rFonts w:ascii="MS Shell Dlg 2" w:hAnsi="MS Shell Dlg 2" w:cs="MS Shell Dlg 2"/>
        <w:sz w:val="17"/>
        <w:szCs w:val="17"/>
      </w:rPr>
    </w:pPr>
    <w:r>
      <w:rPr>
        <w:rFonts w:ascii="Arial" w:hAnsi="Arial" w:cs="Arial"/>
        <w:sz w:val="18"/>
        <w:szCs w:val="18"/>
      </w:rPr>
      <w:t>65 East State</w:t>
    </w:r>
    <w:r w:rsidR="00B557AF">
      <w:rPr>
        <w:rFonts w:ascii="Arial" w:hAnsi="Arial" w:cs="Arial"/>
        <w:sz w:val="18"/>
        <w:szCs w:val="18"/>
      </w:rPr>
      <w:t xml:space="preserve"> Street,</w:t>
    </w:r>
    <w:r w:rsidR="003F00D1">
      <w:rPr>
        <w:rFonts w:ascii="Arial" w:hAnsi="Arial" w:cs="Arial"/>
        <w:sz w:val="18"/>
        <w:szCs w:val="18"/>
      </w:rPr>
      <w:t xml:space="preserve"> Suite 700</w:t>
    </w:r>
    <w:r>
      <w:rPr>
        <w:rFonts w:ascii="Arial" w:hAnsi="Arial" w:cs="Arial"/>
        <w:sz w:val="18"/>
        <w:szCs w:val="18"/>
      </w:rPr>
      <w:t>,</w:t>
    </w:r>
    <w:r w:rsidR="00B557AF">
      <w:rPr>
        <w:rFonts w:ascii="Arial" w:hAnsi="Arial" w:cs="Arial"/>
        <w:sz w:val="18"/>
        <w:szCs w:val="18"/>
      </w:rPr>
      <w:t xml:space="preserve"> </w:t>
    </w:r>
    <w:r w:rsidRPr="00B557AF">
      <w:rPr>
        <w:rFonts w:ascii="Arial" w:hAnsi="Arial" w:cs="Arial"/>
        <w:sz w:val="18"/>
        <w:szCs w:val="18"/>
      </w:rPr>
      <w:t>Columbus, Ohio</w:t>
    </w:r>
    <w:r w:rsidR="00B557AF">
      <w:rPr>
        <w:rFonts w:ascii="Arial" w:hAnsi="Arial" w:cs="Arial"/>
        <w:sz w:val="18"/>
        <w:szCs w:val="18"/>
      </w:rPr>
      <w:t xml:space="preserve"> </w:t>
    </w:r>
    <w:r>
      <w:rPr>
        <w:rFonts w:ascii="Arial" w:hAnsi="Arial" w:cs="Arial"/>
        <w:sz w:val="18"/>
        <w:szCs w:val="18"/>
      </w:rPr>
      <w:t>4321</w:t>
    </w:r>
    <w:r w:rsidR="00FE3E24">
      <w:rPr>
        <w:rFonts w:ascii="Arial" w:hAnsi="Arial" w:cs="Arial"/>
        <w:sz w:val="18"/>
        <w:szCs w:val="18"/>
      </w:rPr>
      <w:t>5</w:t>
    </w:r>
    <w:r w:rsidR="00B557AF">
      <w:rPr>
        <w:rFonts w:ascii="Arial" w:hAnsi="Arial" w:cs="Arial"/>
        <w:sz w:val="18"/>
        <w:szCs w:val="18"/>
      </w:rPr>
      <w:t xml:space="preserve"> </w:t>
    </w:r>
    <w:r w:rsidRPr="003021FF" w:rsidR="00845F44">
      <w:rPr>
        <w:rFonts w:ascii="Arial" w:hAnsi="Arial" w:cs="Arial"/>
        <w:position w:val="-2"/>
        <w:sz w:val="26"/>
        <w:szCs w:val="26"/>
      </w:rPr>
      <w:t>•</w:t>
    </w:r>
    <w:r w:rsidR="003021FF">
      <w:rPr>
        <w:rFonts w:ascii="Arial" w:hAnsi="Arial" w:cs="Arial"/>
        <w:sz w:val="18"/>
        <w:szCs w:val="18"/>
      </w:rPr>
      <w:t xml:space="preserve"> </w:t>
    </w:r>
    <w:r w:rsidR="00D11B09">
      <w:rPr>
        <w:rFonts w:ascii="Arial" w:hAnsi="Arial" w:cs="Arial"/>
        <w:sz w:val="18"/>
        <w:szCs w:val="18"/>
      </w:rPr>
      <w:t>(</w:t>
    </w:r>
    <w:r w:rsidRPr="00D11B09" w:rsidR="00D11B09">
      <w:rPr>
        <w:rFonts w:ascii="Arial" w:hAnsi="Arial" w:cs="Arial"/>
        <w:sz w:val="18"/>
        <w:szCs w:val="18"/>
      </w:rPr>
      <w:t>614</w:t>
    </w:r>
    <w:r w:rsidR="00D11B09">
      <w:rPr>
        <w:rFonts w:ascii="Arial" w:hAnsi="Arial" w:cs="Arial"/>
        <w:sz w:val="18"/>
        <w:szCs w:val="18"/>
      </w:rPr>
      <w:t xml:space="preserve">) </w:t>
    </w:r>
    <w:r w:rsidRPr="00D11B09" w:rsidR="00D11B09">
      <w:rPr>
        <w:rFonts w:ascii="Arial" w:hAnsi="Arial" w:cs="Arial"/>
        <w:sz w:val="18"/>
        <w:szCs w:val="18"/>
      </w:rPr>
      <w:t>466-9585</w:t>
    </w:r>
    <w:r w:rsidR="000C3E53">
      <w:rPr>
        <w:rFonts w:ascii="Arial" w:hAnsi="Arial" w:cs="Arial"/>
        <w:sz w:val="18"/>
        <w:szCs w:val="18"/>
      </w:rPr>
      <w:t xml:space="preserve"> </w:t>
    </w:r>
    <w:r w:rsidRPr="003021FF" w:rsidR="003021FF">
      <w:rPr>
        <w:rFonts w:ascii="Arial" w:hAnsi="Arial" w:cs="Arial"/>
        <w:position w:val="-2"/>
        <w:sz w:val="26"/>
        <w:szCs w:val="26"/>
      </w:rPr>
      <w:t>•</w:t>
    </w:r>
    <w:r w:rsidR="003021FF">
      <w:rPr>
        <w:rFonts w:ascii="Arial" w:hAnsi="Arial" w:cs="Arial"/>
        <w:sz w:val="18"/>
        <w:szCs w:val="18"/>
      </w:rPr>
      <w:t xml:space="preserve"> </w:t>
    </w:r>
    <w:r w:rsidRPr="003919AD" w:rsidR="00B557AF">
      <w:rPr>
        <w:rFonts w:ascii="Arial" w:hAnsi="Arial" w:cs="Arial"/>
        <w:sz w:val="18"/>
        <w:szCs w:val="18"/>
      </w:rPr>
      <w:t>www.occ.ohio.gov</w:t>
    </w:r>
    <w:r w:rsidR="00B557AF">
      <w:rPr>
        <w:rFonts w:ascii="Arial" w:hAnsi="Arial" w:cs="Arial"/>
        <w:sz w:val="18"/>
        <w:szCs w:val="18"/>
      </w:rPr>
      <w:br/>
    </w:r>
  </w:p>
  <w:p w:rsidR="00B557AF" w:rsidRPr="00B557AF" w:rsidP="00845F44" w14:paraId="5DF9D708" w14:textId="77777777">
    <w:pPr>
      <w:jc w:val="center"/>
      <w:rPr>
        <w:rFonts w:ascii="Arial" w:hAnsi="Arial" w:cs="Arial"/>
        <w:i/>
        <w:sz w:val="18"/>
        <w:szCs w:val="18"/>
      </w:rPr>
    </w:pPr>
    <w:r w:rsidRPr="00B557AF">
      <w:rPr>
        <w:rFonts w:ascii="Arial" w:hAnsi="Arial" w:cs="Arial"/>
        <w:i/>
        <w:sz w:val="18"/>
        <w:szCs w:val="18"/>
      </w:rPr>
      <w:t>Your Residential Utility Consumer Advocate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6489C" w14:paraId="55FA8949" w14:textId="77777777">
      <w:r>
        <w:separator/>
      </w:r>
    </w:p>
  </w:footnote>
  <w:footnote w:type="continuationSeparator" w:id="1">
    <w:p w:rsidR="0006489C" w14:paraId="2D5E6E06" w14:textId="77777777">
      <w:r>
        <w:continuationSeparator/>
      </w:r>
    </w:p>
  </w:footnote>
  <w:footnote w:id="2">
    <w:p w:rsidR="00DC3753" w:rsidRPr="00DC3753" w:rsidP="00414AB9" w14:paraId="77058FD4" w14:textId="34516B79">
      <w:pPr>
        <w:pStyle w:val="FootnoteText"/>
        <w:spacing w:after="120"/>
      </w:pPr>
      <w:r>
        <w:rPr>
          <w:rStyle w:val="FootnoteReference"/>
        </w:rPr>
        <w:footnoteRef/>
      </w:r>
      <w:r>
        <w:t xml:space="preserve"> OCC </w:t>
      </w:r>
      <w:r w:rsidR="00971F46">
        <w:t xml:space="preserve">and OMAEG </w:t>
      </w:r>
      <w:r>
        <w:t xml:space="preserve">object that the </w:t>
      </w:r>
      <w:r w:rsidR="006A10B8">
        <w:t xml:space="preserve">total </w:t>
      </w:r>
      <w:r>
        <w:t xml:space="preserve">amount of the requested increase was redacted. In another recent OVEC audit case, the auditor also requested a budget </w:t>
      </w:r>
      <w:r w:rsidR="001D20BF">
        <w:t>increase,</w:t>
      </w:r>
      <w:r>
        <w:t xml:space="preserve"> and the amount of the requested increase was unredacted. </w:t>
      </w:r>
      <w:r w:rsidRPr="0054392E">
        <w:rPr>
          <w:i/>
          <w:iCs/>
        </w:rPr>
        <w:t>In the Matter of the Review of the Reconciliation Rider of The Dayton Power and Light Company</w:t>
      </w:r>
      <w:r w:rsidRPr="007343F2">
        <w:t>,</w:t>
      </w:r>
      <w:r>
        <w:rPr>
          <w:i/>
          <w:iCs/>
        </w:rPr>
        <w:t xml:space="preserve"> </w:t>
      </w:r>
      <w:r>
        <w:t xml:space="preserve">Case No. 20-165-EL-RDR, </w:t>
      </w:r>
      <w:r w:rsidRPr="0054392E">
        <w:t xml:space="preserve">Change Order Request for increased reimbursement for required testimony electronically </w:t>
      </w:r>
      <w:r>
        <w:t>by</w:t>
      </w:r>
      <w:r w:rsidRPr="0054392E">
        <w:t xml:space="preserve"> Vantage Energy Consulting LLC.</w:t>
      </w:r>
      <w:r>
        <w:t xml:space="preserve"> (Jan. 10, 2024).</w:t>
      </w:r>
    </w:p>
  </w:footnote>
  <w:footnote w:id="3">
    <w:p w:rsidR="003D26D4" w:rsidP="00414AB9" w14:paraId="71BD1F43" w14:textId="5AE55108">
      <w:pPr>
        <w:pStyle w:val="FootnoteText"/>
        <w:spacing w:after="120"/>
      </w:pPr>
      <w:r>
        <w:rPr>
          <w:rStyle w:val="FootnoteReference"/>
        </w:rPr>
        <w:footnoteRef/>
      </w:r>
      <w:r>
        <w:t xml:space="preserve"> London Economics Letter to Rodney Windle (Feb. 15, 2024).</w:t>
      </w:r>
    </w:p>
  </w:footnote>
  <w:footnote w:id="4">
    <w:p w:rsidR="003D26D4" w:rsidP="00414AB9" w14:paraId="40334ADF" w14:textId="3294D028">
      <w:pPr>
        <w:pStyle w:val="FootnoteText"/>
        <w:spacing w:after="120"/>
      </w:pPr>
      <w:r>
        <w:rPr>
          <w:rStyle w:val="FootnoteReference"/>
        </w:rPr>
        <w:footnoteRef/>
      </w:r>
      <w:r>
        <w:t xml:space="preserve"> Entry, Request for Proposal at 7 (May 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9B5" w14:paraId="0C1D3E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F98" w:rsidRPr="00367190" w:rsidP="005F4F98" w14:paraId="6639BA84" w14:textId="77777777">
    <w:r w:rsidRPr="00367190">
      <w:t>Tanowa Troupe, Secretary</w:t>
    </w:r>
  </w:p>
  <w:p w:rsidR="00F03A73" w:rsidP="00F03A73" w14:paraId="6A5E0E7F" w14:textId="3A6D27FC">
    <w:r>
      <w:t xml:space="preserve">April </w:t>
    </w:r>
    <w:r w:rsidR="00CE3BE7">
      <w:t>4</w:t>
    </w:r>
    <w:r>
      <w:t>, 2024</w:t>
    </w:r>
  </w:p>
  <w:p w:rsidR="00117BDE" w:rsidP="00F03A73" w14:paraId="54A075FD" w14:textId="47DD73C7">
    <w:r w:rsidRPr="00C07FD5">
      <w:t xml:space="preserve">Page </w:t>
    </w:r>
    <w:r w:rsidRPr="00C07FD5">
      <w:fldChar w:fldCharType="begin"/>
    </w:r>
    <w:r w:rsidRPr="00C07FD5">
      <w:instrText xml:space="preserve"> PAGE  \* Arabic  \* MERGEFORMAT </w:instrText>
    </w:r>
    <w:r w:rsidRPr="00C07FD5">
      <w:fldChar w:fldCharType="separate"/>
    </w:r>
    <w:r>
      <w:t>2</w:t>
    </w:r>
    <w:r w:rsidRPr="00C07FD5">
      <w:fldChar w:fldCharType="end"/>
    </w:r>
    <w:r w:rsidRPr="00C07FD5">
      <w:t xml:space="preserve"> of </w:t>
    </w:r>
    <w:r w:rsidR="003C19B5">
      <w:fldChar w:fldCharType="begin"/>
    </w:r>
    <w:r w:rsidR="003C19B5">
      <w:instrText xml:space="preserve"> NUMPAGES  \* Arabic  \* MERGEFORMAT </w:instrText>
    </w:r>
    <w:r w:rsidR="003C19B5">
      <w:fldChar w:fldCharType="separate"/>
    </w:r>
    <w:r>
      <w:t>2</w:t>
    </w:r>
    <w:r w:rsidR="003C19B5">
      <w:fldChar w:fldCharType="end"/>
    </w:r>
  </w:p>
  <w:p w:rsidR="00F03A73" w:rsidRPr="00F03A73" w:rsidP="00F03A73" w14:paraId="01AD622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502" w14:paraId="3C5BC3B8" w14:textId="4CA21F89">
    <w:pPr>
      <w:pStyle w:val="Header"/>
    </w:pPr>
    <w:r>
      <w:rPr>
        <w:noProof/>
        <w:sz w:val="20"/>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0</wp:posOffset>
              </wp:positionV>
              <wp:extent cx="1053465" cy="973455"/>
              <wp:effectExtent l="0" t="0" r="381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3465" cy="9734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14:textId="3139BD9C">
                          <w:r>
                            <w:rPr>
                              <w:noProof/>
                            </w:rPr>
                            <w:drawing>
                              <wp:inline distT="0" distB="0" distL="0" distR="0">
                                <wp:extent cx="871220" cy="880110"/>
                                <wp:effectExtent l="0" t="0" r="0" b="0"/>
                                <wp:docPr id="1474151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5144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1220" cy="8801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82.95pt;height:76.65pt;margin-top:0;margin-left:-45pt;mso-height-percent:0;mso-height-relative:page;mso-width-percent:0;mso-width-relative:page;mso-wrap-distance-bottom:0;mso-wrap-distance-left:9pt;mso-wrap-distance-right:9pt;mso-wrap-distance-top:0;mso-wrap-style:none;position:absolute;visibility:visible;v-text-anchor:top;z-index:251667456" filled="f" stroked="f">
              <v:textbox style="mso-fit-shape-to-text:t">
                <w:txbxContent>
                  <w:p w:rsidR="00E96502" w14:paraId="4EF7278D" w14:textId="3139BD9C">
                    <w:drawing>
                      <wp:inline distT="0" distB="0" distL="0" distR="0">
                        <wp:extent cx="871220" cy="88011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1220" cy="880110"/>
                                </a:xfrm>
                                <a:prstGeom prst="rect">
                                  <a:avLst/>
                                </a:prstGeom>
                                <a:noFill/>
                                <a:ln>
                                  <a:noFill/>
                                </a:ln>
                              </pic:spPr>
                            </pic:pic>
                          </a:graphicData>
                        </a:graphic>
                      </wp:inline>
                    </w:drawing>
                  </w:p>
                </w:txbxContent>
              </v:textbox>
            </v:shape>
          </w:pict>
        </mc:Fallback>
      </mc:AlternateContent>
    </w:r>
    <w:r>
      <w:rPr>
        <w:noProof/>
        <w:color w:val="333399"/>
        <w:sz w:val="20"/>
      </w:rPr>
      <mc:AlternateContent>
        <mc:Choice Requires="wps">
          <w:drawing>
            <wp:anchor distT="0" distB="0" distL="114300" distR="114300" simplePos="0" relativeHeight="251658240" behindDoc="0" locked="0" layoutInCell="1" allowOverlap="1">
              <wp:simplePos x="0" y="0"/>
              <wp:positionH relativeFrom="column">
                <wp:posOffset>483870</wp:posOffset>
              </wp:positionH>
              <wp:positionV relativeFrom="paragraph">
                <wp:posOffset>122555</wp:posOffset>
              </wp:positionV>
              <wp:extent cx="5398770" cy="336550"/>
              <wp:effectExtent l="0" t="0" r="381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8770" cy="336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rsidRPr="00F95523" w14:textId="77777777">
                          <w:pPr>
                            <w:pStyle w:val="Heading3"/>
                          </w:pPr>
                          <w:r w:rsidRPr="00F95523">
                            <w:t>Office of the Ohio Consumers’ Counsel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2050" type="#_x0000_t202" style="width:425.1pt;height:26.5pt;margin-top:9.65pt;margin-left:38.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E96502" w:rsidRPr="00F95523" w14:paraId="14EEE98E" w14:textId="77777777">
                    <w:pPr>
                      <w:pStyle w:val="Heading3"/>
                    </w:pPr>
                    <w:r w:rsidRPr="00F95523">
                      <w:t>Office of the Ohio Consumers’ Counsel</w:t>
                    </w:r>
                  </w:p>
                </w:txbxContent>
              </v:textbox>
            </v:shape>
          </w:pict>
        </mc:Fallback>
      </mc:AlternateContent>
    </w:r>
    <w:r>
      <w:rPr>
        <w:noProof/>
        <w:color w:val="333399"/>
        <w:sz w:val="20"/>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459105</wp:posOffset>
              </wp:positionV>
              <wp:extent cx="5547360" cy="471170"/>
              <wp:effectExtent l="0" t="1905" r="0" b="31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7360" cy="471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rsidRPr="0055468B" w14:textId="77777777">
                          <w:pPr>
                            <w:pStyle w:val="Heading2"/>
                            <w:rPr>
                              <w:rFonts w:ascii="Arial Narrow" w:hAnsi="Arial Narrow"/>
                              <w:color w:val="00336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2051" type="#_x0000_t202" style="width:436.8pt;height:37.1pt;margin-top:36.15pt;margin-left:42.6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E96502" w:rsidRPr="0055468B" w14:paraId="290CE574" w14:textId="77777777">
                    <w:pPr>
                      <w:pStyle w:val="Heading2"/>
                      <w:rPr>
                        <w:rFonts w:ascii="Arial Narrow" w:hAnsi="Arial Narrow"/>
                        <w:color w:val="003366"/>
                      </w:rPr>
                    </w:pP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582930</wp:posOffset>
              </wp:positionH>
              <wp:positionV relativeFrom="paragraph">
                <wp:posOffset>459105</wp:posOffset>
              </wp:positionV>
              <wp:extent cx="5844540" cy="0"/>
              <wp:effectExtent l="11430" t="11430" r="11430" b="762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445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2" style="mso-height-percent:0;mso-height-relative:page;mso-width-percent:0;mso-width-relative:page;mso-wrap-distance-bottom:0;mso-wrap-distance-left:9pt;mso-wrap-distance-right:9pt;mso-wrap-distance-top:0;mso-wrap-style:square;position:absolute;visibility:visible;z-index:251663360" from="45.9pt,36.15pt" to="506.1pt,36.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gutterAtTop/>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06"/>
    <w:rsid w:val="0006489C"/>
    <w:rsid w:val="000B3E3C"/>
    <w:rsid w:val="000B6C6E"/>
    <w:rsid w:val="000C1EED"/>
    <w:rsid w:val="000C3E53"/>
    <w:rsid w:val="000C4550"/>
    <w:rsid w:val="000E3ECF"/>
    <w:rsid w:val="0010778B"/>
    <w:rsid w:val="00117BDE"/>
    <w:rsid w:val="00163D06"/>
    <w:rsid w:val="0019498F"/>
    <w:rsid w:val="001D20BF"/>
    <w:rsid w:val="001D6064"/>
    <w:rsid w:val="001E58E3"/>
    <w:rsid w:val="0022135D"/>
    <w:rsid w:val="00240FD2"/>
    <w:rsid w:val="00257F88"/>
    <w:rsid w:val="002707C1"/>
    <w:rsid w:val="00275683"/>
    <w:rsid w:val="002848F0"/>
    <w:rsid w:val="002A117E"/>
    <w:rsid w:val="002E4919"/>
    <w:rsid w:val="003021FF"/>
    <w:rsid w:val="00304B56"/>
    <w:rsid w:val="003174F0"/>
    <w:rsid w:val="0033141F"/>
    <w:rsid w:val="003632C2"/>
    <w:rsid w:val="00364ED1"/>
    <w:rsid w:val="00367190"/>
    <w:rsid w:val="003919AD"/>
    <w:rsid w:val="003C19B5"/>
    <w:rsid w:val="003D26D4"/>
    <w:rsid w:val="003E2E7D"/>
    <w:rsid w:val="003F00D1"/>
    <w:rsid w:val="00414AB9"/>
    <w:rsid w:val="00440336"/>
    <w:rsid w:val="00460CA8"/>
    <w:rsid w:val="00463CF0"/>
    <w:rsid w:val="00493E5A"/>
    <w:rsid w:val="004A247C"/>
    <w:rsid w:val="004A3682"/>
    <w:rsid w:val="004C411A"/>
    <w:rsid w:val="004C5DE5"/>
    <w:rsid w:val="004F328A"/>
    <w:rsid w:val="005015C5"/>
    <w:rsid w:val="00514121"/>
    <w:rsid w:val="00532C57"/>
    <w:rsid w:val="0054392E"/>
    <w:rsid w:val="0055468B"/>
    <w:rsid w:val="005578F9"/>
    <w:rsid w:val="005F4F98"/>
    <w:rsid w:val="006275BC"/>
    <w:rsid w:val="00676820"/>
    <w:rsid w:val="006931BD"/>
    <w:rsid w:val="006A10B8"/>
    <w:rsid w:val="00706FD0"/>
    <w:rsid w:val="007343F2"/>
    <w:rsid w:val="00751876"/>
    <w:rsid w:val="00757F7C"/>
    <w:rsid w:val="00775C1F"/>
    <w:rsid w:val="00780101"/>
    <w:rsid w:val="007851C7"/>
    <w:rsid w:val="007A5C93"/>
    <w:rsid w:val="008340D1"/>
    <w:rsid w:val="00845F44"/>
    <w:rsid w:val="008560E8"/>
    <w:rsid w:val="00875347"/>
    <w:rsid w:val="008821BA"/>
    <w:rsid w:val="008A71F5"/>
    <w:rsid w:val="008C7372"/>
    <w:rsid w:val="008F5907"/>
    <w:rsid w:val="00926A69"/>
    <w:rsid w:val="00971F46"/>
    <w:rsid w:val="009900BA"/>
    <w:rsid w:val="00993FEA"/>
    <w:rsid w:val="009A6833"/>
    <w:rsid w:val="009C4F9A"/>
    <w:rsid w:val="009D617F"/>
    <w:rsid w:val="00A0550A"/>
    <w:rsid w:val="00A227B9"/>
    <w:rsid w:val="00A82BAC"/>
    <w:rsid w:val="00A855CC"/>
    <w:rsid w:val="00B30DC2"/>
    <w:rsid w:val="00B37436"/>
    <w:rsid w:val="00B557AF"/>
    <w:rsid w:val="00B561AB"/>
    <w:rsid w:val="00B92F33"/>
    <w:rsid w:val="00BA7D08"/>
    <w:rsid w:val="00BD70A8"/>
    <w:rsid w:val="00BE3C77"/>
    <w:rsid w:val="00BF4DBE"/>
    <w:rsid w:val="00C07FD5"/>
    <w:rsid w:val="00C13E78"/>
    <w:rsid w:val="00C15CF2"/>
    <w:rsid w:val="00C2345B"/>
    <w:rsid w:val="00C41814"/>
    <w:rsid w:val="00C52AD8"/>
    <w:rsid w:val="00C63CF9"/>
    <w:rsid w:val="00C82478"/>
    <w:rsid w:val="00C92685"/>
    <w:rsid w:val="00C97E6B"/>
    <w:rsid w:val="00CC655A"/>
    <w:rsid w:val="00CE3BE7"/>
    <w:rsid w:val="00CF02AE"/>
    <w:rsid w:val="00CF52C6"/>
    <w:rsid w:val="00CF6A13"/>
    <w:rsid w:val="00D11B09"/>
    <w:rsid w:val="00D1374F"/>
    <w:rsid w:val="00D23310"/>
    <w:rsid w:val="00D27588"/>
    <w:rsid w:val="00D35FE9"/>
    <w:rsid w:val="00D3760E"/>
    <w:rsid w:val="00D73470"/>
    <w:rsid w:val="00D77FD6"/>
    <w:rsid w:val="00D81C67"/>
    <w:rsid w:val="00DA44F5"/>
    <w:rsid w:val="00DC0018"/>
    <w:rsid w:val="00DC3753"/>
    <w:rsid w:val="00DC47D7"/>
    <w:rsid w:val="00DF78F1"/>
    <w:rsid w:val="00E106D2"/>
    <w:rsid w:val="00E3155C"/>
    <w:rsid w:val="00E37AF6"/>
    <w:rsid w:val="00E44213"/>
    <w:rsid w:val="00E50A35"/>
    <w:rsid w:val="00E96502"/>
    <w:rsid w:val="00EC1820"/>
    <w:rsid w:val="00EC4F5E"/>
    <w:rsid w:val="00ED3E51"/>
    <w:rsid w:val="00EF5036"/>
    <w:rsid w:val="00F03A73"/>
    <w:rsid w:val="00F34E50"/>
    <w:rsid w:val="00F55BB0"/>
    <w:rsid w:val="00F80A79"/>
    <w:rsid w:val="00F95523"/>
    <w:rsid w:val="00FA0017"/>
    <w:rsid w:val="00FA4EAF"/>
    <w:rsid w:val="00FE368A"/>
    <w:rsid w:val="00FE3E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91A9EC"/>
  <w15:chartTrackingRefBased/>
  <w15:docId w15:val="{928D8088-37EA-44FD-96AA-049584D1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cs="Arial"/>
      <w:i/>
      <w:iCs/>
      <w:sz w:val="20"/>
      <w:szCs w:val="20"/>
    </w:rPr>
  </w:style>
  <w:style w:type="paragraph" w:styleId="Heading3">
    <w:name w:val="heading 3"/>
    <w:basedOn w:val="Normal"/>
    <w:next w:val="Normal"/>
    <w:qFormat/>
    <w:pPr>
      <w:keepNext/>
      <w:outlineLvl w:val="2"/>
    </w:pPr>
    <w:rPr>
      <w:rFonts w:ascii="Arial Narrow" w:hAnsi="Arial Narrow"/>
      <w:sz w:val="32"/>
      <w:szCs w:val="20"/>
    </w:rPr>
  </w:style>
  <w:style w:type="paragraph" w:styleId="Heading4">
    <w:name w:val="heading 4"/>
    <w:basedOn w:val="Normal"/>
    <w:next w:val="Normal"/>
    <w:link w:val="Heading4Char"/>
    <w:qFormat/>
    <w:pPr>
      <w:keepNext/>
      <w:jc w:val="right"/>
      <w:outlineLvl w:val="3"/>
    </w:pPr>
    <w:rPr>
      <w:i/>
      <w:iCs/>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InsideAddressName">
    <w:name w:val="Inside Address Name"/>
    <w:basedOn w:val="Normal"/>
    <w:rPr>
      <w:sz w:val="20"/>
      <w:szCs w:val="20"/>
    </w:rPr>
  </w:style>
  <w:style w:type="paragraph" w:styleId="BodyText">
    <w:name w:val="Body Text"/>
    <w:basedOn w:val="Normal"/>
    <w:rPr>
      <w:szCs w:val="20"/>
    </w:rPr>
  </w:style>
  <w:style w:type="character" w:styleId="Hyperlink">
    <w:name w:val="Hyperlink"/>
    <w:rPr>
      <w:color w:val="0000FF"/>
      <w:u w:val="single"/>
    </w:rPr>
  </w:style>
  <w:style w:type="character" w:customStyle="1" w:styleId="Heading4Char">
    <w:name w:val="Heading 4 Char"/>
    <w:link w:val="Heading4"/>
    <w:rsid w:val="00B557AF"/>
    <w:rPr>
      <w:i/>
      <w:iCs/>
      <w:w w:val="90"/>
      <w:sz w:val="24"/>
    </w:rPr>
  </w:style>
  <w:style w:type="paragraph" w:styleId="Revision">
    <w:name w:val="Revision"/>
    <w:hidden/>
    <w:uiPriority w:val="99"/>
    <w:semiHidden/>
    <w:rsid w:val="009A6833"/>
    <w:rPr>
      <w:sz w:val="24"/>
      <w:szCs w:val="24"/>
    </w:rPr>
  </w:style>
  <w:style w:type="paragraph" w:styleId="FootnoteText">
    <w:name w:val="footnote text"/>
    <w:basedOn w:val="Normal"/>
    <w:link w:val="FootnoteTextChar"/>
    <w:uiPriority w:val="99"/>
    <w:rsid w:val="003D26D4"/>
    <w:rPr>
      <w:sz w:val="20"/>
      <w:szCs w:val="20"/>
    </w:rPr>
  </w:style>
  <w:style w:type="character" w:customStyle="1" w:styleId="FootnoteTextChar">
    <w:name w:val="Footnote Text Char"/>
    <w:basedOn w:val="DefaultParagraphFont"/>
    <w:link w:val="FootnoteText"/>
    <w:uiPriority w:val="99"/>
    <w:rsid w:val="003D26D4"/>
  </w:style>
  <w:style w:type="character" w:styleId="FootnoteReference">
    <w:name w:val="footnote reference"/>
    <w:basedOn w:val="DefaultParagraphFont"/>
    <w:rsid w:val="003D26D4"/>
    <w:rPr>
      <w:vertAlign w:val="superscript"/>
    </w:rPr>
  </w:style>
  <w:style w:type="character" w:styleId="CommentReference">
    <w:name w:val="annotation reference"/>
    <w:basedOn w:val="DefaultParagraphFont"/>
    <w:rsid w:val="001D6064"/>
    <w:rPr>
      <w:sz w:val="16"/>
      <w:szCs w:val="16"/>
    </w:rPr>
  </w:style>
  <w:style w:type="paragraph" w:styleId="CommentText">
    <w:name w:val="annotation text"/>
    <w:basedOn w:val="Normal"/>
    <w:link w:val="CommentTextChar"/>
    <w:rsid w:val="001D6064"/>
    <w:rPr>
      <w:sz w:val="20"/>
      <w:szCs w:val="20"/>
    </w:rPr>
  </w:style>
  <w:style w:type="character" w:customStyle="1" w:styleId="CommentTextChar">
    <w:name w:val="Comment Text Char"/>
    <w:basedOn w:val="DefaultParagraphFont"/>
    <w:link w:val="CommentText"/>
    <w:rsid w:val="001D6064"/>
  </w:style>
  <w:style w:type="paragraph" w:styleId="CommentSubject">
    <w:name w:val="annotation subject"/>
    <w:basedOn w:val="CommentText"/>
    <w:next w:val="CommentText"/>
    <w:link w:val="CommentSubjectChar"/>
    <w:rsid w:val="001D6064"/>
    <w:rPr>
      <w:b/>
      <w:bCs/>
    </w:rPr>
  </w:style>
  <w:style w:type="character" w:customStyle="1" w:styleId="CommentSubjectChar">
    <w:name w:val="Comment Subject Char"/>
    <w:basedOn w:val="CommentTextChar"/>
    <w:link w:val="CommentSubject"/>
    <w:rsid w:val="001D6064"/>
    <w:rPr>
      <w:b/>
      <w:bCs/>
    </w:rPr>
  </w:style>
  <w:style w:type="table" w:styleId="TableGrid">
    <w:name w:val="Table Grid"/>
    <w:basedOn w:val="TableNormal"/>
    <w:rsid w:val="006A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1DA2-57BD-40CA-BD7F-FC04BDE377D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18</ap:TotalTime>
  <ap:Pages>2</ap:Pages>
  <ap:Words>346</ap:Words>
  <ap:Characters>1977</ap:Characters>
  <ap:Application>Microsoft Office Word</ap:Application>
  <ap:DocSecurity>0</ap:DocSecurity>
  <ap:Lines>16</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2319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2024-04-04T20:07:41Z</dcterms:created>
  <dcterms:modified xsi:type="dcterms:W3CDTF">2024-04-04T20:07:41Z</dcterms:modified>
</cp:coreProperties>
</file>