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7DE9" w14:textId="77777777" w:rsidR="00BF0D1D" w:rsidRPr="00A02A9C" w:rsidRDefault="00BF0D1D" w:rsidP="00BF0D1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A02A9C">
        <w:rPr>
          <w:rFonts w:cs="Times New Roman"/>
          <w:b/>
          <w:sz w:val="26"/>
          <w:szCs w:val="26"/>
        </w:rPr>
        <w:t>BEFORE</w:t>
      </w:r>
    </w:p>
    <w:p w14:paraId="60161D5F" w14:textId="77777777" w:rsidR="00BF0D1D" w:rsidRPr="00A02A9C" w:rsidRDefault="00BF0D1D" w:rsidP="00BF0D1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A02A9C">
        <w:rPr>
          <w:rFonts w:cs="Times New Roman"/>
          <w:b/>
          <w:sz w:val="26"/>
          <w:szCs w:val="26"/>
        </w:rPr>
        <w:t>THE PUBLIC UTILITIES COMMISSION OF OHIO</w:t>
      </w:r>
    </w:p>
    <w:p w14:paraId="4B71BB86" w14:textId="77777777" w:rsidR="00BF0D1D" w:rsidRPr="00A02A9C" w:rsidRDefault="00BF0D1D" w:rsidP="00BF0D1D">
      <w:pPr>
        <w:rPr>
          <w:rFonts w:cs="Times New Roman"/>
          <w:sz w:val="26"/>
          <w:szCs w:val="26"/>
        </w:rPr>
      </w:pPr>
    </w:p>
    <w:tbl>
      <w:tblPr>
        <w:tblW w:w="8762" w:type="dxa"/>
        <w:tblLook w:val="04A0" w:firstRow="1" w:lastRow="0" w:firstColumn="1" w:lastColumn="0" w:noHBand="0" w:noVBand="1"/>
      </w:tblPr>
      <w:tblGrid>
        <w:gridCol w:w="4518"/>
        <w:gridCol w:w="360"/>
        <w:gridCol w:w="3884"/>
      </w:tblGrid>
      <w:tr w:rsidR="00BF0D1D" w:rsidRPr="00A02A9C" w14:paraId="25F0D839" w14:textId="77777777" w:rsidTr="00823345">
        <w:tc>
          <w:tcPr>
            <w:tcW w:w="4518" w:type="dxa"/>
            <w:shd w:val="clear" w:color="auto" w:fill="auto"/>
          </w:tcPr>
          <w:p w14:paraId="6533E0BD" w14:textId="2AD578BF" w:rsidR="00BF0D1D" w:rsidRPr="00A02A9C" w:rsidRDefault="00BF0D1D" w:rsidP="00823345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A02A9C">
              <w:rPr>
                <w:rFonts w:cs="Times New Roman"/>
                <w:sz w:val="26"/>
                <w:szCs w:val="26"/>
              </w:rPr>
              <w:t>In the Matter of the Application of Duke Energy Ohio, Inc. for Approval to Implement a Capital Expenditure Program.</w:t>
            </w:r>
          </w:p>
        </w:tc>
        <w:tc>
          <w:tcPr>
            <w:tcW w:w="360" w:type="dxa"/>
          </w:tcPr>
          <w:p w14:paraId="1241A36E" w14:textId="77777777" w:rsidR="00BF0D1D" w:rsidRPr="00A02A9C" w:rsidRDefault="00BF0D1D" w:rsidP="0082334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A02A9C">
              <w:rPr>
                <w:rFonts w:cs="Times New Roman"/>
                <w:sz w:val="26"/>
                <w:szCs w:val="26"/>
              </w:rPr>
              <w:t>:</w:t>
            </w:r>
            <w:r w:rsidRPr="00A02A9C">
              <w:rPr>
                <w:rFonts w:cs="Times New Roman"/>
                <w:sz w:val="26"/>
                <w:szCs w:val="26"/>
              </w:rPr>
              <w:br/>
              <w:t>:</w:t>
            </w:r>
            <w:r w:rsidRPr="00A02A9C">
              <w:rPr>
                <w:rFonts w:cs="Times New Roman"/>
                <w:sz w:val="26"/>
                <w:szCs w:val="26"/>
              </w:rPr>
              <w:br/>
              <w:t>:</w:t>
            </w:r>
            <w:r w:rsidRPr="00A02A9C">
              <w:rPr>
                <w:rFonts w:cs="Times New Roman"/>
                <w:sz w:val="26"/>
                <w:szCs w:val="26"/>
              </w:rPr>
              <w:br/>
              <w:t>:</w:t>
            </w:r>
            <w:r w:rsidRPr="00A02A9C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884" w:type="dxa"/>
            <w:shd w:val="clear" w:color="auto" w:fill="auto"/>
          </w:tcPr>
          <w:p w14:paraId="7B277498" w14:textId="77777777" w:rsidR="00BF0D1D" w:rsidRPr="00A02A9C" w:rsidRDefault="00BF0D1D" w:rsidP="00823345">
            <w:pPr>
              <w:spacing w:after="0" w:line="240" w:lineRule="auto"/>
              <w:ind w:left="-288"/>
              <w:rPr>
                <w:rFonts w:cs="Times New Roman"/>
                <w:sz w:val="26"/>
                <w:szCs w:val="26"/>
              </w:rPr>
            </w:pPr>
          </w:p>
          <w:p w14:paraId="33B0EFEB" w14:textId="77777777" w:rsidR="00BF0D1D" w:rsidRPr="00A02A9C" w:rsidRDefault="00BF0D1D" w:rsidP="00823345">
            <w:pPr>
              <w:spacing w:after="0" w:line="240" w:lineRule="auto"/>
              <w:ind w:left="72"/>
              <w:rPr>
                <w:rFonts w:cs="Times New Roman"/>
                <w:sz w:val="26"/>
                <w:szCs w:val="26"/>
              </w:rPr>
            </w:pPr>
            <w:r w:rsidRPr="00A02A9C">
              <w:rPr>
                <w:rFonts w:cs="Times New Roman"/>
                <w:sz w:val="26"/>
                <w:szCs w:val="26"/>
              </w:rPr>
              <w:t>Case No. 13-2417-GA-UNC</w:t>
            </w:r>
          </w:p>
        </w:tc>
      </w:tr>
      <w:tr w:rsidR="00BF0D1D" w:rsidRPr="00A02A9C" w14:paraId="77C111F7" w14:textId="77777777" w:rsidTr="00823345">
        <w:tc>
          <w:tcPr>
            <w:tcW w:w="4518" w:type="dxa"/>
            <w:shd w:val="clear" w:color="auto" w:fill="auto"/>
          </w:tcPr>
          <w:p w14:paraId="23A3D1FC" w14:textId="77777777" w:rsidR="00BF0D1D" w:rsidRPr="00D52E2A" w:rsidRDefault="00BF0D1D" w:rsidP="00823345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A02A9C">
              <w:rPr>
                <w:rFonts w:cs="Times New Roman"/>
                <w:sz w:val="26"/>
                <w:szCs w:val="26"/>
              </w:rPr>
              <w:t xml:space="preserve">In the Matter of the Application of Duke Energy Ohio, </w:t>
            </w:r>
            <w:r w:rsidRPr="00D52E2A">
              <w:rPr>
                <w:rFonts w:cs="Times New Roman"/>
                <w:sz w:val="26"/>
                <w:szCs w:val="26"/>
              </w:rPr>
              <w:t>Inc. for Approval to Change Accounting Methods.</w:t>
            </w:r>
          </w:p>
        </w:tc>
        <w:tc>
          <w:tcPr>
            <w:tcW w:w="360" w:type="dxa"/>
          </w:tcPr>
          <w:p w14:paraId="5EBB6AC4" w14:textId="77777777" w:rsidR="00BF0D1D" w:rsidRPr="00D52E2A" w:rsidRDefault="00BF0D1D" w:rsidP="00823345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52E2A">
              <w:rPr>
                <w:rFonts w:cs="Times New Roman"/>
                <w:sz w:val="26"/>
                <w:szCs w:val="26"/>
              </w:rPr>
              <w:t>:</w:t>
            </w:r>
            <w:r w:rsidRPr="00D52E2A">
              <w:rPr>
                <w:rFonts w:cs="Times New Roman"/>
                <w:sz w:val="26"/>
                <w:szCs w:val="26"/>
              </w:rPr>
              <w:br/>
              <w:t>:</w:t>
            </w:r>
            <w:r w:rsidRPr="00D52E2A">
              <w:rPr>
                <w:rFonts w:cs="Times New Roman"/>
                <w:sz w:val="26"/>
                <w:szCs w:val="26"/>
              </w:rPr>
              <w:br/>
              <w:t>:</w:t>
            </w:r>
            <w:r w:rsidRPr="00D52E2A">
              <w:rPr>
                <w:rFonts w:cs="Times New Roman"/>
                <w:sz w:val="26"/>
                <w:szCs w:val="26"/>
              </w:rPr>
              <w:br/>
              <w:t>:</w:t>
            </w:r>
          </w:p>
        </w:tc>
        <w:tc>
          <w:tcPr>
            <w:tcW w:w="3884" w:type="dxa"/>
            <w:shd w:val="clear" w:color="auto" w:fill="auto"/>
          </w:tcPr>
          <w:p w14:paraId="56FBC036" w14:textId="77777777" w:rsidR="00BF0D1D" w:rsidRPr="00D52E2A" w:rsidRDefault="00BF0D1D" w:rsidP="00823345">
            <w:pPr>
              <w:spacing w:after="0" w:line="240" w:lineRule="auto"/>
              <w:ind w:left="-288"/>
              <w:rPr>
                <w:rFonts w:cs="Times New Roman"/>
                <w:sz w:val="26"/>
                <w:szCs w:val="26"/>
              </w:rPr>
            </w:pPr>
          </w:p>
          <w:p w14:paraId="1309BDBF" w14:textId="77777777" w:rsidR="00BF0D1D" w:rsidRPr="00D52E2A" w:rsidRDefault="00BF0D1D" w:rsidP="00823345">
            <w:pPr>
              <w:spacing w:after="0" w:line="240" w:lineRule="auto"/>
              <w:ind w:left="72"/>
              <w:rPr>
                <w:rFonts w:cs="Times New Roman"/>
                <w:sz w:val="26"/>
                <w:szCs w:val="26"/>
              </w:rPr>
            </w:pPr>
            <w:r w:rsidRPr="00D52E2A">
              <w:rPr>
                <w:rFonts w:cs="Times New Roman"/>
                <w:sz w:val="26"/>
                <w:szCs w:val="26"/>
              </w:rPr>
              <w:t>Case No. 13-2418-GA-AAM</w:t>
            </w:r>
          </w:p>
        </w:tc>
      </w:tr>
    </w:tbl>
    <w:p w14:paraId="44DB18CE" w14:textId="77777777" w:rsidR="00BF0D1D" w:rsidRPr="00A02A9C" w:rsidRDefault="00BF0D1D" w:rsidP="00BF0D1D">
      <w:pPr>
        <w:pStyle w:val="NoSpacing"/>
        <w:rPr>
          <w:sz w:val="26"/>
          <w:szCs w:val="26"/>
        </w:rPr>
      </w:pPr>
    </w:p>
    <w:p w14:paraId="24537C37" w14:textId="77777777" w:rsidR="00BF0D1D" w:rsidRPr="00D52E2A" w:rsidRDefault="00BF0D1D" w:rsidP="00BF0D1D">
      <w:pPr>
        <w:tabs>
          <w:tab w:val="left" w:pos="9360"/>
        </w:tabs>
        <w:jc w:val="both"/>
        <w:rPr>
          <w:rFonts w:cs="Times New Roman"/>
          <w:sz w:val="26"/>
          <w:szCs w:val="26"/>
          <w:u w:val="single"/>
        </w:rPr>
      </w:pPr>
      <w:r w:rsidRPr="00D52E2A">
        <w:rPr>
          <w:rFonts w:cs="Times New Roman"/>
          <w:sz w:val="26"/>
          <w:szCs w:val="26"/>
          <w:u w:val="single"/>
        </w:rPr>
        <w:tab/>
      </w:r>
    </w:p>
    <w:p w14:paraId="31D11A9B" w14:textId="50A5191C" w:rsidR="00BF0D1D" w:rsidRPr="007A56F9" w:rsidRDefault="00BF0D1D" w:rsidP="00BF0D1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D52E2A">
        <w:rPr>
          <w:rFonts w:cs="Times New Roman"/>
          <w:b/>
          <w:sz w:val="26"/>
          <w:szCs w:val="26"/>
        </w:rPr>
        <w:t xml:space="preserve">MOTION FOR LEAVE TO FILE </w:t>
      </w:r>
      <w:r w:rsidR="007A56F9">
        <w:rPr>
          <w:rFonts w:cs="Times New Roman"/>
          <w:b/>
          <w:sz w:val="26"/>
          <w:szCs w:val="26"/>
        </w:rPr>
        <w:t>SUR-REPLY COMMENTS</w:t>
      </w:r>
    </w:p>
    <w:p w14:paraId="3DF670DE" w14:textId="77777777" w:rsidR="00BF0D1D" w:rsidRPr="00D52E2A" w:rsidRDefault="00BF0D1D" w:rsidP="00BF0D1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D52E2A">
        <w:rPr>
          <w:rFonts w:cs="Times New Roman"/>
          <w:b/>
          <w:sz w:val="26"/>
          <w:szCs w:val="26"/>
        </w:rPr>
        <w:t>SUBMITTED ON BEHALF OF THE STAFF OF</w:t>
      </w:r>
    </w:p>
    <w:p w14:paraId="3254D635" w14:textId="77777777" w:rsidR="00BF0D1D" w:rsidRPr="00D52E2A" w:rsidRDefault="00BF0D1D" w:rsidP="00BF0D1D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D52E2A">
        <w:rPr>
          <w:rFonts w:cs="Times New Roman"/>
          <w:b/>
          <w:sz w:val="26"/>
          <w:szCs w:val="26"/>
        </w:rPr>
        <w:t>THE PUBLIC UTILITIES COMMISSION OF OHIO</w:t>
      </w:r>
    </w:p>
    <w:p w14:paraId="7BAA75C2" w14:textId="77777777" w:rsidR="00BF0D1D" w:rsidRPr="00D52E2A" w:rsidRDefault="00BF0D1D" w:rsidP="00BF0D1D">
      <w:pPr>
        <w:tabs>
          <w:tab w:val="left" w:pos="9360"/>
        </w:tabs>
        <w:jc w:val="both"/>
        <w:rPr>
          <w:rFonts w:cs="Times New Roman"/>
          <w:sz w:val="26"/>
          <w:szCs w:val="26"/>
          <w:u w:val="single"/>
        </w:rPr>
      </w:pPr>
      <w:r w:rsidRPr="00D52E2A">
        <w:rPr>
          <w:rFonts w:cs="Times New Roman"/>
          <w:sz w:val="26"/>
          <w:szCs w:val="26"/>
          <w:u w:val="single"/>
        </w:rPr>
        <w:tab/>
      </w:r>
    </w:p>
    <w:p w14:paraId="557490C1" w14:textId="6335FC6A" w:rsidR="00ED51D6" w:rsidRDefault="00BF0D1D" w:rsidP="00BF0D1D">
      <w:pPr>
        <w:pStyle w:val="NoSpacing"/>
        <w:spacing w:line="480" w:lineRule="auto"/>
        <w:ind w:firstLine="720"/>
        <w:rPr>
          <w:sz w:val="26"/>
          <w:szCs w:val="26"/>
        </w:rPr>
      </w:pPr>
      <w:r w:rsidRPr="00D52E2A">
        <w:rPr>
          <w:sz w:val="26"/>
          <w:szCs w:val="26"/>
        </w:rPr>
        <w:t>The Staff of the Public Utilities Commission of Ohio (Staff) respectfully moves</w:t>
      </w:r>
      <w:r w:rsidR="00DA30AF" w:rsidRPr="00D52E2A">
        <w:rPr>
          <w:sz w:val="26"/>
          <w:szCs w:val="26"/>
        </w:rPr>
        <w:t xml:space="preserve"> for leave to file </w:t>
      </w:r>
      <w:r w:rsidR="00B9362E" w:rsidRPr="00D52E2A">
        <w:rPr>
          <w:sz w:val="26"/>
          <w:szCs w:val="26"/>
        </w:rPr>
        <w:t>sur-</w:t>
      </w:r>
      <w:r w:rsidR="00DA30AF" w:rsidRPr="00D52E2A">
        <w:rPr>
          <w:sz w:val="26"/>
          <w:szCs w:val="26"/>
        </w:rPr>
        <w:t>reply comments in the above-mentioned case</w:t>
      </w:r>
      <w:r w:rsidRPr="00D52E2A">
        <w:rPr>
          <w:sz w:val="26"/>
          <w:szCs w:val="26"/>
        </w:rPr>
        <w:t>.</w:t>
      </w:r>
      <w:r w:rsidR="00DA30AF" w:rsidRPr="00D52E2A">
        <w:rPr>
          <w:sz w:val="26"/>
          <w:szCs w:val="26"/>
        </w:rPr>
        <w:t xml:space="preserve"> </w:t>
      </w:r>
      <w:r w:rsidR="00C82D9E" w:rsidRPr="00D52E2A">
        <w:rPr>
          <w:sz w:val="26"/>
          <w:szCs w:val="26"/>
        </w:rPr>
        <w:t xml:space="preserve"> </w:t>
      </w:r>
      <w:r w:rsidR="00DA30AF" w:rsidRPr="00D52E2A">
        <w:rPr>
          <w:sz w:val="26"/>
          <w:szCs w:val="26"/>
        </w:rPr>
        <w:t xml:space="preserve">Staff makes this motion to more fully develop the </w:t>
      </w:r>
      <w:r w:rsidR="007A56F9">
        <w:rPr>
          <w:sz w:val="26"/>
          <w:szCs w:val="26"/>
        </w:rPr>
        <w:t>case record</w:t>
      </w:r>
      <w:r w:rsidR="00DA30AF" w:rsidRPr="007A56F9">
        <w:rPr>
          <w:sz w:val="26"/>
          <w:szCs w:val="26"/>
        </w:rPr>
        <w:t xml:space="preserve">. </w:t>
      </w:r>
      <w:r w:rsidR="008007E6">
        <w:rPr>
          <w:sz w:val="26"/>
          <w:szCs w:val="26"/>
        </w:rPr>
        <w:t xml:space="preserve"> </w:t>
      </w:r>
      <w:r w:rsidR="00C82D9E" w:rsidRPr="007A56F9">
        <w:rPr>
          <w:sz w:val="26"/>
          <w:szCs w:val="26"/>
        </w:rPr>
        <w:t xml:space="preserve">Further support for this </w:t>
      </w:r>
      <w:r w:rsidR="003F0A60">
        <w:rPr>
          <w:sz w:val="26"/>
          <w:szCs w:val="26"/>
        </w:rPr>
        <w:t>motion is set forth</w:t>
      </w:r>
      <w:r w:rsidR="00C82D9E" w:rsidRPr="007A56F9">
        <w:rPr>
          <w:sz w:val="26"/>
          <w:szCs w:val="26"/>
        </w:rPr>
        <w:t xml:space="preserve"> in the attached memorandum.</w:t>
      </w:r>
      <w:r w:rsidR="00ED51D6">
        <w:rPr>
          <w:sz w:val="26"/>
          <w:szCs w:val="26"/>
        </w:rPr>
        <w:br w:type="page"/>
      </w:r>
    </w:p>
    <w:p w14:paraId="256EE703" w14:textId="77777777" w:rsidR="00BF0D1D" w:rsidRPr="007A56F9" w:rsidRDefault="00BF0D1D" w:rsidP="00BF0D1D">
      <w:pPr>
        <w:pStyle w:val="NoSpacing"/>
        <w:spacing w:line="480" w:lineRule="auto"/>
        <w:ind w:firstLine="720"/>
        <w:rPr>
          <w:sz w:val="26"/>
          <w:szCs w:val="26"/>
        </w:rPr>
      </w:pPr>
    </w:p>
    <w:p w14:paraId="477BD4C1" w14:textId="77777777" w:rsidR="00BF0D1D" w:rsidRPr="00D52E2A" w:rsidRDefault="00BF0D1D" w:rsidP="00BF0D1D">
      <w:pPr>
        <w:pStyle w:val="NoSpacing"/>
        <w:spacing w:line="480" w:lineRule="auto"/>
        <w:ind w:firstLine="720"/>
        <w:rPr>
          <w:sz w:val="26"/>
          <w:szCs w:val="26"/>
        </w:rPr>
      </w:pPr>
      <w:r w:rsidRPr="00D52E2A">
        <w:rPr>
          <w:sz w:val="26"/>
          <w:szCs w:val="26"/>
        </w:rPr>
        <w:tab/>
      </w:r>
      <w:r w:rsidRPr="00D52E2A">
        <w:rPr>
          <w:sz w:val="26"/>
          <w:szCs w:val="26"/>
        </w:rPr>
        <w:tab/>
      </w:r>
      <w:r w:rsidRPr="00D52E2A">
        <w:rPr>
          <w:sz w:val="26"/>
          <w:szCs w:val="26"/>
        </w:rPr>
        <w:tab/>
      </w:r>
      <w:r w:rsidRPr="00D52E2A">
        <w:rPr>
          <w:sz w:val="26"/>
          <w:szCs w:val="26"/>
        </w:rPr>
        <w:tab/>
      </w:r>
      <w:r w:rsidRPr="00D52E2A">
        <w:rPr>
          <w:sz w:val="26"/>
          <w:szCs w:val="26"/>
        </w:rPr>
        <w:tab/>
        <w:t>Respectfully submitted,</w:t>
      </w:r>
    </w:p>
    <w:p w14:paraId="749DD63D" w14:textId="77777777" w:rsidR="00BF0D1D" w:rsidRPr="00D52E2A" w:rsidRDefault="00BF0D1D" w:rsidP="00BF0D1D">
      <w:pPr>
        <w:pStyle w:val="text"/>
        <w:ind w:left="4320"/>
        <w:rPr>
          <w:b/>
          <w:szCs w:val="26"/>
        </w:rPr>
      </w:pPr>
      <w:r w:rsidRPr="00D52E2A">
        <w:rPr>
          <w:b/>
          <w:szCs w:val="26"/>
        </w:rPr>
        <w:t xml:space="preserve">Michael DeWine </w:t>
      </w:r>
    </w:p>
    <w:p w14:paraId="6630D21A" w14:textId="77777777" w:rsidR="00BF0D1D" w:rsidRPr="00D52E2A" w:rsidRDefault="00BF0D1D" w:rsidP="00BF0D1D">
      <w:pPr>
        <w:pStyle w:val="text"/>
        <w:ind w:left="4320"/>
        <w:rPr>
          <w:szCs w:val="26"/>
        </w:rPr>
      </w:pPr>
      <w:r w:rsidRPr="00D52E2A">
        <w:rPr>
          <w:szCs w:val="26"/>
        </w:rPr>
        <w:t>Ohio Attorney General</w:t>
      </w:r>
    </w:p>
    <w:p w14:paraId="79F917AB" w14:textId="77777777" w:rsidR="00BF0D1D" w:rsidRPr="00D52E2A" w:rsidRDefault="00BF0D1D" w:rsidP="00BF0D1D">
      <w:pPr>
        <w:pStyle w:val="text"/>
        <w:ind w:left="4320"/>
        <w:rPr>
          <w:szCs w:val="26"/>
        </w:rPr>
      </w:pPr>
    </w:p>
    <w:p w14:paraId="640DEE5C" w14:textId="77777777" w:rsidR="00BF0D1D" w:rsidRPr="00D52E2A" w:rsidRDefault="00BF0D1D" w:rsidP="00BF0D1D">
      <w:pPr>
        <w:pStyle w:val="text"/>
        <w:ind w:left="4320"/>
        <w:rPr>
          <w:szCs w:val="26"/>
        </w:rPr>
      </w:pPr>
      <w:r w:rsidRPr="00D52E2A">
        <w:rPr>
          <w:b/>
          <w:szCs w:val="26"/>
        </w:rPr>
        <w:t>William L. Wright</w:t>
      </w:r>
    </w:p>
    <w:p w14:paraId="057E275A" w14:textId="77777777" w:rsidR="00BF0D1D" w:rsidRPr="00D52E2A" w:rsidRDefault="00BF0D1D" w:rsidP="00BF0D1D">
      <w:pPr>
        <w:pStyle w:val="text"/>
        <w:ind w:left="4320"/>
        <w:rPr>
          <w:b/>
          <w:szCs w:val="26"/>
        </w:rPr>
      </w:pPr>
      <w:r w:rsidRPr="00D52E2A">
        <w:rPr>
          <w:szCs w:val="26"/>
        </w:rPr>
        <w:t>Section Chief</w:t>
      </w:r>
    </w:p>
    <w:p w14:paraId="53B858B3" w14:textId="77777777" w:rsidR="00BF0D1D" w:rsidRPr="00D52E2A" w:rsidRDefault="00BF0D1D" w:rsidP="00BF0D1D">
      <w:pPr>
        <w:pStyle w:val="text"/>
        <w:ind w:left="4320"/>
        <w:rPr>
          <w:szCs w:val="26"/>
        </w:rPr>
      </w:pPr>
    </w:p>
    <w:p w14:paraId="622F9CEC" w14:textId="77777777" w:rsidR="00BF0D1D" w:rsidRPr="007A56F9" w:rsidRDefault="00BF0D1D" w:rsidP="00BF0D1D">
      <w:pPr>
        <w:tabs>
          <w:tab w:val="left" w:pos="9348"/>
        </w:tabs>
        <w:spacing w:after="0" w:line="240" w:lineRule="auto"/>
        <w:ind w:left="4320"/>
        <w:contextualSpacing/>
        <w:rPr>
          <w:rFonts w:ascii="Viner Hand ITC" w:hAnsi="Viner Hand ITC"/>
          <w:sz w:val="26"/>
          <w:szCs w:val="26"/>
          <w:u w:val="single"/>
        </w:rPr>
      </w:pPr>
      <w:r w:rsidRPr="007A56F9">
        <w:rPr>
          <w:rFonts w:ascii="Viner Hand ITC" w:hAnsi="Viner Hand ITC"/>
          <w:sz w:val="26"/>
          <w:szCs w:val="26"/>
          <w:u w:val="single"/>
        </w:rPr>
        <w:t>/s/ Katie L. Johnson</w:t>
      </w:r>
    </w:p>
    <w:p w14:paraId="57A3F807" w14:textId="77777777" w:rsidR="00BF0D1D" w:rsidRPr="00A02A9C" w:rsidRDefault="00BF0D1D" w:rsidP="00BF0D1D">
      <w:pPr>
        <w:pStyle w:val="text"/>
        <w:ind w:left="4320"/>
        <w:contextualSpacing/>
        <w:rPr>
          <w:b/>
          <w:szCs w:val="26"/>
        </w:rPr>
      </w:pPr>
      <w:r w:rsidRPr="00A02A9C">
        <w:rPr>
          <w:b/>
          <w:szCs w:val="26"/>
        </w:rPr>
        <w:t>Katie L. Johnson</w:t>
      </w:r>
    </w:p>
    <w:p w14:paraId="486F0CC5" w14:textId="77777777" w:rsidR="00BF0D1D" w:rsidRPr="007A56F9" w:rsidRDefault="00BF0D1D" w:rsidP="00BF0D1D">
      <w:pPr>
        <w:pStyle w:val="text"/>
        <w:ind w:left="4320"/>
        <w:rPr>
          <w:szCs w:val="26"/>
        </w:rPr>
      </w:pPr>
      <w:r w:rsidRPr="007A56F9">
        <w:rPr>
          <w:szCs w:val="26"/>
        </w:rPr>
        <w:t>Assistant Attorney General</w:t>
      </w:r>
    </w:p>
    <w:p w14:paraId="6749AE71" w14:textId="77777777" w:rsidR="00BF0D1D" w:rsidRPr="00D52E2A" w:rsidRDefault="00BF0D1D" w:rsidP="00BF0D1D">
      <w:pPr>
        <w:pStyle w:val="text"/>
        <w:ind w:left="4320"/>
        <w:rPr>
          <w:szCs w:val="26"/>
        </w:rPr>
      </w:pPr>
      <w:r w:rsidRPr="00D52E2A">
        <w:rPr>
          <w:szCs w:val="26"/>
        </w:rPr>
        <w:t>Public Utilities Section</w:t>
      </w:r>
    </w:p>
    <w:p w14:paraId="10B60CD4" w14:textId="77777777" w:rsidR="00BF0D1D" w:rsidRPr="00D52E2A" w:rsidRDefault="00BF0D1D" w:rsidP="00BF0D1D">
      <w:pPr>
        <w:pStyle w:val="text"/>
        <w:ind w:left="4320"/>
        <w:rPr>
          <w:szCs w:val="26"/>
        </w:rPr>
      </w:pPr>
      <w:r w:rsidRPr="00D52E2A">
        <w:rPr>
          <w:szCs w:val="26"/>
        </w:rPr>
        <w:t>180 East Broad Street, 6</w:t>
      </w:r>
      <w:r w:rsidRPr="00D52E2A">
        <w:rPr>
          <w:szCs w:val="26"/>
          <w:vertAlign w:val="superscript"/>
        </w:rPr>
        <w:t>th</w:t>
      </w:r>
      <w:r w:rsidRPr="00D52E2A">
        <w:rPr>
          <w:szCs w:val="26"/>
        </w:rPr>
        <w:t xml:space="preserve"> Fl. </w:t>
      </w:r>
    </w:p>
    <w:p w14:paraId="3316EA72" w14:textId="77777777" w:rsidR="00BF0D1D" w:rsidRPr="00D52E2A" w:rsidRDefault="00BF0D1D" w:rsidP="00BF0D1D">
      <w:pPr>
        <w:pStyle w:val="text"/>
        <w:ind w:left="4320"/>
        <w:rPr>
          <w:szCs w:val="26"/>
        </w:rPr>
      </w:pPr>
      <w:r w:rsidRPr="00D52E2A">
        <w:rPr>
          <w:szCs w:val="26"/>
        </w:rPr>
        <w:t>Columbus, OH  43215</w:t>
      </w:r>
    </w:p>
    <w:p w14:paraId="112CF18E" w14:textId="19A1A532" w:rsidR="00BF0D1D" w:rsidRPr="007A56F9" w:rsidRDefault="00BF0D1D" w:rsidP="00BF0D1D">
      <w:pPr>
        <w:pStyle w:val="text"/>
        <w:ind w:left="4320"/>
        <w:rPr>
          <w:szCs w:val="26"/>
        </w:rPr>
      </w:pPr>
      <w:r w:rsidRPr="00D52E2A">
        <w:rPr>
          <w:szCs w:val="26"/>
        </w:rPr>
        <w:t>614-644-8588</w:t>
      </w:r>
      <w:r w:rsidR="007A56F9">
        <w:rPr>
          <w:szCs w:val="26"/>
        </w:rPr>
        <w:t xml:space="preserve"> (telephone)</w:t>
      </w:r>
    </w:p>
    <w:p w14:paraId="043B9BC6" w14:textId="01B9480C" w:rsidR="00BF0D1D" w:rsidRPr="007A56F9" w:rsidRDefault="007A56F9" w:rsidP="00BF0D1D">
      <w:pPr>
        <w:spacing w:after="0" w:line="240" w:lineRule="auto"/>
        <w:ind w:left="43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614-644-8764 (facsimile</w:t>
      </w:r>
      <w:r w:rsidR="00BF0D1D" w:rsidRPr="007A56F9">
        <w:rPr>
          <w:rFonts w:cs="Times New Roman"/>
          <w:sz w:val="26"/>
          <w:szCs w:val="26"/>
        </w:rPr>
        <w:t>)</w:t>
      </w:r>
    </w:p>
    <w:p w14:paraId="7DD39D78" w14:textId="77777777" w:rsidR="00BF0D1D" w:rsidRPr="007A56F9" w:rsidRDefault="00CD7B84" w:rsidP="00BF0D1D">
      <w:pPr>
        <w:spacing w:after="0" w:line="240" w:lineRule="auto"/>
        <w:ind w:left="4320"/>
        <w:jc w:val="both"/>
        <w:rPr>
          <w:rFonts w:cs="Times New Roman"/>
          <w:sz w:val="26"/>
          <w:szCs w:val="26"/>
        </w:rPr>
      </w:pPr>
      <w:hyperlink r:id="rId8" w:history="1">
        <w:r w:rsidR="00BF0D1D" w:rsidRPr="007A56F9">
          <w:rPr>
            <w:rStyle w:val="Hyperlink"/>
            <w:rFonts w:cs="Times New Roman"/>
            <w:sz w:val="26"/>
            <w:szCs w:val="26"/>
          </w:rPr>
          <w:t>katie.johnson@puc.state.oh.us</w:t>
        </w:r>
      </w:hyperlink>
      <w:r w:rsidR="00BF0D1D" w:rsidRPr="00B76D4F">
        <w:rPr>
          <w:rFonts w:cs="Times New Roman"/>
          <w:sz w:val="26"/>
          <w:szCs w:val="26"/>
        </w:rPr>
        <w:t xml:space="preserve"> </w:t>
      </w:r>
    </w:p>
    <w:p w14:paraId="3A4CFAAE" w14:textId="77777777" w:rsidR="00BF0D1D" w:rsidRPr="00D52E2A" w:rsidRDefault="00BF0D1D" w:rsidP="00BF0D1D">
      <w:pPr>
        <w:spacing w:after="0" w:line="240" w:lineRule="auto"/>
        <w:ind w:left="4320"/>
        <w:jc w:val="both"/>
        <w:rPr>
          <w:b/>
          <w:sz w:val="26"/>
          <w:szCs w:val="26"/>
        </w:rPr>
      </w:pPr>
    </w:p>
    <w:p w14:paraId="3639C93E" w14:textId="77777777" w:rsidR="00BF0D1D" w:rsidRPr="00D52E2A" w:rsidRDefault="00BF0D1D" w:rsidP="00BF0D1D">
      <w:pPr>
        <w:spacing w:after="0" w:line="240" w:lineRule="auto"/>
        <w:ind w:left="4320"/>
        <w:jc w:val="both"/>
        <w:rPr>
          <w:rFonts w:cs="Times New Roman"/>
          <w:sz w:val="26"/>
          <w:szCs w:val="26"/>
        </w:rPr>
      </w:pPr>
      <w:r w:rsidRPr="00D52E2A">
        <w:rPr>
          <w:b/>
          <w:sz w:val="26"/>
          <w:szCs w:val="26"/>
        </w:rPr>
        <w:t>Counsel for the Staff of the Public Utilities Commission of Ohio</w:t>
      </w:r>
    </w:p>
    <w:p w14:paraId="483AE88D" w14:textId="77777777" w:rsidR="008007E6" w:rsidRDefault="008007E6" w:rsidP="00EA6A50">
      <w:pPr>
        <w:tabs>
          <w:tab w:val="left" w:pos="9360"/>
        </w:tabs>
        <w:spacing w:after="240" w:line="240" w:lineRule="auto"/>
        <w:rPr>
          <w:rFonts w:eastAsia="Times New Roman" w:cs="Times New Roman"/>
          <w:sz w:val="26"/>
          <w:szCs w:val="26"/>
          <w:u w:val="single"/>
        </w:rPr>
        <w:sectPr w:rsidR="008007E6" w:rsidSect="00823345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6B2C19" w14:textId="79804097" w:rsidR="00EA6A50" w:rsidRPr="007A56F9" w:rsidRDefault="00EA6A50" w:rsidP="00EA6A50">
      <w:pPr>
        <w:tabs>
          <w:tab w:val="left" w:pos="9360"/>
        </w:tabs>
        <w:spacing w:after="240" w:line="240" w:lineRule="auto"/>
        <w:rPr>
          <w:rFonts w:eastAsia="Times New Roman" w:cs="Times New Roman"/>
          <w:sz w:val="26"/>
          <w:szCs w:val="26"/>
          <w:u w:val="single"/>
        </w:rPr>
      </w:pPr>
      <w:r w:rsidRPr="007A56F9">
        <w:rPr>
          <w:rFonts w:eastAsia="Times New Roman" w:cs="Times New Roman"/>
          <w:sz w:val="26"/>
          <w:szCs w:val="26"/>
          <w:u w:val="single"/>
        </w:rPr>
        <w:lastRenderedPageBreak/>
        <w:tab/>
      </w:r>
    </w:p>
    <w:p w14:paraId="02878F61" w14:textId="77777777" w:rsidR="00EA6A50" w:rsidRPr="007A56F9" w:rsidRDefault="00EA6A50" w:rsidP="00EA6A50">
      <w:pPr>
        <w:tabs>
          <w:tab w:val="left" w:pos="936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7A56F9">
        <w:rPr>
          <w:rFonts w:eastAsia="Times New Roman" w:cs="Times New Roman"/>
          <w:b/>
          <w:sz w:val="26"/>
          <w:szCs w:val="26"/>
        </w:rPr>
        <w:t>MEMORANDUM IN SUPPORT</w:t>
      </w:r>
    </w:p>
    <w:p w14:paraId="25943CFA" w14:textId="77777777" w:rsidR="00EA6A50" w:rsidRPr="00A02A9C" w:rsidRDefault="00EA6A50" w:rsidP="00EA6A50">
      <w:pPr>
        <w:tabs>
          <w:tab w:val="left" w:pos="9360"/>
        </w:tabs>
        <w:spacing w:after="240" w:line="240" w:lineRule="auto"/>
        <w:rPr>
          <w:rFonts w:eastAsia="Times New Roman" w:cs="Times New Roman"/>
          <w:sz w:val="26"/>
          <w:szCs w:val="26"/>
          <w:u w:val="single"/>
        </w:rPr>
      </w:pPr>
      <w:r w:rsidRPr="00A02A9C">
        <w:rPr>
          <w:rFonts w:eastAsia="Times New Roman" w:cs="Times New Roman"/>
          <w:sz w:val="26"/>
          <w:szCs w:val="26"/>
          <w:u w:val="single"/>
        </w:rPr>
        <w:tab/>
      </w:r>
    </w:p>
    <w:p w14:paraId="638AD439" w14:textId="5866E2F1" w:rsidR="004C5519" w:rsidRPr="00D52E2A" w:rsidRDefault="00C82D9E" w:rsidP="004C5519">
      <w:pPr>
        <w:spacing w:after="0" w:line="480" w:lineRule="auto"/>
        <w:rPr>
          <w:sz w:val="26"/>
          <w:szCs w:val="26"/>
        </w:rPr>
      </w:pPr>
      <w:r w:rsidRPr="00D52E2A">
        <w:rPr>
          <w:rFonts w:eastAsia="Times New Roman" w:cs="Times New Roman"/>
          <w:sz w:val="26"/>
          <w:szCs w:val="26"/>
        </w:rPr>
        <w:tab/>
        <w:t xml:space="preserve">On December 20, 2013, Duke Energy Ohio, Inc. filed an application for authority to implement an information technology capital expenditure program and to change accounting methods. </w:t>
      </w:r>
      <w:r w:rsidR="00EA6A50" w:rsidRPr="00D52E2A">
        <w:rPr>
          <w:rFonts w:eastAsia="Times New Roman" w:cs="Times New Roman"/>
          <w:sz w:val="26"/>
          <w:szCs w:val="26"/>
        </w:rPr>
        <w:t xml:space="preserve"> </w:t>
      </w:r>
      <w:r w:rsidRPr="00D52E2A">
        <w:rPr>
          <w:rFonts w:eastAsia="Times New Roman" w:cs="Times New Roman"/>
          <w:sz w:val="26"/>
          <w:szCs w:val="26"/>
        </w:rPr>
        <w:t xml:space="preserve">On May 2, 2014, </w:t>
      </w:r>
      <w:r w:rsidR="00ED51D6">
        <w:rPr>
          <w:rFonts w:eastAsia="Times New Roman" w:cs="Times New Roman"/>
          <w:sz w:val="26"/>
          <w:szCs w:val="26"/>
        </w:rPr>
        <w:t xml:space="preserve">the </w:t>
      </w:r>
      <w:r w:rsidR="008007E6">
        <w:rPr>
          <w:rFonts w:eastAsia="Times New Roman" w:cs="Times New Roman"/>
          <w:sz w:val="26"/>
          <w:szCs w:val="26"/>
        </w:rPr>
        <w:t>Staff</w:t>
      </w:r>
      <w:r w:rsidR="00ED51D6">
        <w:rPr>
          <w:rFonts w:eastAsia="Times New Roman" w:cs="Times New Roman"/>
          <w:sz w:val="26"/>
          <w:szCs w:val="26"/>
        </w:rPr>
        <w:t xml:space="preserve"> </w:t>
      </w:r>
      <w:r w:rsidRPr="00D52E2A">
        <w:rPr>
          <w:rFonts w:eastAsia="Times New Roman" w:cs="Times New Roman"/>
          <w:sz w:val="26"/>
          <w:szCs w:val="26"/>
        </w:rPr>
        <w:t xml:space="preserve">filed comments in this case. </w:t>
      </w:r>
      <w:r w:rsidR="00ED51D6">
        <w:rPr>
          <w:rFonts w:eastAsia="Times New Roman" w:cs="Times New Roman"/>
          <w:sz w:val="26"/>
          <w:szCs w:val="26"/>
        </w:rPr>
        <w:t xml:space="preserve"> </w:t>
      </w:r>
      <w:r w:rsidRPr="00D52E2A">
        <w:rPr>
          <w:rFonts w:eastAsia="Times New Roman" w:cs="Times New Roman"/>
          <w:sz w:val="26"/>
          <w:szCs w:val="26"/>
        </w:rPr>
        <w:t xml:space="preserve">Duke Energy Ohio, Inc. then filed comments on May 16, 2014. </w:t>
      </w:r>
      <w:r w:rsidR="00ED51D6">
        <w:rPr>
          <w:rFonts w:eastAsia="Times New Roman" w:cs="Times New Roman"/>
          <w:sz w:val="26"/>
          <w:szCs w:val="26"/>
        </w:rPr>
        <w:t xml:space="preserve"> </w:t>
      </w:r>
      <w:r w:rsidR="006927E6" w:rsidRPr="00D52E2A">
        <w:rPr>
          <w:sz w:val="26"/>
          <w:szCs w:val="26"/>
        </w:rPr>
        <w:t xml:space="preserve">The Staff respectfully moves for leave to file sur-reply comments in the case.  </w:t>
      </w:r>
    </w:p>
    <w:p w14:paraId="29A06C36" w14:textId="2EF26E00" w:rsidR="006927E6" w:rsidRPr="00D52E2A" w:rsidRDefault="006927E6" w:rsidP="004C5519">
      <w:pPr>
        <w:spacing w:after="0" w:line="480" w:lineRule="auto"/>
        <w:ind w:firstLine="720"/>
        <w:rPr>
          <w:rFonts w:eastAsia="Times New Roman" w:cs="Times New Roman"/>
          <w:sz w:val="26"/>
          <w:szCs w:val="26"/>
        </w:rPr>
      </w:pPr>
      <w:r w:rsidRPr="00D52E2A">
        <w:rPr>
          <w:sz w:val="26"/>
          <w:szCs w:val="26"/>
        </w:rPr>
        <w:t xml:space="preserve">The Commission accepted and considered sur-reply comments in all </w:t>
      </w:r>
      <w:r w:rsidRPr="00A02A9C">
        <w:rPr>
          <w:sz w:val="26"/>
          <w:szCs w:val="26"/>
        </w:rPr>
        <w:t xml:space="preserve">of the </w:t>
      </w:r>
      <w:r w:rsidR="009D09D7">
        <w:rPr>
          <w:sz w:val="26"/>
          <w:szCs w:val="26"/>
        </w:rPr>
        <w:t xml:space="preserve">initial </w:t>
      </w:r>
      <w:r w:rsidRPr="00A02A9C">
        <w:rPr>
          <w:sz w:val="26"/>
          <w:szCs w:val="26"/>
        </w:rPr>
        <w:t>capital expenditure cases</w:t>
      </w:r>
      <w:r w:rsidR="009D09D7">
        <w:rPr>
          <w:sz w:val="26"/>
          <w:szCs w:val="26"/>
        </w:rPr>
        <w:t xml:space="preserve"> filed by other utilities</w:t>
      </w:r>
      <w:r w:rsidRPr="00A02A9C">
        <w:rPr>
          <w:sz w:val="26"/>
          <w:szCs w:val="26"/>
        </w:rPr>
        <w:t>.</w:t>
      </w:r>
      <w:r w:rsidR="00486F5D" w:rsidRPr="00A74FF5">
        <w:rPr>
          <w:rStyle w:val="FootnoteReference"/>
          <w:sz w:val="26"/>
          <w:szCs w:val="26"/>
        </w:rPr>
        <w:footnoteReference w:id="1"/>
      </w:r>
      <w:r w:rsidR="009D09D7">
        <w:rPr>
          <w:sz w:val="26"/>
          <w:szCs w:val="26"/>
        </w:rPr>
        <w:t xml:space="preserve"> </w:t>
      </w:r>
      <w:r w:rsidR="00ED51D6">
        <w:rPr>
          <w:sz w:val="26"/>
          <w:szCs w:val="26"/>
        </w:rPr>
        <w:t xml:space="preserve"> </w:t>
      </w:r>
      <w:r w:rsidR="004C5519" w:rsidRPr="00A74FF5">
        <w:rPr>
          <w:sz w:val="26"/>
          <w:szCs w:val="26"/>
        </w:rPr>
        <w:t>Additionally, sur-reply comments will allow the</w:t>
      </w:r>
      <w:r w:rsidR="00C6788F">
        <w:rPr>
          <w:sz w:val="26"/>
          <w:szCs w:val="26"/>
        </w:rPr>
        <w:t xml:space="preserve"> Staff to incorporate information into</w:t>
      </w:r>
      <w:r w:rsidR="008B242B">
        <w:rPr>
          <w:sz w:val="26"/>
          <w:szCs w:val="26"/>
        </w:rPr>
        <w:t xml:space="preserve"> the record regarding</w:t>
      </w:r>
      <w:r w:rsidR="00C6788F">
        <w:rPr>
          <w:sz w:val="26"/>
          <w:szCs w:val="26"/>
        </w:rPr>
        <w:t xml:space="preserve"> arguments that Duke presented solely in its reply comments</w:t>
      </w:r>
      <w:r w:rsidR="002470D6">
        <w:rPr>
          <w:sz w:val="26"/>
          <w:szCs w:val="26"/>
        </w:rPr>
        <w:t xml:space="preserve">. </w:t>
      </w:r>
      <w:r w:rsidR="00ED51D6">
        <w:rPr>
          <w:sz w:val="26"/>
          <w:szCs w:val="26"/>
        </w:rPr>
        <w:t xml:space="preserve"> </w:t>
      </w:r>
      <w:r w:rsidR="002470D6">
        <w:rPr>
          <w:sz w:val="26"/>
          <w:szCs w:val="26"/>
        </w:rPr>
        <w:t>This will</w:t>
      </w:r>
      <w:r w:rsidR="00C6788F">
        <w:rPr>
          <w:sz w:val="26"/>
          <w:szCs w:val="26"/>
        </w:rPr>
        <w:t xml:space="preserve"> </w:t>
      </w:r>
      <w:r w:rsidR="002470D6">
        <w:rPr>
          <w:sz w:val="26"/>
          <w:szCs w:val="26"/>
        </w:rPr>
        <w:t>allow</w:t>
      </w:r>
      <w:r w:rsidR="008B242B">
        <w:rPr>
          <w:sz w:val="26"/>
          <w:szCs w:val="26"/>
        </w:rPr>
        <w:t xml:space="preserve"> the record to be </w:t>
      </w:r>
      <w:r w:rsidR="004C5519" w:rsidRPr="00A74FF5">
        <w:rPr>
          <w:sz w:val="26"/>
          <w:szCs w:val="26"/>
        </w:rPr>
        <w:t>more fully</w:t>
      </w:r>
      <w:r w:rsidR="008B242B">
        <w:rPr>
          <w:sz w:val="26"/>
          <w:szCs w:val="26"/>
        </w:rPr>
        <w:t xml:space="preserve"> devel</w:t>
      </w:r>
      <w:r w:rsidR="00CD7B84">
        <w:rPr>
          <w:sz w:val="26"/>
          <w:szCs w:val="26"/>
        </w:rPr>
        <w:softHyphen/>
      </w:r>
      <w:r w:rsidR="008B242B">
        <w:rPr>
          <w:sz w:val="26"/>
          <w:szCs w:val="26"/>
        </w:rPr>
        <w:t>oped</w:t>
      </w:r>
      <w:r w:rsidR="004C5519" w:rsidRPr="00A74FF5">
        <w:rPr>
          <w:sz w:val="26"/>
          <w:szCs w:val="26"/>
        </w:rPr>
        <w:t xml:space="preserve">. </w:t>
      </w:r>
      <w:r w:rsidR="00ED51D6">
        <w:rPr>
          <w:sz w:val="26"/>
          <w:szCs w:val="26"/>
        </w:rPr>
        <w:t xml:space="preserve"> </w:t>
      </w:r>
      <w:r w:rsidR="004C5519" w:rsidRPr="00A74FF5">
        <w:rPr>
          <w:sz w:val="26"/>
          <w:szCs w:val="26"/>
        </w:rPr>
        <w:t>Therefore, the Staff requests that the Commission allow it to file sur-reply com</w:t>
      </w:r>
      <w:r w:rsidR="00CD7B84">
        <w:rPr>
          <w:sz w:val="26"/>
          <w:szCs w:val="26"/>
        </w:rPr>
        <w:softHyphen/>
      </w:r>
      <w:r w:rsidR="004C5519" w:rsidRPr="00A74FF5">
        <w:rPr>
          <w:sz w:val="26"/>
          <w:szCs w:val="26"/>
        </w:rPr>
        <w:t xml:space="preserve">ments in this case. </w:t>
      </w:r>
    </w:p>
    <w:p w14:paraId="6E868529" w14:textId="77777777" w:rsidR="008007E6" w:rsidRDefault="008007E6" w:rsidP="00EA6A50">
      <w:pPr>
        <w:tabs>
          <w:tab w:val="left" w:pos="9348"/>
        </w:tabs>
        <w:spacing w:after="0" w:line="480" w:lineRule="auto"/>
        <w:ind w:left="504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14:paraId="3B87C8D9" w14:textId="664E8D10" w:rsidR="00EA6A50" w:rsidRPr="00A02A9C" w:rsidRDefault="00EA6A50" w:rsidP="00EA6A50">
      <w:pPr>
        <w:tabs>
          <w:tab w:val="left" w:pos="9348"/>
        </w:tabs>
        <w:spacing w:after="0" w:line="480" w:lineRule="auto"/>
        <w:ind w:left="5040"/>
        <w:rPr>
          <w:rFonts w:eastAsia="Times New Roman" w:cs="Times New Roman"/>
          <w:sz w:val="26"/>
          <w:szCs w:val="26"/>
        </w:rPr>
      </w:pPr>
      <w:r w:rsidRPr="00A02A9C">
        <w:rPr>
          <w:rFonts w:eastAsia="Times New Roman" w:cs="Times New Roman"/>
          <w:sz w:val="26"/>
          <w:szCs w:val="26"/>
        </w:rPr>
        <w:lastRenderedPageBreak/>
        <w:t>Respectfully submitted,</w:t>
      </w:r>
    </w:p>
    <w:p w14:paraId="6330F61C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 w:rsidRPr="00D52E2A">
        <w:rPr>
          <w:rFonts w:eastAsia="Times New Roman" w:cs="Times New Roman"/>
          <w:b/>
          <w:sz w:val="26"/>
          <w:szCs w:val="26"/>
        </w:rPr>
        <w:t>Michael DeWine</w:t>
      </w:r>
    </w:p>
    <w:p w14:paraId="685E82BC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 w:rsidRPr="00D52E2A">
        <w:rPr>
          <w:rFonts w:eastAsia="Times New Roman" w:cs="Times New Roman"/>
          <w:sz w:val="26"/>
          <w:szCs w:val="26"/>
        </w:rPr>
        <w:t>Ohio Attorney General</w:t>
      </w:r>
    </w:p>
    <w:p w14:paraId="0CCA5C16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</w:p>
    <w:p w14:paraId="4A3B8026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b/>
          <w:sz w:val="26"/>
          <w:szCs w:val="26"/>
        </w:rPr>
      </w:pPr>
      <w:r w:rsidRPr="00D52E2A">
        <w:rPr>
          <w:rFonts w:eastAsia="Times New Roman" w:cs="Times New Roman"/>
          <w:b/>
          <w:sz w:val="26"/>
          <w:szCs w:val="26"/>
        </w:rPr>
        <w:t>William L. Wright</w:t>
      </w:r>
    </w:p>
    <w:p w14:paraId="67B00892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 w:rsidRPr="00D52E2A">
        <w:rPr>
          <w:rFonts w:eastAsia="Times New Roman" w:cs="Times New Roman"/>
          <w:sz w:val="26"/>
          <w:szCs w:val="26"/>
        </w:rPr>
        <w:t>Section Chief</w:t>
      </w:r>
    </w:p>
    <w:p w14:paraId="6745AFEA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</w:p>
    <w:p w14:paraId="777A8CE8" w14:textId="77777777" w:rsidR="00EA6A50" w:rsidRPr="00A02A9C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  <w:u w:val="single"/>
        </w:rPr>
      </w:pPr>
      <w:r w:rsidRPr="009754F5">
        <w:rPr>
          <w:rFonts w:ascii="Viner Hand ITC" w:eastAsia="Times New Roman" w:hAnsi="Viner Hand ITC" w:cs="Times New Roman"/>
          <w:sz w:val="26"/>
          <w:szCs w:val="26"/>
          <w:u w:val="single"/>
        </w:rPr>
        <w:t>/s/ Katie L. Johnson</w:t>
      </w:r>
      <w:r w:rsidRPr="00A02A9C">
        <w:rPr>
          <w:rFonts w:eastAsia="Times New Roman" w:cs="Times New Roman"/>
          <w:sz w:val="26"/>
          <w:szCs w:val="26"/>
          <w:u w:val="single"/>
        </w:rPr>
        <w:tab/>
      </w:r>
    </w:p>
    <w:p w14:paraId="337C8583" w14:textId="77777777" w:rsidR="00EA6A50" w:rsidRPr="007A56F9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b/>
          <w:sz w:val="26"/>
          <w:szCs w:val="26"/>
        </w:rPr>
      </w:pPr>
      <w:r w:rsidRPr="007A56F9">
        <w:rPr>
          <w:rFonts w:eastAsia="Times New Roman" w:cs="Times New Roman"/>
          <w:b/>
          <w:sz w:val="26"/>
          <w:szCs w:val="26"/>
        </w:rPr>
        <w:t>Katie L. Johnson</w:t>
      </w:r>
    </w:p>
    <w:p w14:paraId="4B1AB55A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 w:rsidRPr="00D52E2A">
        <w:rPr>
          <w:rFonts w:eastAsia="Times New Roman" w:cs="Times New Roman"/>
          <w:sz w:val="26"/>
          <w:szCs w:val="26"/>
        </w:rPr>
        <w:t>Assistant Attorney General</w:t>
      </w:r>
    </w:p>
    <w:p w14:paraId="5AAC1177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 w:rsidRPr="00D52E2A">
        <w:rPr>
          <w:rFonts w:eastAsia="Times New Roman" w:cs="Times New Roman"/>
          <w:sz w:val="26"/>
          <w:szCs w:val="26"/>
        </w:rPr>
        <w:t>Public Utilities Section</w:t>
      </w:r>
    </w:p>
    <w:p w14:paraId="1626DEEB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 w:rsidRPr="00D52E2A">
        <w:rPr>
          <w:rFonts w:eastAsia="Times New Roman" w:cs="Times New Roman"/>
          <w:sz w:val="26"/>
          <w:szCs w:val="26"/>
        </w:rPr>
        <w:t>180 East Broad Street, 6</w:t>
      </w:r>
      <w:r w:rsidRPr="00D52E2A">
        <w:rPr>
          <w:rFonts w:eastAsia="Times New Roman" w:cs="Times New Roman"/>
          <w:sz w:val="26"/>
          <w:szCs w:val="26"/>
          <w:vertAlign w:val="superscript"/>
        </w:rPr>
        <w:t>th</w:t>
      </w:r>
      <w:r w:rsidRPr="00D52E2A">
        <w:rPr>
          <w:rFonts w:eastAsia="Times New Roman" w:cs="Times New Roman"/>
          <w:sz w:val="26"/>
          <w:szCs w:val="26"/>
        </w:rPr>
        <w:t xml:space="preserve"> Floor</w:t>
      </w:r>
    </w:p>
    <w:p w14:paraId="6C42AB4B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 w:rsidRPr="00D52E2A">
        <w:rPr>
          <w:rFonts w:eastAsia="Times New Roman" w:cs="Times New Roman"/>
          <w:sz w:val="26"/>
          <w:szCs w:val="26"/>
        </w:rPr>
        <w:t>Columbus, OH  43215-3793</w:t>
      </w:r>
    </w:p>
    <w:p w14:paraId="54B258DA" w14:textId="75B3DE62" w:rsidR="00EA6A50" w:rsidRPr="00CA1424" w:rsidRDefault="00CA1424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614-644-</w:t>
      </w:r>
      <w:r w:rsidR="00EA6A50" w:rsidRPr="00CA1424">
        <w:rPr>
          <w:rFonts w:eastAsia="Times New Roman" w:cs="Times New Roman"/>
          <w:sz w:val="26"/>
          <w:szCs w:val="26"/>
        </w:rPr>
        <w:t>8588 (telephone)</w:t>
      </w:r>
    </w:p>
    <w:p w14:paraId="59077FBB" w14:textId="324FAD3C" w:rsidR="00EA6A50" w:rsidRPr="009754F5" w:rsidRDefault="00CA1424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614-644-</w:t>
      </w:r>
      <w:r w:rsidR="009754F5">
        <w:rPr>
          <w:rFonts w:eastAsia="Times New Roman" w:cs="Times New Roman"/>
          <w:sz w:val="26"/>
          <w:szCs w:val="26"/>
        </w:rPr>
        <w:t>8764 (facsimile</w:t>
      </w:r>
      <w:r w:rsidR="00EA6A50" w:rsidRPr="009754F5">
        <w:rPr>
          <w:rFonts w:eastAsia="Times New Roman" w:cs="Times New Roman"/>
          <w:sz w:val="26"/>
          <w:szCs w:val="26"/>
        </w:rPr>
        <w:t>)</w:t>
      </w:r>
    </w:p>
    <w:p w14:paraId="0FBC0F4A" w14:textId="77777777" w:rsidR="00EA6A50" w:rsidRPr="00A02A9C" w:rsidRDefault="00CD7B84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color w:val="0000FF"/>
          <w:sz w:val="26"/>
          <w:szCs w:val="26"/>
          <w:u w:val="single"/>
        </w:rPr>
      </w:pPr>
      <w:hyperlink r:id="rId10" w:history="1">
        <w:r w:rsidR="00EA6A50" w:rsidRPr="009754F5">
          <w:rPr>
            <w:rFonts w:eastAsia="Times New Roman" w:cs="Times New Roman"/>
            <w:color w:val="0000FF"/>
            <w:sz w:val="26"/>
            <w:szCs w:val="26"/>
            <w:u w:val="single"/>
          </w:rPr>
          <w:t>katie.johnson@puc.state.oh.us</w:t>
        </w:r>
      </w:hyperlink>
    </w:p>
    <w:p w14:paraId="3CA34201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color w:val="0000FF"/>
          <w:sz w:val="26"/>
          <w:szCs w:val="26"/>
          <w:u w:val="single"/>
        </w:rPr>
      </w:pPr>
    </w:p>
    <w:p w14:paraId="5E27FC13" w14:textId="77777777" w:rsidR="00EA6A50" w:rsidRPr="00D52E2A" w:rsidRDefault="00EA6A50" w:rsidP="00EA6A50">
      <w:pPr>
        <w:tabs>
          <w:tab w:val="left" w:pos="9348"/>
        </w:tabs>
        <w:spacing w:after="0" w:line="240" w:lineRule="auto"/>
        <w:ind w:left="5040"/>
        <w:rPr>
          <w:rFonts w:eastAsia="Times New Roman" w:cs="Times New Roman"/>
          <w:b/>
          <w:sz w:val="26"/>
          <w:szCs w:val="26"/>
        </w:rPr>
      </w:pPr>
      <w:r w:rsidRPr="00D52E2A">
        <w:rPr>
          <w:rFonts w:eastAsia="Times New Roman" w:cs="Times New Roman"/>
          <w:b/>
          <w:sz w:val="26"/>
          <w:szCs w:val="26"/>
        </w:rPr>
        <w:t>Counsel for the Staff of the Public Utilities Commission of Ohio</w:t>
      </w:r>
    </w:p>
    <w:p w14:paraId="1906B373" w14:textId="77777777" w:rsidR="002C1AE7" w:rsidRPr="002C1AE7" w:rsidRDefault="002C1AE7" w:rsidP="00ED51D6">
      <w:pPr>
        <w:spacing w:after="0" w:line="240" w:lineRule="auto"/>
        <w:jc w:val="center"/>
      </w:pPr>
    </w:p>
    <w:sectPr w:rsidR="002C1AE7" w:rsidRPr="002C1AE7" w:rsidSect="008007E6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4F012" w14:textId="77777777" w:rsidR="00823345" w:rsidRDefault="00823345" w:rsidP="00486F5D">
      <w:pPr>
        <w:spacing w:after="0" w:line="240" w:lineRule="auto"/>
      </w:pPr>
      <w:r>
        <w:separator/>
      </w:r>
    </w:p>
  </w:endnote>
  <w:endnote w:type="continuationSeparator" w:id="0">
    <w:p w14:paraId="7A5DEF0F" w14:textId="77777777" w:rsidR="00823345" w:rsidRDefault="00823345" w:rsidP="0048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58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E2013" w14:textId="52E07F1A" w:rsidR="00823345" w:rsidRDefault="00823345" w:rsidP="008007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056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F2966" w14:textId="77777777" w:rsidR="00823345" w:rsidRDefault="00823345" w:rsidP="008233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74E1E" w14:textId="77777777" w:rsidR="008007E6" w:rsidRDefault="00800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34C9C" w14:textId="77777777" w:rsidR="00823345" w:rsidRDefault="00823345" w:rsidP="00486F5D">
      <w:pPr>
        <w:spacing w:after="0" w:line="240" w:lineRule="auto"/>
      </w:pPr>
      <w:r>
        <w:separator/>
      </w:r>
    </w:p>
  </w:footnote>
  <w:footnote w:type="continuationSeparator" w:id="0">
    <w:p w14:paraId="53920F75" w14:textId="77777777" w:rsidR="00823345" w:rsidRDefault="00823345" w:rsidP="00486F5D">
      <w:pPr>
        <w:spacing w:after="0" w:line="240" w:lineRule="auto"/>
      </w:pPr>
      <w:r>
        <w:continuationSeparator/>
      </w:r>
    </w:p>
  </w:footnote>
  <w:footnote w:id="1">
    <w:p w14:paraId="458D1BBD" w14:textId="3E4657AD" w:rsidR="00823345" w:rsidRDefault="00823345" w:rsidP="00ED51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0" w:name="_GoBack"/>
      <w:bookmarkEnd w:id="0"/>
      <w:r w:rsidR="00ED51D6">
        <w:tab/>
      </w:r>
      <w:r w:rsidRPr="00ED51D6">
        <w:rPr>
          <w:i/>
        </w:rPr>
        <w:t>In the Matter of the Application of Columbia Gas of Ohio, Inc. for Approval of a Capital Expenditure Program and for Approval to Change Accounting Methods</w:t>
      </w:r>
      <w:r>
        <w:t xml:space="preserve">, </w:t>
      </w:r>
      <w:r w:rsidR="00ED51D6">
        <w:t>Case No. 11-5351-GA-UNC</w:t>
      </w:r>
      <w:r>
        <w:t xml:space="preserve"> (Finding and Order at 2) (Aug. 29, 2012); </w:t>
      </w:r>
      <w:r w:rsidRPr="00ED51D6">
        <w:rPr>
          <w:i/>
        </w:rPr>
        <w:t>In the Matter of the Application of The East Ohio Gas Company d/b/a Dominion East Ohio to Implement a Capital Expenditure Program and for Authority to Change Accounting Methods</w:t>
      </w:r>
      <w:r>
        <w:t xml:space="preserve">, Case No. 11-6024-GA-UNC, </w:t>
      </w:r>
      <w:r w:rsidRPr="00ED51D6">
        <w:rPr>
          <w:i/>
        </w:rPr>
        <w:t>et al.</w:t>
      </w:r>
      <w:r>
        <w:t xml:space="preserve"> (Finding and Order at 2) (Dec. 12, 2012); </w:t>
      </w:r>
      <w:r w:rsidRPr="00ED51D6">
        <w:rPr>
          <w:i/>
        </w:rPr>
        <w:t>In the Matter of the Application of Vectren Energy Delivery of Ohio to Implement a Capital Expenditure Program and for Authority to Change Accounting Methods</w:t>
      </w:r>
      <w:r>
        <w:t xml:space="preserve">, Case No. 12-530-GA-UNC, </w:t>
      </w:r>
      <w:r w:rsidRPr="00ED51D6">
        <w:rPr>
          <w:i/>
        </w:rPr>
        <w:t>et al</w:t>
      </w:r>
      <w:r>
        <w:t>. (Finding and Order at 2) (Dec. 12, 2012 ).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1BD1" w14:textId="77777777" w:rsidR="00823345" w:rsidRDefault="00823345" w:rsidP="00823345">
    <w:pPr>
      <w:pStyle w:val="Header"/>
      <w:jc w:val="right"/>
      <w:rPr>
        <w:b/>
        <w:sz w:val="28"/>
        <w:szCs w:val="28"/>
      </w:rPr>
    </w:pPr>
  </w:p>
  <w:p w14:paraId="3F8D028F" w14:textId="77777777" w:rsidR="00823345" w:rsidRPr="002B0FA8" w:rsidRDefault="00823345" w:rsidP="00823345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4511"/>
    <w:multiLevelType w:val="hybridMultilevel"/>
    <w:tmpl w:val="D2CEA59A"/>
    <w:lvl w:ilvl="0" w:tplc="ED38288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C598E"/>
    <w:multiLevelType w:val="hybridMultilevel"/>
    <w:tmpl w:val="3E406B6C"/>
    <w:lvl w:ilvl="0" w:tplc="71EAADEE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1D"/>
    <w:rsid w:val="00045C3E"/>
    <w:rsid w:val="0005081A"/>
    <w:rsid w:val="00086785"/>
    <w:rsid w:val="00113A78"/>
    <w:rsid w:val="00137581"/>
    <w:rsid w:val="00157006"/>
    <w:rsid w:val="00164999"/>
    <w:rsid w:val="001B3C75"/>
    <w:rsid w:val="001D12E2"/>
    <w:rsid w:val="00223D1B"/>
    <w:rsid w:val="002470D6"/>
    <w:rsid w:val="00260E9A"/>
    <w:rsid w:val="002638CB"/>
    <w:rsid w:val="00297CCA"/>
    <w:rsid w:val="002C1AE7"/>
    <w:rsid w:val="00304560"/>
    <w:rsid w:val="00372B41"/>
    <w:rsid w:val="0037456A"/>
    <w:rsid w:val="003C5D0E"/>
    <w:rsid w:val="003F0A60"/>
    <w:rsid w:val="00486F5D"/>
    <w:rsid w:val="004B416B"/>
    <w:rsid w:val="004C5519"/>
    <w:rsid w:val="005565C9"/>
    <w:rsid w:val="005A1F1B"/>
    <w:rsid w:val="005C0242"/>
    <w:rsid w:val="006751CF"/>
    <w:rsid w:val="006927E6"/>
    <w:rsid w:val="00724E49"/>
    <w:rsid w:val="007268E9"/>
    <w:rsid w:val="007444A3"/>
    <w:rsid w:val="00793677"/>
    <w:rsid w:val="007A56F9"/>
    <w:rsid w:val="007B36E0"/>
    <w:rsid w:val="008007E6"/>
    <w:rsid w:val="008029CC"/>
    <w:rsid w:val="00823345"/>
    <w:rsid w:val="00834448"/>
    <w:rsid w:val="008841C9"/>
    <w:rsid w:val="008B242B"/>
    <w:rsid w:val="008B7899"/>
    <w:rsid w:val="008E2EEB"/>
    <w:rsid w:val="008F0510"/>
    <w:rsid w:val="009754F5"/>
    <w:rsid w:val="009D09D7"/>
    <w:rsid w:val="00A02A9C"/>
    <w:rsid w:val="00A74FF5"/>
    <w:rsid w:val="00A764A9"/>
    <w:rsid w:val="00A963FE"/>
    <w:rsid w:val="00B4498C"/>
    <w:rsid w:val="00B46D10"/>
    <w:rsid w:val="00B76D4F"/>
    <w:rsid w:val="00B9362E"/>
    <w:rsid w:val="00BF0D1D"/>
    <w:rsid w:val="00C14779"/>
    <w:rsid w:val="00C6788F"/>
    <w:rsid w:val="00C779D0"/>
    <w:rsid w:val="00C82D9E"/>
    <w:rsid w:val="00C962E3"/>
    <w:rsid w:val="00CA1424"/>
    <w:rsid w:val="00CD7B84"/>
    <w:rsid w:val="00CF1379"/>
    <w:rsid w:val="00CF1907"/>
    <w:rsid w:val="00D52E2A"/>
    <w:rsid w:val="00DA30AF"/>
    <w:rsid w:val="00DD1E1D"/>
    <w:rsid w:val="00E036A9"/>
    <w:rsid w:val="00EA6A50"/>
    <w:rsid w:val="00ED51D6"/>
    <w:rsid w:val="00F06609"/>
    <w:rsid w:val="00F0728F"/>
    <w:rsid w:val="00F93284"/>
    <w:rsid w:val="00F962A5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276E7D"/>
  <w15:docId w15:val="{ECDE2712-5DB6-4569-8420-FF3B3E0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eferred"/>
    <w:next w:val="NoSpacing"/>
    <w:qFormat/>
    <w:rsid w:val="00BF0D1D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AE7"/>
    <w:pPr>
      <w:keepNext/>
      <w:keepLines/>
      <w:numPr>
        <w:numId w:val="2"/>
      </w:numPr>
      <w:spacing w:before="360" w:after="240" w:line="240" w:lineRule="auto"/>
      <w:ind w:hanging="7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1AE7"/>
    <w:pPr>
      <w:keepNext/>
      <w:keepLines/>
      <w:numPr>
        <w:numId w:val="1"/>
      </w:numPr>
      <w:spacing w:before="360" w:after="240" w:line="240" w:lineRule="auto"/>
      <w:ind w:right="1440" w:hanging="720"/>
      <w:outlineLvl w:val="1"/>
    </w:pPr>
    <w:rPr>
      <w:rFonts w:eastAsiaTheme="majorEastAs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D1D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F0D1D"/>
    <w:rPr>
      <w:color w:val="0000FF"/>
      <w:u w:val="single"/>
    </w:rPr>
  </w:style>
  <w:style w:type="paragraph" w:customStyle="1" w:styleId="text">
    <w:name w:val="text"/>
    <w:basedOn w:val="Normal"/>
    <w:autoRedefine/>
    <w:rsid w:val="00BF0D1D"/>
    <w:pPr>
      <w:tabs>
        <w:tab w:val="left" w:pos="9360"/>
      </w:tabs>
      <w:spacing w:after="0" w:line="240" w:lineRule="auto"/>
      <w:ind w:left="5040"/>
      <w:jc w:val="both"/>
    </w:pPr>
    <w:rPr>
      <w:rFonts w:eastAsia="Times New Roman" w:cs="Times New Roman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E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E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E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ED51D6"/>
    <w:pPr>
      <w:spacing w:before="240" w:after="240"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51D6"/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F5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C1AE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AE7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SignatureStyle">
    <w:name w:val="Signature Style"/>
    <w:basedOn w:val="Normal"/>
    <w:qFormat/>
    <w:rsid w:val="002C1AE7"/>
    <w:pPr>
      <w:tabs>
        <w:tab w:val="left" w:pos="9360"/>
      </w:tabs>
      <w:spacing w:after="0" w:line="240" w:lineRule="auto"/>
      <w:ind w:left="4320"/>
    </w:pPr>
    <w:rPr>
      <w:rFonts w:ascii="Viner Hand ITC" w:hAnsi="Viner Hand ITC" w:cs="Arial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E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E7"/>
    <w:rPr>
      <w:rFonts w:ascii="Times New Roman" w:hAnsi="Times New Roman"/>
      <w:sz w:val="24"/>
    </w:rPr>
  </w:style>
  <w:style w:type="paragraph" w:customStyle="1" w:styleId="textstyle">
    <w:name w:val="text style"/>
    <w:basedOn w:val="Normal"/>
    <w:rsid w:val="002C1AE7"/>
    <w:pPr>
      <w:spacing w:after="0" w:line="480" w:lineRule="auto"/>
    </w:pPr>
    <w:rPr>
      <w:rFonts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52E2A"/>
    <w:pPr>
      <w:tabs>
        <w:tab w:val="right" w:leader="dot" w:pos="9350"/>
      </w:tabs>
      <w:spacing w:before="240" w:after="240" w:line="240" w:lineRule="auto"/>
      <w:ind w:left="720" w:right="1440" w:hanging="720"/>
      <w:jc w:val="center"/>
    </w:pPr>
    <w:rPr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C1AE7"/>
    <w:pPr>
      <w:tabs>
        <w:tab w:val="right" w:leader="dot" w:pos="9350"/>
      </w:tabs>
      <w:spacing w:before="240" w:after="240" w:line="240" w:lineRule="auto"/>
      <w:ind w:left="1440" w:right="1440" w:hanging="720"/>
    </w:pPr>
    <w:rPr>
      <w:sz w:val="26"/>
    </w:rPr>
  </w:style>
  <w:style w:type="table" w:customStyle="1" w:styleId="TableGrid1">
    <w:name w:val="Table Grid1"/>
    <w:basedOn w:val="TableNormal"/>
    <w:next w:val="TableGrid"/>
    <w:uiPriority w:val="59"/>
    <w:rsid w:val="002C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C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johnson@puc.state.oh.u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ie.johnson@puc.state.oh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AE71-3097-44D7-B1DA-FE840DC3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Katherine</dc:creator>
  <cp:lastModifiedBy>Keeton, Kim</cp:lastModifiedBy>
  <cp:revision>4</cp:revision>
  <cp:lastPrinted>2014-06-20T19:23:00Z</cp:lastPrinted>
  <dcterms:created xsi:type="dcterms:W3CDTF">2014-06-26T12:34:00Z</dcterms:created>
  <dcterms:modified xsi:type="dcterms:W3CDTF">2014-06-26T12:46:00Z</dcterms:modified>
</cp:coreProperties>
</file>