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25" w:rsidRPr="00180025" w:rsidRDefault="00180025" w:rsidP="00180025">
      <w:pPr>
        <w:spacing w:line="240" w:lineRule="auto"/>
        <w:jc w:val="center"/>
        <w:rPr>
          <w:rFonts w:eastAsia="Calibri" w:cs="Arial"/>
          <w:b/>
          <w:smallCaps/>
          <w:sz w:val="28"/>
          <w:szCs w:val="24"/>
        </w:rPr>
      </w:pPr>
      <w:bookmarkStart w:id="0" w:name="OLE_LINK1"/>
      <w:bookmarkStart w:id="1" w:name="OLE_LINK2"/>
      <w:bookmarkStart w:id="2" w:name="_GoBack"/>
      <w:bookmarkEnd w:id="2"/>
      <w:r w:rsidRPr="00180025">
        <w:rPr>
          <w:rFonts w:eastAsia="Calibri" w:cs="Arial"/>
          <w:b/>
          <w:smallCaps/>
          <w:sz w:val="28"/>
          <w:szCs w:val="24"/>
        </w:rPr>
        <w:t>Before</w:t>
      </w:r>
    </w:p>
    <w:p w:rsidR="00180025" w:rsidRPr="00180025" w:rsidRDefault="00180025" w:rsidP="00180025">
      <w:pPr>
        <w:spacing w:line="240" w:lineRule="auto"/>
        <w:jc w:val="center"/>
        <w:rPr>
          <w:rFonts w:eastAsia="Cambria" w:cs="Times New Roman"/>
          <w:b/>
          <w:smallCaps/>
          <w:sz w:val="28"/>
          <w:szCs w:val="24"/>
        </w:rPr>
      </w:pPr>
      <w:r w:rsidRPr="00180025">
        <w:rPr>
          <w:rFonts w:eastAsia="Cambria" w:cs="Times New Roman"/>
          <w:b/>
          <w:smallCaps/>
          <w:sz w:val="28"/>
          <w:szCs w:val="24"/>
        </w:rPr>
        <w:t>The Public Utilities Commission of Ohio</w:t>
      </w:r>
    </w:p>
    <w:p w:rsidR="00180025" w:rsidRPr="00180025" w:rsidRDefault="00180025" w:rsidP="00180025">
      <w:pPr>
        <w:spacing w:line="240" w:lineRule="auto"/>
        <w:jc w:val="center"/>
        <w:rPr>
          <w:rFonts w:eastAsia="Cambria" w:cs="Times New Roman"/>
          <w:b/>
          <w:smallCaps/>
          <w:sz w:val="28"/>
          <w:szCs w:val="24"/>
        </w:rPr>
      </w:pP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In the Matter of the Application of</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 xml:space="preserve">Ohio Power Company and Columbus </w:t>
      </w:r>
      <w:r w:rsidRPr="00180025">
        <w:rPr>
          <w:rFonts w:eastAsia="Cambria" w:cs="Times New Roman"/>
        </w:rPr>
        <w:tab/>
        <w:t>)</w:t>
      </w:r>
      <w:r w:rsidRPr="00180025">
        <w:rPr>
          <w:rFonts w:eastAsia="Cambria" w:cs="Times New Roman"/>
        </w:rPr>
        <w:tab/>
        <w:t>Case No. 10-2376-EL-UNC</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Southern Power Company for Authority</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proofErr w:type="gramStart"/>
      <w:r w:rsidRPr="00180025">
        <w:rPr>
          <w:rFonts w:eastAsia="Cambria" w:cs="Times New Roman"/>
        </w:rPr>
        <w:t>to</w:t>
      </w:r>
      <w:proofErr w:type="gramEnd"/>
      <w:r w:rsidRPr="00180025">
        <w:rPr>
          <w:rFonts w:eastAsia="Cambria" w:cs="Times New Roman"/>
        </w:rPr>
        <w:t xml:space="preserve"> Merge and Related Approvals.</w:t>
      </w:r>
      <w:r w:rsidRPr="00180025">
        <w:rPr>
          <w:rFonts w:eastAsia="Cambria" w:cs="Times New Roman"/>
        </w:rPr>
        <w:tab/>
        <w:t>)</w:t>
      </w:r>
    </w:p>
    <w:p w:rsidR="00180025" w:rsidRPr="00180025" w:rsidRDefault="00180025" w:rsidP="00180025">
      <w:pPr>
        <w:tabs>
          <w:tab w:val="left" w:pos="4680"/>
        </w:tabs>
        <w:spacing w:line="240" w:lineRule="auto"/>
        <w:rPr>
          <w:rFonts w:eastAsia="Cambria" w:cs="Times New Roman"/>
        </w:rPr>
      </w:pPr>
    </w:p>
    <w:p w:rsidR="00180025" w:rsidRPr="00180025" w:rsidRDefault="00180025" w:rsidP="00180025">
      <w:pPr>
        <w:tabs>
          <w:tab w:val="left" w:pos="4680"/>
        </w:tabs>
        <w:spacing w:line="240" w:lineRule="auto"/>
        <w:rPr>
          <w:rFonts w:eastAsia="Cambria" w:cs="Times New Roman"/>
        </w:rPr>
      </w:pPr>
      <w:r w:rsidRPr="00180025">
        <w:rPr>
          <w:rFonts w:eastAsia="Cambria" w:cs="Times New Roman"/>
        </w:rPr>
        <w:t xml:space="preserve">In the Matter of the Application of </w:t>
      </w:r>
      <w:r w:rsidRPr="00180025">
        <w:rPr>
          <w:rFonts w:eastAsia="Cambria" w:cs="Times New Roman"/>
        </w:rPr>
        <w:tab/>
        <w:t>)</w:t>
      </w:r>
    </w:p>
    <w:p w:rsidR="00180025" w:rsidRPr="00180025" w:rsidRDefault="00180025" w:rsidP="00180025">
      <w:pPr>
        <w:tabs>
          <w:tab w:val="left" w:pos="4680"/>
        </w:tabs>
        <w:spacing w:line="240" w:lineRule="auto"/>
        <w:rPr>
          <w:rFonts w:eastAsia="Cambria" w:cs="Times New Roman"/>
        </w:rPr>
      </w:pPr>
      <w:r w:rsidRPr="00180025">
        <w:rPr>
          <w:rFonts w:eastAsia="Cambria" w:cs="Times New Roman"/>
        </w:rPr>
        <w:t>Columbus Southern Power Company and</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Ohio Power Company for Authority to</w:t>
      </w:r>
      <w:r w:rsidRPr="00180025">
        <w:rPr>
          <w:rFonts w:eastAsia="Cambria" w:cs="Times New Roman"/>
        </w:rPr>
        <w:tab/>
        <w:t>)</w:t>
      </w:r>
      <w:r w:rsidRPr="00180025">
        <w:rPr>
          <w:rFonts w:eastAsia="Cambria" w:cs="Times New Roman"/>
        </w:rPr>
        <w:tab/>
        <w:t>Case No. 11-346-EL-SSO</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Establish a Standard Service Offer</w:t>
      </w:r>
      <w:r w:rsidRPr="00180025">
        <w:rPr>
          <w:rFonts w:eastAsia="Cambria" w:cs="Times New Roman"/>
        </w:rPr>
        <w:tab/>
        <w:t>)</w:t>
      </w:r>
      <w:r w:rsidRPr="00180025">
        <w:rPr>
          <w:rFonts w:eastAsia="Cambria" w:cs="Times New Roman"/>
        </w:rPr>
        <w:tab/>
        <w:t>Case No. 11-348-EL-SSO</w:t>
      </w:r>
    </w:p>
    <w:p w:rsidR="00180025" w:rsidRPr="00180025" w:rsidRDefault="00180025" w:rsidP="00180025">
      <w:pPr>
        <w:tabs>
          <w:tab w:val="left" w:pos="4680"/>
        </w:tabs>
        <w:spacing w:line="240" w:lineRule="auto"/>
        <w:rPr>
          <w:rFonts w:eastAsia="Cambria" w:cs="Times New Roman"/>
        </w:rPr>
      </w:pPr>
      <w:r w:rsidRPr="00180025">
        <w:rPr>
          <w:rFonts w:eastAsia="Cambria" w:cs="Times New Roman"/>
        </w:rPr>
        <w:t>Pursuant to §4928.143, Ohio Rev. Code,</w:t>
      </w:r>
      <w:r w:rsidRPr="00180025">
        <w:rPr>
          <w:rFonts w:eastAsia="Cambria" w:cs="Times New Roman"/>
        </w:rPr>
        <w:tab/>
        <w:t>)</w:t>
      </w:r>
    </w:p>
    <w:p w:rsidR="00180025" w:rsidRPr="00180025" w:rsidRDefault="00180025" w:rsidP="00180025">
      <w:pPr>
        <w:tabs>
          <w:tab w:val="left" w:pos="4680"/>
        </w:tabs>
        <w:spacing w:line="240" w:lineRule="auto"/>
        <w:rPr>
          <w:rFonts w:eastAsia="Cambria" w:cs="Times New Roman"/>
        </w:rPr>
      </w:pPr>
      <w:proofErr w:type="gramStart"/>
      <w:r w:rsidRPr="00180025">
        <w:rPr>
          <w:rFonts w:eastAsia="Cambria" w:cs="Times New Roman"/>
        </w:rPr>
        <w:t>in</w:t>
      </w:r>
      <w:proofErr w:type="gramEnd"/>
      <w:r w:rsidRPr="00180025">
        <w:rPr>
          <w:rFonts w:eastAsia="Cambria" w:cs="Times New Roman"/>
        </w:rPr>
        <w:t xml:space="preserve"> the Form of an Electric Security Plan.</w:t>
      </w:r>
      <w:r w:rsidRPr="00180025">
        <w:rPr>
          <w:rFonts w:eastAsia="Cambria" w:cs="Times New Roman"/>
        </w:rPr>
        <w:tab/>
        <w:t>)</w:t>
      </w:r>
      <w:r w:rsidRPr="00180025">
        <w:rPr>
          <w:rFonts w:eastAsia="Cambria" w:cs="Times New Roman"/>
        </w:rPr>
        <w:tab/>
      </w:r>
    </w:p>
    <w:p w:rsidR="00180025" w:rsidRPr="00180025" w:rsidRDefault="00180025" w:rsidP="00180025">
      <w:pPr>
        <w:tabs>
          <w:tab w:val="left" w:pos="5040"/>
        </w:tabs>
        <w:spacing w:line="240" w:lineRule="auto"/>
        <w:rPr>
          <w:rFonts w:eastAsia="Cambria" w:cs="Times New Roman"/>
        </w:rPr>
      </w:pPr>
    </w:p>
    <w:p w:rsidR="00180025" w:rsidRPr="00180025" w:rsidRDefault="00180025" w:rsidP="00180025">
      <w:pPr>
        <w:tabs>
          <w:tab w:val="left" w:pos="4680"/>
        </w:tabs>
        <w:spacing w:line="240" w:lineRule="auto"/>
        <w:rPr>
          <w:rFonts w:eastAsia="Cambria" w:cs="Times New Roman"/>
        </w:rPr>
      </w:pPr>
      <w:r w:rsidRPr="00180025">
        <w:rPr>
          <w:rFonts w:eastAsia="Cambria" w:cs="Times New Roman"/>
        </w:rPr>
        <w:t>In the Matter of the Application of</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Columbus Southern Power Company and</w:t>
      </w:r>
      <w:r w:rsidRPr="00180025">
        <w:rPr>
          <w:rFonts w:eastAsia="Cambria" w:cs="Times New Roman"/>
        </w:rPr>
        <w:tab/>
        <w:t>)</w:t>
      </w:r>
      <w:r w:rsidRPr="00180025">
        <w:rPr>
          <w:rFonts w:eastAsia="Cambria" w:cs="Times New Roman"/>
        </w:rPr>
        <w:tab/>
        <w:t>Case No. 11-349-EL-AAM</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Ohio Power Company for Approval of</w:t>
      </w:r>
      <w:r w:rsidRPr="00180025">
        <w:rPr>
          <w:rFonts w:eastAsia="Cambria" w:cs="Times New Roman"/>
        </w:rPr>
        <w:tab/>
        <w:t>)</w:t>
      </w:r>
      <w:r w:rsidRPr="00180025">
        <w:rPr>
          <w:rFonts w:eastAsia="Cambria" w:cs="Times New Roman"/>
        </w:rPr>
        <w:tab/>
        <w:t>Case No. 11-350-EL-AAM</w:t>
      </w:r>
    </w:p>
    <w:p w:rsidR="00180025" w:rsidRPr="00180025" w:rsidRDefault="00180025" w:rsidP="00180025">
      <w:pPr>
        <w:tabs>
          <w:tab w:val="left" w:pos="4680"/>
        </w:tabs>
        <w:spacing w:line="240" w:lineRule="auto"/>
        <w:rPr>
          <w:rFonts w:eastAsia="Cambria" w:cs="Times New Roman"/>
        </w:rPr>
      </w:pPr>
      <w:proofErr w:type="gramStart"/>
      <w:r w:rsidRPr="00180025">
        <w:rPr>
          <w:rFonts w:eastAsia="Cambria" w:cs="Times New Roman"/>
        </w:rPr>
        <w:t>Certain Accounting Authority.</w:t>
      </w:r>
      <w:proofErr w:type="gramEnd"/>
      <w:r w:rsidRPr="00180025">
        <w:rPr>
          <w:rFonts w:eastAsia="Cambria" w:cs="Times New Roman"/>
        </w:rPr>
        <w:tab/>
        <w:t>)</w:t>
      </w:r>
    </w:p>
    <w:p w:rsidR="00180025" w:rsidRPr="00180025" w:rsidRDefault="00180025" w:rsidP="00180025">
      <w:pPr>
        <w:tabs>
          <w:tab w:val="left" w:pos="4680"/>
        </w:tabs>
        <w:spacing w:line="240" w:lineRule="auto"/>
        <w:rPr>
          <w:rFonts w:eastAsia="Cambria" w:cs="Times New Roman"/>
        </w:rPr>
      </w:pP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In the Matter of the Application of</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 xml:space="preserve">Columbus Southern Power Company to </w:t>
      </w:r>
      <w:r w:rsidRPr="00180025">
        <w:rPr>
          <w:rFonts w:eastAsia="Cambria" w:cs="Times New Roman"/>
        </w:rPr>
        <w:tab/>
        <w:t>)</w:t>
      </w:r>
      <w:r w:rsidRPr="00180025">
        <w:rPr>
          <w:rFonts w:eastAsia="Cambria" w:cs="Times New Roman"/>
        </w:rPr>
        <w:tab/>
        <w:t>Case No. 10-343-EL-ATA</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 xml:space="preserve">Amend its Emergency Curtailment </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proofErr w:type="gramStart"/>
      <w:r w:rsidRPr="00180025">
        <w:rPr>
          <w:rFonts w:eastAsia="Cambria" w:cs="Times New Roman"/>
        </w:rPr>
        <w:t>Service Riders.</w:t>
      </w:r>
      <w:proofErr w:type="gramEnd"/>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In the Matter of the Application of</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Ohio Power Company to Amend its</w:t>
      </w:r>
      <w:r w:rsidRPr="00180025">
        <w:rPr>
          <w:rFonts w:eastAsia="Cambria" w:cs="Times New Roman"/>
        </w:rPr>
        <w:tab/>
        <w:t>)</w:t>
      </w:r>
      <w:r w:rsidRPr="00180025">
        <w:rPr>
          <w:rFonts w:eastAsia="Cambria" w:cs="Times New Roman"/>
        </w:rPr>
        <w:tab/>
        <w:t>Case No. 10-344-EL-ATA</w:t>
      </w:r>
    </w:p>
    <w:p w:rsidR="00180025" w:rsidRPr="00180025" w:rsidRDefault="00180025" w:rsidP="00180025">
      <w:pPr>
        <w:tabs>
          <w:tab w:val="left" w:pos="4680"/>
          <w:tab w:val="left" w:pos="5400"/>
        </w:tabs>
        <w:spacing w:line="240" w:lineRule="auto"/>
        <w:rPr>
          <w:rFonts w:eastAsia="Cambria" w:cs="Times New Roman"/>
        </w:rPr>
      </w:pPr>
      <w:proofErr w:type="gramStart"/>
      <w:r w:rsidRPr="00180025">
        <w:rPr>
          <w:rFonts w:eastAsia="Cambria" w:cs="Times New Roman"/>
        </w:rPr>
        <w:t>Emergency Curtailment Service Riders.</w:t>
      </w:r>
      <w:proofErr w:type="gramEnd"/>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In the Matter of the Commission Review</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Of the Capacity Charges of Ohio Power</w:t>
      </w:r>
      <w:r w:rsidRPr="00180025">
        <w:rPr>
          <w:rFonts w:eastAsia="Cambria" w:cs="Times New Roman"/>
        </w:rPr>
        <w:tab/>
        <w:t>)</w:t>
      </w:r>
      <w:r w:rsidRPr="00180025">
        <w:rPr>
          <w:rFonts w:eastAsia="Cambria" w:cs="Times New Roman"/>
        </w:rPr>
        <w:tab/>
        <w:t>Case No. 10-2929-EL-UNC</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 xml:space="preserve">Company and Columbus Southern </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Power Company.</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In the Matter of the Application of</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Columbus Southern Power Company</w:t>
      </w:r>
      <w:r w:rsidRPr="00180025">
        <w:rPr>
          <w:rFonts w:eastAsia="Cambria" w:cs="Times New Roman"/>
        </w:rPr>
        <w:tab/>
        <w:t>)</w:t>
      </w:r>
      <w:r w:rsidRPr="00180025">
        <w:rPr>
          <w:rFonts w:eastAsia="Cambria" w:cs="Times New Roman"/>
        </w:rPr>
        <w:tab/>
        <w:t>Case No. 11-4920-EL-RDR</w:t>
      </w:r>
    </w:p>
    <w:p w:rsidR="00180025" w:rsidRPr="00180025" w:rsidRDefault="00180025" w:rsidP="00180025">
      <w:pPr>
        <w:tabs>
          <w:tab w:val="left" w:pos="4680"/>
          <w:tab w:val="left" w:pos="5400"/>
        </w:tabs>
        <w:spacing w:line="240" w:lineRule="auto"/>
        <w:rPr>
          <w:rFonts w:eastAsia="Cambria" w:cs="Times New Roman"/>
        </w:rPr>
      </w:pPr>
      <w:proofErr w:type="gramStart"/>
      <w:r w:rsidRPr="00180025">
        <w:rPr>
          <w:rFonts w:eastAsia="Cambria" w:cs="Times New Roman"/>
        </w:rPr>
        <w:t>for</w:t>
      </w:r>
      <w:proofErr w:type="gramEnd"/>
      <w:r w:rsidRPr="00180025">
        <w:rPr>
          <w:rFonts w:eastAsia="Cambria" w:cs="Times New Roman"/>
        </w:rPr>
        <w:t xml:space="preserve"> Approval of a Mechanism to Recover</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Deferred Fuel Costs Ordered Under</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Ohio Revised Code 4928.144.</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In the Matter of the Application of</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 xml:space="preserve">Ohio Power Company for Approval of a </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 xml:space="preserve">Mechanism to Recover Deferred Fuel </w:t>
      </w:r>
      <w:r w:rsidRPr="00180025">
        <w:rPr>
          <w:rFonts w:eastAsia="Cambria" w:cs="Times New Roman"/>
        </w:rPr>
        <w:tab/>
        <w:t>)</w:t>
      </w:r>
      <w:r w:rsidRPr="00180025">
        <w:rPr>
          <w:rFonts w:eastAsia="Cambria" w:cs="Times New Roman"/>
        </w:rPr>
        <w:tab/>
        <w:t>Case No. 11-4921-EL-RDR</w:t>
      </w:r>
    </w:p>
    <w:p w:rsidR="00180025" w:rsidRPr="00180025" w:rsidRDefault="00180025" w:rsidP="00180025">
      <w:pPr>
        <w:tabs>
          <w:tab w:val="left" w:pos="4680"/>
          <w:tab w:val="left" w:pos="5400"/>
        </w:tabs>
        <w:spacing w:line="240" w:lineRule="auto"/>
        <w:rPr>
          <w:rFonts w:eastAsia="Cambria" w:cs="Times New Roman"/>
        </w:rPr>
      </w:pPr>
      <w:r w:rsidRPr="00180025">
        <w:rPr>
          <w:rFonts w:eastAsia="Cambria" w:cs="Times New Roman"/>
        </w:rPr>
        <w:t xml:space="preserve">Costs Ordered Under Ohio Revised </w:t>
      </w:r>
      <w:r w:rsidRPr="00180025">
        <w:rPr>
          <w:rFonts w:eastAsia="Cambria" w:cs="Times New Roman"/>
        </w:rPr>
        <w:tab/>
        <w:t>)</w:t>
      </w:r>
    </w:p>
    <w:p w:rsidR="00180025" w:rsidRPr="00180025" w:rsidRDefault="00180025" w:rsidP="00180025">
      <w:pPr>
        <w:tabs>
          <w:tab w:val="left" w:pos="4680"/>
          <w:tab w:val="left" w:pos="5400"/>
        </w:tabs>
        <w:spacing w:line="240" w:lineRule="auto"/>
        <w:rPr>
          <w:rFonts w:eastAsia="Cambria" w:cs="Times New Roman"/>
        </w:rPr>
        <w:sectPr w:rsidR="00180025" w:rsidRPr="001800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roofErr w:type="gramStart"/>
      <w:r w:rsidRPr="00180025">
        <w:rPr>
          <w:rFonts w:eastAsia="Cambria" w:cs="Times New Roman"/>
        </w:rPr>
        <w:t>Code 4928.144.</w:t>
      </w:r>
      <w:proofErr w:type="gramEnd"/>
      <w:r w:rsidRPr="00180025">
        <w:rPr>
          <w:rFonts w:eastAsia="Cambria" w:cs="Times New Roman"/>
        </w:rPr>
        <w:tab/>
        <w:t>)</w:t>
      </w:r>
      <w:bookmarkEnd w:id="0"/>
      <w:bookmarkEnd w:id="1"/>
    </w:p>
    <w:p w:rsidR="00180025" w:rsidRPr="00180025" w:rsidRDefault="00180025" w:rsidP="00180025">
      <w:pPr>
        <w:keepNext/>
        <w:pBdr>
          <w:top w:val="single" w:sz="8" w:space="1" w:color="auto"/>
        </w:pBdr>
        <w:tabs>
          <w:tab w:val="left" w:pos="7320"/>
        </w:tabs>
        <w:spacing w:line="240" w:lineRule="auto"/>
        <w:jc w:val="center"/>
        <w:outlineLvl w:val="0"/>
        <w:rPr>
          <w:rFonts w:eastAsia="Calibri" w:cs="Arial"/>
          <w:b/>
          <w:szCs w:val="24"/>
        </w:rPr>
      </w:pPr>
    </w:p>
    <w:p w:rsidR="00180025" w:rsidRPr="004E4424" w:rsidRDefault="00180025" w:rsidP="00180025">
      <w:pPr>
        <w:spacing w:line="240" w:lineRule="auto"/>
        <w:ind w:firstLine="720"/>
        <w:jc w:val="center"/>
        <w:rPr>
          <w:b/>
          <w:caps/>
        </w:rPr>
      </w:pPr>
      <w:r w:rsidRPr="00180025">
        <w:rPr>
          <w:rFonts w:cs="Arial"/>
          <w:b/>
          <w:szCs w:val="24"/>
        </w:rPr>
        <w:t xml:space="preserve"> </w:t>
      </w:r>
      <w:r w:rsidRPr="004E4424">
        <w:rPr>
          <w:b/>
          <w:caps/>
        </w:rPr>
        <w:t xml:space="preserve">Response by Industrial Energy Users-Ohio to Ohio Power </w:t>
      </w:r>
      <w:r w:rsidR="00615ED9">
        <w:rPr>
          <w:b/>
          <w:caps/>
        </w:rPr>
        <w:t xml:space="preserve">COMPANY’S </w:t>
      </w:r>
      <w:r w:rsidRPr="004E4424">
        <w:rPr>
          <w:b/>
          <w:caps/>
        </w:rPr>
        <w:t>Reply to Tariff Objections</w:t>
      </w:r>
    </w:p>
    <w:p w:rsidR="00180025" w:rsidRPr="00180025" w:rsidRDefault="00180025" w:rsidP="00180025">
      <w:pPr>
        <w:pBdr>
          <w:bottom w:val="single" w:sz="8" w:space="1" w:color="auto"/>
        </w:pBdr>
        <w:spacing w:line="240" w:lineRule="auto"/>
        <w:jc w:val="center"/>
        <w:rPr>
          <w:rFonts w:eastAsia="Cambria" w:cs="Times New Roman"/>
          <w:b/>
          <w:sz w:val="20"/>
          <w:szCs w:val="24"/>
        </w:rPr>
      </w:pPr>
    </w:p>
    <w:p w:rsidR="00180025" w:rsidRPr="00180025" w:rsidRDefault="00180025" w:rsidP="00180025">
      <w:pPr>
        <w:spacing w:line="240" w:lineRule="auto"/>
        <w:jc w:val="left"/>
        <w:rPr>
          <w:rFonts w:eastAsia="Cambria" w:cs="Times New Roman"/>
          <w:szCs w:val="24"/>
        </w:rPr>
      </w:pPr>
    </w:p>
    <w:p w:rsidR="00714C8F" w:rsidRPr="000E2B26" w:rsidRDefault="003C5B3D" w:rsidP="00AF717C">
      <w:pPr>
        <w:pStyle w:val="ListParagraph"/>
        <w:numPr>
          <w:ilvl w:val="0"/>
          <w:numId w:val="3"/>
        </w:numPr>
        <w:ind w:left="720" w:hanging="540"/>
        <w:rPr>
          <w:b/>
        </w:rPr>
      </w:pPr>
      <w:r w:rsidRPr="000E2B26">
        <w:rPr>
          <w:b/>
        </w:rPr>
        <w:t>INTRODUCTION</w:t>
      </w:r>
    </w:p>
    <w:p w:rsidR="004D22A0" w:rsidRDefault="00AD5F73" w:rsidP="00E503BB">
      <w:pPr>
        <w:ind w:firstLine="720"/>
      </w:pPr>
      <w:r>
        <w:t xml:space="preserve">On February 28, 2012, Ohio Power Company </w:t>
      </w:r>
      <w:r w:rsidR="004D22A0">
        <w:t xml:space="preserve">(“OP”) </w:t>
      </w:r>
      <w:r>
        <w:t xml:space="preserve">filed compliance tariffs in response to the </w:t>
      </w:r>
      <w:r w:rsidR="0008592E">
        <w:t xml:space="preserve">February 23, 2012 </w:t>
      </w:r>
      <w:r>
        <w:t xml:space="preserve">Entry on Rehearing </w:t>
      </w:r>
      <w:r w:rsidR="004D22A0">
        <w:t>of the Public Utilities Commission of Ohio (“Commission”) that rejected</w:t>
      </w:r>
      <w:r>
        <w:t xml:space="preserve"> a Stipulation and Recommendation (“Stipulation”) and </w:t>
      </w:r>
      <w:r w:rsidR="004D22A0">
        <w:t>ordered</w:t>
      </w:r>
      <w:r>
        <w:t xml:space="preserve"> OP to reinstate the terms and conditions of the prior electric security plan </w:t>
      </w:r>
      <w:r w:rsidR="00615ED9">
        <w:t xml:space="preserve">(“ESP”) </w:t>
      </w:r>
      <w:r>
        <w:t xml:space="preserve">and capacity charges.  </w:t>
      </w:r>
      <w:r w:rsidR="004D22A0">
        <w:t>In response to the compliance filing, Industrial Energy User</w:t>
      </w:r>
      <w:r w:rsidR="001153C3">
        <w:t>s</w:t>
      </w:r>
      <w:r w:rsidR="004D22A0">
        <w:t xml:space="preserve">-Ohio </w:t>
      </w:r>
      <w:r w:rsidR="00615ED9">
        <w:t xml:space="preserve">(“IEU-Ohio”) </w:t>
      </w:r>
      <w:r w:rsidR="004D22A0">
        <w:t xml:space="preserve">and others filed objections because OP attempted to introduce rates and terms that are inconsistent with the Commission’s orders.  </w:t>
      </w:r>
    </w:p>
    <w:p w:rsidR="00FD03BA" w:rsidRDefault="00E503BB" w:rsidP="00E503BB">
      <w:pPr>
        <w:ind w:firstLine="720"/>
      </w:pPr>
      <w:r>
        <w:t xml:space="preserve">In </w:t>
      </w:r>
      <w:r w:rsidR="004D22A0">
        <w:t>its</w:t>
      </w:r>
      <w:r w:rsidR="00ED5144">
        <w:t xml:space="preserve"> reply </w:t>
      </w:r>
      <w:r w:rsidR="00417D9A">
        <w:t>to the</w:t>
      </w:r>
      <w:r>
        <w:t xml:space="preserve"> objections</w:t>
      </w:r>
      <w:r w:rsidR="00ED5144">
        <w:t xml:space="preserve">, </w:t>
      </w:r>
      <w:r>
        <w:t xml:space="preserve">OP </w:t>
      </w:r>
      <w:r w:rsidR="00ED5144">
        <w:t>makes</w:t>
      </w:r>
      <w:r>
        <w:t xml:space="preserve"> several factual and legal claims that are incorrect.</w:t>
      </w:r>
      <w:r w:rsidR="00ED5144">
        <w:rPr>
          <w:rStyle w:val="FootnoteReference"/>
        </w:rPr>
        <w:footnoteReference w:id="1"/>
      </w:r>
      <w:r>
        <w:t xml:space="preserve">  These incorrect claims seek to portray OP’</w:t>
      </w:r>
      <w:r w:rsidR="004D22A0">
        <w:t>s compliance t</w:t>
      </w:r>
      <w:r>
        <w:t>ariff</w:t>
      </w:r>
      <w:r w:rsidR="00E67E07">
        <w:t xml:space="preserve"> filing</w:t>
      </w:r>
      <w:r>
        <w:t xml:space="preserve"> as if OP had not materially violated the letter and spirit of </w:t>
      </w:r>
      <w:r w:rsidR="004D22A0">
        <w:t xml:space="preserve">the orders contained in </w:t>
      </w:r>
      <w:r>
        <w:t xml:space="preserve">the Entry on Rehearing.  </w:t>
      </w:r>
      <w:r w:rsidR="004D22A0">
        <w:t xml:space="preserve">Because OP’s claims should not be accepted </w:t>
      </w:r>
      <w:r w:rsidR="0023766A">
        <w:t>or delay the effect of the Commission’s decision to reject the Stipulation</w:t>
      </w:r>
      <w:r>
        <w:t xml:space="preserve">, IEU-Ohio again urges the Commission to direct OP </w:t>
      </w:r>
      <w:r w:rsidR="00E67E07">
        <w:t>to bill</w:t>
      </w:r>
      <w:r>
        <w:t xml:space="preserve"> customers for rates in effect under the prior ESP </w:t>
      </w:r>
      <w:r w:rsidR="00E67E07">
        <w:t xml:space="preserve">(with the adjustments for fuel required by Section 4928.143, Revised Code) </w:t>
      </w:r>
      <w:r>
        <w:t>and to reject OP’s unlawful and unreasonable efforts to maintain the two-tiered capacity pricing scheme (“Pricing Scheme”).</w:t>
      </w:r>
      <w:r w:rsidR="00FD03BA">
        <w:br w:type="page"/>
      </w:r>
    </w:p>
    <w:p w:rsidR="00A27117" w:rsidRDefault="00A27117" w:rsidP="00E503BB">
      <w:pPr>
        <w:ind w:firstLine="720"/>
      </w:pPr>
    </w:p>
    <w:p w:rsidR="00E67E07" w:rsidRPr="00FD03BA" w:rsidRDefault="003C5B3D" w:rsidP="00AF717C">
      <w:pPr>
        <w:pStyle w:val="ListParagraph"/>
        <w:numPr>
          <w:ilvl w:val="0"/>
          <w:numId w:val="3"/>
        </w:numPr>
        <w:ind w:left="720" w:hanging="540"/>
        <w:rPr>
          <w:b/>
        </w:rPr>
      </w:pPr>
      <w:r w:rsidRPr="00FD03BA">
        <w:rPr>
          <w:b/>
        </w:rPr>
        <w:t>ARGUMENTS</w:t>
      </w:r>
    </w:p>
    <w:p w:rsidR="00E503BB" w:rsidRPr="003C5B3D" w:rsidRDefault="00E503BB" w:rsidP="00AF717C">
      <w:pPr>
        <w:pStyle w:val="NoSpacing"/>
        <w:numPr>
          <w:ilvl w:val="0"/>
          <w:numId w:val="4"/>
        </w:numPr>
        <w:ind w:left="1440" w:right="720" w:hanging="720"/>
        <w:rPr>
          <w:b/>
        </w:rPr>
      </w:pPr>
      <w:r w:rsidRPr="003C5B3D">
        <w:rPr>
          <w:b/>
        </w:rPr>
        <w:t xml:space="preserve">The </w:t>
      </w:r>
      <w:r w:rsidR="009A6E88" w:rsidRPr="003C5B3D">
        <w:rPr>
          <w:b/>
        </w:rPr>
        <w:t>Merged</w:t>
      </w:r>
      <w:r w:rsidRPr="003C5B3D">
        <w:rPr>
          <w:b/>
        </w:rPr>
        <w:t xml:space="preserve"> Fuel Adjustment Clause </w:t>
      </w:r>
      <w:r w:rsidR="009A6E88" w:rsidRPr="003C5B3D">
        <w:rPr>
          <w:b/>
        </w:rPr>
        <w:t xml:space="preserve">(“FAC”) </w:t>
      </w:r>
      <w:r w:rsidRPr="003C5B3D">
        <w:rPr>
          <w:b/>
        </w:rPr>
        <w:t xml:space="preserve">and Transmission Cost Recovery Rider </w:t>
      </w:r>
      <w:r w:rsidR="009A6E88" w:rsidRPr="003C5B3D">
        <w:rPr>
          <w:b/>
        </w:rPr>
        <w:t xml:space="preserve">(“TCRR”) </w:t>
      </w:r>
      <w:r w:rsidRPr="003C5B3D">
        <w:rPr>
          <w:b/>
        </w:rPr>
        <w:t>Violate the Terms of the Commission’s Entry on Rehearing</w:t>
      </w:r>
    </w:p>
    <w:p w:rsidR="00ED5144" w:rsidRPr="00ED5144" w:rsidRDefault="00ED5144" w:rsidP="00ED5144">
      <w:pPr>
        <w:spacing w:line="240" w:lineRule="auto"/>
        <w:rPr>
          <w:b/>
        </w:rPr>
      </w:pPr>
    </w:p>
    <w:p w:rsidR="00D20FE5" w:rsidRDefault="00E503BB" w:rsidP="00E503BB">
      <w:r>
        <w:tab/>
        <w:t xml:space="preserve">OP argues that it is permitted by the Entry on Rehearing to </w:t>
      </w:r>
      <w:r w:rsidR="0023766A">
        <w:t>maintain</w:t>
      </w:r>
      <w:r>
        <w:t xml:space="preserve"> a </w:t>
      </w:r>
      <w:r w:rsidR="009A6E88">
        <w:t>merged</w:t>
      </w:r>
      <w:r>
        <w:t xml:space="preserve"> </w:t>
      </w:r>
      <w:r w:rsidR="00615ED9">
        <w:t>FAC</w:t>
      </w:r>
      <w:r>
        <w:t xml:space="preserve"> and </w:t>
      </w:r>
      <w:r w:rsidR="00615ED9">
        <w:t>TCRR</w:t>
      </w:r>
      <w:r>
        <w:t xml:space="preserve">.  It supports this argument by incorrectly asserting that the FAC was approved prior to the Commission’s adoption of the Stipulation and therefore was unaffected by the Commission’s Entry on </w:t>
      </w:r>
      <w:r w:rsidR="004D22A0">
        <w:t>Rehearing</w:t>
      </w:r>
      <w:r>
        <w:rPr>
          <w:rStyle w:val="FootnoteReference"/>
        </w:rPr>
        <w:footnoteReference w:id="2"/>
      </w:r>
      <w:r w:rsidR="00230FBA">
        <w:t xml:space="preserve"> </w:t>
      </w:r>
      <w:r w:rsidR="004D22A0">
        <w:t xml:space="preserve">and </w:t>
      </w:r>
      <w:r w:rsidR="00230FBA">
        <w:t>that the completion of the merger makes it “impractical”</w:t>
      </w:r>
      <w:r w:rsidR="00E67E07">
        <w:rPr>
          <w:rStyle w:val="FootnoteReference"/>
        </w:rPr>
        <w:footnoteReference w:id="3"/>
      </w:r>
      <w:r w:rsidR="00230FBA">
        <w:t xml:space="preserve"> to submit FAC and TCRR rates by zone.  </w:t>
      </w:r>
      <w:r w:rsidR="004D22A0">
        <w:t xml:space="preserve">Neither assertion has merit.  </w:t>
      </w:r>
    </w:p>
    <w:p w:rsidR="008C7075" w:rsidRDefault="004D22A0" w:rsidP="00D20FE5">
      <w:pPr>
        <w:ind w:firstLine="720"/>
      </w:pPr>
      <w:r>
        <w:t>The claims regarding the FAC ap</w:t>
      </w:r>
      <w:r w:rsidR="0023766A">
        <w:t xml:space="preserve">proval are factually wrong, </w:t>
      </w:r>
      <w:r>
        <w:t>ignore the terms on which the Commission approved the merged FAC rates</w:t>
      </w:r>
      <w:r w:rsidR="0023766A">
        <w:t>, and are inconsistent with the Commission’s Entry on Rehearing and the requirements of Section 4928.143, Revised Code</w:t>
      </w:r>
      <w:r>
        <w:t>.  The</w:t>
      </w:r>
      <w:r w:rsidR="00230FBA">
        <w:t xml:space="preserve"> merged FAC was approved on December 14, 2011, no</w:t>
      </w:r>
      <w:r w:rsidR="00D20FE5">
        <w:t xml:space="preserve">t December 1, 2011 as OP claims.  </w:t>
      </w:r>
      <w:r>
        <w:t>Further,</w:t>
      </w:r>
      <w:r w:rsidR="00D20FE5">
        <w:t xml:space="preserve"> </w:t>
      </w:r>
      <w:r w:rsidR="00230FBA">
        <w:t xml:space="preserve">the Finding and Order approving the </w:t>
      </w:r>
      <w:r>
        <w:t>merged FAC</w:t>
      </w:r>
      <w:r w:rsidR="00230FBA">
        <w:t xml:space="preserve"> rate was predicated on the Commission’s dec</w:t>
      </w:r>
      <w:r>
        <w:t>ision approving the Stipulation,</w:t>
      </w:r>
      <w:r w:rsidR="00230FBA">
        <w:rPr>
          <w:rStyle w:val="FootnoteReference"/>
        </w:rPr>
        <w:footnoteReference w:id="4"/>
      </w:r>
      <w:r w:rsidR="00230FBA">
        <w:t xml:space="preserve"> also issued on December 14, 2011.</w:t>
      </w:r>
      <w:r w:rsidR="00230FBA">
        <w:rPr>
          <w:rStyle w:val="FootnoteReference"/>
        </w:rPr>
        <w:footnoteReference w:id="5"/>
      </w:r>
      <w:r w:rsidR="008C7075">
        <w:t xml:space="preserve">  In its Entry on Rehearing, </w:t>
      </w:r>
      <w:r w:rsidR="00D20FE5">
        <w:t>moreover</w:t>
      </w:r>
      <w:r w:rsidR="008C7075">
        <w:t xml:space="preserve">, the Commission rejected the Stipulation and ordered </w:t>
      </w:r>
      <w:r w:rsidR="001153C3">
        <w:t>OP</w:t>
      </w:r>
      <w:r w:rsidR="008C7075">
        <w:t xml:space="preserve"> to file tariffs “to continue the provi</w:t>
      </w:r>
      <w:r w:rsidR="009A6E88">
        <w:t xml:space="preserve">sions, terms, and </w:t>
      </w:r>
      <w:r w:rsidR="009A6E88">
        <w:lastRenderedPageBreak/>
        <w:t xml:space="preserve">conditions of </w:t>
      </w:r>
      <w:r w:rsidR="008C7075">
        <w:t xml:space="preserve">its previous </w:t>
      </w:r>
      <w:r w:rsidR="00FD03BA">
        <w:t>electric security plan</w:t>
      </w:r>
      <w:r w:rsidR="008C7075">
        <w:t>, including but not limited to the base generation rates as approved in ESP I, along with the current uncapped fuel costs and the environmental carry [</w:t>
      </w:r>
      <w:r w:rsidR="008C7075" w:rsidRPr="008C7075">
        <w:rPr>
          <w:i/>
        </w:rPr>
        <w:t>sic</w:t>
      </w:r>
      <w:r w:rsidR="008C7075">
        <w:t>] cost rider set at the 2011 level.”</w:t>
      </w:r>
      <w:r w:rsidR="008C7075">
        <w:rPr>
          <w:rStyle w:val="FootnoteReference"/>
        </w:rPr>
        <w:footnoteReference w:id="6"/>
      </w:r>
      <w:r w:rsidR="008C7075">
        <w:t xml:space="preserve">  Notably, the Commission made no provision for </w:t>
      </w:r>
      <w:r>
        <w:t xml:space="preserve">the </w:t>
      </w:r>
      <w:r w:rsidR="009A6E88">
        <w:t>FAC or any other rate</w:t>
      </w:r>
      <w:r w:rsidR="008C7075">
        <w:t xml:space="preserve"> to be filed on </w:t>
      </w:r>
      <w:r w:rsidR="001153C3">
        <w:t xml:space="preserve">a </w:t>
      </w:r>
      <w:r w:rsidR="009A6E88">
        <w:t>merged</w:t>
      </w:r>
      <w:r w:rsidR="008C7075">
        <w:t xml:space="preserve"> basis.  Instead, </w:t>
      </w:r>
      <w:r w:rsidR="009A6E88">
        <w:t>the Commission</w:t>
      </w:r>
      <w:r w:rsidR="008C7075">
        <w:t xml:space="preserve"> </w:t>
      </w:r>
      <w:r w:rsidR="00AA45E8">
        <w:t xml:space="preserve">ordered </w:t>
      </w:r>
      <w:r w:rsidR="008C7075">
        <w:t xml:space="preserve">that OP file tariffs to return rates to the prior levels </w:t>
      </w:r>
      <w:r w:rsidR="00FD03BA">
        <w:t>with current uncapped fuel costs</w:t>
      </w:r>
      <w:r w:rsidR="001153C3">
        <w:t>.</w:t>
      </w:r>
      <w:r w:rsidR="00D20FE5">
        <w:t xml:space="preserve"> </w:t>
      </w:r>
      <w:r w:rsidR="001153C3">
        <w:t xml:space="preserve"> </w:t>
      </w:r>
      <w:r w:rsidR="00E67E07">
        <w:t xml:space="preserve">The </w:t>
      </w:r>
      <w:r w:rsidR="0078242C">
        <w:t>return to the prior ESP rates that</w:t>
      </w:r>
      <w:r w:rsidR="00E67E07">
        <w:t xml:space="preserve"> </w:t>
      </w:r>
      <w:r w:rsidR="0078242C">
        <w:t xml:space="preserve">the Commission ordered is required by the terms of Section 4928.143, Revised Code.  </w:t>
      </w:r>
      <w:r>
        <w:t>Thus, there is no factual or legal basis to assert that the FAC</w:t>
      </w:r>
      <w:r w:rsidR="00AC1CC3">
        <w:t xml:space="preserve"> should be continued on a merged basis.</w:t>
      </w:r>
    </w:p>
    <w:p w:rsidR="00AC1CC3" w:rsidRDefault="008C7075" w:rsidP="00E503BB">
      <w:r>
        <w:tab/>
        <w:t>The assertion that it is “impractical” to file either the FAC or the TCRR on a C</w:t>
      </w:r>
      <w:r w:rsidR="00AE559E">
        <w:t xml:space="preserve">olumbus </w:t>
      </w:r>
      <w:r>
        <w:t>S</w:t>
      </w:r>
      <w:r w:rsidR="00AE559E">
        <w:t xml:space="preserve">outhern </w:t>
      </w:r>
      <w:r>
        <w:t>P</w:t>
      </w:r>
      <w:r w:rsidR="00AE559E">
        <w:t>ower Company (“CSP”)</w:t>
      </w:r>
      <w:r>
        <w:t xml:space="preserve"> and OP </w:t>
      </w:r>
      <w:r w:rsidR="009A6E88">
        <w:t>zone-</w:t>
      </w:r>
      <w:r>
        <w:t xml:space="preserve">specific basis is also incorrect.  OP had no difficulty in </w:t>
      </w:r>
      <w:r w:rsidR="00AC1CC3">
        <w:t>instituting</w:t>
      </w:r>
      <w:r w:rsidR="00AE559E">
        <w:t xml:space="preserve"> </w:t>
      </w:r>
      <w:r w:rsidR="0008592E">
        <w:t xml:space="preserve">a </w:t>
      </w:r>
      <w:r w:rsidR="00AE559E">
        <w:t>zone-</w:t>
      </w:r>
      <w:r>
        <w:t xml:space="preserve">specific </w:t>
      </w:r>
      <w:r w:rsidR="00761764">
        <w:t xml:space="preserve">basis for other </w:t>
      </w:r>
      <w:r w:rsidR="00EB73CD">
        <w:t>provisio</w:t>
      </w:r>
      <w:r w:rsidR="00AC1CC3">
        <w:t>n</w:t>
      </w:r>
      <w:r w:rsidR="00EB73CD">
        <w:t>s</w:t>
      </w:r>
      <w:r w:rsidR="00AC1CC3">
        <w:t xml:space="preserve"> of the prior ESP</w:t>
      </w:r>
      <w:r w:rsidR="00761764">
        <w:t>.</w:t>
      </w:r>
      <w:r w:rsidR="00AE559E">
        <w:t xml:space="preserve"> </w:t>
      </w:r>
      <w:r w:rsidR="00AC1CC3">
        <w:t xml:space="preserve"> There is no reason to believe that it cannot establish similar zone-specific rates for the FAC and the TCRR.</w:t>
      </w:r>
    </w:p>
    <w:p w:rsidR="00761764" w:rsidRDefault="00761764" w:rsidP="00AC1CC3">
      <w:pPr>
        <w:ind w:firstLine="720"/>
      </w:pPr>
      <w:r>
        <w:t>Additionally</w:t>
      </w:r>
      <w:r w:rsidR="009A6E88">
        <w:t xml:space="preserve">, the “impracticality” of complying with the Commission’s order provides no legal basis for assigning revenue responsibilities </w:t>
      </w:r>
      <w:r>
        <w:t>without reference to the customers who are responsible for those costs</w:t>
      </w:r>
      <w:r w:rsidR="009A6E88">
        <w:t xml:space="preserve">.  The Commission’s recent experience with OP’s attempt to reassign rate responsibilities without some rational and understandable basis </w:t>
      </w:r>
      <w:r w:rsidR="00E67E07">
        <w:t>has produced</w:t>
      </w:r>
      <w:r w:rsidR="009A6E88">
        <w:t xml:space="preserve"> the fine state of affairs in which it</w:t>
      </w:r>
      <w:r w:rsidR="00AC1CC3">
        <w:t>, OP’s customers,</w:t>
      </w:r>
      <w:r w:rsidR="009A6E88">
        <w:t xml:space="preserve"> </w:t>
      </w:r>
      <w:r>
        <w:t xml:space="preserve">and the </w:t>
      </w:r>
      <w:r w:rsidR="00AC1CC3">
        <w:t>Commission</w:t>
      </w:r>
      <w:r>
        <w:t xml:space="preserve"> find themselves</w:t>
      </w:r>
      <w:r w:rsidR="009A6E88">
        <w:t xml:space="preserve">.  </w:t>
      </w:r>
    </w:p>
    <w:p w:rsidR="008C7075" w:rsidRDefault="00761764" w:rsidP="00AC1CC3">
      <w:pPr>
        <w:ind w:firstLine="720"/>
      </w:pPr>
      <w:r>
        <w:t>Finally, OP asserts that the merger provides some basis for these illegal tariff filings.</w:t>
      </w:r>
      <w:r>
        <w:rPr>
          <w:rStyle w:val="FootnoteReference"/>
        </w:rPr>
        <w:footnoteReference w:id="7"/>
      </w:r>
      <w:r w:rsidR="00AE559E">
        <w:t xml:space="preserve">  </w:t>
      </w:r>
      <w:r w:rsidR="00AC1CC3">
        <w:t xml:space="preserve">If it provided some legal basis for ignoring a Commission order, that basis is </w:t>
      </w:r>
      <w:r w:rsidR="00AC1CC3">
        <w:lastRenderedPageBreak/>
        <w:t xml:space="preserve">now gone.  </w:t>
      </w:r>
      <w:r>
        <w:t>The OP-CSP merger authority was part of the Stipulation which has been rejected</w:t>
      </w:r>
      <w:r w:rsidR="00AE559E">
        <w:t>.</w:t>
      </w:r>
      <w:r w:rsidR="00AE559E">
        <w:rPr>
          <w:rStyle w:val="FootnoteReference"/>
        </w:rPr>
        <w:footnoteReference w:id="8"/>
      </w:r>
      <w:r w:rsidR="00AC1CC3">
        <w:t xml:space="preserve">  </w:t>
      </w:r>
      <w:r w:rsidR="00E67E07">
        <w:t xml:space="preserve">Beyond the lack of authority supporting the merged rates, however, </w:t>
      </w:r>
      <w:r w:rsidR="00AC1CC3">
        <w:t xml:space="preserve">OP ignores a more fundamental problem: regardless of whether the merger can or should be unwound at this point, it does not provide a </w:t>
      </w:r>
      <w:r>
        <w:t xml:space="preserve">legal basis </w:t>
      </w:r>
      <w:r w:rsidR="00AC1CC3">
        <w:t xml:space="preserve">for ignoring the Commission’s order to unwind the rates as required by Section 4928.143(C), Revised Code.  </w:t>
      </w:r>
    </w:p>
    <w:p w:rsidR="00761764" w:rsidRDefault="00761764" w:rsidP="00AF717C">
      <w:pPr>
        <w:spacing w:line="240" w:lineRule="auto"/>
      </w:pPr>
    </w:p>
    <w:p w:rsidR="00100F7F" w:rsidRPr="00AF717C" w:rsidRDefault="00100F7F" w:rsidP="00AF717C">
      <w:pPr>
        <w:pStyle w:val="NoSpacing"/>
        <w:numPr>
          <w:ilvl w:val="0"/>
          <w:numId w:val="4"/>
        </w:numPr>
        <w:ind w:left="1440" w:right="720" w:hanging="720"/>
        <w:rPr>
          <w:b/>
          <w:i/>
        </w:rPr>
      </w:pPr>
      <w:r w:rsidRPr="003C5B3D">
        <w:rPr>
          <w:b/>
        </w:rPr>
        <w:t xml:space="preserve">OP Incorrectly States that the Commission Authorized the </w:t>
      </w:r>
      <w:r w:rsidR="00AC1CC3" w:rsidRPr="003C5B3D">
        <w:rPr>
          <w:b/>
        </w:rPr>
        <w:t>Phase-in Recovery Rider (“</w:t>
      </w:r>
      <w:r w:rsidRPr="003C5B3D">
        <w:rPr>
          <w:b/>
        </w:rPr>
        <w:t>PIRR</w:t>
      </w:r>
      <w:r w:rsidR="00AC1CC3" w:rsidRPr="003C5B3D">
        <w:rPr>
          <w:b/>
        </w:rPr>
        <w:t>”)</w:t>
      </w:r>
      <w:r w:rsidRPr="003C5B3D">
        <w:rPr>
          <w:b/>
        </w:rPr>
        <w:t xml:space="preserve"> in </w:t>
      </w:r>
      <w:r w:rsidRPr="003C5B3D">
        <w:rPr>
          <w:b/>
          <w:i/>
        </w:rPr>
        <w:t>ESP I</w:t>
      </w:r>
    </w:p>
    <w:p w:rsidR="0008592E" w:rsidRPr="00AF717C" w:rsidRDefault="0008592E" w:rsidP="00AF717C">
      <w:pPr>
        <w:spacing w:line="240" w:lineRule="auto"/>
      </w:pPr>
    </w:p>
    <w:p w:rsidR="00100F7F" w:rsidRDefault="00100F7F" w:rsidP="004269F1">
      <w:r>
        <w:tab/>
        <w:t>OP’s assertion that the Commission authorized the PIRR in its Opinion and Order in</w:t>
      </w:r>
      <w:r>
        <w:rPr>
          <w:i/>
        </w:rPr>
        <w:t xml:space="preserve"> ESP I</w:t>
      </w:r>
      <w:r>
        <w:t xml:space="preserve"> </w:t>
      </w:r>
      <w:r w:rsidR="0078242C">
        <w:t xml:space="preserve">also </w:t>
      </w:r>
      <w:proofErr w:type="gramStart"/>
      <w:r>
        <w:t>is</w:t>
      </w:r>
      <w:proofErr w:type="gramEnd"/>
      <w:r>
        <w:t xml:space="preserve"> </w:t>
      </w:r>
      <w:r w:rsidR="0078242C">
        <w:t>incorrect</w:t>
      </w:r>
      <w:r>
        <w:t xml:space="preserve">.  </w:t>
      </w:r>
      <w:r w:rsidR="004269F1">
        <w:t>As all of the parties</w:t>
      </w:r>
      <w:r w:rsidR="0078242C">
        <w:t xml:space="preserve"> that have filed objections to OP’s inclusion of the PIRR in its compliance tariffs</w:t>
      </w:r>
      <w:r w:rsidR="004269F1">
        <w:t xml:space="preserve"> have noted and as demonstrated by the Stipulation itself, OP </w:t>
      </w:r>
      <w:r w:rsidR="001153C3">
        <w:t xml:space="preserve">recognized it lacked the requisite authority and </w:t>
      </w:r>
      <w:r w:rsidR="004269F1">
        <w:t xml:space="preserve">sought </w:t>
      </w:r>
      <w:r w:rsidR="0078242C">
        <w:t xml:space="preserve">the </w:t>
      </w:r>
      <w:r w:rsidR="00B054AE">
        <w:t>authorization</w:t>
      </w:r>
      <w:r w:rsidR="004269F1">
        <w:t xml:space="preserve"> </w:t>
      </w:r>
      <w:r w:rsidR="00B054AE">
        <w:t>it needed</w:t>
      </w:r>
      <w:r w:rsidR="004269F1">
        <w:t xml:space="preserve"> to recover the outstanding deferrals.</w:t>
      </w:r>
      <w:r w:rsidR="0048101F" w:rsidRPr="0048101F">
        <w:rPr>
          <w:vertAlign w:val="superscript"/>
        </w:rPr>
        <w:footnoteReference w:id="9"/>
      </w:r>
      <w:r w:rsidR="004269F1">
        <w:t xml:space="preserve">  OP’s assertion that the </w:t>
      </w:r>
      <w:r w:rsidR="004269F1" w:rsidRPr="00B054AE">
        <w:rPr>
          <w:i/>
        </w:rPr>
        <w:t>ESP I</w:t>
      </w:r>
      <w:r w:rsidR="004269F1">
        <w:t xml:space="preserve"> Opinion and Order provided it authorization for establishing the PIRR is simply wrong. </w:t>
      </w:r>
    </w:p>
    <w:p w:rsidR="00100F7F" w:rsidRDefault="004269F1" w:rsidP="004269F1">
      <w:pPr>
        <w:autoSpaceDE w:val="0"/>
        <w:autoSpaceDN w:val="0"/>
        <w:adjustRightInd w:val="0"/>
        <w:ind w:firstLine="720"/>
      </w:pPr>
      <w:r>
        <w:t>The assertion is also not credible in light of the statem</w:t>
      </w:r>
      <w:r w:rsidR="00B054AE">
        <w:t>ents OP made in the Application</w:t>
      </w:r>
      <w:r>
        <w:t xml:space="preserve"> it filed to establish the PIRR.  </w:t>
      </w:r>
      <w:r w:rsidR="00B054AE">
        <w:t>In the Application</w:t>
      </w:r>
      <w:r>
        <w:t>,</w:t>
      </w:r>
      <w:r w:rsidR="00100F7F">
        <w:t xml:space="preserve"> OP </w:t>
      </w:r>
      <w:r w:rsidR="0078242C">
        <w:t xml:space="preserve">explained that </w:t>
      </w:r>
      <w:r w:rsidR="00100F7F">
        <w:t>it was “submit[</w:t>
      </w:r>
      <w:r w:rsidR="0008592E">
        <w:t>t</w:t>
      </w:r>
      <w:r w:rsidR="00100F7F">
        <w:t xml:space="preserve">ing] this application to seek approval of a mechanism to recover the fuel costs ordered to be deferred for later collection by the Commission as part of the phase-in of rate changes ordered by the Commission” in </w:t>
      </w:r>
      <w:r w:rsidR="00100F7F">
        <w:rPr>
          <w:i/>
        </w:rPr>
        <w:t>ESP I</w:t>
      </w:r>
      <w:r w:rsidR="00100F7F">
        <w:t>.</w:t>
      </w:r>
      <w:r w:rsidR="00100F7F">
        <w:rPr>
          <w:rStyle w:val="FootnoteReference"/>
        </w:rPr>
        <w:footnoteReference w:id="10"/>
      </w:r>
      <w:r w:rsidR="00B054AE">
        <w:t xml:space="preserve">  Further, the Application</w:t>
      </w:r>
      <w:r w:rsidR="00100F7F">
        <w:t xml:space="preserve"> state</w:t>
      </w:r>
      <w:r w:rsidR="00B054AE">
        <w:t>d</w:t>
      </w:r>
      <w:r w:rsidR="00100F7F">
        <w:t xml:space="preserve">: </w:t>
      </w:r>
    </w:p>
    <w:p w:rsidR="00100F7F" w:rsidRDefault="00100F7F" w:rsidP="004269F1">
      <w:pPr>
        <w:autoSpaceDE w:val="0"/>
        <w:autoSpaceDN w:val="0"/>
        <w:adjustRightInd w:val="0"/>
        <w:spacing w:line="240" w:lineRule="auto"/>
        <w:ind w:left="720" w:right="720"/>
        <w:rPr>
          <w:szCs w:val="24"/>
        </w:rPr>
      </w:pPr>
      <w:r>
        <w:rPr>
          <w:szCs w:val="24"/>
        </w:rPr>
        <w:lastRenderedPageBreak/>
        <w:t xml:space="preserve">Based on the reasons stated above, the Companies </w:t>
      </w:r>
      <w:r w:rsidRPr="00B054AE">
        <w:rPr>
          <w:szCs w:val="24"/>
        </w:rPr>
        <w:t>request the creation</w:t>
      </w:r>
      <w:r>
        <w:rPr>
          <w:szCs w:val="24"/>
        </w:rPr>
        <w:t xml:space="preserve"> of a recovery mechanism to ensure recovery of the their accumulated deferred fuel costs, including carrying costs, that were the direct result of the Commission's phase-in decision in the </w:t>
      </w:r>
      <w:r w:rsidRPr="00AF717C">
        <w:rPr>
          <w:i/>
          <w:szCs w:val="24"/>
        </w:rPr>
        <w:t>Initial ESP cases</w:t>
      </w:r>
      <w:r>
        <w:rPr>
          <w:szCs w:val="24"/>
        </w:rPr>
        <w:t>. The Companies submit as Exhibit A their nonbypassable Phase-In Recovery Rider (PIRR) to be effective with the first billing cycle of January 2012.</w:t>
      </w:r>
      <w:r>
        <w:rPr>
          <w:rStyle w:val="FootnoteReference"/>
          <w:szCs w:val="24"/>
        </w:rPr>
        <w:footnoteReference w:id="11"/>
      </w:r>
      <w:r>
        <w:rPr>
          <w:szCs w:val="24"/>
        </w:rPr>
        <w:t xml:space="preserve">  </w:t>
      </w:r>
    </w:p>
    <w:p w:rsidR="00100F7F" w:rsidRDefault="00100F7F">
      <w:pPr>
        <w:autoSpaceDE w:val="0"/>
        <w:autoSpaceDN w:val="0"/>
        <w:adjustRightInd w:val="0"/>
        <w:ind w:left="720" w:right="720"/>
        <w:rPr>
          <w:szCs w:val="24"/>
        </w:rPr>
      </w:pPr>
    </w:p>
    <w:p w:rsidR="00100F7F" w:rsidRDefault="00100F7F">
      <w:pPr>
        <w:autoSpaceDE w:val="0"/>
        <w:autoSpaceDN w:val="0"/>
        <w:adjustRightInd w:val="0"/>
        <w:rPr>
          <w:szCs w:val="24"/>
        </w:rPr>
      </w:pPr>
      <w:r>
        <w:rPr>
          <w:szCs w:val="24"/>
        </w:rPr>
        <w:t xml:space="preserve">Obviously, OP was aware (at least as recently as September 1, 2011 when it filed </w:t>
      </w:r>
      <w:r w:rsidR="00B054AE">
        <w:rPr>
          <w:szCs w:val="24"/>
        </w:rPr>
        <w:t>the</w:t>
      </w:r>
      <w:r>
        <w:rPr>
          <w:szCs w:val="24"/>
        </w:rPr>
        <w:t xml:space="preserve"> </w:t>
      </w:r>
      <w:r w:rsidR="00B054AE">
        <w:rPr>
          <w:szCs w:val="24"/>
        </w:rPr>
        <w:t>Application</w:t>
      </w:r>
      <w:r>
        <w:rPr>
          <w:szCs w:val="24"/>
        </w:rPr>
        <w:t xml:space="preserve">) that the Opinion and Order in </w:t>
      </w:r>
      <w:r>
        <w:rPr>
          <w:i/>
          <w:szCs w:val="24"/>
        </w:rPr>
        <w:t xml:space="preserve">ESP I </w:t>
      </w:r>
      <w:r>
        <w:rPr>
          <w:szCs w:val="24"/>
        </w:rPr>
        <w:t xml:space="preserve">did not </w:t>
      </w:r>
      <w:r w:rsidR="0078242C">
        <w:rPr>
          <w:szCs w:val="24"/>
        </w:rPr>
        <w:t xml:space="preserve">authorize a </w:t>
      </w:r>
      <w:r>
        <w:rPr>
          <w:szCs w:val="24"/>
        </w:rPr>
        <w:t>recovery mechanism.</w:t>
      </w:r>
    </w:p>
    <w:p w:rsidR="00100F7F" w:rsidRDefault="00100F7F">
      <w:pPr>
        <w:autoSpaceDE w:val="0"/>
        <w:autoSpaceDN w:val="0"/>
        <w:adjustRightInd w:val="0"/>
      </w:pPr>
      <w:r>
        <w:tab/>
        <w:t>Further, OP tries to hide the fact that the PIRR has not yet been authorized</w:t>
      </w:r>
      <w:r w:rsidR="00B054AE">
        <w:t xml:space="preserve"> in its Reply to the objections</w:t>
      </w:r>
      <w:r>
        <w:t>.  OP states that “the issue is whether AEP-Ohio’s proposed tariffs</w:t>
      </w:r>
      <w:r w:rsidR="001C5303">
        <w:t>,</w:t>
      </w:r>
      <w:r>
        <w:t xml:space="preserve"> including the PI</w:t>
      </w:r>
      <w:r w:rsidR="004269F1">
        <w:t xml:space="preserve">RR, appropriately implement the prior rate plan—not </w:t>
      </w:r>
      <w:r>
        <w:t>whether a prior order exists (besides the December 14 Opinion and Order) which authorizes the PIRR tariffs filed by AEP Ohio on February 28.”</w:t>
      </w:r>
      <w:r w:rsidR="004269F1">
        <w:rPr>
          <w:rStyle w:val="FootnoteReference"/>
        </w:rPr>
        <w:footnoteReference w:id="12"/>
      </w:r>
      <w:r>
        <w:t xml:space="preserve">  OP’s argument is nonsensical: </w:t>
      </w:r>
      <w:r w:rsidR="004269F1">
        <w:t xml:space="preserve">there was no PIRR in the prior </w:t>
      </w:r>
      <w:r w:rsidR="00B054AE">
        <w:t>rate plan, only the authority to create the deferral balances</w:t>
      </w:r>
      <w:r w:rsidR="004269F1">
        <w:t xml:space="preserve">.  </w:t>
      </w:r>
      <w:r>
        <w:t xml:space="preserve">OP’s cat-and-mouse game of trying to reframe simple and clear directives to achieve unreasonable and unlawful results should be rejected.  </w:t>
      </w:r>
    </w:p>
    <w:p w:rsidR="00100F7F" w:rsidRDefault="00100F7F">
      <w:pPr>
        <w:autoSpaceDE w:val="0"/>
        <w:autoSpaceDN w:val="0"/>
        <w:adjustRightInd w:val="0"/>
      </w:pPr>
      <w:r>
        <w:tab/>
        <w:t xml:space="preserve">In conclusion, OP was well aware that it needed authorization outside of the </w:t>
      </w:r>
      <w:r>
        <w:rPr>
          <w:i/>
        </w:rPr>
        <w:t>ESP</w:t>
      </w:r>
      <w:r w:rsidR="001C5303">
        <w:rPr>
          <w:i/>
        </w:rPr>
        <w:t xml:space="preserve"> </w:t>
      </w:r>
      <w:r>
        <w:rPr>
          <w:i/>
        </w:rPr>
        <w:t xml:space="preserve">I </w:t>
      </w:r>
      <w:r>
        <w:t xml:space="preserve">Opinion and Order to implement a recovery mechanism to begin amortizing the deferral the Commission authorized in </w:t>
      </w:r>
      <w:r>
        <w:rPr>
          <w:i/>
        </w:rPr>
        <w:t>ESP I</w:t>
      </w:r>
      <w:r>
        <w:t xml:space="preserve">.  OP itself filed </w:t>
      </w:r>
      <w:r w:rsidR="001153C3">
        <w:t xml:space="preserve">an </w:t>
      </w:r>
      <w:r>
        <w:t>Application seeking this result and requested that the Commission “create” the recovery mechanism.</w:t>
      </w:r>
      <w:r w:rsidR="001153C3">
        <w:rPr>
          <w:rStyle w:val="FootnoteReference"/>
        </w:rPr>
        <w:footnoteReference w:id="13"/>
      </w:r>
      <w:r>
        <w:t xml:space="preserve">  Therefore, OP’s arguments are without merit and must be rejected.</w:t>
      </w:r>
    </w:p>
    <w:p w:rsidR="00881334" w:rsidRDefault="00881334" w:rsidP="000E2B26">
      <w:pPr>
        <w:spacing w:line="240" w:lineRule="auto"/>
      </w:pPr>
    </w:p>
    <w:p w:rsidR="00881334" w:rsidRPr="00AF717C" w:rsidRDefault="00881334" w:rsidP="00AF717C">
      <w:pPr>
        <w:pStyle w:val="ListParagraph"/>
        <w:numPr>
          <w:ilvl w:val="0"/>
          <w:numId w:val="4"/>
        </w:numPr>
        <w:spacing w:line="240" w:lineRule="auto"/>
        <w:ind w:left="1440" w:right="720" w:hanging="720"/>
        <w:rPr>
          <w:b/>
        </w:rPr>
      </w:pPr>
      <w:r w:rsidRPr="00AF717C">
        <w:rPr>
          <w:b/>
        </w:rPr>
        <w:lastRenderedPageBreak/>
        <w:t xml:space="preserve">OP’s Refusal to Remove the Detailed Implementation Plan </w:t>
      </w:r>
      <w:r w:rsidR="001C5303">
        <w:rPr>
          <w:b/>
        </w:rPr>
        <w:t xml:space="preserve">(“DIP”) </w:t>
      </w:r>
      <w:r w:rsidRPr="00AF717C">
        <w:rPr>
          <w:b/>
        </w:rPr>
        <w:t>Represents a Continuing Violation of the Commission’s Entry on Rehearing</w:t>
      </w:r>
    </w:p>
    <w:p w:rsidR="00EB4F20" w:rsidRPr="00EB4F20" w:rsidRDefault="00EB4F20" w:rsidP="00EB4F20">
      <w:pPr>
        <w:spacing w:line="240" w:lineRule="auto"/>
        <w:rPr>
          <w:b/>
        </w:rPr>
      </w:pPr>
    </w:p>
    <w:p w:rsidR="00280227" w:rsidRDefault="00881334" w:rsidP="00761764">
      <w:r>
        <w:tab/>
      </w:r>
      <w:r w:rsidR="00EB4F20">
        <w:t>OP further asserts that IEU-Ohio misstates</w:t>
      </w:r>
      <w:r w:rsidR="00B054AE">
        <w:t xml:space="preserve"> the status of the proceeding when IEU-Ohio objected to OP’s failure to address the capacity issues in its compliance filing</w:t>
      </w:r>
      <w:r w:rsidR="00EB4F20">
        <w:t>.</w:t>
      </w:r>
      <w:r w:rsidR="00B054AE">
        <w:rPr>
          <w:rStyle w:val="FootnoteReference"/>
        </w:rPr>
        <w:footnoteReference w:id="14"/>
      </w:r>
      <w:r w:rsidR="00EB4F20">
        <w:t xml:space="preserve"> </w:t>
      </w:r>
      <w:r w:rsidR="00B054AE">
        <w:t xml:space="preserve"> </w:t>
      </w:r>
      <w:r w:rsidR="001153C3">
        <w:t xml:space="preserve">As </w:t>
      </w:r>
      <w:r w:rsidR="00B054AE">
        <w:t xml:space="preserve">a justification for ignoring the Commission’s order, </w:t>
      </w:r>
      <w:r w:rsidR="0048101F">
        <w:t>OP</w:t>
      </w:r>
      <w:r>
        <w:t xml:space="preserve"> asserts that </w:t>
      </w:r>
      <w:r w:rsidR="00B054AE">
        <w:t xml:space="preserve">Section 4928.143(C), Revised Code, </w:t>
      </w:r>
      <w:r>
        <w:t>the statutory provision requiring it to implement the prior ESP rates</w:t>
      </w:r>
      <w:r w:rsidR="00CA1627">
        <w:t>,</w:t>
      </w:r>
      <w:r>
        <w:t xml:space="preserve"> provides no guidance as to what it is required to do to comply wi</w:t>
      </w:r>
      <w:r w:rsidR="00B054AE">
        <w:t xml:space="preserve">th the Commission’s orders </w:t>
      </w:r>
      <w:r w:rsidR="0078242C">
        <w:t xml:space="preserve">in </w:t>
      </w:r>
      <w:r w:rsidR="00280227">
        <w:t>regard to the Pricing Scheme and that it sought clarification</w:t>
      </w:r>
      <w:r w:rsidR="00EB4F20">
        <w:t xml:space="preserve"> of the Commission’</w:t>
      </w:r>
      <w:r w:rsidR="00B054AE">
        <w:t>s Entry on Rehearing.</w:t>
      </w:r>
      <w:r w:rsidR="00FD03BA">
        <w:rPr>
          <w:rStyle w:val="FootnoteReference"/>
        </w:rPr>
        <w:footnoteReference w:id="15"/>
      </w:r>
      <w:r w:rsidR="00EB4F20">
        <w:t xml:space="preserve"> </w:t>
      </w:r>
    </w:p>
    <w:p w:rsidR="00CA1627" w:rsidRDefault="00280227" w:rsidP="00AD5F73">
      <w:pPr>
        <w:ind w:firstLine="720"/>
      </w:pPr>
      <w:r>
        <w:t>The Commission need not decide any grand jurisdictional issue regarding the</w:t>
      </w:r>
      <w:r w:rsidR="0023766A">
        <w:t xml:space="preserve"> scope of Section 4928.143</w:t>
      </w:r>
      <w:r>
        <w:t>, Revised Code, to decide whether OP should have removed the vestiges of the Pricing Scheme</w:t>
      </w:r>
      <w:r w:rsidR="00100F7F">
        <w:t xml:space="preserve"> from its state filings.</w:t>
      </w:r>
      <w:r>
        <w:rPr>
          <w:rStyle w:val="FootnoteReference"/>
        </w:rPr>
        <w:footnoteReference w:id="16"/>
      </w:r>
      <w:r>
        <w:t xml:space="preserve">  </w:t>
      </w:r>
      <w:r w:rsidR="0078242C">
        <w:t>The Pricing Scheme</w:t>
      </w:r>
      <w:r w:rsidR="00CA1627">
        <w:t xml:space="preserve"> was a part of the Stipulation, and OP filed t</w:t>
      </w:r>
      <w:r w:rsidR="00100F7F">
        <w:t xml:space="preserve">he </w:t>
      </w:r>
      <w:r w:rsidR="00B054AE">
        <w:t>DIP</w:t>
      </w:r>
      <w:r w:rsidR="00100F7F">
        <w:t xml:space="preserve"> </w:t>
      </w:r>
      <w:r w:rsidR="00CA1627">
        <w:t>to implement the Pricing Scheme.  The Stipulation, however, has been rejected and with it the authorization for the Pricing Scheme.</w:t>
      </w:r>
      <w:r w:rsidR="00CA1627">
        <w:rPr>
          <w:rStyle w:val="FootnoteReference"/>
        </w:rPr>
        <w:footnoteReference w:id="17"/>
      </w:r>
      <w:r w:rsidR="00CA1627">
        <w:t xml:space="preserve">  The DIP, however, </w:t>
      </w:r>
      <w:r w:rsidR="00100F7F">
        <w:t xml:space="preserve">remains on file with the Commission in its rejected </w:t>
      </w:r>
      <w:r w:rsidR="00100F7F">
        <w:lastRenderedPageBreak/>
        <w:t>form,</w:t>
      </w:r>
      <w:r w:rsidR="00CA1627">
        <w:rPr>
          <w:rStyle w:val="FootnoteReference"/>
        </w:rPr>
        <w:footnoteReference w:id="18"/>
      </w:r>
      <w:r w:rsidR="00100F7F">
        <w:t xml:space="preserve"> and OP has indicated that it will continue to </w:t>
      </w:r>
      <w:r w:rsidR="0078242C">
        <w:t xml:space="preserve">apply </w:t>
      </w:r>
      <w:r w:rsidR="00100F7F">
        <w:t>the DIP until the Commission rejects it a third time.</w:t>
      </w:r>
      <w:r w:rsidR="00100F7F">
        <w:rPr>
          <w:rStyle w:val="FootnoteReference"/>
        </w:rPr>
        <w:footnoteReference w:id="19"/>
      </w:r>
      <w:r w:rsidR="00B054AE">
        <w:t xml:space="preserve">  </w:t>
      </w:r>
    </w:p>
    <w:p w:rsidR="00EB4F20" w:rsidRDefault="00CA1627" w:rsidP="00AD5F73">
      <w:pPr>
        <w:ind w:firstLine="720"/>
        <w:rPr>
          <w:rFonts w:eastAsia="Calibri" w:cs="Arial"/>
          <w:szCs w:val="24"/>
        </w:rPr>
      </w:pPr>
      <w:r>
        <w:t xml:space="preserve">Moreover, </w:t>
      </w:r>
      <w:r w:rsidR="0023766A">
        <w:t>OP has failed to revise its state filings</w:t>
      </w:r>
      <w:r w:rsidR="0048101F">
        <w:t xml:space="preserve"> under the </w:t>
      </w:r>
      <w:r w:rsidR="0078242C">
        <w:t xml:space="preserve">unsupportable </w:t>
      </w:r>
      <w:r w:rsidR="0048101F">
        <w:t xml:space="preserve">claim that </w:t>
      </w:r>
      <w:r w:rsidR="00280227">
        <w:t>it needs “clarification.”</w:t>
      </w:r>
      <w:r w:rsidR="00280227">
        <w:rPr>
          <w:rStyle w:val="FootnoteReference"/>
        </w:rPr>
        <w:footnoteReference w:id="20"/>
      </w:r>
      <w:r w:rsidR="00280227">
        <w:t xml:space="preserve">  </w:t>
      </w:r>
      <w:r w:rsidR="0078242C">
        <w:t xml:space="preserve">This need for clarification stands in stark contrast to representations AEP </w:t>
      </w:r>
      <w:r w:rsidR="00FD03BA">
        <w:t>has</w:t>
      </w:r>
      <w:r w:rsidR="0078242C">
        <w:t xml:space="preserve"> made to federal authorities</w:t>
      </w:r>
      <w:r w:rsidR="00E44BC0">
        <w:t xml:space="preserve"> concerning the status of the Pricing Scheme</w:t>
      </w:r>
      <w:r w:rsidR="0078242C">
        <w:t xml:space="preserve">.  </w:t>
      </w:r>
      <w:r>
        <w:t>As previously noted, American Electric Power Service Corporation (“AEPSC”) has represented that OP is required to return capacity pricing to its previously approved levels.</w:t>
      </w:r>
      <w:r>
        <w:rPr>
          <w:rStyle w:val="FootnoteReference"/>
        </w:rPr>
        <w:footnoteReference w:id="21"/>
      </w:r>
      <w:r>
        <w:t xml:space="preserve">  OP</w:t>
      </w:r>
      <w:r w:rsidR="00180025">
        <w:t>’s parent, American Electric Power,</w:t>
      </w:r>
      <w:r>
        <w:t xml:space="preserve"> has also been more forthcoming in a recent filing with the Securities and Exchange Commission</w:t>
      </w:r>
      <w:r w:rsidR="00AA45E8">
        <w:t xml:space="preserve"> (“SEC”)</w:t>
      </w:r>
      <w:r>
        <w:t>.</w:t>
      </w:r>
      <w:r w:rsidR="00280227">
        <w:t xml:space="preserve">  The SEC</w:t>
      </w:r>
      <w:r>
        <w:t xml:space="preserve"> filing </w:t>
      </w:r>
      <w:r w:rsidR="00280227">
        <w:t>states</w:t>
      </w:r>
      <w:r w:rsidR="00AA45E8">
        <w:t xml:space="preserve">, </w:t>
      </w:r>
      <w:r w:rsidR="00AD5F73">
        <w:t>“</w:t>
      </w:r>
      <w:r w:rsidR="00280227" w:rsidRPr="00280227">
        <w:rPr>
          <w:rFonts w:eastAsia="Calibri" w:cs="Arial"/>
          <w:bCs/>
          <w:szCs w:val="24"/>
        </w:rPr>
        <w:t>Currently, there are no limitations on the obligation to provide below cost capacity rate pricing to alternative</w:t>
      </w:r>
      <w:r w:rsidR="003014F5" w:rsidRPr="00AD5F73">
        <w:rPr>
          <w:rFonts w:eastAsia="Calibri" w:cs="Arial"/>
          <w:bCs/>
          <w:szCs w:val="24"/>
        </w:rPr>
        <w:t xml:space="preserve"> </w:t>
      </w:r>
      <w:r w:rsidR="00280227" w:rsidRPr="00280227">
        <w:rPr>
          <w:rFonts w:eastAsia="Calibri" w:cs="Arial"/>
          <w:bCs/>
          <w:szCs w:val="24"/>
        </w:rPr>
        <w:t>suppliers to support customers switching in Ohio.</w:t>
      </w:r>
      <w:r w:rsidR="00AD5F73" w:rsidRPr="00AD5F73">
        <w:rPr>
          <w:rFonts w:eastAsia="Calibri" w:cs="Arial"/>
          <w:bCs/>
          <w:szCs w:val="24"/>
        </w:rPr>
        <w:t>”</w:t>
      </w:r>
      <w:r w:rsidR="003014F5">
        <w:rPr>
          <w:rStyle w:val="FootnoteReference"/>
        </w:rPr>
        <w:footnoteReference w:id="22"/>
      </w:r>
      <w:r w:rsidR="00AD5F73">
        <w:t xml:space="preserve">  </w:t>
      </w:r>
      <w:r>
        <w:rPr>
          <w:rFonts w:eastAsia="Calibri" w:cs="Arial"/>
          <w:szCs w:val="24"/>
        </w:rPr>
        <w:t>The</w:t>
      </w:r>
      <w:r w:rsidR="00EB4F20">
        <w:rPr>
          <w:rFonts w:eastAsia="Calibri" w:cs="Arial"/>
          <w:szCs w:val="24"/>
        </w:rPr>
        <w:t xml:space="preserve"> suggestion that OP needs clarification befo</w:t>
      </w:r>
      <w:r w:rsidR="00AD5F73">
        <w:rPr>
          <w:rFonts w:eastAsia="Calibri" w:cs="Arial"/>
          <w:szCs w:val="24"/>
        </w:rPr>
        <w:t xml:space="preserve">re </w:t>
      </w:r>
      <w:r w:rsidR="00E44BC0">
        <w:rPr>
          <w:rFonts w:eastAsia="Calibri" w:cs="Arial"/>
          <w:szCs w:val="24"/>
        </w:rPr>
        <w:t>it brings</w:t>
      </w:r>
      <w:r w:rsidR="00AD5F73">
        <w:rPr>
          <w:rFonts w:eastAsia="Calibri" w:cs="Arial"/>
          <w:szCs w:val="24"/>
        </w:rPr>
        <w:t xml:space="preserve"> its </w:t>
      </w:r>
      <w:r w:rsidR="00E44BC0">
        <w:rPr>
          <w:rFonts w:eastAsia="Calibri" w:cs="Arial"/>
          <w:szCs w:val="24"/>
        </w:rPr>
        <w:t xml:space="preserve">state </w:t>
      </w:r>
      <w:r w:rsidR="00EB4F20">
        <w:rPr>
          <w:rFonts w:eastAsia="Calibri" w:cs="Arial"/>
          <w:szCs w:val="24"/>
        </w:rPr>
        <w:t>filings into compliance with the Commission’s Entry on Rehearing is not credible.</w:t>
      </w:r>
    </w:p>
    <w:p w:rsidR="00AD5F73" w:rsidRPr="00AF717C" w:rsidRDefault="00AD5F73" w:rsidP="00AF717C">
      <w:pPr>
        <w:pStyle w:val="ListParagraph"/>
        <w:numPr>
          <w:ilvl w:val="0"/>
          <w:numId w:val="3"/>
        </w:numPr>
        <w:ind w:left="720" w:hanging="450"/>
        <w:rPr>
          <w:rFonts w:ascii="Arial Bold" w:eastAsia="Calibri" w:hAnsi="Arial Bold" w:cs="Arial"/>
          <w:b/>
          <w:caps/>
          <w:szCs w:val="24"/>
        </w:rPr>
      </w:pPr>
      <w:r w:rsidRPr="00AF717C">
        <w:rPr>
          <w:rFonts w:ascii="Arial Bold" w:eastAsia="Calibri" w:hAnsi="Arial Bold" w:cs="Arial"/>
          <w:b/>
          <w:caps/>
          <w:szCs w:val="24"/>
        </w:rPr>
        <w:t>Conclusion</w:t>
      </w:r>
    </w:p>
    <w:p w:rsidR="00AD5F73" w:rsidRDefault="00AD5F73" w:rsidP="00AD5F73">
      <w:pPr>
        <w:ind w:firstLine="720"/>
        <w:rPr>
          <w:rFonts w:eastAsia="Calibri" w:cs="Arial"/>
          <w:szCs w:val="24"/>
        </w:rPr>
      </w:pPr>
      <w:proofErr w:type="gramStart"/>
      <w:r>
        <w:rPr>
          <w:rFonts w:eastAsia="Calibri" w:cs="Arial"/>
          <w:szCs w:val="24"/>
        </w:rPr>
        <w:t xml:space="preserve">As previously stated, OP’s </w:t>
      </w:r>
      <w:r w:rsidR="00E44BC0">
        <w:rPr>
          <w:rFonts w:eastAsia="Calibri" w:cs="Arial"/>
          <w:szCs w:val="24"/>
        </w:rPr>
        <w:t xml:space="preserve">February 28, 2012 tariff </w:t>
      </w:r>
      <w:r>
        <w:rPr>
          <w:rFonts w:eastAsia="Calibri" w:cs="Arial"/>
          <w:szCs w:val="24"/>
        </w:rPr>
        <w:t xml:space="preserve">filing fails to comport with the Commission’s </w:t>
      </w:r>
      <w:r w:rsidR="00E44BC0">
        <w:rPr>
          <w:rFonts w:eastAsia="Calibri" w:cs="Arial"/>
          <w:szCs w:val="24"/>
        </w:rPr>
        <w:t>Entry on Rehearing</w:t>
      </w:r>
      <w:r>
        <w:rPr>
          <w:rFonts w:eastAsia="Calibri" w:cs="Arial"/>
          <w:szCs w:val="24"/>
        </w:rPr>
        <w:t>.</w:t>
      </w:r>
      <w:proofErr w:type="gramEnd"/>
      <w:r>
        <w:rPr>
          <w:rFonts w:eastAsia="Calibri" w:cs="Arial"/>
          <w:szCs w:val="24"/>
        </w:rPr>
        <w:t xml:space="preserve">  The failure of OP to comply, however, should not </w:t>
      </w:r>
      <w:r>
        <w:rPr>
          <w:rFonts w:eastAsia="Calibri" w:cs="Arial"/>
          <w:szCs w:val="24"/>
        </w:rPr>
        <w:lastRenderedPageBreak/>
        <w:t xml:space="preserve">put customers at risk.  </w:t>
      </w:r>
      <w:r w:rsidR="00180025">
        <w:rPr>
          <w:rFonts w:eastAsia="Calibri" w:cs="Arial"/>
          <w:szCs w:val="24"/>
        </w:rPr>
        <w:t>To avoid the continuing rate shock of the Stipulation ESP and Pricing Scheme,</w:t>
      </w:r>
      <w:r>
        <w:rPr>
          <w:rFonts w:eastAsia="Calibri" w:cs="Arial"/>
          <w:szCs w:val="24"/>
        </w:rPr>
        <w:t xml:space="preserve"> OP should be directed to bill customers at the </w:t>
      </w:r>
      <w:r w:rsidR="00E44BC0">
        <w:rPr>
          <w:rFonts w:eastAsia="Calibri" w:cs="Arial"/>
          <w:szCs w:val="24"/>
        </w:rPr>
        <w:t>legal</w:t>
      </w:r>
      <w:r>
        <w:rPr>
          <w:rFonts w:eastAsia="Calibri" w:cs="Arial"/>
          <w:szCs w:val="24"/>
        </w:rPr>
        <w:t xml:space="preserve"> rates</w:t>
      </w:r>
      <w:r w:rsidR="00180025">
        <w:rPr>
          <w:rFonts w:eastAsia="Calibri" w:cs="Arial"/>
          <w:szCs w:val="24"/>
        </w:rPr>
        <w:t>.</w:t>
      </w:r>
      <w:r>
        <w:rPr>
          <w:rFonts w:eastAsia="Calibri" w:cs="Arial"/>
          <w:szCs w:val="24"/>
        </w:rPr>
        <w:t xml:space="preserve"> </w:t>
      </w:r>
      <w:r w:rsidR="00180025">
        <w:rPr>
          <w:rFonts w:eastAsia="Calibri" w:cs="Arial"/>
          <w:szCs w:val="24"/>
        </w:rPr>
        <w:t xml:space="preserve"> The</w:t>
      </w:r>
      <w:r>
        <w:rPr>
          <w:rFonts w:eastAsia="Calibri" w:cs="Arial"/>
          <w:szCs w:val="24"/>
        </w:rPr>
        <w:t xml:space="preserve"> Commission </w:t>
      </w:r>
      <w:r w:rsidR="00180025">
        <w:rPr>
          <w:rFonts w:eastAsia="Calibri" w:cs="Arial"/>
          <w:szCs w:val="24"/>
        </w:rPr>
        <w:t xml:space="preserve">also </w:t>
      </w:r>
      <w:r>
        <w:rPr>
          <w:rFonts w:eastAsia="Calibri" w:cs="Arial"/>
          <w:szCs w:val="24"/>
        </w:rPr>
        <w:t xml:space="preserve">should order that rates currently billed are subject to reconciliation.  </w:t>
      </w:r>
      <w:r w:rsidR="00180025">
        <w:rPr>
          <w:rFonts w:eastAsia="Calibri" w:cs="Arial"/>
          <w:szCs w:val="24"/>
        </w:rPr>
        <w:t xml:space="preserve">Additionally, the Commission should direct that OP take all necessary actions to assure that capacity is priced in compliance with the terms of the Entry on Rehearing.  </w:t>
      </w:r>
      <w:r>
        <w:rPr>
          <w:rFonts w:eastAsia="Calibri" w:cs="Arial"/>
          <w:szCs w:val="24"/>
        </w:rPr>
        <w:t xml:space="preserve">By taking </w:t>
      </w:r>
      <w:r w:rsidR="00180025">
        <w:rPr>
          <w:rFonts w:eastAsia="Calibri" w:cs="Arial"/>
          <w:szCs w:val="24"/>
        </w:rPr>
        <w:t xml:space="preserve">these </w:t>
      </w:r>
      <w:r>
        <w:rPr>
          <w:rFonts w:eastAsia="Calibri" w:cs="Arial"/>
          <w:szCs w:val="24"/>
        </w:rPr>
        <w:t>action</w:t>
      </w:r>
      <w:r w:rsidR="00180025">
        <w:rPr>
          <w:rFonts w:eastAsia="Calibri" w:cs="Arial"/>
          <w:szCs w:val="24"/>
        </w:rPr>
        <w:t>s</w:t>
      </w:r>
      <w:r>
        <w:rPr>
          <w:rFonts w:eastAsia="Calibri" w:cs="Arial"/>
          <w:szCs w:val="24"/>
        </w:rPr>
        <w:t xml:space="preserve">, the Commission can assure </w:t>
      </w:r>
      <w:r w:rsidR="00E93F8F">
        <w:rPr>
          <w:rFonts w:eastAsia="Calibri" w:cs="Arial"/>
          <w:szCs w:val="24"/>
        </w:rPr>
        <w:t xml:space="preserve">that </w:t>
      </w:r>
      <w:r>
        <w:rPr>
          <w:rFonts w:eastAsia="Calibri" w:cs="Arial"/>
          <w:szCs w:val="24"/>
        </w:rPr>
        <w:t>OP’s customers will not continue to face the excessive and unreasonable rates established through the Stipulation or the incomplete and unlawful rates proposed in the February 28, 2012 compliance filing.</w:t>
      </w:r>
    </w:p>
    <w:p w:rsidR="00180025" w:rsidRPr="00180025" w:rsidRDefault="00180025" w:rsidP="00180025">
      <w:pPr>
        <w:spacing w:line="276" w:lineRule="auto"/>
        <w:rPr>
          <w:rFonts w:eastAsia="Calibri" w:cs="Arial"/>
          <w:szCs w:val="24"/>
        </w:rPr>
      </w:pP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t>Respectfully Submitted,</w:t>
      </w:r>
    </w:p>
    <w:p w:rsidR="00180025" w:rsidRPr="00180025" w:rsidRDefault="00180025" w:rsidP="00180025">
      <w:pPr>
        <w:spacing w:line="276" w:lineRule="auto"/>
        <w:rPr>
          <w:rFonts w:eastAsia="Calibri" w:cs="Arial"/>
          <w:szCs w:val="24"/>
        </w:rPr>
      </w:pPr>
    </w:p>
    <w:p w:rsidR="00180025" w:rsidRPr="00180025" w:rsidRDefault="00180025" w:rsidP="00180025">
      <w:pPr>
        <w:spacing w:line="276" w:lineRule="auto"/>
        <w:rPr>
          <w:rFonts w:eastAsia="Calibri" w:cs="Arial"/>
          <w:szCs w:val="24"/>
        </w:rPr>
      </w:pPr>
    </w:p>
    <w:p w:rsidR="00180025" w:rsidRPr="00180025" w:rsidRDefault="00180025" w:rsidP="00180025">
      <w:pPr>
        <w:spacing w:line="276" w:lineRule="auto"/>
        <w:rPr>
          <w:rFonts w:eastAsia="Calibri" w:cs="Arial"/>
          <w:szCs w:val="24"/>
          <w:u w:val="single"/>
        </w:rPr>
      </w:pP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u w:val="single"/>
        </w:rPr>
        <w:t>/s/ Matthew R. Pritchard</w:t>
      </w:r>
      <w:r w:rsidRPr="00180025">
        <w:rPr>
          <w:rFonts w:eastAsia="Calibri" w:cs="Arial"/>
          <w:szCs w:val="24"/>
          <w:u w:val="single"/>
        </w:rPr>
        <w:tab/>
      </w:r>
      <w:r w:rsidRPr="00180025">
        <w:rPr>
          <w:rFonts w:eastAsia="Calibri" w:cs="Arial"/>
          <w:szCs w:val="24"/>
          <w:u w:val="single"/>
        </w:rPr>
        <w:tab/>
      </w:r>
      <w:r w:rsidRPr="00180025">
        <w:rPr>
          <w:rFonts w:eastAsia="Calibri" w:cs="Arial"/>
          <w:szCs w:val="24"/>
          <w:u w:val="single"/>
        </w:rPr>
        <w:tab/>
      </w:r>
      <w:r w:rsidRPr="00180025">
        <w:rPr>
          <w:rFonts w:eastAsia="Calibri" w:cs="Arial"/>
          <w:szCs w:val="24"/>
          <w:u w:val="single"/>
        </w:rPr>
        <w:tab/>
      </w:r>
    </w:p>
    <w:p w:rsidR="00180025" w:rsidRPr="00180025" w:rsidRDefault="00180025" w:rsidP="00180025">
      <w:pPr>
        <w:tabs>
          <w:tab w:val="left" w:pos="4320"/>
          <w:tab w:val="right" w:pos="8640"/>
        </w:tabs>
        <w:spacing w:line="240" w:lineRule="auto"/>
        <w:rPr>
          <w:bCs/>
          <w:szCs w:val="24"/>
          <w:lang w:val="fr-FR"/>
        </w:rPr>
      </w:pPr>
      <w:r w:rsidRPr="00180025">
        <w:tab/>
        <w:t>Samuel C. Randazzo (Counsel of Record)</w:t>
      </w:r>
      <w:r w:rsidRPr="00180025">
        <w:rPr>
          <w:bCs/>
          <w:szCs w:val="24"/>
        </w:rPr>
        <w:tab/>
      </w:r>
      <w:r w:rsidRPr="00180025">
        <w:rPr>
          <w:bCs/>
          <w:szCs w:val="24"/>
          <w:lang w:val="fr-FR"/>
        </w:rPr>
        <w:t>Frank P. Darr</w:t>
      </w:r>
    </w:p>
    <w:p w:rsidR="00180025" w:rsidRPr="00180025" w:rsidRDefault="00180025" w:rsidP="00180025">
      <w:pPr>
        <w:widowControl w:val="0"/>
        <w:tabs>
          <w:tab w:val="left" w:pos="4320"/>
        </w:tabs>
        <w:spacing w:line="240" w:lineRule="auto"/>
        <w:rPr>
          <w:rFonts w:eastAsia="Times New Roman" w:cs="Arial"/>
          <w:bCs/>
          <w:szCs w:val="24"/>
          <w:lang w:val="fr-FR"/>
        </w:rPr>
      </w:pPr>
      <w:r w:rsidRPr="00180025">
        <w:rPr>
          <w:rFonts w:eastAsia="Times New Roman" w:cs="Arial"/>
          <w:bCs/>
          <w:szCs w:val="24"/>
          <w:lang w:val="fr-FR"/>
        </w:rPr>
        <w:tab/>
        <w:t>Matthew R. Pritchard</w:t>
      </w:r>
    </w:p>
    <w:p w:rsidR="00180025" w:rsidRPr="00180025" w:rsidRDefault="00180025" w:rsidP="00180025">
      <w:pPr>
        <w:widowControl w:val="0"/>
        <w:tabs>
          <w:tab w:val="left" w:pos="4320"/>
        </w:tabs>
        <w:spacing w:line="240" w:lineRule="auto"/>
        <w:rPr>
          <w:rFonts w:eastAsia="Times New Roman" w:cs="Arial"/>
          <w:bCs/>
          <w:smallCaps/>
          <w:szCs w:val="24"/>
        </w:rPr>
      </w:pPr>
      <w:r w:rsidRPr="00180025">
        <w:rPr>
          <w:rFonts w:eastAsia="Times New Roman" w:cs="Arial"/>
          <w:bCs/>
          <w:szCs w:val="24"/>
          <w:lang w:val="fr-FR"/>
        </w:rPr>
        <w:tab/>
      </w:r>
      <w:r w:rsidRPr="00180025">
        <w:rPr>
          <w:rFonts w:eastAsia="Times New Roman" w:cs="Arial"/>
          <w:bCs/>
          <w:smallCaps/>
          <w:szCs w:val="24"/>
        </w:rPr>
        <w:t>McNees Wallace &amp; Nurick LLC</w:t>
      </w:r>
    </w:p>
    <w:p w:rsidR="00180025" w:rsidRPr="00180025" w:rsidRDefault="00180025" w:rsidP="00180025">
      <w:pPr>
        <w:widowControl w:val="0"/>
        <w:tabs>
          <w:tab w:val="left" w:pos="4320"/>
        </w:tabs>
        <w:spacing w:line="240" w:lineRule="auto"/>
        <w:rPr>
          <w:rFonts w:eastAsia="Times New Roman" w:cs="Arial"/>
          <w:bCs/>
          <w:szCs w:val="24"/>
        </w:rPr>
      </w:pPr>
      <w:r w:rsidRPr="00180025">
        <w:rPr>
          <w:rFonts w:eastAsia="Times New Roman" w:cs="Arial"/>
          <w:bCs/>
          <w:szCs w:val="24"/>
        </w:rPr>
        <w:tab/>
        <w:t>21 East State Street, 17</w:t>
      </w:r>
      <w:r w:rsidRPr="00180025">
        <w:rPr>
          <w:rFonts w:eastAsia="Times New Roman" w:cs="Arial"/>
          <w:bCs/>
          <w:szCs w:val="24"/>
          <w:vertAlign w:val="superscript"/>
        </w:rPr>
        <w:t>TH</w:t>
      </w:r>
      <w:r w:rsidRPr="00180025">
        <w:rPr>
          <w:rFonts w:eastAsia="Times New Roman" w:cs="Arial"/>
          <w:bCs/>
          <w:szCs w:val="24"/>
        </w:rPr>
        <w:t xml:space="preserve"> Floor</w:t>
      </w:r>
    </w:p>
    <w:p w:rsidR="00180025" w:rsidRPr="00180025" w:rsidRDefault="00180025" w:rsidP="00180025">
      <w:pPr>
        <w:tabs>
          <w:tab w:val="left" w:pos="4320"/>
        </w:tabs>
        <w:spacing w:line="240" w:lineRule="auto"/>
        <w:rPr>
          <w:rFonts w:eastAsia="Calibri" w:cs="Arial"/>
          <w:szCs w:val="24"/>
        </w:rPr>
      </w:pPr>
      <w:r w:rsidRPr="00180025">
        <w:rPr>
          <w:rFonts w:eastAsia="Calibri" w:cs="Arial"/>
          <w:szCs w:val="24"/>
        </w:rPr>
        <w:tab/>
        <w:t>Columbus, OH  43215</w:t>
      </w:r>
    </w:p>
    <w:p w:rsidR="00180025" w:rsidRPr="00180025" w:rsidRDefault="00180025" w:rsidP="00180025">
      <w:pPr>
        <w:tabs>
          <w:tab w:val="left" w:pos="4320"/>
        </w:tabs>
        <w:spacing w:line="240" w:lineRule="auto"/>
        <w:rPr>
          <w:rFonts w:eastAsia="Calibri" w:cs="Arial"/>
          <w:szCs w:val="24"/>
        </w:rPr>
      </w:pPr>
      <w:r w:rsidRPr="00180025">
        <w:rPr>
          <w:rFonts w:eastAsia="Calibri" w:cs="Arial"/>
          <w:szCs w:val="24"/>
        </w:rPr>
        <w:tab/>
        <w:t>Telephone:  (614) 469-8000</w:t>
      </w:r>
    </w:p>
    <w:p w:rsidR="00180025" w:rsidRPr="00180025" w:rsidRDefault="00180025" w:rsidP="00180025">
      <w:pPr>
        <w:tabs>
          <w:tab w:val="left" w:pos="4320"/>
        </w:tabs>
        <w:spacing w:line="240" w:lineRule="auto"/>
        <w:rPr>
          <w:rFonts w:eastAsia="Calibri" w:cs="Arial"/>
          <w:szCs w:val="24"/>
        </w:rPr>
      </w:pPr>
      <w:r w:rsidRPr="00180025">
        <w:rPr>
          <w:rFonts w:eastAsia="Calibri" w:cs="Arial"/>
          <w:szCs w:val="24"/>
        </w:rPr>
        <w:tab/>
        <w:t>Telecopier:  (614) 469-4653</w:t>
      </w:r>
    </w:p>
    <w:p w:rsidR="00180025" w:rsidRPr="00180025" w:rsidRDefault="00180025" w:rsidP="00180025">
      <w:pPr>
        <w:spacing w:line="240" w:lineRule="auto"/>
        <w:rPr>
          <w:rFonts w:eastAsia="Calibri" w:cs="Arial"/>
          <w:szCs w:val="24"/>
        </w:rPr>
      </w:pP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t xml:space="preserve">sam@mwncmh.com </w:t>
      </w:r>
    </w:p>
    <w:p w:rsidR="00180025" w:rsidRPr="00180025" w:rsidRDefault="00180025" w:rsidP="00180025">
      <w:pPr>
        <w:spacing w:line="240" w:lineRule="auto"/>
        <w:rPr>
          <w:rFonts w:eastAsia="Calibri" w:cs="Arial"/>
          <w:szCs w:val="24"/>
        </w:rPr>
      </w:pP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t xml:space="preserve">fdarr@mwncmh.com </w:t>
      </w:r>
    </w:p>
    <w:p w:rsidR="00180025" w:rsidRPr="00180025" w:rsidRDefault="00180025" w:rsidP="00180025">
      <w:pPr>
        <w:spacing w:line="240" w:lineRule="auto"/>
        <w:rPr>
          <w:rFonts w:eastAsia="Calibri" w:cs="Arial"/>
          <w:szCs w:val="24"/>
        </w:rPr>
      </w:pP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r>
      <w:r w:rsidRPr="00180025">
        <w:rPr>
          <w:rFonts w:eastAsia="Calibri" w:cs="Arial"/>
          <w:szCs w:val="24"/>
        </w:rPr>
        <w:tab/>
        <w:t xml:space="preserve">mpritchard@mwncmh.com </w:t>
      </w:r>
    </w:p>
    <w:p w:rsidR="00180025" w:rsidRPr="00180025" w:rsidRDefault="00180025" w:rsidP="00180025">
      <w:pPr>
        <w:spacing w:line="240" w:lineRule="auto"/>
        <w:rPr>
          <w:rFonts w:eastAsia="Calibri" w:cs="Arial"/>
          <w:szCs w:val="24"/>
        </w:rPr>
      </w:pPr>
    </w:p>
    <w:p w:rsidR="00180025" w:rsidRPr="00180025" w:rsidRDefault="00180025" w:rsidP="00180025">
      <w:pPr>
        <w:tabs>
          <w:tab w:val="left" w:pos="4320"/>
        </w:tabs>
        <w:spacing w:line="240" w:lineRule="auto"/>
        <w:jc w:val="left"/>
        <w:rPr>
          <w:rFonts w:eastAsia="Calibri" w:cs="Arial"/>
          <w:b/>
          <w:szCs w:val="24"/>
        </w:rPr>
      </w:pPr>
      <w:r w:rsidRPr="00180025">
        <w:rPr>
          <w:rFonts w:eastAsia="Calibri" w:cs="Arial"/>
          <w:b/>
          <w:szCs w:val="24"/>
        </w:rPr>
        <w:tab/>
        <w:t>Attorneys for Industrial Energy Users-Ohio</w:t>
      </w:r>
    </w:p>
    <w:p w:rsidR="00180025" w:rsidRPr="00180025" w:rsidRDefault="00180025" w:rsidP="00180025">
      <w:pPr>
        <w:spacing w:after="200" w:line="276" w:lineRule="auto"/>
        <w:jc w:val="left"/>
        <w:sectPr w:rsidR="00180025" w:rsidRPr="0018002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180025" w:rsidRPr="00180025" w:rsidRDefault="00180025" w:rsidP="00180025">
      <w:pPr>
        <w:keepNext/>
        <w:spacing w:line="240" w:lineRule="auto"/>
        <w:jc w:val="center"/>
        <w:outlineLvl w:val="3"/>
        <w:rPr>
          <w:rFonts w:eastAsia="Times New Roman" w:cs="Arial"/>
          <w:b/>
          <w:smallCaps/>
          <w:sz w:val="32"/>
          <w:szCs w:val="24"/>
          <w:u w:val="single"/>
        </w:rPr>
      </w:pPr>
      <w:r w:rsidRPr="00180025">
        <w:rPr>
          <w:rFonts w:eastAsia="Times New Roman" w:cs="Arial"/>
          <w:b/>
          <w:smallCaps/>
          <w:sz w:val="32"/>
          <w:szCs w:val="24"/>
          <w:u w:val="single"/>
        </w:rPr>
        <w:lastRenderedPageBreak/>
        <w:t>Certificate of Service</w:t>
      </w:r>
    </w:p>
    <w:p w:rsidR="00180025" w:rsidRPr="00180025" w:rsidRDefault="00180025" w:rsidP="00180025">
      <w:pPr>
        <w:spacing w:line="240" w:lineRule="auto"/>
        <w:jc w:val="left"/>
        <w:rPr>
          <w:rFonts w:ascii="Times New Roman" w:eastAsia="Times New Roman" w:hAnsi="Times New Roman" w:cs="Times New Roman"/>
          <w:szCs w:val="24"/>
        </w:rPr>
      </w:pPr>
    </w:p>
    <w:p w:rsidR="00180025" w:rsidRPr="00180025" w:rsidRDefault="00180025" w:rsidP="00180025">
      <w:pPr>
        <w:spacing w:line="240" w:lineRule="auto"/>
        <w:rPr>
          <w:rFonts w:eastAsia="Times New Roman" w:cs="Times New Roman"/>
          <w:szCs w:val="24"/>
        </w:rPr>
      </w:pPr>
    </w:p>
    <w:p w:rsidR="00180025" w:rsidRPr="00180025" w:rsidRDefault="00180025" w:rsidP="00180025">
      <w:pPr>
        <w:ind w:firstLine="720"/>
        <w:rPr>
          <w:rFonts w:eastAsia="Times New Roman" w:cs="Arial"/>
          <w:szCs w:val="24"/>
        </w:rPr>
      </w:pPr>
      <w:r w:rsidRPr="00180025">
        <w:rPr>
          <w:rFonts w:eastAsia="Times New Roman" w:cs="Arial"/>
          <w:szCs w:val="24"/>
        </w:rPr>
        <w:t>I hereby certify that a copy of the foregoing</w:t>
      </w:r>
      <w:r w:rsidRPr="00180025">
        <w:rPr>
          <w:rFonts w:eastAsia="Times New Roman" w:cs="Arial"/>
          <w:i/>
          <w:iCs/>
          <w:szCs w:val="24"/>
        </w:rPr>
        <w:t xml:space="preserve"> </w:t>
      </w:r>
      <w:r w:rsidRPr="00E6471F">
        <w:rPr>
          <w:i/>
        </w:rPr>
        <w:t>Response by Industrial Energy Users-Ohio to the Ohio Power Reply to Tariff Objections</w:t>
      </w:r>
      <w:r w:rsidRPr="00180025">
        <w:rPr>
          <w:rFonts w:eastAsia="Times New Roman" w:cs="Arial"/>
          <w:szCs w:val="24"/>
        </w:rPr>
        <w:t xml:space="preserve"> was served upon the following parties of record this </w:t>
      </w:r>
      <w:r>
        <w:rPr>
          <w:rFonts w:eastAsia="Times New Roman" w:cs="Arial"/>
          <w:szCs w:val="24"/>
        </w:rPr>
        <w:t>7</w:t>
      </w:r>
      <w:r w:rsidRPr="00E6471F">
        <w:rPr>
          <w:rFonts w:eastAsia="Times New Roman" w:cs="Arial"/>
          <w:szCs w:val="24"/>
          <w:vertAlign w:val="superscript"/>
        </w:rPr>
        <w:t>th</w:t>
      </w:r>
      <w:r>
        <w:rPr>
          <w:rFonts w:eastAsia="Times New Roman" w:cs="Arial"/>
          <w:szCs w:val="24"/>
        </w:rPr>
        <w:t xml:space="preserve"> </w:t>
      </w:r>
      <w:r w:rsidRPr="00180025">
        <w:rPr>
          <w:rFonts w:eastAsia="Times New Roman" w:cs="Arial"/>
          <w:szCs w:val="24"/>
        </w:rPr>
        <w:t xml:space="preserve">day of March 2012, </w:t>
      </w:r>
      <w:r w:rsidRPr="00180025">
        <w:rPr>
          <w:rFonts w:eastAsia="Times New Roman" w:cs="Arial"/>
          <w:i/>
          <w:szCs w:val="24"/>
        </w:rPr>
        <w:t>via</w:t>
      </w:r>
      <w:r w:rsidRPr="00180025">
        <w:rPr>
          <w:rFonts w:eastAsia="Times New Roman" w:cs="Arial"/>
          <w:szCs w:val="24"/>
        </w:rPr>
        <w:t xml:space="preserve"> electronic transmission, hand-delivery or first class U.S. mail, postage prepaid.</w:t>
      </w:r>
    </w:p>
    <w:p w:rsidR="00180025" w:rsidRPr="00180025" w:rsidRDefault="00180025" w:rsidP="00180025">
      <w:pPr>
        <w:tabs>
          <w:tab w:val="left" w:pos="-1440"/>
          <w:tab w:val="left" w:pos="-720"/>
          <w:tab w:val="left" w:pos="5040"/>
          <w:tab w:val="center" w:pos="7200"/>
        </w:tabs>
        <w:spacing w:line="240" w:lineRule="auto"/>
        <w:rPr>
          <w:rFonts w:eastAsia="Times New Roman" w:cs="Arial"/>
          <w:szCs w:val="24"/>
        </w:rPr>
      </w:pPr>
    </w:p>
    <w:p w:rsidR="00180025" w:rsidRPr="00180025" w:rsidRDefault="00180025" w:rsidP="00180025">
      <w:pPr>
        <w:tabs>
          <w:tab w:val="left" w:pos="-1440"/>
          <w:tab w:val="left" w:pos="-720"/>
          <w:tab w:val="left" w:pos="5040"/>
          <w:tab w:val="center" w:pos="7200"/>
          <w:tab w:val="right" w:pos="9360"/>
        </w:tabs>
        <w:spacing w:line="240" w:lineRule="auto"/>
        <w:ind w:firstLine="5040"/>
        <w:rPr>
          <w:rFonts w:eastAsia="Times New Roman" w:cs="Arial"/>
          <w:szCs w:val="24"/>
        </w:rPr>
      </w:pPr>
      <w:r w:rsidRPr="00180025">
        <w:rPr>
          <w:rFonts w:eastAsia="Times New Roman" w:cs="Arial"/>
          <w:szCs w:val="24"/>
          <w:u w:val="single"/>
        </w:rPr>
        <w:t>/s/ Matthew R. Pritchard</w:t>
      </w:r>
      <w:r w:rsidRPr="00180025">
        <w:rPr>
          <w:rFonts w:eastAsia="Times New Roman" w:cs="Arial"/>
          <w:szCs w:val="24"/>
          <w:u w:val="single"/>
        </w:rPr>
        <w:tab/>
      </w:r>
    </w:p>
    <w:p w:rsidR="00180025" w:rsidRPr="00180025" w:rsidRDefault="00180025" w:rsidP="00180025">
      <w:pPr>
        <w:tabs>
          <w:tab w:val="left" w:pos="-1440"/>
          <w:tab w:val="left" w:pos="-720"/>
          <w:tab w:val="left" w:pos="5040"/>
          <w:tab w:val="center" w:pos="7200"/>
        </w:tabs>
        <w:spacing w:line="240" w:lineRule="auto"/>
        <w:ind w:firstLine="5040"/>
        <w:jc w:val="left"/>
        <w:rPr>
          <w:rFonts w:eastAsia="Times New Roman" w:cs="Arial"/>
          <w:szCs w:val="24"/>
        </w:rPr>
      </w:pPr>
      <w:r w:rsidRPr="00180025">
        <w:rPr>
          <w:rFonts w:eastAsia="Times New Roman" w:cs="Arial"/>
          <w:szCs w:val="24"/>
        </w:rPr>
        <w:t>Matthew R. Pritchard</w:t>
      </w:r>
    </w:p>
    <w:p w:rsidR="00180025" w:rsidRPr="00180025" w:rsidRDefault="00180025" w:rsidP="00180025">
      <w:pPr>
        <w:tabs>
          <w:tab w:val="left" w:pos="-1440"/>
          <w:tab w:val="left" w:pos="-720"/>
          <w:tab w:val="left" w:pos="5040"/>
          <w:tab w:val="center" w:pos="7200"/>
        </w:tabs>
        <w:spacing w:line="240" w:lineRule="auto"/>
        <w:ind w:firstLine="5040"/>
        <w:jc w:val="left"/>
        <w:rPr>
          <w:rFonts w:eastAsia="Times New Roman" w:cs="Arial"/>
          <w:szCs w:val="24"/>
        </w:rPr>
      </w:pPr>
    </w:p>
    <w:p w:rsidR="00180025" w:rsidRPr="00180025" w:rsidRDefault="00180025" w:rsidP="00180025">
      <w:pPr>
        <w:tabs>
          <w:tab w:val="left" w:pos="-1440"/>
          <w:tab w:val="left" w:pos="-720"/>
          <w:tab w:val="left" w:pos="5040"/>
          <w:tab w:val="center" w:pos="7200"/>
        </w:tabs>
        <w:spacing w:line="240" w:lineRule="auto"/>
        <w:ind w:firstLine="5040"/>
        <w:jc w:val="left"/>
        <w:rPr>
          <w:rFonts w:eastAsia="Times New Roman" w:cs="Arial"/>
          <w:szCs w:val="24"/>
        </w:rPr>
        <w:sectPr w:rsidR="00180025" w:rsidRPr="0018002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41" w:left="1440" w:header="720" w:footer="720" w:gutter="0"/>
          <w:pgNumType w:start="1"/>
          <w:cols w:space="720"/>
          <w:titlePg/>
          <w:docGrid w:linePitch="326"/>
        </w:sectPr>
      </w:pPr>
    </w:p>
    <w:p w:rsidR="00180025" w:rsidRPr="00180025" w:rsidRDefault="00180025" w:rsidP="00180025">
      <w:pPr>
        <w:tabs>
          <w:tab w:val="left" w:pos="-1440"/>
          <w:tab w:val="left" w:pos="-720"/>
          <w:tab w:val="left" w:pos="5040"/>
          <w:tab w:val="center" w:pos="7200"/>
        </w:tabs>
        <w:spacing w:line="240" w:lineRule="auto"/>
        <w:ind w:firstLine="5040"/>
        <w:jc w:val="left"/>
        <w:rPr>
          <w:rFonts w:eastAsia="Times New Roman" w:cs="Arial"/>
          <w:szCs w:val="24"/>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Matthew J. Satterwhite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Steven T. Nourse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Anne M. Vogel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American Electric Power Service Corporation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 Riverside Plaza, 29</w:t>
      </w:r>
      <w:r w:rsidRPr="00180025">
        <w:rPr>
          <w:rFonts w:eastAsia="Times New Roman" w:cs="Arial"/>
          <w:sz w:val="22"/>
          <w:vertAlign w:val="superscript"/>
        </w:rPr>
        <w:t>th</w:t>
      </w:r>
      <w:r w:rsidRPr="00180025">
        <w:rPr>
          <w:rFonts w:eastAsia="Times New Roman" w:cs="Arial"/>
          <w:sz w:val="22"/>
        </w:rPr>
        <w:t xml:space="preserve"> Floor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mjsatterwhite@aep.com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stnourse@aep.com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amvogel@aep.com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Daniel R. Conway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Porter Wright Morris &amp; Arthur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Huntington Center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41 S. High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dconway@porterwright.com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Columbus Southern Power Company and Ohio Power Company</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Dorothy K. Corbett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Amy Spiller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139 East Fourth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1303-Main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Cincinnati, OH  45202</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Dorothy.Corbett@duke-energy.com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Amy.spiller@duke-energy.com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br w:type="column"/>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Philip B. Sineneng</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Terrance A. Mebane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THOMPSON HINE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41 S. High St., Suite 1700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Philip.Sineneng@ThompsonHine.com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Terrance.Mebane@ThompsonHine.com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Duke Energy Retail Sales, LLC</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David F. Boehm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Michael L. Kurtz</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Boehm, Kurtz &amp; Lowry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36 East Seventh Street Suite 1510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Cincinnati, OH  45202</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dboehm@BKLlawfirm.com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mkurtz@BKLlawfirm.com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the Ohio Energy Group</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Gregory J. Poulos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EnerNOC, Inc.</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101 Federal Street, Suite 1100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Boston, MA  02110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gpoulos@enernoc.com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proofErr w:type="gramStart"/>
      <w:r w:rsidRPr="00180025">
        <w:rPr>
          <w:rFonts w:eastAsia="Times New Roman" w:cs="Arial"/>
          <w:b/>
          <w:smallCaps/>
          <w:sz w:val="22"/>
        </w:rPr>
        <w:t>On Behalf of EnerNOC, Inc.</w:t>
      </w:r>
      <w:proofErr w:type="gramEnd"/>
    </w:p>
    <w:p w:rsidR="00180025" w:rsidRPr="00180025" w:rsidRDefault="00180025" w:rsidP="00180025">
      <w:pPr>
        <w:tabs>
          <w:tab w:val="left" w:pos="2160"/>
          <w:tab w:val="left" w:pos="2280"/>
        </w:tabs>
        <w:spacing w:line="240" w:lineRule="auto"/>
        <w:jc w:val="left"/>
        <w:rPr>
          <w:rFonts w:eastAsia="Times New Roman" w:cs="Arial"/>
          <w:sz w:val="22"/>
        </w:rPr>
        <w:sectPr w:rsidR="00180025" w:rsidRPr="00180025">
          <w:headerReference w:type="default" r:id="rId24"/>
          <w:footerReference w:type="default" r:id="rId25"/>
          <w:headerReference w:type="first" r:id="rId26"/>
          <w:footerReference w:type="first" r:id="rId27"/>
          <w:type w:val="continuous"/>
          <w:pgSz w:w="12240" w:h="15840" w:code="1"/>
          <w:pgMar w:top="1440" w:right="1440" w:bottom="1141" w:left="1440" w:header="720" w:footer="720" w:gutter="0"/>
          <w:pgNumType w:start="1"/>
          <w:cols w:num="2" w:space="720"/>
          <w:titlePg/>
          <w:docGrid w:linePitch="326"/>
        </w:sect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lastRenderedPageBreak/>
        <w:t xml:space="preserve">Terry L. Etter </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Maureen R. Grady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Office of the Ohio Consumers’ Counsel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10 W. Broad Street, 18</w:t>
      </w:r>
      <w:r w:rsidRPr="00180025">
        <w:rPr>
          <w:rFonts w:eastAsia="Times New Roman" w:cs="Arial"/>
          <w:sz w:val="22"/>
          <w:vertAlign w:val="superscript"/>
        </w:rPr>
        <w:t>th</w:t>
      </w:r>
      <w:r w:rsidRPr="00180025">
        <w:rPr>
          <w:rFonts w:eastAsia="Times New Roman" w:cs="Arial"/>
          <w:sz w:val="22"/>
        </w:rPr>
        <w:t xml:space="preserve"> Floor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43215-3485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etter@occ.state.oh.us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grady@occ.state.oh.us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small@occ.state.oh.us</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the Office of the Ohio</w:t>
      </w: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Consumers’ Counsel</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Richard L. Sites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General Counsel &amp; Senior Director of Health Policy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Ohio Hospital Association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155 East Broad Street, 15</w:t>
      </w:r>
      <w:r w:rsidRPr="00180025">
        <w:rPr>
          <w:rFonts w:eastAsia="Times New Roman" w:cs="Arial"/>
          <w:sz w:val="22"/>
          <w:vertAlign w:val="superscript"/>
        </w:rPr>
        <w:t>th</w:t>
      </w:r>
      <w:r w:rsidRPr="00180025">
        <w:rPr>
          <w:rFonts w:eastAsia="Times New Roman" w:cs="Arial"/>
          <w:sz w:val="22"/>
        </w:rPr>
        <w:t xml:space="preserve"> Floor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43215-3620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ricks@ohanet.org</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Thomas J. O’Brien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caps/>
          <w:sz w:val="22"/>
        </w:rPr>
        <w:t>Bricker &amp; Eckler</w:t>
      </w:r>
      <w:r w:rsidRPr="00180025">
        <w:rPr>
          <w:rFonts w:eastAsia="Times New Roman" w:cs="Arial"/>
          <w:sz w:val="22"/>
        </w:rPr>
        <w:t>,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100 South Third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43215-4291</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tobrien@bricker.com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Oh Behalf of Ohio Hospital Association</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John W. Bentine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Mark S. Yurick</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Zachary D. Kravitz</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Chester Willcox &amp; Saxbe,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65 East State Street, Suite 1000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jbentine@cwslaw.com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myurick@cwslaw.com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zkravitz@cwslaw.com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proofErr w:type="gramStart"/>
      <w:r w:rsidRPr="00180025">
        <w:rPr>
          <w:rFonts w:eastAsia="Times New Roman" w:cs="Arial"/>
          <w:b/>
          <w:smallCaps/>
          <w:sz w:val="22"/>
        </w:rPr>
        <w:t>On Behalf of The Kroger Co.</w:t>
      </w:r>
      <w:proofErr w:type="gramEnd"/>
    </w:p>
    <w:p w:rsidR="00180025" w:rsidRPr="00180025" w:rsidRDefault="00180025" w:rsidP="00180025">
      <w:pPr>
        <w:tabs>
          <w:tab w:val="left" w:pos="2160"/>
          <w:tab w:val="left" w:pos="2280"/>
        </w:tabs>
        <w:spacing w:line="240" w:lineRule="auto"/>
        <w:jc w:val="left"/>
        <w:rPr>
          <w:rFonts w:eastAsia="Times New Roman" w:cs="Arial"/>
          <w:smallCaps/>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Terrence O’Donnell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Christopher Montgomery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caps/>
          <w:sz w:val="22"/>
        </w:rPr>
        <w:t>Bricker &amp; Eckler</w:t>
      </w:r>
      <w:r w:rsidRPr="00180025">
        <w:rPr>
          <w:rFonts w:eastAsia="Times New Roman" w:cs="Arial"/>
          <w:sz w:val="22"/>
        </w:rPr>
        <w:t xml:space="preserve">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100 South Third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43215-4291</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todonnell@bricker.com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cmontgomery@bricker.com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Paulding Wind Farm II LLC</w:t>
      </w: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sz w:val="22"/>
        </w:rPr>
        <w:br w:type="column"/>
      </w:r>
      <w:r w:rsidRPr="00180025">
        <w:rPr>
          <w:rFonts w:eastAsia="Times New Roman" w:cs="Arial"/>
          <w:b/>
          <w:smallCaps/>
          <w:sz w:val="22"/>
        </w:rPr>
        <w:lastRenderedPageBreak/>
        <w:t xml:space="preserve"> </w:t>
      </w:r>
      <w:r w:rsidRPr="00180025">
        <w:rPr>
          <w:rFonts w:eastAsia="Times New Roman" w:cs="Arial"/>
          <w:sz w:val="22"/>
        </w:rPr>
        <w:t>Mark A. Hayden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FirstEnergy Service Company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76 South Main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Akron, OH  44308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haydenm@firstenergycorp.com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James F Lang</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Laura C. McBride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N. Trevor Alexander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caps/>
          <w:sz w:val="22"/>
        </w:rPr>
        <w:t>Calfee, Halter &amp; Griswold</w:t>
      </w:r>
      <w:r w:rsidRPr="00180025">
        <w:rPr>
          <w:rFonts w:eastAsia="Times New Roman" w:cs="Arial"/>
          <w:sz w:val="22"/>
        </w:rPr>
        <w:t xml:space="preserve">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1400 KeyBank Center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800 Superior Ave.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Cleveland, OH  44114</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jlang@calfee.com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lmcbride@calfee.com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talexander@calfee.com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David A. Kutik</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Jones Day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North Point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901 Lakeside Avenue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Cleveland, OH  44114</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dakutik@jonesday.com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Allison E. Haedt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Jones Day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P.O. Box 165017</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43216-5017</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aehaedt@jonesday.com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John N. Estes III</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Paul F. Wight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Skadden, Arps, Slate, Meagher &amp; Flom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1440 New York Ave., N.W.</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Washington, DC  20005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jestes@skadden.com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paul.wight@skadden.com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proofErr w:type="gramStart"/>
      <w:r w:rsidRPr="00180025">
        <w:rPr>
          <w:rFonts w:eastAsia="Times New Roman" w:cs="Arial"/>
          <w:b/>
          <w:smallCaps/>
          <w:sz w:val="22"/>
        </w:rPr>
        <w:t>On Behalf of FirstEnergy Solutions Corp.</w:t>
      </w:r>
      <w:proofErr w:type="gramEnd"/>
    </w:p>
    <w:p w:rsidR="00180025" w:rsidRPr="00180025" w:rsidRDefault="00180025" w:rsidP="00180025">
      <w:pPr>
        <w:tabs>
          <w:tab w:val="left" w:pos="2160"/>
          <w:tab w:val="left" w:pos="2280"/>
        </w:tabs>
        <w:spacing w:line="240" w:lineRule="auto"/>
        <w:jc w:val="left"/>
        <w:rPr>
          <w:rFonts w:eastAsia="Times New Roman" w:cs="Arial"/>
          <w:b/>
          <w:smallCaps/>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Michael R. Smalz</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Joseph V. Maskovyak</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Ohio Poverty Law Center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555 Buttles Avenue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msmalz@ohiopovertylaw.org</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jmaskovyak@ohiopovertylaw.org</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the Appalachian Peace and Justice Network</w:t>
      </w:r>
    </w:p>
    <w:p w:rsidR="00180025" w:rsidRPr="00180025" w:rsidRDefault="00180025" w:rsidP="00180025">
      <w:pPr>
        <w:autoSpaceDE w:val="0"/>
        <w:autoSpaceDN w:val="0"/>
        <w:adjustRightInd w:val="0"/>
        <w:spacing w:line="240" w:lineRule="auto"/>
        <w:jc w:val="left"/>
        <w:rPr>
          <w:rFonts w:eastAsia="Calibri" w:cs="Arial"/>
          <w:sz w:val="22"/>
        </w:rPr>
      </w:pP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lastRenderedPageBreak/>
        <w:t>Lisa G. McAlister</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Matthew W. Warnock</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Thomas O’Brien</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BRICKER &amp; ECKLER LLP</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100 South Third Street</w:t>
      </w:r>
    </w:p>
    <w:p w:rsidR="00180025" w:rsidRPr="00180025" w:rsidRDefault="00180025" w:rsidP="00180025">
      <w:pPr>
        <w:tabs>
          <w:tab w:val="left" w:pos="2160"/>
          <w:tab w:val="left" w:pos="2280"/>
        </w:tabs>
        <w:spacing w:line="240" w:lineRule="auto"/>
        <w:jc w:val="left"/>
        <w:rPr>
          <w:rFonts w:eastAsia="Calibri" w:cs="Arial"/>
          <w:sz w:val="22"/>
        </w:rPr>
      </w:pPr>
      <w:r w:rsidRPr="00180025">
        <w:rPr>
          <w:rFonts w:eastAsia="Calibri" w:cs="Arial"/>
          <w:sz w:val="22"/>
        </w:rPr>
        <w:t>Columbus, OH 43215-4291</w:t>
      </w:r>
    </w:p>
    <w:p w:rsidR="00180025" w:rsidRPr="00180025" w:rsidRDefault="00180025" w:rsidP="00180025">
      <w:pPr>
        <w:tabs>
          <w:tab w:val="left" w:pos="2160"/>
          <w:tab w:val="left" w:pos="2280"/>
        </w:tabs>
        <w:spacing w:line="240" w:lineRule="auto"/>
        <w:jc w:val="left"/>
        <w:rPr>
          <w:rFonts w:eastAsia="Calibri" w:cs="Arial"/>
          <w:sz w:val="22"/>
        </w:rPr>
      </w:pPr>
      <w:r w:rsidRPr="00180025">
        <w:rPr>
          <w:rFonts w:eastAsia="Calibri" w:cs="Arial"/>
          <w:sz w:val="22"/>
        </w:rPr>
        <w:t>lmcalister@bricker.com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mwarnock@bricker.com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tobrien@bricker.com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OMA Energy Group</w:t>
      </w:r>
    </w:p>
    <w:p w:rsidR="00180025" w:rsidRPr="00180025" w:rsidRDefault="00180025" w:rsidP="00180025">
      <w:pPr>
        <w:tabs>
          <w:tab w:val="left" w:pos="2160"/>
          <w:tab w:val="left" w:pos="2280"/>
        </w:tabs>
        <w:spacing w:line="240" w:lineRule="auto"/>
        <w:jc w:val="left"/>
        <w:rPr>
          <w:rFonts w:eastAsia="Times New Roman" w:cs="Arial"/>
          <w:b/>
          <w:smallCaps/>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sz w:val="22"/>
        </w:rPr>
        <w:t>Jay E. Jadwin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American Electric Power Service Corporation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 Riverside Plaza, 29</w:t>
      </w:r>
      <w:r w:rsidRPr="00180025">
        <w:rPr>
          <w:rFonts w:eastAsia="Times New Roman" w:cs="Arial"/>
          <w:sz w:val="22"/>
          <w:vertAlign w:val="superscript"/>
        </w:rPr>
        <w:t>th</w:t>
      </w:r>
      <w:r w:rsidRPr="00180025">
        <w:rPr>
          <w:rFonts w:eastAsia="Times New Roman" w:cs="Arial"/>
          <w:sz w:val="22"/>
        </w:rPr>
        <w:t xml:space="preserve"> Floor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jejadwin@aep.com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AEP Retail Energy Partners LLC</w:t>
      </w:r>
    </w:p>
    <w:p w:rsidR="00180025" w:rsidRPr="00180025" w:rsidRDefault="00180025" w:rsidP="00180025">
      <w:pPr>
        <w:tabs>
          <w:tab w:val="left" w:pos="2160"/>
          <w:tab w:val="left" w:pos="2280"/>
        </w:tabs>
        <w:spacing w:line="240" w:lineRule="auto"/>
        <w:jc w:val="left"/>
        <w:rPr>
          <w:rFonts w:eastAsia="Times New Roman" w:cs="Arial"/>
          <w:b/>
          <w:smallCaps/>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 Howard Petricoff</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Stephen M. Howard</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Vorys, Sater, Seymour and Pease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52 E. Gay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P.O. Box 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mhpetricoff@vorys.com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smhoward@vorys.com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PJM Power Providers Group and the Retail Energy Supply Association</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Glen Thomas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1060 First Avenue, Ste. 400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King of Prussia, PA  19406</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gthomas@gtpowergroup.com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Laura Chappelle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4218 Jacob Meadows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Okemos, MI  48864</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laurac@chappelleconsulting.net</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PJM Power Providers Group</w:t>
      </w: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br w:type="column"/>
      </w:r>
      <w:r w:rsidRPr="00180025">
        <w:rPr>
          <w:rFonts w:eastAsia="Times New Roman" w:cs="Arial"/>
          <w:sz w:val="22"/>
        </w:rPr>
        <w:lastRenderedPageBreak/>
        <w:t>M. Howard Petricoff</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Michael Settineri</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Vorys, Sater, Seymour and Pease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52 E. Gay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P.O. Box 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mhpetricoff@vorys.com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mjsettineri@vorys.com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William L. Massey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Covington &amp; Burling,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1201 Pennsylvania Ave., NW</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Washington, DC  20004</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wmassey@cov.com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Joel Malina</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Executive Director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COMPLETE Coalition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1317 F Street, NW</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Suite 600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Washington, DC  20004</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malina@wexlerwalker.com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the COMPETE Coalition</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Henry W. Eckhart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1200 Chambers Road, Suite 106</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43212</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henryeckhart@aol.com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Christopher J. Allwein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Williams, Allwein and Moser, LLC</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1373 Grandview Ave., Suite 212</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43212</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callwein@williamsandmoser.com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the Natural Resources Defense Council and the Sierra Club</w:t>
      </w:r>
    </w:p>
    <w:p w:rsidR="00180025" w:rsidRPr="00180025" w:rsidRDefault="00180025" w:rsidP="00180025">
      <w:pPr>
        <w:tabs>
          <w:tab w:val="left" w:pos="2160"/>
          <w:tab w:val="left" w:pos="2280"/>
        </w:tabs>
        <w:spacing w:line="240" w:lineRule="auto"/>
        <w:jc w:val="left"/>
        <w:rPr>
          <w:rFonts w:eastAsia="Times New Roman" w:cs="Arial"/>
          <w:sz w:val="22"/>
        </w:rPr>
        <w:sectPr w:rsidR="00180025" w:rsidRPr="00180025">
          <w:headerReference w:type="default" r:id="rId28"/>
          <w:footerReference w:type="default" r:id="rId29"/>
          <w:headerReference w:type="first" r:id="rId30"/>
          <w:footerReference w:type="first" r:id="rId31"/>
          <w:pgSz w:w="12240" w:h="15840" w:code="1"/>
          <w:pgMar w:top="1440" w:right="1440" w:bottom="1141" w:left="1440" w:header="720" w:footer="720" w:gutter="0"/>
          <w:pgNumType w:start="1"/>
          <w:cols w:num="2" w:space="720"/>
          <w:titlePg/>
          <w:docGrid w:linePitch="326"/>
        </w:sect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sz w:val="22"/>
        </w:rPr>
        <w:lastRenderedPageBreak/>
        <w:t>M. Howard Petricoff</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Michael J. Settineri</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Stephen M. Howard</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Vorys, Sater, Seymour and Pease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52 East Gay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P.O. Box 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43216-1008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mhpetricoff@vorys.com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mjsettineri@vorys.com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smhoward@vorys.com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Constellation NewEnergy, Inc., Constellation Energy Commodities Group, Inc. , Direct Energy Services, LLC</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David I. Fein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Vice President, Energy Policy – Midwest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Constellation Energy Group, Inc.</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Cynthia Fonner Brady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Senior Counsel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Constellation Energy Resources LLC</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550 West Washington Blvd., Suite 300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Chicago, IL  60661</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david.fein@constellation.com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cynthia.brady@constellation.com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proofErr w:type="gramStart"/>
      <w:r w:rsidRPr="00180025">
        <w:rPr>
          <w:rFonts w:eastAsia="Times New Roman" w:cs="Arial"/>
          <w:b/>
          <w:smallCaps/>
          <w:sz w:val="22"/>
        </w:rPr>
        <w:t>On Behalf of Constellation NewEnergy, Inc. and Constellation Energy Commodities Group, Inc.</w:t>
      </w:r>
      <w:proofErr w:type="gramEnd"/>
    </w:p>
    <w:p w:rsidR="00180025" w:rsidRPr="00180025" w:rsidRDefault="00180025" w:rsidP="00180025">
      <w:pPr>
        <w:tabs>
          <w:tab w:val="left" w:pos="2160"/>
          <w:tab w:val="left" w:pos="2280"/>
        </w:tabs>
        <w:spacing w:line="240" w:lineRule="auto"/>
        <w:jc w:val="left"/>
        <w:rPr>
          <w:rFonts w:eastAsia="Times New Roman" w:cs="Arial"/>
          <w:b/>
          <w:smallCaps/>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Pamela A. Fox</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 Todd Jones,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Christopher L. Miller,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Gregory H. Dunn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Asim Z. Haque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Schottenstein Zox and Dunn Co., LPA</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250 West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pfox@hillardohio.gov</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cmiller@szd.com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gdunn@szd.com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ahaque@szd.com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the City of Hilliard, Ohio, the City of Grove City, Ohio and the Association of Independent Colleges and Universities of Ohio</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br w:type="column"/>
      </w:r>
      <w:r w:rsidRPr="00180025">
        <w:rPr>
          <w:rFonts w:eastAsia="Times New Roman" w:cs="Arial"/>
          <w:sz w:val="22"/>
        </w:rPr>
        <w:lastRenderedPageBreak/>
        <w:t>Sandy I-</w:t>
      </w:r>
      <w:proofErr w:type="gramStart"/>
      <w:r w:rsidRPr="00180025">
        <w:rPr>
          <w:rFonts w:eastAsia="Times New Roman" w:cs="Arial"/>
          <w:sz w:val="22"/>
        </w:rPr>
        <w:t>ru</w:t>
      </w:r>
      <w:proofErr w:type="gramEnd"/>
      <w:r w:rsidRPr="00180025">
        <w:rPr>
          <w:rFonts w:eastAsia="Times New Roman" w:cs="Arial"/>
          <w:sz w:val="22"/>
        </w:rPr>
        <w:t xml:space="preserve"> Grace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Assistant General Counsel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Exelon Business Services Company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101 Constitution Ave., NW</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Suite 400 East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Washington, DC  20001</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sandy.grace@exeloncorp.com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 xml:space="preserve">M. Howard Petricoff </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Vorys, Sater, Seymour and Pease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52 East Gay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P.O. Box 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43216-1008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mhpetricoff@vorys.com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David M. Stahl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Eimer Stahl Klevorn &amp; Solberg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224 South Michigan Avenue, Suite 1100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Chicago, IL  60604</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dstahl@eimerstahl.com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Exelon Generation Company, LLC</w:t>
      </w:r>
    </w:p>
    <w:p w:rsidR="00180025" w:rsidRPr="00180025" w:rsidRDefault="00180025" w:rsidP="00180025">
      <w:pPr>
        <w:tabs>
          <w:tab w:val="left" w:pos="2160"/>
          <w:tab w:val="left" w:pos="2280"/>
        </w:tabs>
        <w:spacing w:line="240" w:lineRule="auto"/>
        <w:jc w:val="left"/>
        <w:rPr>
          <w:rFonts w:eastAsia="Times New Roman" w:cs="Arial"/>
          <w:b/>
          <w:smallCaps/>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Gary A Jeffries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Assistant General Counsel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Dominion Resources Services, Inc.</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501 Martindale Street, Suite 400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Pittsburgh, PA  15212-5817</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Gary.A.Jeffries@aol.com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proofErr w:type="gramStart"/>
      <w:r w:rsidRPr="00180025">
        <w:rPr>
          <w:rFonts w:eastAsia="Times New Roman" w:cs="Arial"/>
          <w:b/>
          <w:smallCaps/>
          <w:sz w:val="22"/>
        </w:rPr>
        <w:t>On Behalf of Dominion Retail, Inc.</w:t>
      </w:r>
      <w:proofErr w:type="gramEnd"/>
    </w:p>
    <w:p w:rsidR="00180025" w:rsidRDefault="00180025" w:rsidP="00180025">
      <w:pPr>
        <w:tabs>
          <w:tab w:val="left" w:pos="2160"/>
          <w:tab w:val="left" w:pos="2280"/>
        </w:tabs>
        <w:spacing w:line="240" w:lineRule="auto"/>
        <w:jc w:val="left"/>
        <w:rPr>
          <w:rFonts w:eastAsia="Times New Roman" w:cs="Arial"/>
          <w:b/>
          <w:smallCaps/>
          <w:sz w:val="22"/>
        </w:rPr>
      </w:pPr>
    </w:p>
    <w:p w:rsidR="00AA45E8" w:rsidRPr="00180025" w:rsidRDefault="00AA45E8" w:rsidP="00180025">
      <w:pPr>
        <w:tabs>
          <w:tab w:val="left" w:pos="2160"/>
          <w:tab w:val="left" w:pos="2280"/>
        </w:tabs>
        <w:spacing w:line="240" w:lineRule="auto"/>
        <w:jc w:val="left"/>
        <w:rPr>
          <w:rFonts w:eastAsia="Times New Roman" w:cs="Arial"/>
          <w:b/>
          <w:smallCaps/>
          <w:sz w:val="22"/>
        </w:rPr>
        <w:sectPr w:rsidR="00AA45E8" w:rsidRPr="00180025">
          <w:headerReference w:type="default" r:id="rId32"/>
          <w:footerReference w:type="default" r:id="rId33"/>
          <w:headerReference w:type="first" r:id="rId34"/>
          <w:footerReference w:type="first" r:id="rId35"/>
          <w:pgSz w:w="12240" w:h="15840" w:code="1"/>
          <w:pgMar w:top="1440" w:right="1440" w:bottom="1141" w:left="1440" w:header="720" w:footer="720" w:gutter="0"/>
          <w:pgNumType w:start="1"/>
          <w:cols w:num="2" w:space="720"/>
          <w:titlePg/>
          <w:docGrid w:linePitch="326"/>
        </w:sect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lastRenderedPageBreak/>
        <w:t>Kenneth P. Kreider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David A. Meyer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Keating Muething &amp; Klekamp PLL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One East Fourth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Suite 1400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Cincinnati, OH  45202</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kpkreider@kmklaw.com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dmeyer@kmklaw.com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Holly Rachel Smith</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Holly Rachel Smith, PLLC</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Hitt Business Center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3803 Rectortown Road</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Marshall, VA  20115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holly@raysmithlaw.com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Steve W. Chriss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Manager, State Rate Proceedings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Wal-Mart Stores, Inc.</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Bentonville, AR  72716-0550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Stephen.Chriss@wal-mart.com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proofErr w:type="gramStart"/>
      <w:r w:rsidRPr="00180025">
        <w:rPr>
          <w:rFonts w:eastAsia="Times New Roman" w:cs="Arial"/>
          <w:b/>
          <w:smallCaps/>
          <w:sz w:val="22"/>
        </w:rPr>
        <w:t>On Behalf of Wal-Mart Stores East, LP and Sam’s East, Inc.</w:t>
      </w:r>
      <w:proofErr w:type="gramEnd"/>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Barth E. Royer (Counsel of Record)</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Bell &amp; Royer Co., LPA</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33 South Grant Avenue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43215-3927</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BarthRoyer@aol.com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 xml:space="preserve">Tara C. Santarelli </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Environmental Law &amp; Policy Center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1207 Grandview Ave., Suite 201</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43212</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tsantarelli@elpc.org</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the Environmental Law &amp;</w:t>
      </w: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Policy Center</w:t>
      </w:r>
    </w:p>
    <w:p w:rsidR="00180025" w:rsidRPr="00AA45E8" w:rsidRDefault="00AA45E8" w:rsidP="00180025">
      <w:pPr>
        <w:tabs>
          <w:tab w:val="left" w:pos="2160"/>
          <w:tab w:val="left" w:pos="2280"/>
        </w:tabs>
        <w:spacing w:line="240" w:lineRule="auto"/>
        <w:jc w:val="left"/>
        <w:rPr>
          <w:rFonts w:eastAsia="Times New Roman" w:cs="Arial"/>
          <w:sz w:val="22"/>
        </w:rPr>
      </w:pPr>
      <w:r>
        <w:rPr>
          <w:rFonts w:eastAsia="Times New Roman" w:cs="Arial"/>
          <w:sz w:val="22"/>
        </w:rPr>
        <w:br w:type="column"/>
      </w:r>
      <w:r w:rsidR="00180025" w:rsidRPr="00180025">
        <w:rPr>
          <w:rFonts w:eastAsia="Times New Roman" w:cs="Arial"/>
          <w:sz w:val="22"/>
        </w:rPr>
        <w:lastRenderedPageBreak/>
        <w:t>Nolan Moser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 xml:space="preserve">Trent A. Dougherty </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Camille Yancy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Cathryn Loucas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Ohio Environmental Council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1207 Grandview Avenue, Suite 201</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43212-3449</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nolan@theoec.org</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trent@theoec.org</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camille@theoec.org</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cathy@theoec.org.</w:t>
      </w:r>
    </w:p>
    <w:p w:rsidR="00180025" w:rsidRPr="00180025" w:rsidRDefault="00180025" w:rsidP="00180025">
      <w:pPr>
        <w:tabs>
          <w:tab w:val="left" w:pos="2160"/>
          <w:tab w:val="left" w:pos="2280"/>
        </w:tabs>
        <w:spacing w:line="240" w:lineRule="auto"/>
        <w:jc w:val="left"/>
        <w:rPr>
          <w:rFonts w:eastAsia="Times New Roman" w:cs="Arial"/>
          <w:b/>
          <w:bCs/>
          <w:sz w:val="22"/>
        </w:rPr>
      </w:pPr>
    </w:p>
    <w:p w:rsidR="00180025" w:rsidRPr="00180025" w:rsidRDefault="00180025" w:rsidP="00180025">
      <w:pPr>
        <w:tabs>
          <w:tab w:val="left" w:pos="2160"/>
          <w:tab w:val="left" w:pos="2280"/>
        </w:tabs>
        <w:spacing w:line="240" w:lineRule="auto"/>
        <w:jc w:val="left"/>
        <w:rPr>
          <w:rFonts w:eastAsia="Times New Roman" w:cs="Arial"/>
          <w:b/>
          <w:bCs/>
          <w:smallCaps/>
          <w:sz w:val="22"/>
        </w:rPr>
      </w:pPr>
      <w:r w:rsidRPr="00180025">
        <w:rPr>
          <w:rFonts w:eastAsia="Times New Roman" w:cs="Arial"/>
          <w:b/>
          <w:bCs/>
          <w:smallCaps/>
          <w:sz w:val="22"/>
        </w:rPr>
        <w:t>On Behalf of the Ohio Environmental Council</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Douglas G. Bonner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Emma F. Hand</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Keith C. Nusbaum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Clinton A. Vince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 xml:space="preserve">Daniel D. Barnowski </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SNR Denton US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1301 K Street NW</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Suite 600, East Tower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Washington, DC 20005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doug.bonner@snrdenton.com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emma.hand@snrdenton.com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keith.nusbaum@snrdenton.com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clinton.vince@snrdenton.com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daniel.barnowski@snrdenton.con</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Ormet Primary Aluminum Corporation</w:t>
      </w:r>
    </w:p>
    <w:p w:rsidR="00180025" w:rsidRPr="00180025" w:rsidRDefault="00180025" w:rsidP="00180025">
      <w:pPr>
        <w:tabs>
          <w:tab w:val="left" w:pos="2160"/>
          <w:tab w:val="left" w:pos="2280"/>
        </w:tabs>
        <w:spacing w:line="240" w:lineRule="auto"/>
        <w:jc w:val="left"/>
        <w:rPr>
          <w:rFonts w:eastAsia="Times New Roman" w:cs="Arial"/>
          <w:b/>
          <w:smallCaps/>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Jay L. Kooper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Katherine Guerry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Hess Corporation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One Hess Plaza</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Woodbridge, NJ  07095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jkooper@hess.com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kguerry@hess.com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Hess Corporation</w:t>
      </w:r>
    </w:p>
    <w:p w:rsidR="00180025" w:rsidRPr="00180025" w:rsidRDefault="00180025" w:rsidP="00180025">
      <w:pPr>
        <w:tabs>
          <w:tab w:val="left" w:pos="2160"/>
          <w:tab w:val="left" w:pos="2280"/>
        </w:tabs>
        <w:spacing w:line="240" w:lineRule="auto"/>
        <w:jc w:val="left"/>
        <w:rPr>
          <w:rFonts w:eastAsia="Calibri" w:cs="Arial"/>
          <w:color w:val="000000"/>
          <w:sz w:val="22"/>
        </w:rPr>
      </w:pPr>
      <w:r w:rsidRPr="00180025">
        <w:rPr>
          <w:rFonts w:eastAsia="Times New Roman" w:cs="Arial"/>
          <w:sz w:val="22"/>
        </w:rPr>
        <w:br w:type="column"/>
      </w:r>
      <w:r w:rsidRPr="00180025">
        <w:rPr>
          <w:rFonts w:eastAsia="Calibri" w:cs="Arial"/>
          <w:color w:val="000000"/>
          <w:sz w:val="22"/>
        </w:rPr>
        <w:lastRenderedPageBreak/>
        <w:t>Allen Freifeld</w:t>
      </w:r>
    </w:p>
    <w:p w:rsidR="00180025" w:rsidRPr="00180025" w:rsidRDefault="00180025" w:rsidP="00180025">
      <w:pPr>
        <w:autoSpaceDE w:val="0"/>
        <w:autoSpaceDN w:val="0"/>
        <w:adjustRightInd w:val="0"/>
        <w:spacing w:line="240" w:lineRule="auto"/>
        <w:jc w:val="left"/>
        <w:rPr>
          <w:rFonts w:eastAsia="Calibri" w:cs="Arial"/>
          <w:color w:val="000000"/>
          <w:sz w:val="22"/>
        </w:rPr>
      </w:pPr>
      <w:r w:rsidRPr="00180025">
        <w:rPr>
          <w:rFonts w:eastAsia="Calibri" w:cs="Arial"/>
          <w:color w:val="000000"/>
          <w:sz w:val="22"/>
        </w:rPr>
        <w:t>Samuel A. Wolfe</w:t>
      </w:r>
    </w:p>
    <w:p w:rsidR="00180025" w:rsidRPr="00180025" w:rsidRDefault="00180025" w:rsidP="00180025">
      <w:pPr>
        <w:autoSpaceDE w:val="0"/>
        <w:autoSpaceDN w:val="0"/>
        <w:adjustRightInd w:val="0"/>
        <w:spacing w:line="240" w:lineRule="auto"/>
        <w:jc w:val="left"/>
        <w:rPr>
          <w:rFonts w:eastAsia="Calibri" w:cs="Arial"/>
          <w:color w:val="000000"/>
          <w:sz w:val="22"/>
        </w:rPr>
      </w:pPr>
      <w:r w:rsidRPr="00180025">
        <w:rPr>
          <w:rFonts w:eastAsia="Calibri" w:cs="Arial"/>
          <w:color w:val="000000"/>
          <w:sz w:val="22"/>
        </w:rPr>
        <w:t>Viridity Energy, Inc.</w:t>
      </w:r>
    </w:p>
    <w:p w:rsidR="00180025" w:rsidRPr="00180025" w:rsidRDefault="00180025" w:rsidP="00180025">
      <w:pPr>
        <w:autoSpaceDE w:val="0"/>
        <w:autoSpaceDN w:val="0"/>
        <w:adjustRightInd w:val="0"/>
        <w:spacing w:line="240" w:lineRule="auto"/>
        <w:jc w:val="left"/>
        <w:rPr>
          <w:rFonts w:eastAsia="Calibri" w:cs="Arial"/>
          <w:color w:val="000000"/>
          <w:sz w:val="22"/>
        </w:rPr>
      </w:pPr>
      <w:r w:rsidRPr="00180025">
        <w:rPr>
          <w:rFonts w:eastAsia="Calibri" w:cs="Arial"/>
          <w:color w:val="000000"/>
          <w:sz w:val="22"/>
        </w:rPr>
        <w:t>100 West Elm Street, Suite 410</w:t>
      </w:r>
    </w:p>
    <w:p w:rsidR="00180025" w:rsidRPr="00180025" w:rsidRDefault="00180025" w:rsidP="00180025">
      <w:pPr>
        <w:autoSpaceDE w:val="0"/>
        <w:autoSpaceDN w:val="0"/>
        <w:adjustRightInd w:val="0"/>
        <w:spacing w:line="240" w:lineRule="auto"/>
        <w:jc w:val="left"/>
        <w:rPr>
          <w:rFonts w:eastAsia="Calibri" w:cs="Arial"/>
          <w:color w:val="000000"/>
          <w:sz w:val="22"/>
        </w:rPr>
      </w:pPr>
      <w:r w:rsidRPr="00180025">
        <w:rPr>
          <w:rFonts w:eastAsia="Calibri" w:cs="Arial"/>
          <w:color w:val="000000"/>
          <w:sz w:val="22"/>
        </w:rPr>
        <w:t>Conshohocken, PA 19428</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afreifeld@viridityenergy.com</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swolfe@viridityenergy.com</w:t>
      </w:r>
    </w:p>
    <w:p w:rsidR="00180025" w:rsidRPr="00180025" w:rsidRDefault="00180025" w:rsidP="00180025">
      <w:pPr>
        <w:autoSpaceDE w:val="0"/>
        <w:autoSpaceDN w:val="0"/>
        <w:adjustRightInd w:val="0"/>
        <w:spacing w:line="240" w:lineRule="auto"/>
        <w:jc w:val="left"/>
        <w:rPr>
          <w:rFonts w:eastAsia="Calibri" w:cs="Arial"/>
          <w:sz w:val="22"/>
        </w:rPr>
      </w:pP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 xml:space="preserve">Jacqueline Lake Roberts, </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Counsel of Record</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101 Federal Street, Suite 1100</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Boston, MA 02110</w:t>
      </w:r>
    </w:p>
    <w:p w:rsidR="00180025" w:rsidRPr="00180025" w:rsidRDefault="00180025" w:rsidP="00180025">
      <w:pPr>
        <w:autoSpaceDE w:val="0"/>
        <w:autoSpaceDN w:val="0"/>
        <w:adjustRightInd w:val="0"/>
        <w:spacing w:line="240" w:lineRule="auto"/>
        <w:jc w:val="left"/>
        <w:rPr>
          <w:rFonts w:eastAsia="Calibri" w:cs="Arial"/>
          <w:sz w:val="22"/>
        </w:rPr>
      </w:pPr>
      <w:r w:rsidRPr="00180025">
        <w:rPr>
          <w:rFonts w:eastAsia="Calibri" w:cs="Arial"/>
          <w:sz w:val="22"/>
        </w:rPr>
        <w:t>jroberts@enernoc.com</w:t>
      </w:r>
    </w:p>
    <w:p w:rsidR="00180025" w:rsidRPr="00180025" w:rsidRDefault="00180025" w:rsidP="00180025">
      <w:pPr>
        <w:autoSpaceDE w:val="0"/>
        <w:autoSpaceDN w:val="0"/>
        <w:adjustRightInd w:val="0"/>
        <w:spacing w:line="240" w:lineRule="auto"/>
        <w:jc w:val="left"/>
        <w:rPr>
          <w:rFonts w:eastAsia="Calibri" w:cs="Arial"/>
          <w:sz w:val="22"/>
        </w:rPr>
      </w:pPr>
    </w:p>
    <w:p w:rsidR="00180025" w:rsidRPr="00180025" w:rsidRDefault="00180025" w:rsidP="00180025">
      <w:pPr>
        <w:spacing w:line="240" w:lineRule="auto"/>
        <w:jc w:val="left"/>
        <w:rPr>
          <w:rFonts w:eastAsia="Calibri" w:cs="Arial"/>
          <w:b/>
          <w:smallCaps/>
          <w:sz w:val="22"/>
        </w:rPr>
      </w:pPr>
      <w:r w:rsidRPr="00180025">
        <w:rPr>
          <w:rFonts w:eastAsia="Times New Roman" w:cs="Arial"/>
          <w:b/>
          <w:smallCaps/>
          <w:sz w:val="22"/>
        </w:rPr>
        <w:t>On Behalf of CPower, Inc., Viridity Energy, Inc., EnergyConnect Inc., Comverge Inc., Enerwise Global Technologies, Inc., and Energy Curtailment Specialists, Inc.</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Robert Korandovich</w:t>
      </w:r>
    </w:p>
    <w:p w:rsidR="00180025" w:rsidRPr="00180025" w:rsidRDefault="00180025" w:rsidP="00180025">
      <w:pPr>
        <w:spacing w:line="240" w:lineRule="auto"/>
        <w:jc w:val="left"/>
        <w:rPr>
          <w:rFonts w:eastAsia="Times New Roman" w:cs="Arial"/>
          <w:sz w:val="22"/>
        </w:rPr>
      </w:pPr>
      <w:r w:rsidRPr="00180025">
        <w:rPr>
          <w:rFonts w:eastAsia="Times New Roman" w:cs="Arial"/>
          <w:sz w:val="22"/>
        </w:rPr>
        <w:t>KOREnergy</w:t>
      </w:r>
    </w:p>
    <w:p w:rsidR="00180025" w:rsidRPr="00180025" w:rsidRDefault="00180025" w:rsidP="00180025">
      <w:pPr>
        <w:spacing w:line="240" w:lineRule="auto"/>
        <w:jc w:val="left"/>
        <w:rPr>
          <w:rFonts w:eastAsia="Times New Roman" w:cs="Arial"/>
          <w:sz w:val="22"/>
        </w:rPr>
      </w:pPr>
      <w:r w:rsidRPr="00180025">
        <w:rPr>
          <w:rFonts w:eastAsia="Times New Roman" w:cs="Arial"/>
          <w:sz w:val="22"/>
        </w:rPr>
        <w:t>P.O. Box 148</w:t>
      </w:r>
    </w:p>
    <w:p w:rsidR="00180025" w:rsidRPr="00180025" w:rsidRDefault="00180025" w:rsidP="00180025">
      <w:pPr>
        <w:spacing w:line="240" w:lineRule="auto"/>
        <w:jc w:val="left"/>
        <w:rPr>
          <w:rFonts w:eastAsia="Times New Roman" w:cs="Arial"/>
          <w:sz w:val="22"/>
        </w:rPr>
      </w:pPr>
      <w:r w:rsidRPr="00180025">
        <w:rPr>
          <w:rFonts w:eastAsia="Times New Roman" w:cs="Arial"/>
          <w:sz w:val="22"/>
        </w:rPr>
        <w:t>Sunbury, OH  43074</w:t>
      </w:r>
    </w:p>
    <w:p w:rsidR="00180025" w:rsidRPr="00180025" w:rsidRDefault="00180025" w:rsidP="00180025">
      <w:pPr>
        <w:spacing w:line="240" w:lineRule="auto"/>
        <w:jc w:val="left"/>
        <w:rPr>
          <w:rFonts w:eastAsia="Times New Roman" w:cs="Arial"/>
          <w:sz w:val="22"/>
        </w:rPr>
      </w:pPr>
      <w:r w:rsidRPr="00180025">
        <w:rPr>
          <w:rFonts w:eastAsia="Times New Roman" w:cs="Arial"/>
          <w:sz w:val="22"/>
        </w:rPr>
        <w:t>korenergy@insight.rr.com</w:t>
      </w:r>
    </w:p>
    <w:p w:rsidR="00180025" w:rsidRPr="00180025" w:rsidRDefault="00180025" w:rsidP="00180025">
      <w:pPr>
        <w:spacing w:line="240" w:lineRule="auto"/>
        <w:jc w:val="left"/>
        <w:rPr>
          <w:rFonts w:eastAsia="Times New Roman" w:cs="Arial"/>
          <w:sz w:val="22"/>
        </w:rPr>
      </w:pPr>
    </w:p>
    <w:p w:rsidR="00180025" w:rsidRPr="00180025" w:rsidRDefault="00180025" w:rsidP="00180025">
      <w:pPr>
        <w:spacing w:line="240" w:lineRule="auto"/>
        <w:jc w:val="left"/>
        <w:rPr>
          <w:rFonts w:eastAsia="Calibri" w:cs="Arial"/>
          <w:b/>
          <w:smallCaps/>
          <w:sz w:val="22"/>
        </w:rPr>
      </w:pPr>
      <w:r w:rsidRPr="00180025">
        <w:rPr>
          <w:rFonts w:eastAsia="Calibri" w:cs="Arial"/>
          <w:b/>
          <w:smallCaps/>
          <w:sz w:val="22"/>
        </w:rPr>
        <w:t>On Behalf of KOREnergy</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Benita Kahn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Lija Kaleps-Clark</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Vorys Sater, Seymour and Pease LLC</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52 East Gay Street, P.O. Box 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43216-1008</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bakahn@vorys.com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lkalepsclark@vorys.com</w:t>
      </w:r>
      <w:r w:rsidRPr="00180025">
        <w:rPr>
          <w:rFonts w:eastAsia="Times New Roman" w:cs="Arial"/>
          <w:sz w:val="22"/>
        </w:rPr>
        <w:br w:type="column"/>
      </w:r>
      <w:r w:rsidRPr="00180025">
        <w:rPr>
          <w:rFonts w:eastAsia="Times New Roman" w:cs="Arial"/>
          <w:sz w:val="22"/>
        </w:rPr>
        <w:lastRenderedPageBreak/>
        <w:t>Mark A. Whitt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Melissa L. Thompson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Whitt Sturtevant LLP</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PNC Plaza, Suite 2020</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155 East Broad Street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whit@whitt-sturtevant.com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thompson@whitt-sturtevant.com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Vincent Parisi</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Matthew White</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Interstate Gas Supply, Inc.</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6100 Emerald Parkway</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Dublin, OH  43016</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vparisi@igsenergy.com</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mswhite@igsenergy.com</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proofErr w:type="gramStart"/>
      <w:r w:rsidRPr="00180025">
        <w:rPr>
          <w:rFonts w:eastAsia="Times New Roman" w:cs="Arial"/>
          <w:b/>
          <w:smallCaps/>
          <w:sz w:val="22"/>
        </w:rPr>
        <w:t>On Behalf of Interstate Gas Supply, Inc.</w:t>
      </w:r>
      <w:proofErr w:type="gramEnd"/>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William Wright</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Werner Margard</w:t>
      </w: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sz w:val="22"/>
        </w:rPr>
        <w:t>Thomas Lindgren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John H. Jones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Assistant Attorneys’ General</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Public Utilities Section</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180 East Broad Street, 6</w:t>
      </w:r>
      <w:r w:rsidRPr="00180025">
        <w:rPr>
          <w:rFonts w:eastAsia="Times New Roman" w:cs="Arial"/>
          <w:sz w:val="22"/>
          <w:vertAlign w:val="superscript"/>
        </w:rPr>
        <w:t>th</w:t>
      </w:r>
      <w:r w:rsidRPr="00180025">
        <w:rPr>
          <w:rFonts w:eastAsia="Times New Roman" w:cs="Arial"/>
          <w:sz w:val="22"/>
        </w:rPr>
        <w:t xml:space="preserve"> Floor</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Columbus, OH  43215</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john.jones@puc.state.oh.us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werner.margard@puc.state.oh.us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thomas.lindgren@puc.state.oh.us</w:t>
      </w:r>
    </w:p>
    <w:p w:rsidR="00180025" w:rsidRPr="00180025" w:rsidRDefault="00180025" w:rsidP="00180025">
      <w:pPr>
        <w:tabs>
          <w:tab w:val="left" w:pos="2160"/>
          <w:tab w:val="left" w:pos="2280"/>
        </w:tabs>
        <w:spacing w:line="240" w:lineRule="auto"/>
        <w:jc w:val="left"/>
        <w:rPr>
          <w:rFonts w:eastAsia="Times New Roman" w:cs="Arial"/>
          <w:sz w:val="22"/>
        </w:rPr>
      </w:pPr>
      <w:r w:rsidRPr="00180025">
        <w:rPr>
          <w:rFonts w:eastAsia="Times New Roman" w:cs="Arial"/>
          <w:sz w:val="22"/>
        </w:rPr>
        <w:t>william.wright@puc.state.oh.us</w:t>
      </w:r>
    </w:p>
    <w:p w:rsidR="00180025" w:rsidRPr="00180025" w:rsidRDefault="00180025" w:rsidP="00180025">
      <w:pPr>
        <w:tabs>
          <w:tab w:val="left" w:pos="2160"/>
          <w:tab w:val="left" w:pos="2280"/>
        </w:tabs>
        <w:spacing w:line="240" w:lineRule="auto"/>
        <w:jc w:val="left"/>
        <w:rPr>
          <w:rFonts w:eastAsia="Times New Roman" w:cs="Arial"/>
          <w:sz w:val="22"/>
        </w:rPr>
      </w:pPr>
    </w:p>
    <w:p w:rsidR="00180025" w:rsidRPr="00180025" w:rsidRDefault="00180025" w:rsidP="00180025">
      <w:pPr>
        <w:tabs>
          <w:tab w:val="left" w:pos="2160"/>
          <w:tab w:val="left" w:pos="2280"/>
        </w:tabs>
        <w:spacing w:line="240" w:lineRule="auto"/>
        <w:jc w:val="left"/>
        <w:rPr>
          <w:rFonts w:eastAsia="Times New Roman" w:cs="Arial"/>
          <w:b/>
          <w:smallCaps/>
          <w:sz w:val="22"/>
        </w:rPr>
      </w:pPr>
      <w:r w:rsidRPr="00180025">
        <w:rPr>
          <w:rFonts w:eastAsia="Times New Roman" w:cs="Arial"/>
          <w:b/>
          <w:smallCaps/>
          <w:sz w:val="22"/>
        </w:rPr>
        <w:t>On Behalf of the Public Utilities Commission of Ohio</w:t>
      </w:r>
    </w:p>
    <w:p w:rsidR="00180025" w:rsidRPr="00180025" w:rsidRDefault="00180025" w:rsidP="00180025">
      <w:pPr>
        <w:tabs>
          <w:tab w:val="left" w:pos="4680"/>
        </w:tabs>
        <w:spacing w:line="240" w:lineRule="auto"/>
        <w:jc w:val="left"/>
        <w:rPr>
          <w:rFonts w:eastAsia="Times New Roman" w:cs="Arial"/>
          <w:color w:val="000000"/>
          <w:sz w:val="22"/>
        </w:rPr>
      </w:pPr>
    </w:p>
    <w:p w:rsidR="00180025" w:rsidRPr="00180025" w:rsidRDefault="00180025" w:rsidP="00180025">
      <w:pPr>
        <w:tabs>
          <w:tab w:val="left" w:pos="4680"/>
        </w:tabs>
        <w:spacing w:line="240" w:lineRule="auto"/>
        <w:jc w:val="left"/>
        <w:rPr>
          <w:rFonts w:eastAsia="Times New Roman" w:cs="Arial"/>
          <w:color w:val="000000"/>
          <w:sz w:val="22"/>
        </w:rPr>
      </w:pPr>
      <w:r w:rsidRPr="00180025">
        <w:rPr>
          <w:rFonts w:eastAsia="Times New Roman" w:cs="Arial"/>
          <w:color w:val="000000"/>
          <w:sz w:val="22"/>
        </w:rPr>
        <w:t>Greta See</w:t>
      </w:r>
    </w:p>
    <w:p w:rsidR="00180025" w:rsidRPr="00180025" w:rsidRDefault="00180025" w:rsidP="00180025">
      <w:pPr>
        <w:tabs>
          <w:tab w:val="left" w:pos="4680"/>
        </w:tabs>
        <w:spacing w:line="240" w:lineRule="auto"/>
        <w:jc w:val="left"/>
        <w:rPr>
          <w:rFonts w:eastAsia="Times New Roman" w:cs="Arial"/>
          <w:color w:val="000000"/>
          <w:sz w:val="22"/>
        </w:rPr>
      </w:pPr>
      <w:r w:rsidRPr="00180025">
        <w:rPr>
          <w:rFonts w:eastAsia="Times New Roman" w:cs="Arial"/>
          <w:color w:val="000000"/>
          <w:sz w:val="22"/>
        </w:rPr>
        <w:t>Jon Tauber</w:t>
      </w:r>
    </w:p>
    <w:p w:rsidR="00180025" w:rsidRPr="00180025" w:rsidRDefault="00180025" w:rsidP="00180025">
      <w:pPr>
        <w:tabs>
          <w:tab w:val="left" w:pos="4680"/>
        </w:tabs>
        <w:spacing w:line="240" w:lineRule="auto"/>
        <w:jc w:val="left"/>
        <w:rPr>
          <w:rFonts w:eastAsia="Times New Roman" w:cs="Arial"/>
          <w:color w:val="000000"/>
          <w:sz w:val="22"/>
        </w:rPr>
      </w:pPr>
      <w:r w:rsidRPr="00180025">
        <w:rPr>
          <w:rFonts w:eastAsia="Times New Roman" w:cs="Arial"/>
          <w:color w:val="000000"/>
          <w:sz w:val="22"/>
        </w:rPr>
        <w:t>Attorney Examiner</w:t>
      </w:r>
    </w:p>
    <w:p w:rsidR="00180025" w:rsidRPr="00180025" w:rsidRDefault="00180025" w:rsidP="00180025">
      <w:pPr>
        <w:tabs>
          <w:tab w:val="left" w:pos="4680"/>
        </w:tabs>
        <w:spacing w:line="240" w:lineRule="auto"/>
        <w:jc w:val="left"/>
        <w:rPr>
          <w:rFonts w:eastAsia="Times New Roman" w:cs="Arial"/>
          <w:color w:val="000000"/>
          <w:sz w:val="22"/>
        </w:rPr>
      </w:pPr>
      <w:r w:rsidRPr="00180025">
        <w:rPr>
          <w:rFonts w:eastAsia="Times New Roman" w:cs="Arial"/>
          <w:color w:val="000000"/>
          <w:sz w:val="22"/>
        </w:rPr>
        <w:t>Public Utilities Commission of Ohio</w:t>
      </w:r>
    </w:p>
    <w:p w:rsidR="00180025" w:rsidRPr="00180025" w:rsidRDefault="00180025" w:rsidP="00180025">
      <w:pPr>
        <w:tabs>
          <w:tab w:val="left" w:pos="4680"/>
        </w:tabs>
        <w:spacing w:line="240" w:lineRule="auto"/>
        <w:jc w:val="left"/>
        <w:rPr>
          <w:rFonts w:eastAsia="Times New Roman" w:cs="Arial"/>
          <w:color w:val="000000"/>
          <w:sz w:val="22"/>
        </w:rPr>
      </w:pPr>
      <w:r w:rsidRPr="00180025">
        <w:rPr>
          <w:rFonts w:eastAsia="Times New Roman" w:cs="Arial"/>
          <w:color w:val="000000"/>
          <w:sz w:val="22"/>
        </w:rPr>
        <w:t>180 East Broad Street, 12</w:t>
      </w:r>
      <w:r w:rsidRPr="00180025">
        <w:rPr>
          <w:rFonts w:eastAsia="Times New Roman" w:cs="Arial"/>
          <w:color w:val="000000"/>
          <w:sz w:val="22"/>
          <w:vertAlign w:val="superscript"/>
        </w:rPr>
        <w:t>th</w:t>
      </w:r>
      <w:r w:rsidRPr="00180025">
        <w:rPr>
          <w:rFonts w:eastAsia="Times New Roman" w:cs="Arial"/>
          <w:color w:val="000000"/>
          <w:sz w:val="22"/>
        </w:rPr>
        <w:t xml:space="preserve"> Floor</w:t>
      </w:r>
    </w:p>
    <w:p w:rsidR="00180025" w:rsidRPr="00180025" w:rsidRDefault="00180025" w:rsidP="00180025">
      <w:pPr>
        <w:tabs>
          <w:tab w:val="left" w:pos="4680"/>
        </w:tabs>
        <w:spacing w:line="240" w:lineRule="auto"/>
        <w:jc w:val="left"/>
        <w:rPr>
          <w:rFonts w:eastAsia="Times New Roman" w:cs="Arial"/>
          <w:color w:val="000000"/>
          <w:sz w:val="22"/>
        </w:rPr>
      </w:pPr>
      <w:r w:rsidRPr="00180025">
        <w:rPr>
          <w:rFonts w:eastAsia="Times New Roman" w:cs="Arial"/>
          <w:color w:val="000000"/>
          <w:sz w:val="22"/>
        </w:rPr>
        <w:t>Columbus, OH  43215</w:t>
      </w:r>
    </w:p>
    <w:p w:rsidR="00180025" w:rsidRPr="00180025" w:rsidRDefault="00180025" w:rsidP="00180025">
      <w:pPr>
        <w:tabs>
          <w:tab w:val="left" w:pos="4680"/>
        </w:tabs>
        <w:spacing w:line="240" w:lineRule="auto"/>
        <w:jc w:val="left"/>
        <w:rPr>
          <w:rFonts w:eastAsia="Times New Roman" w:cs="Arial"/>
          <w:color w:val="000000"/>
          <w:sz w:val="22"/>
        </w:rPr>
      </w:pPr>
    </w:p>
    <w:p w:rsidR="00180025" w:rsidRPr="00180025" w:rsidRDefault="00180025" w:rsidP="00180025">
      <w:pPr>
        <w:tabs>
          <w:tab w:val="left" w:pos="4680"/>
        </w:tabs>
        <w:spacing w:line="240" w:lineRule="auto"/>
        <w:jc w:val="left"/>
        <w:rPr>
          <w:rFonts w:eastAsia="Times New Roman" w:cs="Arial"/>
          <w:b/>
          <w:smallCaps/>
          <w:color w:val="000000"/>
          <w:sz w:val="22"/>
        </w:rPr>
      </w:pPr>
      <w:r w:rsidRPr="00180025">
        <w:rPr>
          <w:rFonts w:eastAsia="Times New Roman" w:cs="Arial"/>
          <w:b/>
          <w:smallCaps/>
          <w:color w:val="000000"/>
          <w:sz w:val="22"/>
        </w:rPr>
        <w:t>Attorney Examiners</w:t>
      </w:r>
    </w:p>
    <w:p w:rsidR="00180025" w:rsidRPr="00AA45E8" w:rsidRDefault="00180025" w:rsidP="00AA45E8">
      <w:pPr>
        <w:spacing w:after="200" w:line="276" w:lineRule="auto"/>
        <w:jc w:val="left"/>
        <w:rPr>
          <w:rFonts w:eastAsia="Times New Roman" w:cs="Arial"/>
          <w:sz w:val="22"/>
        </w:rPr>
      </w:pPr>
    </w:p>
    <w:sectPr w:rsidR="00180025" w:rsidRPr="00AA45E8" w:rsidSect="00AA45E8">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C3" w:rsidRDefault="001153C3" w:rsidP="00E503BB">
      <w:pPr>
        <w:spacing w:line="240" w:lineRule="auto"/>
      </w:pPr>
      <w:r>
        <w:separator/>
      </w:r>
    </w:p>
  </w:endnote>
  <w:endnote w:type="continuationSeparator" w:id="0">
    <w:p w:rsidR="001153C3" w:rsidRDefault="001153C3" w:rsidP="00E50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6E" w:rsidRDefault="00893C6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Pr="00E93F8F" w:rsidRDefault="00B34AB8">
    <w:pPr>
      <w:pStyle w:val="Footer"/>
    </w:pPr>
    <w:r w:rsidRPr="00B34AB8">
      <w:rPr>
        <w:noProof/>
        <w:sz w:val="16"/>
      </w:rPr>
      <w:t>{C36908:2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r w:rsidR="001153C3">
      <w:rPr>
        <w:noProof/>
        <w:sz w:val="16"/>
      </w:rPr>
      <w:tab/>
    </w:r>
    <w:r w:rsidR="001153C3">
      <w:rPr>
        <w:rFonts w:cs="Arial"/>
        <w:noProof/>
        <w:sz w:val="22"/>
      </w:rPr>
      <w:fldChar w:fldCharType="begin"/>
    </w:r>
    <w:r w:rsidR="001153C3">
      <w:rPr>
        <w:rFonts w:cs="Arial"/>
        <w:noProof/>
        <w:sz w:val="22"/>
      </w:rPr>
      <w:instrText xml:space="preserve"> PAGE   \* MERGEFORMAT </w:instrText>
    </w:r>
    <w:r w:rsidR="001153C3">
      <w:rPr>
        <w:rFonts w:cs="Arial"/>
        <w:noProof/>
        <w:sz w:val="22"/>
      </w:rPr>
      <w:fldChar w:fldCharType="separate"/>
    </w:r>
    <w:r w:rsidR="001153C3">
      <w:rPr>
        <w:rFonts w:cs="Arial"/>
        <w:noProof/>
        <w:sz w:val="22"/>
      </w:rPr>
      <w:t>1</w:t>
    </w:r>
    <w:r w:rsidR="001153C3">
      <w:rPr>
        <w:rFonts w:cs="Arial"/>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rPr>
        <w:rFonts w:cs="Arial"/>
      </w:rPr>
    </w:pPr>
    <w:r w:rsidRPr="00B34AB8">
      <w:rPr>
        <w:noProof/>
        <w:sz w:val="16"/>
      </w:rPr>
      <w:t>{C36908:2 }</w:t>
    </w:r>
    <w:sdt>
      <w:sdtPr>
        <w:id w:val="-893889380"/>
        <w:docPartObj>
          <w:docPartGallery w:val="Page Numbers (Bottom of Page)"/>
          <w:docPartUnique/>
        </w:docPartObj>
      </w:sdtPr>
      <w:sdtEndPr>
        <w:rPr>
          <w:rFonts w:cs="Arial"/>
          <w:noProof/>
        </w:rPr>
      </w:sdtEndPr>
      <w:sdtContent>
        <w:r w:rsidR="001153C3">
          <w:tab/>
        </w:r>
        <w:r w:rsidR="001153C3">
          <w:rPr>
            <w:rFonts w:cs="Arial"/>
          </w:rPr>
          <w:fldChar w:fldCharType="begin"/>
        </w:r>
        <w:r w:rsidR="001153C3">
          <w:rPr>
            <w:rFonts w:cs="Arial"/>
          </w:rPr>
          <w:instrText xml:space="preserve"> PAGE   \* MERGEFORMAT </w:instrText>
        </w:r>
        <w:r w:rsidR="001153C3">
          <w:rPr>
            <w:rFonts w:cs="Arial"/>
          </w:rPr>
          <w:fldChar w:fldCharType="separate"/>
        </w:r>
        <w:r w:rsidR="00C32FC1">
          <w:rPr>
            <w:rFonts w:cs="Arial"/>
            <w:noProof/>
          </w:rPr>
          <w:t>8</w:t>
        </w:r>
        <w:r w:rsidR="001153C3">
          <w:rPr>
            <w:rFonts w:cs="Arial"/>
            <w:noProof/>
          </w:rPr>
          <w:fldChar w:fldCharType="end"/>
        </w:r>
      </w:sdtContent>
    </w:sdt>
  </w:p>
  <w:p w:rsidR="001153C3" w:rsidRDefault="001153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r w:rsidR="001153C3">
      <w:rPr>
        <w:noProof/>
        <w:sz w:val="16"/>
      </w:rPr>
      <w:tab/>
    </w:r>
  </w:p>
  <w:p w:rsidR="001153C3" w:rsidRDefault="001153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B34AB8">
    <w:pPr>
      <w:pStyle w:val="Footer"/>
    </w:pPr>
    <w:r w:rsidRPr="00B34AB8">
      <w:rPr>
        <w:noProof/>
        <w:sz w:val="16"/>
      </w:rPr>
      <w:t>{C36908:2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C3" w:rsidRDefault="001153C3" w:rsidP="00E503BB">
      <w:pPr>
        <w:spacing w:line="240" w:lineRule="auto"/>
        <w:rPr>
          <w:noProof/>
        </w:rPr>
      </w:pPr>
      <w:r>
        <w:rPr>
          <w:noProof/>
        </w:rPr>
        <w:separator/>
      </w:r>
    </w:p>
  </w:footnote>
  <w:footnote w:type="continuationSeparator" w:id="0">
    <w:p w:rsidR="001153C3" w:rsidRDefault="001153C3" w:rsidP="00E503BB">
      <w:pPr>
        <w:spacing w:line="240" w:lineRule="auto"/>
      </w:pPr>
      <w:r>
        <w:continuationSeparator/>
      </w:r>
    </w:p>
  </w:footnote>
  <w:footnote w:id="1">
    <w:p w:rsidR="001153C3" w:rsidRDefault="001153C3" w:rsidP="00100F7F">
      <w:pPr>
        <w:pStyle w:val="FootnoteText"/>
      </w:pPr>
      <w:r>
        <w:rPr>
          <w:rStyle w:val="FootnoteReference"/>
        </w:rPr>
        <w:footnoteRef/>
      </w:r>
      <w:r>
        <w:t xml:space="preserve"> Given the limited time to prepare a response, IEU-Ohio does not intend to respond to all the claims made by OP.  The failure to address each assertion is not and should not be construed as agreement with any of OP’s claims that are not addressed herein.</w:t>
      </w:r>
    </w:p>
    <w:p w:rsidR="001153C3" w:rsidRDefault="001153C3" w:rsidP="00100F7F">
      <w:pPr>
        <w:pStyle w:val="FootnoteText"/>
      </w:pPr>
    </w:p>
  </w:footnote>
  <w:footnote w:id="2">
    <w:p w:rsidR="001153C3" w:rsidRDefault="001153C3" w:rsidP="00100F7F">
      <w:pPr>
        <w:pStyle w:val="FootnoteText"/>
      </w:pPr>
      <w:r>
        <w:rPr>
          <w:rStyle w:val="FootnoteReference"/>
        </w:rPr>
        <w:footnoteRef/>
      </w:r>
      <w:r>
        <w:t xml:space="preserve"> </w:t>
      </w:r>
      <w:proofErr w:type="gramStart"/>
      <w:r>
        <w:t>AEP Ohio Reply to the Tariff Objections Filed by Industrial Energy Users-Ohio, Ormet Primary Aluminum and the Office of the Ohio Consumers’ Counsel/Appalachian Peace and Justice Network at 4 (Mar. 6, 2012) (“OP Reply”).</w:t>
      </w:r>
      <w:proofErr w:type="gramEnd"/>
    </w:p>
    <w:p w:rsidR="001153C3" w:rsidRDefault="001153C3" w:rsidP="00100F7F">
      <w:pPr>
        <w:pStyle w:val="FootnoteText"/>
      </w:pPr>
    </w:p>
  </w:footnote>
  <w:footnote w:id="3">
    <w:p w:rsidR="001153C3" w:rsidRDefault="001153C3">
      <w:pPr>
        <w:pStyle w:val="FootnoteText"/>
      </w:pPr>
      <w:r>
        <w:rPr>
          <w:rStyle w:val="FootnoteReference"/>
        </w:rPr>
        <w:footnoteRef/>
      </w:r>
      <w:r>
        <w:t xml:space="preserve"> </w:t>
      </w:r>
      <w:r w:rsidRPr="00E6471F">
        <w:rPr>
          <w:i/>
        </w:rPr>
        <w:t>Id</w:t>
      </w:r>
      <w:r>
        <w:t xml:space="preserve">. </w:t>
      </w:r>
    </w:p>
    <w:p w:rsidR="001153C3" w:rsidRDefault="001153C3">
      <w:pPr>
        <w:pStyle w:val="FootnoteText"/>
      </w:pPr>
    </w:p>
  </w:footnote>
  <w:footnote w:id="4">
    <w:p w:rsidR="001153C3" w:rsidRDefault="001153C3" w:rsidP="00100F7F">
      <w:pPr>
        <w:pStyle w:val="FootnoteText"/>
      </w:pPr>
      <w:r>
        <w:rPr>
          <w:rStyle w:val="FootnoteReference"/>
        </w:rPr>
        <w:footnoteRef/>
      </w:r>
      <w:r>
        <w:t xml:space="preserve"> </w:t>
      </w:r>
      <w:r w:rsidRPr="00417D9A">
        <w:rPr>
          <w:i/>
        </w:rPr>
        <w:t>In the Matter of the Fuel Adjustment Clauses for Columbus Southern Power Company and Ohio Power Company and Related Matters</w:t>
      </w:r>
      <w:r>
        <w:t>, Case No. 11-5906-EL-FAC, Finding and Order at 2 (Dec. 14, 2011).</w:t>
      </w:r>
    </w:p>
    <w:p w:rsidR="001153C3" w:rsidRDefault="001153C3" w:rsidP="00100F7F">
      <w:pPr>
        <w:pStyle w:val="FootnoteText"/>
      </w:pPr>
    </w:p>
  </w:footnote>
  <w:footnote w:id="5">
    <w:p w:rsidR="001153C3" w:rsidRDefault="001153C3" w:rsidP="00100F7F">
      <w:pPr>
        <w:pStyle w:val="FootnoteText"/>
      </w:pPr>
      <w:r>
        <w:rPr>
          <w:rStyle w:val="FootnoteReference"/>
        </w:rPr>
        <w:footnoteRef/>
      </w:r>
      <w:r>
        <w:t xml:space="preserve"> </w:t>
      </w:r>
      <w:proofErr w:type="gramStart"/>
      <w:r w:rsidRPr="00E6471F">
        <w:rPr>
          <w:i/>
        </w:rPr>
        <w:t>Id</w:t>
      </w:r>
      <w:r>
        <w:t>. at 3.</w:t>
      </w:r>
      <w:proofErr w:type="gramEnd"/>
    </w:p>
    <w:p w:rsidR="001153C3" w:rsidRDefault="001153C3" w:rsidP="00100F7F">
      <w:pPr>
        <w:pStyle w:val="FootnoteText"/>
      </w:pPr>
    </w:p>
  </w:footnote>
  <w:footnote w:id="6">
    <w:p w:rsidR="001153C3" w:rsidRDefault="001153C3" w:rsidP="00100F7F">
      <w:pPr>
        <w:pStyle w:val="FootnoteText"/>
      </w:pPr>
      <w:r>
        <w:rPr>
          <w:rStyle w:val="FootnoteReference"/>
        </w:rPr>
        <w:footnoteRef/>
      </w:r>
      <w:r>
        <w:t xml:space="preserve"> Entry on Rehearing at 12 (Feb. 23, 2012).</w:t>
      </w:r>
    </w:p>
    <w:p w:rsidR="001153C3" w:rsidRDefault="001153C3" w:rsidP="00100F7F">
      <w:pPr>
        <w:pStyle w:val="FootnoteText"/>
      </w:pPr>
    </w:p>
  </w:footnote>
  <w:footnote w:id="7">
    <w:p w:rsidR="001153C3" w:rsidRDefault="001153C3" w:rsidP="00100F7F">
      <w:pPr>
        <w:pStyle w:val="FootnoteText"/>
      </w:pPr>
      <w:r>
        <w:rPr>
          <w:rStyle w:val="FootnoteReference"/>
        </w:rPr>
        <w:footnoteRef/>
      </w:r>
      <w:r>
        <w:t xml:space="preserve"> OP Reply at 4</w:t>
      </w:r>
    </w:p>
    <w:p w:rsidR="001153C3" w:rsidRDefault="001153C3" w:rsidP="00100F7F">
      <w:pPr>
        <w:pStyle w:val="FootnoteText"/>
      </w:pPr>
    </w:p>
  </w:footnote>
  <w:footnote w:id="8">
    <w:p w:rsidR="001153C3" w:rsidRDefault="001153C3" w:rsidP="00100F7F">
      <w:pPr>
        <w:pStyle w:val="FootnoteText"/>
      </w:pPr>
      <w:r>
        <w:rPr>
          <w:rStyle w:val="FootnoteReference"/>
        </w:rPr>
        <w:footnoteRef/>
      </w:r>
      <w:r>
        <w:t xml:space="preserve"> The Stipulation served as the </w:t>
      </w:r>
      <w:r w:rsidR="000E2B26">
        <w:t>proposed authorization</w:t>
      </w:r>
      <w:r>
        <w:t xml:space="preserve"> for the merger. Stipulation at 24 (Sept. 7, 2011).</w:t>
      </w:r>
    </w:p>
    <w:p w:rsidR="001153C3" w:rsidRDefault="001153C3" w:rsidP="00100F7F">
      <w:pPr>
        <w:pStyle w:val="FootnoteText"/>
      </w:pPr>
    </w:p>
  </w:footnote>
  <w:footnote w:id="9">
    <w:p w:rsidR="001153C3" w:rsidRDefault="001153C3" w:rsidP="0048101F">
      <w:pPr>
        <w:autoSpaceDE w:val="0"/>
        <w:autoSpaceDN w:val="0"/>
        <w:adjustRightInd w:val="0"/>
        <w:spacing w:line="240" w:lineRule="auto"/>
        <w:rPr>
          <w:sz w:val="20"/>
          <w:szCs w:val="20"/>
        </w:rPr>
      </w:pPr>
      <w:r>
        <w:rPr>
          <w:rStyle w:val="FootnoteReference"/>
          <w:sz w:val="20"/>
          <w:szCs w:val="20"/>
        </w:rPr>
        <w:footnoteRef/>
      </w:r>
      <w:r>
        <w:rPr>
          <w:sz w:val="20"/>
          <w:szCs w:val="20"/>
        </w:rPr>
        <w:t xml:space="preserve"> </w:t>
      </w:r>
      <w:r>
        <w:rPr>
          <w:i/>
          <w:sz w:val="20"/>
          <w:szCs w:val="20"/>
        </w:rPr>
        <w:t>In the Matter of the Application of Columbus Southern Power Company for Approval of a Mechanism to Recover Deferred Fuel Costs Ordered Under Ohio Revised Code 4928.144</w:t>
      </w:r>
      <w:r>
        <w:rPr>
          <w:sz w:val="20"/>
          <w:szCs w:val="20"/>
        </w:rPr>
        <w:t xml:space="preserve">, Case Nos. 11-4920-EL-RDR, </w:t>
      </w:r>
      <w:r>
        <w:rPr>
          <w:i/>
          <w:sz w:val="20"/>
          <w:szCs w:val="20"/>
        </w:rPr>
        <w:t>et al.</w:t>
      </w:r>
      <w:r>
        <w:rPr>
          <w:sz w:val="20"/>
          <w:szCs w:val="20"/>
        </w:rPr>
        <w:t xml:space="preserve">, Application at 1 (Sept. 1, 2011) (hereinafter, </w:t>
      </w:r>
      <w:r w:rsidRPr="00AF717C">
        <w:rPr>
          <w:i/>
          <w:sz w:val="20"/>
          <w:szCs w:val="20"/>
        </w:rPr>
        <w:t>“PIRR Application</w:t>
      </w:r>
      <w:r>
        <w:rPr>
          <w:sz w:val="20"/>
          <w:szCs w:val="20"/>
        </w:rPr>
        <w:t>”).</w:t>
      </w:r>
    </w:p>
    <w:p w:rsidR="001153C3" w:rsidRDefault="001153C3" w:rsidP="0048101F">
      <w:pPr>
        <w:autoSpaceDE w:val="0"/>
        <w:autoSpaceDN w:val="0"/>
        <w:adjustRightInd w:val="0"/>
        <w:spacing w:line="240" w:lineRule="auto"/>
        <w:rPr>
          <w:sz w:val="20"/>
          <w:szCs w:val="20"/>
        </w:rPr>
      </w:pPr>
    </w:p>
  </w:footnote>
  <w:footnote w:id="10">
    <w:p w:rsidR="001153C3" w:rsidRDefault="001153C3" w:rsidP="00100F7F">
      <w:pPr>
        <w:autoSpaceDE w:val="0"/>
        <w:autoSpaceDN w:val="0"/>
        <w:adjustRightInd w:val="0"/>
        <w:spacing w:line="240" w:lineRule="auto"/>
        <w:rPr>
          <w:sz w:val="20"/>
          <w:szCs w:val="20"/>
        </w:rPr>
      </w:pPr>
      <w:r>
        <w:rPr>
          <w:rStyle w:val="FootnoteReference"/>
          <w:sz w:val="20"/>
          <w:szCs w:val="20"/>
        </w:rPr>
        <w:footnoteRef/>
      </w:r>
      <w:r>
        <w:rPr>
          <w:sz w:val="20"/>
          <w:szCs w:val="20"/>
        </w:rPr>
        <w:t xml:space="preserve"> </w:t>
      </w:r>
      <w:r w:rsidRPr="0048101F">
        <w:rPr>
          <w:i/>
          <w:sz w:val="20"/>
          <w:szCs w:val="20"/>
        </w:rPr>
        <w:t>Id</w:t>
      </w:r>
      <w:r>
        <w:rPr>
          <w:sz w:val="20"/>
          <w:szCs w:val="20"/>
        </w:rPr>
        <w:t>.</w:t>
      </w:r>
      <w:r>
        <w:rPr>
          <w:i/>
          <w:sz w:val="20"/>
          <w:szCs w:val="20"/>
        </w:rPr>
        <w:t xml:space="preserve"> </w:t>
      </w:r>
    </w:p>
    <w:p w:rsidR="001153C3" w:rsidRDefault="001153C3" w:rsidP="00100F7F">
      <w:pPr>
        <w:autoSpaceDE w:val="0"/>
        <w:autoSpaceDN w:val="0"/>
        <w:adjustRightInd w:val="0"/>
        <w:spacing w:line="240" w:lineRule="auto"/>
        <w:rPr>
          <w:sz w:val="20"/>
          <w:szCs w:val="20"/>
        </w:rPr>
      </w:pPr>
    </w:p>
  </w:footnote>
  <w:footnote w:id="11">
    <w:p w:rsidR="001153C3" w:rsidRDefault="001153C3" w:rsidP="00100F7F">
      <w:pPr>
        <w:pStyle w:val="FootnoteText"/>
      </w:pPr>
      <w:r>
        <w:rPr>
          <w:rStyle w:val="FootnoteReference"/>
        </w:rPr>
        <w:footnoteRef/>
      </w:r>
      <w:r>
        <w:t xml:space="preserve"> </w:t>
      </w:r>
      <w:proofErr w:type="gramStart"/>
      <w:r>
        <w:rPr>
          <w:i/>
        </w:rPr>
        <w:t>Id.</w:t>
      </w:r>
      <w:r>
        <w:t xml:space="preserve"> at 3.</w:t>
      </w:r>
      <w:proofErr w:type="gramEnd"/>
    </w:p>
    <w:p w:rsidR="001153C3" w:rsidRDefault="001153C3" w:rsidP="00100F7F">
      <w:pPr>
        <w:pStyle w:val="FootnoteText"/>
      </w:pPr>
    </w:p>
  </w:footnote>
  <w:footnote w:id="12">
    <w:p w:rsidR="001153C3" w:rsidRDefault="001153C3">
      <w:pPr>
        <w:pStyle w:val="FootnoteText"/>
      </w:pPr>
      <w:r>
        <w:rPr>
          <w:rStyle w:val="FootnoteReference"/>
        </w:rPr>
        <w:footnoteRef/>
      </w:r>
      <w:r>
        <w:t xml:space="preserve"> </w:t>
      </w:r>
      <w:proofErr w:type="gramStart"/>
      <w:r>
        <w:t>OP Reply at 6.</w:t>
      </w:r>
      <w:proofErr w:type="gramEnd"/>
    </w:p>
    <w:p w:rsidR="001153C3" w:rsidRDefault="001153C3">
      <w:pPr>
        <w:pStyle w:val="FootnoteText"/>
      </w:pPr>
    </w:p>
  </w:footnote>
  <w:footnote w:id="13">
    <w:p w:rsidR="001153C3" w:rsidRDefault="001153C3">
      <w:pPr>
        <w:pStyle w:val="FootnoteText"/>
      </w:pPr>
      <w:r>
        <w:rPr>
          <w:rStyle w:val="FootnoteReference"/>
        </w:rPr>
        <w:footnoteRef/>
      </w:r>
      <w:r>
        <w:t xml:space="preserve"> </w:t>
      </w:r>
      <w:proofErr w:type="gramStart"/>
      <w:r>
        <w:t>PIRR Application at 3.</w:t>
      </w:r>
      <w:proofErr w:type="gramEnd"/>
    </w:p>
  </w:footnote>
  <w:footnote w:id="14">
    <w:p w:rsidR="001153C3" w:rsidRDefault="001153C3">
      <w:pPr>
        <w:pStyle w:val="FootnoteText"/>
      </w:pPr>
      <w:r>
        <w:rPr>
          <w:rStyle w:val="FootnoteReference"/>
        </w:rPr>
        <w:footnoteRef/>
      </w:r>
      <w:r>
        <w:t xml:space="preserve"> Notably, OP’s cover letter of the compliance filing itself raised the issue by stating that it was not complying with the Commission’s Entry on Rehearing with regard to capacity charges. See below.</w:t>
      </w:r>
    </w:p>
    <w:p w:rsidR="001153C3" w:rsidRDefault="001153C3">
      <w:pPr>
        <w:pStyle w:val="FootnoteText"/>
      </w:pPr>
    </w:p>
  </w:footnote>
  <w:footnote w:id="15">
    <w:p w:rsidR="00FD03BA" w:rsidRDefault="00FD03BA" w:rsidP="00FD03BA">
      <w:pPr>
        <w:pStyle w:val="FootnoteText"/>
      </w:pPr>
      <w:r>
        <w:rPr>
          <w:rStyle w:val="FootnoteReference"/>
        </w:rPr>
        <w:footnoteRef/>
      </w:r>
      <w:r>
        <w:t xml:space="preserve"> </w:t>
      </w:r>
      <w:r w:rsidRPr="00AF717C">
        <w:t>OP Reply</w:t>
      </w:r>
      <w:r>
        <w:t xml:space="preserve"> at 9-10.</w:t>
      </w:r>
    </w:p>
    <w:p w:rsidR="00FD03BA" w:rsidRDefault="00FD03BA" w:rsidP="00FD03BA">
      <w:pPr>
        <w:pStyle w:val="FootnoteText"/>
      </w:pPr>
    </w:p>
  </w:footnote>
  <w:footnote w:id="16">
    <w:p w:rsidR="001153C3" w:rsidRDefault="001153C3" w:rsidP="00100F7F">
      <w:pPr>
        <w:pStyle w:val="FootnoteText"/>
      </w:pPr>
      <w:r>
        <w:rPr>
          <w:rStyle w:val="FootnoteReference"/>
        </w:rPr>
        <w:footnoteRef/>
      </w:r>
      <w:r>
        <w:t xml:space="preserve"> As the Commission will recall, OP filed the revised Detailed Implementation Plan </w:t>
      </w:r>
      <w:r w:rsidR="008D351B">
        <w:t>to implement the Commission’s modifications of the Pricing Scheme</w:t>
      </w:r>
      <w:r>
        <w:t>.  Letter to Attorney Examiner Greta See and Jonathan J. Tauber from Steven Nourse (Dec. 29, 2011).</w:t>
      </w:r>
    </w:p>
    <w:p w:rsidR="001153C3" w:rsidRDefault="001153C3" w:rsidP="00100F7F">
      <w:pPr>
        <w:pStyle w:val="FootnoteText"/>
      </w:pPr>
    </w:p>
  </w:footnote>
  <w:footnote w:id="17">
    <w:p w:rsidR="001153C3" w:rsidRDefault="001153C3">
      <w:pPr>
        <w:pStyle w:val="FootnoteText"/>
      </w:pPr>
      <w:r>
        <w:rPr>
          <w:rStyle w:val="FootnoteReference"/>
        </w:rPr>
        <w:footnoteRef/>
      </w:r>
      <w:r>
        <w:t xml:space="preserve"> </w:t>
      </w:r>
      <w:proofErr w:type="gramStart"/>
      <w:r>
        <w:t>Entry on Rehearing at 12.</w:t>
      </w:r>
      <w:proofErr w:type="gramEnd"/>
    </w:p>
    <w:p w:rsidR="001153C3" w:rsidRDefault="001153C3">
      <w:pPr>
        <w:pStyle w:val="FootnoteText"/>
      </w:pPr>
    </w:p>
  </w:footnote>
  <w:footnote w:id="18">
    <w:p w:rsidR="001153C3" w:rsidRDefault="001153C3">
      <w:pPr>
        <w:pStyle w:val="FootnoteText"/>
      </w:pPr>
      <w:r>
        <w:rPr>
          <w:rStyle w:val="FootnoteReference"/>
        </w:rPr>
        <w:footnoteRef/>
      </w:r>
      <w:r>
        <w:t xml:space="preserve"> Entry (Jan. 23, 2012).</w:t>
      </w:r>
    </w:p>
    <w:p w:rsidR="001153C3" w:rsidRDefault="001153C3">
      <w:pPr>
        <w:pStyle w:val="FootnoteText"/>
      </w:pPr>
    </w:p>
  </w:footnote>
  <w:footnote w:id="19">
    <w:p w:rsidR="001153C3" w:rsidRDefault="001153C3" w:rsidP="00100F7F">
      <w:pPr>
        <w:pStyle w:val="FootnoteText"/>
      </w:pPr>
      <w:r>
        <w:rPr>
          <w:rStyle w:val="FootnoteReference"/>
        </w:rPr>
        <w:footnoteRef/>
      </w:r>
      <w:r>
        <w:t xml:space="preserve"> In its cover letter accompanying the tariffs filed on February 28, 2012, OP continued to maintain that it needed “clarification” of the Commission’s Entry on Rehearing and would “await further direction based on the disposition of its Motion for Relief filed yesterday (February 27, 2012) in Case No. 10-2929-EL-UNC.”  Letter from Steven T. Nourse to Betty McCauley (Feb. 28, 2012).</w:t>
      </w:r>
    </w:p>
    <w:p w:rsidR="001153C3" w:rsidRDefault="001153C3" w:rsidP="00100F7F">
      <w:pPr>
        <w:pStyle w:val="FootnoteText"/>
      </w:pPr>
    </w:p>
  </w:footnote>
  <w:footnote w:id="20">
    <w:p w:rsidR="001153C3" w:rsidRDefault="001153C3" w:rsidP="00100F7F">
      <w:pPr>
        <w:pStyle w:val="FootnoteText"/>
      </w:pPr>
      <w:r>
        <w:rPr>
          <w:rStyle w:val="FootnoteReference"/>
        </w:rPr>
        <w:footnoteRef/>
      </w:r>
      <w:r>
        <w:t xml:space="preserve"> </w:t>
      </w:r>
      <w:proofErr w:type="gramStart"/>
      <w:r>
        <w:t>OP Reply at 9.</w:t>
      </w:r>
      <w:proofErr w:type="gramEnd"/>
    </w:p>
    <w:p w:rsidR="001153C3" w:rsidRDefault="001153C3" w:rsidP="00100F7F">
      <w:pPr>
        <w:pStyle w:val="FootnoteText"/>
      </w:pPr>
    </w:p>
  </w:footnote>
  <w:footnote w:id="21">
    <w:p w:rsidR="001153C3" w:rsidRDefault="001153C3" w:rsidP="00CA1627">
      <w:pPr>
        <w:pStyle w:val="FootnoteText"/>
      </w:pPr>
      <w:r>
        <w:rPr>
          <w:rStyle w:val="FootnoteReference"/>
        </w:rPr>
        <w:footnoteRef/>
      </w:r>
      <w:r>
        <w:t xml:space="preserve"> Previously, IEU-Ohio noted that American Electric Power Service Company had represented to the Federal Energy Regulatory Commission that OP was under an obligation to provide capacity at the price established by PJM Interconnection, Inc.’s Reliability Pricing Model.  Industrial Energy Users-Ohio’s Objections to Ohio Power Company’s Compliance Tariffs and Request to Set a Reconciliation Date at 6 (Mar. 2, 2012) (“IEU-Ohio Objections”).</w:t>
      </w:r>
    </w:p>
    <w:p w:rsidR="001153C3" w:rsidRDefault="001153C3" w:rsidP="00CA1627">
      <w:pPr>
        <w:pStyle w:val="FootnoteText"/>
      </w:pPr>
    </w:p>
  </w:footnote>
  <w:footnote w:id="22">
    <w:p w:rsidR="001153C3" w:rsidRDefault="001153C3" w:rsidP="00100F7F">
      <w:pPr>
        <w:pStyle w:val="FootnoteText"/>
      </w:pPr>
      <w:r>
        <w:rPr>
          <w:rStyle w:val="FootnoteReference"/>
        </w:rPr>
        <w:footnoteRef/>
      </w:r>
      <w:r>
        <w:t xml:space="preserve"> American Electric Power Annual Report at 33 (viewed at </w:t>
      </w:r>
      <w:r w:rsidRPr="00E6471F">
        <w:t>http://www.aep.com/investors/financialfilingsandreports/edgar/docs/AEP_10K_2011.pdf</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6E" w:rsidRDefault="00893C6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6E" w:rsidRDefault="00893C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6E" w:rsidRDefault="00893C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C3" w:rsidRDefault="00115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26BA"/>
    <w:multiLevelType w:val="hybridMultilevel"/>
    <w:tmpl w:val="E2D47172"/>
    <w:lvl w:ilvl="0" w:tplc="37E4AC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13898"/>
    <w:multiLevelType w:val="hybridMultilevel"/>
    <w:tmpl w:val="650E6AE8"/>
    <w:lvl w:ilvl="0" w:tplc="C7BC25F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61D21"/>
    <w:multiLevelType w:val="hybridMultilevel"/>
    <w:tmpl w:val="8326C6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DA2254"/>
    <w:multiLevelType w:val="hybridMultilevel"/>
    <w:tmpl w:val="7638B9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BB"/>
    <w:rsid w:val="0008592E"/>
    <w:rsid w:val="000E2B26"/>
    <w:rsid w:val="00100F7F"/>
    <w:rsid w:val="001153C3"/>
    <w:rsid w:val="00180025"/>
    <w:rsid w:val="001C5303"/>
    <w:rsid w:val="00230FBA"/>
    <w:rsid w:val="0023766A"/>
    <w:rsid w:val="00280227"/>
    <w:rsid w:val="003014F5"/>
    <w:rsid w:val="003C5B3D"/>
    <w:rsid w:val="003F0AFA"/>
    <w:rsid w:val="00417D9A"/>
    <w:rsid w:val="004269F1"/>
    <w:rsid w:val="0048101F"/>
    <w:rsid w:val="004D22A0"/>
    <w:rsid w:val="00615ED9"/>
    <w:rsid w:val="00714C8F"/>
    <w:rsid w:val="00735A63"/>
    <w:rsid w:val="00761764"/>
    <w:rsid w:val="0078242C"/>
    <w:rsid w:val="00881334"/>
    <w:rsid w:val="00893C6E"/>
    <w:rsid w:val="008C7075"/>
    <w:rsid w:val="008D351B"/>
    <w:rsid w:val="009A6E88"/>
    <w:rsid w:val="009E4D1A"/>
    <w:rsid w:val="00A27117"/>
    <w:rsid w:val="00AA45E8"/>
    <w:rsid w:val="00AC1CC3"/>
    <w:rsid w:val="00AD5F73"/>
    <w:rsid w:val="00AE559E"/>
    <w:rsid w:val="00AF717C"/>
    <w:rsid w:val="00B054AE"/>
    <w:rsid w:val="00B34AB8"/>
    <w:rsid w:val="00BB5E27"/>
    <w:rsid w:val="00C32FC1"/>
    <w:rsid w:val="00CA1627"/>
    <w:rsid w:val="00D20FE5"/>
    <w:rsid w:val="00E44BC0"/>
    <w:rsid w:val="00E503BB"/>
    <w:rsid w:val="00E6471F"/>
    <w:rsid w:val="00E67E07"/>
    <w:rsid w:val="00E93F8F"/>
    <w:rsid w:val="00EB4F20"/>
    <w:rsid w:val="00EB73CD"/>
    <w:rsid w:val="00ED5144"/>
    <w:rsid w:val="00FD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9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E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03BB"/>
    <w:pPr>
      <w:spacing w:line="240" w:lineRule="auto"/>
    </w:pPr>
    <w:rPr>
      <w:sz w:val="20"/>
      <w:szCs w:val="20"/>
    </w:rPr>
  </w:style>
  <w:style w:type="character" w:customStyle="1" w:styleId="FootnoteTextChar">
    <w:name w:val="Footnote Text Char"/>
    <w:basedOn w:val="DefaultParagraphFont"/>
    <w:link w:val="FootnoteText"/>
    <w:uiPriority w:val="99"/>
    <w:semiHidden/>
    <w:rsid w:val="00E503BB"/>
    <w:rPr>
      <w:sz w:val="20"/>
      <w:szCs w:val="20"/>
    </w:rPr>
  </w:style>
  <w:style w:type="character" w:styleId="FootnoteReference">
    <w:name w:val="footnote reference"/>
    <w:basedOn w:val="DefaultParagraphFont"/>
    <w:uiPriority w:val="99"/>
    <w:semiHidden/>
    <w:unhideWhenUsed/>
    <w:rsid w:val="00E503BB"/>
    <w:rPr>
      <w:vertAlign w:val="superscript"/>
    </w:rPr>
  </w:style>
  <w:style w:type="character" w:styleId="Hyperlink">
    <w:name w:val="Hyperlink"/>
    <w:basedOn w:val="DefaultParagraphFont"/>
    <w:uiPriority w:val="99"/>
    <w:unhideWhenUsed/>
    <w:rsid w:val="003014F5"/>
    <w:rPr>
      <w:color w:val="0000FF" w:themeColor="hyperlink"/>
      <w:u w:val="single"/>
    </w:rPr>
  </w:style>
  <w:style w:type="paragraph" w:styleId="Header">
    <w:name w:val="header"/>
    <w:basedOn w:val="Normal"/>
    <w:link w:val="HeaderChar"/>
    <w:uiPriority w:val="99"/>
    <w:unhideWhenUsed/>
    <w:rsid w:val="00E93F8F"/>
    <w:pPr>
      <w:tabs>
        <w:tab w:val="center" w:pos="4680"/>
        <w:tab w:val="right" w:pos="9360"/>
      </w:tabs>
      <w:spacing w:line="240" w:lineRule="auto"/>
    </w:pPr>
  </w:style>
  <w:style w:type="character" w:customStyle="1" w:styleId="HeaderChar">
    <w:name w:val="Header Char"/>
    <w:basedOn w:val="DefaultParagraphFont"/>
    <w:link w:val="Header"/>
    <w:uiPriority w:val="99"/>
    <w:rsid w:val="00E93F8F"/>
  </w:style>
  <w:style w:type="paragraph" w:styleId="Footer">
    <w:name w:val="footer"/>
    <w:basedOn w:val="Normal"/>
    <w:link w:val="FooterChar"/>
    <w:uiPriority w:val="99"/>
    <w:unhideWhenUsed/>
    <w:rsid w:val="00E93F8F"/>
    <w:pPr>
      <w:tabs>
        <w:tab w:val="center" w:pos="4680"/>
        <w:tab w:val="right" w:pos="9360"/>
      </w:tabs>
      <w:spacing w:line="240" w:lineRule="auto"/>
    </w:pPr>
  </w:style>
  <w:style w:type="character" w:customStyle="1" w:styleId="FooterChar">
    <w:name w:val="Footer Char"/>
    <w:basedOn w:val="DefaultParagraphFont"/>
    <w:link w:val="Footer"/>
    <w:uiPriority w:val="99"/>
    <w:rsid w:val="00E93F8F"/>
  </w:style>
  <w:style w:type="paragraph" w:styleId="BalloonText">
    <w:name w:val="Balloon Text"/>
    <w:basedOn w:val="Normal"/>
    <w:link w:val="BalloonTextChar"/>
    <w:uiPriority w:val="99"/>
    <w:semiHidden/>
    <w:unhideWhenUsed/>
    <w:rsid w:val="004810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1F"/>
    <w:rPr>
      <w:rFonts w:ascii="Tahoma" w:hAnsi="Tahoma" w:cs="Tahoma"/>
      <w:sz w:val="16"/>
      <w:szCs w:val="16"/>
    </w:rPr>
  </w:style>
  <w:style w:type="character" w:customStyle="1" w:styleId="Heading2Char">
    <w:name w:val="Heading 2 Char"/>
    <w:basedOn w:val="DefaultParagraphFont"/>
    <w:link w:val="Heading2"/>
    <w:uiPriority w:val="9"/>
    <w:rsid w:val="00615E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8592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5303"/>
    <w:pPr>
      <w:ind w:left="720"/>
      <w:contextualSpacing/>
    </w:pPr>
  </w:style>
  <w:style w:type="paragraph" w:styleId="NoSpacing">
    <w:name w:val="No Spacing"/>
    <w:uiPriority w:val="1"/>
    <w:qFormat/>
    <w:rsid w:val="003C5B3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9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E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03BB"/>
    <w:pPr>
      <w:spacing w:line="240" w:lineRule="auto"/>
    </w:pPr>
    <w:rPr>
      <w:sz w:val="20"/>
      <w:szCs w:val="20"/>
    </w:rPr>
  </w:style>
  <w:style w:type="character" w:customStyle="1" w:styleId="FootnoteTextChar">
    <w:name w:val="Footnote Text Char"/>
    <w:basedOn w:val="DefaultParagraphFont"/>
    <w:link w:val="FootnoteText"/>
    <w:uiPriority w:val="99"/>
    <w:semiHidden/>
    <w:rsid w:val="00E503BB"/>
    <w:rPr>
      <w:sz w:val="20"/>
      <w:szCs w:val="20"/>
    </w:rPr>
  </w:style>
  <w:style w:type="character" w:styleId="FootnoteReference">
    <w:name w:val="footnote reference"/>
    <w:basedOn w:val="DefaultParagraphFont"/>
    <w:uiPriority w:val="99"/>
    <w:semiHidden/>
    <w:unhideWhenUsed/>
    <w:rsid w:val="00E503BB"/>
    <w:rPr>
      <w:vertAlign w:val="superscript"/>
    </w:rPr>
  </w:style>
  <w:style w:type="character" w:styleId="Hyperlink">
    <w:name w:val="Hyperlink"/>
    <w:basedOn w:val="DefaultParagraphFont"/>
    <w:uiPriority w:val="99"/>
    <w:unhideWhenUsed/>
    <w:rsid w:val="003014F5"/>
    <w:rPr>
      <w:color w:val="0000FF" w:themeColor="hyperlink"/>
      <w:u w:val="single"/>
    </w:rPr>
  </w:style>
  <w:style w:type="paragraph" w:styleId="Header">
    <w:name w:val="header"/>
    <w:basedOn w:val="Normal"/>
    <w:link w:val="HeaderChar"/>
    <w:uiPriority w:val="99"/>
    <w:unhideWhenUsed/>
    <w:rsid w:val="00E93F8F"/>
    <w:pPr>
      <w:tabs>
        <w:tab w:val="center" w:pos="4680"/>
        <w:tab w:val="right" w:pos="9360"/>
      </w:tabs>
      <w:spacing w:line="240" w:lineRule="auto"/>
    </w:pPr>
  </w:style>
  <w:style w:type="character" w:customStyle="1" w:styleId="HeaderChar">
    <w:name w:val="Header Char"/>
    <w:basedOn w:val="DefaultParagraphFont"/>
    <w:link w:val="Header"/>
    <w:uiPriority w:val="99"/>
    <w:rsid w:val="00E93F8F"/>
  </w:style>
  <w:style w:type="paragraph" w:styleId="Footer">
    <w:name w:val="footer"/>
    <w:basedOn w:val="Normal"/>
    <w:link w:val="FooterChar"/>
    <w:uiPriority w:val="99"/>
    <w:unhideWhenUsed/>
    <w:rsid w:val="00E93F8F"/>
    <w:pPr>
      <w:tabs>
        <w:tab w:val="center" w:pos="4680"/>
        <w:tab w:val="right" w:pos="9360"/>
      </w:tabs>
      <w:spacing w:line="240" w:lineRule="auto"/>
    </w:pPr>
  </w:style>
  <w:style w:type="character" w:customStyle="1" w:styleId="FooterChar">
    <w:name w:val="Footer Char"/>
    <w:basedOn w:val="DefaultParagraphFont"/>
    <w:link w:val="Footer"/>
    <w:uiPriority w:val="99"/>
    <w:rsid w:val="00E93F8F"/>
  </w:style>
  <w:style w:type="paragraph" w:styleId="BalloonText">
    <w:name w:val="Balloon Text"/>
    <w:basedOn w:val="Normal"/>
    <w:link w:val="BalloonTextChar"/>
    <w:uiPriority w:val="99"/>
    <w:semiHidden/>
    <w:unhideWhenUsed/>
    <w:rsid w:val="004810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1F"/>
    <w:rPr>
      <w:rFonts w:ascii="Tahoma" w:hAnsi="Tahoma" w:cs="Tahoma"/>
      <w:sz w:val="16"/>
      <w:szCs w:val="16"/>
    </w:rPr>
  </w:style>
  <w:style w:type="character" w:customStyle="1" w:styleId="Heading2Char">
    <w:name w:val="Heading 2 Char"/>
    <w:basedOn w:val="DefaultParagraphFont"/>
    <w:link w:val="Heading2"/>
    <w:uiPriority w:val="9"/>
    <w:rsid w:val="00615E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8592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5303"/>
    <w:pPr>
      <w:ind w:left="720"/>
      <w:contextualSpacing/>
    </w:pPr>
  </w:style>
  <w:style w:type="paragraph" w:styleId="NoSpacing">
    <w:name w:val="No Spacing"/>
    <w:uiPriority w:val="1"/>
    <w:qFormat/>
    <w:rsid w:val="003C5B3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74172">
      <w:bodyDiv w:val="1"/>
      <w:marLeft w:val="0"/>
      <w:marRight w:val="0"/>
      <w:marTop w:val="0"/>
      <w:marBottom w:val="0"/>
      <w:divBdr>
        <w:top w:val="none" w:sz="0" w:space="0" w:color="auto"/>
        <w:left w:val="none" w:sz="0" w:space="0" w:color="auto"/>
        <w:bottom w:val="none" w:sz="0" w:space="0" w:color="auto"/>
        <w:right w:val="none" w:sz="0" w:space="0" w:color="auto"/>
      </w:divBdr>
    </w:div>
    <w:div w:id="20638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3282</Words>
  <Characters>18738</Characters>
  <Application>Microsoft Office Word</Application>
  <DocSecurity>0</DocSecurity>
  <PresentationFormat/>
  <Lines>722</Lines>
  <Paragraphs>459</Paragraphs>
  <ScaleCrop>false</ScaleCrop>
  <HeadingPairs>
    <vt:vector size="2" baseType="variant">
      <vt:variant>
        <vt:lpstr>Title</vt:lpstr>
      </vt:variant>
      <vt:variant>
        <vt:i4>1</vt:i4>
      </vt:variant>
    </vt:vector>
  </HeadingPairs>
  <TitlesOfParts>
    <vt:vector size="1" baseType="lpstr">
      <vt:lpstr>response to OP reply on compliance tariffs (C36908-2).DOCX</vt:lpstr>
    </vt:vector>
  </TitlesOfParts>
  <Company>Some Company, Inc.</Company>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OP reply on compliance tariffs (C36908-2).DOCX</dc:title>
  <dc:subject>C36908:2 /font=8</dc:subject>
  <dc:creator>Frank Darr</dc:creator>
  <cp:lastModifiedBy>Karen Bowman</cp:lastModifiedBy>
  <cp:revision>2</cp:revision>
  <cp:lastPrinted>2012-03-07T15:26:00Z</cp:lastPrinted>
  <dcterms:created xsi:type="dcterms:W3CDTF">2012-03-07T15:42:00Z</dcterms:created>
  <dcterms:modified xsi:type="dcterms:W3CDTF">2012-03-07T15:42:00Z</dcterms:modified>
</cp:coreProperties>
</file>