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B0ACF" w:rsidRPr="00125D6F" w:rsidP="009E4459" w14:paraId="5F37D9DC" w14:textId="77777777">
      <w:pPr>
        <w:pStyle w:val="HTMLPreformatted"/>
        <w:jc w:val="center"/>
        <w:rPr>
          <w:rFonts w:ascii="Times New Roman" w:hAnsi="Times New Roman" w:cs="Times New Roman"/>
          <w:b/>
          <w:bCs/>
          <w:sz w:val="24"/>
          <w:szCs w:val="24"/>
        </w:rPr>
      </w:pPr>
      <w:bookmarkStart w:id="0" w:name="_GoBack"/>
      <w:bookmarkEnd w:id="0"/>
      <w:r w:rsidRPr="00125D6F">
        <w:rPr>
          <w:rFonts w:ascii="Times New Roman" w:hAnsi="Times New Roman" w:cs="Times New Roman"/>
          <w:b/>
          <w:bCs/>
          <w:sz w:val="24"/>
          <w:szCs w:val="24"/>
        </w:rPr>
        <w:t>BEFORE</w:t>
      </w:r>
    </w:p>
    <w:p w:rsidR="00DB0ACF" w:rsidRPr="00125D6F" w14:paraId="7CADA88E" w14:textId="77777777">
      <w:pPr>
        <w:pStyle w:val="HTMLPreformatted"/>
        <w:jc w:val="center"/>
        <w:rPr>
          <w:rFonts w:ascii="Times New Roman" w:hAnsi="Times New Roman" w:cs="Times New Roman"/>
          <w:sz w:val="24"/>
          <w:szCs w:val="24"/>
        </w:rPr>
      </w:pPr>
      <w:r w:rsidRPr="00125D6F">
        <w:rPr>
          <w:rFonts w:ascii="Times New Roman" w:hAnsi="Times New Roman" w:cs="Times New Roman"/>
          <w:b/>
          <w:bCs/>
          <w:sz w:val="24"/>
          <w:szCs w:val="24"/>
        </w:rPr>
        <w:t>THE PUBLIC UTILITIES COMMISSION OF OHIO</w:t>
      </w:r>
    </w:p>
    <w:p w:rsidR="00DB0ACF" w:rsidRPr="00125D6F" w14:paraId="2D285569" w14:textId="77777777">
      <w:pPr>
        <w:pStyle w:val="HTMLPreformatted"/>
        <w:rPr>
          <w:rFonts w:ascii="Times New Roman" w:hAnsi="Times New Roman" w:cs="Times New Roman"/>
          <w:sz w:val="24"/>
          <w:szCs w:val="24"/>
        </w:rPr>
      </w:pPr>
    </w:p>
    <w:tbl>
      <w:tblPr>
        <w:tblW w:w="8640" w:type="dxa"/>
        <w:tblLook w:val="01E0"/>
      </w:tblPr>
      <w:tblGrid>
        <w:gridCol w:w="4332"/>
        <w:gridCol w:w="360"/>
        <w:gridCol w:w="3948"/>
      </w:tblGrid>
      <w:tr w14:paraId="40E1EDB2" w14:textId="77777777" w:rsidTr="00117687">
        <w:tblPrEx>
          <w:tblW w:w="8640" w:type="dxa"/>
          <w:tblLook w:val="01E0"/>
        </w:tblPrEx>
        <w:trPr>
          <w:trHeight w:val="807"/>
        </w:trPr>
        <w:tc>
          <w:tcPr>
            <w:tcW w:w="4332" w:type="dxa"/>
            <w:shd w:val="clear" w:color="auto" w:fill="auto"/>
          </w:tcPr>
          <w:p w:rsidR="00F066C9" w:rsidRPr="00125D6F" w:rsidP="00F066C9" w14:paraId="637FA254" w14:textId="1CFFA0AC">
            <w:r w:rsidRPr="00125D6F">
              <w:rPr>
                <w:color w:val="232323"/>
              </w:rPr>
              <w:t>In the Matter of the Application of Ohio Power Company for Approval of its Temporary Plan for Addressing the COVID-19 State of Emergency.</w:t>
            </w:r>
          </w:p>
          <w:p w:rsidR="00F6315F" w:rsidRPr="00125D6F" w:rsidP="00966B75" w14:paraId="7C55316E" w14:textId="77777777">
            <w:pPr>
              <w:pStyle w:val="HTMLPreformatted"/>
              <w:rPr>
                <w:rFonts w:ascii="Times New Roman" w:hAnsi="Times New Roman" w:cs="Times New Roman"/>
                <w:sz w:val="24"/>
                <w:szCs w:val="24"/>
              </w:rPr>
            </w:pPr>
          </w:p>
        </w:tc>
        <w:tc>
          <w:tcPr>
            <w:tcW w:w="360" w:type="dxa"/>
            <w:shd w:val="clear" w:color="auto" w:fill="auto"/>
          </w:tcPr>
          <w:p w:rsidR="00DB0ACF" w:rsidRPr="00125D6F" w14:paraId="6B564783"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DB0ACF" w:rsidRPr="00125D6F" w14:paraId="680264D9"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005991" w:rsidRPr="00125D6F" w14:paraId="3EE3C734"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F6315F" w:rsidRPr="00125D6F" w14:paraId="435DDEB9"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DB1378" w:rsidRPr="00125D6F" w:rsidP="00966B75" w14:paraId="3DFBDAC0" w14:textId="77777777">
            <w:pPr>
              <w:pStyle w:val="HTMLPreformatted"/>
              <w:rPr>
                <w:rFonts w:ascii="Times New Roman" w:hAnsi="Times New Roman" w:cs="Times New Roman"/>
                <w:sz w:val="24"/>
                <w:szCs w:val="24"/>
              </w:rPr>
            </w:pPr>
          </w:p>
        </w:tc>
        <w:tc>
          <w:tcPr>
            <w:tcW w:w="3948" w:type="dxa"/>
            <w:shd w:val="clear" w:color="auto" w:fill="auto"/>
          </w:tcPr>
          <w:p w:rsidR="00DB0ACF" w:rsidRPr="00125D6F" w14:paraId="0203CF7F" w14:textId="77777777">
            <w:pPr>
              <w:pStyle w:val="HTMLPreformatted"/>
              <w:rPr>
                <w:rFonts w:ascii="Times New Roman" w:hAnsi="Times New Roman" w:cs="Times New Roman"/>
                <w:sz w:val="24"/>
                <w:szCs w:val="24"/>
              </w:rPr>
            </w:pPr>
          </w:p>
          <w:p w:rsidR="00F6315F" w:rsidRPr="00125D6F" w14:paraId="673BE325" w14:textId="74BF13D5">
            <w:pPr>
              <w:pStyle w:val="HTMLPreformatted"/>
              <w:rPr>
                <w:rFonts w:ascii="Times New Roman" w:hAnsi="Times New Roman" w:cs="Times New Roman"/>
                <w:sz w:val="24"/>
                <w:szCs w:val="24"/>
              </w:rPr>
            </w:pPr>
            <w:r w:rsidRPr="00125D6F">
              <w:rPr>
                <w:rFonts w:ascii="Times New Roman" w:hAnsi="Times New Roman" w:cs="Times New Roman"/>
                <w:sz w:val="24"/>
                <w:szCs w:val="24"/>
              </w:rPr>
              <w:t xml:space="preserve">Case No. </w:t>
            </w:r>
            <w:r w:rsidRPr="00125D6F" w:rsidR="00966B75">
              <w:rPr>
                <w:rFonts w:ascii="Times New Roman" w:hAnsi="Times New Roman" w:cs="Times New Roman"/>
                <w:sz w:val="24"/>
                <w:szCs w:val="24"/>
              </w:rPr>
              <w:t>20-</w:t>
            </w:r>
            <w:r w:rsidRPr="00125D6F" w:rsidR="00F066C9">
              <w:rPr>
                <w:rFonts w:ascii="Times New Roman" w:hAnsi="Times New Roman" w:cs="Times New Roman"/>
                <w:sz w:val="24"/>
                <w:szCs w:val="24"/>
              </w:rPr>
              <w:t>602-EL</w:t>
            </w:r>
            <w:r w:rsidRPr="00125D6F" w:rsidR="00966B75">
              <w:rPr>
                <w:rFonts w:ascii="Times New Roman" w:hAnsi="Times New Roman" w:cs="Times New Roman"/>
                <w:sz w:val="24"/>
                <w:szCs w:val="24"/>
              </w:rPr>
              <w:t>-</w:t>
            </w:r>
            <w:r w:rsidRPr="00125D6F" w:rsidR="00F066C9">
              <w:rPr>
                <w:rFonts w:ascii="Times New Roman" w:hAnsi="Times New Roman" w:cs="Times New Roman"/>
                <w:sz w:val="24"/>
                <w:szCs w:val="24"/>
              </w:rPr>
              <w:t>UNC</w:t>
            </w:r>
          </w:p>
          <w:p w:rsidR="00005991" w:rsidRPr="00125D6F" w14:paraId="7F86027E" w14:textId="77777777">
            <w:pPr>
              <w:pStyle w:val="HTMLPreformatted"/>
              <w:rPr>
                <w:rFonts w:ascii="Times New Roman" w:hAnsi="Times New Roman" w:cs="Times New Roman"/>
                <w:sz w:val="24"/>
                <w:szCs w:val="24"/>
              </w:rPr>
            </w:pPr>
          </w:p>
          <w:p w:rsidR="00DB1378" w:rsidRPr="00125D6F" w14:paraId="531A9CE0" w14:textId="77777777">
            <w:pPr>
              <w:pStyle w:val="HTMLPreformatted"/>
              <w:rPr>
                <w:rFonts w:ascii="Times New Roman" w:hAnsi="Times New Roman" w:cs="Times New Roman"/>
                <w:sz w:val="24"/>
                <w:szCs w:val="24"/>
              </w:rPr>
            </w:pPr>
          </w:p>
          <w:p w:rsidR="00DB1378" w:rsidRPr="00125D6F" w:rsidP="00966B75" w14:paraId="6CE5A46D" w14:textId="77777777">
            <w:pPr>
              <w:pStyle w:val="HTMLPreformatted"/>
              <w:rPr>
                <w:rFonts w:ascii="Times New Roman" w:hAnsi="Times New Roman" w:cs="Times New Roman"/>
                <w:sz w:val="24"/>
                <w:szCs w:val="24"/>
              </w:rPr>
            </w:pPr>
          </w:p>
        </w:tc>
      </w:tr>
    </w:tbl>
    <w:p w:rsidR="00DB0ACF" w:rsidRPr="00125D6F" w14:paraId="3668A87F" w14:textId="77777777">
      <w:pPr>
        <w:pStyle w:val="HTMLPreformatted"/>
        <w:pBdr>
          <w:top w:val="single" w:sz="12" w:space="1" w:color="auto"/>
        </w:pBdr>
        <w:rPr>
          <w:rFonts w:ascii="Times New Roman" w:hAnsi="Times New Roman" w:cs="Times New Roman"/>
          <w:sz w:val="24"/>
          <w:szCs w:val="24"/>
        </w:rPr>
      </w:pPr>
    </w:p>
    <w:p w:rsidR="00DB0ACF" w:rsidRPr="00125D6F" w14:paraId="6814DA04" w14:textId="77777777">
      <w:pPr>
        <w:jc w:val="center"/>
        <w:rPr>
          <w:b/>
          <w:bCs/>
        </w:rPr>
      </w:pPr>
      <w:r w:rsidRPr="00125D6F">
        <w:rPr>
          <w:b/>
          <w:bCs/>
        </w:rPr>
        <w:t>MOTION TO INTERVENE</w:t>
      </w:r>
    </w:p>
    <w:p w:rsidR="00DB0ACF" w:rsidRPr="00125D6F" w14:paraId="02FCA90B" w14:textId="77777777">
      <w:pPr>
        <w:jc w:val="center"/>
        <w:rPr>
          <w:b/>
          <w:bCs/>
        </w:rPr>
      </w:pPr>
      <w:r w:rsidRPr="00125D6F">
        <w:rPr>
          <w:b/>
          <w:bCs/>
        </w:rPr>
        <w:t>BY</w:t>
      </w:r>
    </w:p>
    <w:p w:rsidR="00DB0ACF" w:rsidRPr="00125D6F" w14:paraId="31EDB974" w14:textId="77777777">
      <w:pPr>
        <w:jc w:val="center"/>
        <w:rPr>
          <w:b/>
          <w:bCs/>
        </w:rPr>
      </w:pPr>
      <w:r w:rsidRPr="00125D6F">
        <w:rPr>
          <w:b/>
          <w:bCs/>
        </w:rPr>
        <w:t>THE OFFICE OF THE OHIO CONSUMERS’ COUNSEL</w:t>
      </w:r>
    </w:p>
    <w:p w:rsidR="00DB0ACF" w:rsidRPr="00125D6F" w14:paraId="07F0624D" w14:textId="77777777">
      <w:pPr>
        <w:pBdr>
          <w:bottom w:val="single" w:sz="12" w:space="1" w:color="auto"/>
        </w:pBdr>
        <w:tabs>
          <w:tab w:val="left" w:pos="4320"/>
        </w:tabs>
      </w:pPr>
    </w:p>
    <w:p w:rsidR="00DB0ACF" w:rsidRPr="00125D6F" w14:paraId="2BF7CF35" w14:textId="77777777">
      <w:pPr>
        <w:tabs>
          <w:tab w:val="left" w:pos="4320"/>
        </w:tabs>
      </w:pPr>
    </w:p>
    <w:p w:rsidR="00A226C1" w:rsidRPr="00125D6F" w:rsidP="00714D65" w14:paraId="57B95C33" w14:textId="01029CE8">
      <w:pPr>
        <w:pStyle w:val="BodyTextIndent3"/>
        <w:widowControl w:val="0"/>
        <w:spacing w:line="480" w:lineRule="auto"/>
        <w:ind w:right="-312"/>
        <w:rPr>
          <w:szCs w:val="24"/>
        </w:rPr>
      </w:pPr>
      <w:r w:rsidRPr="00125D6F">
        <w:rPr>
          <w:szCs w:val="24"/>
        </w:rPr>
        <w:t>On March 9, 2020, Governor DeWine declared a state of emergency to protect the health and safety of Ohioans from the dangerous effects of the coronavirus pandemic</w:t>
      </w:r>
      <w:r w:rsidRPr="00125D6F" w:rsidR="00B56965">
        <w:rPr>
          <w:szCs w:val="24"/>
        </w:rPr>
        <w:t>.</w:t>
      </w:r>
      <w:r w:rsidRPr="00125D6F">
        <w:rPr>
          <w:szCs w:val="24"/>
        </w:rPr>
        <w:t xml:space="preserve"> These are extraordinary times, with severe health risks to Ohio families, closing businesses, lost jobs and wages, and more in AEP’s service area and throughout our great State. At this time of Governor DeWine’s strong leadership rallying Ohioans to fight back against the virus</w:t>
      </w:r>
      <w:r w:rsidRPr="00125D6F" w:rsidR="001A3B88">
        <w:rPr>
          <w:szCs w:val="24"/>
        </w:rPr>
        <w:t>, the</w:t>
      </w:r>
      <w:r w:rsidRPr="00125D6F">
        <w:rPr>
          <w:szCs w:val="24"/>
        </w:rPr>
        <w:t xml:space="preserve"> PUCO’s initiative </w:t>
      </w:r>
      <w:r w:rsidRPr="00125D6F" w:rsidR="001A3B88">
        <w:rPr>
          <w:szCs w:val="24"/>
        </w:rPr>
        <w:t>in</w:t>
      </w:r>
      <w:r w:rsidRPr="00125D6F">
        <w:rPr>
          <w:szCs w:val="24"/>
        </w:rPr>
        <w:t xml:space="preserve"> declaring an emergency to shield Ohioans from utility </w:t>
      </w:r>
    </w:p>
    <w:p w:rsidR="00A226C1" w:rsidRPr="00125D6F" w:rsidP="00714D65" w14:paraId="70B002BF" w14:textId="5DD73C09">
      <w:pPr>
        <w:pStyle w:val="BodyTextIndent3"/>
        <w:widowControl w:val="0"/>
        <w:spacing w:line="480" w:lineRule="auto"/>
        <w:ind w:right="-312" w:firstLine="0"/>
        <w:rPr>
          <w:szCs w:val="24"/>
        </w:rPr>
      </w:pPr>
      <w:r w:rsidRPr="00125D6F">
        <w:rPr>
          <w:szCs w:val="24"/>
        </w:rPr>
        <w:t xml:space="preserve">disconnections, door-to-door energy sales and more, </w:t>
      </w:r>
      <w:r w:rsidRPr="00125D6F" w:rsidR="001A3B88">
        <w:rPr>
          <w:szCs w:val="24"/>
        </w:rPr>
        <w:t xml:space="preserve">is vitally important.  </w:t>
      </w:r>
    </w:p>
    <w:p w:rsidR="00125D6F" w:rsidP="00CF55F5" w14:paraId="33BE76B8" w14:textId="77777777">
      <w:pPr>
        <w:pStyle w:val="BodyTextIndent3"/>
        <w:widowControl w:val="0"/>
        <w:spacing w:line="480" w:lineRule="auto"/>
        <w:ind w:right="-312"/>
        <w:rPr>
          <w:szCs w:val="24"/>
        </w:rPr>
        <w:sectPr>
          <w:footerReference w:type="first" r:id="rId6"/>
          <w:pgSz w:w="12240" w:h="15840"/>
          <w:pgMar w:top="1440" w:right="1800" w:bottom="1440" w:left="1800" w:header="720" w:footer="720" w:gutter="0"/>
          <w:cols w:space="720"/>
          <w:titlePg/>
          <w:docGrid w:linePitch="65"/>
        </w:sectPr>
      </w:pPr>
      <w:r w:rsidRPr="00125D6F">
        <w:rPr>
          <w:szCs w:val="24"/>
        </w:rPr>
        <w:t xml:space="preserve">As part of </w:t>
      </w:r>
      <w:r w:rsidRPr="00125D6F" w:rsidR="00E07903">
        <w:rPr>
          <w:szCs w:val="24"/>
        </w:rPr>
        <w:t>the PUCO’s</w:t>
      </w:r>
      <w:r w:rsidRPr="00125D6F">
        <w:rPr>
          <w:szCs w:val="24"/>
        </w:rPr>
        <w:t xml:space="preserve"> continued efforts, o</w:t>
      </w:r>
      <w:r w:rsidRPr="00125D6F" w:rsidR="002F43AE">
        <w:rPr>
          <w:szCs w:val="24"/>
        </w:rPr>
        <w:t xml:space="preserve">n March 12, 2020, </w:t>
      </w:r>
      <w:r w:rsidRPr="00125D6F" w:rsidR="00E07903">
        <w:rPr>
          <w:szCs w:val="24"/>
        </w:rPr>
        <w:t>it</w:t>
      </w:r>
      <w:r w:rsidRPr="00125D6F" w:rsidR="002F43AE">
        <w:rPr>
          <w:szCs w:val="24"/>
        </w:rPr>
        <w:t xml:space="preserve"> opened </w:t>
      </w:r>
      <w:r w:rsidRPr="00125D6F" w:rsidR="00927FDF">
        <w:rPr>
          <w:szCs w:val="24"/>
        </w:rPr>
        <w:t xml:space="preserve">a </w:t>
      </w:r>
      <w:r w:rsidRPr="00125D6F" w:rsidR="002F43AE">
        <w:rPr>
          <w:szCs w:val="24"/>
        </w:rPr>
        <w:t>docket</w:t>
      </w:r>
      <w:r w:rsidRPr="00125D6F" w:rsidR="00CF55F5">
        <w:rPr>
          <w:szCs w:val="24"/>
        </w:rPr>
        <w:t xml:space="preserve"> </w:t>
      </w:r>
      <w:r w:rsidRPr="00125D6F" w:rsidR="001F043B">
        <w:rPr>
          <w:szCs w:val="24"/>
        </w:rPr>
        <w:t xml:space="preserve">and </w:t>
      </w:r>
      <w:r w:rsidRPr="00125D6F" w:rsidR="008D4C0A">
        <w:rPr>
          <w:szCs w:val="24"/>
        </w:rPr>
        <w:t>ordered</w:t>
      </w:r>
      <w:r w:rsidRPr="00125D6F" w:rsidR="00927FDF">
        <w:rPr>
          <w:szCs w:val="24"/>
        </w:rPr>
        <w:t xml:space="preserve"> the</w:t>
      </w:r>
      <w:r w:rsidRPr="00125D6F" w:rsidR="008D4C0A">
        <w:rPr>
          <w:szCs w:val="24"/>
        </w:rPr>
        <w:t xml:space="preserve"> utilities to “ensure that utility service to customers is maintained during the state of emergency.”</w:t>
      </w:r>
      <w:r>
        <w:rPr>
          <w:rStyle w:val="FootnoteReference"/>
          <w:szCs w:val="24"/>
        </w:rPr>
        <w:footnoteReference w:id="2"/>
      </w:r>
      <w:r w:rsidRPr="00125D6F" w:rsidR="008D4C0A">
        <w:rPr>
          <w:szCs w:val="24"/>
        </w:rPr>
        <w:t xml:space="preserve"> </w:t>
      </w:r>
      <w:r w:rsidRPr="00125D6F" w:rsidR="00CF55F5">
        <w:rPr>
          <w:szCs w:val="24"/>
        </w:rPr>
        <w:t xml:space="preserve">The PUCO </w:t>
      </w:r>
      <w:r w:rsidRPr="00125D6F" w:rsidR="002F43AE">
        <w:rPr>
          <w:szCs w:val="24"/>
        </w:rPr>
        <w:t>directed all utility companies to review their service disconnection policies, practices, and tariffs and promptly seek approval to suspend requirements that may “impose a service continuity hardship on residential and non-residential customers” or “create unnecessary COVID-19 risks associated with social contact.”</w:t>
      </w:r>
      <w:r>
        <w:rPr>
          <w:rStyle w:val="FootnoteReference"/>
          <w:szCs w:val="24"/>
        </w:rPr>
        <w:footnoteReference w:id="3"/>
      </w:r>
      <w:r w:rsidRPr="00125D6F" w:rsidR="002F43AE">
        <w:rPr>
          <w:szCs w:val="24"/>
        </w:rPr>
        <w:t xml:space="preserve"> </w:t>
      </w:r>
    </w:p>
    <w:p w:rsidR="00BA2CD8" w:rsidRPr="00125D6F" w:rsidP="002F43AE" w14:paraId="5FF9D512" w14:textId="77B956C2">
      <w:pPr>
        <w:pStyle w:val="BodyTextIndent3"/>
        <w:widowControl w:val="0"/>
        <w:spacing w:line="480" w:lineRule="auto"/>
        <w:ind w:right="-312"/>
        <w:rPr>
          <w:szCs w:val="24"/>
        </w:rPr>
      </w:pPr>
      <w:r w:rsidRPr="00125D6F">
        <w:rPr>
          <w:szCs w:val="24"/>
        </w:rPr>
        <w:t xml:space="preserve">AEP filed its </w:t>
      </w:r>
      <w:r w:rsidRPr="00125D6F" w:rsidR="00E370B1">
        <w:rPr>
          <w:szCs w:val="24"/>
        </w:rPr>
        <w:t>P</w:t>
      </w:r>
      <w:r w:rsidRPr="00125D6F">
        <w:rPr>
          <w:szCs w:val="24"/>
        </w:rPr>
        <w:t xml:space="preserve">lan on </w:t>
      </w:r>
      <w:r w:rsidRPr="00125D6F" w:rsidR="00D36F1C">
        <w:rPr>
          <w:szCs w:val="24"/>
        </w:rPr>
        <w:t>March 17, 2020, and filed an amended</w:t>
      </w:r>
      <w:r w:rsidRPr="00125D6F" w:rsidR="003659F4">
        <w:rPr>
          <w:szCs w:val="24"/>
        </w:rPr>
        <w:t xml:space="preserve"> </w:t>
      </w:r>
      <w:r w:rsidRPr="00125D6F" w:rsidR="00E370B1">
        <w:rPr>
          <w:szCs w:val="24"/>
        </w:rPr>
        <w:t>P</w:t>
      </w:r>
      <w:r w:rsidRPr="00125D6F" w:rsidR="003659F4">
        <w:rPr>
          <w:szCs w:val="24"/>
        </w:rPr>
        <w:t>lan on March 24, 2020</w:t>
      </w:r>
      <w:r w:rsidRPr="00125D6F" w:rsidR="001F043B">
        <w:rPr>
          <w:szCs w:val="24"/>
        </w:rPr>
        <w:t>.  It</w:t>
      </w:r>
      <w:r w:rsidRPr="00125D6F" w:rsidR="00C268BD">
        <w:rPr>
          <w:szCs w:val="24"/>
        </w:rPr>
        <w:t xml:space="preserve"> seeks </w:t>
      </w:r>
      <w:r w:rsidRPr="00125D6F" w:rsidR="005E72C8">
        <w:rPr>
          <w:szCs w:val="24"/>
        </w:rPr>
        <w:t xml:space="preserve"> approval of its Plan and associated relief</w:t>
      </w:r>
      <w:r w:rsidRPr="00125D6F" w:rsidR="00C268BD">
        <w:rPr>
          <w:szCs w:val="24"/>
        </w:rPr>
        <w:t xml:space="preserve">, </w:t>
      </w:r>
      <w:r w:rsidRPr="00125D6F" w:rsidR="00FC77FA">
        <w:rPr>
          <w:szCs w:val="24"/>
        </w:rPr>
        <w:t>throughout</w:t>
      </w:r>
      <w:r w:rsidRPr="00125D6F" w:rsidR="005E72C8">
        <w:rPr>
          <w:szCs w:val="24"/>
        </w:rPr>
        <w:t xml:space="preserve"> the </w:t>
      </w:r>
      <w:r w:rsidRPr="00125D6F" w:rsidR="00E370B1">
        <w:rPr>
          <w:szCs w:val="24"/>
        </w:rPr>
        <w:t>state of emergency</w:t>
      </w:r>
      <w:r w:rsidRPr="00125D6F" w:rsidR="00FC77FA">
        <w:rPr>
          <w:szCs w:val="24"/>
        </w:rPr>
        <w:t>.</w:t>
      </w:r>
    </w:p>
    <w:p w:rsidR="00812543" w:rsidRPr="00125D6F" w:rsidP="00FC4E3E" w14:paraId="71081D31" w14:textId="1BEE5829">
      <w:pPr>
        <w:pStyle w:val="BodyTextIndent3"/>
        <w:widowControl w:val="0"/>
        <w:spacing w:line="480" w:lineRule="auto"/>
        <w:ind w:right="-312"/>
        <w:rPr>
          <w:szCs w:val="24"/>
        </w:rPr>
      </w:pPr>
      <w:r w:rsidRPr="00125D6F">
        <w:rPr>
          <w:szCs w:val="24"/>
        </w:rPr>
        <w:t xml:space="preserve">The </w:t>
      </w:r>
      <w:r w:rsidRPr="00125D6F" w:rsidR="00EB495B">
        <w:rPr>
          <w:szCs w:val="24"/>
        </w:rPr>
        <w:t xml:space="preserve"> Office of the Ohio Consumers’ Counsel (“OCC”) moves to intervene</w:t>
      </w:r>
      <w:r w:rsidRPr="00125D6F">
        <w:rPr>
          <w:szCs w:val="24"/>
        </w:rPr>
        <w:t xml:space="preserve"> to protect the interest of 1.3 million residential customers who </w:t>
      </w:r>
      <w:r w:rsidRPr="00125D6F" w:rsidR="00B56965">
        <w:rPr>
          <w:szCs w:val="24"/>
        </w:rPr>
        <w:t xml:space="preserve">will be </w:t>
      </w:r>
      <w:r w:rsidRPr="00125D6F" w:rsidR="00240C0A">
        <w:rPr>
          <w:szCs w:val="24"/>
        </w:rPr>
        <w:t>impacted by, and will be asked to pay for, AEP’s Plan.</w:t>
      </w:r>
      <w:r>
        <w:rPr>
          <w:rStyle w:val="FootnoteReference"/>
          <w:szCs w:val="24"/>
        </w:rPr>
        <w:footnoteReference w:id="4"/>
      </w:r>
      <w:r w:rsidRPr="00125D6F" w:rsidR="009602A6">
        <w:rPr>
          <w:szCs w:val="24"/>
        </w:rPr>
        <w:t xml:space="preserve"> The PUCO should grant OCC’s motion to intervene for the reasons set forth in the attached memorandum in support.</w:t>
      </w:r>
    </w:p>
    <w:p w:rsidR="00F1170B" w:rsidRPr="00125D6F" w:rsidP="00F1170B" w14:paraId="607FCE00" w14:textId="77777777">
      <w:pPr>
        <w:pStyle w:val="BodyTextIndent3"/>
        <w:widowControl w:val="0"/>
        <w:spacing w:line="480" w:lineRule="auto"/>
        <w:ind w:left="3600" w:right="-312" w:firstLine="0"/>
        <w:rPr>
          <w:szCs w:val="24"/>
        </w:rPr>
      </w:pPr>
      <w:r w:rsidRPr="00125D6F">
        <w:rPr>
          <w:szCs w:val="24"/>
        </w:rPr>
        <w:t>Respectfully submitted,</w:t>
      </w:r>
    </w:p>
    <w:p w:rsidR="00F1170B" w:rsidRPr="00125D6F" w:rsidP="00F1170B" w14:paraId="220EBD8E" w14:textId="77777777">
      <w:pPr>
        <w:pStyle w:val="Footer"/>
        <w:tabs>
          <w:tab w:val="left" w:pos="4320"/>
          <w:tab w:val="clear" w:pos="8640"/>
        </w:tabs>
        <w:ind w:left="3600"/>
        <w:rPr>
          <w:sz w:val="24"/>
          <w:szCs w:val="24"/>
        </w:rPr>
      </w:pPr>
      <w:r w:rsidRPr="00125D6F">
        <w:rPr>
          <w:sz w:val="24"/>
          <w:szCs w:val="24"/>
        </w:rPr>
        <w:t>Bruce Weston (0016973)</w:t>
      </w:r>
    </w:p>
    <w:p w:rsidR="00F1170B" w:rsidRPr="00125D6F" w:rsidP="00F1170B" w14:paraId="2A8AA51D" w14:textId="77777777">
      <w:pPr>
        <w:tabs>
          <w:tab w:val="left" w:pos="4320"/>
        </w:tabs>
        <w:ind w:left="3600"/>
      </w:pPr>
      <w:r w:rsidRPr="00125D6F">
        <w:t>Ohio Consumers’ Counsel</w:t>
      </w:r>
    </w:p>
    <w:p w:rsidR="00F1170B" w:rsidRPr="00125D6F" w:rsidP="00F1170B" w14:paraId="23ED09AD" w14:textId="77777777">
      <w:pPr>
        <w:tabs>
          <w:tab w:val="left" w:pos="4320"/>
        </w:tabs>
        <w:ind w:left="3600"/>
      </w:pPr>
      <w:r w:rsidRPr="00125D6F">
        <w:tab/>
      </w:r>
    </w:p>
    <w:p w:rsidR="00F1170B" w:rsidRPr="00125D6F" w:rsidP="00F1170B" w14:paraId="5798F7E8" w14:textId="68018BBD">
      <w:pPr>
        <w:tabs>
          <w:tab w:val="left" w:pos="4320"/>
        </w:tabs>
        <w:ind w:left="3600"/>
      </w:pPr>
      <w:r w:rsidRPr="00125D6F">
        <w:rPr>
          <w:i/>
          <w:u w:val="single"/>
        </w:rPr>
        <w:t>/s/ Ambrosia E.</w:t>
      </w:r>
      <w:r w:rsidR="00125D6F">
        <w:rPr>
          <w:i/>
          <w:u w:val="single"/>
        </w:rPr>
        <w:t xml:space="preserve"> Wilson</w:t>
      </w:r>
      <w:r w:rsidRPr="00125D6F">
        <w:rPr>
          <w:i/>
          <w:u w:val="single"/>
        </w:rPr>
        <w:tab/>
      </w:r>
      <w:r w:rsidRPr="00125D6F">
        <w:rPr>
          <w:i/>
          <w:u w:val="single"/>
        </w:rPr>
        <w:tab/>
      </w:r>
      <w:r w:rsidRPr="00125D6F">
        <w:t xml:space="preserve"> </w:t>
      </w:r>
    </w:p>
    <w:p w:rsidR="00F1170B" w:rsidRPr="00125D6F" w:rsidP="00F1170B" w14:paraId="226B52C1" w14:textId="77777777">
      <w:pPr>
        <w:tabs>
          <w:tab w:val="left" w:pos="4320"/>
        </w:tabs>
        <w:ind w:left="3600"/>
      </w:pPr>
      <w:r w:rsidRPr="00125D6F">
        <w:t>William Michael (0070921)</w:t>
      </w:r>
    </w:p>
    <w:p w:rsidR="00F1170B" w:rsidRPr="00125D6F" w:rsidP="00F1170B" w14:paraId="0A5276EE" w14:textId="77777777">
      <w:pPr>
        <w:tabs>
          <w:tab w:val="left" w:pos="4320"/>
        </w:tabs>
        <w:ind w:left="3600"/>
      </w:pPr>
      <w:r w:rsidRPr="00125D6F">
        <w:t xml:space="preserve">Counsel of Record </w:t>
      </w:r>
    </w:p>
    <w:p w:rsidR="00F1170B" w:rsidRPr="00125D6F" w:rsidP="00F1170B" w14:paraId="18A94083" w14:textId="76F73AD6">
      <w:pPr>
        <w:tabs>
          <w:tab w:val="left" w:pos="4320"/>
        </w:tabs>
        <w:ind w:left="3600"/>
      </w:pPr>
      <w:r w:rsidRPr="00125D6F">
        <w:t xml:space="preserve">Ambrosia E. </w:t>
      </w:r>
      <w:r w:rsidR="00125D6F">
        <w:t>Wilson</w:t>
      </w:r>
      <w:r w:rsidRPr="00125D6F">
        <w:t xml:space="preserve"> (0096598)</w:t>
      </w:r>
    </w:p>
    <w:p w:rsidR="00F1170B" w:rsidRPr="00125D6F" w:rsidP="00F1170B" w14:paraId="301C8FF9" w14:textId="77777777">
      <w:pPr>
        <w:tabs>
          <w:tab w:val="left" w:pos="4320"/>
        </w:tabs>
        <w:ind w:left="3600"/>
      </w:pPr>
      <w:r w:rsidRPr="00125D6F">
        <w:t>Assistant Consumers’ Counsel</w:t>
      </w:r>
    </w:p>
    <w:p w:rsidR="00F1170B" w:rsidRPr="00125D6F" w:rsidP="00F1170B" w14:paraId="52CC07A4" w14:textId="77777777">
      <w:pPr>
        <w:tabs>
          <w:tab w:val="left" w:pos="4320"/>
        </w:tabs>
        <w:ind w:left="3600"/>
      </w:pPr>
      <w:r w:rsidRPr="00125D6F">
        <w:tab/>
      </w:r>
    </w:p>
    <w:p w:rsidR="00F1170B" w:rsidRPr="00125D6F" w:rsidP="00F1170B" w14:paraId="784E03A7" w14:textId="77777777">
      <w:pPr>
        <w:pStyle w:val="Heading1"/>
        <w:ind w:left="3600" w:right="-648"/>
        <w:rPr>
          <w:u w:val="none"/>
        </w:rPr>
      </w:pPr>
      <w:r w:rsidRPr="00125D6F">
        <w:rPr>
          <w:u w:val="none"/>
        </w:rPr>
        <w:t>Office of the Ohio Consumers’ Counsel</w:t>
      </w:r>
    </w:p>
    <w:p w:rsidR="00F1170B" w:rsidRPr="00125D6F" w:rsidP="00F1170B" w14:paraId="63EF1F24" w14:textId="77777777">
      <w:pPr>
        <w:pStyle w:val="Heading1"/>
        <w:ind w:left="3600" w:right="-648"/>
        <w:rPr>
          <w:b w:val="0"/>
          <w:u w:val="none"/>
        </w:rPr>
      </w:pPr>
      <w:r w:rsidRPr="00125D6F">
        <w:rPr>
          <w:b w:val="0"/>
          <w:u w:val="none"/>
        </w:rPr>
        <w:t>65 East State Street, 7th Floor</w:t>
      </w:r>
    </w:p>
    <w:p w:rsidR="00F1170B" w:rsidRPr="00125D6F" w:rsidP="00F1170B" w14:paraId="678AA37C" w14:textId="77777777">
      <w:pPr>
        <w:pStyle w:val="Heading1"/>
        <w:ind w:left="3600" w:right="-648"/>
        <w:rPr>
          <w:b w:val="0"/>
          <w:u w:val="none"/>
        </w:rPr>
      </w:pPr>
      <w:r w:rsidRPr="00125D6F">
        <w:rPr>
          <w:b w:val="0"/>
          <w:u w:val="none"/>
        </w:rPr>
        <w:t>Columbus, Ohio 43215-4213</w:t>
      </w:r>
    </w:p>
    <w:p w:rsidR="00F1170B" w:rsidRPr="00125D6F" w:rsidP="00F1170B" w14:paraId="4CAEAC1B" w14:textId="77777777">
      <w:pPr>
        <w:autoSpaceDE w:val="0"/>
        <w:autoSpaceDN w:val="0"/>
        <w:adjustRightInd w:val="0"/>
        <w:ind w:left="3600"/>
      </w:pPr>
      <w:r w:rsidRPr="00125D6F">
        <w:t>Telephone [Michael]: (614) 466-1291</w:t>
      </w:r>
    </w:p>
    <w:p w:rsidR="00F1170B" w:rsidRPr="00125D6F" w:rsidP="00F1170B" w14:paraId="640D5C67" w14:textId="66C4B5DF">
      <w:pPr>
        <w:autoSpaceDE w:val="0"/>
        <w:autoSpaceDN w:val="0"/>
        <w:adjustRightInd w:val="0"/>
        <w:ind w:left="3600"/>
      </w:pPr>
      <w:r w:rsidRPr="00125D6F">
        <w:t>Telephone [</w:t>
      </w:r>
      <w:r w:rsidR="00125D6F">
        <w:t>Wilson</w:t>
      </w:r>
      <w:r w:rsidRPr="00125D6F">
        <w:t>]: (614) 466-1292</w:t>
      </w:r>
    </w:p>
    <w:p w:rsidR="00F1170B" w:rsidP="00F1170B" w14:paraId="3706D1DD" w14:textId="772630EE">
      <w:pPr>
        <w:autoSpaceDE w:val="0"/>
        <w:autoSpaceDN w:val="0"/>
        <w:adjustRightInd w:val="0"/>
        <w:ind w:left="3600"/>
      </w:pPr>
      <w:hyperlink r:id="rId7" w:history="1">
        <w:r w:rsidRPr="00557D1C" w:rsidR="00125D6F">
          <w:rPr>
            <w:rStyle w:val="Hyperlink"/>
          </w:rPr>
          <w:t>William.Michael@occ.ohio.gov</w:t>
        </w:r>
      </w:hyperlink>
    </w:p>
    <w:p w:rsidR="00F1170B" w:rsidRPr="00125D6F" w:rsidP="00F1170B" w14:paraId="1BADE5BA" w14:textId="741A4395">
      <w:pPr>
        <w:autoSpaceDE w:val="0"/>
        <w:autoSpaceDN w:val="0"/>
        <w:adjustRightInd w:val="0"/>
        <w:ind w:left="3600"/>
      </w:pPr>
      <w:hyperlink r:id="rId8" w:history="1">
        <w:r w:rsidRPr="00557D1C" w:rsidR="00125D6F">
          <w:rPr>
            <w:rStyle w:val="Hyperlink"/>
          </w:rPr>
          <w:t>Ambrosia.Wilson@occ.ohio.gov</w:t>
        </w:r>
      </w:hyperlink>
    </w:p>
    <w:p w:rsidR="00F1170B" w:rsidRPr="00125D6F" w:rsidP="00F1170B" w14:paraId="7899621F" w14:textId="77777777">
      <w:pPr>
        <w:ind w:left="3600"/>
      </w:pPr>
      <w:r w:rsidRPr="00125D6F">
        <w:t>(willing to accept service by e-mail)</w:t>
      </w:r>
    </w:p>
    <w:p w:rsidR="00DB0ACF" w:rsidRPr="00125D6F" w14:paraId="62C63C50" w14:textId="77777777">
      <w:r w:rsidRPr="00125D6F">
        <w:tab/>
      </w:r>
      <w:r w:rsidRPr="00125D6F">
        <w:tab/>
      </w:r>
      <w:r w:rsidRPr="00125D6F">
        <w:tab/>
      </w:r>
      <w:r w:rsidRPr="00125D6F">
        <w:tab/>
      </w:r>
      <w:r w:rsidRPr="00125D6F">
        <w:tab/>
      </w:r>
      <w:r w:rsidRPr="00125D6F">
        <w:tab/>
      </w:r>
    </w:p>
    <w:p w:rsidR="00DB0ACF" w:rsidRPr="00125D6F" w14:paraId="6A04BFF9" w14:textId="77777777"/>
    <w:p w:rsidR="00DB0ACF" w:rsidRPr="00125D6F" w14:paraId="53459769" w14:textId="77777777"/>
    <w:p w:rsidR="00DB0ACF" w:rsidRPr="00125D6F" w14:paraId="2FCE7CD3" w14:textId="77777777"/>
    <w:p w:rsidR="00DB0ACF" w:rsidRPr="00125D6F" w14:paraId="1F9770CA" w14:textId="77777777">
      <w:pPr>
        <w:ind w:left="4320" w:firstLine="720"/>
        <w:jc w:val="both"/>
      </w:pPr>
    </w:p>
    <w:p w:rsidR="00DB0ACF" w:rsidRPr="00125D6F" w14:paraId="0FCEA976" w14:textId="77777777">
      <w:pPr>
        <w:pStyle w:val="HTMLPreformatted"/>
        <w:jc w:val="center"/>
        <w:rPr>
          <w:rFonts w:ascii="Times New Roman" w:hAnsi="Times New Roman" w:cs="Times New Roman"/>
          <w:b/>
          <w:bCs/>
          <w:sz w:val="24"/>
          <w:szCs w:val="24"/>
        </w:rPr>
        <w:sectPr>
          <w:footerReference w:type="first" r:id="rId9"/>
          <w:pgSz w:w="12240" w:h="15840"/>
          <w:pgMar w:top="1440" w:right="1800" w:bottom="1440" w:left="1800" w:header="720" w:footer="720" w:gutter="0"/>
          <w:cols w:space="720"/>
          <w:titlePg/>
          <w:docGrid w:linePitch="65"/>
        </w:sectPr>
      </w:pPr>
    </w:p>
    <w:p w:rsidR="00841A9F" w:rsidRPr="00125D6F" w:rsidP="00841A9F" w14:paraId="0647D090" w14:textId="77777777">
      <w:pPr>
        <w:pStyle w:val="HTMLPreformatted"/>
        <w:jc w:val="center"/>
        <w:rPr>
          <w:rFonts w:ascii="Times New Roman" w:hAnsi="Times New Roman" w:cs="Times New Roman"/>
          <w:b/>
          <w:bCs/>
          <w:sz w:val="24"/>
          <w:szCs w:val="24"/>
        </w:rPr>
      </w:pPr>
      <w:r w:rsidRPr="00125D6F">
        <w:rPr>
          <w:rFonts w:ascii="Times New Roman" w:hAnsi="Times New Roman" w:cs="Times New Roman"/>
          <w:b/>
          <w:bCs/>
          <w:sz w:val="24"/>
          <w:szCs w:val="24"/>
        </w:rPr>
        <w:t>BEFORE</w:t>
      </w:r>
    </w:p>
    <w:p w:rsidR="00841A9F" w:rsidRPr="00125D6F" w:rsidP="00841A9F" w14:paraId="0C18DCBD" w14:textId="77777777">
      <w:pPr>
        <w:pStyle w:val="HTMLPreformatted"/>
        <w:jc w:val="center"/>
        <w:rPr>
          <w:rFonts w:ascii="Times New Roman" w:hAnsi="Times New Roman" w:cs="Times New Roman"/>
          <w:sz w:val="24"/>
          <w:szCs w:val="24"/>
        </w:rPr>
      </w:pPr>
      <w:r w:rsidRPr="00125D6F">
        <w:rPr>
          <w:rFonts w:ascii="Times New Roman" w:hAnsi="Times New Roman" w:cs="Times New Roman"/>
          <w:b/>
          <w:bCs/>
          <w:sz w:val="24"/>
          <w:szCs w:val="24"/>
        </w:rPr>
        <w:t>THE PUBLIC UTILITIES COMMISSION OF OHIO</w:t>
      </w:r>
    </w:p>
    <w:p w:rsidR="00841A9F" w:rsidRPr="00125D6F" w:rsidP="00841A9F" w14:paraId="30D8E985" w14:textId="77777777">
      <w:pPr>
        <w:pStyle w:val="HTMLPreformatted"/>
        <w:rPr>
          <w:rFonts w:ascii="Times New Roman" w:hAnsi="Times New Roman" w:cs="Times New Roman"/>
          <w:sz w:val="24"/>
          <w:szCs w:val="24"/>
        </w:rPr>
      </w:pPr>
    </w:p>
    <w:tbl>
      <w:tblPr>
        <w:tblW w:w="8218" w:type="dxa"/>
        <w:tblLook w:val="01E0"/>
      </w:tblPr>
      <w:tblGrid>
        <w:gridCol w:w="4132"/>
        <w:gridCol w:w="356"/>
        <w:gridCol w:w="3730"/>
      </w:tblGrid>
      <w:tr w14:paraId="34E43CEF" w14:textId="77777777" w:rsidTr="00560623">
        <w:tblPrEx>
          <w:tblW w:w="8218" w:type="dxa"/>
          <w:tblLook w:val="01E0"/>
        </w:tblPrEx>
        <w:trPr>
          <w:trHeight w:val="807"/>
        </w:trPr>
        <w:tc>
          <w:tcPr>
            <w:tcW w:w="4132" w:type="dxa"/>
            <w:shd w:val="clear" w:color="auto" w:fill="auto"/>
          </w:tcPr>
          <w:p w:rsidR="00E23D95" w:rsidRPr="00125D6F" w:rsidP="00E23D95" w14:paraId="2D565D1A" w14:textId="33027371">
            <w:r w:rsidRPr="00125D6F">
              <w:rPr>
                <w:color w:val="232323"/>
              </w:rPr>
              <w:t>In the Matter of the Application of Ohio Power Company for Approval of its Temporary Plan for Addressing the COVID-19 State of Emergency.</w:t>
            </w:r>
          </w:p>
        </w:tc>
        <w:tc>
          <w:tcPr>
            <w:tcW w:w="356" w:type="dxa"/>
            <w:shd w:val="clear" w:color="auto" w:fill="auto"/>
          </w:tcPr>
          <w:p w:rsidR="00E23D95" w:rsidRPr="00125D6F" w:rsidP="00692582" w14:paraId="653E88F5"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692582" w14:paraId="2B190907"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692582" w14:paraId="7A7C2C34" w14:textId="77777777">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p w:rsidR="00E23D95" w:rsidRPr="00125D6F" w:rsidP="00E23D95" w14:paraId="327E83B1" w14:textId="00138EFF">
            <w:pPr>
              <w:pStyle w:val="HTMLPreformatted"/>
              <w:rPr>
                <w:rFonts w:ascii="Times New Roman" w:hAnsi="Times New Roman" w:cs="Times New Roman"/>
                <w:sz w:val="24"/>
                <w:szCs w:val="24"/>
              </w:rPr>
            </w:pPr>
            <w:r w:rsidRPr="00125D6F">
              <w:rPr>
                <w:rFonts w:ascii="Times New Roman" w:hAnsi="Times New Roman" w:cs="Times New Roman"/>
                <w:sz w:val="24"/>
                <w:szCs w:val="24"/>
              </w:rPr>
              <w:t>)</w:t>
            </w:r>
          </w:p>
        </w:tc>
        <w:tc>
          <w:tcPr>
            <w:tcW w:w="3730" w:type="dxa"/>
            <w:shd w:val="clear" w:color="auto" w:fill="auto"/>
          </w:tcPr>
          <w:p w:rsidR="00E23D95" w:rsidRPr="00125D6F" w:rsidP="00692582" w14:paraId="3A8EF69E" w14:textId="77777777">
            <w:pPr>
              <w:pStyle w:val="HTMLPreformatted"/>
              <w:rPr>
                <w:rFonts w:ascii="Times New Roman" w:hAnsi="Times New Roman" w:cs="Times New Roman"/>
                <w:sz w:val="24"/>
                <w:szCs w:val="24"/>
              </w:rPr>
            </w:pPr>
          </w:p>
          <w:p w:rsidR="00E23D95" w:rsidRPr="00125D6F" w:rsidP="00E23D95" w14:paraId="1C95AB95" w14:textId="40517647">
            <w:pPr>
              <w:pStyle w:val="HTMLPreformatted"/>
              <w:rPr>
                <w:rFonts w:ascii="Times New Roman" w:hAnsi="Times New Roman" w:cs="Times New Roman"/>
                <w:sz w:val="24"/>
                <w:szCs w:val="24"/>
              </w:rPr>
            </w:pPr>
            <w:r w:rsidRPr="00125D6F">
              <w:rPr>
                <w:rFonts w:ascii="Times New Roman" w:hAnsi="Times New Roman" w:cs="Times New Roman"/>
                <w:sz w:val="24"/>
                <w:szCs w:val="24"/>
              </w:rPr>
              <w:t>Case No. 20-602-EL-UNC</w:t>
            </w:r>
          </w:p>
        </w:tc>
      </w:tr>
    </w:tbl>
    <w:p w:rsidR="00DB0ACF" w:rsidRPr="00125D6F" w:rsidP="00560623" w14:paraId="5DECE976" w14:textId="2B8678A0">
      <w:pPr>
        <w:pStyle w:val="Heading2"/>
        <w:pBdr>
          <w:bottom w:val="single" w:sz="12" w:space="1" w:color="auto"/>
        </w:pBdr>
        <w:jc w:val="left"/>
        <w:rPr>
          <w:szCs w:val="24"/>
        </w:rPr>
      </w:pPr>
    </w:p>
    <w:p w:rsidR="00560623" w:rsidRPr="00125D6F" w:rsidP="00560623" w14:paraId="2C0A8B15" w14:textId="77777777"/>
    <w:p w:rsidR="00DB0ACF" w:rsidRPr="00125D6F" w14:paraId="64C545C2" w14:textId="77777777">
      <w:pPr>
        <w:pStyle w:val="Heading2"/>
        <w:pBdr>
          <w:bottom w:val="single" w:sz="12" w:space="1" w:color="auto"/>
        </w:pBdr>
        <w:rPr>
          <w:szCs w:val="24"/>
        </w:rPr>
      </w:pPr>
      <w:r w:rsidRPr="00125D6F">
        <w:rPr>
          <w:szCs w:val="24"/>
        </w:rPr>
        <w:t>MEMORANDUM IN SUPPORT</w:t>
      </w:r>
      <w:r w:rsidRPr="00125D6F">
        <w:rPr>
          <w:szCs w:val="24"/>
        </w:rPr>
        <w:br/>
      </w:r>
    </w:p>
    <w:p w:rsidR="00DB0ACF" w:rsidRPr="00125D6F" w14:paraId="7F1200E9" w14:textId="77777777">
      <w:pPr>
        <w:pStyle w:val="BodyTextIndent"/>
        <w:spacing w:line="240" w:lineRule="auto"/>
        <w:ind w:firstLine="0"/>
        <w:rPr>
          <w:b/>
          <w:bCs/>
          <w:szCs w:val="24"/>
        </w:rPr>
      </w:pPr>
    </w:p>
    <w:p w:rsidR="00EA549F" w:rsidRPr="00125D6F" w:rsidP="00EA549F" w14:paraId="613EAAAB" w14:textId="5ABBEEF2">
      <w:pPr>
        <w:spacing w:line="480" w:lineRule="auto"/>
        <w:ind w:firstLine="720"/>
      </w:pPr>
      <w:r w:rsidRPr="00125D6F">
        <w:rPr>
          <w:color w:val="000000"/>
        </w:rPr>
        <w:t xml:space="preserve">In the coming months and </w:t>
      </w:r>
      <w:r w:rsidRPr="00125D6F" w:rsidR="00FC4E3E">
        <w:rPr>
          <w:color w:val="000000"/>
        </w:rPr>
        <w:t>potentially</w:t>
      </w:r>
      <w:r w:rsidRPr="00125D6F">
        <w:rPr>
          <w:color w:val="000000"/>
        </w:rPr>
        <w:t xml:space="preserve"> years, many Ohioans will struggle to pay their utility bills</w:t>
      </w:r>
      <w:r w:rsidRPr="00125D6F" w:rsidR="00FC4E3E">
        <w:rPr>
          <w:color w:val="000000"/>
        </w:rPr>
        <w:t xml:space="preserve">. Those Ohioans with financial challenges will </w:t>
      </w:r>
      <w:r w:rsidRPr="00125D6F">
        <w:rPr>
          <w:color w:val="000000"/>
        </w:rPr>
        <w:t>inclu</w:t>
      </w:r>
      <w:r w:rsidRPr="00125D6F" w:rsidR="00FC4E3E">
        <w:rPr>
          <w:color w:val="000000"/>
        </w:rPr>
        <w:t>de</w:t>
      </w:r>
      <w:r w:rsidRPr="00125D6F">
        <w:rPr>
          <w:color w:val="000000"/>
        </w:rPr>
        <w:t xml:space="preserve"> customers who have historically paid their bills in full and on time but who </w:t>
      </w:r>
      <w:r w:rsidRPr="00125D6F" w:rsidR="00FC4E3E">
        <w:rPr>
          <w:color w:val="000000"/>
        </w:rPr>
        <w:t>may</w:t>
      </w:r>
      <w:r w:rsidRPr="00125D6F">
        <w:rPr>
          <w:color w:val="000000"/>
        </w:rPr>
        <w:t xml:space="preserve"> be unable to continue doing so following the economic fallout of the coronavirus pandemic. Ohio businesses and families will face financial burdens that were unforeseeable just a few months ago. </w:t>
      </w:r>
    </w:p>
    <w:p w:rsidR="008829A5" w:rsidRPr="00125D6F" w:rsidP="00714D65" w14:paraId="39AC9F05" w14:textId="6FB32BF5">
      <w:pPr>
        <w:spacing w:line="480" w:lineRule="auto"/>
        <w:ind w:firstLine="720"/>
        <w:rPr>
          <w:color w:val="000000"/>
        </w:rPr>
      </w:pPr>
      <w:r w:rsidRPr="00125D6F">
        <w:t xml:space="preserve">AEP’s </w:t>
      </w:r>
      <w:r w:rsidRPr="00125D6F" w:rsidR="00EA549F">
        <w:t>P</w:t>
      </w:r>
      <w:r w:rsidRPr="00125D6F">
        <w:t>lan suspends service disconnections,  waives reconnect and late fees, and reduces commercial and industrial customers bills by lowering demand charges.</w:t>
      </w:r>
      <w:r>
        <w:rPr>
          <w:rStyle w:val="FootnoteReference"/>
        </w:rPr>
        <w:footnoteReference w:id="5"/>
      </w:r>
      <w:r w:rsidRPr="00125D6F">
        <w:t xml:space="preserve"> While</w:t>
      </w:r>
      <w:r w:rsidRPr="00125D6F" w:rsidR="00A5441A">
        <w:t xml:space="preserve"> making utility service affordable to all customers</w:t>
      </w:r>
      <w:r w:rsidRPr="00125D6F">
        <w:t xml:space="preserve"> at this time is important, </w:t>
      </w:r>
      <w:r w:rsidRPr="00125D6F" w:rsidR="00A5441A">
        <w:t>AEP’s</w:t>
      </w:r>
      <w:r w:rsidRPr="00125D6F">
        <w:t xml:space="preserve"> </w:t>
      </w:r>
      <w:r w:rsidRPr="00125D6F" w:rsidR="00EA549F">
        <w:t>P</w:t>
      </w:r>
      <w:r w:rsidRPr="00125D6F">
        <w:t>lan will create costs that AEP will seek to collect from customers at a later date.</w:t>
      </w:r>
      <w:r>
        <w:rPr>
          <w:rStyle w:val="FootnoteReference"/>
        </w:rPr>
        <w:footnoteReference w:id="6"/>
      </w:r>
      <w:r w:rsidRPr="00125D6F">
        <w:t xml:space="preserve">  </w:t>
      </w:r>
      <w:r w:rsidRPr="00125D6F" w:rsidR="008D4C0A">
        <w:t xml:space="preserve">Those future costs should be shared by all customers, with minimal cost shifting between customer classes. </w:t>
      </w:r>
      <w:r w:rsidRPr="00125D6F" w:rsidR="009F2B15">
        <w:t xml:space="preserve">Moreover, any costs </w:t>
      </w:r>
      <w:r w:rsidRPr="00125D6F" w:rsidR="0047626F">
        <w:t xml:space="preserve">collected </w:t>
      </w:r>
      <w:r w:rsidRPr="00125D6F" w:rsidR="00F54098">
        <w:t>f</w:t>
      </w:r>
      <w:r w:rsidRPr="00125D6F" w:rsidR="0047626F">
        <w:t xml:space="preserve">rom customers </w:t>
      </w:r>
      <w:r w:rsidRPr="00125D6F" w:rsidR="0021211F">
        <w:t>in base rates and riders</w:t>
      </w:r>
      <w:r w:rsidRPr="00125D6F" w:rsidR="00136312">
        <w:t xml:space="preserve">, but </w:t>
      </w:r>
      <w:r w:rsidRPr="00125D6F" w:rsidR="00FC4E3E">
        <w:t xml:space="preserve">that </w:t>
      </w:r>
      <w:r w:rsidRPr="00125D6F" w:rsidR="00136312">
        <w:t>are unspent</w:t>
      </w:r>
      <w:r w:rsidRPr="00125D6F" w:rsidR="0021211F">
        <w:t xml:space="preserve"> </w:t>
      </w:r>
      <w:r w:rsidRPr="00125D6F" w:rsidR="00136312">
        <w:t xml:space="preserve">as a result of </w:t>
      </w:r>
      <w:r w:rsidRPr="00125D6F" w:rsidR="009F2B15">
        <w:t>activities be</w:t>
      </w:r>
      <w:r w:rsidRPr="00125D6F" w:rsidR="00136312">
        <w:t>ing</w:t>
      </w:r>
      <w:r w:rsidRPr="00125D6F" w:rsidR="009F2B15">
        <w:t xml:space="preserve"> suspended through the crisis</w:t>
      </w:r>
      <w:r w:rsidRPr="00125D6F" w:rsidR="00240C0A">
        <w:t>,</w:t>
      </w:r>
      <w:r w:rsidRPr="00125D6F" w:rsidR="009F2B15">
        <w:t xml:space="preserve"> </w:t>
      </w:r>
      <w:r w:rsidRPr="00125D6F" w:rsidR="00D90DA7">
        <w:t xml:space="preserve">should be used to offset </w:t>
      </w:r>
      <w:r w:rsidRPr="00125D6F" w:rsidR="0047626F">
        <w:t xml:space="preserve">any future costs that AEP </w:t>
      </w:r>
      <w:r w:rsidRPr="00125D6F" w:rsidR="00F54098">
        <w:t>later attempts to collect.</w:t>
      </w:r>
      <w:r w:rsidRPr="00125D6F" w:rsidR="001500EC">
        <w:t xml:space="preserve">  </w:t>
      </w:r>
      <w:r w:rsidRPr="00125D6F" w:rsidR="001500EC">
        <w:rPr>
          <w:color w:val="000000"/>
        </w:rPr>
        <w:t xml:space="preserve">As a result of lost wages, unemployment, and other financial hardships resulting from the coronavirus, the need to make sure that customers pay only fair, just, and reasonable rates is especially </w:t>
      </w:r>
      <w:r w:rsidRPr="00125D6F" w:rsidR="00B83504">
        <w:rPr>
          <w:color w:val="000000"/>
        </w:rPr>
        <w:t>heightened</w:t>
      </w:r>
      <w:r w:rsidRPr="00125D6F" w:rsidR="001500EC">
        <w:rPr>
          <w:color w:val="000000"/>
        </w:rPr>
        <w:t xml:space="preserve">.  </w:t>
      </w:r>
    </w:p>
    <w:p w:rsidR="00DB0ACF" w:rsidRPr="00125D6F" w14:paraId="2047CA31" w14:textId="6BA758BA">
      <w:pPr>
        <w:pStyle w:val="BodyTextIndent3"/>
        <w:widowControl w:val="0"/>
        <w:spacing w:line="480" w:lineRule="auto"/>
        <w:ind w:right="-24"/>
        <w:rPr>
          <w:b/>
          <w:szCs w:val="24"/>
        </w:rPr>
      </w:pPr>
      <w:r w:rsidRPr="00125D6F">
        <w:rPr>
          <w:szCs w:val="24"/>
        </w:rPr>
        <w:t xml:space="preserve"> </w:t>
      </w:r>
      <w:r w:rsidRPr="00125D6F" w:rsidR="001500EC">
        <w:rPr>
          <w:szCs w:val="24"/>
        </w:rPr>
        <w:t>The Office of the Ohio Consumers’ Counsel (“</w:t>
      </w:r>
      <w:r w:rsidRPr="00125D6F" w:rsidR="009602A6">
        <w:rPr>
          <w:szCs w:val="24"/>
        </w:rPr>
        <w:t>OCC</w:t>
      </w:r>
      <w:r w:rsidRPr="00125D6F" w:rsidR="001500EC">
        <w:rPr>
          <w:szCs w:val="24"/>
        </w:rPr>
        <w:t>”)</w:t>
      </w:r>
      <w:r w:rsidRPr="00125D6F">
        <w:rPr>
          <w:szCs w:val="24"/>
        </w:rPr>
        <w:t xml:space="preserve"> </w:t>
      </w:r>
      <w:r w:rsidRPr="00125D6F" w:rsidR="009602A6">
        <w:rPr>
          <w:szCs w:val="24"/>
        </w:rPr>
        <w:t xml:space="preserve">has statutory authority to represent the interests of </w:t>
      </w:r>
      <w:r w:rsidRPr="00125D6F" w:rsidR="00C97127">
        <w:rPr>
          <w:szCs w:val="24"/>
        </w:rPr>
        <w:t>AEP’s</w:t>
      </w:r>
      <w:r w:rsidRPr="00125D6F" w:rsidR="009602A6">
        <w:rPr>
          <w:szCs w:val="24"/>
        </w:rPr>
        <w:t xml:space="preserve"> residential </w:t>
      </w:r>
      <w:r w:rsidRPr="00125D6F" w:rsidR="00C97127">
        <w:rPr>
          <w:szCs w:val="24"/>
        </w:rPr>
        <w:t>electric</w:t>
      </w:r>
      <w:r w:rsidRPr="00125D6F" w:rsidR="009602A6">
        <w:rPr>
          <w:szCs w:val="24"/>
        </w:rPr>
        <w:t xml:space="preserve"> utility customers under R.C. Chapter 491</w:t>
      </w:r>
      <w:r w:rsidRPr="00125D6F" w:rsidR="00332390">
        <w:rPr>
          <w:szCs w:val="24"/>
        </w:rPr>
        <w:t>1</w:t>
      </w:r>
      <w:r w:rsidRPr="00125D6F" w:rsidR="00B56965">
        <w:rPr>
          <w:szCs w:val="24"/>
        </w:rPr>
        <w:t xml:space="preserve">. </w:t>
      </w:r>
      <w:r w:rsidRPr="00125D6F" w:rsidR="00FC4E3E">
        <w:rPr>
          <w:szCs w:val="24"/>
        </w:rPr>
        <w:t xml:space="preserve"> </w:t>
      </w:r>
      <w:r w:rsidRPr="00125D6F" w:rsidR="009602A6">
        <w:rPr>
          <w:szCs w:val="24"/>
        </w:rPr>
        <w:t xml:space="preserve">R.C. 4903.221 provides, in part, that any person “who may be adversely affected” by a </w:t>
      </w:r>
      <w:r w:rsidRPr="00125D6F" w:rsidR="001C121C">
        <w:rPr>
          <w:szCs w:val="24"/>
        </w:rPr>
        <w:t>Public Utilities Commission (“</w:t>
      </w:r>
      <w:r w:rsidRPr="00125D6F" w:rsidR="009602A6">
        <w:rPr>
          <w:szCs w:val="24"/>
        </w:rPr>
        <w:t>PUCO</w:t>
      </w:r>
      <w:r w:rsidRPr="00125D6F" w:rsidR="001C121C">
        <w:rPr>
          <w:szCs w:val="24"/>
        </w:rPr>
        <w:t>”)</w:t>
      </w:r>
      <w:r w:rsidRPr="00125D6F" w:rsidR="009602A6">
        <w:rPr>
          <w:szCs w:val="24"/>
        </w:rPr>
        <w:t xml:space="preserve"> proceeding is entitled to seek intervention in that proceeding. The interests of </w:t>
      </w:r>
      <w:r w:rsidRPr="00125D6F" w:rsidR="005B39E4">
        <w:rPr>
          <w:szCs w:val="24"/>
        </w:rPr>
        <w:t>AEP</w:t>
      </w:r>
      <w:r w:rsidRPr="00125D6F" w:rsidR="009602A6">
        <w:rPr>
          <w:szCs w:val="24"/>
        </w:rPr>
        <w:t xml:space="preserve">’s residential customers may be “adversely affected” by this case, especially if the customers </w:t>
      </w:r>
      <w:r w:rsidRPr="00125D6F" w:rsidR="00FC4E3E">
        <w:rPr>
          <w:szCs w:val="24"/>
        </w:rPr>
        <w:t xml:space="preserve">are </w:t>
      </w:r>
      <w:r w:rsidRPr="00125D6F" w:rsidR="009602A6">
        <w:rPr>
          <w:szCs w:val="24"/>
        </w:rPr>
        <w:t xml:space="preserve">unrepresented in a proceeding </w:t>
      </w:r>
      <w:r w:rsidRPr="00125D6F" w:rsidR="00C0562F">
        <w:rPr>
          <w:szCs w:val="24"/>
        </w:rPr>
        <w:t>that will</w:t>
      </w:r>
      <w:r w:rsidRPr="00125D6F" w:rsidR="00117687">
        <w:rPr>
          <w:szCs w:val="24"/>
        </w:rPr>
        <w:t xml:space="preserve"> </w:t>
      </w:r>
      <w:r w:rsidRPr="00125D6F" w:rsidR="0035482E">
        <w:rPr>
          <w:szCs w:val="24"/>
        </w:rPr>
        <w:t>examine AEP</w:t>
      </w:r>
      <w:r w:rsidRPr="00125D6F" w:rsidR="00FC4E3E">
        <w:rPr>
          <w:szCs w:val="24"/>
        </w:rPr>
        <w:t>’s measures</w:t>
      </w:r>
      <w:r w:rsidRPr="00125D6F" w:rsidR="0035482E">
        <w:rPr>
          <w:szCs w:val="24"/>
        </w:rPr>
        <w:t xml:space="preserve"> to address the coronavirus</w:t>
      </w:r>
      <w:r w:rsidRPr="00125D6F" w:rsidR="00FC4E3E">
        <w:rPr>
          <w:szCs w:val="24"/>
        </w:rPr>
        <w:t xml:space="preserve"> </w:t>
      </w:r>
      <w:r w:rsidRPr="00125D6F" w:rsidR="0035482E">
        <w:rPr>
          <w:szCs w:val="24"/>
        </w:rPr>
        <w:t xml:space="preserve">and AEP’s plans to charge </w:t>
      </w:r>
      <w:r w:rsidRPr="00125D6F" w:rsidR="00A5441A">
        <w:rPr>
          <w:szCs w:val="24"/>
        </w:rPr>
        <w:t xml:space="preserve">residential </w:t>
      </w:r>
      <w:r w:rsidRPr="00125D6F" w:rsidR="0035482E">
        <w:rPr>
          <w:szCs w:val="24"/>
        </w:rPr>
        <w:t>customers for</w:t>
      </w:r>
      <w:r w:rsidRPr="00125D6F" w:rsidR="00332390">
        <w:rPr>
          <w:szCs w:val="24"/>
        </w:rPr>
        <w:t xml:space="preserve"> a share of the costs </w:t>
      </w:r>
      <w:r w:rsidRPr="00125D6F" w:rsidR="001500EC">
        <w:rPr>
          <w:szCs w:val="24"/>
        </w:rPr>
        <w:t>of its Plan</w:t>
      </w:r>
      <w:r w:rsidRPr="00125D6F" w:rsidR="00332390">
        <w:rPr>
          <w:szCs w:val="24"/>
        </w:rPr>
        <w:t xml:space="preserve">. </w:t>
      </w:r>
      <w:r w:rsidRPr="00125D6F" w:rsidR="009602A6">
        <w:rPr>
          <w:szCs w:val="24"/>
        </w:rPr>
        <w:t xml:space="preserve">Thus, this element of the intervention standard in R.C. 4903.221 is satisfied. </w:t>
      </w:r>
    </w:p>
    <w:p w:rsidR="00DB0ACF" w:rsidRPr="00125D6F" w14:paraId="7D248ACB" w14:textId="77777777">
      <w:pPr>
        <w:spacing w:line="480" w:lineRule="auto"/>
        <w:ind w:firstLine="720"/>
      </w:pPr>
      <w:r w:rsidRPr="00125D6F">
        <w:t>R.C. 4903.221(B) requires the PUCO to consider the following criteria in ruling on motions to intervene:</w:t>
      </w:r>
    </w:p>
    <w:p w:rsidR="00DB0ACF" w:rsidRPr="00125D6F" w:rsidP="00DB0ACF" w14:paraId="7DED9B82" w14:textId="77777777">
      <w:pPr>
        <w:ind w:left="2160" w:right="720" w:hanging="720"/>
      </w:pPr>
      <w:r w:rsidRPr="00125D6F">
        <w:t>(1)</w:t>
      </w:r>
      <w:r w:rsidRPr="00125D6F">
        <w:tab/>
        <w:t>The nature and extent of the prospective intervenor’s interest;</w:t>
      </w:r>
    </w:p>
    <w:p w:rsidR="00DB0ACF" w:rsidRPr="00125D6F" w:rsidP="00DB0ACF" w14:paraId="1F73BD8B" w14:textId="77777777">
      <w:pPr>
        <w:spacing w:before="240"/>
        <w:ind w:left="2160" w:right="720" w:hanging="720"/>
      </w:pPr>
      <w:r w:rsidRPr="00125D6F">
        <w:t>(2)</w:t>
      </w:r>
      <w:r w:rsidRPr="00125D6F">
        <w:tab/>
        <w:t>The legal position advanced by the prospective intervenor and its probable relation to the merits of the case;</w:t>
      </w:r>
    </w:p>
    <w:p w:rsidR="00DB0ACF" w:rsidRPr="00125D6F" w:rsidP="00DB0ACF" w14:paraId="363B45F4" w14:textId="77777777">
      <w:pPr>
        <w:spacing w:before="240"/>
        <w:ind w:left="2160" w:right="720" w:hanging="720"/>
      </w:pPr>
      <w:r w:rsidRPr="00125D6F">
        <w:t>(3)</w:t>
      </w:r>
      <w:r w:rsidRPr="00125D6F">
        <w:tab/>
        <w:t xml:space="preserve">Whether the intervention by the prospective intervenor will unduly prolong or delay the proceedings; </w:t>
      </w:r>
    </w:p>
    <w:p w:rsidR="00DB0ACF" w:rsidRPr="00125D6F" w:rsidP="00DB0ACF" w14:paraId="1AF76DEC" w14:textId="77777777">
      <w:pPr>
        <w:pStyle w:val="BodyTextIndent2"/>
        <w:tabs>
          <w:tab w:val="clear" w:pos="720"/>
        </w:tabs>
        <w:ind w:left="2160" w:right="720" w:hanging="720"/>
        <w:rPr>
          <w:szCs w:val="24"/>
        </w:rPr>
      </w:pPr>
      <w:r w:rsidRPr="00125D6F">
        <w:rPr>
          <w:szCs w:val="24"/>
        </w:rPr>
        <w:t>(4)</w:t>
      </w:r>
      <w:r w:rsidRPr="00125D6F">
        <w:rPr>
          <w:szCs w:val="24"/>
        </w:rPr>
        <w:tab/>
        <w:t>Whether the prospective intervenor will significantly contribute to full development and equitable resolution of the factual issues.</w:t>
      </w:r>
    </w:p>
    <w:p w:rsidR="00DB0ACF" w:rsidRPr="00125D6F" w:rsidP="006D02DD" w14:paraId="2140A6C4" w14:textId="14D5DE20">
      <w:pPr>
        <w:pStyle w:val="BodyTextIndent3"/>
        <w:spacing w:line="480" w:lineRule="auto"/>
        <w:rPr>
          <w:szCs w:val="24"/>
        </w:rPr>
      </w:pPr>
      <w:r w:rsidRPr="00125D6F">
        <w:rPr>
          <w:szCs w:val="24"/>
        </w:rPr>
        <w:t xml:space="preserve">First, the nature and extent of OCC’s interest is representing the residential customers of </w:t>
      </w:r>
      <w:r w:rsidRPr="00125D6F" w:rsidR="001C121C">
        <w:rPr>
          <w:szCs w:val="24"/>
        </w:rPr>
        <w:t>AEP</w:t>
      </w:r>
      <w:r w:rsidRPr="00125D6F">
        <w:rPr>
          <w:szCs w:val="24"/>
        </w:rPr>
        <w:t xml:space="preserve"> in this case where th</w:t>
      </w:r>
      <w:r w:rsidRPr="00125D6F" w:rsidR="00C0562F">
        <w:rPr>
          <w:szCs w:val="24"/>
        </w:rPr>
        <w:t>e Utility has a proposal to</w:t>
      </w:r>
      <w:r w:rsidRPr="00125D6F" w:rsidR="00A45592">
        <w:rPr>
          <w:szCs w:val="24"/>
        </w:rPr>
        <w:t xml:space="preserve"> charge customers for </w:t>
      </w:r>
      <w:r w:rsidRPr="00125D6F" w:rsidR="00BC4352">
        <w:rPr>
          <w:szCs w:val="24"/>
        </w:rPr>
        <w:t xml:space="preserve">the </w:t>
      </w:r>
      <w:r w:rsidRPr="00125D6F" w:rsidR="00A45592">
        <w:rPr>
          <w:szCs w:val="24"/>
        </w:rPr>
        <w:t xml:space="preserve">costs of </w:t>
      </w:r>
      <w:r w:rsidRPr="00125D6F" w:rsidR="00BC4352">
        <w:rPr>
          <w:szCs w:val="24"/>
        </w:rPr>
        <w:t xml:space="preserve">its </w:t>
      </w:r>
      <w:r w:rsidRPr="00125D6F" w:rsidR="001500EC">
        <w:rPr>
          <w:szCs w:val="24"/>
        </w:rPr>
        <w:t>Plan</w:t>
      </w:r>
      <w:r w:rsidRPr="00125D6F" w:rsidR="00BC4352">
        <w:rPr>
          <w:szCs w:val="24"/>
        </w:rPr>
        <w:t xml:space="preserve"> </w:t>
      </w:r>
      <w:r w:rsidRPr="00125D6F" w:rsidR="00B56965">
        <w:rPr>
          <w:szCs w:val="24"/>
        </w:rPr>
        <w:t xml:space="preserve">that </w:t>
      </w:r>
      <w:r w:rsidRPr="00125D6F" w:rsidR="00BC4352">
        <w:rPr>
          <w:szCs w:val="24"/>
        </w:rPr>
        <w:t>suspend</w:t>
      </w:r>
      <w:r w:rsidRPr="00125D6F" w:rsidR="00B56965">
        <w:rPr>
          <w:szCs w:val="24"/>
        </w:rPr>
        <w:t>s</w:t>
      </w:r>
      <w:r w:rsidRPr="00125D6F" w:rsidR="00BC4352">
        <w:rPr>
          <w:szCs w:val="24"/>
        </w:rPr>
        <w:t xml:space="preserve"> disconnection</w:t>
      </w:r>
      <w:r w:rsidRPr="00125D6F" w:rsidR="00B56965">
        <w:rPr>
          <w:szCs w:val="24"/>
        </w:rPr>
        <w:t>s</w:t>
      </w:r>
      <w:r w:rsidRPr="00125D6F" w:rsidR="00BC4352">
        <w:rPr>
          <w:szCs w:val="24"/>
        </w:rPr>
        <w:t>, waiv</w:t>
      </w:r>
      <w:r w:rsidRPr="00125D6F" w:rsidR="00B56965">
        <w:rPr>
          <w:szCs w:val="24"/>
        </w:rPr>
        <w:t xml:space="preserve">es </w:t>
      </w:r>
      <w:r w:rsidRPr="00125D6F" w:rsidR="00BC4352">
        <w:rPr>
          <w:szCs w:val="24"/>
        </w:rPr>
        <w:t>late fees, and grant</w:t>
      </w:r>
      <w:r w:rsidRPr="00125D6F" w:rsidR="00B56965">
        <w:rPr>
          <w:szCs w:val="24"/>
        </w:rPr>
        <w:t xml:space="preserve">s </w:t>
      </w:r>
      <w:r w:rsidRPr="00125D6F" w:rsidR="00BC4352">
        <w:rPr>
          <w:szCs w:val="24"/>
        </w:rPr>
        <w:t xml:space="preserve">commercial and industrial </w:t>
      </w:r>
      <w:r w:rsidRPr="00125D6F" w:rsidR="008D4C0A">
        <w:rPr>
          <w:szCs w:val="24"/>
        </w:rPr>
        <w:t xml:space="preserve">customer </w:t>
      </w:r>
      <w:r w:rsidRPr="00125D6F" w:rsidR="00BC4352">
        <w:rPr>
          <w:szCs w:val="24"/>
        </w:rPr>
        <w:t xml:space="preserve">discounts. </w:t>
      </w:r>
      <w:r w:rsidRPr="00125D6F" w:rsidR="00C0562F">
        <w:rPr>
          <w:szCs w:val="24"/>
        </w:rPr>
        <w:t xml:space="preserve"> </w:t>
      </w:r>
      <w:r w:rsidRPr="00125D6F" w:rsidR="00B56965">
        <w:rPr>
          <w:szCs w:val="24"/>
        </w:rPr>
        <w:t>A crucial part of the PUCO’s review in this proceeding will be to determine how the costs of emergency measures should be funded</w:t>
      </w:r>
      <w:r w:rsidRPr="00125D6F" w:rsidR="008D4C0A">
        <w:rPr>
          <w:szCs w:val="24"/>
        </w:rPr>
        <w:t xml:space="preserve"> and who should pay for each element of the emergency plan</w:t>
      </w:r>
      <w:r w:rsidRPr="00125D6F" w:rsidR="00B56965">
        <w:rPr>
          <w:szCs w:val="24"/>
        </w:rPr>
        <w:t xml:space="preserve">. </w:t>
      </w:r>
      <w:r w:rsidRPr="00125D6F">
        <w:rPr>
          <w:szCs w:val="24"/>
        </w:rPr>
        <w:t xml:space="preserve">This interest is different from that of any other party, and especially different from that of </w:t>
      </w:r>
      <w:r w:rsidRPr="00125D6F" w:rsidR="00A45592">
        <w:rPr>
          <w:szCs w:val="24"/>
        </w:rPr>
        <w:t xml:space="preserve">AEP </w:t>
      </w:r>
      <w:r w:rsidRPr="00125D6F">
        <w:rPr>
          <w:szCs w:val="24"/>
        </w:rPr>
        <w:t xml:space="preserve">whose advocacy includes the financial interest of its shareholders. </w:t>
      </w:r>
      <w:r w:rsidRPr="00125D6F" w:rsidR="00C0562F">
        <w:rPr>
          <w:szCs w:val="24"/>
        </w:rPr>
        <w:t>Additionally,</w:t>
      </w:r>
      <w:r w:rsidRPr="00125D6F" w:rsidR="00117687">
        <w:rPr>
          <w:szCs w:val="24"/>
        </w:rPr>
        <w:t xml:space="preserve"> </w:t>
      </w:r>
      <w:r w:rsidRPr="00125D6F">
        <w:rPr>
          <w:szCs w:val="24"/>
        </w:rPr>
        <w:t xml:space="preserve">the PUCO specifically requested input from “interested </w:t>
      </w:r>
      <w:r w:rsidRPr="00125D6F" w:rsidR="00EE2BF6">
        <w:rPr>
          <w:szCs w:val="24"/>
        </w:rPr>
        <w:t>persons</w:t>
      </w:r>
      <w:r w:rsidRPr="00125D6F">
        <w:rPr>
          <w:szCs w:val="24"/>
        </w:rPr>
        <w:t xml:space="preserve">” </w:t>
      </w:r>
      <w:r w:rsidRPr="00125D6F" w:rsidR="00993EDD">
        <w:rPr>
          <w:szCs w:val="24"/>
        </w:rPr>
        <w:t xml:space="preserve">to provide the PUCO with suggestions that </w:t>
      </w:r>
      <w:r w:rsidRPr="00125D6F" w:rsidR="006F6E22">
        <w:rPr>
          <w:szCs w:val="24"/>
        </w:rPr>
        <w:t>it</w:t>
      </w:r>
      <w:r w:rsidRPr="00125D6F" w:rsidR="00993EDD">
        <w:rPr>
          <w:szCs w:val="24"/>
        </w:rPr>
        <w:t xml:space="preserve"> should consider to avoid the impo</w:t>
      </w:r>
      <w:r w:rsidRPr="00125D6F" w:rsidR="003B601F">
        <w:rPr>
          <w:szCs w:val="24"/>
        </w:rPr>
        <w:t>sition of a service continuity hardship on customers or the creation of unnecessary risks associated with social contact.</w:t>
      </w:r>
      <w:r>
        <w:rPr>
          <w:rStyle w:val="FootnoteReference"/>
          <w:szCs w:val="24"/>
        </w:rPr>
        <w:footnoteReference w:id="7"/>
      </w:r>
      <w:r w:rsidRPr="00125D6F">
        <w:rPr>
          <w:szCs w:val="24"/>
        </w:rPr>
        <w:t xml:space="preserve"> As a representative of the residential customers of </w:t>
      </w:r>
      <w:r w:rsidRPr="00125D6F" w:rsidR="006F6E22">
        <w:rPr>
          <w:szCs w:val="24"/>
        </w:rPr>
        <w:t>AEP</w:t>
      </w:r>
      <w:r w:rsidRPr="00125D6F">
        <w:rPr>
          <w:szCs w:val="24"/>
        </w:rPr>
        <w:t xml:space="preserve"> that </w:t>
      </w:r>
      <w:r w:rsidRPr="00125D6F" w:rsidR="006F6E22">
        <w:rPr>
          <w:szCs w:val="24"/>
        </w:rPr>
        <w:t>are</w:t>
      </w:r>
      <w:r w:rsidRPr="00125D6F">
        <w:rPr>
          <w:szCs w:val="24"/>
        </w:rPr>
        <w:t xml:space="preserve"> affected by the </w:t>
      </w:r>
      <w:r w:rsidRPr="00125D6F" w:rsidR="006F6E22">
        <w:rPr>
          <w:szCs w:val="24"/>
        </w:rPr>
        <w:t>COVID-19 virus and state of emergency,</w:t>
      </w:r>
      <w:r w:rsidRPr="00125D6F">
        <w:rPr>
          <w:szCs w:val="24"/>
        </w:rPr>
        <w:t xml:space="preserve"> the OCC is an “interested </w:t>
      </w:r>
      <w:r w:rsidRPr="00125D6F" w:rsidR="006F6E22">
        <w:rPr>
          <w:szCs w:val="24"/>
        </w:rPr>
        <w:t>person</w:t>
      </w:r>
      <w:r w:rsidRPr="00125D6F">
        <w:rPr>
          <w:szCs w:val="24"/>
        </w:rPr>
        <w:t>.”</w:t>
      </w:r>
    </w:p>
    <w:p w:rsidR="00DB0ACF" w:rsidRPr="00125D6F" w14:paraId="484A713D" w14:textId="22A5D2E6">
      <w:pPr>
        <w:pStyle w:val="Footer"/>
        <w:tabs>
          <w:tab w:val="clear" w:pos="4320"/>
          <w:tab w:val="clear" w:pos="8640"/>
        </w:tabs>
        <w:spacing w:line="480" w:lineRule="auto"/>
        <w:ind w:firstLine="720"/>
        <w:rPr>
          <w:sz w:val="24"/>
          <w:szCs w:val="24"/>
        </w:rPr>
      </w:pPr>
      <w:r w:rsidRPr="00125D6F">
        <w:rPr>
          <w:sz w:val="24"/>
          <w:szCs w:val="24"/>
        </w:rPr>
        <w:t>Second, OCC’s advocacy for residential customers will include advancing the position that</w:t>
      </w:r>
      <w:r w:rsidRPr="00125D6F" w:rsidR="00E75FBA">
        <w:rPr>
          <w:sz w:val="24"/>
          <w:szCs w:val="24"/>
        </w:rPr>
        <w:t xml:space="preserve"> customers</w:t>
      </w:r>
      <w:r w:rsidRPr="00125D6F" w:rsidR="00FC4E3E">
        <w:rPr>
          <w:sz w:val="24"/>
          <w:szCs w:val="24"/>
        </w:rPr>
        <w:t xml:space="preserve"> should</w:t>
      </w:r>
      <w:r w:rsidRPr="00125D6F" w:rsidR="00E75FBA">
        <w:rPr>
          <w:sz w:val="24"/>
          <w:szCs w:val="24"/>
        </w:rPr>
        <w:t xml:space="preserve"> remain connected during this emergency and </w:t>
      </w:r>
      <w:r w:rsidRPr="00125D6F" w:rsidR="00FC4E3E">
        <w:rPr>
          <w:sz w:val="24"/>
          <w:szCs w:val="24"/>
        </w:rPr>
        <w:t xml:space="preserve">that they should </w:t>
      </w:r>
      <w:r w:rsidRPr="00125D6F" w:rsidR="00E75FBA">
        <w:rPr>
          <w:sz w:val="24"/>
          <w:szCs w:val="24"/>
        </w:rPr>
        <w:t xml:space="preserve">not later </w:t>
      </w:r>
      <w:r w:rsidRPr="00125D6F" w:rsidR="00FC4E3E">
        <w:rPr>
          <w:sz w:val="24"/>
          <w:szCs w:val="24"/>
        </w:rPr>
        <w:t xml:space="preserve">be billed </w:t>
      </w:r>
      <w:r w:rsidRPr="00125D6F" w:rsidR="00E75FBA">
        <w:rPr>
          <w:sz w:val="24"/>
          <w:szCs w:val="24"/>
        </w:rPr>
        <w:t xml:space="preserve">unjust and unreasonable charges </w:t>
      </w:r>
      <w:r w:rsidRPr="00125D6F" w:rsidR="00B56965">
        <w:rPr>
          <w:sz w:val="24"/>
          <w:szCs w:val="24"/>
        </w:rPr>
        <w:t>as a result of AEP’s emergency plan</w:t>
      </w:r>
      <w:r w:rsidRPr="00125D6F" w:rsidR="00FC4E3E">
        <w:rPr>
          <w:sz w:val="24"/>
          <w:szCs w:val="24"/>
        </w:rPr>
        <w:t>.</w:t>
      </w:r>
      <w:r w:rsidRPr="00125D6F" w:rsidR="00B56965">
        <w:rPr>
          <w:sz w:val="24"/>
          <w:szCs w:val="24"/>
        </w:rPr>
        <w:t xml:space="preserve"> </w:t>
      </w:r>
      <w:r w:rsidRPr="00125D6F">
        <w:rPr>
          <w:sz w:val="24"/>
          <w:szCs w:val="24"/>
        </w:rPr>
        <w:t xml:space="preserve">OCC’s position is therefore directly related to the merits of this case that is pending before the PUCO, the authority with regulatory control of public utilities’ rates and service quality in Ohio. </w:t>
      </w:r>
    </w:p>
    <w:p w:rsidR="00DB0ACF" w:rsidRPr="00125D6F" w14:paraId="6AE7084D" w14:textId="77777777">
      <w:pPr>
        <w:pStyle w:val="BodyTextIndent3"/>
        <w:spacing w:line="480" w:lineRule="auto"/>
        <w:rPr>
          <w:szCs w:val="24"/>
        </w:rPr>
      </w:pPr>
      <w:r w:rsidRPr="00125D6F">
        <w:rPr>
          <w:szCs w:val="24"/>
        </w:rPr>
        <w:t>Third, OCC’s intervention will not unduly prolong or delay the proceedings. OCC, with its longstanding expertise and experience in PUCO proceedings, will duly allow for the efficient processing of the case with consideration of the public interest.</w:t>
      </w:r>
    </w:p>
    <w:p w:rsidR="00DB0ACF" w:rsidRPr="00125D6F" w14:paraId="3C365554" w14:textId="77777777">
      <w:pPr>
        <w:pStyle w:val="Footer"/>
        <w:tabs>
          <w:tab w:val="clear" w:pos="4320"/>
          <w:tab w:val="clear" w:pos="8640"/>
        </w:tabs>
        <w:spacing w:line="480" w:lineRule="auto"/>
        <w:ind w:firstLine="720"/>
        <w:rPr>
          <w:sz w:val="24"/>
          <w:szCs w:val="24"/>
        </w:rPr>
      </w:pPr>
      <w:r w:rsidRPr="00125D6F">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rsidRPr="00125D6F" w14:paraId="0B744BF7" w14:textId="49DA050F">
      <w:pPr>
        <w:pStyle w:val="WW-BodyTextIndent3"/>
        <w:widowControl w:val="0"/>
        <w:spacing w:line="480" w:lineRule="auto"/>
        <w:ind w:right="-24"/>
        <w:rPr>
          <w:szCs w:val="24"/>
        </w:rPr>
      </w:pPr>
      <w:r w:rsidRPr="00125D6F">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where the PUCO will determine how </w:t>
      </w:r>
      <w:r w:rsidRPr="00125D6F" w:rsidR="00057D57">
        <w:rPr>
          <w:szCs w:val="24"/>
        </w:rPr>
        <w:t xml:space="preserve">to best protect AEP’s customers during this emergency and how much customers will later pay for </w:t>
      </w:r>
      <w:r w:rsidRPr="00125D6F" w:rsidR="00B56965">
        <w:rPr>
          <w:szCs w:val="24"/>
        </w:rPr>
        <w:t xml:space="preserve">AEP’s emergency plan.  </w:t>
      </w:r>
      <w:r w:rsidRPr="00125D6F" w:rsidR="00782784">
        <w:rPr>
          <w:szCs w:val="24"/>
        </w:rPr>
        <w:t xml:space="preserve"> </w:t>
      </w:r>
    </w:p>
    <w:p w:rsidR="00DB0ACF" w:rsidRPr="00125D6F" w14:paraId="2A4FD432" w14:textId="77777777">
      <w:pPr>
        <w:pStyle w:val="BodyTextIndent3"/>
        <w:widowControl w:val="0"/>
        <w:spacing w:line="480" w:lineRule="auto"/>
        <w:ind w:right="-24"/>
        <w:rPr>
          <w:szCs w:val="24"/>
        </w:rPr>
      </w:pPr>
      <w:r w:rsidRPr="00125D6F">
        <w:rPr>
          <w:szCs w:val="24"/>
        </w:rPr>
        <w:t>In addition, OCC meets the criteria of Ohio Adm. Code 4901-1-11(B)(1)-(4). These criteria mirror the statutory criteria in R.C. 4903.221(B) that OCC already has addressed and that OCC satisfies.</w:t>
      </w:r>
    </w:p>
    <w:p w:rsidR="00DB0ACF" w:rsidRPr="00125D6F" w14:paraId="538C5BC7" w14:textId="77777777">
      <w:pPr>
        <w:pStyle w:val="BodyTextIndent3"/>
        <w:widowControl w:val="0"/>
        <w:spacing w:line="480" w:lineRule="auto"/>
        <w:ind w:right="-24"/>
        <w:rPr>
          <w:szCs w:val="24"/>
        </w:rPr>
      </w:pPr>
      <w:r w:rsidRPr="00125D6F">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DB0ACF" w:rsidRPr="00125D6F" w14:paraId="4AA9C46C" w14:textId="6038FB05">
      <w:pPr>
        <w:pStyle w:val="WW-BodyTextIndent3"/>
        <w:widowControl w:val="0"/>
        <w:spacing w:line="480" w:lineRule="auto"/>
        <w:ind w:right="-24"/>
        <w:rPr>
          <w:szCs w:val="24"/>
        </w:rPr>
      </w:pPr>
      <w:r w:rsidRPr="00125D6F">
        <w:rPr>
          <w:szCs w:val="24"/>
        </w:rPr>
        <w:t>Further,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8"/>
      </w:r>
      <w:r w:rsidRPr="00125D6F" w:rsidR="00782784">
        <w:rPr>
          <w:szCs w:val="24"/>
        </w:rPr>
        <w:t xml:space="preserve"> </w:t>
      </w:r>
    </w:p>
    <w:p w:rsidR="00DB0ACF" w:rsidRPr="00125D6F" w14:paraId="6DE148FC" w14:textId="77777777">
      <w:pPr>
        <w:spacing w:line="480" w:lineRule="auto"/>
        <w:ind w:firstLine="720"/>
      </w:pPr>
      <w:r w:rsidRPr="00125D6F">
        <w:t>OCC meets the criteria set forth in R.C. 4903.221, Ohio Adm. Code 4901-1-11, and the precedent established by the Court for intervention. On behalf of Ohio residential customers, the PUCO should grant OCC’s Motion to Intervene.</w:t>
      </w:r>
    </w:p>
    <w:p w:rsidR="00180C7B" w:rsidRPr="00125D6F" w14:paraId="76B9DF02" w14:textId="77777777">
      <w:pPr>
        <w:spacing w:line="480" w:lineRule="auto"/>
        <w:ind w:firstLine="720"/>
      </w:pPr>
    </w:p>
    <w:p w:rsidR="001E25C0" w:rsidRPr="00125D6F" w:rsidP="00B93FE2" w14:paraId="0E9B0723" w14:textId="77777777">
      <w:pPr>
        <w:pStyle w:val="BodyTextIndent3"/>
        <w:widowControl w:val="0"/>
        <w:spacing w:line="480" w:lineRule="auto"/>
        <w:ind w:left="3600" w:right="-312" w:firstLine="0"/>
        <w:rPr>
          <w:szCs w:val="24"/>
        </w:rPr>
      </w:pPr>
      <w:r w:rsidRPr="00125D6F">
        <w:rPr>
          <w:szCs w:val="24"/>
        </w:rPr>
        <w:t>Respectfully submitted,</w:t>
      </w:r>
    </w:p>
    <w:p w:rsidR="001E25C0" w:rsidRPr="00125D6F" w:rsidP="00B93FE2" w14:paraId="6C6D8355" w14:textId="508ED941">
      <w:pPr>
        <w:pStyle w:val="Footer"/>
        <w:tabs>
          <w:tab w:val="left" w:pos="4320"/>
          <w:tab w:val="clear" w:pos="8640"/>
        </w:tabs>
        <w:ind w:left="3600"/>
        <w:rPr>
          <w:sz w:val="24"/>
          <w:szCs w:val="24"/>
        </w:rPr>
      </w:pPr>
      <w:r w:rsidRPr="00125D6F">
        <w:rPr>
          <w:sz w:val="24"/>
          <w:szCs w:val="24"/>
        </w:rPr>
        <w:t>Bruce Weston (0016973)</w:t>
      </w:r>
    </w:p>
    <w:p w:rsidR="001E25C0" w:rsidRPr="00125D6F" w:rsidP="00B93FE2" w14:paraId="405447DE" w14:textId="1331681C">
      <w:pPr>
        <w:tabs>
          <w:tab w:val="left" w:pos="4320"/>
        </w:tabs>
        <w:ind w:left="3600"/>
      </w:pPr>
      <w:r w:rsidRPr="00125D6F">
        <w:t>Ohio Consumers’ Counsel</w:t>
      </w:r>
    </w:p>
    <w:p w:rsidR="001E25C0" w:rsidRPr="00125D6F" w:rsidP="00B93FE2" w14:paraId="7C55F061" w14:textId="77777777">
      <w:pPr>
        <w:tabs>
          <w:tab w:val="left" w:pos="4320"/>
        </w:tabs>
        <w:ind w:left="3600"/>
      </w:pPr>
      <w:r w:rsidRPr="00125D6F">
        <w:tab/>
      </w:r>
    </w:p>
    <w:p w:rsidR="001E25C0" w:rsidRPr="00125D6F" w:rsidP="00B93FE2" w14:paraId="07F3A630" w14:textId="57BD373F">
      <w:pPr>
        <w:tabs>
          <w:tab w:val="left" w:pos="4320"/>
        </w:tabs>
        <w:ind w:left="3600"/>
      </w:pPr>
      <w:r w:rsidRPr="00125D6F">
        <w:rPr>
          <w:i/>
          <w:u w:val="single"/>
        </w:rPr>
        <w:t>/s/ Ambrosia E.</w:t>
      </w:r>
      <w:r w:rsidR="00125D6F">
        <w:rPr>
          <w:i/>
          <w:u w:val="single"/>
        </w:rPr>
        <w:t xml:space="preserve"> Wilson</w:t>
      </w:r>
      <w:r w:rsidRPr="00125D6F">
        <w:rPr>
          <w:i/>
          <w:u w:val="single"/>
        </w:rPr>
        <w:tab/>
      </w:r>
      <w:r w:rsidRPr="00125D6F">
        <w:rPr>
          <w:i/>
          <w:u w:val="single"/>
        </w:rPr>
        <w:tab/>
      </w:r>
      <w:r w:rsidRPr="00125D6F">
        <w:t xml:space="preserve"> </w:t>
      </w:r>
    </w:p>
    <w:p w:rsidR="001A2F19" w:rsidRPr="00125D6F" w:rsidP="00B93FE2" w14:paraId="5AB2C526" w14:textId="6C73E4AE">
      <w:pPr>
        <w:tabs>
          <w:tab w:val="left" w:pos="4320"/>
        </w:tabs>
        <w:ind w:left="3600"/>
      </w:pPr>
      <w:r w:rsidRPr="00125D6F">
        <w:t>William Michael (</w:t>
      </w:r>
      <w:r w:rsidRPr="00125D6F" w:rsidR="00F1170B">
        <w:t>0070921</w:t>
      </w:r>
      <w:r w:rsidRPr="00125D6F">
        <w:t>)</w:t>
      </w:r>
    </w:p>
    <w:p w:rsidR="001E25C0" w:rsidRPr="00125D6F" w:rsidP="00B93FE2" w14:paraId="5FBE0570" w14:textId="5F1C45E8">
      <w:pPr>
        <w:tabs>
          <w:tab w:val="left" w:pos="4320"/>
        </w:tabs>
        <w:ind w:left="3600"/>
      </w:pPr>
      <w:r w:rsidRPr="00125D6F">
        <w:t xml:space="preserve">Counsel of Record </w:t>
      </w:r>
    </w:p>
    <w:p w:rsidR="001A2F19" w:rsidRPr="00125D6F" w:rsidP="001A2F19" w14:paraId="4C046179" w14:textId="7C3E202F">
      <w:pPr>
        <w:tabs>
          <w:tab w:val="left" w:pos="4320"/>
        </w:tabs>
        <w:ind w:left="3600"/>
      </w:pPr>
      <w:r w:rsidRPr="00125D6F">
        <w:t xml:space="preserve">Ambrosia E. </w:t>
      </w:r>
      <w:r w:rsidR="00125D6F">
        <w:t>Wilson</w:t>
      </w:r>
      <w:r w:rsidRPr="00125D6F">
        <w:t xml:space="preserve"> (0096598)</w:t>
      </w:r>
    </w:p>
    <w:p w:rsidR="001E25C0" w:rsidRPr="00125D6F" w:rsidP="00B93FE2" w14:paraId="0BAB9587" w14:textId="77777777">
      <w:pPr>
        <w:tabs>
          <w:tab w:val="left" w:pos="4320"/>
        </w:tabs>
        <w:ind w:left="3600"/>
      </w:pPr>
      <w:r w:rsidRPr="00125D6F">
        <w:t>Assistant Consumers’ Counsel</w:t>
      </w:r>
    </w:p>
    <w:p w:rsidR="001E25C0" w:rsidRPr="00125D6F" w:rsidP="00B93FE2" w14:paraId="50942266" w14:textId="77777777">
      <w:pPr>
        <w:tabs>
          <w:tab w:val="left" w:pos="4320"/>
        </w:tabs>
        <w:ind w:left="3600"/>
      </w:pPr>
      <w:r w:rsidRPr="00125D6F">
        <w:tab/>
      </w:r>
    </w:p>
    <w:p w:rsidR="001E25C0" w:rsidRPr="00125D6F" w:rsidP="00B93FE2" w14:paraId="5DF89266" w14:textId="174C5A4C">
      <w:pPr>
        <w:pStyle w:val="Heading1"/>
        <w:ind w:left="3600" w:right="-648"/>
        <w:rPr>
          <w:u w:val="none"/>
        </w:rPr>
      </w:pPr>
      <w:r w:rsidRPr="00125D6F">
        <w:rPr>
          <w:u w:val="none"/>
        </w:rPr>
        <w:t>Office of the Ohio Consumers’ Counsel</w:t>
      </w:r>
    </w:p>
    <w:p w:rsidR="001E25C0" w:rsidRPr="00125D6F" w:rsidP="00B93FE2" w14:paraId="241529C0" w14:textId="6730CE1A">
      <w:pPr>
        <w:pStyle w:val="Heading1"/>
        <w:ind w:left="3600" w:right="-648"/>
        <w:rPr>
          <w:b w:val="0"/>
          <w:u w:val="none"/>
        </w:rPr>
      </w:pPr>
      <w:r w:rsidRPr="00125D6F">
        <w:rPr>
          <w:b w:val="0"/>
          <w:u w:val="none"/>
        </w:rPr>
        <w:t>65 East State Street, 7th Floor</w:t>
      </w:r>
    </w:p>
    <w:p w:rsidR="001E25C0" w:rsidRPr="00125D6F" w:rsidP="00B93FE2" w14:paraId="5AEF644B" w14:textId="565FBA00">
      <w:pPr>
        <w:pStyle w:val="Heading1"/>
        <w:ind w:left="3600" w:right="-648"/>
        <w:rPr>
          <w:b w:val="0"/>
          <w:u w:val="none"/>
        </w:rPr>
      </w:pPr>
      <w:r w:rsidRPr="00125D6F">
        <w:rPr>
          <w:b w:val="0"/>
          <w:u w:val="none"/>
        </w:rPr>
        <w:t>Columbus, Ohio 43215-4213</w:t>
      </w:r>
    </w:p>
    <w:p w:rsidR="005C0FE8" w:rsidRPr="00125D6F" w:rsidP="00B93FE2" w14:paraId="16A7B598" w14:textId="1456EA69">
      <w:pPr>
        <w:autoSpaceDE w:val="0"/>
        <w:autoSpaceDN w:val="0"/>
        <w:adjustRightInd w:val="0"/>
        <w:ind w:left="3600"/>
      </w:pPr>
      <w:r w:rsidRPr="00125D6F">
        <w:t>Telephone [Michael]: (614) 466-1291</w:t>
      </w:r>
    </w:p>
    <w:p w:rsidR="001E25C0" w:rsidRPr="00125D6F" w:rsidP="00B93FE2" w14:paraId="2CE77E45" w14:textId="7B8AF0FC">
      <w:pPr>
        <w:autoSpaceDE w:val="0"/>
        <w:autoSpaceDN w:val="0"/>
        <w:adjustRightInd w:val="0"/>
        <w:ind w:left="3600"/>
      </w:pPr>
      <w:r w:rsidRPr="00125D6F">
        <w:t>Telephone [</w:t>
      </w:r>
      <w:r w:rsidR="00125D6F">
        <w:t>Wilson</w:t>
      </w:r>
      <w:r w:rsidRPr="00125D6F">
        <w:t>]: (614) 466-1292</w:t>
      </w:r>
    </w:p>
    <w:p w:rsidR="005C0FE8" w:rsidP="00B93FE2" w14:paraId="693CEC8A" w14:textId="02BC9BA7">
      <w:pPr>
        <w:autoSpaceDE w:val="0"/>
        <w:autoSpaceDN w:val="0"/>
        <w:adjustRightInd w:val="0"/>
        <w:ind w:left="3600"/>
      </w:pPr>
      <w:hyperlink r:id="rId7" w:history="1">
        <w:r w:rsidRPr="00557D1C" w:rsidR="00125D6F">
          <w:rPr>
            <w:rStyle w:val="Hyperlink"/>
          </w:rPr>
          <w:t>William.Michael@occ.ohio.gov</w:t>
        </w:r>
      </w:hyperlink>
    </w:p>
    <w:p w:rsidR="001E25C0" w:rsidRPr="00125D6F" w:rsidP="00B93FE2" w14:paraId="0B6AC329" w14:textId="048E41EB">
      <w:pPr>
        <w:autoSpaceDE w:val="0"/>
        <w:autoSpaceDN w:val="0"/>
        <w:adjustRightInd w:val="0"/>
        <w:ind w:left="3600"/>
      </w:pPr>
      <w:hyperlink r:id="rId8" w:history="1">
        <w:r w:rsidRPr="00557D1C" w:rsidR="00125D6F">
          <w:rPr>
            <w:rStyle w:val="Hyperlink"/>
          </w:rPr>
          <w:t>Ambrosia.Wilson@occ.ohio.gov</w:t>
        </w:r>
      </w:hyperlink>
    </w:p>
    <w:p w:rsidR="0073747D" w:rsidRPr="00125D6F" w:rsidP="00B93FE2" w14:paraId="136DE261" w14:textId="151B9802">
      <w:pPr>
        <w:ind w:left="3600"/>
      </w:pPr>
      <w:r w:rsidRPr="00125D6F">
        <w:t>(willing to accept service by e-mail)</w:t>
      </w:r>
    </w:p>
    <w:p w:rsidR="0073747D" w:rsidRPr="00125D6F" w:rsidP="00B93FE2" w14:paraId="7992664C" w14:textId="77777777">
      <w:pPr>
        <w:ind w:firstLine="90"/>
      </w:pPr>
    </w:p>
    <w:p w:rsidR="0073747D" w:rsidRPr="00125D6F" w:rsidP="0073747D" w14:paraId="006B6142" w14:textId="77777777"/>
    <w:p w:rsidR="0073747D" w:rsidRPr="00125D6F" w:rsidP="0073747D" w14:paraId="327EC6F7" w14:textId="77777777"/>
    <w:p w:rsidR="0073747D" w:rsidRPr="00125D6F" w:rsidP="0073747D" w14:paraId="44A3CF18" w14:textId="77777777"/>
    <w:p w:rsidR="0073747D" w:rsidRPr="00125D6F" w:rsidP="0073747D" w14:paraId="5B4C9722" w14:textId="77777777"/>
    <w:p w:rsidR="0073747D" w:rsidRPr="00125D6F" w:rsidP="0073747D" w14:paraId="244ED98E" w14:textId="77777777"/>
    <w:p w:rsidR="00BA4D80" w:rsidRPr="00125D6F" w14:paraId="0E59692A" w14:textId="77777777">
      <w:pPr>
        <w:rPr>
          <w:b/>
          <w:bCs/>
          <w:u w:val="single"/>
        </w:rPr>
      </w:pPr>
      <w:r w:rsidRPr="00125D6F">
        <w:rPr>
          <w:b/>
          <w:bCs/>
          <w:u w:val="single"/>
        </w:rPr>
        <w:br w:type="page"/>
      </w:r>
    </w:p>
    <w:p w:rsidR="00DB0ACF" w:rsidRPr="00125D6F" w14:paraId="2522154F" w14:textId="6A9FC51A">
      <w:pPr>
        <w:jc w:val="center"/>
        <w:rPr>
          <w:b/>
          <w:bCs/>
          <w:u w:val="single"/>
        </w:rPr>
      </w:pPr>
      <w:r w:rsidRPr="00125D6F">
        <w:rPr>
          <w:b/>
          <w:bCs/>
          <w:u w:val="single"/>
        </w:rPr>
        <w:t>CERTIFICATE OF SERVICE</w:t>
      </w:r>
    </w:p>
    <w:p w:rsidR="00DB0ACF" w:rsidRPr="00125D6F" w14:paraId="2798372A" w14:textId="3932CFD0">
      <w:pPr>
        <w:spacing w:line="480" w:lineRule="atLeast"/>
      </w:pPr>
      <w:r w:rsidRPr="00125D6F">
        <w:tab/>
        <w:t xml:space="preserve">I hereby certify that a copy of this </w:t>
      </w:r>
      <w:r w:rsidRPr="00125D6F">
        <w:rPr>
          <w:iCs/>
        </w:rPr>
        <w:t>Motion to Intervene</w:t>
      </w:r>
      <w:r w:rsidRPr="00125D6F">
        <w:t xml:space="preserve"> was served on the persons stated below via electronic transmission, this </w:t>
      </w:r>
      <w:r w:rsidRPr="00125D6F" w:rsidR="005C12C1">
        <w:t>8</w:t>
      </w:r>
      <w:r w:rsidRPr="00125D6F" w:rsidR="00F87B73">
        <w:t>th</w:t>
      </w:r>
      <w:r w:rsidRPr="00125D6F">
        <w:t xml:space="preserve"> day of </w:t>
      </w:r>
      <w:r w:rsidRPr="00125D6F" w:rsidR="005C12C1">
        <w:t xml:space="preserve">April </w:t>
      </w:r>
      <w:r w:rsidRPr="00125D6F">
        <w:t>2020.</w:t>
      </w:r>
    </w:p>
    <w:p w:rsidR="00DB0ACF" w:rsidRPr="00125D6F" w14:paraId="15891A55" w14:textId="77777777">
      <w:pPr>
        <w:spacing w:line="480" w:lineRule="atLeast"/>
      </w:pPr>
    </w:p>
    <w:p w:rsidR="00DB0ACF" w:rsidRPr="00125D6F" w14:paraId="47C3DAB6" w14:textId="7870E937">
      <w:pPr>
        <w:tabs>
          <w:tab w:val="left" w:pos="4320"/>
        </w:tabs>
        <w:rPr>
          <w:i/>
          <w:u w:val="single"/>
        </w:rPr>
      </w:pPr>
      <w:r w:rsidRPr="00125D6F">
        <w:tab/>
      </w:r>
      <w:r w:rsidRPr="00125D6F">
        <w:rPr>
          <w:i/>
          <w:u w:val="single"/>
        </w:rPr>
        <w:t xml:space="preserve">/s/ </w:t>
      </w:r>
      <w:r w:rsidRPr="00125D6F" w:rsidR="001E25C0">
        <w:rPr>
          <w:i/>
          <w:u w:val="single"/>
        </w:rPr>
        <w:t>Ambrosia E</w:t>
      </w:r>
      <w:r w:rsidR="00125D6F">
        <w:rPr>
          <w:i/>
          <w:u w:val="single"/>
        </w:rPr>
        <w:t>. Wilson</w:t>
      </w:r>
      <w:r w:rsidRPr="00125D6F">
        <w:rPr>
          <w:i/>
          <w:u w:val="single"/>
        </w:rPr>
        <w:tab/>
      </w:r>
    </w:p>
    <w:p w:rsidR="00DB0ACF" w:rsidRPr="00125D6F" w14:paraId="3FAA5BEC" w14:textId="2024A0B6">
      <w:pPr>
        <w:tabs>
          <w:tab w:val="left" w:pos="4320"/>
        </w:tabs>
      </w:pPr>
      <w:r w:rsidRPr="00125D6F">
        <w:tab/>
      </w:r>
      <w:r w:rsidRPr="00125D6F" w:rsidR="001E25C0">
        <w:t xml:space="preserve">Ambrosia E. </w:t>
      </w:r>
      <w:r w:rsidR="00125D6F">
        <w:t>Wilson</w:t>
      </w:r>
    </w:p>
    <w:p w:rsidR="00DB0ACF" w:rsidRPr="00125D6F" w14:paraId="0595447B" w14:textId="77777777">
      <w:pPr>
        <w:tabs>
          <w:tab w:val="left" w:pos="4320"/>
        </w:tabs>
      </w:pPr>
      <w:r w:rsidRPr="00125D6F">
        <w:tab/>
        <w:t>Assistant Consumers’ Counsel</w:t>
      </w:r>
    </w:p>
    <w:p w:rsidR="00DB0ACF" w:rsidRPr="00125D6F" w14:paraId="4A70CAB2" w14:textId="77777777">
      <w:pPr>
        <w:pStyle w:val="CommentSubject"/>
        <w:rPr>
          <w:szCs w:val="24"/>
        </w:rPr>
      </w:pPr>
    </w:p>
    <w:p w:rsidR="0083212B" w:rsidRPr="00125D6F" w:rsidP="0083212B" w14:paraId="76AD8543" w14:textId="77777777">
      <w:r w:rsidRPr="00125D6F">
        <w:t>The PUCO’s e-filing system will electronically serve notice of the filing of this document on the following parties:</w:t>
      </w:r>
    </w:p>
    <w:p w:rsidR="0083212B" w:rsidRPr="00125D6F" w:rsidP="0083212B" w14:paraId="1C177157" w14:textId="77777777">
      <w:pPr>
        <w:pStyle w:val="CommentText"/>
      </w:pPr>
    </w:p>
    <w:p w:rsidR="0083212B" w:rsidRPr="00125D6F" w:rsidP="0083212B" w14:paraId="4A63E295" w14:textId="77777777">
      <w:pPr>
        <w:pStyle w:val="CommentText"/>
        <w:jc w:val="center"/>
        <w:rPr>
          <w:b/>
          <w:u w:val="single"/>
        </w:rPr>
      </w:pPr>
      <w:r w:rsidRPr="00125D6F">
        <w:rPr>
          <w:b/>
          <w:u w:val="single"/>
        </w:rPr>
        <w:t>SERVICE LIST</w:t>
      </w:r>
    </w:p>
    <w:p w:rsidR="0083212B" w:rsidRPr="00125D6F" w:rsidP="0083212B" w14:paraId="74F84F02"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3EC3B450" w14:textId="77777777" w:rsidTr="005606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560623" w:rsidRPr="00125D6F" w:rsidP="00560623" w14:paraId="2BD15199" w14:textId="73298CE4">
            <w:pPr>
              <w:pStyle w:val="CommentText"/>
              <w:rPr>
                <w:bCs/>
                <w:u w:val="single"/>
              </w:rPr>
            </w:pPr>
            <w:hyperlink r:id="rId10" w:history="1">
              <w:r w:rsidRPr="00125D6F" w:rsidR="00916DD1">
                <w:rPr>
                  <w:rStyle w:val="Hyperlink"/>
                  <w:bCs/>
                </w:rPr>
                <w:t>John.jones@ohioattornegeneral.gov</w:t>
              </w:r>
            </w:hyperlink>
          </w:p>
          <w:p w:rsidR="00560623" w:rsidRPr="00125D6F" w:rsidP="00560623" w14:paraId="7EA29DA8" w14:textId="66E8E107">
            <w:pPr>
              <w:autoSpaceDE w:val="0"/>
              <w:autoSpaceDN w:val="0"/>
              <w:adjustRightInd w:val="0"/>
            </w:pPr>
            <w:hyperlink r:id="rId11" w:history="1">
              <w:r w:rsidRPr="00125D6F" w:rsidR="00916DD1">
                <w:rPr>
                  <w:rStyle w:val="Hyperlink"/>
                </w:rPr>
                <w:t>mpritchard@mcneeslaw.com</w:t>
              </w:r>
            </w:hyperlink>
          </w:p>
          <w:p w:rsidR="00560623" w:rsidRPr="00125D6F" w:rsidP="00560623" w14:paraId="3F873A35" w14:textId="037D31F3">
            <w:pPr>
              <w:autoSpaceDE w:val="0"/>
              <w:autoSpaceDN w:val="0"/>
              <w:adjustRightInd w:val="0"/>
            </w:pPr>
            <w:hyperlink r:id="rId12" w:history="1">
              <w:r w:rsidRPr="00125D6F" w:rsidR="00916DD1">
                <w:rPr>
                  <w:rStyle w:val="Hyperlink"/>
                </w:rPr>
                <w:t>rglover@mcneeslaw.com</w:t>
              </w:r>
            </w:hyperlink>
          </w:p>
          <w:p w:rsidR="00560623" w:rsidRPr="00125D6F" w:rsidP="00560623" w14:paraId="7F0A0851" w14:textId="77777777">
            <w:pPr>
              <w:pStyle w:val="CommentText"/>
              <w:rPr>
                <w:bCs/>
                <w:u w:val="single"/>
              </w:rPr>
            </w:pPr>
          </w:p>
          <w:p w:rsidR="00560623" w:rsidRPr="00125D6F" w:rsidP="00560623" w14:paraId="4DB3EC10" w14:textId="77777777">
            <w:pPr>
              <w:pStyle w:val="CommentText"/>
              <w:rPr>
                <w:bCs/>
                <w:u w:val="single"/>
              </w:rPr>
            </w:pPr>
          </w:p>
          <w:p w:rsidR="00560623" w:rsidRPr="00125D6F" w:rsidP="00560623" w14:paraId="04C94BB9" w14:textId="3EEE0EA0">
            <w:pPr>
              <w:pStyle w:val="CommentText"/>
              <w:rPr>
                <w:bCs/>
                <w:u w:val="single"/>
              </w:rPr>
            </w:pPr>
            <w:r w:rsidRPr="00125D6F">
              <w:rPr>
                <w:bCs/>
                <w:u w:val="single"/>
              </w:rPr>
              <w:t>Attorney Examiners:</w:t>
            </w:r>
          </w:p>
          <w:p w:rsidR="00560623" w:rsidRPr="00125D6F" w:rsidP="00560623" w14:paraId="4CD603E9" w14:textId="77777777">
            <w:pPr>
              <w:pStyle w:val="CommentText"/>
              <w:rPr>
                <w:bCs/>
                <w:u w:val="single"/>
              </w:rPr>
            </w:pPr>
          </w:p>
          <w:p w:rsidR="00560623" w:rsidRPr="00125D6F" w:rsidP="00560623" w14:paraId="277C9FD5" w14:textId="12425F55">
            <w:pPr>
              <w:pStyle w:val="CommentText"/>
              <w:rPr>
                <w:bCs/>
                <w:u w:val="single"/>
              </w:rPr>
            </w:pPr>
            <w:hyperlink r:id="rId13" w:history="1">
              <w:r w:rsidRPr="00125D6F" w:rsidR="00916DD1">
                <w:rPr>
                  <w:rStyle w:val="Hyperlink"/>
                  <w:bCs/>
                </w:rPr>
                <w:t>Sarah.parrot@puco.ohio.gov</w:t>
              </w:r>
            </w:hyperlink>
          </w:p>
          <w:p w:rsidR="00560623" w:rsidRPr="00125D6F" w:rsidP="00560623" w14:paraId="0A5D92BA" w14:textId="16585078">
            <w:pPr>
              <w:pStyle w:val="CommentText"/>
              <w:rPr>
                <w:bCs/>
                <w:u w:val="single"/>
              </w:rPr>
            </w:pPr>
            <w:hyperlink r:id="rId14" w:history="1">
              <w:r w:rsidRPr="00125D6F" w:rsidR="00916DD1">
                <w:rPr>
                  <w:rStyle w:val="Hyperlink"/>
                  <w:bCs/>
                </w:rPr>
                <w:t>Greta.see@puco.ohio.gov</w:t>
              </w:r>
            </w:hyperlink>
          </w:p>
          <w:p w:rsidR="00560623" w:rsidRPr="00125D6F" w:rsidP="00560623" w14:paraId="4744EAC8" w14:textId="480F347E">
            <w:pPr>
              <w:pStyle w:val="CommentText"/>
              <w:rPr>
                <w:bCs/>
                <w:u w:val="single"/>
              </w:rPr>
            </w:pPr>
          </w:p>
        </w:tc>
        <w:tc>
          <w:tcPr>
            <w:tcW w:w="4315" w:type="dxa"/>
          </w:tcPr>
          <w:p w:rsidR="00560623" w:rsidRPr="00125D6F" w:rsidP="00560623" w14:paraId="52A52F3A" w14:textId="2CE9A70B">
            <w:pPr>
              <w:pStyle w:val="CommentText"/>
              <w:ind w:left="1428"/>
              <w:rPr>
                <w:bCs/>
              </w:rPr>
            </w:pPr>
            <w:hyperlink r:id="rId15" w:history="1">
              <w:r w:rsidRPr="00125D6F" w:rsidR="00916DD1">
                <w:rPr>
                  <w:rStyle w:val="Hyperlink"/>
                  <w:bCs/>
                </w:rPr>
                <w:t>stnourse@aep.com</w:t>
              </w:r>
            </w:hyperlink>
          </w:p>
          <w:p w:rsidR="00560623" w:rsidRPr="00125D6F" w:rsidP="00560623" w14:paraId="5CC28C1E" w14:textId="5D78823F">
            <w:pPr>
              <w:pStyle w:val="CommentText"/>
              <w:ind w:left="1428"/>
              <w:rPr>
                <w:bCs/>
              </w:rPr>
            </w:pPr>
            <w:hyperlink r:id="rId16" w:history="1">
              <w:r w:rsidRPr="00125D6F" w:rsidR="00916DD1">
                <w:rPr>
                  <w:rStyle w:val="Hyperlink"/>
                  <w:bCs/>
                </w:rPr>
                <w:t>cmblend@aep.com</w:t>
              </w:r>
            </w:hyperlink>
          </w:p>
          <w:p w:rsidR="00560623" w:rsidRPr="00125D6F" w:rsidP="00560623" w14:paraId="39EFC775" w14:textId="4006B7B6">
            <w:pPr>
              <w:pStyle w:val="CommentText"/>
              <w:rPr>
                <w:bCs/>
              </w:rPr>
            </w:pPr>
          </w:p>
        </w:tc>
      </w:tr>
    </w:tbl>
    <w:p w:rsidR="0083212B" w:rsidRPr="00125D6F" w:rsidP="0083212B" w14:paraId="74FBFA9B" w14:textId="77777777">
      <w:pPr>
        <w:pStyle w:val="CommentText"/>
        <w:jc w:val="center"/>
        <w:rPr>
          <w:b/>
          <w:u w:val="single"/>
        </w:rPr>
      </w:pPr>
    </w:p>
    <w:sectPr>
      <w:headerReference w:type="even" r:id="rId17"/>
      <w:headerReference w:type="default" r:id="rId18"/>
      <w:footerReference w:type="default" r:id="rId19"/>
      <w:headerReference w:type="first" r:id="rId20"/>
      <w:footerReference w:type="first" r:id="rId21"/>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D6F" w14:paraId="5125FEF8" w14:textId="24EC6807">
    <w:pPr>
      <w:pStyle w:val="Footer"/>
      <w:jc w:val="center"/>
    </w:pPr>
  </w:p>
  <w:p w:rsidR="00C70A8B" w14:paraId="245DE1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6850365"/>
      <w:docPartObj>
        <w:docPartGallery w:val="Page Numbers (Bottom of Page)"/>
        <w:docPartUnique/>
      </w:docPartObj>
    </w:sdtPr>
    <w:sdtEndPr>
      <w:rPr>
        <w:noProof/>
      </w:rPr>
    </w:sdtEndPr>
    <w:sdtContent>
      <w:p w:rsidR="00125D6F" w14:paraId="3938FF8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25D6F" w14:paraId="5AAF021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14:paraId="441D332D" w14:textId="77777777">
        <w:pPr>
          <w:pStyle w:val="Footer"/>
          <w:jc w:val="center"/>
          <w:rPr>
            <w:sz w:val="24"/>
            <w:szCs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2</w:t>
        </w:r>
        <w:r w:rsidRPr="0073747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4230335"/>
      <w:docPartObj>
        <w:docPartGallery w:val="Page Numbers (Bottom of Page)"/>
        <w:docPartUnique/>
      </w:docPartObj>
    </w:sdtPr>
    <w:sdtEndPr>
      <w:rPr>
        <w:noProof/>
        <w:sz w:val="24"/>
        <w:szCs w:val="24"/>
      </w:rPr>
    </w:sdtEndPr>
    <w:sdtContent>
      <w:p w:rsidR="00BA4D80" w:rsidRPr="00BA4D80" w14:paraId="38E13921" w14:textId="0C766DC4">
        <w:pPr>
          <w:pStyle w:val="Footer"/>
          <w:jc w:val="center"/>
          <w:rPr>
            <w:sz w:val="24"/>
            <w:szCs w:val="24"/>
          </w:rPr>
        </w:pPr>
        <w:r w:rsidRPr="00BA4D80">
          <w:rPr>
            <w:sz w:val="24"/>
            <w:szCs w:val="24"/>
          </w:rPr>
          <w:fldChar w:fldCharType="begin"/>
        </w:r>
        <w:r w:rsidRPr="00BA4D80">
          <w:rPr>
            <w:sz w:val="24"/>
            <w:szCs w:val="24"/>
          </w:rPr>
          <w:instrText xml:space="preserve"> PAGE   \* MERGEFORMAT </w:instrText>
        </w:r>
        <w:r w:rsidRPr="00BA4D80">
          <w:rPr>
            <w:sz w:val="24"/>
            <w:szCs w:val="24"/>
          </w:rPr>
          <w:fldChar w:fldCharType="separate"/>
        </w:r>
        <w:r w:rsidRPr="00BA4D80">
          <w:rPr>
            <w:noProof/>
            <w:sz w:val="24"/>
            <w:szCs w:val="24"/>
          </w:rPr>
          <w:t>2</w:t>
        </w:r>
        <w:r w:rsidRPr="00BA4D8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740BE" w14:paraId="73BA3A26" w14:textId="77777777">
      <w:r>
        <w:separator/>
      </w:r>
    </w:p>
  </w:footnote>
  <w:footnote w:type="continuationSeparator" w:id="1">
    <w:p w:rsidR="005740BE" w14:paraId="55F741CA" w14:textId="77777777">
      <w:r>
        <w:continuationSeparator/>
      </w:r>
    </w:p>
  </w:footnote>
  <w:footnote w:id="2">
    <w:p w:rsidR="008D4C0A" w:rsidRPr="00B83504" w:rsidP="00B83504" w14:paraId="33710A5B" w14:textId="09AE7466">
      <w:pPr>
        <w:spacing w:after="120"/>
        <w:rPr>
          <w:sz w:val="20"/>
          <w:szCs w:val="20"/>
        </w:rPr>
      </w:pPr>
      <w:r w:rsidRPr="00B83504">
        <w:rPr>
          <w:rStyle w:val="FootnoteReference"/>
          <w:sz w:val="20"/>
          <w:szCs w:val="20"/>
        </w:rPr>
        <w:footnoteRef/>
      </w:r>
      <w:r w:rsidRPr="00B83504">
        <w:rPr>
          <w:sz w:val="20"/>
          <w:szCs w:val="20"/>
        </w:rPr>
        <w:t xml:space="preserve"> </w:t>
      </w:r>
      <w:r w:rsidRPr="00B83504" w:rsidR="006C0A0C">
        <w:rPr>
          <w:i/>
          <w:iCs/>
          <w:sz w:val="20"/>
          <w:szCs w:val="20"/>
        </w:rPr>
        <w:t>In re the Proper Procedures and Process for the Commission’s Operations and Proceedings During the Declared State of Emergency and Related Matters</w:t>
      </w:r>
      <w:r w:rsidRPr="00B83504" w:rsidR="00927FDF">
        <w:rPr>
          <w:sz w:val="20"/>
          <w:szCs w:val="20"/>
        </w:rPr>
        <w:t>, Case No. 20-591-AU-UNC</w:t>
      </w:r>
      <w:r w:rsidRPr="00B83504" w:rsidR="00F3706B">
        <w:rPr>
          <w:sz w:val="20"/>
          <w:szCs w:val="20"/>
        </w:rPr>
        <w:t>, Entry</w:t>
      </w:r>
      <w:r w:rsidRPr="00B83504" w:rsidR="006C0A0C">
        <w:rPr>
          <w:sz w:val="20"/>
          <w:szCs w:val="20"/>
        </w:rPr>
        <w:t xml:space="preserve"> (</w:t>
      </w:r>
      <w:r w:rsidRPr="00B83504" w:rsidR="00F3706B">
        <w:rPr>
          <w:sz w:val="20"/>
          <w:szCs w:val="20"/>
        </w:rPr>
        <w:t>March 12, 2020)</w:t>
      </w:r>
      <w:r w:rsidRPr="00B83504">
        <w:rPr>
          <w:sz w:val="20"/>
          <w:szCs w:val="20"/>
        </w:rPr>
        <w:t>.</w:t>
      </w:r>
    </w:p>
  </w:footnote>
  <w:footnote w:id="3">
    <w:p w:rsidR="003E690F" w:rsidRPr="00B83504" w:rsidP="00B83504" w14:paraId="350593DB" w14:textId="6B8C251D">
      <w:pPr>
        <w:pStyle w:val="FootnoteText"/>
        <w:spacing w:after="120"/>
      </w:pPr>
      <w:r w:rsidRPr="00B83504">
        <w:rPr>
          <w:rStyle w:val="FootnoteReference"/>
        </w:rPr>
        <w:footnoteRef/>
      </w:r>
      <w:r w:rsidRPr="00B83504">
        <w:t xml:space="preserve"> </w:t>
      </w:r>
      <w:r w:rsidRPr="00B83504" w:rsidR="006222DE">
        <w:t>Entry at ¶6(a).</w:t>
      </w:r>
    </w:p>
  </w:footnote>
  <w:footnote w:id="4">
    <w:p w:rsidR="005836FF" w:rsidRPr="00B83504" w:rsidP="00B83504" w14:paraId="5F0719F4" w14:textId="77777777">
      <w:pPr>
        <w:pStyle w:val="FootnoteText"/>
        <w:spacing w:after="120"/>
      </w:pPr>
      <w:r w:rsidRPr="00B83504">
        <w:rPr>
          <w:rStyle w:val="FootnoteReference"/>
        </w:rPr>
        <w:footnoteRef/>
      </w:r>
      <w:r w:rsidRPr="00B83504">
        <w:t xml:space="preserve"> </w:t>
      </w:r>
      <w:r w:rsidRPr="00B83504">
        <w:rPr>
          <w:i/>
        </w:rPr>
        <w:t>See</w:t>
      </w:r>
      <w:r w:rsidRPr="00B83504">
        <w:t xml:space="preserve"> R.C. Chapter 4911, R.C. 4903.221 and Ohio Adm. Code 4901-1-11.</w:t>
      </w:r>
    </w:p>
  </w:footnote>
  <w:footnote w:id="5">
    <w:p w:rsidR="00EA549F" w:rsidRPr="00B83504" w:rsidP="00B83504" w14:paraId="3E175D92" w14:textId="0CCE53D3">
      <w:pPr>
        <w:pStyle w:val="FootnoteText"/>
        <w:spacing w:after="120"/>
      </w:pPr>
      <w:r w:rsidRPr="00B83504">
        <w:rPr>
          <w:rStyle w:val="FootnoteReference"/>
        </w:rPr>
        <w:footnoteRef/>
      </w:r>
      <w:r w:rsidRPr="00B83504">
        <w:t xml:space="preserve"> </w:t>
      </w:r>
      <w:r w:rsidRPr="00B83504">
        <w:rPr>
          <w:i/>
          <w:iCs/>
        </w:rPr>
        <w:t xml:space="preserve">See, e.g., </w:t>
      </w:r>
      <w:r w:rsidRPr="00B83504">
        <w:t>AEP’s Application at 2-5.</w:t>
      </w:r>
    </w:p>
  </w:footnote>
  <w:footnote w:id="6">
    <w:p w:rsidR="00EA549F" w:rsidRPr="00B83504" w:rsidP="00B83504" w14:paraId="223319E7" w14:textId="65451857">
      <w:pPr>
        <w:pStyle w:val="FootnoteText"/>
        <w:spacing w:after="120"/>
      </w:pPr>
      <w:r w:rsidRPr="00B83504">
        <w:rPr>
          <w:rStyle w:val="FootnoteReference"/>
        </w:rPr>
        <w:footnoteRef/>
      </w:r>
      <w:r w:rsidRPr="00B83504">
        <w:t xml:space="preserve"> </w:t>
      </w:r>
      <w:r w:rsidRPr="00B83504">
        <w:rPr>
          <w:i/>
          <w:iCs/>
        </w:rPr>
        <w:t xml:space="preserve">See, e.g., </w:t>
      </w:r>
      <w:r w:rsidRPr="00B83504">
        <w:t>AEP’s Application at 8 (proposing a mechanism to defer and later collect from consumers costs associated with the crisis).</w:t>
      </w:r>
    </w:p>
  </w:footnote>
  <w:footnote w:id="7">
    <w:p w:rsidR="000E03C4" w:rsidRPr="00B83504" w:rsidP="00B83504" w14:paraId="73B6A31F" w14:textId="5D64AD57">
      <w:pPr>
        <w:pStyle w:val="FootnoteText"/>
        <w:spacing w:after="120"/>
      </w:pPr>
      <w:r w:rsidRPr="00B83504">
        <w:rPr>
          <w:rStyle w:val="FootnoteReference"/>
        </w:rPr>
        <w:footnoteRef/>
      </w:r>
      <w:r w:rsidRPr="00B83504">
        <w:t xml:space="preserve"> </w:t>
      </w:r>
      <w:r w:rsidRPr="00B83504" w:rsidR="003B601F">
        <w:t>Entry at ¶10.</w:t>
      </w:r>
    </w:p>
  </w:footnote>
  <w:footnote w:id="8">
    <w:p w:rsidR="00DB0ACF" w:rsidRPr="00B83504" w:rsidP="00B83504" w14:paraId="409CDB91" w14:textId="77777777">
      <w:pPr>
        <w:pStyle w:val="FootnoteText"/>
        <w:spacing w:after="120"/>
      </w:pPr>
      <w:r w:rsidRPr="00B83504">
        <w:rPr>
          <w:rStyle w:val="FootnoteReference"/>
        </w:rPr>
        <w:footnoteRef/>
      </w:r>
      <w:r w:rsidRPr="00B83504">
        <w:rPr>
          <w:i/>
        </w:rPr>
        <w:t xml:space="preserve"> See Ohio Consumers’ Counsel v. Pub. Util. Comm</w:t>
      </w:r>
      <w:r w:rsidRPr="00B83504">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454DE6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60DA48D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71A7E6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8F"/>
    <w:rsid w:val="00005991"/>
    <w:rsid w:val="000109B3"/>
    <w:rsid w:val="0001672F"/>
    <w:rsid w:val="00024029"/>
    <w:rsid w:val="00027374"/>
    <w:rsid w:val="00047E18"/>
    <w:rsid w:val="00057D57"/>
    <w:rsid w:val="00063A18"/>
    <w:rsid w:val="000E03C4"/>
    <w:rsid w:val="000F5FF4"/>
    <w:rsid w:val="00117687"/>
    <w:rsid w:val="0012011D"/>
    <w:rsid w:val="00125D6F"/>
    <w:rsid w:val="00136312"/>
    <w:rsid w:val="00143B1A"/>
    <w:rsid w:val="001500EC"/>
    <w:rsid w:val="00180C7B"/>
    <w:rsid w:val="001956B8"/>
    <w:rsid w:val="001A2F19"/>
    <w:rsid w:val="001A3B88"/>
    <w:rsid w:val="001A678F"/>
    <w:rsid w:val="001C121C"/>
    <w:rsid w:val="001E222C"/>
    <w:rsid w:val="001E25C0"/>
    <w:rsid w:val="001E2862"/>
    <w:rsid w:val="001F043B"/>
    <w:rsid w:val="0021211F"/>
    <w:rsid w:val="00216BA5"/>
    <w:rsid w:val="00240C0A"/>
    <w:rsid w:val="00271476"/>
    <w:rsid w:val="0028396B"/>
    <w:rsid w:val="002C685B"/>
    <w:rsid w:val="002F43AE"/>
    <w:rsid w:val="003068DC"/>
    <w:rsid w:val="0031230F"/>
    <w:rsid w:val="003139F4"/>
    <w:rsid w:val="00332390"/>
    <w:rsid w:val="0033523B"/>
    <w:rsid w:val="00342972"/>
    <w:rsid w:val="0035482E"/>
    <w:rsid w:val="003659F4"/>
    <w:rsid w:val="003B48B7"/>
    <w:rsid w:val="003B54EF"/>
    <w:rsid w:val="003B601F"/>
    <w:rsid w:val="003E690F"/>
    <w:rsid w:val="00413552"/>
    <w:rsid w:val="00440E9B"/>
    <w:rsid w:val="004477AA"/>
    <w:rsid w:val="0047626F"/>
    <w:rsid w:val="004A55AF"/>
    <w:rsid w:val="004B7CCA"/>
    <w:rsid w:val="00501B6C"/>
    <w:rsid w:val="00506D5B"/>
    <w:rsid w:val="00557D1C"/>
    <w:rsid w:val="00560623"/>
    <w:rsid w:val="005740BE"/>
    <w:rsid w:val="005836FF"/>
    <w:rsid w:val="005B11F4"/>
    <w:rsid w:val="005B39E4"/>
    <w:rsid w:val="005C0FE8"/>
    <w:rsid w:val="005C12C1"/>
    <w:rsid w:val="005D3ED3"/>
    <w:rsid w:val="005E72C8"/>
    <w:rsid w:val="005F5330"/>
    <w:rsid w:val="00612C18"/>
    <w:rsid w:val="00621A1C"/>
    <w:rsid w:val="006222DE"/>
    <w:rsid w:val="00631A84"/>
    <w:rsid w:val="0064188C"/>
    <w:rsid w:val="0067238B"/>
    <w:rsid w:val="00674F10"/>
    <w:rsid w:val="00676E81"/>
    <w:rsid w:val="00677B86"/>
    <w:rsid w:val="00692582"/>
    <w:rsid w:val="006A6B69"/>
    <w:rsid w:val="006B3AE3"/>
    <w:rsid w:val="006B5AAE"/>
    <w:rsid w:val="006C0A0C"/>
    <w:rsid w:val="006D02DD"/>
    <w:rsid w:val="006F6E22"/>
    <w:rsid w:val="00714D65"/>
    <w:rsid w:val="00725DA5"/>
    <w:rsid w:val="00734A62"/>
    <w:rsid w:val="0073747D"/>
    <w:rsid w:val="00782784"/>
    <w:rsid w:val="00785AC1"/>
    <w:rsid w:val="007920F2"/>
    <w:rsid w:val="007A191D"/>
    <w:rsid w:val="007A2D5F"/>
    <w:rsid w:val="007B45EE"/>
    <w:rsid w:val="007D73B8"/>
    <w:rsid w:val="007D76A8"/>
    <w:rsid w:val="007E2B70"/>
    <w:rsid w:val="007F59E7"/>
    <w:rsid w:val="00812543"/>
    <w:rsid w:val="008243B0"/>
    <w:rsid w:val="0083212B"/>
    <w:rsid w:val="00841A9F"/>
    <w:rsid w:val="0085576D"/>
    <w:rsid w:val="008829A5"/>
    <w:rsid w:val="008D4C0A"/>
    <w:rsid w:val="008F560F"/>
    <w:rsid w:val="00916DD1"/>
    <w:rsid w:val="0092448B"/>
    <w:rsid w:val="0092570C"/>
    <w:rsid w:val="00927FDF"/>
    <w:rsid w:val="009602A6"/>
    <w:rsid w:val="00966B75"/>
    <w:rsid w:val="00992C45"/>
    <w:rsid w:val="00993EDD"/>
    <w:rsid w:val="00994B57"/>
    <w:rsid w:val="009B22ED"/>
    <w:rsid w:val="009B246C"/>
    <w:rsid w:val="009B50E5"/>
    <w:rsid w:val="009C5F23"/>
    <w:rsid w:val="009E4459"/>
    <w:rsid w:val="009F077F"/>
    <w:rsid w:val="009F2B15"/>
    <w:rsid w:val="00A044B5"/>
    <w:rsid w:val="00A05E22"/>
    <w:rsid w:val="00A226C1"/>
    <w:rsid w:val="00A31405"/>
    <w:rsid w:val="00A43EF8"/>
    <w:rsid w:val="00A45592"/>
    <w:rsid w:val="00A5441A"/>
    <w:rsid w:val="00A70DE1"/>
    <w:rsid w:val="00A90A49"/>
    <w:rsid w:val="00A90CED"/>
    <w:rsid w:val="00AD52A8"/>
    <w:rsid w:val="00AE76D9"/>
    <w:rsid w:val="00B17563"/>
    <w:rsid w:val="00B56965"/>
    <w:rsid w:val="00B63AFD"/>
    <w:rsid w:val="00B65290"/>
    <w:rsid w:val="00B70BA1"/>
    <w:rsid w:val="00B729D6"/>
    <w:rsid w:val="00B72E47"/>
    <w:rsid w:val="00B83504"/>
    <w:rsid w:val="00B910C6"/>
    <w:rsid w:val="00B93FE2"/>
    <w:rsid w:val="00BA2CD8"/>
    <w:rsid w:val="00BA4D80"/>
    <w:rsid w:val="00BA7C1C"/>
    <w:rsid w:val="00BC4352"/>
    <w:rsid w:val="00BD1BB1"/>
    <w:rsid w:val="00C0562F"/>
    <w:rsid w:val="00C268BD"/>
    <w:rsid w:val="00C33888"/>
    <w:rsid w:val="00C70A8B"/>
    <w:rsid w:val="00C80057"/>
    <w:rsid w:val="00C930AE"/>
    <w:rsid w:val="00C97127"/>
    <w:rsid w:val="00CA1D4D"/>
    <w:rsid w:val="00CE655A"/>
    <w:rsid w:val="00CF55F5"/>
    <w:rsid w:val="00D02CA0"/>
    <w:rsid w:val="00D276C4"/>
    <w:rsid w:val="00D36F1C"/>
    <w:rsid w:val="00D76E15"/>
    <w:rsid w:val="00D846DE"/>
    <w:rsid w:val="00D90DA7"/>
    <w:rsid w:val="00DB0ACF"/>
    <w:rsid w:val="00DB1378"/>
    <w:rsid w:val="00DB373F"/>
    <w:rsid w:val="00DB4EDB"/>
    <w:rsid w:val="00DC47C7"/>
    <w:rsid w:val="00DE6281"/>
    <w:rsid w:val="00DF1D93"/>
    <w:rsid w:val="00E07903"/>
    <w:rsid w:val="00E10476"/>
    <w:rsid w:val="00E23D95"/>
    <w:rsid w:val="00E370B1"/>
    <w:rsid w:val="00E54753"/>
    <w:rsid w:val="00E55E28"/>
    <w:rsid w:val="00E674F7"/>
    <w:rsid w:val="00E75FBA"/>
    <w:rsid w:val="00E82538"/>
    <w:rsid w:val="00E83104"/>
    <w:rsid w:val="00E87B26"/>
    <w:rsid w:val="00EA549F"/>
    <w:rsid w:val="00EB495B"/>
    <w:rsid w:val="00EC0B73"/>
    <w:rsid w:val="00EC10C2"/>
    <w:rsid w:val="00ED0407"/>
    <w:rsid w:val="00EE2BF6"/>
    <w:rsid w:val="00F066C9"/>
    <w:rsid w:val="00F1170B"/>
    <w:rsid w:val="00F3706B"/>
    <w:rsid w:val="00F54098"/>
    <w:rsid w:val="00F6315F"/>
    <w:rsid w:val="00F83127"/>
    <w:rsid w:val="00F87B73"/>
    <w:rsid w:val="00FC4E3E"/>
    <w:rsid w:val="00FC77FA"/>
    <w:rsid w:val="00FD01CD"/>
    <w:rsid w:val="00FE371B"/>
    <w:rsid w:val="00FF622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E4"/>
    <w:rPr>
      <w:sz w:val="24"/>
      <w:szCs w:val="24"/>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qFormat/>
    <w:pPr>
      <w:keepNext/>
      <w:tabs>
        <w:tab w:val="left" w:pos="4320"/>
      </w:tabs>
      <w:jc w:val="center"/>
      <w:outlineLvl w:val="1"/>
    </w:pPr>
    <w:rPr>
      <w:b/>
      <w:szCs w:val="20"/>
    </w:rPr>
  </w:style>
  <w:style w:type="paragraph" w:styleId="Heading3">
    <w:name w:val="heading 3"/>
    <w:basedOn w:val="Normal"/>
    <w:next w:val="Normal"/>
    <w:qFormat/>
    <w:pPr>
      <w:keepNext/>
      <w:jc w:val="center"/>
      <w:outlineLvl w:val="2"/>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er">
    <w:name w:val="footer"/>
    <w:basedOn w:val="Normal"/>
    <w:link w:val="FooterChar"/>
    <w:uiPriority w:val="99"/>
    <w:pPr>
      <w:tabs>
        <w:tab w:val="center" w:pos="4320"/>
        <w:tab w:val="right" w:pos="8640"/>
      </w:tabs>
    </w:pPr>
    <w:rPr>
      <w:sz w:val="20"/>
      <w:szCs w:val="20"/>
    </w:rPr>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styleId="BodyTextIndent2">
    <w:name w:val="Body Text Indent 2"/>
    <w:basedOn w:val="Normal"/>
    <w:pPr>
      <w:tabs>
        <w:tab w:val="left" w:pos="720"/>
      </w:tabs>
      <w:spacing w:before="240" w:after="240"/>
      <w:ind w:left="1464" w:hanging="744"/>
    </w:pPr>
    <w:rPr>
      <w:szCs w:val="20"/>
    </w:rPr>
  </w:style>
  <w:style w:type="character" w:styleId="PageNumber">
    <w:name w:val="page number"/>
    <w:basedOn w:val="DefaultParagraphFont"/>
  </w:style>
  <w:style w:type="paragraph" w:styleId="BodyText">
    <w:name w:val="Body Text"/>
    <w:basedOn w:val="Normal"/>
    <w:pPr>
      <w:jc w:val="both"/>
    </w:pPr>
    <w:rPr>
      <w:szCs w:val="20"/>
    </w:rPr>
  </w:style>
  <w:style w:type="paragraph" w:styleId="BlockText">
    <w:name w:val="Block Text"/>
    <w:basedOn w:val="Normal"/>
    <w:pPr>
      <w:ind w:left="1440" w:right="720"/>
    </w:pPr>
    <w:rPr>
      <w:szCs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rPr>
      <w:szCs w:val="20"/>
    </w:rPr>
  </w:style>
  <w:style w:type="paragraph" w:styleId="Header">
    <w:name w:val="header"/>
    <w:basedOn w:val="Normal"/>
    <w:link w:val="HeaderChar"/>
    <w:uiPriority w:val="99"/>
    <w:pPr>
      <w:tabs>
        <w:tab w:val="center" w:pos="4320"/>
        <w:tab w:val="right" w:pos="8640"/>
      </w:tabs>
    </w:pPr>
    <w:rPr>
      <w:szCs w:val="20"/>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szCs w:val="20"/>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HTMLPreformattedChar">
    <w:name w:val="HTML Preformatted Char"/>
    <w:basedOn w:val="DefaultParagraphFont"/>
    <w:link w:val="HTMLPreformatted"/>
    <w:rsid w:val="00EB495B"/>
    <w:rPr>
      <w:rFonts w:ascii="Courier New" w:eastAsia="Courier New" w:hAnsi="Courier New" w:cs="Courier New"/>
    </w:rPr>
  </w:style>
  <w:style w:type="character" w:customStyle="1" w:styleId="Heading1Char">
    <w:name w:val="Heading 1 Char"/>
    <w:basedOn w:val="DefaultParagraphFont"/>
    <w:link w:val="Heading1"/>
    <w:rsid w:val="00EB495B"/>
    <w:rPr>
      <w:b/>
      <w:sz w:val="24"/>
      <w:szCs w:val="24"/>
      <w:u w:val="single"/>
    </w:rPr>
  </w:style>
  <w:style w:type="character" w:customStyle="1" w:styleId="BodyTextIndent3Char">
    <w:name w:val="Body Text Indent 3 Char"/>
    <w:basedOn w:val="DefaultParagraphFont"/>
    <w:link w:val="BodyTextIndent3"/>
    <w:rsid w:val="00EB495B"/>
    <w:rPr>
      <w:sz w:val="24"/>
    </w:rPr>
  </w:style>
  <w:style w:type="character" w:customStyle="1" w:styleId="CommentTextChar">
    <w:name w:val="Comment Text Char"/>
    <w:basedOn w:val="DefaultParagraphFont"/>
    <w:link w:val="CommentText"/>
    <w:semiHidden/>
    <w:rsid w:val="0083212B"/>
    <w:rPr>
      <w:sz w:val="24"/>
      <w:szCs w:val="24"/>
    </w:rPr>
  </w:style>
  <w:style w:type="character" w:customStyle="1" w:styleId="HeaderChar">
    <w:name w:val="Header Char"/>
    <w:basedOn w:val="DefaultParagraphFont"/>
    <w:link w:val="Header"/>
    <w:uiPriority w:val="99"/>
    <w:rsid w:val="00BA4D80"/>
    <w:rPr>
      <w:sz w:val="24"/>
    </w:rPr>
  </w:style>
  <w:style w:type="character" w:customStyle="1" w:styleId="UnresolvedMention3">
    <w:name w:val="Unresolved Mention3"/>
    <w:basedOn w:val="DefaultParagraphFont"/>
    <w:rsid w:val="00994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general.gov" TargetMode="External" /><Relationship Id="rId11" Type="http://schemas.openxmlformats.org/officeDocument/2006/relationships/hyperlink" Target="mailto:mpritchard@mcneeslaw.com" TargetMode="External" /><Relationship Id="rId12" Type="http://schemas.openxmlformats.org/officeDocument/2006/relationships/hyperlink" Target="mailto:rglover@mcneeslaw.com" TargetMode="External" /><Relationship Id="rId13" Type="http://schemas.openxmlformats.org/officeDocument/2006/relationships/hyperlink" Target="mailto:Sarah.parrot@puco.ohio.gov" TargetMode="External" /><Relationship Id="rId14" Type="http://schemas.openxmlformats.org/officeDocument/2006/relationships/hyperlink" Target="mailto:Greta.see@puco.ohio.gov" TargetMode="External" /><Relationship Id="rId15" Type="http://schemas.openxmlformats.org/officeDocument/2006/relationships/hyperlink" Target="mailto:stnourse@aep.com" TargetMode="External" /><Relationship Id="rId16" Type="http://schemas.openxmlformats.org/officeDocument/2006/relationships/hyperlink" Target="mailto:cmblend@aep.com"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William.Michael@occ.ohio.gov" TargetMode="External" /><Relationship Id="rId8" Type="http://schemas.openxmlformats.org/officeDocument/2006/relationships/hyperlink" Target="mailto:Ambrosia.Wilson@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5235-3910-4BE5-8828-19888A4E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2020-04-08T16:02:14Z</dcterms:created>
  <dcterms:modified xsi:type="dcterms:W3CDTF">2020-04-08T16:02:14Z</dcterms:modified>
</cp:coreProperties>
</file>