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31CA" w14:textId="77777777" w:rsidR="00925166" w:rsidRDefault="00925166" w:rsidP="009251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BEFORE</w:t>
      </w:r>
      <w:r>
        <w:rPr>
          <w:rFonts w:ascii="Times New Roman" w:hAnsi="Times New Roman" w:cs="Times New Roman"/>
          <w:b/>
        </w:rPr>
        <w:br/>
        <w:t>THE PUBLIC UTILITIES COMMISSION OF OHIO</w:t>
      </w:r>
    </w:p>
    <w:p w14:paraId="795DD01F" w14:textId="77777777" w:rsidR="00925166" w:rsidRDefault="00925166" w:rsidP="0092516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360"/>
        <w:gridCol w:w="4608"/>
      </w:tblGrid>
      <w:tr w:rsidR="00925166" w14:paraId="533D8E3D" w14:textId="77777777" w:rsidTr="001D3B52">
        <w:tc>
          <w:tcPr>
            <w:tcW w:w="4608" w:type="dxa"/>
          </w:tcPr>
          <w:p w14:paraId="1F0628E1" w14:textId="77777777" w:rsidR="00925166" w:rsidRDefault="00925166" w:rsidP="001D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Matter of the Investigation of Dominion East Ohio Gas Company Relative to Its Compliance with the Natural Gas Pipeline Safety Standards and Related Matters.</w:t>
            </w:r>
          </w:p>
        </w:tc>
        <w:tc>
          <w:tcPr>
            <w:tcW w:w="360" w:type="dxa"/>
          </w:tcPr>
          <w:p w14:paraId="4A5AFDB4" w14:textId="77777777" w:rsidR="00925166" w:rsidRDefault="00925166" w:rsidP="001D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1FC3C48D" w14:textId="77777777" w:rsidR="00925166" w:rsidRDefault="00925166" w:rsidP="001D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345806C0" w14:textId="77777777" w:rsidR="00925166" w:rsidRDefault="00925166" w:rsidP="001D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)</w:t>
            </w:r>
          </w:p>
          <w:p w14:paraId="3007D010" w14:textId="77777777" w:rsidR="00925166" w:rsidRDefault="00925166" w:rsidP="001D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8" w:type="dxa"/>
          </w:tcPr>
          <w:p w14:paraId="36C5C743" w14:textId="77777777" w:rsidR="00925166" w:rsidRDefault="00925166" w:rsidP="001D3B52">
            <w:pPr>
              <w:ind w:firstLine="612"/>
              <w:rPr>
                <w:rFonts w:ascii="Times New Roman" w:hAnsi="Times New Roman" w:cs="Times New Roman"/>
              </w:rPr>
            </w:pPr>
          </w:p>
          <w:p w14:paraId="5C7A19D3" w14:textId="77777777" w:rsidR="00925166" w:rsidRDefault="00925166" w:rsidP="001D3B52">
            <w:pPr>
              <w:ind w:firstLine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12-380-GA-GPS</w:t>
            </w:r>
          </w:p>
        </w:tc>
      </w:tr>
    </w:tbl>
    <w:p w14:paraId="7B86AB26" w14:textId="77777777" w:rsidR="00E05C6A" w:rsidRDefault="00E05C6A" w:rsidP="00E05C6A">
      <w:pPr>
        <w:jc w:val="center"/>
        <w:rPr>
          <w:rFonts w:ascii="Times New Roman" w:hAnsi="Times New Roman" w:cs="Times New Roman"/>
        </w:rPr>
      </w:pPr>
    </w:p>
    <w:p w14:paraId="7860CDB5" w14:textId="77777777" w:rsidR="00171495" w:rsidRDefault="00873852" w:rsidP="0082227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MOTION TO STAY DISCOVERY</w:t>
      </w:r>
      <w:r w:rsidR="001D3B52">
        <w:rPr>
          <w:rFonts w:ascii="Times New Roman" w:hAnsi="Times New Roman" w:cs="Times New Roman"/>
          <w:b/>
        </w:rPr>
        <w:t xml:space="preserve"> OF </w:t>
      </w:r>
    </w:p>
    <w:p w14:paraId="34C0912A" w14:textId="77777777" w:rsidR="001D3B52" w:rsidRPr="00171495" w:rsidRDefault="001D3B52" w:rsidP="00822271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171495">
        <w:rPr>
          <w:rFonts w:ascii="Times New Roman" w:hAnsi="Times New Roman" w:cs="Times New Roman"/>
          <w:b/>
          <w:u w:val="single"/>
        </w:rPr>
        <w:t>THE EAST OHIO GAS COMPANY D/B/A DOMINION EAST OHIO</w:t>
      </w:r>
    </w:p>
    <w:p w14:paraId="5A8DCE33" w14:textId="77777777" w:rsidR="00925166" w:rsidRDefault="00925166" w:rsidP="0082227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D2C617B" w14:textId="77777777" w:rsidR="001D3B52" w:rsidRDefault="00873852" w:rsidP="001D3B52">
      <w:pPr>
        <w:pStyle w:val="MemoBodyText"/>
      </w:pPr>
      <w:r>
        <w:t>Pursuant to Ohio Adm</w:t>
      </w:r>
      <w:r w:rsidR="009C4045">
        <w:t>in</w:t>
      </w:r>
      <w:r>
        <w:t>. Code 4901-1-12(A), The East Ohio Gas Com</w:t>
      </w:r>
      <w:r w:rsidR="00B33ADD">
        <w:t>pany d/b/a Dominion East Ohio (“</w:t>
      </w:r>
      <w:r>
        <w:t>DEO</w:t>
      </w:r>
      <w:r w:rsidR="00B33ADD">
        <w:t>”</w:t>
      </w:r>
      <w:r>
        <w:t xml:space="preserve"> or the </w:t>
      </w:r>
      <w:r w:rsidR="00B33ADD">
        <w:t>“</w:t>
      </w:r>
      <w:r>
        <w:t>Company</w:t>
      </w:r>
      <w:r w:rsidR="00B33ADD">
        <w:t>”</w:t>
      </w:r>
      <w:r>
        <w:t xml:space="preserve">) </w:t>
      </w:r>
      <w:r w:rsidR="00FF6B5B">
        <w:t xml:space="preserve">requests that </w:t>
      </w:r>
      <w:r w:rsidR="00822271">
        <w:t xml:space="preserve">the Commission </w:t>
      </w:r>
      <w:r w:rsidR="00FF6B5B">
        <w:t xml:space="preserve">issue an entry </w:t>
      </w:r>
      <w:r>
        <w:t>stay</w:t>
      </w:r>
      <w:r w:rsidR="00FF6B5B">
        <w:t>ing</w:t>
      </w:r>
      <w:r>
        <w:t xml:space="preserve"> discovery</w:t>
      </w:r>
      <w:r w:rsidR="00FF6B5B">
        <w:t xml:space="preserve"> until it </w:t>
      </w:r>
      <w:r w:rsidR="00C11856">
        <w:t xml:space="preserve">(1) </w:t>
      </w:r>
      <w:r w:rsidR="00FF6B5B">
        <w:t xml:space="preserve">rules on the motion to intervene filed by the Office of the </w:t>
      </w:r>
      <w:r w:rsidR="009C4045">
        <w:t xml:space="preserve">Ohio </w:t>
      </w:r>
      <w:r w:rsidR="00FF6B5B">
        <w:t>Consumers’ Counsel (“OCC”)</w:t>
      </w:r>
      <w:r w:rsidR="005646BE">
        <w:t xml:space="preserve"> and </w:t>
      </w:r>
      <w:r w:rsidR="00C11856">
        <w:t xml:space="preserve">(2) </w:t>
      </w:r>
      <w:r w:rsidR="005646BE">
        <w:t>issues an entry establishing</w:t>
      </w:r>
      <w:r w:rsidR="00FF6B5B">
        <w:t xml:space="preserve"> the procedures that will govern this case</w:t>
      </w:r>
      <w:r w:rsidR="00C11856">
        <w:t>, including (if intervention is granted) the nature and scope of OCC’s role in this case and whether and to what extent OCC may seek discovery</w:t>
      </w:r>
      <w:r>
        <w:t xml:space="preserve">.  </w:t>
      </w:r>
      <w:r w:rsidR="00925166">
        <w:t xml:space="preserve">Reasons for granting the motion are set forth in the </w:t>
      </w:r>
      <w:r w:rsidR="005646BE">
        <w:t xml:space="preserve">attached </w:t>
      </w:r>
      <w:r w:rsidR="00925166">
        <w:t>memorandum in support</w:t>
      </w:r>
      <w:r w:rsidR="001D3B52">
        <w:t>.</w:t>
      </w:r>
    </w:p>
    <w:p w14:paraId="7AA4752F" w14:textId="77777777" w:rsidR="001D3B52" w:rsidRPr="0032154A" w:rsidRDefault="001D3B52" w:rsidP="001D3B52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Respectfully submitted,</w:t>
      </w:r>
    </w:p>
    <w:p w14:paraId="1230938C" w14:textId="77777777" w:rsidR="001D3B52" w:rsidRPr="0032154A" w:rsidRDefault="001D3B52" w:rsidP="001D3B52">
      <w:pPr>
        <w:ind w:left="5040"/>
        <w:rPr>
          <w:rFonts w:ascii="Times New Roman" w:hAnsi="Times New Roman" w:cs="Times New Roman"/>
        </w:rPr>
      </w:pPr>
    </w:p>
    <w:p w14:paraId="6C9924EB" w14:textId="77777777" w:rsidR="001D3B52" w:rsidRPr="0032154A" w:rsidRDefault="001D3B52" w:rsidP="001D3B52">
      <w:pPr>
        <w:ind w:left="5040"/>
        <w:rPr>
          <w:rFonts w:ascii="Times New Roman" w:hAnsi="Times New Roman" w:cs="Times New Roman"/>
        </w:rPr>
      </w:pPr>
    </w:p>
    <w:p w14:paraId="4A2A3B04" w14:textId="77777777" w:rsidR="001D3B52" w:rsidRPr="0032154A" w:rsidRDefault="00C11856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Andrew J. Campbell</w:t>
      </w:r>
      <w:r w:rsidR="001D3B52" w:rsidRPr="0032154A">
        <w:rPr>
          <w:rFonts w:ascii="Times New Roman" w:hAnsi="Times New Roman" w:cs="Times New Roman"/>
          <w:u w:val="single"/>
        </w:rPr>
        <w:tab/>
      </w:r>
      <w:r w:rsidR="001D3B52" w:rsidRPr="0032154A">
        <w:rPr>
          <w:rFonts w:ascii="Times New Roman" w:hAnsi="Times New Roman" w:cs="Times New Roman"/>
          <w:u w:val="single"/>
        </w:rPr>
        <w:tab/>
      </w:r>
      <w:r w:rsidR="001D3B52" w:rsidRPr="0032154A">
        <w:rPr>
          <w:rFonts w:ascii="Times New Roman" w:hAnsi="Times New Roman" w:cs="Times New Roman"/>
          <w:u w:val="single"/>
        </w:rPr>
        <w:tab/>
      </w:r>
    </w:p>
    <w:p w14:paraId="5126D4CE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A. Whitt (Counsel of Record)</w:t>
      </w:r>
    </w:p>
    <w:p w14:paraId="59BEC032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Campbell</w:t>
      </w:r>
    </w:p>
    <w:p w14:paraId="05E02472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L. Thompson</w:t>
      </w:r>
    </w:p>
    <w:p w14:paraId="02E2DA92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 STURTEVANT LLP</w:t>
      </w:r>
    </w:p>
    <w:p w14:paraId="53E7CC82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PNC Plaza, Suite 2020</w:t>
      </w:r>
    </w:p>
    <w:p w14:paraId="7E9D7D47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East Broad Street</w:t>
      </w:r>
    </w:p>
    <w:p w14:paraId="7ADC0CC4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66E2C4B2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(614) 224-3911</w:t>
      </w:r>
    </w:p>
    <w:p w14:paraId="24A0C67E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(614) 224-3960</w:t>
      </w:r>
    </w:p>
    <w:p w14:paraId="46EBA3D8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whitt@whitt-sturtevant.com</w:t>
      </w:r>
    </w:p>
    <w:p w14:paraId="58F967AA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campbell@whitt-sturtevant.com</w:t>
      </w:r>
    </w:p>
    <w:p w14:paraId="730AC88F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thompson@whitt-sturtevant.com</w:t>
      </w:r>
    </w:p>
    <w:p w14:paraId="7FBD140D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</w:p>
    <w:p w14:paraId="13B72B8A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ATTORNEYS FOR THE EAST OHIO GAS COMPANY D/B/A DOMINION EAST OHIO</w:t>
      </w:r>
    </w:p>
    <w:p w14:paraId="750E0780" w14:textId="77777777" w:rsidR="001D3B52" w:rsidRDefault="001D3B52" w:rsidP="001D3B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BEFORE</w:t>
      </w:r>
      <w:r>
        <w:rPr>
          <w:rFonts w:ascii="Times New Roman" w:hAnsi="Times New Roman" w:cs="Times New Roman"/>
          <w:b/>
        </w:rPr>
        <w:br/>
        <w:t>THE PUBLIC UTILITIES COMMISSION OF OHIO</w:t>
      </w:r>
    </w:p>
    <w:p w14:paraId="3642A672" w14:textId="77777777" w:rsidR="001D3B52" w:rsidRDefault="001D3B52" w:rsidP="001D3B5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360"/>
        <w:gridCol w:w="4608"/>
      </w:tblGrid>
      <w:tr w:rsidR="001D3B52" w14:paraId="5722166E" w14:textId="77777777" w:rsidTr="001D3B52">
        <w:tc>
          <w:tcPr>
            <w:tcW w:w="4608" w:type="dxa"/>
          </w:tcPr>
          <w:p w14:paraId="35F84173" w14:textId="77777777" w:rsidR="001D3B52" w:rsidRDefault="001D3B52" w:rsidP="001D3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Matter of the Investigation of Dominion East Ohio Gas Company Relative to Its Compliance with the Natural Gas Pipeline Safety Standards and Related Matters.</w:t>
            </w:r>
          </w:p>
        </w:tc>
        <w:tc>
          <w:tcPr>
            <w:tcW w:w="360" w:type="dxa"/>
          </w:tcPr>
          <w:p w14:paraId="0FF3B10C" w14:textId="77777777" w:rsidR="001D3B52" w:rsidRDefault="001D3B52" w:rsidP="001D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12DBCBCA" w14:textId="77777777" w:rsidR="001D3B52" w:rsidRDefault="001D3B52" w:rsidP="001D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1525C13A" w14:textId="77777777" w:rsidR="001D3B52" w:rsidRDefault="001D3B52" w:rsidP="001D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  <w:t>)</w:t>
            </w:r>
          </w:p>
          <w:p w14:paraId="6472946D" w14:textId="77777777" w:rsidR="001D3B52" w:rsidRDefault="001D3B52" w:rsidP="001D3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8" w:type="dxa"/>
          </w:tcPr>
          <w:p w14:paraId="1AB508F2" w14:textId="77777777" w:rsidR="001D3B52" w:rsidRDefault="001D3B52" w:rsidP="001D3B52">
            <w:pPr>
              <w:ind w:firstLine="612"/>
              <w:rPr>
                <w:rFonts w:ascii="Times New Roman" w:hAnsi="Times New Roman" w:cs="Times New Roman"/>
              </w:rPr>
            </w:pPr>
          </w:p>
          <w:p w14:paraId="2E24DC3F" w14:textId="77777777" w:rsidR="001D3B52" w:rsidRDefault="001D3B52" w:rsidP="001D3B52">
            <w:pPr>
              <w:ind w:firstLine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12-380-GA-GPS</w:t>
            </w:r>
          </w:p>
        </w:tc>
      </w:tr>
    </w:tbl>
    <w:p w14:paraId="51C366FB" w14:textId="77777777" w:rsidR="001D3B52" w:rsidRDefault="001D3B52" w:rsidP="001D3B52">
      <w:pPr>
        <w:jc w:val="center"/>
        <w:rPr>
          <w:rFonts w:ascii="Times New Roman" w:hAnsi="Times New Roman" w:cs="Times New Roman"/>
        </w:rPr>
      </w:pPr>
    </w:p>
    <w:p w14:paraId="50529009" w14:textId="77777777" w:rsidR="00A14F09" w:rsidRPr="00A14F09" w:rsidRDefault="001D3B52" w:rsidP="001D3B52">
      <w:pPr>
        <w:jc w:val="center"/>
        <w:outlineLvl w:val="0"/>
        <w:rPr>
          <w:rFonts w:ascii="Times New Roman" w:hAnsi="Times New Roman" w:cs="Times New Roman"/>
          <w:b/>
        </w:rPr>
      </w:pPr>
      <w:r w:rsidRPr="00A14F09">
        <w:rPr>
          <w:rFonts w:ascii="Times New Roman" w:hAnsi="Times New Roman" w:cs="Times New Roman"/>
          <w:b/>
        </w:rPr>
        <w:t>MEMORANDUM IN SUPPORT</w:t>
      </w:r>
      <w:r w:rsidR="00A14F09" w:rsidRPr="00A14F09">
        <w:rPr>
          <w:rFonts w:ascii="Times New Roman" w:hAnsi="Times New Roman" w:cs="Times New Roman"/>
          <w:b/>
        </w:rPr>
        <w:t xml:space="preserve"> OF MOTION TO STAY DISCOVERY </w:t>
      </w:r>
    </w:p>
    <w:p w14:paraId="0A6C95D8" w14:textId="77777777" w:rsidR="001D3B52" w:rsidRPr="00171495" w:rsidRDefault="00A14F09" w:rsidP="001D3B52">
      <w:pPr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OF THE EAST OHIO GAS COMPANY D/B/A DOMINION EAST OHIO</w:t>
      </w:r>
    </w:p>
    <w:p w14:paraId="02BD3A84" w14:textId="77777777" w:rsidR="001D3B52" w:rsidRDefault="001D3B52" w:rsidP="001D3B52">
      <w:pPr>
        <w:jc w:val="center"/>
        <w:outlineLvl w:val="0"/>
        <w:rPr>
          <w:rFonts w:ascii="Times New Roman" w:hAnsi="Times New Roman" w:cs="Times New Roman"/>
          <w:b/>
        </w:rPr>
      </w:pPr>
    </w:p>
    <w:p w14:paraId="307A9286" w14:textId="77777777" w:rsidR="00873852" w:rsidRDefault="00873852" w:rsidP="00873852">
      <w:pPr>
        <w:pStyle w:val="MemoHeading1"/>
      </w:pPr>
      <w:r>
        <w:t>Introduction</w:t>
      </w:r>
    </w:p>
    <w:p w14:paraId="6953FDD7" w14:textId="77777777" w:rsidR="00B33ADD" w:rsidRDefault="005646BE" w:rsidP="00873852">
      <w:pPr>
        <w:pStyle w:val="MemoBodyText"/>
      </w:pPr>
      <w:r>
        <w:t>On January 23, 2012, t</w:t>
      </w:r>
      <w:r w:rsidR="00822271">
        <w:t xml:space="preserve">he </w:t>
      </w:r>
      <w:r>
        <w:t xml:space="preserve">Staff filed its report in this case, but the </w:t>
      </w:r>
      <w:r w:rsidR="00822271">
        <w:t xml:space="preserve">Commission has yet to issue any entries. </w:t>
      </w:r>
      <w:r>
        <w:t xml:space="preserve"> </w:t>
      </w:r>
      <w:r w:rsidR="00B33ADD">
        <w:t xml:space="preserve">On February 14, </w:t>
      </w:r>
      <w:r w:rsidR="00873852">
        <w:t>OCC moved to intervene</w:t>
      </w:r>
      <w:r w:rsidR="001D3B52">
        <w:t>.</w:t>
      </w:r>
      <w:r w:rsidR="00873852">
        <w:t xml:space="preserve"> </w:t>
      </w:r>
      <w:r w:rsidR="001D3B52">
        <w:t xml:space="preserve"> </w:t>
      </w:r>
      <w:r w:rsidR="00873852">
        <w:t xml:space="preserve">DEO opposed OCC’s motion on the grounds that OCC neither has standing to intervene in a gas-pipeline-safety </w:t>
      </w:r>
      <w:r w:rsidR="00C15215">
        <w:t xml:space="preserve">(“GPS”) </w:t>
      </w:r>
      <w:r w:rsidR="00873852">
        <w:t xml:space="preserve">case nor showed that it was entitled to intervene under the </w:t>
      </w:r>
      <w:r w:rsidR="00822271">
        <w:t>Commission</w:t>
      </w:r>
      <w:r w:rsidR="00873852">
        <w:t xml:space="preserve">’s rules.  </w:t>
      </w:r>
      <w:r w:rsidR="00822271">
        <w:t xml:space="preserve">No ruling has been made </w:t>
      </w:r>
      <w:r w:rsidR="00873852">
        <w:t xml:space="preserve">on the motion.  </w:t>
      </w:r>
    </w:p>
    <w:p w14:paraId="563E05CF" w14:textId="77777777" w:rsidR="005646BE" w:rsidRDefault="00873852" w:rsidP="00873852">
      <w:pPr>
        <w:pStyle w:val="MemoBodyText"/>
      </w:pPr>
      <w:r>
        <w:t xml:space="preserve">In the meantime, OCC has served a substantial number of discovery requests.  Responding to OCC’s discovery requests will consume considerable time and resources, all needless in the event </w:t>
      </w:r>
      <w:r w:rsidR="00A14F09">
        <w:t xml:space="preserve">that </w:t>
      </w:r>
      <w:r w:rsidR="00822271">
        <w:t xml:space="preserve">the Commission </w:t>
      </w:r>
      <w:r>
        <w:t xml:space="preserve">denies OCC’s motion to intervene.  Moreover, </w:t>
      </w:r>
      <w:r w:rsidR="005646BE">
        <w:t xml:space="preserve">even if OCC were allowed to intervene, it </w:t>
      </w:r>
      <w:r w:rsidR="00C11856">
        <w:t xml:space="preserve">is </w:t>
      </w:r>
      <w:r w:rsidR="005646BE">
        <w:t>unclear what role OCC ought to play</w:t>
      </w:r>
      <w:r w:rsidR="00C11856">
        <w:t xml:space="preserve"> in this proceeding and whether it may take discovery</w:t>
      </w:r>
      <w:r w:rsidR="005646BE">
        <w:t xml:space="preserve">—and that makes </w:t>
      </w:r>
      <w:r>
        <w:t xml:space="preserve">it impossible </w:t>
      </w:r>
      <w:r w:rsidR="005646BE">
        <w:t xml:space="preserve">at this time </w:t>
      </w:r>
      <w:r>
        <w:t xml:space="preserve">to know whether OCC’s discovery </w:t>
      </w:r>
      <w:r w:rsidR="00FF6B5B">
        <w:t>is proper</w:t>
      </w:r>
      <w:r>
        <w:t>.</w:t>
      </w:r>
      <w:r w:rsidR="00FF6B5B">
        <w:t xml:space="preserve">  </w:t>
      </w:r>
    </w:p>
    <w:p w14:paraId="2471B4D6" w14:textId="77777777" w:rsidR="00873852" w:rsidRDefault="00822271" w:rsidP="00873852">
      <w:pPr>
        <w:pStyle w:val="MemoBodyText"/>
      </w:pPr>
      <w:r>
        <w:t xml:space="preserve">While allowing discovery to go forward </w:t>
      </w:r>
      <w:r w:rsidR="002F01CF">
        <w:t>would be burdensome to</w:t>
      </w:r>
      <w:r>
        <w:t xml:space="preserve"> DEO</w:t>
      </w:r>
      <w:r w:rsidR="00FF6B5B">
        <w:t xml:space="preserve">, staying discovery will not </w:t>
      </w:r>
      <w:r w:rsidR="005646BE">
        <w:t>harm OCC.  After the Commission settles the issues mentioned above</w:t>
      </w:r>
      <w:r>
        <w:t xml:space="preserve">, </w:t>
      </w:r>
      <w:r w:rsidR="005646BE">
        <w:t xml:space="preserve">OCC </w:t>
      </w:r>
      <w:r>
        <w:t xml:space="preserve">may fully avail itself of whatever opportunity for discovery </w:t>
      </w:r>
      <w:r w:rsidR="005646BE">
        <w:t>the Commission ultimately allows</w:t>
      </w:r>
      <w:r>
        <w:t>.</w:t>
      </w:r>
    </w:p>
    <w:p w14:paraId="39333907" w14:textId="77777777" w:rsidR="00873852" w:rsidRDefault="00873852" w:rsidP="00873852">
      <w:pPr>
        <w:pStyle w:val="MemoBodyText"/>
      </w:pPr>
      <w:r>
        <w:t xml:space="preserve">For these reasons, as discussed below, DEO respectfully requests that the </w:t>
      </w:r>
      <w:r w:rsidR="00822271">
        <w:t>Commission</w:t>
      </w:r>
      <w:r>
        <w:t xml:space="preserve"> stay discovery until it</w:t>
      </w:r>
      <w:r w:rsidR="00C11856">
        <w:t xml:space="preserve"> (1)</w:t>
      </w:r>
      <w:r>
        <w:t xml:space="preserve"> rules on OCC’s motion to intervene and </w:t>
      </w:r>
      <w:r w:rsidR="00C11856">
        <w:t xml:space="preserve">(2) </w:t>
      </w:r>
      <w:r>
        <w:t xml:space="preserve">establishes the procedures </w:t>
      </w:r>
      <w:r w:rsidR="005646BE">
        <w:t xml:space="preserve">that will govern </w:t>
      </w:r>
      <w:r>
        <w:t>this case</w:t>
      </w:r>
      <w:r w:rsidR="00C11856">
        <w:t>, including (if intervention is granted) the nature and scope of OCC’s role in this case and whether and to what extent OCC may seek discovery</w:t>
      </w:r>
      <w:r>
        <w:t>.</w:t>
      </w:r>
    </w:p>
    <w:p w14:paraId="7D1F9FB9" w14:textId="77777777" w:rsidR="00873852" w:rsidRDefault="00873852" w:rsidP="00873852">
      <w:pPr>
        <w:pStyle w:val="MemoHeading1"/>
      </w:pPr>
      <w:r>
        <w:t>ARGUMENT</w:t>
      </w:r>
    </w:p>
    <w:p w14:paraId="413F88C6" w14:textId="77777777" w:rsidR="00C05BAA" w:rsidRDefault="00873852" w:rsidP="00873852">
      <w:pPr>
        <w:pStyle w:val="MemoBodyText"/>
      </w:pPr>
      <w:r>
        <w:t xml:space="preserve">There have been six filings in this docket, none </w:t>
      </w:r>
      <w:r w:rsidR="00822271">
        <w:t xml:space="preserve">signed </w:t>
      </w:r>
      <w:r>
        <w:t xml:space="preserve">by the </w:t>
      </w:r>
      <w:r w:rsidR="00822271">
        <w:t>C</w:t>
      </w:r>
      <w:r>
        <w:t>ommission or an attorney examiner.  The</w:t>
      </w:r>
      <w:r w:rsidR="00822271">
        <w:t xml:space="preserve"> Commission</w:t>
      </w:r>
      <w:r>
        <w:t xml:space="preserve"> has not established a procedural schedule</w:t>
      </w:r>
      <w:r w:rsidR="00C05BAA">
        <w:t xml:space="preserve"> or </w:t>
      </w:r>
      <w:r w:rsidR="008F7F44">
        <w:t xml:space="preserve">definitively established </w:t>
      </w:r>
      <w:r w:rsidR="005646BE">
        <w:t>how this case will proceed</w:t>
      </w:r>
      <w:r w:rsidR="00C05BAA">
        <w:t>.  Nor has it ruled on OCC’s contested motion to intervene.  I</w:t>
      </w:r>
      <w:r>
        <w:t xml:space="preserve">t has not spoken </w:t>
      </w:r>
      <w:r w:rsidR="00822271">
        <w:t>in any way.</w:t>
      </w:r>
    </w:p>
    <w:p w14:paraId="3D6EE47A" w14:textId="77777777" w:rsidR="00873852" w:rsidRDefault="00873852" w:rsidP="00873852">
      <w:pPr>
        <w:pStyle w:val="MemoBodyText"/>
      </w:pPr>
      <w:r>
        <w:t xml:space="preserve">Nevertheless, OCC recently submitted </w:t>
      </w:r>
      <w:r w:rsidR="00F72440">
        <w:t xml:space="preserve">a substantial amount of discovery </w:t>
      </w:r>
      <w:r>
        <w:t>to DEO</w:t>
      </w:r>
      <w:r w:rsidR="00F72440">
        <w:t xml:space="preserve">: 50 </w:t>
      </w:r>
      <w:r w:rsidR="008F7F44">
        <w:t xml:space="preserve">interrogatories, </w:t>
      </w:r>
      <w:r w:rsidR="00A14F09">
        <w:t>several</w:t>
      </w:r>
      <w:r w:rsidR="008F7F44">
        <w:t xml:space="preserve"> of them with multiple parts, and a dozen requests for production</w:t>
      </w:r>
      <w:r>
        <w:t xml:space="preserve">.  For several reasons, the </w:t>
      </w:r>
      <w:r w:rsidR="00822271">
        <w:t>Commission</w:t>
      </w:r>
      <w:r>
        <w:t xml:space="preserve"> should stay discovery.  </w:t>
      </w:r>
    </w:p>
    <w:p w14:paraId="62400046" w14:textId="77777777" w:rsidR="00873852" w:rsidRDefault="002B2DD4" w:rsidP="00873852">
      <w:pPr>
        <w:pStyle w:val="MemoHeading2"/>
      </w:pPr>
      <w:r>
        <w:t xml:space="preserve">DEO should not be required to respond to </w:t>
      </w:r>
      <w:r w:rsidR="00873852">
        <w:t xml:space="preserve">OCC’s </w:t>
      </w:r>
      <w:r>
        <w:t>discovery</w:t>
      </w:r>
      <w:r w:rsidR="00EE4EEF">
        <w:t xml:space="preserve"> before</w:t>
      </w:r>
      <w:r>
        <w:t xml:space="preserve"> </w:t>
      </w:r>
      <w:r w:rsidR="00822271">
        <w:t xml:space="preserve">the Commission </w:t>
      </w:r>
      <w:r>
        <w:t>rules on its motion to intervene</w:t>
      </w:r>
      <w:r w:rsidR="00873852">
        <w:t>.</w:t>
      </w:r>
    </w:p>
    <w:p w14:paraId="4C57631B" w14:textId="77777777" w:rsidR="00C05BAA" w:rsidRDefault="00873852" w:rsidP="002B2DD4">
      <w:pPr>
        <w:pStyle w:val="MemoBodyText"/>
      </w:pPr>
      <w:r>
        <w:t xml:space="preserve">First, </w:t>
      </w:r>
      <w:r w:rsidR="00822271">
        <w:t xml:space="preserve">the Commission </w:t>
      </w:r>
      <w:r w:rsidR="002B2DD4">
        <w:t xml:space="preserve">should stay discovery until it </w:t>
      </w:r>
      <w:r w:rsidR="00A14F09">
        <w:t>determines</w:t>
      </w:r>
      <w:r w:rsidR="002B2DD4">
        <w:t xml:space="preserve"> whether OCC may participate in this case.  As DEO has argued</w:t>
      </w:r>
      <w:r w:rsidR="00A14F09">
        <w:t xml:space="preserve"> (and maintain</w:t>
      </w:r>
      <w:r w:rsidR="00F54A4D">
        <w:t>s</w:t>
      </w:r>
      <w:r w:rsidR="00A14F09">
        <w:t>)</w:t>
      </w:r>
      <w:r w:rsidR="002B2DD4">
        <w:t xml:space="preserve">, </w:t>
      </w:r>
      <w:r>
        <w:t xml:space="preserve">OCC </w:t>
      </w:r>
      <w:r w:rsidR="002B2DD4">
        <w:t xml:space="preserve">does not have </w:t>
      </w:r>
      <w:r>
        <w:t>standing</w:t>
      </w:r>
      <w:r w:rsidR="00C05BAA">
        <w:t xml:space="preserve"> </w:t>
      </w:r>
      <w:r w:rsidR="002B2DD4">
        <w:t>to participate in this case, and</w:t>
      </w:r>
      <w:r>
        <w:t xml:space="preserve"> even if it </w:t>
      </w:r>
      <w:r w:rsidR="002B2DD4">
        <w:t>did</w:t>
      </w:r>
      <w:r>
        <w:t xml:space="preserve">, </w:t>
      </w:r>
      <w:r w:rsidR="002B2DD4">
        <w:t xml:space="preserve">it </w:t>
      </w:r>
      <w:r>
        <w:t xml:space="preserve">has not shown that it satisfies the standards governing intervention. </w:t>
      </w:r>
      <w:r w:rsidR="002B2DD4">
        <w:t xml:space="preserve"> </w:t>
      </w:r>
      <w:r w:rsidR="00822271">
        <w:t>(</w:t>
      </w:r>
      <w:r w:rsidR="00822271" w:rsidRPr="00822271">
        <w:rPr>
          <w:i/>
        </w:rPr>
        <w:t xml:space="preserve">See </w:t>
      </w:r>
      <w:r w:rsidR="00822271">
        <w:t xml:space="preserve">DEO Memo. Contra OCC’s Mot. to Intervene.)  </w:t>
      </w:r>
      <w:r w:rsidR="002B2DD4">
        <w:t>T</w:t>
      </w:r>
      <w:r>
        <w:t xml:space="preserve">he </w:t>
      </w:r>
      <w:r w:rsidR="00822271">
        <w:t>Commission</w:t>
      </w:r>
      <w:r w:rsidR="002B2DD4">
        <w:t xml:space="preserve"> has not yet ruled on </w:t>
      </w:r>
      <w:r w:rsidR="00C7595E">
        <w:t>OCC’s</w:t>
      </w:r>
      <w:r w:rsidR="002B2DD4">
        <w:t xml:space="preserve"> motion</w:t>
      </w:r>
      <w:r>
        <w:t xml:space="preserve">.  </w:t>
      </w:r>
    </w:p>
    <w:p w14:paraId="4F81EF4E" w14:textId="77777777" w:rsidR="00873852" w:rsidRDefault="00C05BAA" w:rsidP="002B2DD4">
      <w:pPr>
        <w:pStyle w:val="MemoBodyText"/>
      </w:pPr>
      <w:r>
        <w:t>A</w:t>
      </w:r>
      <w:r w:rsidR="00873852">
        <w:t xml:space="preserve">nswering OCC’s </w:t>
      </w:r>
      <w:r w:rsidR="00A14F09">
        <w:t xml:space="preserve">numerous </w:t>
      </w:r>
      <w:r w:rsidR="00873852">
        <w:t xml:space="preserve">discovery </w:t>
      </w:r>
      <w:r w:rsidR="00A14F09">
        <w:t xml:space="preserve">requests </w:t>
      </w:r>
      <w:r w:rsidR="00873852">
        <w:t xml:space="preserve">will </w:t>
      </w:r>
      <w:r w:rsidR="00111244">
        <w:t>require</w:t>
      </w:r>
      <w:r w:rsidR="00873852">
        <w:t xml:space="preserve"> significant resources.  </w:t>
      </w:r>
      <w:r w:rsidR="00111244">
        <w:t xml:space="preserve">DEO should not be required to expend those resources until </w:t>
      </w:r>
      <w:r w:rsidR="00822271">
        <w:t xml:space="preserve">the Commission </w:t>
      </w:r>
      <w:r w:rsidR="00111244">
        <w:t xml:space="preserve">settles the propriety of OCC’s intervention.  </w:t>
      </w:r>
      <w:r w:rsidR="002B2DD4">
        <w:t xml:space="preserve">If OCC is ultimately denied intervention, DEO will have wasted </w:t>
      </w:r>
      <w:r w:rsidR="00111244">
        <w:t xml:space="preserve">a significant amount of time and </w:t>
      </w:r>
      <w:r w:rsidR="002F01CF">
        <w:t>effort</w:t>
      </w:r>
      <w:r w:rsidR="002B2DD4">
        <w:t xml:space="preserve"> responding to OCC’s discovery</w:t>
      </w:r>
      <w:r w:rsidR="00111244">
        <w:t xml:space="preserve">.  </w:t>
      </w:r>
      <w:r>
        <w:t xml:space="preserve">And if OCC is ultimately allowed to intervene, it will </w:t>
      </w:r>
      <w:r w:rsidR="00B64C84">
        <w:t xml:space="preserve">then </w:t>
      </w:r>
      <w:r>
        <w:t xml:space="preserve">have whatever opportunity for discovery </w:t>
      </w:r>
      <w:r w:rsidR="00822271">
        <w:t>the Commission</w:t>
      </w:r>
      <w:r w:rsidR="002F01CF">
        <w:t xml:space="preserve"> permits</w:t>
      </w:r>
      <w:r>
        <w:t>.</w:t>
      </w:r>
    </w:p>
    <w:p w14:paraId="46C65DC6" w14:textId="77777777" w:rsidR="00C40299" w:rsidRDefault="009C4045" w:rsidP="00C40299">
      <w:pPr>
        <w:pStyle w:val="MemoHeading2"/>
      </w:pPr>
      <w:r>
        <w:t>DEO should not be required to answer discovery until the Commission establishes the nature of OCC’s role in this proceeding, including whether and to what extent it may take discovery</w:t>
      </w:r>
      <w:r w:rsidR="00C40299">
        <w:t>.</w:t>
      </w:r>
    </w:p>
    <w:p w14:paraId="430857FC" w14:textId="77777777" w:rsidR="00C94670" w:rsidRDefault="009C4045" w:rsidP="00C7595E">
      <w:pPr>
        <w:pStyle w:val="MemoBodyText"/>
      </w:pPr>
      <w:r>
        <w:t>E</w:t>
      </w:r>
      <w:r w:rsidR="00C94670">
        <w:t xml:space="preserve">ven if OCC were allowed to intervene, allowing it </w:t>
      </w:r>
      <w:r w:rsidR="00A14F09">
        <w:t xml:space="preserve">to </w:t>
      </w:r>
      <w:r w:rsidR="00C94670">
        <w:t xml:space="preserve">take discovery would be inconsistent with the procedures established by the Commission. </w:t>
      </w:r>
      <w:r w:rsidR="00A14F09">
        <w:t xml:space="preserve"> T</w:t>
      </w:r>
      <w:r w:rsidR="00B64C84">
        <w:t xml:space="preserve">he rules make Staff responsible for investigating and discovering the underlying facts.  Ohio Admin. Code 4901:1-16-09(A).  And it </w:t>
      </w:r>
      <w:r w:rsidR="00A14F09">
        <w:t xml:space="preserve">is </w:t>
      </w:r>
      <w:r w:rsidR="00B64C84">
        <w:t xml:space="preserve">Staff’s role to present those facts and prove whether any violation occurred.  </w:t>
      </w:r>
      <w:r w:rsidR="00B64C84">
        <w:rPr>
          <w:i/>
        </w:rPr>
        <w:t>Id</w:t>
      </w:r>
      <w:r w:rsidR="00B64C84" w:rsidRPr="00B64C84">
        <w:t xml:space="preserve">. </w:t>
      </w:r>
      <w:r w:rsidR="00C40299">
        <w:t xml:space="preserve">4901:1-16-02(E) </w:t>
      </w:r>
      <w:r w:rsidR="00B64C84">
        <w:t>(</w:t>
      </w:r>
      <w:r w:rsidR="00C40299">
        <w:t>“</w:t>
      </w:r>
      <w:r w:rsidR="00C40299" w:rsidRPr="00C40299">
        <w:t xml:space="preserve">The </w:t>
      </w:r>
      <w:r w:rsidR="00C40299" w:rsidRPr="00B64C84">
        <w:t xml:space="preserve">staff </w:t>
      </w:r>
      <w:r w:rsidR="00C40299" w:rsidRPr="00C40299">
        <w:t>shall prove the occurrence of an incident, noncompliance, hazardous condition of a facility, or violation of a commission order by a preponderance of the evidence</w:t>
      </w:r>
      <w:r w:rsidR="00B64C84">
        <w:t>.</w:t>
      </w:r>
      <w:r w:rsidR="00C40299">
        <w:t>”</w:t>
      </w:r>
      <w:r w:rsidR="00B64C84">
        <w:t xml:space="preserve">).  </w:t>
      </w:r>
      <w:r w:rsidR="00C40299">
        <w:t xml:space="preserve"> </w:t>
      </w:r>
    </w:p>
    <w:p w14:paraId="32243D55" w14:textId="77777777" w:rsidR="006A5B26" w:rsidRDefault="00C40299" w:rsidP="00C40299">
      <w:pPr>
        <w:pStyle w:val="MemoBodyText"/>
      </w:pPr>
      <w:r>
        <w:t xml:space="preserve">OCC is not Staff.  </w:t>
      </w:r>
      <w:r w:rsidR="00B64C84">
        <w:t xml:space="preserve">Staff’s </w:t>
      </w:r>
      <w:r>
        <w:t xml:space="preserve">role in this case is to investigate and prove </w:t>
      </w:r>
      <w:r w:rsidR="00C94670">
        <w:t xml:space="preserve">the occurrence of </w:t>
      </w:r>
      <w:r>
        <w:t>an</w:t>
      </w:r>
      <w:r w:rsidR="00EE4EEF">
        <w:t>y noncompliance</w:t>
      </w:r>
      <w:r>
        <w:t>.</w:t>
      </w:r>
      <w:r w:rsidR="00B64C84">
        <w:t xml:space="preserve">  As DEO has argued in opposing OCC’s motion to intervene, </w:t>
      </w:r>
      <w:r w:rsidR="00C94670">
        <w:t xml:space="preserve">OCC </w:t>
      </w:r>
      <w:r w:rsidR="00B64C84">
        <w:t xml:space="preserve">in fact </w:t>
      </w:r>
      <w:r w:rsidR="00C94670">
        <w:t xml:space="preserve">has </w:t>
      </w:r>
      <w:r w:rsidR="00C94670" w:rsidRPr="00B64C84">
        <w:rPr>
          <w:i/>
        </w:rPr>
        <w:t xml:space="preserve">no </w:t>
      </w:r>
      <w:r w:rsidR="00C94670">
        <w:t>role to play in this case</w:t>
      </w:r>
      <w:r w:rsidR="00B64C84">
        <w:t>,</w:t>
      </w:r>
      <w:r w:rsidR="00C94670">
        <w:t xml:space="preserve"> and its motion to intervene should be denied.  But even if the Commission </w:t>
      </w:r>
      <w:r w:rsidR="006B34A7">
        <w:t xml:space="preserve">determines that OCC should </w:t>
      </w:r>
      <w:r w:rsidR="00A14F09">
        <w:t xml:space="preserve">be </w:t>
      </w:r>
      <w:r w:rsidR="00F54A4D">
        <w:t xml:space="preserve">a </w:t>
      </w:r>
      <w:r w:rsidR="00A14F09">
        <w:t>party</w:t>
      </w:r>
      <w:r w:rsidR="006B34A7">
        <w:t>, it</w:t>
      </w:r>
      <w:r w:rsidR="00A14F09">
        <w:t>s role</w:t>
      </w:r>
      <w:r w:rsidR="006B34A7">
        <w:t xml:space="preserve"> </w:t>
      </w:r>
      <w:r w:rsidR="00C94670">
        <w:t xml:space="preserve">should </w:t>
      </w:r>
      <w:r w:rsidR="00C94670">
        <w:rPr>
          <w:i/>
        </w:rPr>
        <w:t xml:space="preserve">not </w:t>
      </w:r>
      <w:r w:rsidR="006B34A7">
        <w:t xml:space="preserve">be to </w:t>
      </w:r>
      <w:r w:rsidR="00A14F09">
        <w:t>re</w:t>
      </w:r>
      <w:r w:rsidR="006B34A7">
        <w:t xml:space="preserve">investigate </w:t>
      </w:r>
      <w:r w:rsidR="00A14F09">
        <w:t xml:space="preserve">the facts </w:t>
      </w:r>
      <w:r w:rsidR="006B34A7">
        <w:t>and prove</w:t>
      </w:r>
      <w:r w:rsidR="00C94670">
        <w:t xml:space="preserve"> </w:t>
      </w:r>
      <w:r w:rsidR="00A14F09">
        <w:t xml:space="preserve">at hearing </w:t>
      </w:r>
      <w:r w:rsidR="00C94670">
        <w:t>that an incident occurred</w:t>
      </w:r>
      <w:r w:rsidR="002B6DFC">
        <w:t xml:space="preserve"> that involved noncompliance with pipeline safety rules</w:t>
      </w:r>
      <w:r w:rsidR="00C94670">
        <w:t xml:space="preserve">.  That </w:t>
      </w:r>
      <w:r w:rsidR="00A14F09">
        <w:t>role is already</w:t>
      </w:r>
      <w:r w:rsidR="00B64C84">
        <w:t xml:space="preserve"> </w:t>
      </w:r>
      <w:r w:rsidR="00A14F09">
        <w:t>filled</w:t>
      </w:r>
      <w:r w:rsidR="001D2546">
        <w:t xml:space="preserve">.  And that fact precludes the need for OCC to take </w:t>
      </w:r>
      <w:r w:rsidR="001D2546">
        <w:rPr>
          <w:i/>
        </w:rPr>
        <w:t xml:space="preserve">any </w:t>
      </w:r>
      <w:r w:rsidR="001D2546">
        <w:t xml:space="preserve">discovery.  If OCC is allowed </w:t>
      </w:r>
      <w:r w:rsidR="00C94670">
        <w:t xml:space="preserve">to </w:t>
      </w:r>
      <w:r w:rsidR="00B64C84">
        <w:t xml:space="preserve">transform </w:t>
      </w:r>
      <w:r w:rsidR="006B34A7">
        <w:t xml:space="preserve">this proceeding into simultaneous </w:t>
      </w:r>
      <w:r w:rsidR="00B64C84">
        <w:t>trial</w:t>
      </w:r>
      <w:r w:rsidR="006B34A7">
        <w:t xml:space="preserve"> </w:t>
      </w:r>
      <w:r w:rsidR="00B64C84">
        <w:t>at the hands of two prosecutors with competing agendas</w:t>
      </w:r>
      <w:r w:rsidR="001D2546">
        <w:t xml:space="preserve">, it is </w:t>
      </w:r>
      <w:r w:rsidR="006B34A7">
        <w:t xml:space="preserve">certain to </w:t>
      </w:r>
      <w:r w:rsidR="00A14F09">
        <w:t xml:space="preserve">confuse the issues and </w:t>
      </w:r>
      <w:r w:rsidR="00C94670">
        <w:t xml:space="preserve">prolong </w:t>
      </w:r>
      <w:r w:rsidR="00A14F09">
        <w:t>the resolution of this case</w:t>
      </w:r>
      <w:r w:rsidR="006C3773">
        <w:t xml:space="preserve">.  </w:t>
      </w:r>
      <w:r w:rsidR="00A14F09">
        <w:t xml:space="preserve">Indeed, </w:t>
      </w:r>
      <w:r w:rsidR="006A5B26">
        <w:t xml:space="preserve">OCC’s discovery </w:t>
      </w:r>
      <w:r w:rsidR="00A14F09">
        <w:t xml:space="preserve">requests already </w:t>
      </w:r>
      <w:r w:rsidR="002F01CF">
        <w:t>clearly show</w:t>
      </w:r>
      <w:r w:rsidR="006A5B26">
        <w:t xml:space="preserve"> that it intends to reach</w:t>
      </w:r>
      <w:r w:rsidR="00A14F09">
        <w:t xml:space="preserve"> matters well outside the scope of this proceeding.  (For example, its first interrogatory asks for a breakdown of Company spending for leak surveys by ac</w:t>
      </w:r>
      <w:r w:rsidR="002F01CF">
        <w:t xml:space="preserve">count for 2008 through 2012.)  OCC’s discovery adds no value to the current proceeding.  </w:t>
      </w:r>
    </w:p>
    <w:p w14:paraId="3351B71A" w14:textId="77777777" w:rsidR="00C7595E" w:rsidRDefault="006A5B26" w:rsidP="00E05FE3">
      <w:pPr>
        <w:pStyle w:val="MemoBodyText"/>
      </w:pPr>
      <w:r>
        <w:t>The point here is that</w:t>
      </w:r>
      <w:r w:rsidR="00B64C84">
        <w:t xml:space="preserve"> even if intervention </w:t>
      </w:r>
      <w:r w:rsidR="00A14F09">
        <w:t>is</w:t>
      </w:r>
      <w:r>
        <w:t xml:space="preserve"> ultimately </w:t>
      </w:r>
      <w:r w:rsidR="00B64C84">
        <w:t xml:space="preserve">allowed, it </w:t>
      </w:r>
      <w:r w:rsidR="006C3773">
        <w:t xml:space="preserve">is far from </w:t>
      </w:r>
      <w:r w:rsidR="00B64C84">
        <w:t xml:space="preserve">clear what </w:t>
      </w:r>
      <w:r>
        <w:t xml:space="preserve">the scope of </w:t>
      </w:r>
      <w:r w:rsidR="00B64C84">
        <w:t>OCC</w:t>
      </w:r>
      <w:r>
        <w:t>’s</w:t>
      </w:r>
      <w:r w:rsidR="00B64C84">
        <w:t xml:space="preserve"> </w:t>
      </w:r>
      <w:r>
        <w:t>role will be</w:t>
      </w:r>
      <w:r w:rsidR="006C3773">
        <w:t>, and whether that role should include discovery rights</w:t>
      </w:r>
      <w:r>
        <w:t xml:space="preserve">. </w:t>
      </w:r>
      <w:r w:rsidR="00C15215">
        <w:t xml:space="preserve"> The rules have already assigned Staff to </w:t>
      </w:r>
      <w:r w:rsidR="002F01CF">
        <w:t xml:space="preserve">investigate and present evidence in </w:t>
      </w:r>
      <w:r w:rsidR="00C15215">
        <w:t xml:space="preserve">this case, while OCC’s role is undefined. </w:t>
      </w:r>
      <w:r w:rsidR="00E05FE3">
        <w:t xml:space="preserve"> </w:t>
      </w:r>
      <w:r w:rsidR="00C7595E">
        <w:t>And p</w:t>
      </w:r>
      <w:r w:rsidR="00E05FE3">
        <w:t>ast practice provides no support for OCC to take discovery—historically, OCC has not even participated in GPS proceedings</w:t>
      </w:r>
      <w:r w:rsidR="00C7595E">
        <w:t>.  I</w:t>
      </w:r>
      <w:r w:rsidR="00E05FE3">
        <w:t>ndeed</w:t>
      </w:r>
      <w:r w:rsidR="00C7595E">
        <w:t>, past practice</w:t>
      </w:r>
      <w:r w:rsidR="00E05FE3">
        <w:t xml:space="preserve"> points the opposite way.  </w:t>
      </w:r>
    </w:p>
    <w:p w14:paraId="60EA3663" w14:textId="77777777" w:rsidR="00E05FE3" w:rsidRDefault="00E05FE3" w:rsidP="00E05FE3">
      <w:pPr>
        <w:pStyle w:val="MemoBodyText"/>
      </w:pPr>
      <w:r>
        <w:t>Look no further than DEO’s last GPS case: the Commission allowed OCC to intervene, but denied discovery.  Case No. 10-105-GA-GPS, Finding &amp; Order 6 (May 26, 2010).  Indeed, immediately after denying OCC’s motion to compel, the Commission specifically explained that OCC’s role in a GPS proceeding is not to cure any perceived errors in Staff’s investigation and handling of the case:</w:t>
      </w:r>
    </w:p>
    <w:p w14:paraId="14355AEB" w14:textId="77777777" w:rsidR="00E05FE3" w:rsidRPr="00766FC5" w:rsidRDefault="00E05FE3" w:rsidP="00E05FE3">
      <w:pPr>
        <w:pStyle w:val="MemoBodyText"/>
        <w:spacing w:after="240" w:line="240" w:lineRule="auto"/>
        <w:ind w:left="720" w:right="720" w:firstLine="0"/>
      </w:pPr>
      <w:r w:rsidRPr="00766FC5">
        <w:t>The Commission notes that this case was initiated by staf</w:t>
      </w:r>
      <w:r>
        <w:t>f based on the results of staff’</w:t>
      </w:r>
      <w:r w:rsidRPr="00766FC5">
        <w:t>s investigation, and the concerns raised by staff were addressed in the stipulation agreed</w:t>
      </w:r>
      <w:r>
        <w:t xml:space="preserve"> to by staff and DEO.  If OCC believes that there are remaining un</w:t>
      </w:r>
      <w:r w:rsidRPr="00766FC5">
        <w:t>resolved issues related to the in</w:t>
      </w:r>
      <w:r>
        <w:t>cid</w:t>
      </w:r>
      <w:r w:rsidRPr="00766FC5">
        <w:t xml:space="preserve">ent that gave rise to this case, the proper course of action for OCC is to file a complaint case. </w:t>
      </w:r>
      <w:r>
        <w:t xml:space="preserve"> </w:t>
      </w:r>
    </w:p>
    <w:p w14:paraId="5DEDB2E0" w14:textId="77777777" w:rsidR="00E05FE3" w:rsidRDefault="00E05FE3" w:rsidP="00E05FE3">
      <w:pPr>
        <w:pStyle w:val="MemoBodyText"/>
        <w:ind w:firstLine="0"/>
      </w:pPr>
      <w:r>
        <w:rPr>
          <w:i/>
        </w:rPr>
        <w:t>Id</w:t>
      </w:r>
      <w:r w:rsidRPr="006C3773">
        <w:t>.</w:t>
      </w:r>
      <w:r>
        <w:t xml:space="preserve">  The same reasoning applies here and precludes the taking of discovery. </w:t>
      </w:r>
      <w:r w:rsidR="0005788F">
        <w:t xml:space="preserve"> </w:t>
      </w:r>
      <w:r w:rsidR="0005788F">
        <w:rPr>
          <w:i/>
        </w:rPr>
        <w:t>See also</w:t>
      </w:r>
      <w:r w:rsidR="0005788F">
        <w:t xml:space="preserve"> Case No. 05-732-EL-MER,</w:t>
      </w:r>
      <w:r w:rsidR="0005788F" w:rsidRPr="0005788F">
        <w:t xml:space="preserve"> </w:t>
      </w:r>
      <w:r w:rsidR="0005788F">
        <w:t>Entry 3</w:t>
      </w:r>
      <w:r w:rsidR="0005788F" w:rsidRPr="007B5D5C">
        <w:t xml:space="preserve"> </w:t>
      </w:r>
      <w:r w:rsidR="0005788F">
        <w:t xml:space="preserve">(June 14, </w:t>
      </w:r>
      <w:r w:rsidR="0005788F" w:rsidRPr="007B5D5C">
        <w:t>2005</w:t>
      </w:r>
      <w:r w:rsidR="0005788F">
        <w:t>) (staying discovery until scope and nature of further review is established).</w:t>
      </w:r>
    </w:p>
    <w:p w14:paraId="02F41C7C" w14:textId="77777777" w:rsidR="00111244" w:rsidRPr="00873852" w:rsidRDefault="00E05FE3" w:rsidP="009C4045">
      <w:pPr>
        <w:pStyle w:val="MemoBodyText"/>
      </w:pPr>
      <w:r>
        <w:t xml:space="preserve">If the Commission allows OCC to surge ahead untrammelled, it will immediately subject DEO to a wasteful, expensive reinvestigation and may well disorder these proceedings.  OCC’s discovery rights (if any) must correspond to whatever role the Commission allows it—and the Commission has already recognized that </w:t>
      </w:r>
      <w:r w:rsidR="009C4045">
        <w:t>OCC’s</w:t>
      </w:r>
      <w:r w:rsidR="00B62543">
        <w:t xml:space="preserve"> </w:t>
      </w:r>
      <w:r>
        <w:t>role is not to reinvestigate the case.  Until further guidance is given, OCC’s discovery should be stayed.</w:t>
      </w:r>
    </w:p>
    <w:p w14:paraId="69F5841B" w14:textId="77777777" w:rsidR="00873852" w:rsidRDefault="00BE43B6" w:rsidP="008E391F">
      <w:pPr>
        <w:pStyle w:val="MemoHeading2"/>
      </w:pPr>
      <w:r>
        <w:t xml:space="preserve">Staying discovery </w:t>
      </w:r>
      <w:r w:rsidR="00E64CB7">
        <w:t xml:space="preserve">will not harm OCC.  </w:t>
      </w:r>
    </w:p>
    <w:p w14:paraId="0AD9EF75" w14:textId="77777777" w:rsidR="008E391F" w:rsidRDefault="008E391F" w:rsidP="008E391F">
      <w:pPr>
        <w:pStyle w:val="MemoBodyText"/>
      </w:pPr>
      <w:r>
        <w:t>In short, DEO does not know whether OCC will be allowed to participate in this case</w:t>
      </w:r>
      <w:r w:rsidR="00171495">
        <w:t xml:space="preserve"> or</w:t>
      </w:r>
      <w:r w:rsidR="00415465">
        <w:t>, if it is,</w:t>
      </w:r>
      <w:r w:rsidR="00171495">
        <w:t xml:space="preserve"> </w:t>
      </w:r>
      <w:r w:rsidR="00415465">
        <w:t xml:space="preserve">what its role will be and </w:t>
      </w:r>
      <w:r w:rsidR="00171495">
        <w:t xml:space="preserve">whether </w:t>
      </w:r>
      <w:r w:rsidR="00415465">
        <w:t xml:space="preserve">that role will entail the taking of </w:t>
      </w:r>
      <w:r w:rsidR="00171495">
        <w:t>discovery</w:t>
      </w:r>
      <w:r>
        <w:t xml:space="preserve">. </w:t>
      </w:r>
      <w:r w:rsidR="00BE43B6">
        <w:t xml:space="preserve"> Answering discovery in these circumstances </w:t>
      </w:r>
      <w:r w:rsidR="00171495">
        <w:t>c</w:t>
      </w:r>
      <w:r w:rsidR="00BE43B6">
        <w:t xml:space="preserve">ould well prejudice DEO.  But no harm will come to OCC if discovery is stayed. </w:t>
      </w:r>
      <w:r w:rsidR="00171495">
        <w:t xml:space="preserve"> </w:t>
      </w:r>
      <w:r w:rsidR="00925166">
        <w:t xml:space="preserve">If OCC is ultimately allowed to intervene, </w:t>
      </w:r>
      <w:r w:rsidR="009C4045">
        <w:t>it</w:t>
      </w:r>
      <w:r w:rsidR="00925166">
        <w:t xml:space="preserve"> will </w:t>
      </w:r>
      <w:r w:rsidR="00171495">
        <w:t xml:space="preserve">then receive </w:t>
      </w:r>
      <w:r w:rsidR="00925166">
        <w:t>whatever oppor</w:t>
      </w:r>
      <w:bookmarkStart w:id="0" w:name="_GoBack"/>
      <w:bookmarkEnd w:id="0"/>
      <w:r w:rsidR="00925166">
        <w:t>tunity for discovery the Commission sees fit to allow</w:t>
      </w:r>
      <w:r w:rsidR="00BE43B6">
        <w:t xml:space="preserve">.  </w:t>
      </w:r>
    </w:p>
    <w:p w14:paraId="65C41858" w14:textId="77777777" w:rsidR="00033F71" w:rsidRDefault="00033F71" w:rsidP="00033F71">
      <w:pPr>
        <w:pStyle w:val="MemoHeading1"/>
      </w:pPr>
      <w:r>
        <w:t>Conclusion</w:t>
      </w:r>
    </w:p>
    <w:p w14:paraId="2EE6D4B1" w14:textId="77777777" w:rsidR="00873852" w:rsidRDefault="00033F71" w:rsidP="001D3B52">
      <w:pPr>
        <w:pStyle w:val="MemoBodyText"/>
      </w:pPr>
      <w:r>
        <w:t xml:space="preserve">For the foregoing reasons, DEO asks </w:t>
      </w:r>
      <w:r w:rsidR="00822271">
        <w:t xml:space="preserve">the Commission </w:t>
      </w:r>
      <w:r>
        <w:t>to grant its motion to stay discovery.</w:t>
      </w:r>
    </w:p>
    <w:p w14:paraId="687A5347" w14:textId="77777777" w:rsidR="00ED2B33" w:rsidRDefault="00ED2B33" w:rsidP="001D3B52">
      <w:pPr>
        <w:pStyle w:val="MemoBodyText"/>
      </w:pPr>
    </w:p>
    <w:p w14:paraId="37D9C7D9" w14:textId="77777777" w:rsidR="001D3B52" w:rsidRPr="0032154A" w:rsidRDefault="001D3B52" w:rsidP="001D3B52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 March </w:t>
      </w:r>
      <w:r w:rsidR="00476065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, 2012</w:t>
      </w:r>
      <w:r>
        <w:rPr>
          <w:rFonts w:ascii="Times New Roman" w:hAnsi="Times New Roman" w:cs="Times New Roman"/>
        </w:rPr>
        <w:tab/>
        <w:t>Respectfully submitted,</w:t>
      </w:r>
    </w:p>
    <w:p w14:paraId="38D4AFBE" w14:textId="77777777" w:rsidR="001D3B52" w:rsidRPr="0032154A" w:rsidRDefault="001D3B52" w:rsidP="001D3B52">
      <w:pPr>
        <w:ind w:left="5040"/>
        <w:rPr>
          <w:rFonts w:ascii="Times New Roman" w:hAnsi="Times New Roman" w:cs="Times New Roman"/>
        </w:rPr>
      </w:pPr>
    </w:p>
    <w:p w14:paraId="5266D2AE" w14:textId="77777777" w:rsidR="001D3B52" w:rsidRPr="0032154A" w:rsidRDefault="001D3B52" w:rsidP="001D3B52">
      <w:pPr>
        <w:ind w:left="5040"/>
        <w:rPr>
          <w:rFonts w:ascii="Times New Roman" w:hAnsi="Times New Roman" w:cs="Times New Roman"/>
        </w:rPr>
      </w:pPr>
    </w:p>
    <w:p w14:paraId="4DAD4210" w14:textId="77777777" w:rsidR="001D3B52" w:rsidRPr="0032154A" w:rsidRDefault="00476065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Andrew J. Campbell</w:t>
      </w:r>
      <w:r w:rsidR="001D3B52" w:rsidRPr="0032154A">
        <w:rPr>
          <w:rFonts w:ascii="Times New Roman" w:hAnsi="Times New Roman" w:cs="Times New Roman"/>
          <w:u w:val="single"/>
        </w:rPr>
        <w:tab/>
      </w:r>
      <w:r w:rsidR="001D3B52" w:rsidRPr="0032154A">
        <w:rPr>
          <w:rFonts w:ascii="Times New Roman" w:hAnsi="Times New Roman" w:cs="Times New Roman"/>
          <w:u w:val="single"/>
        </w:rPr>
        <w:tab/>
      </w:r>
      <w:r w:rsidR="001D3B52" w:rsidRPr="0032154A">
        <w:rPr>
          <w:rFonts w:ascii="Times New Roman" w:hAnsi="Times New Roman" w:cs="Times New Roman"/>
          <w:u w:val="single"/>
        </w:rPr>
        <w:tab/>
      </w:r>
    </w:p>
    <w:p w14:paraId="0ACC4C63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A. Whitt (Counsel of Record)</w:t>
      </w:r>
    </w:p>
    <w:p w14:paraId="5A9B2D02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Campbell</w:t>
      </w:r>
    </w:p>
    <w:p w14:paraId="0E1A84AA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L. Thompson</w:t>
      </w:r>
    </w:p>
    <w:p w14:paraId="2A60268E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 STURTEVANT LLP</w:t>
      </w:r>
    </w:p>
    <w:p w14:paraId="45B3E349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PNC Plaza, Suite 2020</w:t>
      </w:r>
    </w:p>
    <w:p w14:paraId="21234F39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East Broad Street</w:t>
      </w:r>
    </w:p>
    <w:p w14:paraId="62A3002B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224A4FE2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(614) 224-3911</w:t>
      </w:r>
    </w:p>
    <w:p w14:paraId="17E757E9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(614) 224-3960</w:t>
      </w:r>
    </w:p>
    <w:p w14:paraId="21245213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whitt@whitt-sturtevant.com</w:t>
      </w:r>
    </w:p>
    <w:p w14:paraId="096D60DF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campbell@whitt-sturtevant.com</w:t>
      </w:r>
    </w:p>
    <w:p w14:paraId="442A06CE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thompson@whitt-sturtevant.com</w:t>
      </w:r>
    </w:p>
    <w:p w14:paraId="1B53E4BB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</w:p>
    <w:p w14:paraId="7C7A8FE1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ATTORNEYS FOR THE EAST OHIO GAS COMPANY D/B/A DOMINION EAST OHIO</w:t>
      </w:r>
    </w:p>
    <w:p w14:paraId="04EEA28D" w14:textId="77777777" w:rsidR="001D3B52" w:rsidRDefault="001D3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1DEBFC8" w14:textId="77777777" w:rsidR="001D3B52" w:rsidRDefault="001D3B52" w:rsidP="001D3B52">
      <w:pPr>
        <w:ind w:left="5040"/>
        <w:rPr>
          <w:rFonts w:ascii="Times New Roman" w:hAnsi="Times New Roman" w:cs="Times New Roman"/>
        </w:rPr>
      </w:pPr>
    </w:p>
    <w:p w14:paraId="69703D36" w14:textId="77777777" w:rsidR="00A8215C" w:rsidRDefault="00A8215C" w:rsidP="00822271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CERTIFICATE OF SERVICE</w:t>
      </w:r>
    </w:p>
    <w:p w14:paraId="11E92D7E" w14:textId="77777777" w:rsidR="00A8215C" w:rsidRDefault="00A8215C" w:rsidP="00A8215C">
      <w:pPr>
        <w:jc w:val="center"/>
        <w:rPr>
          <w:rFonts w:ascii="Times New Roman" w:hAnsi="Times New Roman" w:cs="Times New Roman"/>
        </w:rPr>
      </w:pPr>
    </w:p>
    <w:p w14:paraId="3982EB54" w14:textId="77777777" w:rsidR="00A8215C" w:rsidRDefault="00A8215C" w:rsidP="00A8215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hereby certify that a copy of the </w:t>
      </w:r>
      <w:r w:rsidR="001D3B52">
        <w:rPr>
          <w:rFonts w:ascii="Times New Roman" w:hAnsi="Times New Roman" w:cs="Times New Roman"/>
        </w:rPr>
        <w:t>Motion to Stay Discovery</w:t>
      </w:r>
      <w:r w:rsidR="00C56BDD" w:rsidRPr="00C56BDD">
        <w:rPr>
          <w:rFonts w:ascii="Times New Roman" w:hAnsi="Times New Roman" w:cs="Times New Roman"/>
        </w:rPr>
        <w:t xml:space="preserve"> </w:t>
      </w:r>
      <w:r w:rsidR="001D3B52">
        <w:rPr>
          <w:rFonts w:ascii="Times New Roman" w:hAnsi="Times New Roman" w:cs="Times New Roman"/>
        </w:rPr>
        <w:t xml:space="preserve">and Memorandum in Support </w:t>
      </w:r>
      <w:r>
        <w:rPr>
          <w:rFonts w:ascii="Times New Roman" w:hAnsi="Times New Roman" w:cs="Times New Roman"/>
        </w:rPr>
        <w:t xml:space="preserve">was served by electronic mail this </w:t>
      </w:r>
      <w:r w:rsidR="00476065" w:rsidRPr="00476065">
        <w:rPr>
          <w:rFonts w:ascii="Times New Roman" w:hAnsi="Times New Roman" w:cs="Times New Roman"/>
        </w:rPr>
        <w:t>23rd</w:t>
      </w:r>
      <w:r w:rsidR="00C56B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day of </w:t>
      </w:r>
      <w:r w:rsidR="001D3B52">
        <w:rPr>
          <w:rFonts w:ascii="Times New Roman" w:hAnsi="Times New Roman" w:cs="Times New Roman"/>
        </w:rPr>
        <w:t>March</w:t>
      </w:r>
      <w:r>
        <w:rPr>
          <w:rFonts w:ascii="Times New Roman" w:hAnsi="Times New Roman" w:cs="Times New Roman"/>
        </w:rPr>
        <w:t xml:space="preserve">, </w:t>
      </w:r>
      <w:r w:rsidR="001D3B52">
        <w:rPr>
          <w:rFonts w:ascii="Times New Roman" w:hAnsi="Times New Roman" w:cs="Times New Roman"/>
        </w:rPr>
        <w:t xml:space="preserve">2012, </w:t>
      </w:r>
      <w:r w:rsidRPr="00C56BDD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8215C" w14:paraId="3D162941" w14:textId="77777777" w:rsidTr="00A8215C">
        <w:tc>
          <w:tcPr>
            <w:tcW w:w="4788" w:type="dxa"/>
          </w:tcPr>
          <w:p w14:paraId="6E8AC3F7" w14:textId="77777777" w:rsidR="00ED2B33" w:rsidRP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>William Wright</w:t>
            </w:r>
          </w:p>
          <w:p w14:paraId="5C8CBB63" w14:textId="77777777" w:rsid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 xml:space="preserve">Ohio Attorney General </w:t>
            </w:r>
          </w:p>
          <w:p w14:paraId="1DFDAB18" w14:textId="77777777" w:rsidR="00ED2B33" w:rsidRP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>Public Utilities Section</w:t>
            </w:r>
          </w:p>
          <w:p w14:paraId="2799814D" w14:textId="77777777" w:rsid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 xml:space="preserve">180 East Broad Street, 6th Floor </w:t>
            </w:r>
          </w:p>
          <w:p w14:paraId="470228AF" w14:textId="77777777" w:rsid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 xml:space="preserve">Columbus, Ohio 43215 </w:t>
            </w:r>
          </w:p>
          <w:p w14:paraId="38DFA6E1" w14:textId="77777777" w:rsidR="00ED2B33" w:rsidRP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>william.wright@puc.state.oh.us</w:t>
            </w:r>
          </w:p>
          <w:p w14:paraId="7711CF64" w14:textId="77777777" w:rsidR="00A8215C" w:rsidRPr="00ED2B33" w:rsidRDefault="00A8215C" w:rsidP="00A82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014E1E60" w14:textId="77777777" w:rsid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 xml:space="preserve">Joseph P. Serio </w:t>
            </w:r>
          </w:p>
          <w:p w14:paraId="2CF003D8" w14:textId="77777777" w:rsidR="00ED2B33" w:rsidRP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>Office of the Ohio Consumers’ Counsel</w:t>
            </w:r>
          </w:p>
          <w:p w14:paraId="0ED04D70" w14:textId="77777777" w:rsid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 xml:space="preserve">10 West Broad Street, Suite 1800 </w:t>
            </w:r>
          </w:p>
          <w:p w14:paraId="68378A1B" w14:textId="77777777" w:rsidR="00ED2B33" w:rsidRDefault="00ED2B33" w:rsidP="00ED2B33">
            <w:pPr>
              <w:rPr>
                <w:rFonts w:ascii="Times New Roman" w:hAnsi="Times New Roman" w:cs="Times New Roman"/>
              </w:rPr>
            </w:pPr>
            <w:r w:rsidRPr="00ED2B33">
              <w:rPr>
                <w:rFonts w:ascii="Times New Roman" w:hAnsi="Times New Roman" w:cs="Times New Roman"/>
              </w:rPr>
              <w:t xml:space="preserve">Columbus, Ohio 43215-3485 serio@occ.state.oh.us </w:t>
            </w:r>
          </w:p>
          <w:p w14:paraId="35BA09C9" w14:textId="77777777" w:rsidR="00A8215C" w:rsidRDefault="00A8215C" w:rsidP="00ED2B33">
            <w:pPr>
              <w:rPr>
                <w:rFonts w:ascii="Times New Roman" w:hAnsi="Times New Roman" w:cs="Times New Roman"/>
              </w:rPr>
            </w:pPr>
          </w:p>
        </w:tc>
      </w:tr>
    </w:tbl>
    <w:p w14:paraId="16397629" w14:textId="77777777" w:rsidR="00A8215C" w:rsidRPr="00A8215C" w:rsidRDefault="00A8215C" w:rsidP="00A8215C">
      <w:pPr>
        <w:spacing w:line="480" w:lineRule="auto"/>
        <w:rPr>
          <w:rFonts w:ascii="Times New Roman" w:hAnsi="Times New Roman" w:cs="Times New Roman"/>
        </w:rPr>
      </w:pPr>
    </w:p>
    <w:p w14:paraId="3576CAAD" w14:textId="77777777" w:rsidR="00E05C6A" w:rsidRDefault="00476065" w:rsidP="00A8215C">
      <w:pPr>
        <w:ind w:left="477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/s/ Andrew J. Campbell</w:t>
      </w:r>
      <w:r w:rsidR="00A8215C">
        <w:rPr>
          <w:rFonts w:ascii="Times New Roman" w:hAnsi="Times New Roman" w:cs="Times New Roman"/>
          <w:u w:val="single"/>
        </w:rPr>
        <w:tab/>
      </w:r>
      <w:r w:rsidR="00A8215C">
        <w:rPr>
          <w:rFonts w:ascii="Times New Roman" w:hAnsi="Times New Roman" w:cs="Times New Roman"/>
          <w:u w:val="single"/>
        </w:rPr>
        <w:tab/>
      </w:r>
      <w:r w:rsidR="00A8215C">
        <w:rPr>
          <w:rFonts w:ascii="Times New Roman" w:hAnsi="Times New Roman" w:cs="Times New Roman"/>
          <w:u w:val="single"/>
        </w:rPr>
        <w:tab/>
      </w:r>
      <w:r w:rsidR="00A8215C">
        <w:rPr>
          <w:rFonts w:ascii="Times New Roman" w:hAnsi="Times New Roman" w:cs="Times New Roman"/>
          <w:u w:val="single"/>
        </w:rPr>
        <w:tab/>
      </w:r>
    </w:p>
    <w:p w14:paraId="294A2923" w14:textId="77777777" w:rsidR="00A8215C" w:rsidRPr="00A8215C" w:rsidRDefault="00A8215C" w:rsidP="00A8215C">
      <w:pPr>
        <w:ind w:left="4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the Attorneys for The East Ohio Gas Company d/b/a Dominion East Ohio</w:t>
      </w:r>
    </w:p>
    <w:sectPr w:rsidR="00A8215C" w:rsidRPr="00A8215C" w:rsidSect="0032154A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A7175" w14:textId="77777777" w:rsidR="009C4045" w:rsidRDefault="009C4045" w:rsidP="0032154A">
      <w:r>
        <w:separator/>
      </w:r>
    </w:p>
  </w:endnote>
  <w:endnote w:type="continuationSeparator" w:id="0">
    <w:p w14:paraId="58384B45" w14:textId="77777777" w:rsidR="009C4045" w:rsidRDefault="009C4045" w:rsidP="0032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454D6" w14:textId="77777777" w:rsidR="009C4045" w:rsidRPr="0032154A" w:rsidRDefault="009C4045" w:rsidP="0032154A">
    <w:pPr>
      <w:pStyle w:val="Footer"/>
      <w:jc w:val="center"/>
      <w:rPr>
        <w:rFonts w:ascii="Times New Roman" w:hAnsi="Times New Roman" w:cs="Times New Roman"/>
      </w:rPr>
    </w:pPr>
    <w:r w:rsidRPr="0032154A">
      <w:rPr>
        <w:rStyle w:val="PageNumber"/>
        <w:rFonts w:ascii="Times New Roman" w:hAnsi="Times New Roman" w:cs="Times New Roman"/>
      </w:rPr>
      <w:fldChar w:fldCharType="begin"/>
    </w:r>
    <w:r w:rsidRPr="0032154A">
      <w:rPr>
        <w:rStyle w:val="PageNumber"/>
        <w:rFonts w:ascii="Times New Roman" w:hAnsi="Times New Roman" w:cs="Times New Roman"/>
      </w:rPr>
      <w:instrText xml:space="preserve"> PAGE </w:instrText>
    </w:r>
    <w:r w:rsidRPr="0032154A">
      <w:rPr>
        <w:rStyle w:val="PageNumber"/>
        <w:rFonts w:ascii="Times New Roman" w:hAnsi="Times New Roman" w:cs="Times New Roman"/>
      </w:rPr>
      <w:fldChar w:fldCharType="separate"/>
    </w:r>
    <w:r w:rsidR="00C7595E">
      <w:rPr>
        <w:rStyle w:val="PageNumber"/>
        <w:rFonts w:ascii="Times New Roman" w:hAnsi="Times New Roman" w:cs="Times New Roman"/>
        <w:noProof/>
      </w:rPr>
      <w:t>2</w:t>
    </w:r>
    <w:r w:rsidRPr="0032154A">
      <w:rPr>
        <w:rStyle w:val="PageNumber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8F8D6" w14:textId="77777777" w:rsidR="009C4045" w:rsidRDefault="009C4045" w:rsidP="0032154A">
      <w:r>
        <w:separator/>
      </w:r>
    </w:p>
  </w:footnote>
  <w:footnote w:type="continuationSeparator" w:id="0">
    <w:p w14:paraId="71436840" w14:textId="77777777" w:rsidR="009C4045" w:rsidRDefault="009C4045" w:rsidP="00321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6809CB"/>
    <w:multiLevelType w:val="hybridMultilevel"/>
    <w:tmpl w:val="229C0D86"/>
    <w:lvl w:ilvl="0" w:tplc="330E1A34">
      <w:start w:val="1"/>
      <w:numFmt w:val="lowerLetter"/>
      <w:pStyle w:val="MemoHeading4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9D279F"/>
    <w:multiLevelType w:val="hybridMultilevel"/>
    <w:tmpl w:val="E88CFC60"/>
    <w:lvl w:ilvl="0" w:tplc="9B8CCB08">
      <w:start w:val="1"/>
      <w:numFmt w:val="decimal"/>
      <w:pStyle w:val="MemoHeading3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C47F2B"/>
    <w:multiLevelType w:val="hybridMultilevel"/>
    <w:tmpl w:val="C458F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B04AB"/>
    <w:multiLevelType w:val="hybridMultilevel"/>
    <w:tmpl w:val="80141E10"/>
    <w:lvl w:ilvl="0" w:tplc="21B0D708">
      <w:start w:val="1"/>
      <w:numFmt w:val="upperRoman"/>
      <w:pStyle w:val="MemoHeading1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F1AB6"/>
    <w:multiLevelType w:val="hybridMultilevel"/>
    <w:tmpl w:val="A74CB9AC"/>
    <w:lvl w:ilvl="0" w:tplc="6CBAA0CE">
      <w:start w:val="1"/>
      <w:numFmt w:val="upperLetter"/>
      <w:pStyle w:val="MemoHeading2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BE2"/>
    <w:rsid w:val="000127D6"/>
    <w:rsid w:val="00020DF7"/>
    <w:rsid w:val="000213CC"/>
    <w:rsid w:val="0002146F"/>
    <w:rsid w:val="00033F71"/>
    <w:rsid w:val="0005788F"/>
    <w:rsid w:val="0007068D"/>
    <w:rsid w:val="000869ED"/>
    <w:rsid w:val="000A288D"/>
    <w:rsid w:val="000B3928"/>
    <w:rsid w:val="000C463A"/>
    <w:rsid w:val="000D134F"/>
    <w:rsid w:val="000D6365"/>
    <w:rsid w:val="000E56C8"/>
    <w:rsid w:val="00111244"/>
    <w:rsid w:val="00115568"/>
    <w:rsid w:val="00164FDB"/>
    <w:rsid w:val="00171495"/>
    <w:rsid w:val="001C04B0"/>
    <w:rsid w:val="001C2978"/>
    <w:rsid w:val="001C5A8F"/>
    <w:rsid w:val="001C75E2"/>
    <w:rsid w:val="001D2546"/>
    <w:rsid w:val="001D3B52"/>
    <w:rsid w:val="00200600"/>
    <w:rsid w:val="0022361A"/>
    <w:rsid w:val="002A5ACF"/>
    <w:rsid w:val="002B2DD4"/>
    <w:rsid w:val="002B6DFC"/>
    <w:rsid w:val="002C52DA"/>
    <w:rsid w:val="002F01CF"/>
    <w:rsid w:val="00314522"/>
    <w:rsid w:val="0032154A"/>
    <w:rsid w:val="00321A8D"/>
    <w:rsid w:val="00326992"/>
    <w:rsid w:val="003355C7"/>
    <w:rsid w:val="00345D24"/>
    <w:rsid w:val="00387720"/>
    <w:rsid w:val="00415465"/>
    <w:rsid w:val="0044167D"/>
    <w:rsid w:val="00472357"/>
    <w:rsid w:val="00476065"/>
    <w:rsid w:val="004773F5"/>
    <w:rsid w:val="0048308F"/>
    <w:rsid w:val="004971C1"/>
    <w:rsid w:val="004A0D8B"/>
    <w:rsid w:val="004D37FA"/>
    <w:rsid w:val="005353F0"/>
    <w:rsid w:val="00547FE7"/>
    <w:rsid w:val="0055112A"/>
    <w:rsid w:val="00554664"/>
    <w:rsid w:val="005646BE"/>
    <w:rsid w:val="005853D9"/>
    <w:rsid w:val="0058566C"/>
    <w:rsid w:val="005922E0"/>
    <w:rsid w:val="005926C5"/>
    <w:rsid w:val="005A317E"/>
    <w:rsid w:val="005A4751"/>
    <w:rsid w:val="005B111C"/>
    <w:rsid w:val="005B6400"/>
    <w:rsid w:val="005C32EE"/>
    <w:rsid w:val="005D368E"/>
    <w:rsid w:val="00600B90"/>
    <w:rsid w:val="0064266F"/>
    <w:rsid w:val="00644998"/>
    <w:rsid w:val="006456C7"/>
    <w:rsid w:val="006558AB"/>
    <w:rsid w:val="00657CEE"/>
    <w:rsid w:val="00697433"/>
    <w:rsid w:val="006A5B26"/>
    <w:rsid w:val="006B34A7"/>
    <w:rsid w:val="006C3773"/>
    <w:rsid w:val="006D0B91"/>
    <w:rsid w:val="006D28C1"/>
    <w:rsid w:val="006E03F9"/>
    <w:rsid w:val="0071539B"/>
    <w:rsid w:val="0072150D"/>
    <w:rsid w:val="00721C9A"/>
    <w:rsid w:val="0072651D"/>
    <w:rsid w:val="00745A18"/>
    <w:rsid w:val="00766FC5"/>
    <w:rsid w:val="007B5D5C"/>
    <w:rsid w:val="007F3219"/>
    <w:rsid w:val="007F4B37"/>
    <w:rsid w:val="00804023"/>
    <w:rsid w:val="00822271"/>
    <w:rsid w:val="00836971"/>
    <w:rsid w:val="00845BE7"/>
    <w:rsid w:val="008554E9"/>
    <w:rsid w:val="00873852"/>
    <w:rsid w:val="00873F93"/>
    <w:rsid w:val="00877A88"/>
    <w:rsid w:val="00890483"/>
    <w:rsid w:val="008A5BCF"/>
    <w:rsid w:val="008A7499"/>
    <w:rsid w:val="008B32AE"/>
    <w:rsid w:val="008C1D84"/>
    <w:rsid w:val="008C357A"/>
    <w:rsid w:val="008E391F"/>
    <w:rsid w:val="008E7532"/>
    <w:rsid w:val="008F7F44"/>
    <w:rsid w:val="00905A5F"/>
    <w:rsid w:val="00914D4F"/>
    <w:rsid w:val="00925166"/>
    <w:rsid w:val="00925ED3"/>
    <w:rsid w:val="00937130"/>
    <w:rsid w:val="009601B6"/>
    <w:rsid w:val="00975368"/>
    <w:rsid w:val="00996F91"/>
    <w:rsid w:val="009A409D"/>
    <w:rsid w:val="009B1541"/>
    <w:rsid w:val="009B4728"/>
    <w:rsid w:val="009C02F1"/>
    <w:rsid w:val="009C37E8"/>
    <w:rsid w:val="009C386A"/>
    <w:rsid w:val="009C3876"/>
    <w:rsid w:val="009C4045"/>
    <w:rsid w:val="009E6F3C"/>
    <w:rsid w:val="00A11350"/>
    <w:rsid w:val="00A14F09"/>
    <w:rsid w:val="00A32837"/>
    <w:rsid w:val="00A35B7B"/>
    <w:rsid w:val="00A404A4"/>
    <w:rsid w:val="00A43054"/>
    <w:rsid w:val="00A54C4E"/>
    <w:rsid w:val="00A573AD"/>
    <w:rsid w:val="00A60317"/>
    <w:rsid w:val="00A77EE5"/>
    <w:rsid w:val="00A8215C"/>
    <w:rsid w:val="00A95046"/>
    <w:rsid w:val="00A975C4"/>
    <w:rsid w:val="00AA3D1D"/>
    <w:rsid w:val="00AB1388"/>
    <w:rsid w:val="00AB3920"/>
    <w:rsid w:val="00AD1445"/>
    <w:rsid w:val="00AF001A"/>
    <w:rsid w:val="00B0188B"/>
    <w:rsid w:val="00B133A1"/>
    <w:rsid w:val="00B22994"/>
    <w:rsid w:val="00B253E4"/>
    <w:rsid w:val="00B33ADD"/>
    <w:rsid w:val="00B566FB"/>
    <w:rsid w:val="00B576C8"/>
    <w:rsid w:val="00B6183A"/>
    <w:rsid w:val="00B62543"/>
    <w:rsid w:val="00B64C84"/>
    <w:rsid w:val="00B85C90"/>
    <w:rsid w:val="00B948BC"/>
    <w:rsid w:val="00B97FCD"/>
    <w:rsid w:val="00BA2274"/>
    <w:rsid w:val="00BB286F"/>
    <w:rsid w:val="00BE43B6"/>
    <w:rsid w:val="00BE6588"/>
    <w:rsid w:val="00C05233"/>
    <w:rsid w:val="00C05BAA"/>
    <w:rsid w:val="00C07D65"/>
    <w:rsid w:val="00C10113"/>
    <w:rsid w:val="00C11856"/>
    <w:rsid w:val="00C15215"/>
    <w:rsid w:val="00C246CC"/>
    <w:rsid w:val="00C40299"/>
    <w:rsid w:val="00C46F19"/>
    <w:rsid w:val="00C56BDD"/>
    <w:rsid w:val="00C67A12"/>
    <w:rsid w:val="00C67AF7"/>
    <w:rsid w:val="00C7595E"/>
    <w:rsid w:val="00C94670"/>
    <w:rsid w:val="00C96B44"/>
    <w:rsid w:val="00CB6AD0"/>
    <w:rsid w:val="00CD56B4"/>
    <w:rsid w:val="00D02712"/>
    <w:rsid w:val="00D76BD9"/>
    <w:rsid w:val="00D86C75"/>
    <w:rsid w:val="00D874A1"/>
    <w:rsid w:val="00D93E59"/>
    <w:rsid w:val="00DF7BDE"/>
    <w:rsid w:val="00E05C6A"/>
    <w:rsid w:val="00E05FE3"/>
    <w:rsid w:val="00E105F8"/>
    <w:rsid w:val="00E40A14"/>
    <w:rsid w:val="00E62E7B"/>
    <w:rsid w:val="00E64CB7"/>
    <w:rsid w:val="00E72BE2"/>
    <w:rsid w:val="00E77597"/>
    <w:rsid w:val="00E8652C"/>
    <w:rsid w:val="00ED2B33"/>
    <w:rsid w:val="00EE4CDB"/>
    <w:rsid w:val="00EE4EEF"/>
    <w:rsid w:val="00F02EF6"/>
    <w:rsid w:val="00F06866"/>
    <w:rsid w:val="00F16639"/>
    <w:rsid w:val="00F24A15"/>
    <w:rsid w:val="00F54A4D"/>
    <w:rsid w:val="00F72440"/>
    <w:rsid w:val="00F73BBB"/>
    <w:rsid w:val="00F82D76"/>
    <w:rsid w:val="00FA437D"/>
    <w:rsid w:val="00FB2F8C"/>
    <w:rsid w:val="00FB7943"/>
    <w:rsid w:val="00FF3009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4A3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8F"/>
  </w:style>
  <w:style w:type="paragraph" w:styleId="Heading1">
    <w:name w:val="heading 1"/>
    <w:basedOn w:val="Normal"/>
    <w:next w:val="Normal"/>
    <w:link w:val="Heading1Char"/>
    <w:uiPriority w:val="9"/>
    <w:qFormat/>
    <w:rsid w:val="00A57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133A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5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54A"/>
  </w:style>
  <w:style w:type="paragraph" w:styleId="Footer">
    <w:name w:val="footer"/>
    <w:basedOn w:val="Normal"/>
    <w:link w:val="FooterChar"/>
    <w:uiPriority w:val="99"/>
    <w:unhideWhenUsed/>
    <w:rsid w:val="003215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54A"/>
  </w:style>
  <w:style w:type="character" w:styleId="PageNumber">
    <w:name w:val="page number"/>
    <w:basedOn w:val="DefaultParagraphFont"/>
    <w:uiPriority w:val="99"/>
    <w:semiHidden/>
    <w:unhideWhenUsed/>
    <w:rsid w:val="0032154A"/>
  </w:style>
  <w:style w:type="character" w:styleId="Hyperlink">
    <w:name w:val="Hyperlink"/>
    <w:basedOn w:val="DefaultParagraphFont"/>
    <w:uiPriority w:val="99"/>
    <w:unhideWhenUsed/>
    <w:rsid w:val="0032154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601B6"/>
  </w:style>
  <w:style w:type="character" w:customStyle="1" w:styleId="FootnoteTextChar">
    <w:name w:val="Footnote Text Char"/>
    <w:basedOn w:val="DefaultParagraphFont"/>
    <w:link w:val="FootnoteText"/>
    <w:uiPriority w:val="99"/>
    <w:rsid w:val="009601B6"/>
  </w:style>
  <w:style w:type="character" w:styleId="FootnoteReference">
    <w:name w:val="footnote reference"/>
    <w:basedOn w:val="DefaultParagraphFont"/>
    <w:uiPriority w:val="99"/>
    <w:unhideWhenUsed/>
    <w:rsid w:val="009601B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7F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97FCD"/>
  </w:style>
  <w:style w:type="character" w:customStyle="1" w:styleId="Heading2Char">
    <w:name w:val="Heading 2 Char"/>
    <w:basedOn w:val="DefaultParagraphFont"/>
    <w:link w:val="Heading2"/>
    <w:uiPriority w:val="9"/>
    <w:rsid w:val="00B133A1"/>
    <w:rPr>
      <w:rFonts w:ascii="Times" w:hAnsi="Times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7235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A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A12"/>
    <w:rPr>
      <w:rFonts w:ascii="Lucida Grande" w:hAnsi="Lucida Grande" w:cs="Lucida Grande"/>
      <w:sz w:val="18"/>
      <w:szCs w:val="18"/>
    </w:rPr>
  </w:style>
  <w:style w:type="paragraph" w:customStyle="1" w:styleId="MemoHeading2">
    <w:name w:val="Memo Heading 2"/>
    <w:basedOn w:val="ListParagraph"/>
    <w:next w:val="MemoBodyText"/>
    <w:qFormat/>
    <w:rsid w:val="00387720"/>
    <w:pPr>
      <w:keepNext/>
      <w:numPr>
        <w:numId w:val="1"/>
      </w:numPr>
      <w:spacing w:after="240"/>
      <w:ind w:left="720"/>
    </w:pPr>
    <w:rPr>
      <w:rFonts w:ascii="Times New Roman" w:hAnsi="Times New Roman" w:cs="Times New Roman"/>
      <w:b/>
    </w:rPr>
  </w:style>
  <w:style w:type="paragraph" w:customStyle="1" w:styleId="MemoHeading1">
    <w:name w:val="Memo Heading 1"/>
    <w:basedOn w:val="Normal"/>
    <w:next w:val="MemoBodyText"/>
    <w:qFormat/>
    <w:rsid w:val="001D3B52"/>
    <w:pPr>
      <w:keepNext/>
      <w:numPr>
        <w:numId w:val="2"/>
      </w:numPr>
      <w:spacing w:line="480" w:lineRule="auto"/>
      <w:ind w:left="734" w:hanging="187"/>
      <w:jc w:val="center"/>
    </w:pPr>
    <w:rPr>
      <w:rFonts w:ascii="Times New Roman" w:hAnsi="Times New Roman" w:cs="Times New Roman"/>
      <w:b/>
      <w:bCs/>
      <w:caps/>
    </w:rPr>
  </w:style>
  <w:style w:type="paragraph" w:customStyle="1" w:styleId="MemoBodyText">
    <w:name w:val="Memo Body Text"/>
    <w:basedOn w:val="Normal"/>
    <w:qFormat/>
    <w:rsid w:val="00A573AD"/>
    <w:pPr>
      <w:spacing w:line="480" w:lineRule="auto"/>
      <w:ind w:firstLine="720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73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MemoHeading3">
    <w:name w:val="Memo Heading 3"/>
    <w:basedOn w:val="MemoBodyText"/>
    <w:next w:val="MemoBodyText"/>
    <w:qFormat/>
    <w:rsid w:val="001C2978"/>
    <w:pPr>
      <w:numPr>
        <w:numId w:val="4"/>
      </w:numPr>
      <w:spacing w:after="240" w:line="240" w:lineRule="auto"/>
      <w:ind w:hanging="720"/>
    </w:pPr>
    <w:rPr>
      <w:b/>
    </w:rPr>
  </w:style>
  <w:style w:type="paragraph" w:customStyle="1" w:styleId="MemoHeading4">
    <w:name w:val="Memo Heading 4"/>
    <w:basedOn w:val="MemoBodyText"/>
    <w:next w:val="MemoBodyText"/>
    <w:qFormat/>
    <w:rsid w:val="001C2978"/>
    <w:pPr>
      <w:numPr>
        <w:numId w:val="5"/>
      </w:numPr>
      <w:spacing w:after="240" w:line="240" w:lineRule="auto"/>
      <w:ind w:left="2160" w:hanging="720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3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133A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E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5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54A"/>
  </w:style>
  <w:style w:type="paragraph" w:styleId="Footer">
    <w:name w:val="footer"/>
    <w:basedOn w:val="Normal"/>
    <w:link w:val="FooterChar"/>
    <w:uiPriority w:val="99"/>
    <w:unhideWhenUsed/>
    <w:rsid w:val="003215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54A"/>
  </w:style>
  <w:style w:type="character" w:styleId="PageNumber">
    <w:name w:val="page number"/>
    <w:basedOn w:val="DefaultParagraphFont"/>
    <w:uiPriority w:val="99"/>
    <w:semiHidden/>
    <w:unhideWhenUsed/>
    <w:rsid w:val="0032154A"/>
  </w:style>
  <w:style w:type="character" w:styleId="Hyperlink">
    <w:name w:val="Hyperlink"/>
    <w:basedOn w:val="DefaultParagraphFont"/>
    <w:uiPriority w:val="99"/>
    <w:unhideWhenUsed/>
    <w:rsid w:val="0032154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601B6"/>
  </w:style>
  <w:style w:type="character" w:customStyle="1" w:styleId="FootnoteTextChar">
    <w:name w:val="Footnote Text Char"/>
    <w:basedOn w:val="DefaultParagraphFont"/>
    <w:link w:val="FootnoteText"/>
    <w:uiPriority w:val="99"/>
    <w:rsid w:val="009601B6"/>
  </w:style>
  <w:style w:type="character" w:styleId="FootnoteReference">
    <w:name w:val="footnote reference"/>
    <w:basedOn w:val="DefaultParagraphFont"/>
    <w:uiPriority w:val="99"/>
    <w:unhideWhenUsed/>
    <w:rsid w:val="009601B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7F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97FCD"/>
  </w:style>
  <w:style w:type="character" w:customStyle="1" w:styleId="Heading2Char">
    <w:name w:val="Heading 2 Char"/>
    <w:basedOn w:val="DefaultParagraphFont"/>
    <w:link w:val="Heading2"/>
    <w:uiPriority w:val="9"/>
    <w:rsid w:val="00B133A1"/>
    <w:rPr>
      <w:rFonts w:ascii="Times" w:hAnsi="Times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47235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A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A12"/>
    <w:rPr>
      <w:rFonts w:ascii="Lucida Grande" w:hAnsi="Lucida Grande" w:cs="Lucida Grande"/>
      <w:sz w:val="18"/>
      <w:szCs w:val="18"/>
    </w:rPr>
  </w:style>
  <w:style w:type="paragraph" w:customStyle="1" w:styleId="MemoHeading2">
    <w:name w:val="Memo Heading 2"/>
    <w:basedOn w:val="ListParagraph"/>
    <w:next w:val="MemoBodyText"/>
    <w:qFormat/>
    <w:rsid w:val="00387720"/>
    <w:pPr>
      <w:keepNext/>
      <w:numPr>
        <w:numId w:val="1"/>
      </w:numPr>
      <w:spacing w:after="240"/>
      <w:ind w:left="720"/>
    </w:pPr>
    <w:rPr>
      <w:rFonts w:ascii="Times New Roman" w:hAnsi="Times New Roman" w:cs="Times New Roman"/>
      <w:b/>
    </w:rPr>
  </w:style>
  <w:style w:type="paragraph" w:customStyle="1" w:styleId="MemoHeading1">
    <w:name w:val="Memo Heading 1"/>
    <w:basedOn w:val="Normal"/>
    <w:next w:val="MemoBodyText"/>
    <w:qFormat/>
    <w:rsid w:val="001D3B52"/>
    <w:pPr>
      <w:keepNext/>
      <w:numPr>
        <w:numId w:val="2"/>
      </w:numPr>
      <w:spacing w:line="480" w:lineRule="auto"/>
      <w:ind w:left="734" w:hanging="187"/>
      <w:jc w:val="center"/>
    </w:pPr>
    <w:rPr>
      <w:rFonts w:ascii="Times New Roman" w:hAnsi="Times New Roman" w:cs="Times New Roman"/>
      <w:b/>
      <w:bCs/>
      <w:caps/>
    </w:rPr>
  </w:style>
  <w:style w:type="paragraph" w:customStyle="1" w:styleId="MemoBodyText">
    <w:name w:val="Memo Body Text"/>
    <w:basedOn w:val="Normal"/>
    <w:qFormat/>
    <w:rsid w:val="00A573AD"/>
    <w:pPr>
      <w:spacing w:line="480" w:lineRule="auto"/>
      <w:ind w:firstLine="720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73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MemoHeading3">
    <w:name w:val="Memo Heading 3"/>
    <w:basedOn w:val="MemoBodyText"/>
    <w:next w:val="MemoBodyText"/>
    <w:qFormat/>
    <w:rsid w:val="001C2978"/>
    <w:pPr>
      <w:numPr>
        <w:numId w:val="4"/>
      </w:numPr>
      <w:spacing w:after="240" w:line="240" w:lineRule="auto"/>
      <w:ind w:hanging="720"/>
    </w:pPr>
    <w:rPr>
      <w:b/>
    </w:rPr>
  </w:style>
  <w:style w:type="paragraph" w:customStyle="1" w:styleId="MemoHeading4">
    <w:name w:val="Memo Heading 4"/>
    <w:basedOn w:val="MemoBodyText"/>
    <w:next w:val="MemoBodyText"/>
    <w:qFormat/>
    <w:rsid w:val="001C2978"/>
    <w:pPr>
      <w:numPr>
        <w:numId w:val="5"/>
      </w:numPr>
      <w:spacing w:after="240" w:line="240" w:lineRule="auto"/>
      <w:ind w:left="2160" w:hanging="7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1DC1D2-BCB1-5D42-BD01-BC5E3EEB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1497</Words>
  <Characters>8537</Characters>
  <Application>Microsoft Macintosh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MOTION TO STAY DISCOVERY OF </vt:lpstr>
      <vt:lpstr>THE EAST OHIO GAS COMPANY D/B/A DOMINION EAST OHIO</vt:lpstr>
      <vt:lpstr/>
      <vt:lpstr>MEMORANDUM IN SUPPORT OF MOTION TO STAY DISCOVERY </vt:lpstr>
      <vt:lpstr>OF THE EAST OHIO GAS COMPANY D/B/A DOMINION EAST OHIO</vt:lpstr>
      <vt:lpstr/>
      <vt:lpstr>CERTIFICATE OF SERVICE</vt:lpstr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 Sturtevant</dc:creator>
  <cp:keywords/>
  <dc:description/>
  <cp:lastModifiedBy>Whitt Sturtevant</cp:lastModifiedBy>
  <cp:revision>3</cp:revision>
  <cp:lastPrinted>2012-03-23T18:02:00Z</cp:lastPrinted>
  <dcterms:created xsi:type="dcterms:W3CDTF">2012-03-23T17:28:00Z</dcterms:created>
  <dcterms:modified xsi:type="dcterms:W3CDTF">2012-03-23T18:15:00Z</dcterms:modified>
</cp:coreProperties>
</file>