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6A" w:rsidRDefault="000E2F6A" w:rsidP="000E2F6A">
      <w:pPr>
        <w:pStyle w:val="PersonalInfo"/>
        <w:ind w:right="-32"/>
        <w:jc w:val="right"/>
      </w:pPr>
      <w:r>
        <w:t>Scott E. Elisar</w:t>
      </w:r>
    </w:p>
    <w:p w:rsidR="000E2F6A" w:rsidRDefault="000E2F6A" w:rsidP="000E2F6A">
      <w:pPr>
        <w:ind w:right="-32"/>
        <w:jc w:val="right"/>
        <w:rPr>
          <w:sz w:val="16"/>
          <w:szCs w:val="16"/>
        </w:rPr>
      </w:pPr>
      <w:r>
        <w:rPr>
          <w:sz w:val="16"/>
          <w:szCs w:val="16"/>
        </w:rPr>
        <w:t>Direct Dial: 614.719.2850</w:t>
      </w:r>
    </w:p>
    <w:p w:rsidR="000E2F6A" w:rsidRDefault="000E2F6A" w:rsidP="000E2F6A">
      <w:pPr>
        <w:tabs>
          <w:tab w:val="left" w:pos="8820"/>
          <w:tab w:val="left" w:pos="9540"/>
          <w:tab w:val="left" w:pos="10138"/>
          <w:tab w:val="left" w:pos="14490"/>
          <w:tab w:val="left" w:pos="15120"/>
        </w:tabs>
        <w:ind w:right="-32"/>
        <w:jc w:val="right"/>
        <w:rPr>
          <w:sz w:val="16"/>
          <w:szCs w:val="16"/>
        </w:rPr>
      </w:pPr>
      <w:r>
        <w:rPr>
          <w:sz w:val="16"/>
          <w:szCs w:val="16"/>
        </w:rPr>
        <w:t>selisar@mwncmh.com</w:t>
      </w:r>
    </w:p>
    <w:p w:rsidR="0085395A" w:rsidRDefault="0085395A">
      <w:bookmarkStart w:id="0" w:name="_GoBack"/>
      <w:bookmarkEnd w:id="0"/>
    </w:p>
    <w:p w:rsidR="007A3094" w:rsidRDefault="007A3094"/>
    <w:p w:rsidR="007A3094" w:rsidRDefault="0018343D">
      <w:pPr>
        <w:pStyle w:val="LetterDate"/>
      </w:pPr>
      <w:r>
        <w:fldChar w:fldCharType="begin"/>
      </w:r>
      <w:r>
        <w:instrText xml:space="preserve"> TIME \@ "MMMM d, yyyy" </w:instrText>
      </w:r>
      <w:r>
        <w:fldChar w:fldCharType="separate"/>
      </w:r>
      <w:r w:rsidR="000E2F6A">
        <w:t>August 23, 2016</w:t>
      </w:r>
      <w:r>
        <w:fldChar w:fldCharType="end"/>
      </w:r>
    </w:p>
    <w:p w:rsidR="007A3094" w:rsidRDefault="007A3094"/>
    <w:p w:rsidR="007A3094" w:rsidRDefault="007A3094"/>
    <w:p w:rsidR="00275869" w:rsidRDefault="00275869" w:rsidP="00275869"/>
    <w:p w:rsidR="00275869" w:rsidRDefault="00275869" w:rsidP="00275869">
      <w:r>
        <w:t>Ms. Barcey McNeal</w:t>
      </w:r>
    </w:p>
    <w:p w:rsidR="00275869" w:rsidRDefault="00275869" w:rsidP="00275869">
      <w:r>
        <w:t>Docketing Division Chief</w:t>
      </w:r>
    </w:p>
    <w:p w:rsidR="00275869" w:rsidRDefault="00275869" w:rsidP="00275869">
      <w:r>
        <w:t xml:space="preserve">Public Utilities Commission of Ohio </w:t>
      </w:r>
    </w:p>
    <w:p w:rsidR="00275869" w:rsidRDefault="00275869" w:rsidP="00275869">
      <w:r>
        <w:t>180 East Broad Street</w:t>
      </w:r>
    </w:p>
    <w:p w:rsidR="00275869" w:rsidRDefault="00275869" w:rsidP="00275869">
      <w:r>
        <w:t>Columbus, Ohio 43215</w:t>
      </w:r>
    </w:p>
    <w:p w:rsidR="00275869" w:rsidRDefault="00275869" w:rsidP="00275869"/>
    <w:p w:rsidR="0085395A" w:rsidRDefault="0085395A" w:rsidP="00275869">
      <w:pPr>
        <w:ind w:left="720"/>
      </w:pPr>
      <w:r>
        <w:t>Re:</w:t>
      </w:r>
      <w:r>
        <w:tab/>
      </w:r>
      <w:r w:rsidR="00275869">
        <w:t xml:space="preserve">Confidential treatment of proprietary information filed in </w:t>
      </w:r>
    </w:p>
    <w:p w:rsidR="0085395A" w:rsidRDefault="00275869" w:rsidP="0085395A">
      <w:pPr>
        <w:ind w:left="720" w:firstLine="720"/>
      </w:pPr>
      <w:r>
        <w:t>Case No. 13-1115</w:t>
      </w:r>
      <w:r w:rsidR="0085395A">
        <w:t>-TP–</w:t>
      </w:r>
      <w:r>
        <w:t>COI and Case No. 14-1115</w:t>
      </w:r>
      <w:r w:rsidR="0085395A">
        <w:t>-TP-COI</w:t>
      </w:r>
    </w:p>
    <w:p w:rsidR="00275869" w:rsidRDefault="00275869" w:rsidP="0085395A">
      <w:pPr>
        <w:ind w:left="720" w:firstLine="720"/>
      </w:pPr>
      <w:r>
        <w:t>regarding High Cost Universal Service filings</w:t>
      </w:r>
    </w:p>
    <w:p w:rsidR="0085395A" w:rsidRDefault="0085395A" w:rsidP="00275869"/>
    <w:p w:rsidR="00275869" w:rsidRDefault="00275869" w:rsidP="00275869">
      <w:r>
        <w:t>Dear Ms. McNeal:</w:t>
      </w:r>
    </w:p>
    <w:p w:rsidR="00C15D59" w:rsidRDefault="00C15D59" w:rsidP="00275869"/>
    <w:p w:rsidR="00275869" w:rsidRDefault="00275869" w:rsidP="00C15D59">
      <w:pPr>
        <w:ind w:firstLine="720"/>
        <w:jc w:val="both"/>
      </w:pPr>
      <w:r w:rsidRPr="00E12003">
        <w:t>The Ohio Telecom Association (“OTA”) respectfully submit</w:t>
      </w:r>
      <w:r>
        <w:t xml:space="preserve">s this letter in support of its member companies </w:t>
      </w:r>
      <w:r w:rsidRPr="00E12003">
        <w:t>in the abo</w:t>
      </w:r>
      <w:r>
        <w:t>ve-captioned proceedings and urges the Public Utilities Commission of Ohio (“Commission”) to reconsider and reverse its August 9, 2016 Entries in denying confidential treatment to the information filed under seal in this proceeding.  Additionally, OTA requests that the docketing division maintain the records under seal unti</w:t>
      </w:r>
      <w:r w:rsidR="00C15D59">
        <w:t>l the Commission addresses the E</w:t>
      </w:r>
      <w:r>
        <w:t>ntries.</w:t>
      </w:r>
    </w:p>
    <w:p w:rsidR="00C15D59" w:rsidRDefault="00C15D59" w:rsidP="00C15D59">
      <w:pPr>
        <w:ind w:firstLine="720"/>
        <w:jc w:val="both"/>
      </w:pPr>
    </w:p>
    <w:p w:rsidR="00275869" w:rsidRDefault="00275869" w:rsidP="00C15D59">
      <w:pPr>
        <w:ind w:firstLine="720"/>
        <w:jc w:val="both"/>
      </w:pPr>
      <w:r>
        <w:t>On August 4, 2014, an attorney examiner in Case No. 13-1115-TP-COI granted motions for protective treatment from several OTA Member Companies, finding that the Commission was prohibited from disclosing trade secrets contained in those filings, but requested that three OTA Members (Frontier Communications, New Knoxville Telco, and Minford Telephone Company) hire Ohio counsel and file properly submitted motions for protective treatment of their respective confidential information.</w:t>
      </w:r>
      <w:r w:rsidR="0035269E">
        <w:t xml:space="preserve"> </w:t>
      </w:r>
      <w:r>
        <w:t xml:space="preserve"> In response to this August 4, 2014 </w:t>
      </w:r>
      <w:r w:rsidR="0035269E">
        <w:t>E</w:t>
      </w:r>
      <w:r>
        <w:t xml:space="preserve">ntry, the aforementioned companies acquired Ohio counsel and filed motions for protective treatment of their business information. </w:t>
      </w:r>
      <w:r w:rsidR="0035269E">
        <w:t xml:space="preserve"> On June 16, 2016, the OTA Member C</w:t>
      </w:r>
      <w:r>
        <w:t>ompanies that had received a protective order on August 4, 2014</w:t>
      </w:r>
      <w:r w:rsidR="00CD473B">
        <w:t>,</w:t>
      </w:r>
      <w:r>
        <w:t xml:space="preserve"> filed and sought an extension of their protective orders because the information was still deemed to be sensitive business information. </w:t>
      </w:r>
    </w:p>
    <w:p w:rsidR="0035269E" w:rsidRDefault="0035269E" w:rsidP="00C15D59">
      <w:pPr>
        <w:ind w:firstLine="720"/>
        <w:jc w:val="both"/>
      </w:pPr>
    </w:p>
    <w:p w:rsidR="00275869" w:rsidRDefault="00275869" w:rsidP="00CD473B">
      <w:pPr>
        <w:ind w:firstLine="720"/>
        <w:jc w:val="both"/>
      </w:pPr>
      <w:r>
        <w:t xml:space="preserve">On August 19, 2016, an attorney examiner </w:t>
      </w:r>
      <w:r w:rsidR="00CD473B">
        <w:t>E</w:t>
      </w:r>
      <w:r>
        <w:t>ntry was issued in this proceeding which granted the June 16</w:t>
      </w:r>
      <w:r w:rsidR="00CD473B">
        <w:t>, 2016</w:t>
      </w:r>
      <w:r>
        <w:t xml:space="preserve"> extension requests, but determined that the motions of Frontier Communications, New Knoxville Telco, and Minford Telephone Company were moot on the basis that no extensions of their original requests were filed by these entities. </w:t>
      </w:r>
    </w:p>
    <w:p w:rsidR="00CD473B" w:rsidRDefault="00CD473B" w:rsidP="00CD473B">
      <w:pPr>
        <w:ind w:firstLine="720"/>
        <w:jc w:val="both"/>
      </w:pPr>
    </w:p>
    <w:p w:rsidR="00275869" w:rsidRDefault="00275869" w:rsidP="00CD473B">
      <w:pPr>
        <w:ind w:firstLine="720"/>
        <w:jc w:val="both"/>
      </w:pPr>
      <w:r>
        <w:lastRenderedPageBreak/>
        <w:t xml:space="preserve">The OTA would respectfully request that this denial of confidential treatment be reconsidered by the Commission.  Based on the attorney examiner’s prior determination that the information filed under seal by these companies constitutes trade secrets and the recent finding that similar information filed by other companies in 2013 retains its status as trade secrets, the Entry’s finding that the motions are moot does appear to be reasonable.  Additionally, Commission rules do not require a telephone company to seek an extension of its motion seeking a protective order.  </w:t>
      </w:r>
    </w:p>
    <w:p w:rsidR="00904481" w:rsidRDefault="00904481" w:rsidP="00CD473B">
      <w:pPr>
        <w:ind w:firstLine="720"/>
        <w:jc w:val="both"/>
      </w:pPr>
    </w:p>
    <w:p w:rsidR="00275869" w:rsidRDefault="00275869" w:rsidP="00904481">
      <w:pPr>
        <w:ind w:firstLine="720"/>
        <w:jc w:val="both"/>
      </w:pPr>
      <w:r>
        <w:t>In a separate entry filed in Case No. 14-1115-TP-COI on August 19, 2016, an attorney examiner refused to grant motions seeking protective orders for the same reasons stated in the 2013 case.  The OTA would respectfully request that this denial of confidential treatment in Case No. 14-1115-TP-COI be reversed by the Commission.</w:t>
      </w:r>
    </w:p>
    <w:p w:rsidR="00275869" w:rsidRDefault="00275869" w:rsidP="00C15D59">
      <w:pPr>
        <w:jc w:val="both"/>
      </w:pPr>
    </w:p>
    <w:p w:rsidR="00275869" w:rsidRDefault="00275869" w:rsidP="00657AAB">
      <w:pPr>
        <w:ind w:firstLine="720"/>
        <w:jc w:val="both"/>
      </w:pPr>
      <w:r>
        <w:t>Based on the interest of its members to encourage the development of competitive alternatives and a strong business environment for Ohio’s telecommunications industry, OTA encourages the Commission to reconsider and reverse the recent Entries that directed the public disclosure of trade secrets of its members.  To prevent an unwarranted disclosure of the information, OTA also requests that the Commission direct the docketing division to maintain the under seal until the Commission addresses the entries.</w:t>
      </w:r>
    </w:p>
    <w:p w:rsidR="00275869" w:rsidRDefault="00275869" w:rsidP="00C15D59">
      <w:pPr>
        <w:jc w:val="both"/>
      </w:pPr>
    </w:p>
    <w:p w:rsidR="00275869" w:rsidRPr="005C041D" w:rsidRDefault="00275869" w:rsidP="00275869">
      <w:pPr>
        <w:tabs>
          <w:tab w:val="left" w:pos="4320"/>
        </w:tabs>
        <w:jc w:val="both"/>
        <w:rPr>
          <w:rFonts w:cs="Times New Roman"/>
        </w:rPr>
      </w:pPr>
      <w:r>
        <w:rPr>
          <w:rFonts w:cs="Times New Roman"/>
        </w:rPr>
        <w:tab/>
      </w:r>
      <w:r w:rsidRPr="005C041D">
        <w:rPr>
          <w:rFonts w:cs="Times New Roman"/>
        </w:rPr>
        <w:t>Respectfully submitted,</w:t>
      </w:r>
    </w:p>
    <w:p w:rsidR="00275869" w:rsidRPr="005C041D" w:rsidRDefault="00275869" w:rsidP="00275869">
      <w:pPr>
        <w:tabs>
          <w:tab w:val="left" w:pos="4320"/>
        </w:tabs>
        <w:jc w:val="both"/>
        <w:rPr>
          <w:rFonts w:cs="Times New Roman"/>
        </w:rPr>
      </w:pPr>
    </w:p>
    <w:p w:rsidR="00275869" w:rsidRPr="002E50E3" w:rsidRDefault="002E50E3" w:rsidP="00275869">
      <w:pPr>
        <w:tabs>
          <w:tab w:val="left" w:pos="4320"/>
        </w:tabs>
        <w:jc w:val="both"/>
        <w:rPr>
          <w:rFonts w:cs="Times New Roman"/>
          <w:i/>
        </w:rPr>
      </w:pPr>
      <w:r>
        <w:rPr>
          <w:rFonts w:cs="Times New Roman"/>
        </w:rPr>
        <w:tab/>
      </w:r>
      <w:r w:rsidRPr="002E50E3">
        <w:rPr>
          <w:rFonts w:cs="Times New Roman"/>
          <w:i/>
        </w:rPr>
        <w:t>/s/ Scott E. Elisar</w:t>
      </w:r>
    </w:p>
    <w:p w:rsidR="0085395A" w:rsidRPr="005C041D" w:rsidRDefault="0085395A" w:rsidP="00275869">
      <w:pPr>
        <w:tabs>
          <w:tab w:val="left" w:pos="4320"/>
        </w:tabs>
        <w:jc w:val="both"/>
        <w:rPr>
          <w:rFonts w:cs="Times New Roman"/>
        </w:rPr>
      </w:pPr>
    </w:p>
    <w:p w:rsidR="00275869" w:rsidRPr="00704282" w:rsidRDefault="00275869" w:rsidP="00275869">
      <w:pPr>
        <w:tabs>
          <w:tab w:val="left" w:pos="4320"/>
        </w:tabs>
        <w:ind w:left="4320"/>
        <w:jc w:val="both"/>
      </w:pPr>
      <w:r w:rsidRPr="00704282">
        <w:t>Scott E. Elisar (Reg. No. 0081877)</w:t>
      </w:r>
      <w:r w:rsidRPr="00704282">
        <w:rPr>
          <w:color w:val="000000" w:themeColor="text1"/>
        </w:rPr>
        <w:t xml:space="preserve"> </w:t>
      </w:r>
    </w:p>
    <w:p w:rsidR="00275869" w:rsidRPr="00704282" w:rsidRDefault="00275869" w:rsidP="00275869">
      <w:pPr>
        <w:tabs>
          <w:tab w:val="left" w:pos="4320"/>
        </w:tabs>
        <w:ind w:left="4320"/>
        <w:jc w:val="both"/>
        <w:rPr>
          <w:color w:val="000000" w:themeColor="text1"/>
        </w:rPr>
      </w:pPr>
      <w:r w:rsidRPr="00704282">
        <w:rPr>
          <w:color w:val="000000" w:themeColor="text1"/>
        </w:rPr>
        <w:t>McNees Wallace &amp; Nurick LLC</w:t>
      </w:r>
    </w:p>
    <w:p w:rsidR="00275869" w:rsidRPr="00704282" w:rsidRDefault="00275869" w:rsidP="00275869">
      <w:pPr>
        <w:tabs>
          <w:tab w:val="left" w:pos="4320"/>
        </w:tabs>
        <w:ind w:left="4320"/>
        <w:jc w:val="both"/>
        <w:rPr>
          <w:color w:val="000000" w:themeColor="text1"/>
        </w:rPr>
      </w:pPr>
      <w:r w:rsidRPr="00704282">
        <w:rPr>
          <w:color w:val="000000" w:themeColor="text1"/>
        </w:rPr>
        <w:t>21 E. State Street, 17th Floor</w:t>
      </w:r>
    </w:p>
    <w:p w:rsidR="00275869" w:rsidRPr="00704282" w:rsidRDefault="00275869" w:rsidP="00275869">
      <w:pPr>
        <w:tabs>
          <w:tab w:val="left" w:pos="4320"/>
        </w:tabs>
        <w:ind w:left="4320"/>
        <w:jc w:val="both"/>
        <w:rPr>
          <w:color w:val="000000" w:themeColor="text1"/>
        </w:rPr>
      </w:pPr>
      <w:r w:rsidRPr="00704282">
        <w:rPr>
          <w:color w:val="000000" w:themeColor="text1"/>
        </w:rPr>
        <w:t>Columbus, Ohio 43215</w:t>
      </w:r>
    </w:p>
    <w:p w:rsidR="00275869" w:rsidRPr="00704282" w:rsidRDefault="00275869" w:rsidP="00275869">
      <w:pPr>
        <w:tabs>
          <w:tab w:val="left" w:pos="4320"/>
        </w:tabs>
        <w:ind w:left="4320"/>
        <w:jc w:val="both"/>
        <w:rPr>
          <w:color w:val="000000" w:themeColor="text1"/>
        </w:rPr>
      </w:pPr>
      <w:r w:rsidRPr="00704282">
        <w:rPr>
          <w:color w:val="000000" w:themeColor="text1"/>
        </w:rPr>
        <w:t>(614) 719-2850 (Direct Dial)</w:t>
      </w:r>
    </w:p>
    <w:p w:rsidR="00275869" w:rsidRPr="00704282" w:rsidRDefault="00275869" w:rsidP="00275869">
      <w:pPr>
        <w:tabs>
          <w:tab w:val="left" w:pos="4320"/>
        </w:tabs>
        <w:ind w:left="4320"/>
        <w:jc w:val="both"/>
        <w:rPr>
          <w:color w:val="000000" w:themeColor="text1"/>
        </w:rPr>
      </w:pPr>
      <w:r w:rsidRPr="00704282">
        <w:rPr>
          <w:color w:val="000000" w:themeColor="text1"/>
        </w:rPr>
        <w:t>(614) 395-3925 (Mobile)</w:t>
      </w:r>
    </w:p>
    <w:p w:rsidR="00275869" w:rsidRPr="00704282" w:rsidRDefault="00275869" w:rsidP="00275869">
      <w:pPr>
        <w:tabs>
          <w:tab w:val="left" w:pos="4320"/>
        </w:tabs>
        <w:ind w:left="4320"/>
        <w:jc w:val="both"/>
        <w:rPr>
          <w:color w:val="000000" w:themeColor="text1"/>
        </w:rPr>
      </w:pPr>
      <w:r w:rsidRPr="00704282">
        <w:rPr>
          <w:color w:val="000000" w:themeColor="text1"/>
        </w:rPr>
        <w:t>(614) 469-4653 (Fax)</w:t>
      </w:r>
    </w:p>
    <w:p w:rsidR="00275869" w:rsidRPr="00704282" w:rsidRDefault="00C519B0" w:rsidP="00275869">
      <w:pPr>
        <w:tabs>
          <w:tab w:val="left" w:pos="4320"/>
        </w:tabs>
        <w:ind w:left="4320"/>
        <w:jc w:val="both"/>
        <w:rPr>
          <w:color w:val="000000" w:themeColor="text1"/>
        </w:rPr>
      </w:pPr>
      <w:hyperlink r:id="rId7" w:history="1">
        <w:r w:rsidR="00275869" w:rsidRPr="00704282">
          <w:rPr>
            <w:color w:val="000000" w:themeColor="text1"/>
          </w:rPr>
          <w:t>selisar@mwncmh.com</w:t>
        </w:r>
      </w:hyperlink>
    </w:p>
    <w:p w:rsidR="00275869" w:rsidRPr="00704282" w:rsidRDefault="00275869" w:rsidP="00275869">
      <w:pPr>
        <w:tabs>
          <w:tab w:val="left" w:pos="4320"/>
        </w:tabs>
        <w:ind w:left="4320"/>
        <w:jc w:val="both"/>
      </w:pPr>
    </w:p>
    <w:p w:rsidR="00275869" w:rsidRPr="00704282" w:rsidRDefault="00275869" w:rsidP="00275869">
      <w:pPr>
        <w:tabs>
          <w:tab w:val="left" w:pos="4320"/>
          <w:tab w:val="left" w:pos="4680"/>
        </w:tabs>
        <w:spacing w:line="480" w:lineRule="auto"/>
        <w:rPr>
          <w:b/>
          <w:smallCaps/>
        </w:rPr>
      </w:pPr>
      <w:r w:rsidRPr="00704282">
        <w:tab/>
      </w:r>
      <w:r w:rsidRPr="00704282">
        <w:rPr>
          <w:b/>
          <w:smallCaps/>
        </w:rPr>
        <w:t>Attorney for the Ohio Telecom Association</w:t>
      </w:r>
    </w:p>
    <w:p w:rsidR="007A3094" w:rsidRDefault="007A3094">
      <w:pPr>
        <w:pStyle w:val="bcc"/>
      </w:pPr>
    </w:p>
    <w:sectPr w:rsidR="007A3094">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2347" w:right="936" w:bottom="2160" w:left="1166" w:header="720" w:footer="936" w:gutter="0"/>
      <w:paperSrc w:first="1" w:other="2"/>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69" w:rsidRDefault="00275869">
      <w:r>
        <w:separator/>
      </w:r>
    </w:p>
  </w:endnote>
  <w:endnote w:type="continuationSeparator" w:id="0">
    <w:p w:rsidR="00275869" w:rsidRDefault="0027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C9" w:rsidRDefault="003B7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94" w:rsidRPr="006E6211" w:rsidRDefault="000E2F6A">
    <w:pPr>
      <w:pStyle w:val="Footer"/>
    </w:pPr>
    <w:r w:rsidRPr="000E2F6A">
      <w:rPr>
        <w:noProof/>
        <w:sz w:val="16"/>
      </w:rPr>
      <w:t>{C50756: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94" w:rsidRPr="006E6211" w:rsidRDefault="000E2F6A">
    <w:pPr>
      <w:pStyle w:val="Footer"/>
    </w:pPr>
    <w:r w:rsidRPr="000E2F6A">
      <w:rPr>
        <w:noProof/>
        <w:sz w:val="16"/>
      </w:rPr>
      <w:t>{C50756: }</w:t>
    </w:r>
    <w:r w:rsidR="003B7FC9" w:rsidRPr="005D4E60">
      <w:rPr>
        <w:noProof/>
        <w:sz w:val="16"/>
      </w:rPr>
      <w:drawing>
        <wp:inline distT="0" distB="0" distL="0" distR="0" wp14:anchorId="14A10E92" wp14:editId="01B8ACEB">
          <wp:extent cx="5943600" cy="414655"/>
          <wp:effectExtent l="0" t="0" r="0" b="0"/>
          <wp:docPr id="2" name="Picture 2" descr="N:\Programs\Office 2007\Word\TempDev\Ohio\BottomLetterhead_O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grams\Office 2007\Word\TempDev\Ohio\BottomLetterhead_Oh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4655"/>
                  </a:xfrm>
                  <a:prstGeom prst="rect">
                    <a:avLst/>
                  </a:prstGeom>
                  <a:noFill/>
                  <a:ln>
                    <a:noFill/>
                  </a:ln>
                </pic:spPr>
              </pic:pic>
            </a:graphicData>
          </a:graphic>
        </wp:inline>
      </w:drawing>
    </w:r>
  </w:p>
  <w:p w:rsidR="007A3094" w:rsidRPr="006E6211" w:rsidRDefault="007A3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69" w:rsidRDefault="00275869">
      <w:pPr>
        <w:rPr>
          <w:noProof/>
        </w:rPr>
      </w:pPr>
      <w:r>
        <w:rPr>
          <w:noProof/>
        </w:rPr>
        <w:separator/>
      </w:r>
    </w:p>
  </w:footnote>
  <w:footnote w:type="continuationSeparator" w:id="0">
    <w:p w:rsidR="00275869" w:rsidRDefault="00275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C9" w:rsidRDefault="003B7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94" w:rsidRDefault="00C519B0">
    <w:pPr>
      <w:pStyle w:val="Header"/>
    </w:pPr>
    <w:r>
      <w:fldChar w:fldCharType="begin"/>
    </w:r>
    <w:r>
      <w:instrText xml:space="preserve"> styleref "LetterDate" </w:instrText>
    </w:r>
    <w:r>
      <w:fldChar w:fldCharType="separate"/>
    </w:r>
    <w:r w:rsidR="000E2F6A">
      <w:rPr>
        <w:noProof/>
      </w:rPr>
      <w:t>August 23, 2016</w:t>
    </w:r>
    <w:r>
      <w:rPr>
        <w:noProof/>
      </w:rPr>
      <w:fldChar w:fldCharType="end"/>
    </w:r>
  </w:p>
  <w:p w:rsidR="007A3094" w:rsidRDefault="0018343D">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2F6A">
      <w:rPr>
        <w:rStyle w:val="PageNumber"/>
        <w:noProof/>
      </w:rPr>
      <w:t>2</w:t>
    </w:r>
    <w:r>
      <w:rPr>
        <w:rStyle w:val="PageNumber"/>
      </w:rPr>
      <w:fldChar w:fldCharType="end"/>
    </w:r>
  </w:p>
  <w:p w:rsidR="007A3094" w:rsidRDefault="007A3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94" w:rsidRDefault="00510700">
    <w:pPr>
      <w:pStyle w:val="Header"/>
      <w:tabs>
        <w:tab w:val="clear" w:pos="4320"/>
        <w:tab w:val="clear" w:pos="8640"/>
        <w:tab w:val="center" w:pos="4600"/>
        <w:tab w:val="right" w:pos="9400"/>
      </w:tabs>
    </w:pPr>
    <w:r>
      <w:rPr>
        <w:noProof/>
      </w:rPr>
      <w:drawing>
        <wp:anchor distT="0" distB="0" distL="114300" distR="114300" simplePos="0" relativeHeight="251661312" behindDoc="1" locked="0" layoutInCell="0" allowOverlap="0" wp14:anchorId="29A73B66" wp14:editId="0F9E8FB9">
          <wp:simplePos x="0" y="0"/>
          <wp:positionH relativeFrom="page">
            <wp:posOffset>595630</wp:posOffset>
          </wp:positionH>
          <wp:positionV relativeFrom="page">
            <wp:posOffset>605790</wp:posOffset>
          </wp:positionV>
          <wp:extent cx="2993380" cy="700065"/>
          <wp:effectExtent l="19050" t="0" r="0" b="0"/>
          <wp:wrapNone/>
          <wp:docPr id="4" name="Picture 0" descr="McNees_emai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ees_email_letterhead.jpg"/>
                  <pic:cNvPicPr/>
                </pic:nvPicPr>
                <pic:blipFill>
                  <a:blip r:embed="rId1"/>
                  <a:stretch>
                    <a:fillRect/>
                  </a:stretch>
                </pic:blipFill>
                <pic:spPr>
                  <a:xfrm>
                    <a:off x="0" y="0"/>
                    <a:ext cx="2993380" cy="700065"/>
                  </a:xfrm>
                  <a:prstGeom prst="rect">
                    <a:avLst/>
                  </a:prstGeom>
                </pic:spPr>
              </pic:pic>
            </a:graphicData>
          </a:graphic>
        </wp:anchor>
      </w:drawing>
    </w:r>
    <w:r w:rsidR="0018343D">
      <w:rPr>
        <w:noProof/>
      </w:rPr>
      <w:drawing>
        <wp:anchor distT="0" distB="0" distL="114300" distR="114300" simplePos="0" relativeHeight="251659264" behindDoc="0" locked="0" layoutInCell="0" allowOverlap="0">
          <wp:simplePos x="0" y="0"/>
          <wp:positionH relativeFrom="page">
            <wp:posOffset>575945</wp:posOffset>
          </wp:positionH>
          <wp:positionV relativeFrom="page">
            <wp:posOffset>1490345</wp:posOffset>
          </wp:positionV>
          <wp:extent cx="3063240" cy="285750"/>
          <wp:effectExtent l="19050" t="0" r="3810" b="0"/>
          <wp:wrapSquare wrapText="bothSides"/>
          <wp:docPr id="3" name="Picture 0" descr="ohi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letterhead.jpg"/>
                  <pic:cNvPicPr/>
                </pic:nvPicPr>
                <pic:blipFill>
                  <a:blip r:embed="rId2"/>
                  <a:stretch>
                    <a:fillRect/>
                  </a:stretch>
                </pic:blipFill>
                <pic:spPr>
                  <a:xfrm>
                    <a:off x="0" y="0"/>
                    <a:ext cx="3063240" cy="285750"/>
                  </a:xfrm>
                  <a:prstGeom prst="rect">
                    <a:avLst/>
                  </a:prstGeom>
                </pic:spPr>
              </pic:pic>
            </a:graphicData>
          </a:graphic>
        </wp:anchor>
      </w:drawing>
    </w:r>
  </w:p>
  <w:p w:rsidR="007A3094" w:rsidRDefault="007A3094">
    <w:pPr>
      <w:pStyle w:val="Header"/>
      <w:tabs>
        <w:tab w:val="clear" w:pos="4320"/>
        <w:tab w:val="clear" w:pos="8640"/>
        <w:tab w:val="center" w:pos="4600"/>
        <w:tab w:val="right" w:pos="9400"/>
      </w:tabs>
    </w:pPr>
  </w:p>
  <w:p w:rsidR="007A3094" w:rsidRDefault="007A3094">
    <w:pPr>
      <w:pStyle w:val="Header"/>
      <w:tabs>
        <w:tab w:val="clear" w:pos="4320"/>
        <w:tab w:val="clear" w:pos="8640"/>
        <w:tab w:val="center" w:pos="4600"/>
        <w:tab w:val="right" w:pos="9400"/>
      </w:tabs>
    </w:pPr>
  </w:p>
  <w:p w:rsidR="007A3094" w:rsidRDefault="007A3094">
    <w:pPr>
      <w:pStyle w:val="Header"/>
      <w:tabs>
        <w:tab w:val="clear" w:pos="4320"/>
        <w:tab w:val="clear" w:pos="8640"/>
        <w:tab w:val="center" w:pos="4600"/>
        <w:tab w:val="right" w:pos="9400"/>
      </w:tabs>
    </w:pPr>
  </w:p>
  <w:p w:rsidR="007A3094" w:rsidRDefault="007A3094">
    <w:pPr>
      <w:pStyle w:val="Header"/>
      <w:tabs>
        <w:tab w:val="clear" w:pos="4320"/>
        <w:tab w:val="clear" w:pos="8640"/>
        <w:tab w:val="center" w:pos="4600"/>
        <w:tab w:val="right" w:pos="9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30D3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7AC6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3454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2C2A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8E8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1601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9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AC5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9564B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409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1"/>
  </w:num>
  <w:num w:numId="2">
    <w:abstractNumId w:val="11"/>
  </w:num>
  <w:num w:numId="3">
    <w:abstractNumId w:val="11"/>
  </w:num>
  <w:num w:numId="4">
    <w:abstractNumId w:val="11"/>
  </w:num>
  <w:num w:numId="5">
    <w:abstractNumId w:val="9"/>
  </w:num>
  <w:num w:numId="6">
    <w:abstractNumId w:val="10"/>
  </w:num>
  <w:num w:numId="7">
    <w:abstractNumId w:val="8"/>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5"/>
  <w:drawingGridVerticalSpacing w:val="299"/>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docVars>
    <w:docVar w:name="zzmpLTFontsClean" w:val="True"/>
  </w:docVars>
  <w:rsids>
    <w:rsidRoot w:val="00275869"/>
    <w:rsid w:val="000E2F6A"/>
    <w:rsid w:val="0018343D"/>
    <w:rsid w:val="00275869"/>
    <w:rsid w:val="002E50E3"/>
    <w:rsid w:val="0035269E"/>
    <w:rsid w:val="003B7FC9"/>
    <w:rsid w:val="00510700"/>
    <w:rsid w:val="0063615F"/>
    <w:rsid w:val="00657AAB"/>
    <w:rsid w:val="006E6211"/>
    <w:rsid w:val="007A3094"/>
    <w:rsid w:val="007B7F16"/>
    <w:rsid w:val="007E28C4"/>
    <w:rsid w:val="0084798A"/>
    <w:rsid w:val="0085395A"/>
    <w:rsid w:val="00904481"/>
    <w:rsid w:val="00C15D59"/>
    <w:rsid w:val="00CD473B"/>
    <w:rsid w:val="00FF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42111F8-4A86-4034-9981-94F424D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rFonts w:ascii="Arial" w:hAnsi="Arial" w:cs="Arial"/>
      <w:sz w:val="23"/>
    </w:rPr>
  </w:style>
  <w:style w:type="paragraph" w:styleId="Heading1">
    <w:name w:val="heading 1"/>
    <w:basedOn w:val="Normal"/>
    <w:link w:val="Heading1Char"/>
    <w:uiPriority w:val="9"/>
    <w:qFormat/>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customStyle="1" w:styleId="bcc">
    <w:name w:val="bcc"/>
    <w:basedOn w:val="Normal"/>
    <w:pPr>
      <w:tabs>
        <w:tab w:val="left" w:pos="700"/>
      </w:tabs>
      <w:ind w:left="700" w:hanging="700"/>
    </w:pPr>
  </w:style>
  <w:style w:type="paragraph" w:customStyle="1" w:styleId="PersonalInfo">
    <w:name w:val="PersonalInfo"/>
    <w:basedOn w:val="Normal"/>
    <w:next w:val="Normal"/>
    <w:pPr>
      <w:ind w:left="7488"/>
    </w:pPr>
    <w:rPr>
      <w:sz w:val="16"/>
    </w:rPr>
  </w:style>
  <w:style w:type="paragraph" w:customStyle="1" w:styleId="LetterDate">
    <w:name w:val="LetterDate"/>
    <w:basedOn w:val="Normal"/>
    <w:next w:val="Normal"/>
    <w:pPr>
      <w:jc w:val="center"/>
    </w:pPr>
    <w:rPr>
      <w:noProof/>
    </w:rPr>
  </w:style>
  <w:style w:type="paragraph" w:customStyle="1" w:styleId="DeliveryMethod">
    <w:name w:val="DeliveryMethod"/>
    <w:basedOn w:val="Normal"/>
    <w:next w:val="Normal"/>
    <w:pPr>
      <w:spacing w:after="240"/>
    </w:pPr>
    <w:rPr>
      <w:b/>
      <w:caps/>
      <w:u w:val="single"/>
    </w:rPr>
  </w:style>
  <w:style w:type="paragraph" w:customStyle="1" w:styleId="RecipientName">
    <w:name w:val="RecipientName"/>
    <w:next w:val="RecipientAddress"/>
    <w:rPr>
      <w:rFonts w:ascii="Arial" w:hAnsi="Arial" w:cs="Arial"/>
      <w:sz w:val="23"/>
    </w:rPr>
  </w:style>
  <w:style w:type="paragraph" w:customStyle="1" w:styleId="RecipientAddress">
    <w:name w:val="RecipientAddress"/>
    <w:rPr>
      <w:rFonts w:ascii="Arial" w:hAnsi="Arial"/>
      <w:sz w:val="23"/>
      <w:szCs w:val="23"/>
    </w:rPr>
  </w:style>
  <w:style w:type="paragraph" w:customStyle="1" w:styleId="ReLine">
    <w:name w:val="ReLine"/>
    <w:basedOn w:val="Normal"/>
    <w:next w:val="Normal"/>
    <w:pPr>
      <w:ind w:left="1440" w:hanging="720"/>
    </w:pPr>
  </w:style>
  <w:style w:type="paragraph" w:styleId="Salutation">
    <w:name w:val="Salutation"/>
    <w:basedOn w:val="Normal"/>
    <w:next w:val="Normal"/>
    <w:semiHidden/>
    <w:pPr>
      <w:spacing w:after="240"/>
    </w:pPr>
  </w:style>
  <w:style w:type="paragraph" w:styleId="BodyText">
    <w:name w:val="Body Text"/>
    <w:basedOn w:val="Normal"/>
    <w:link w:val="BodyTextChar"/>
    <w:semiHidden/>
    <w:pPr>
      <w:spacing w:after="240"/>
    </w:pPr>
  </w:style>
  <w:style w:type="paragraph" w:styleId="Closing">
    <w:name w:val="Closing"/>
    <w:basedOn w:val="Normal"/>
    <w:semiHidden/>
  </w:style>
  <w:style w:type="paragraph" w:customStyle="1" w:styleId="Initials">
    <w:name w:val="Initials"/>
    <w:basedOn w:val="Normal"/>
    <w:next w:val="Normal"/>
  </w:style>
  <w:style w:type="paragraph" w:customStyle="1" w:styleId="SenderName">
    <w:name w:val="SenderName"/>
    <w:basedOn w:val="Normal"/>
    <w:next w:val="Normal"/>
  </w:style>
  <w:style w:type="paragraph" w:customStyle="1" w:styleId="Enclosure">
    <w:name w:val="Enclosure"/>
    <w:basedOn w:val="Normal"/>
    <w:next w:val="Normal"/>
  </w:style>
  <w:style w:type="paragraph" w:customStyle="1" w:styleId="ioc">
    <w:name w:val="ioc"/>
    <w:basedOn w:val="Normal"/>
    <w:next w:val="Normal"/>
    <w:pPr>
      <w:tabs>
        <w:tab w:val="left" w:pos="720"/>
      </w:tabs>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Pr>
      <w:rFonts w:ascii="Arial" w:eastAsiaTheme="majorEastAsia" w:hAnsi="Arial" w:cstheme="majorBidi"/>
      <w:bCs/>
      <w:sz w:val="23"/>
    </w:rPr>
  </w:style>
  <w:style w:type="character" w:customStyle="1" w:styleId="Heading4Char">
    <w:name w:val="Heading 4 Char"/>
    <w:basedOn w:val="DefaultParagraphFont"/>
    <w:link w:val="Heading4"/>
    <w:uiPriority w:val="9"/>
    <w:rPr>
      <w:rFonts w:ascii="Arial" w:eastAsiaTheme="majorEastAsia" w:hAnsi="Arial" w:cstheme="majorBidi"/>
      <w:bCs/>
      <w:iCs/>
      <w:sz w:val="23"/>
    </w:rPr>
  </w:style>
  <w:style w:type="paragraph" w:styleId="FootnoteText">
    <w:name w:val="footnote text"/>
    <w:basedOn w:val="Normal"/>
    <w:link w:val="FootnoteTextChar"/>
    <w:uiPriority w:val="11"/>
    <w:qFormat/>
    <w:pPr>
      <w:spacing w:after="120"/>
    </w:pPr>
    <w:rPr>
      <w:rFonts w:cs="Times New Roman"/>
      <w:sz w:val="20"/>
    </w:rPr>
  </w:style>
  <w:style w:type="character" w:customStyle="1" w:styleId="FootnoteTextChar">
    <w:name w:val="Footnote Text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rFonts w:cs="Times New Roman"/>
      <w:b/>
      <w:bCs/>
      <w:color w:val="4F81BD" w:themeColor="accent1"/>
      <w:sz w:val="18"/>
      <w:szCs w:val="18"/>
    </w:rPr>
  </w:style>
  <w:style w:type="paragraph" w:styleId="ListBullet">
    <w:name w:val="List Bullet"/>
    <w:basedOn w:val="Normal"/>
    <w:uiPriority w:val="99"/>
    <w:qFormat/>
    <w:pPr>
      <w:numPr>
        <w:numId w:val="6"/>
      </w:numPr>
      <w:spacing w:after="240"/>
      <w:contextualSpacing/>
    </w:pPr>
    <w:rPr>
      <w:rFonts w:cs="Times New Roman"/>
    </w:rPr>
  </w:style>
  <w:style w:type="paragraph" w:styleId="ListNumber">
    <w:name w:val="List Number"/>
    <w:basedOn w:val="Normal"/>
    <w:uiPriority w:val="99"/>
    <w:qFormat/>
    <w:pPr>
      <w:numPr>
        <w:numId w:val="8"/>
      </w:numPr>
      <w:spacing w:after="240"/>
      <w:contextualSpacing/>
    </w:pPr>
    <w:rPr>
      <w:rFonts w:cs="Times New Roman"/>
    </w:rPr>
  </w:style>
  <w:style w:type="paragraph" w:styleId="Title">
    <w:name w:val="Title"/>
    <w:basedOn w:val="Normal"/>
    <w:link w:val="TitleChar"/>
    <w:uiPriority w:val="3"/>
    <w:qFormat/>
    <w:pPr>
      <w:spacing w:after="240"/>
      <w:jc w:val="center"/>
    </w:pPr>
    <w:rPr>
      <w:rFonts w:eastAsiaTheme="majorEastAsia" w:cstheme="majorBidi"/>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rFonts w:cs="Times New Roman"/>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semiHidden/>
    <w:unhideWhenUsed/>
    <w:qFormat/>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rPr>
      <w:rFonts w:cs="Times New Roman"/>
    </w:rPr>
  </w:style>
  <w:style w:type="paragraph" w:customStyle="1" w:styleId="LeftIndent">
    <w:name w:val="Left Indent"/>
    <w:aliases w:val="LeftInd"/>
    <w:basedOn w:val="Normal"/>
    <w:uiPriority w:val="11"/>
    <w:qFormat/>
    <w:pPr>
      <w:spacing w:after="240"/>
      <w:ind w:left="720"/>
    </w:pPr>
    <w:rPr>
      <w:rFonts w:cs="Times New Roman"/>
    </w:rPr>
  </w:style>
  <w:style w:type="paragraph" w:customStyle="1" w:styleId="FirstLineIndent">
    <w:name w:val="First Line Indent"/>
    <w:aliases w:val="FirstInd"/>
    <w:basedOn w:val="Normal"/>
    <w:uiPriority w:val="1"/>
    <w:qFormat/>
    <w:pPr>
      <w:spacing w:after="240"/>
      <w:ind w:firstLine="720"/>
    </w:pPr>
    <w:rPr>
      <w:rFonts w:cs="Times New Roman"/>
    </w:rPr>
  </w:style>
  <w:style w:type="paragraph" w:customStyle="1" w:styleId="NoIndent">
    <w:name w:val="No Indent"/>
    <w:aliases w:val="NoInd"/>
    <w:basedOn w:val="Normal"/>
    <w:qFormat/>
    <w:pPr>
      <w:spacing w:after="240"/>
    </w:pPr>
    <w:rPr>
      <w:rFonts w:cs="Times New Roman"/>
    </w:rPr>
  </w:style>
  <w:style w:type="paragraph" w:customStyle="1" w:styleId="DoubleIndent5">
    <w:name w:val="Double Indent .5"/>
    <w:aliases w:val="DblInd5"/>
    <w:basedOn w:val="Normal"/>
    <w:uiPriority w:val="2"/>
    <w:qFormat/>
    <w:pPr>
      <w:spacing w:after="240"/>
      <w:ind w:left="720" w:right="720"/>
    </w:pPr>
    <w:rPr>
      <w:rFonts w:cs="Times New Roman"/>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Pr>
      <w:rFonts w:ascii="Arial" w:hAnsi="Arial" w:cs="Arial"/>
      <w:sz w:val="2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lisar@mwncm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Forms\MWN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MWNLetter.dotm</Template>
  <TotalTime>19</TotalTime>
  <Pages>2</Pages>
  <Words>558</Words>
  <Characters>3225</Characters>
  <Application>Microsoft Office Word</Application>
  <DocSecurity>0</DocSecurity>
  <PresentationFormat>12|.DOCX</PresentationFormat>
  <Lines>77</Lines>
  <Paragraphs>30</Paragraphs>
  <ScaleCrop>false</ScaleCrop>
  <HeadingPairs>
    <vt:vector size="2" baseType="variant">
      <vt:variant>
        <vt:lpstr>Title</vt:lpstr>
      </vt:variant>
      <vt:variant>
        <vt:i4>1</vt:i4>
      </vt:variant>
    </vt:vector>
  </HeadingPairs>
  <TitlesOfParts>
    <vt:vector size="1" baseType="lpstr">
      <vt:lpstr>OTA Letter re: 13-1115/14-1115 (C50757).PDF</vt:lpstr>
    </vt:vector>
  </TitlesOfParts>
  <Company>McNees Wallace &amp; Nurick</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Letter re: 13-1115/14-1115 (C50758).PDF</dc:title>
  <dc:subject>C50758: /font=8</dc:subject>
  <dc:creator>Renee Gannon</dc:creator>
  <cp:lastModifiedBy>Renee Gannon</cp:lastModifiedBy>
  <cp:revision>13</cp:revision>
  <cp:lastPrinted>2016-08-23T13:53:00Z</cp:lastPrinted>
  <dcterms:created xsi:type="dcterms:W3CDTF">2016-08-23T12:54:00Z</dcterms:created>
  <dcterms:modified xsi:type="dcterms:W3CDTF">2016-08-23T13:53:00Z</dcterms:modified>
</cp:coreProperties>
</file>