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FF7A8A" w:rsidP="00FF7A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rPr>
      </w:pPr>
      <w:bookmarkStart w:id="0" w:name="_GoBack"/>
      <w:bookmarkEnd w:id="0"/>
      <w:r>
        <w:rPr>
          <w:rFonts w:ascii="Times New Roman" w:hAnsi="Times New Roman"/>
          <w:b/>
          <w:bCs/>
          <w:sz w:val="24"/>
        </w:rPr>
        <w:t>BEFORE</w:t>
      </w:r>
    </w:p>
    <w:p w:rsidR="00FF7A8A">
      <w:pPr>
        <w:pStyle w:val="HTMLPreformatted"/>
        <w:jc w:val="center"/>
        <w:rPr>
          <w:rFonts w:ascii="Times New Roman" w:hAnsi="Times New Roman"/>
          <w:sz w:val="24"/>
        </w:rPr>
      </w:pPr>
      <w:r>
        <w:rPr>
          <w:rFonts w:ascii="Times New Roman" w:hAnsi="Times New Roman"/>
          <w:b/>
          <w:bCs/>
          <w:sz w:val="24"/>
        </w:rPr>
        <w:t>THE PUBLIC UTILITIES COMMISSION OF OHIO</w:t>
      </w:r>
    </w:p>
    <w:p w:rsidR="00FF7A8A">
      <w:pPr>
        <w:pStyle w:val="HTMLPreformatted"/>
        <w:rPr>
          <w:rFonts w:ascii="Times New Roman" w:hAnsi="Times New Roman"/>
          <w:sz w:val="24"/>
        </w:rPr>
      </w:pPr>
    </w:p>
    <w:tbl>
      <w:tblPr>
        <w:tblW w:w="8648" w:type="dxa"/>
        <w:tblInd w:w="0" w:type="dxa"/>
        <w:tblCellMar>
          <w:top w:w="0" w:type="dxa"/>
          <w:left w:w="108" w:type="dxa"/>
          <w:bottom w:w="0" w:type="dxa"/>
          <w:right w:w="108" w:type="dxa"/>
        </w:tblCellMar>
        <w:tblLook w:val="01E0"/>
      </w:tblPr>
      <w:tblGrid>
        <w:gridCol w:w="3888"/>
        <w:gridCol w:w="360"/>
        <w:gridCol w:w="4400"/>
      </w:tblGrid>
      <w:tr w:rsidTr="00FF7A8A">
        <w:tblPrEx>
          <w:tblW w:w="8648" w:type="dxa"/>
          <w:tblInd w:w="0" w:type="dxa"/>
          <w:tblCellMar>
            <w:top w:w="0" w:type="dxa"/>
            <w:left w:w="108" w:type="dxa"/>
            <w:bottom w:w="0" w:type="dxa"/>
            <w:right w:w="108" w:type="dxa"/>
          </w:tblCellMar>
          <w:tblLook w:val="01E0"/>
        </w:tblPrEx>
        <w:trPr>
          <w:trHeight w:val="807"/>
        </w:trPr>
        <w:tc>
          <w:tcPr>
            <w:tcW w:w="3888" w:type="dxa"/>
            <w:shd w:val="clear" w:color="auto" w:fill="auto"/>
          </w:tcPr>
          <w:p w:rsidR="00FF7A8A" w:rsidRPr="00A044B5" w:rsidP="00FF7A8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Courier New" w:eastAsia="Courier New" w:hAnsi="Courier New" w:cs="Courier New"/>
                <w:sz w:val="24"/>
                <w:szCs w:val="24"/>
                <w:lang w:val="en-US" w:eastAsia="en-US" w:bidi="ar-SA"/>
              </w:rPr>
              <w:t xml:space="preserve"> </w:t>
            </w:r>
            <w:r>
              <w:rPr>
                <w:rFonts w:ascii="Times New Roman" w:eastAsia="Courier New" w:hAnsi="Times New Roman" w:cs="Times New Roman"/>
                <w:sz w:val="24"/>
                <w:szCs w:val="24"/>
                <w:lang w:val="en-US" w:eastAsia="en-US" w:bidi="ar-SA"/>
              </w:rPr>
              <w:t>t</w:t>
            </w:r>
            <w:r w:rsidRPr="00056EEC">
              <w:rPr>
                <w:rFonts w:ascii="Times New Roman" w:eastAsia="Courier New" w:hAnsi="Times New Roman" w:cs="Times New Roman"/>
                <w:sz w:val="24"/>
                <w:szCs w:val="24"/>
                <w:lang w:val="en-US" w:eastAsia="en-US" w:bidi="ar-SA"/>
              </w:rPr>
              <w:t xml:space="preserve">he </w:t>
            </w:r>
            <w:r>
              <w:rPr>
                <w:rFonts w:ascii="Times New Roman" w:eastAsia="Courier New" w:hAnsi="Times New Roman" w:cs="Times New Roman"/>
                <w:sz w:val="24"/>
                <w:szCs w:val="24"/>
                <w:lang w:val="en-US" w:eastAsia="en-US" w:bidi="ar-SA"/>
              </w:rPr>
              <w:t>A</w:t>
            </w:r>
            <w:r w:rsidRPr="00056EEC">
              <w:rPr>
                <w:rFonts w:ascii="Times New Roman" w:eastAsia="Courier New" w:hAnsi="Times New Roman" w:cs="Times New Roman"/>
                <w:sz w:val="24"/>
                <w:szCs w:val="24"/>
                <w:lang w:val="en-US" w:eastAsia="en-US" w:bidi="ar-SA"/>
              </w:rPr>
              <w:t>pplication of Ohio Power Company to Update Its Enhanced Service Reliability Rider</w:t>
            </w:r>
            <w:r>
              <w:rPr>
                <w:rFonts w:ascii="Times New Roman" w:eastAsia="Courier New" w:hAnsi="Times New Roman" w:cs="Times New Roman"/>
                <w:sz w:val="24"/>
                <w:szCs w:val="24"/>
                <w:lang w:val="en-US" w:eastAsia="en-US" w:bidi="ar-SA"/>
              </w:rPr>
              <w:t xml:space="preserve"> for 2016.</w:t>
            </w:r>
          </w:p>
        </w:tc>
        <w:tc>
          <w:tcPr>
            <w:tcW w:w="360" w:type="dxa"/>
            <w:shd w:val="clear" w:color="auto" w:fill="auto"/>
          </w:tcPr>
          <w:p w:rsidR="00FF7A8A"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F7A8A"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F7A8A" w:rsidRPr="00A044B5" w:rsidP="00FF7A8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tc>
        <w:tc>
          <w:tcPr>
            <w:tcW w:w="4400" w:type="dxa"/>
            <w:shd w:val="clear" w:color="auto" w:fill="auto"/>
          </w:tcPr>
          <w:p w:rsidR="00FF7A8A"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FF7A8A" w:rsidRPr="00A044B5" w:rsidP="00FF7A8A">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17-1914-EL-RDR</w:t>
            </w:r>
          </w:p>
        </w:tc>
      </w:tr>
    </w:tbl>
    <w:p w:rsidR="00FF7A8A">
      <w:pPr>
        <w:pStyle w:val="HTMLPreformatted"/>
        <w:rPr>
          <w:rFonts w:ascii="Times New Roman" w:hAnsi="Times New Roman"/>
          <w:sz w:val="24"/>
        </w:rPr>
      </w:pPr>
      <w:r>
        <w:rPr>
          <w:rFonts w:ascii="Times New Roman" w:hAnsi="Times New Roman"/>
          <w:sz w:val="24"/>
        </w:rPr>
        <w:tab/>
      </w:r>
    </w:p>
    <w:p w:rsidR="00FF7A8A">
      <w:pPr>
        <w:pStyle w:val="HTMLPreformatted"/>
        <w:rPr>
          <w:rFonts w:ascii="Times New Roman" w:hAnsi="Times New Roman"/>
          <w:sz w:val="24"/>
        </w:rPr>
      </w:pPr>
    </w:p>
    <w:p w:rsidR="00FF7A8A">
      <w:pPr>
        <w:pStyle w:val="HTMLPreformatted"/>
        <w:pBdr>
          <w:top w:val="single" w:sz="12" w:space="1" w:color="auto"/>
        </w:pBdr>
        <w:rPr>
          <w:rFonts w:ascii="Times New Roman" w:hAnsi="Times New Roman"/>
          <w:sz w:val="24"/>
        </w:rPr>
      </w:pPr>
    </w:p>
    <w:p w:rsidR="00FF7A8A">
      <w:pPr>
        <w:jc w:val="center"/>
        <w:rPr>
          <w:b/>
          <w:bCs/>
        </w:rPr>
      </w:pPr>
      <w:r>
        <w:rPr>
          <w:b/>
          <w:bCs/>
        </w:rPr>
        <w:t>COMMENTS</w:t>
      </w:r>
    </w:p>
    <w:p w:rsidR="00FF7A8A">
      <w:pPr>
        <w:jc w:val="center"/>
        <w:rPr>
          <w:b/>
          <w:bCs/>
        </w:rPr>
      </w:pPr>
      <w:r>
        <w:rPr>
          <w:b/>
          <w:bCs/>
        </w:rPr>
        <w:t>BY</w:t>
      </w:r>
    </w:p>
    <w:p w:rsidR="00FF7A8A">
      <w:pPr>
        <w:jc w:val="center"/>
        <w:rPr>
          <w:b/>
          <w:bCs/>
        </w:rPr>
      </w:pPr>
      <w:r>
        <w:rPr>
          <w:b/>
          <w:bCs/>
        </w:rPr>
        <w:t>THE OFFICE OF THE OHIO CONSUMERS’ COUNSEL</w:t>
      </w:r>
    </w:p>
    <w:p w:rsidR="00FF7A8A">
      <w:pPr>
        <w:pBdr>
          <w:bottom w:val="single" w:sz="12" w:space="1" w:color="auto"/>
        </w:pBdr>
        <w:tabs>
          <w:tab w:val="left" w:pos="4320"/>
        </w:tabs>
      </w:pPr>
    </w:p>
    <w:p w:rsidR="00FF7A8A">
      <w:pPr>
        <w:tabs>
          <w:tab w:val="left" w:pos="4320"/>
        </w:tabs>
      </w:pPr>
    </w:p>
    <w:p w:rsidR="005E2783" w:rsidRPr="005E2783" w:rsidP="005E2783">
      <w:pPr>
        <w:pStyle w:val="ListParagraph"/>
        <w:numPr>
          <w:ilvl w:val="0"/>
          <w:numId w:val="7"/>
        </w:numPr>
        <w:ind w:left="720"/>
        <w:rPr>
          <w:rFonts w:ascii="Times New Roman" w:hAnsi="Times New Roman"/>
          <w:b/>
          <w:sz w:val="24"/>
          <w:szCs w:val="24"/>
        </w:rPr>
      </w:pPr>
      <w:r w:rsidRPr="005E2783">
        <w:rPr>
          <w:rFonts w:ascii="Times New Roman" w:hAnsi="Times New Roman"/>
          <w:b/>
          <w:sz w:val="24"/>
          <w:szCs w:val="24"/>
        </w:rPr>
        <w:t>INTRODUCTION</w:t>
      </w:r>
    </w:p>
    <w:p w:rsidR="00E261DF" w:rsidP="005E2783">
      <w:pPr>
        <w:spacing w:line="480" w:lineRule="auto"/>
        <w:ind w:firstLine="720"/>
        <w:rPr>
          <w:szCs w:val="24"/>
        </w:rPr>
      </w:pPr>
      <w:r w:rsidRPr="00D44EF2">
        <w:rPr>
          <w:szCs w:val="24"/>
        </w:rPr>
        <w:t>AEP Ohio claims it incurred</w:t>
      </w:r>
      <w:r w:rsidR="00EE7054">
        <w:rPr>
          <w:szCs w:val="24"/>
        </w:rPr>
        <w:t xml:space="preserve"> </w:t>
      </w:r>
      <w:r w:rsidR="00C85860">
        <w:rPr>
          <w:szCs w:val="24"/>
        </w:rPr>
        <w:t xml:space="preserve">substantial </w:t>
      </w:r>
      <w:r w:rsidR="00EE7054">
        <w:rPr>
          <w:szCs w:val="24"/>
        </w:rPr>
        <w:t>tree trimming expenses</w:t>
      </w:r>
      <w:r w:rsidRPr="00D44EF2">
        <w:rPr>
          <w:szCs w:val="24"/>
        </w:rPr>
        <w:t xml:space="preserve"> during 2016 </w:t>
      </w:r>
      <w:r>
        <w:rPr>
          <w:szCs w:val="24"/>
        </w:rPr>
        <w:t>and</w:t>
      </w:r>
      <w:r w:rsidRPr="00D44EF2">
        <w:rPr>
          <w:szCs w:val="24"/>
        </w:rPr>
        <w:t xml:space="preserve"> is now seeking to </w:t>
      </w:r>
      <w:r>
        <w:rPr>
          <w:szCs w:val="24"/>
        </w:rPr>
        <w:t>charge</w:t>
      </w:r>
      <w:r w:rsidRPr="00D44EF2">
        <w:rPr>
          <w:szCs w:val="24"/>
        </w:rPr>
        <w:t xml:space="preserve"> customers </w:t>
      </w:r>
      <w:r w:rsidR="00EE7054">
        <w:rPr>
          <w:szCs w:val="24"/>
        </w:rPr>
        <w:t xml:space="preserve">for those expenses </w:t>
      </w:r>
      <w:r w:rsidRPr="00D44EF2">
        <w:rPr>
          <w:szCs w:val="24"/>
        </w:rPr>
        <w:t xml:space="preserve">through </w:t>
      </w:r>
      <w:r w:rsidR="00A74C15">
        <w:rPr>
          <w:szCs w:val="24"/>
        </w:rPr>
        <w:t>a single</w:t>
      </w:r>
      <w:r w:rsidR="006E1C3F">
        <w:rPr>
          <w:szCs w:val="24"/>
        </w:rPr>
        <w:t>-</w:t>
      </w:r>
      <w:r w:rsidR="00A74C15">
        <w:rPr>
          <w:szCs w:val="24"/>
        </w:rPr>
        <w:t xml:space="preserve">issue ratemaking charge called the </w:t>
      </w:r>
      <w:r w:rsidRPr="00D44EF2">
        <w:rPr>
          <w:szCs w:val="24"/>
        </w:rPr>
        <w:t xml:space="preserve">Enhanced Service Reliability Rider (“ESRR”). </w:t>
      </w:r>
      <w:r w:rsidR="006E1C3F">
        <w:rPr>
          <w:szCs w:val="24"/>
        </w:rPr>
        <w:t>According to the AEP Ohio tariff,</w:t>
      </w:r>
      <w:r>
        <w:rPr>
          <w:rStyle w:val="FootnoteReference"/>
          <w:szCs w:val="24"/>
        </w:rPr>
        <w:footnoteReference w:id="2"/>
      </w:r>
      <w:r w:rsidR="006E1C3F">
        <w:rPr>
          <w:szCs w:val="24"/>
        </w:rPr>
        <w:t xml:space="preserve"> t</w:t>
      </w:r>
      <w:r w:rsidR="00A74C15">
        <w:rPr>
          <w:szCs w:val="24"/>
        </w:rPr>
        <w:t xml:space="preserve">he ESRR is one of </w:t>
      </w:r>
      <w:r w:rsidR="006E1C3F">
        <w:rPr>
          <w:szCs w:val="24"/>
        </w:rPr>
        <w:t>31</w:t>
      </w:r>
      <w:r w:rsidR="00A74C15">
        <w:rPr>
          <w:szCs w:val="24"/>
        </w:rPr>
        <w:t xml:space="preserve"> riders that </w:t>
      </w:r>
      <w:r w:rsidR="006E1C3F">
        <w:rPr>
          <w:szCs w:val="24"/>
        </w:rPr>
        <w:t xml:space="preserve">can </w:t>
      </w:r>
      <w:r w:rsidR="00AB3B0E">
        <w:rPr>
          <w:szCs w:val="24"/>
        </w:rPr>
        <w:t xml:space="preserve">result in increased </w:t>
      </w:r>
      <w:r w:rsidR="00327E3C">
        <w:rPr>
          <w:szCs w:val="24"/>
        </w:rPr>
        <w:t xml:space="preserve">charges on </w:t>
      </w:r>
      <w:r w:rsidR="00A74C15">
        <w:rPr>
          <w:szCs w:val="24"/>
        </w:rPr>
        <w:t xml:space="preserve">AEP </w:t>
      </w:r>
      <w:r w:rsidR="00327E3C">
        <w:rPr>
          <w:szCs w:val="24"/>
        </w:rPr>
        <w:t>Ohio’s 1.3</w:t>
      </w:r>
      <w:r w:rsidR="00A74C15">
        <w:rPr>
          <w:szCs w:val="24"/>
        </w:rPr>
        <w:t xml:space="preserve"> million customers</w:t>
      </w:r>
      <w:r w:rsidR="00A11470">
        <w:rPr>
          <w:szCs w:val="24"/>
        </w:rPr>
        <w:t>’</w:t>
      </w:r>
      <w:r w:rsidR="00327E3C">
        <w:rPr>
          <w:szCs w:val="24"/>
        </w:rPr>
        <w:t xml:space="preserve"> bills.</w:t>
      </w:r>
      <w:r>
        <w:rPr>
          <w:rStyle w:val="FootnoteReference"/>
          <w:szCs w:val="24"/>
        </w:rPr>
        <w:footnoteReference w:id="3"/>
      </w:r>
      <w:r w:rsidR="00A74C15">
        <w:rPr>
          <w:szCs w:val="24"/>
        </w:rPr>
        <w:t xml:space="preserve">  </w:t>
      </w:r>
      <w:r w:rsidRPr="00D44EF2">
        <w:rPr>
          <w:szCs w:val="24"/>
        </w:rPr>
        <w:t xml:space="preserve"> During 2016, AEP Ohio claims to have spent $48,647,290 in operations and maintenance (“O&amp;M”) expenses plus another $6,862,516 in capital expenses</w:t>
      </w:r>
      <w:r>
        <w:rPr>
          <w:szCs w:val="24"/>
        </w:rPr>
        <w:t>,</w:t>
      </w:r>
      <w:r w:rsidRPr="00D44EF2">
        <w:rPr>
          <w:szCs w:val="24"/>
        </w:rPr>
        <w:t xml:space="preserve"> for a total of $55,509,806 for vegetation management.  AEP Ohio distribution base rates </w:t>
      </w:r>
      <w:r>
        <w:rPr>
          <w:szCs w:val="24"/>
        </w:rPr>
        <w:t xml:space="preserve">currently </w:t>
      </w:r>
      <w:r w:rsidRPr="00D44EF2">
        <w:rPr>
          <w:szCs w:val="24"/>
        </w:rPr>
        <w:t>include $24,200,000 for annual vegetation management expenses</w:t>
      </w:r>
      <w:r>
        <w:rPr>
          <w:szCs w:val="24"/>
        </w:rPr>
        <w:t xml:space="preserve"> ($20.6 million for O&amp;M and $3.6 million for capital)</w:t>
      </w:r>
      <w:r w:rsidRPr="00D44EF2">
        <w:rPr>
          <w:szCs w:val="24"/>
        </w:rPr>
        <w:t xml:space="preserve">.  </w:t>
      </w:r>
      <w:r>
        <w:rPr>
          <w:szCs w:val="24"/>
        </w:rPr>
        <w:t>AEP Ohio</w:t>
      </w:r>
      <w:r w:rsidRPr="00D44EF2">
        <w:rPr>
          <w:szCs w:val="24"/>
        </w:rPr>
        <w:t xml:space="preserve"> is </w:t>
      </w:r>
      <w:r>
        <w:rPr>
          <w:szCs w:val="24"/>
        </w:rPr>
        <w:t xml:space="preserve">also </w:t>
      </w:r>
      <w:r w:rsidRPr="00D44EF2">
        <w:rPr>
          <w:szCs w:val="24"/>
        </w:rPr>
        <w:t xml:space="preserve">seeking to </w:t>
      </w:r>
      <w:r>
        <w:rPr>
          <w:szCs w:val="24"/>
        </w:rPr>
        <w:t>charge customers</w:t>
      </w:r>
      <w:r w:rsidRPr="00D44EF2">
        <w:rPr>
          <w:szCs w:val="24"/>
        </w:rPr>
        <w:t xml:space="preserve"> </w:t>
      </w:r>
      <w:r>
        <w:rPr>
          <w:szCs w:val="24"/>
        </w:rPr>
        <w:t>carrying costs of $5.3 million on the capital expenditures and for incremental O&amp;M expenses of $28.1 million to equal a 2016 ESRR revenue requirement of</w:t>
      </w:r>
      <w:r w:rsidRPr="00D44EF2">
        <w:rPr>
          <w:szCs w:val="24"/>
        </w:rPr>
        <w:t xml:space="preserve"> $</w:t>
      </w:r>
      <w:r>
        <w:rPr>
          <w:szCs w:val="24"/>
        </w:rPr>
        <w:t>33,379,649</w:t>
      </w:r>
      <w:r w:rsidRPr="00D44EF2">
        <w:rPr>
          <w:szCs w:val="24"/>
        </w:rPr>
        <w:t xml:space="preserve">. </w:t>
      </w:r>
    </w:p>
    <w:p w:rsidR="005E2783" w:rsidP="005E2783">
      <w:pPr>
        <w:spacing w:line="480" w:lineRule="auto"/>
        <w:ind w:firstLine="720"/>
        <w:rPr>
          <w:szCs w:val="24"/>
        </w:rPr>
      </w:pPr>
      <w:r>
        <w:rPr>
          <w:szCs w:val="24"/>
        </w:rPr>
        <w:t>But</w:t>
      </w:r>
      <w:r w:rsidRPr="00D44EF2">
        <w:rPr>
          <w:szCs w:val="24"/>
        </w:rPr>
        <w:t xml:space="preserve"> AEP Ohio </w:t>
      </w:r>
      <w:r w:rsidR="00EE7054">
        <w:rPr>
          <w:szCs w:val="24"/>
        </w:rPr>
        <w:t>was only authorized to spend</w:t>
      </w:r>
      <w:r w:rsidRPr="00D44EF2">
        <w:rPr>
          <w:szCs w:val="24"/>
        </w:rPr>
        <w:t xml:space="preserve"> $26,000,000 to </w:t>
      </w:r>
      <w:r w:rsidR="00EE7054">
        <w:rPr>
          <w:szCs w:val="24"/>
        </w:rPr>
        <w:t xml:space="preserve">ultimately </w:t>
      </w:r>
      <w:r>
        <w:rPr>
          <w:szCs w:val="24"/>
        </w:rPr>
        <w:t>charge</w:t>
      </w:r>
      <w:r w:rsidRPr="00D44EF2">
        <w:rPr>
          <w:szCs w:val="24"/>
        </w:rPr>
        <w:t xml:space="preserve"> customers through the ESRR</w:t>
      </w:r>
      <w:r w:rsidR="00EE7054">
        <w:rPr>
          <w:szCs w:val="24"/>
        </w:rPr>
        <w:t>.  AEP is trying to over-charge customers</w:t>
      </w:r>
      <w:r w:rsidRPr="00D44EF2">
        <w:rPr>
          <w:szCs w:val="24"/>
        </w:rPr>
        <w:t xml:space="preserve"> $</w:t>
      </w:r>
      <w:r>
        <w:rPr>
          <w:szCs w:val="24"/>
        </w:rPr>
        <w:t>7,379,649</w:t>
      </w:r>
      <w:r w:rsidRPr="00D44EF2">
        <w:rPr>
          <w:szCs w:val="24"/>
        </w:rPr>
        <w:t>.</w:t>
      </w:r>
      <w:r>
        <w:rPr>
          <w:szCs w:val="24"/>
        </w:rPr>
        <w:t xml:space="preserve">  Customers should not be responsible for paying AEP Ohio’s unjust, unreasonable, and unauthorized spending.   </w:t>
      </w:r>
    </w:p>
    <w:p w:rsidR="000322E5" w:rsidP="000322E5">
      <w:pPr>
        <w:ind w:firstLine="720"/>
        <w:rPr>
          <w:szCs w:val="24"/>
        </w:rPr>
      </w:pPr>
    </w:p>
    <w:p w:rsidR="005E2783" w:rsidP="005E2783">
      <w:pPr>
        <w:pStyle w:val="Heading1"/>
      </w:pPr>
      <w:r>
        <w:t>II.</w:t>
      </w:r>
      <w:r>
        <w:tab/>
        <w:t>HISTORY</w:t>
      </w:r>
    </w:p>
    <w:p w:rsidR="005E2783" w:rsidP="005E2783">
      <w:pPr>
        <w:spacing w:line="480" w:lineRule="auto"/>
        <w:ind w:firstLine="720"/>
        <w:rPr>
          <w:szCs w:val="24"/>
        </w:rPr>
      </w:pPr>
      <w:r w:rsidRPr="00D44EF2">
        <w:rPr>
          <w:szCs w:val="24"/>
        </w:rPr>
        <w:t xml:space="preserve">The ESRR was originally approved as part of AEP Ohio’s first </w:t>
      </w:r>
      <w:r>
        <w:rPr>
          <w:szCs w:val="24"/>
        </w:rPr>
        <w:t>e</w:t>
      </w:r>
      <w:r w:rsidRPr="00D44EF2">
        <w:rPr>
          <w:szCs w:val="24"/>
        </w:rPr>
        <w:t xml:space="preserve">lectric </w:t>
      </w:r>
      <w:r>
        <w:rPr>
          <w:szCs w:val="24"/>
        </w:rPr>
        <w:t>s</w:t>
      </w:r>
      <w:r w:rsidRPr="00D44EF2">
        <w:rPr>
          <w:szCs w:val="24"/>
        </w:rPr>
        <w:t xml:space="preserve">ecurity </w:t>
      </w:r>
      <w:r>
        <w:rPr>
          <w:szCs w:val="24"/>
        </w:rPr>
        <w:t>p</w:t>
      </w:r>
      <w:r w:rsidRPr="00D44EF2">
        <w:rPr>
          <w:szCs w:val="24"/>
        </w:rPr>
        <w:t xml:space="preserve">lan </w:t>
      </w:r>
      <w:r>
        <w:rPr>
          <w:szCs w:val="24"/>
        </w:rPr>
        <w:t xml:space="preserve">(“ESP”) </w:t>
      </w:r>
      <w:r w:rsidRPr="00D44EF2">
        <w:rPr>
          <w:szCs w:val="24"/>
        </w:rPr>
        <w:t xml:space="preserve">for </w:t>
      </w:r>
      <w:r w:rsidR="0004389B">
        <w:rPr>
          <w:szCs w:val="24"/>
        </w:rPr>
        <w:t>additional</w:t>
      </w:r>
      <w:r w:rsidRPr="00D44EF2">
        <w:rPr>
          <w:szCs w:val="24"/>
        </w:rPr>
        <w:t xml:space="preserve"> funding </w:t>
      </w:r>
      <w:r w:rsidR="0004389B">
        <w:rPr>
          <w:szCs w:val="24"/>
        </w:rPr>
        <w:t xml:space="preserve">so that it could </w:t>
      </w:r>
      <w:r w:rsidRPr="00D44EF2">
        <w:rPr>
          <w:szCs w:val="24"/>
        </w:rPr>
        <w:t xml:space="preserve">transition from a reactive vegetation management program to a </w:t>
      </w:r>
      <w:r w:rsidR="0004389B">
        <w:rPr>
          <w:szCs w:val="24"/>
        </w:rPr>
        <w:t xml:space="preserve">proactive, </w:t>
      </w:r>
      <w:r w:rsidRPr="00D44EF2">
        <w:rPr>
          <w:szCs w:val="24"/>
        </w:rPr>
        <w:t>four-year cycle-based distribution vegetation management program.</w:t>
      </w:r>
      <w:r>
        <w:rPr>
          <w:rStyle w:val="FootnoteReference"/>
          <w:szCs w:val="24"/>
        </w:rPr>
        <w:footnoteReference w:id="4"/>
      </w:r>
      <w:r w:rsidRPr="00D44EF2">
        <w:rPr>
          <w:szCs w:val="24"/>
        </w:rPr>
        <w:t xml:space="preserve">  </w:t>
      </w:r>
      <w:r>
        <w:rPr>
          <w:szCs w:val="24"/>
        </w:rPr>
        <w:t xml:space="preserve">The transition was expected to occur over five years.  In AEP Ohio’s second ESP, </w:t>
      </w:r>
      <w:r w:rsidR="0004389B">
        <w:rPr>
          <w:szCs w:val="24"/>
        </w:rPr>
        <w:t xml:space="preserve">three years into the five year transition, </w:t>
      </w:r>
      <w:r>
        <w:rPr>
          <w:szCs w:val="24"/>
        </w:rPr>
        <w:t xml:space="preserve">it requested </w:t>
      </w:r>
      <w:r w:rsidR="0004389B">
        <w:rPr>
          <w:szCs w:val="24"/>
        </w:rPr>
        <w:t xml:space="preserve">to extend </w:t>
      </w:r>
      <w:r>
        <w:rPr>
          <w:szCs w:val="24"/>
        </w:rPr>
        <w:t xml:space="preserve"> the ESRR and the Public Utilities Commission of Ohio (“PUCO”) granted approval </w:t>
      </w:r>
      <w:r w:rsidR="0004389B">
        <w:rPr>
          <w:szCs w:val="24"/>
        </w:rPr>
        <w:t xml:space="preserve">allowing the rider to be collected from customers for an additional three years, </w:t>
      </w:r>
      <w:r>
        <w:rPr>
          <w:szCs w:val="24"/>
        </w:rPr>
        <w:t>through May 31, 2015.</w:t>
      </w:r>
      <w:r>
        <w:rPr>
          <w:rStyle w:val="FootnoteReference"/>
          <w:szCs w:val="24"/>
        </w:rPr>
        <w:footnoteReference w:id="5"/>
      </w:r>
      <w:r>
        <w:rPr>
          <w:szCs w:val="24"/>
        </w:rPr>
        <w:t xml:space="preserve">  In AEP Ohio’s third ESP, it requested </w:t>
      </w:r>
      <w:r w:rsidR="0004389B">
        <w:rPr>
          <w:szCs w:val="24"/>
        </w:rPr>
        <w:t>another extension of the rider for an additional three years, t</w:t>
      </w:r>
      <w:r>
        <w:rPr>
          <w:szCs w:val="24"/>
        </w:rPr>
        <w:t>hrough 2018.  The PUCO approved the extension, noting that the ESRR would be based on prudently incurred costs and subject to PUCO review and reconciliation annually.</w:t>
      </w:r>
      <w:r>
        <w:rPr>
          <w:rStyle w:val="FootnoteReference"/>
          <w:szCs w:val="24"/>
        </w:rPr>
        <w:footnoteReference w:id="6"/>
      </w:r>
      <w:r>
        <w:rPr>
          <w:szCs w:val="24"/>
        </w:rPr>
        <w:t xml:space="preserve"> </w:t>
      </w:r>
      <w:r w:rsidR="00E261DF">
        <w:rPr>
          <w:szCs w:val="24"/>
        </w:rPr>
        <w:t xml:space="preserve"> </w:t>
      </w:r>
      <w:r>
        <w:rPr>
          <w:szCs w:val="24"/>
        </w:rPr>
        <w:t xml:space="preserve">In AEP Ohio’s most recent ESP, the PUCO approved the ESRR again, stating that it “continues to find significant benefit in proactive, cycle-based, end-to-end vegetation management along the Company’s circuits and rights of way as an </w:t>
      </w:r>
      <w:r>
        <w:rPr>
          <w:szCs w:val="24"/>
        </w:rPr>
        <w:t xml:space="preserve">effective means of reducing and preventing outages and service interruptions caused by vegetation.  The continuation of the ESRR mechanism and the cost of the program will be considered as part of the Company’s base rate case expected to be filed by June 1, 2020, and if no base rate case is filed, the ESRR will sunset effective December 31, 2020.” </w:t>
      </w:r>
      <w:r>
        <w:rPr>
          <w:rStyle w:val="FootnoteReference"/>
          <w:szCs w:val="24"/>
        </w:rPr>
        <w:footnoteReference w:id="7"/>
      </w:r>
      <w:r>
        <w:rPr>
          <w:szCs w:val="24"/>
        </w:rPr>
        <w:t xml:space="preserve"> </w:t>
      </w:r>
      <w:r w:rsidR="00E261DF">
        <w:rPr>
          <w:szCs w:val="24"/>
        </w:rPr>
        <w:t xml:space="preserve">So all told, the five year transition to a four year tree trimming cycle </w:t>
      </w:r>
      <w:r w:rsidR="00E85399">
        <w:rPr>
          <w:szCs w:val="24"/>
        </w:rPr>
        <w:t xml:space="preserve">(where vegetation along an entire circuit from beginning to end is managed) </w:t>
      </w:r>
      <w:r w:rsidR="00E261DF">
        <w:rPr>
          <w:szCs w:val="24"/>
        </w:rPr>
        <w:t>has taken twice as long –</w:t>
      </w:r>
      <w:r w:rsidR="00C85860">
        <w:rPr>
          <w:szCs w:val="24"/>
        </w:rPr>
        <w:t xml:space="preserve"> </w:t>
      </w:r>
      <w:r w:rsidR="00E261DF">
        <w:rPr>
          <w:szCs w:val="24"/>
        </w:rPr>
        <w:t xml:space="preserve">eleven years.  </w:t>
      </w:r>
      <w:r>
        <w:rPr>
          <w:szCs w:val="24"/>
        </w:rPr>
        <w:t xml:space="preserve"> The history of the ESRR demonstrates a pattern where a rider that was intended to support </w:t>
      </w:r>
      <w:r w:rsidR="0004389B">
        <w:rPr>
          <w:szCs w:val="24"/>
        </w:rPr>
        <w:t xml:space="preserve">a </w:t>
      </w:r>
      <w:r w:rsidR="00E261DF">
        <w:rPr>
          <w:szCs w:val="24"/>
        </w:rPr>
        <w:t>five</w:t>
      </w:r>
      <w:r w:rsidR="00C85860">
        <w:rPr>
          <w:szCs w:val="24"/>
        </w:rPr>
        <w:t>-</w:t>
      </w:r>
      <w:r w:rsidR="00E261DF">
        <w:rPr>
          <w:szCs w:val="24"/>
        </w:rPr>
        <w:t xml:space="preserve">year </w:t>
      </w:r>
      <w:r w:rsidR="0004389B">
        <w:rPr>
          <w:szCs w:val="24"/>
        </w:rPr>
        <w:t xml:space="preserve">transition to a </w:t>
      </w:r>
      <w:r>
        <w:rPr>
          <w:szCs w:val="24"/>
        </w:rPr>
        <w:t xml:space="preserve">four-year </w:t>
      </w:r>
      <w:r w:rsidR="0004389B">
        <w:rPr>
          <w:szCs w:val="24"/>
        </w:rPr>
        <w:t xml:space="preserve">pro-active </w:t>
      </w:r>
      <w:r>
        <w:rPr>
          <w:szCs w:val="24"/>
        </w:rPr>
        <w:t xml:space="preserve">cycle-based trimming program </w:t>
      </w:r>
      <w:r w:rsidR="0004389B">
        <w:rPr>
          <w:szCs w:val="24"/>
        </w:rPr>
        <w:t>became instead a permanent source of revenues</w:t>
      </w:r>
      <w:r w:rsidR="00E261DF">
        <w:rPr>
          <w:szCs w:val="24"/>
        </w:rPr>
        <w:t xml:space="preserve"> (for eleven years)</w:t>
      </w:r>
      <w:r w:rsidR="0004389B">
        <w:rPr>
          <w:szCs w:val="24"/>
        </w:rPr>
        <w:t>, collected from customers, outside the confines of a base rate case.</w:t>
      </w:r>
      <w:r>
        <w:rPr>
          <w:szCs w:val="24"/>
        </w:rPr>
        <w:t xml:space="preserve">  As demonstrated in this case, </w:t>
      </w:r>
      <w:r w:rsidR="0004389B">
        <w:rPr>
          <w:szCs w:val="24"/>
        </w:rPr>
        <w:t>this single</w:t>
      </w:r>
      <w:r w:rsidR="00E85399">
        <w:rPr>
          <w:szCs w:val="24"/>
        </w:rPr>
        <w:t>-</w:t>
      </w:r>
      <w:r w:rsidR="0004389B">
        <w:rPr>
          <w:szCs w:val="24"/>
        </w:rPr>
        <w:t xml:space="preserve">issue ratemaking </w:t>
      </w:r>
      <w:r>
        <w:rPr>
          <w:szCs w:val="24"/>
        </w:rPr>
        <w:t>has now morphed into</w:t>
      </w:r>
      <w:r w:rsidR="00F27BAC">
        <w:rPr>
          <w:szCs w:val="24"/>
        </w:rPr>
        <w:t xml:space="preserve"> permanent rate increases to customers, </w:t>
      </w:r>
      <w:r w:rsidR="00E261DF">
        <w:rPr>
          <w:szCs w:val="24"/>
        </w:rPr>
        <w:t>over an eleven</w:t>
      </w:r>
      <w:r w:rsidR="00A11470">
        <w:rPr>
          <w:szCs w:val="24"/>
        </w:rPr>
        <w:t>-</w:t>
      </w:r>
      <w:r w:rsidR="00E261DF">
        <w:rPr>
          <w:szCs w:val="24"/>
        </w:rPr>
        <w:t>year period, allowing seemingly</w:t>
      </w:r>
      <w:r>
        <w:rPr>
          <w:szCs w:val="24"/>
        </w:rPr>
        <w:t xml:space="preserve"> uncontrolled spending by AEP Ohio</w:t>
      </w:r>
      <w:r w:rsidR="0004389B">
        <w:rPr>
          <w:szCs w:val="24"/>
        </w:rPr>
        <w:t xml:space="preserve">.  And </w:t>
      </w:r>
      <w:r w:rsidR="00EE7054">
        <w:rPr>
          <w:szCs w:val="24"/>
        </w:rPr>
        <w:t>unfortunately for consumers,</w:t>
      </w:r>
      <w:r>
        <w:rPr>
          <w:szCs w:val="24"/>
        </w:rPr>
        <w:t xml:space="preserve"> </w:t>
      </w:r>
      <w:r w:rsidR="0004389B">
        <w:rPr>
          <w:szCs w:val="24"/>
        </w:rPr>
        <w:t xml:space="preserve">the vegetation management spending </w:t>
      </w:r>
      <w:r>
        <w:rPr>
          <w:szCs w:val="24"/>
        </w:rPr>
        <w:t xml:space="preserve">is having little, if any, impact on improving customer reliability.  </w:t>
      </w:r>
    </w:p>
    <w:p w:rsidR="000322E5" w:rsidP="000322E5">
      <w:pPr>
        <w:ind w:firstLine="720"/>
        <w:rPr>
          <w:szCs w:val="24"/>
        </w:rPr>
      </w:pPr>
    </w:p>
    <w:p w:rsidR="005E2783" w:rsidRPr="005E2783" w:rsidP="005E2783">
      <w:pPr>
        <w:pStyle w:val="Heading1"/>
      </w:pPr>
      <w:r>
        <w:t>III.</w:t>
      </w:r>
      <w:r>
        <w:tab/>
        <w:t>COMMENTS</w:t>
      </w:r>
    </w:p>
    <w:p w:rsidR="005E2783" w:rsidRPr="00FB43B3" w:rsidP="005E2783">
      <w:pPr>
        <w:pStyle w:val="Heading2"/>
      </w:pPr>
      <w:r>
        <w:t>The</w:t>
      </w:r>
      <w:r w:rsidRPr="00FB43B3">
        <w:t xml:space="preserve"> PUCO should not permit AEP Ohio to </w:t>
      </w:r>
      <w:r w:rsidR="002F7CFC">
        <w:t xml:space="preserve">increase </w:t>
      </w:r>
      <w:r w:rsidRPr="00FB43B3">
        <w:t>customers</w:t>
      </w:r>
      <w:r w:rsidR="00A11470">
        <w:t>’</w:t>
      </w:r>
      <w:r w:rsidRPr="00FB43B3">
        <w:t xml:space="preserve"> </w:t>
      </w:r>
      <w:r w:rsidR="002F7CFC">
        <w:t xml:space="preserve">rates to compensate it for </w:t>
      </w:r>
      <w:r w:rsidRPr="00FB43B3">
        <w:t xml:space="preserve">$7,379,649 that it over-spent on </w:t>
      </w:r>
      <w:r w:rsidR="002F7CFC">
        <w:t xml:space="preserve">vegetation management </w:t>
      </w:r>
      <w:r w:rsidRPr="00FB43B3">
        <w:t>in 2016.</w:t>
      </w:r>
    </w:p>
    <w:p w:rsidR="005E2783" w:rsidRPr="00D44EF2" w:rsidP="005E2783">
      <w:pPr>
        <w:spacing w:line="480" w:lineRule="auto"/>
        <w:ind w:firstLine="720"/>
        <w:rPr>
          <w:szCs w:val="24"/>
        </w:rPr>
      </w:pPr>
      <w:r w:rsidRPr="00D44EF2">
        <w:rPr>
          <w:szCs w:val="24"/>
        </w:rPr>
        <w:t>During AEP Ohio</w:t>
      </w:r>
      <w:r>
        <w:rPr>
          <w:szCs w:val="24"/>
        </w:rPr>
        <w:t>’s third</w:t>
      </w:r>
      <w:r w:rsidRPr="00D44EF2">
        <w:rPr>
          <w:szCs w:val="24"/>
        </w:rPr>
        <w:t xml:space="preserve"> ESP, the PUCO approved AEP Ohio’s request </w:t>
      </w:r>
      <w:r w:rsidR="002F7CFC">
        <w:rPr>
          <w:szCs w:val="24"/>
        </w:rPr>
        <w:t xml:space="preserve">for additional customer </w:t>
      </w:r>
      <w:r w:rsidRPr="00D44EF2">
        <w:rPr>
          <w:szCs w:val="24"/>
        </w:rPr>
        <w:t xml:space="preserve">funding </w:t>
      </w:r>
      <w:r w:rsidR="002F7CFC">
        <w:rPr>
          <w:szCs w:val="24"/>
        </w:rPr>
        <w:t>of</w:t>
      </w:r>
      <w:r w:rsidRPr="00D44EF2">
        <w:rPr>
          <w:szCs w:val="24"/>
        </w:rPr>
        <w:t xml:space="preserve"> $25,000,000 annually in O&amp;M spending and an additional $1,000,000 in capital costs.</w:t>
      </w:r>
      <w:r>
        <w:rPr>
          <w:rStyle w:val="FootnoteReference"/>
          <w:szCs w:val="24"/>
        </w:rPr>
        <w:footnoteReference w:id="8"/>
      </w:r>
      <w:r w:rsidRPr="00D44EF2">
        <w:rPr>
          <w:szCs w:val="24"/>
        </w:rPr>
        <w:t xml:space="preserve">  </w:t>
      </w:r>
      <w:r>
        <w:rPr>
          <w:szCs w:val="24"/>
        </w:rPr>
        <w:t>But</w:t>
      </w:r>
      <w:r w:rsidR="002F7CFC">
        <w:rPr>
          <w:szCs w:val="24"/>
        </w:rPr>
        <w:t xml:space="preserve"> instead of living within those limits, </w:t>
      </w:r>
      <w:r>
        <w:rPr>
          <w:szCs w:val="24"/>
        </w:rPr>
        <w:t xml:space="preserve">AEP Ohio </w:t>
      </w:r>
      <w:r w:rsidR="00F27BAC">
        <w:rPr>
          <w:szCs w:val="24"/>
        </w:rPr>
        <w:t xml:space="preserve">seeks to charge customers </w:t>
      </w:r>
      <w:r>
        <w:rPr>
          <w:szCs w:val="24"/>
        </w:rPr>
        <w:t xml:space="preserve">$33,379,649 </w:t>
      </w:r>
      <w:r w:rsidR="00F27BAC">
        <w:rPr>
          <w:szCs w:val="24"/>
        </w:rPr>
        <w:t>through the ESRR.</w:t>
      </w:r>
      <w:r>
        <w:rPr>
          <w:szCs w:val="24"/>
        </w:rPr>
        <w:t xml:space="preserve">  AEP Ohio overspent </w:t>
      </w:r>
      <w:r w:rsidR="00EE7054">
        <w:rPr>
          <w:szCs w:val="24"/>
        </w:rPr>
        <w:t xml:space="preserve">what the PUCO had authorized by </w:t>
      </w:r>
      <w:r>
        <w:rPr>
          <w:szCs w:val="24"/>
        </w:rPr>
        <w:t xml:space="preserve">$7,379,649 beyond the </w:t>
      </w:r>
      <w:r w:rsidR="008338B7">
        <w:rPr>
          <w:szCs w:val="24"/>
        </w:rPr>
        <w:t xml:space="preserve">approved </w:t>
      </w:r>
      <w:r w:rsidR="00F27BAC">
        <w:rPr>
          <w:szCs w:val="24"/>
        </w:rPr>
        <w:t xml:space="preserve">2016 </w:t>
      </w:r>
      <w:r>
        <w:rPr>
          <w:szCs w:val="24"/>
        </w:rPr>
        <w:t>spend</w:t>
      </w:r>
      <w:r w:rsidR="008338B7">
        <w:rPr>
          <w:szCs w:val="24"/>
        </w:rPr>
        <w:t>ing</w:t>
      </w:r>
      <w:r>
        <w:rPr>
          <w:szCs w:val="24"/>
        </w:rPr>
        <w:t xml:space="preserve">.  </w:t>
      </w:r>
      <w:r w:rsidRPr="00D44EF2">
        <w:rPr>
          <w:szCs w:val="24"/>
        </w:rPr>
        <w:t xml:space="preserve">AEP Ohio must be </w:t>
      </w:r>
      <w:r>
        <w:rPr>
          <w:szCs w:val="24"/>
        </w:rPr>
        <w:t xml:space="preserve">held responsible and </w:t>
      </w:r>
      <w:r w:rsidRPr="00D44EF2">
        <w:rPr>
          <w:szCs w:val="24"/>
        </w:rPr>
        <w:t xml:space="preserve">accountable for managing </w:t>
      </w:r>
      <w:r>
        <w:rPr>
          <w:szCs w:val="24"/>
        </w:rPr>
        <w:t xml:space="preserve">within </w:t>
      </w:r>
      <w:r w:rsidRPr="00D44EF2">
        <w:rPr>
          <w:szCs w:val="24"/>
        </w:rPr>
        <w:t xml:space="preserve">its </w:t>
      </w:r>
      <w:r w:rsidR="008338B7">
        <w:rPr>
          <w:szCs w:val="24"/>
        </w:rPr>
        <w:t xml:space="preserve">PUCO-approved </w:t>
      </w:r>
      <w:r w:rsidR="005C6ED8">
        <w:rPr>
          <w:szCs w:val="24"/>
        </w:rPr>
        <w:t>allowance.</w:t>
      </w:r>
      <w:r w:rsidRPr="00D44EF2">
        <w:rPr>
          <w:szCs w:val="24"/>
        </w:rPr>
        <w:t xml:space="preserve">  </w:t>
      </w:r>
      <w:r>
        <w:rPr>
          <w:szCs w:val="24"/>
        </w:rPr>
        <w:t xml:space="preserve">  </w:t>
      </w:r>
      <w:r w:rsidR="008338B7">
        <w:rPr>
          <w:szCs w:val="24"/>
        </w:rPr>
        <w:t>The PUCO should not approve u</w:t>
      </w:r>
      <w:r>
        <w:rPr>
          <w:szCs w:val="24"/>
        </w:rPr>
        <w:t xml:space="preserve">ncontrolled </w:t>
      </w:r>
      <w:r w:rsidRPr="00D44EF2">
        <w:rPr>
          <w:szCs w:val="24"/>
        </w:rPr>
        <w:t xml:space="preserve">ESRR </w:t>
      </w:r>
      <w:r>
        <w:rPr>
          <w:szCs w:val="24"/>
        </w:rPr>
        <w:t xml:space="preserve">spending </w:t>
      </w:r>
      <w:r w:rsidRPr="00D44EF2">
        <w:rPr>
          <w:szCs w:val="24"/>
        </w:rPr>
        <w:t xml:space="preserve">merely </w:t>
      </w:r>
      <w:r w:rsidR="008338B7">
        <w:rPr>
          <w:szCs w:val="24"/>
        </w:rPr>
        <w:t xml:space="preserve">because AEP has a single-issue ratemaking mechanism that serves as a convenient means to </w:t>
      </w:r>
      <w:r w:rsidRPr="00D44EF2">
        <w:rPr>
          <w:szCs w:val="24"/>
        </w:rPr>
        <w:t xml:space="preserve">pass </w:t>
      </w:r>
      <w:r>
        <w:rPr>
          <w:szCs w:val="24"/>
        </w:rPr>
        <w:t xml:space="preserve">along to customers </w:t>
      </w:r>
      <w:r w:rsidRPr="00D44EF2">
        <w:rPr>
          <w:szCs w:val="24"/>
        </w:rPr>
        <w:t xml:space="preserve">higher </w:t>
      </w:r>
      <w:r w:rsidR="008338B7">
        <w:rPr>
          <w:szCs w:val="24"/>
        </w:rPr>
        <w:t>than approved tree trimming expenditures</w:t>
      </w:r>
      <w:r>
        <w:rPr>
          <w:szCs w:val="24"/>
        </w:rPr>
        <w:t xml:space="preserve">. </w:t>
      </w:r>
    </w:p>
    <w:p w:rsidR="005E2783" w:rsidRPr="00FB43B3" w:rsidP="005E2783">
      <w:pPr>
        <w:pStyle w:val="Heading2"/>
      </w:pPr>
      <w:r w:rsidRPr="00FB43B3">
        <w:t xml:space="preserve">The PUCO should find that AEP Ohio’s management of the ESRR is imprudent because </w:t>
      </w:r>
      <w:r>
        <w:t>it</w:t>
      </w:r>
      <w:r w:rsidRPr="00FB43B3">
        <w:t xml:space="preserve"> is not performing vegetation management on the four-year cycle as required.</w:t>
      </w:r>
      <w:r>
        <w:t xml:space="preserve"> </w:t>
      </w:r>
    </w:p>
    <w:p w:rsidR="00E261DF" w:rsidP="005E2783">
      <w:pPr>
        <w:spacing w:line="480" w:lineRule="auto"/>
        <w:ind w:firstLine="720"/>
        <w:rPr>
          <w:szCs w:val="24"/>
        </w:rPr>
      </w:pPr>
      <w:r w:rsidRPr="00D44EF2">
        <w:rPr>
          <w:szCs w:val="24"/>
        </w:rPr>
        <w:t xml:space="preserve">The PUCO specifically approved the ESRR to provide </w:t>
      </w:r>
      <w:r w:rsidR="002F7CFC">
        <w:rPr>
          <w:szCs w:val="24"/>
        </w:rPr>
        <w:t xml:space="preserve">additional </w:t>
      </w:r>
      <w:r w:rsidRPr="00D44EF2">
        <w:rPr>
          <w:szCs w:val="24"/>
        </w:rPr>
        <w:t xml:space="preserve">funding beyond the amount(s) that AEP Ohio </w:t>
      </w:r>
      <w:r w:rsidR="002F7CFC">
        <w:rPr>
          <w:szCs w:val="24"/>
        </w:rPr>
        <w:t xml:space="preserve">already </w:t>
      </w:r>
      <w:r w:rsidRPr="00D44EF2">
        <w:rPr>
          <w:szCs w:val="24"/>
        </w:rPr>
        <w:t xml:space="preserve">collects from customers in base rates to transition from a primarily reactive vegetation management program to a </w:t>
      </w:r>
      <w:r w:rsidR="004A39C0">
        <w:rPr>
          <w:szCs w:val="24"/>
        </w:rPr>
        <w:t xml:space="preserve">proactive </w:t>
      </w:r>
      <w:r w:rsidRPr="00D44EF2">
        <w:rPr>
          <w:szCs w:val="24"/>
        </w:rPr>
        <w:t xml:space="preserve">four-year cycle-based vegetation management program. </w:t>
      </w:r>
      <w:r>
        <w:rPr>
          <w:szCs w:val="24"/>
        </w:rPr>
        <w:t>T</w:t>
      </w:r>
      <w:r w:rsidRPr="00D44EF2">
        <w:rPr>
          <w:szCs w:val="24"/>
        </w:rPr>
        <w:t xml:space="preserve">he </w:t>
      </w:r>
      <w:r>
        <w:rPr>
          <w:szCs w:val="24"/>
        </w:rPr>
        <w:t>PUCO</w:t>
      </w:r>
      <w:r w:rsidRPr="00D44EF2">
        <w:rPr>
          <w:szCs w:val="24"/>
        </w:rPr>
        <w:t xml:space="preserve"> reasoned that </w:t>
      </w:r>
      <w:r>
        <w:rPr>
          <w:szCs w:val="24"/>
        </w:rPr>
        <w:t xml:space="preserve">an effective </w:t>
      </w:r>
      <w:r w:rsidRPr="00D44EF2">
        <w:rPr>
          <w:szCs w:val="24"/>
        </w:rPr>
        <w:t xml:space="preserve">vegetation management </w:t>
      </w:r>
      <w:r>
        <w:rPr>
          <w:szCs w:val="24"/>
        </w:rPr>
        <w:t xml:space="preserve">program funded </w:t>
      </w:r>
      <w:r w:rsidR="00A74C15">
        <w:rPr>
          <w:szCs w:val="24"/>
        </w:rPr>
        <w:t xml:space="preserve">by customers with additional </w:t>
      </w:r>
      <w:r>
        <w:rPr>
          <w:szCs w:val="24"/>
        </w:rPr>
        <w:t xml:space="preserve">dollars </w:t>
      </w:r>
      <w:r w:rsidR="00A74C15">
        <w:rPr>
          <w:szCs w:val="24"/>
        </w:rPr>
        <w:t xml:space="preserve">(above those already collected from customers through base distribution rates) </w:t>
      </w:r>
      <w:r w:rsidRPr="00D44EF2">
        <w:rPr>
          <w:szCs w:val="24"/>
        </w:rPr>
        <w:t>would have a significant impact on customer reliability.</w:t>
      </w:r>
      <w:r>
        <w:rPr>
          <w:rStyle w:val="FootnoteReference"/>
          <w:szCs w:val="24"/>
        </w:rPr>
        <w:footnoteReference w:id="9"/>
      </w:r>
      <w:r w:rsidRPr="00D44EF2">
        <w:rPr>
          <w:szCs w:val="24"/>
        </w:rPr>
        <w:t xml:space="preserve">  </w:t>
      </w:r>
    </w:p>
    <w:p w:rsidR="00E261DF" w:rsidP="002F7CFC">
      <w:pPr>
        <w:spacing w:line="480" w:lineRule="auto"/>
        <w:ind w:firstLine="720"/>
        <w:rPr>
          <w:szCs w:val="24"/>
        </w:rPr>
      </w:pPr>
      <w:r>
        <w:rPr>
          <w:szCs w:val="24"/>
        </w:rPr>
        <w:t>Under</w:t>
      </w:r>
      <w:r w:rsidRPr="00D44EF2">
        <w:rPr>
          <w:szCs w:val="24"/>
        </w:rPr>
        <w:t xml:space="preserve"> Ohio Adm. Code 4901:1-10-27 (E), AEP Ohio filed a revised vegetation management program </w:t>
      </w:r>
      <w:r>
        <w:rPr>
          <w:szCs w:val="24"/>
        </w:rPr>
        <w:t xml:space="preserve">in 2012 </w:t>
      </w:r>
      <w:r w:rsidRPr="00D44EF2">
        <w:rPr>
          <w:szCs w:val="24"/>
        </w:rPr>
        <w:t>that was approved by the PUCO</w:t>
      </w:r>
      <w:r>
        <w:rPr>
          <w:szCs w:val="24"/>
        </w:rPr>
        <w:t>,</w:t>
      </w:r>
      <w:r w:rsidRPr="00D44EF2">
        <w:rPr>
          <w:szCs w:val="24"/>
        </w:rPr>
        <w:t xml:space="preserve"> affirming its </w:t>
      </w:r>
      <w:r>
        <w:rPr>
          <w:szCs w:val="24"/>
        </w:rPr>
        <w:t>commitment</w:t>
      </w:r>
      <w:r w:rsidRPr="00D44EF2">
        <w:rPr>
          <w:szCs w:val="24"/>
        </w:rPr>
        <w:t xml:space="preserve"> to perform a four-year cycle-based tree trimming program.</w:t>
      </w:r>
      <w:r>
        <w:rPr>
          <w:rStyle w:val="FootnoteReference"/>
          <w:szCs w:val="24"/>
        </w:rPr>
        <w:footnoteReference w:id="10"/>
      </w:r>
      <w:r w:rsidRPr="00D44EF2">
        <w:rPr>
          <w:szCs w:val="24"/>
        </w:rPr>
        <w:t xml:space="preserve">  </w:t>
      </w:r>
      <w:r>
        <w:rPr>
          <w:szCs w:val="24"/>
        </w:rPr>
        <w:t xml:space="preserve">Table 1 also shows the vast amount of money that AEP Ohio has spent </w:t>
      </w:r>
      <w:r w:rsidR="002F7CFC">
        <w:rPr>
          <w:szCs w:val="24"/>
        </w:rPr>
        <w:t xml:space="preserve">(and customers have paid) </w:t>
      </w:r>
      <w:r>
        <w:rPr>
          <w:szCs w:val="24"/>
        </w:rPr>
        <w:t>since 2012 on</w:t>
      </w:r>
      <w:r w:rsidR="002F7CFC">
        <w:rPr>
          <w:szCs w:val="24"/>
        </w:rPr>
        <w:t xml:space="preserve"> vegetation management through </w:t>
      </w:r>
      <w:r>
        <w:rPr>
          <w:szCs w:val="24"/>
        </w:rPr>
        <w:t xml:space="preserve"> the </w:t>
      </w:r>
      <w:r>
        <w:rPr>
          <w:szCs w:val="24"/>
        </w:rPr>
        <w:br w:type="page"/>
        <w:t>ESRR</w:t>
      </w:r>
      <w:r>
        <w:rPr>
          <w:szCs w:val="24"/>
        </w:rPr>
        <w:t>, and yet two thirds of the time has not meet the four</w:t>
      </w:r>
      <w:r w:rsidR="005C6ED8">
        <w:rPr>
          <w:szCs w:val="24"/>
        </w:rPr>
        <w:t>-</w:t>
      </w:r>
      <w:r>
        <w:rPr>
          <w:szCs w:val="24"/>
        </w:rPr>
        <w:t>year cycle</w:t>
      </w:r>
      <w:r w:rsidR="005C6ED8">
        <w:rPr>
          <w:szCs w:val="24"/>
        </w:rPr>
        <w:t>-based standards.</w:t>
      </w:r>
    </w:p>
    <w:p w:rsidR="005E2783" w:rsidP="00C85860">
      <w:pPr>
        <w:spacing w:line="480" w:lineRule="auto"/>
        <w:ind w:firstLine="720"/>
        <w:rPr>
          <w:szCs w:val="24"/>
        </w:rPr>
      </w:pPr>
      <w:r>
        <w:rPr>
          <w:szCs w:val="24"/>
        </w:rPr>
        <w:t xml:space="preserve">Table 1: </w:t>
      </w:r>
      <w:r>
        <w:rPr>
          <w:szCs w:val="24"/>
        </w:rPr>
        <w:t xml:space="preserve">Summary of </w:t>
      </w:r>
      <w:r w:rsidR="00E261DF">
        <w:rPr>
          <w:szCs w:val="24"/>
        </w:rPr>
        <w:t xml:space="preserve">Customer funding of vegetation management, through the </w:t>
      </w:r>
      <w:r>
        <w:rPr>
          <w:szCs w:val="24"/>
        </w:rPr>
        <w:t>ESRR (2012 – 2017)</w:t>
      </w:r>
      <w:r w:rsidR="000322E5">
        <w:rPr>
          <w:szCs w:val="24"/>
        </w:rPr>
        <w:t>.</w:t>
      </w:r>
      <w:r>
        <w:rPr>
          <w:szCs w:val="24"/>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330"/>
        <w:gridCol w:w="1951"/>
        <w:gridCol w:w="4431"/>
      </w:tblGrid>
      <w:tr w:rsidTr="00FF7A8A">
        <w:tblPrEx>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Year</w:t>
            </w:r>
          </w:p>
        </w:tc>
        <w:tc>
          <w:tcPr>
            <w:tcW w:w="1981" w:type="dxa"/>
            <w:shd w:val="clear" w:color="auto" w:fill="auto"/>
          </w:tcPr>
          <w:p w:rsidR="005E2783" w:rsidRPr="00FF7A8A" w:rsidP="00FF7A8A">
            <w:pPr>
              <w:rPr>
                <w:rStyle w:val="DefaultParagraphFont"/>
                <w:sz w:val="24"/>
                <w:szCs w:val="24"/>
                <w:lang w:val="en-US" w:eastAsia="en-US" w:bidi="ar-SA"/>
              </w:rPr>
            </w:pPr>
            <w:r>
              <w:rPr>
                <w:sz w:val="24"/>
                <w:szCs w:val="24"/>
                <w:lang w:val="en-US" w:eastAsia="en-US" w:bidi="ar-SA"/>
              </w:rPr>
              <w:t>Additional</w:t>
            </w:r>
            <w:r w:rsidRPr="00FF7A8A">
              <w:rPr>
                <w:sz w:val="24"/>
                <w:szCs w:val="24"/>
                <w:lang w:val="en-US" w:eastAsia="en-US" w:bidi="ar-SA"/>
              </w:rPr>
              <w:t xml:space="preserve"> ESRR Revenue</w:t>
            </w:r>
            <w:r>
              <w:rPr>
                <w:sz w:val="24"/>
                <w:szCs w:val="24"/>
                <w:lang w:val="en-US" w:eastAsia="en-US" w:bidi="ar-SA"/>
              </w:rPr>
              <w:t xml:space="preserve">s Collected from customers beyond </w:t>
            </w:r>
            <w:r w:rsidR="002F7CFC">
              <w:rPr>
                <w:sz w:val="24"/>
                <w:szCs w:val="24"/>
                <w:lang w:val="en-US" w:eastAsia="en-US" w:bidi="ar-SA"/>
              </w:rPr>
              <w:t xml:space="preserve">$24.2 million in </w:t>
            </w:r>
            <w:r>
              <w:rPr>
                <w:sz w:val="24"/>
                <w:szCs w:val="24"/>
                <w:lang w:val="en-US" w:eastAsia="en-US" w:bidi="ar-SA"/>
              </w:rPr>
              <w:t>base rates</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 xml:space="preserve">Compliance with Four-Year Cycle-Based Tree-trimming Program  </w:t>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2012</w:t>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$31,264,456</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No</w:t>
            </w:r>
            <w:r>
              <w:rPr>
                <w:rStyle w:val="FootnoteReference"/>
                <w:szCs w:val="24"/>
              </w:rPr>
              <w:footnoteReference w:id="11"/>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2013</w:t>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$41,421,831</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Yes</w:t>
            </w:r>
            <w:r>
              <w:rPr>
                <w:rStyle w:val="FootnoteReference"/>
                <w:szCs w:val="24"/>
              </w:rPr>
              <w:footnoteReference w:id="12"/>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2014</w:t>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$38,694,207</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Yes</w:t>
            </w:r>
            <w:r>
              <w:rPr>
                <w:rStyle w:val="FootnoteReference"/>
                <w:szCs w:val="24"/>
              </w:rPr>
              <w:footnoteReference w:id="13"/>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2015</w:t>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$29,708,883</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No</w:t>
            </w:r>
            <w:r>
              <w:rPr>
                <w:rStyle w:val="FootnoteReference"/>
                <w:szCs w:val="24"/>
              </w:rPr>
              <w:footnoteReference w:id="14"/>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2016</w:t>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$33,379,649</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No</w:t>
            </w:r>
            <w:r>
              <w:rPr>
                <w:rStyle w:val="FootnoteReference"/>
                <w:szCs w:val="24"/>
              </w:rPr>
              <w:footnoteReference w:id="15"/>
            </w:r>
          </w:p>
        </w:tc>
      </w:tr>
      <w:tr w:rsidTr="00FF7A8A">
        <w:tblPrEx>
          <w:tblW w:w="0" w:type="auto"/>
          <w:tblInd w:w="918" w:type="dxa"/>
          <w:tblCellMar>
            <w:top w:w="0" w:type="dxa"/>
            <w:left w:w="108" w:type="dxa"/>
            <w:bottom w:w="0" w:type="dxa"/>
            <w:right w:w="108" w:type="dxa"/>
          </w:tblCellMar>
          <w:tblLook w:val="04A0"/>
        </w:tblPrEx>
        <w:tc>
          <w:tcPr>
            <w:tcW w:w="1356"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2017</w:t>
            </w:r>
            <w:r>
              <w:rPr>
                <w:rStyle w:val="FootnoteReference"/>
                <w:szCs w:val="24"/>
              </w:rPr>
              <w:footnoteReference w:id="16"/>
            </w:r>
          </w:p>
        </w:tc>
        <w:tc>
          <w:tcPr>
            <w:tcW w:w="198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$36,731,240</w:t>
            </w:r>
          </w:p>
        </w:tc>
        <w:tc>
          <w:tcPr>
            <w:tcW w:w="4601"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No</w:t>
            </w:r>
            <w:r>
              <w:rPr>
                <w:rStyle w:val="FootnoteReference"/>
                <w:szCs w:val="24"/>
              </w:rPr>
              <w:footnoteReference w:id="17"/>
            </w:r>
          </w:p>
        </w:tc>
      </w:tr>
    </w:tbl>
    <w:p w:rsidR="005E2783" w:rsidP="005E2783">
      <w:pPr>
        <w:rPr>
          <w:szCs w:val="24"/>
        </w:rPr>
      </w:pPr>
      <w:r w:rsidRPr="00D44EF2">
        <w:rPr>
          <w:szCs w:val="24"/>
        </w:rPr>
        <w:t xml:space="preserve">     </w:t>
      </w:r>
    </w:p>
    <w:p w:rsidR="004A39C0" w:rsidP="00C85860">
      <w:pPr>
        <w:spacing w:line="480" w:lineRule="auto"/>
        <w:rPr>
          <w:szCs w:val="24"/>
        </w:rPr>
      </w:pPr>
      <w:r w:rsidRPr="00D44EF2">
        <w:rPr>
          <w:szCs w:val="24"/>
        </w:rPr>
        <w:t xml:space="preserve">Yet as shown in Table 1, despite the additional ESRR funding, AEP Ohio has failed to meet the four-year cycle-based tree-trimming program </w:t>
      </w:r>
      <w:r>
        <w:rPr>
          <w:szCs w:val="24"/>
        </w:rPr>
        <w:t xml:space="preserve">in four of the last six years.  </w:t>
      </w:r>
    </w:p>
    <w:p w:rsidR="005E2783" w:rsidRPr="00D44EF2" w:rsidP="005E2783">
      <w:pPr>
        <w:ind w:left="720"/>
        <w:rPr>
          <w:szCs w:val="24"/>
        </w:rPr>
      </w:pPr>
      <w:r>
        <w:rPr>
          <w:szCs w:val="24"/>
        </w:rPr>
        <w:t xml:space="preserve"> </w:t>
      </w:r>
      <w:r w:rsidRPr="00D44EF2">
        <w:rPr>
          <w:szCs w:val="24"/>
        </w:rPr>
        <w:t xml:space="preserve"> </w:t>
      </w:r>
    </w:p>
    <w:p w:rsidR="005E2783" w:rsidRPr="00FB43B3" w:rsidP="005E2783">
      <w:pPr>
        <w:pStyle w:val="Heading2"/>
      </w:pPr>
      <w:r w:rsidRPr="00FB43B3">
        <w:t xml:space="preserve">Despite the additional money that AEP Ohio is </w:t>
      </w:r>
      <w:r>
        <w:t>charging</w:t>
      </w:r>
      <w:r w:rsidRPr="00FB43B3">
        <w:t xml:space="preserve"> customers </w:t>
      </w:r>
      <w:r w:rsidR="00E261DF">
        <w:t>for vegetation management</w:t>
      </w:r>
      <w:r w:rsidR="004B1806">
        <w:t xml:space="preserve"> </w:t>
      </w:r>
      <w:r>
        <w:t>under</w:t>
      </w:r>
      <w:r w:rsidRPr="00FB43B3">
        <w:t xml:space="preserve"> the ESRR, tree-caused outages are continuing to have a significant negative impact on customers</w:t>
      </w:r>
      <w:r>
        <w:t>’</w:t>
      </w:r>
      <w:r w:rsidRPr="00FB43B3">
        <w:t xml:space="preserve"> reliability.</w:t>
      </w:r>
    </w:p>
    <w:p w:rsidR="005E2783" w:rsidP="005E2783">
      <w:pPr>
        <w:spacing w:line="480" w:lineRule="auto"/>
        <w:ind w:firstLine="720"/>
        <w:rPr>
          <w:szCs w:val="24"/>
        </w:rPr>
      </w:pPr>
      <w:r>
        <w:rPr>
          <w:szCs w:val="24"/>
        </w:rPr>
        <w:t>According to the AEP Ohio PUCO-approved vegetation management plan, AEP Ohio has a responsibility for performing vegetation management for trees inside and outside of the prescribed right of way on a cycle-based four-year program. The vegetation management plan specifically states:</w:t>
      </w:r>
    </w:p>
    <w:p w:rsidR="005E2783" w:rsidP="005E2783">
      <w:pPr>
        <w:ind w:left="1440" w:right="720"/>
        <w:rPr>
          <w:szCs w:val="24"/>
        </w:rPr>
      </w:pPr>
      <w:r>
        <w:rPr>
          <w:szCs w:val="24"/>
        </w:rPr>
        <w:t>AEP Ohio’s work plan consists of removing or pruning trees in and out of the right-of-way, pruning mature trees not in the line but that could be within a 4-year period, mowing overgrown right-of-way with a follow-up herbicide application and removing overhang above multiphase lines.</w:t>
      </w:r>
      <w:r>
        <w:rPr>
          <w:rStyle w:val="FootnoteReference"/>
          <w:szCs w:val="24"/>
        </w:rPr>
        <w:footnoteReference w:id="18"/>
      </w:r>
      <w:r>
        <w:rPr>
          <w:szCs w:val="24"/>
        </w:rPr>
        <w:t xml:space="preserve"> </w:t>
      </w:r>
    </w:p>
    <w:p w:rsidR="005E2783" w:rsidP="005E2783">
      <w:pPr>
        <w:ind w:left="1440" w:right="720"/>
        <w:rPr>
          <w:szCs w:val="24"/>
        </w:rPr>
      </w:pPr>
    </w:p>
    <w:p w:rsidR="005E2783" w:rsidP="005E2783">
      <w:pPr>
        <w:spacing w:line="480" w:lineRule="auto"/>
        <w:ind w:firstLine="720"/>
        <w:rPr>
          <w:szCs w:val="24"/>
        </w:rPr>
      </w:pPr>
      <w:r>
        <w:rPr>
          <w:szCs w:val="24"/>
        </w:rPr>
        <w:t xml:space="preserve">But as shown in Table 2, between 2013 and 2017, tree-caused outages have increased from 4,844 in 2013 to 6,449 in 2017.  The number of customers interrupted as a result of the tree-caused outages increased from 213,615 in 2013 to 313,173 in 2017.  And importantly, the number of minutes that customers did not have electric service because of tree-caused outages increased from 46,441,700 in 2013 to 68,222,667 in 2017.  </w:t>
      </w:r>
    </w:p>
    <w:p w:rsidR="00C006DB">
      <w:pPr>
        <w:rPr>
          <w:szCs w:val="24"/>
        </w:rPr>
      </w:pPr>
      <w:r>
        <w:rPr>
          <w:szCs w:val="24"/>
        </w:rPr>
        <w:br w:type="page"/>
      </w:r>
    </w:p>
    <w:p w:rsidR="005E2783" w:rsidP="005E2783">
      <w:pPr>
        <w:ind w:left="720"/>
        <w:jc w:val="center"/>
        <w:rPr>
          <w:szCs w:val="24"/>
        </w:rPr>
      </w:pPr>
      <w:r>
        <w:rPr>
          <w:szCs w:val="24"/>
        </w:rPr>
        <w:t>Table 2: Tree-caused Outages</w:t>
      </w:r>
      <w:r>
        <w:rPr>
          <w:rStyle w:val="FootnoteReference"/>
          <w:szCs w:val="24"/>
        </w:rPr>
        <w:footnoteReference w:id="19"/>
      </w:r>
      <w:r>
        <w:rPr>
          <w:szCs w:val="24"/>
        </w:rPr>
        <w:t xml:space="preserve"> (2013 – 2017)</w:t>
      </w:r>
    </w:p>
    <w:p w:rsidR="005E2783" w:rsidP="005E2783">
      <w:pPr>
        <w:ind w:left="720"/>
        <w:rPr>
          <w:szCs w:val="24"/>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1330"/>
        <w:gridCol w:w="2083"/>
        <w:gridCol w:w="2170"/>
        <w:gridCol w:w="2152"/>
      </w:tblGrid>
      <w:tr w:rsidTr="00FF7A8A">
        <w:tblPrEx>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1442"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Year</w:t>
            </w:r>
          </w:p>
        </w:tc>
        <w:tc>
          <w:tcPr>
            <w:tcW w:w="2337"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Tree-caused Outages (Inside/ Outside ROW)</w:t>
            </w:r>
          </w:p>
        </w:tc>
        <w:tc>
          <w:tcPr>
            <w:tcW w:w="2338"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Customer Interruptions</w:t>
            </w:r>
          </w:p>
        </w:tc>
        <w:tc>
          <w:tcPr>
            <w:tcW w:w="2338" w:type="dxa"/>
            <w:shd w:val="clear" w:color="auto" w:fill="auto"/>
          </w:tcPr>
          <w:p w:rsidR="005E2783" w:rsidRPr="00FF7A8A" w:rsidP="00FF7A8A">
            <w:pPr>
              <w:rPr>
                <w:rStyle w:val="DefaultParagraphFont"/>
                <w:sz w:val="24"/>
                <w:szCs w:val="24"/>
                <w:lang w:val="en-US" w:eastAsia="en-US" w:bidi="ar-SA"/>
              </w:rPr>
            </w:pPr>
            <w:r w:rsidRPr="00FF7A8A">
              <w:rPr>
                <w:sz w:val="24"/>
                <w:szCs w:val="24"/>
                <w:lang w:val="en-US" w:eastAsia="en-US" w:bidi="ar-SA"/>
              </w:rPr>
              <w:t>Customer Minutes Interruption</w:t>
            </w:r>
          </w:p>
        </w:tc>
      </w:tr>
      <w:tr w:rsidTr="00FF7A8A">
        <w:tblPrEx>
          <w:tblW w:w="0" w:type="auto"/>
          <w:tblInd w:w="895" w:type="dxa"/>
          <w:tblCellMar>
            <w:top w:w="0" w:type="dxa"/>
            <w:left w:w="108" w:type="dxa"/>
            <w:bottom w:w="0" w:type="dxa"/>
            <w:right w:w="108" w:type="dxa"/>
          </w:tblCellMar>
          <w:tblLook w:val="04A0"/>
        </w:tblPrEx>
        <w:tc>
          <w:tcPr>
            <w:tcW w:w="1442"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2013</w:t>
            </w:r>
            <w:r>
              <w:rPr>
                <w:rStyle w:val="FootnoteReference"/>
                <w:szCs w:val="24"/>
              </w:rPr>
              <w:footnoteReference w:id="20"/>
            </w:r>
          </w:p>
        </w:tc>
        <w:tc>
          <w:tcPr>
            <w:tcW w:w="2337"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4,844</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213,615</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46,441,700</w:t>
            </w:r>
          </w:p>
        </w:tc>
      </w:tr>
      <w:tr w:rsidTr="00FF7A8A">
        <w:tblPrEx>
          <w:tblW w:w="0" w:type="auto"/>
          <w:tblInd w:w="895" w:type="dxa"/>
          <w:tblCellMar>
            <w:top w:w="0" w:type="dxa"/>
            <w:left w:w="108" w:type="dxa"/>
            <w:bottom w:w="0" w:type="dxa"/>
            <w:right w:w="108" w:type="dxa"/>
          </w:tblCellMar>
          <w:tblLook w:val="04A0"/>
        </w:tblPrEx>
        <w:tc>
          <w:tcPr>
            <w:tcW w:w="1442"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2014</w:t>
            </w:r>
            <w:r>
              <w:rPr>
                <w:rStyle w:val="FootnoteReference"/>
                <w:szCs w:val="24"/>
              </w:rPr>
              <w:footnoteReference w:id="21"/>
            </w:r>
          </w:p>
        </w:tc>
        <w:tc>
          <w:tcPr>
            <w:tcW w:w="2337"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4,568</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201,016</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46,548,810</w:t>
            </w:r>
          </w:p>
        </w:tc>
      </w:tr>
      <w:tr w:rsidTr="00FF7A8A">
        <w:tblPrEx>
          <w:tblW w:w="0" w:type="auto"/>
          <w:tblInd w:w="895" w:type="dxa"/>
          <w:tblCellMar>
            <w:top w:w="0" w:type="dxa"/>
            <w:left w:w="108" w:type="dxa"/>
            <w:bottom w:w="0" w:type="dxa"/>
            <w:right w:w="108" w:type="dxa"/>
          </w:tblCellMar>
          <w:tblLook w:val="04A0"/>
        </w:tblPrEx>
        <w:tc>
          <w:tcPr>
            <w:tcW w:w="1442"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2015</w:t>
            </w:r>
            <w:r>
              <w:rPr>
                <w:rStyle w:val="FootnoteReference"/>
                <w:szCs w:val="24"/>
              </w:rPr>
              <w:footnoteReference w:id="22"/>
            </w:r>
          </w:p>
        </w:tc>
        <w:tc>
          <w:tcPr>
            <w:tcW w:w="2337"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4,851</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222,811</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45,067,131</w:t>
            </w:r>
          </w:p>
        </w:tc>
      </w:tr>
      <w:tr w:rsidTr="00FF7A8A">
        <w:tblPrEx>
          <w:tblW w:w="0" w:type="auto"/>
          <w:tblInd w:w="895" w:type="dxa"/>
          <w:tblCellMar>
            <w:top w:w="0" w:type="dxa"/>
            <w:left w:w="108" w:type="dxa"/>
            <w:bottom w:w="0" w:type="dxa"/>
            <w:right w:w="108" w:type="dxa"/>
          </w:tblCellMar>
          <w:tblLook w:val="04A0"/>
        </w:tblPrEx>
        <w:tc>
          <w:tcPr>
            <w:tcW w:w="1442"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2016</w:t>
            </w:r>
            <w:r>
              <w:rPr>
                <w:rStyle w:val="FootnoteReference"/>
                <w:szCs w:val="24"/>
              </w:rPr>
              <w:footnoteReference w:id="23"/>
            </w:r>
          </w:p>
        </w:tc>
        <w:tc>
          <w:tcPr>
            <w:tcW w:w="2337"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5,083</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257,540</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51,219,163</w:t>
            </w:r>
          </w:p>
        </w:tc>
      </w:tr>
      <w:tr w:rsidTr="00FF7A8A">
        <w:tblPrEx>
          <w:tblW w:w="0" w:type="auto"/>
          <w:tblInd w:w="895" w:type="dxa"/>
          <w:tblCellMar>
            <w:top w:w="0" w:type="dxa"/>
            <w:left w:w="108" w:type="dxa"/>
            <w:bottom w:w="0" w:type="dxa"/>
            <w:right w:w="108" w:type="dxa"/>
          </w:tblCellMar>
          <w:tblLook w:val="04A0"/>
        </w:tblPrEx>
        <w:tc>
          <w:tcPr>
            <w:tcW w:w="1442"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2017</w:t>
            </w:r>
            <w:r>
              <w:rPr>
                <w:rStyle w:val="FootnoteReference"/>
                <w:szCs w:val="24"/>
              </w:rPr>
              <w:footnoteReference w:id="24"/>
            </w:r>
          </w:p>
        </w:tc>
        <w:tc>
          <w:tcPr>
            <w:tcW w:w="2337"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6,449</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313,173</w:t>
            </w:r>
          </w:p>
        </w:tc>
        <w:tc>
          <w:tcPr>
            <w:tcW w:w="2338" w:type="dxa"/>
            <w:shd w:val="clear" w:color="auto" w:fill="auto"/>
          </w:tcPr>
          <w:p w:rsidR="005E2783" w:rsidRPr="00FF7A8A" w:rsidP="00FF7A8A">
            <w:pPr>
              <w:jc w:val="center"/>
              <w:rPr>
                <w:rStyle w:val="DefaultParagraphFont"/>
                <w:sz w:val="24"/>
                <w:szCs w:val="24"/>
                <w:lang w:val="en-US" w:eastAsia="en-US" w:bidi="ar-SA"/>
              </w:rPr>
            </w:pPr>
            <w:r w:rsidRPr="00FF7A8A">
              <w:rPr>
                <w:sz w:val="24"/>
                <w:szCs w:val="24"/>
                <w:lang w:val="en-US" w:eastAsia="en-US" w:bidi="ar-SA"/>
              </w:rPr>
              <w:t>68,222,667</w:t>
            </w:r>
          </w:p>
        </w:tc>
      </w:tr>
    </w:tbl>
    <w:p w:rsidR="005E2783" w:rsidRPr="00B571DB" w:rsidP="005E2783">
      <w:pPr>
        <w:rPr>
          <w:szCs w:val="24"/>
        </w:rPr>
      </w:pPr>
    </w:p>
    <w:p w:rsidR="005E2783" w:rsidP="005E2783">
      <w:pPr>
        <w:spacing w:line="480" w:lineRule="auto"/>
        <w:ind w:firstLine="720"/>
        <w:rPr>
          <w:szCs w:val="24"/>
        </w:rPr>
      </w:pPr>
      <w:r>
        <w:rPr>
          <w:szCs w:val="24"/>
        </w:rPr>
        <w:t xml:space="preserve">There can be no doubt that the </w:t>
      </w:r>
      <w:r w:rsidR="003B7A97">
        <w:rPr>
          <w:szCs w:val="24"/>
        </w:rPr>
        <w:t xml:space="preserve">additional funding </w:t>
      </w:r>
      <w:r>
        <w:rPr>
          <w:szCs w:val="24"/>
        </w:rPr>
        <w:t xml:space="preserve">customers are paying for </w:t>
      </w:r>
      <w:r w:rsidR="003B7A97">
        <w:rPr>
          <w:szCs w:val="24"/>
        </w:rPr>
        <w:t xml:space="preserve">vegetation management through </w:t>
      </w:r>
      <w:r>
        <w:rPr>
          <w:szCs w:val="24"/>
        </w:rPr>
        <w:t xml:space="preserve">the ESRR </w:t>
      </w:r>
      <w:r w:rsidR="00A11470">
        <w:rPr>
          <w:szCs w:val="24"/>
        </w:rPr>
        <w:t>is</w:t>
      </w:r>
      <w:r>
        <w:rPr>
          <w:szCs w:val="24"/>
        </w:rPr>
        <w:t xml:space="preserve"> </w:t>
      </w:r>
      <w:r w:rsidR="004A39C0">
        <w:rPr>
          <w:szCs w:val="24"/>
        </w:rPr>
        <w:t xml:space="preserve">failing to </w:t>
      </w:r>
      <w:r>
        <w:rPr>
          <w:szCs w:val="24"/>
        </w:rPr>
        <w:t>provid</w:t>
      </w:r>
      <w:r w:rsidR="003B7A97">
        <w:rPr>
          <w:szCs w:val="24"/>
        </w:rPr>
        <w:t>e</w:t>
      </w:r>
      <w:r>
        <w:rPr>
          <w:szCs w:val="24"/>
        </w:rPr>
        <w:t xml:space="preserve"> customers with better reliability.  Customers are </w:t>
      </w:r>
      <w:r w:rsidR="003B7A97">
        <w:rPr>
          <w:szCs w:val="24"/>
        </w:rPr>
        <w:t xml:space="preserve">experiencing </w:t>
      </w:r>
      <w:r>
        <w:rPr>
          <w:szCs w:val="24"/>
        </w:rPr>
        <w:t xml:space="preserve">roughly 25 percent more tree-caused outages today than in 2013.   </w:t>
      </w:r>
    </w:p>
    <w:p w:rsidR="005E2783" w:rsidRPr="00AF6164" w:rsidP="005E2783">
      <w:pPr>
        <w:pStyle w:val="Heading2"/>
      </w:pPr>
      <w:r w:rsidRPr="00AF6164">
        <w:t>The PUCO should schedule an evidentiary hearing to determine if the ESRR should be continued.</w:t>
      </w:r>
    </w:p>
    <w:p w:rsidR="005E2783" w:rsidRPr="000119C7" w:rsidP="005E2783">
      <w:pPr>
        <w:spacing w:line="480" w:lineRule="auto"/>
        <w:ind w:firstLine="720"/>
        <w:rPr>
          <w:szCs w:val="24"/>
        </w:rPr>
      </w:pPr>
      <w:r w:rsidRPr="000119C7">
        <w:rPr>
          <w:szCs w:val="24"/>
        </w:rPr>
        <w:t>Given that AEP</w:t>
      </w:r>
      <w:r w:rsidR="00C85860">
        <w:rPr>
          <w:szCs w:val="24"/>
        </w:rPr>
        <w:t xml:space="preserve"> Ohio’s </w:t>
      </w:r>
      <w:r w:rsidRPr="000119C7">
        <w:rPr>
          <w:szCs w:val="24"/>
        </w:rPr>
        <w:t xml:space="preserve">ESRR is </w:t>
      </w:r>
      <w:r w:rsidR="004A39C0">
        <w:rPr>
          <w:szCs w:val="24"/>
        </w:rPr>
        <w:t xml:space="preserve">not resulting in improved </w:t>
      </w:r>
      <w:r w:rsidRPr="000119C7">
        <w:rPr>
          <w:szCs w:val="24"/>
        </w:rPr>
        <w:t xml:space="preserve">customer reliability, the </w:t>
      </w:r>
      <w:r>
        <w:rPr>
          <w:szCs w:val="24"/>
        </w:rPr>
        <w:t>PUCO</w:t>
      </w:r>
      <w:r w:rsidRPr="000119C7">
        <w:rPr>
          <w:szCs w:val="24"/>
        </w:rPr>
        <w:t xml:space="preserve"> should schedule a hearing to determine if the ESRR should be continued</w:t>
      </w:r>
      <w:r w:rsidR="003B7A97">
        <w:rPr>
          <w:szCs w:val="24"/>
        </w:rPr>
        <w:t>.</w:t>
      </w:r>
      <w:r w:rsidR="00A11470">
        <w:rPr>
          <w:szCs w:val="24"/>
        </w:rPr>
        <w:t xml:space="preserve"> </w:t>
      </w:r>
      <w:r w:rsidRPr="000119C7">
        <w:rPr>
          <w:szCs w:val="24"/>
        </w:rPr>
        <w:t xml:space="preserve"> AEP Ohio has demonstrated an inability or unwillingness to implement the four-year cycle-based vegetation management program that the </w:t>
      </w:r>
      <w:r w:rsidR="003B7A97">
        <w:rPr>
          <w:szCs w:val="24"/>
        </w:rPr>
        <w:t>additional</w:t>
      </w:r>
      <w:r w:rsidRPr="000119C7">
        <w:rPr>
          <w:szCs w:val="24"/>
        </w:rPr>
        <w:t xml:space="preserve"> ESRR funding was </w:t>
      </w:r>
      <w:r w:rsidR="00F27BAC">
        <w:rPr>
          <w:szCs w:val="24"/>
        </w:rPr>
        <w:t xml:space="preserve">designed </w:t>
      </w:r>
      <w:r w:rsidRPr="000119C7">
        <w:rPr>
          <w:szCs w:val="24"/>
        </w:rPr>
        <w:t xml:space="preserve">to achieve.  This </w:t>
      </w:r>
      <w:r w:rsidR="004A39C0">
        <w:rPr>
          <w:szCs w:val="24"/>
        </w:rPr>
        <w:t xml:space="preserve">increased charge to </w:t>
      </w:r>
      <w:r w:rsidRPr="000119C7">
        <w:rPr>
          <w:szCs w:val="24"/>
        </w:rPr>
        <w:t>customer</w:t>
      </w:r>
      <w:r w:rsidR="004A39C0">
        <w:rPr>
          <w:szCs w:val="24"/>
        </w:rPr>
        <w:t>s</w:t>
      </w:r>
      <w:r w:rsidRPr="000119C7">
        <w:rPr>
          <w:szCs w:val="24"/>
        </w:rPr>
        <w:t xml:space="preserve"> has morphed into what can only be described as unjust and unreasonable spending that is not fulfilling its intended purpose.</w:t>
      </w:r>
    </w:p>
    <w:p w:rsidR="005E2783" w:rsidRPr="000119C7" w:rsidP="005E2783">
      <w:pPr>
        <w:spacing w:line="480" w:lineRule="auto"/>
        <w:ind w:firstLine="720"/>
        <w:rPr>
          <w:szCs w:val="24"/>
        </w:rPr>
      </w:pPr>
      <w:r w:rsidRPr="000119C7">
        <w:rPr>
          <w:szCs w:val="24"/>
        </w:rPr>
        <w:t xml:space="preserve">AEP Ohio’s spending on vegetation management </w:t>
      </w:r>
      <w:r w:rsidR="003B7A97">
        <w:rPr>
          <w:szCs w:val="24"/>
        </w:rPr>
        <w:t>should</w:t>
      </w:r>
      <w:r w:rsidRPr="000119C7">
        <w:rPr>
          <w:szCs w:val="24"/>
        </w:rPr>
        <w:t xml:space="preserve"> be reviewed.  In addition to the $24.2 million AEP Ohio is </w:t>
      </w:r>
      <w:r>
        <w:rPr>
          <w:szCs w:val="24"/>
        </w:rPr>
        <w:t>charging</w:t>
      </w:r>
      <w:r w:rsidRPr="000119C7">
        <w:rPr>
          <w:szCs w:val="24"/>
        </w:rPr>
        <w:t xml:space="preserve"> customers in base rates and the $26 million authorized </w:t>
      </w:r>
      <w:r w:rsidR="004A39C0">
        <w:rPr>
          <w:szCs w:val="24"/>
        </w:rPr>
        <w:t xml:space="preserve">(plus additional unauthorized spending) </w:t>
      </w:r>
      <w:r w:rsidRPr="000119C7">
        <w:rPr>
          <w:szCs w:val="24"/>
        </w:rPr>
        <w:t>for the ESRR</w:t>
      </w:r>
      <w:r w:rsidR="001125AB">
        <w:rPr>
          <w:szCs w:val="24"/>
        </w:rPr>
        <w:t xml:space="preserve">, </w:t>
      </w:r>
      <w:r w:rsidRPr="000119C7">
        <w:rPr>
          <w:szCs w:val="24"/>
        </w:rPr>
        <w:t>AEP Ohio is also using the Distribution Investment Rider (“DIR”) as another means to extract more money from customers.  In 2016, AEP Ohio projected spending $4.6 million for “Forestry” as a component in its DIR Work Plan.</w:t>
      </w:r>
      <w:r>
        <w:rPr>
          <w:rStyle w:val="FootnoteReference"/>
          <w:szCs w:val="24"/>
        </w:rPr>
        <w:footnoteReference w:id="25"/>
      </w:r>
      <w:r w:rsidRPr="000119C7">
        <w:rPr>
          <w:szCs w:val="24"/>
        </w:rPr>
        <w:t xml:space="preserve"> </w:t>
      </w:r>
      <w:r w:rsidR="001125AB">
        <w:rPr>
          <w:szCs w:val="24"/>
        </w:rPr>
        <w:t xml:space="preserve">In recent comments regarding the DIR, OCC raised concerns about the potential </w:t>
      </w:r>
      <w:r w:rsidR="009B46D1">
        <w:rPr>
          <w:szCs w:val="24"/>
        </w:rPr>
        <w:t xml:space="preserve">for </w:t>
      </w:r>
      <w:r w:rsidR="001125AB">
        <w:rPr>
          <w:szCs w:val="24"/>
        </w:rPr>
        <w:t xml:space="preserve">double-collection of vegetation management costs </w:t>
      </w:r>
      <w:r w:rsidR="009B46D1">
        <w:rPr>
          <w:szCs w:val="24"/>
        </w:rPr>
        <w:t>between base rates and the ESRR and the DIR riders.</w:t>
      </w:r>
      <w:r>
        <w:rPr>
          <w:rStyle w:val="FootnoteReference"/>
          <w:szCs w:val="24"/>
        </w:rPr>
        <w:footnoteReference w:id="26"/>
      </w:r>
      <w:r w:rsidR="009B46D1">
        <w:rPr>
          <w:szCs w:val="24"/>
        </w:rPr>
        <w:t xml:space="preserve">  </w:t>
      </w:r>
      <w:r w:rsidRPr="000119C7">
        <w:rPr>
          <w:szCs w:val="24"/>
        </w:rPr>
        <w:t xml:space="preserve">Considering all </w:t>
      </w:r>
      <w:r w:rsidR="00A11470">
        <w:rPr>
          <w:szCs w:val="24"/>
        </w:rPr>
        <w:t xml:space="preserve">of </w:t>
      </w:r>
      <w:r w:rsidRPr="000119C7">
        <w:rPr>
          <w:szCs w:val="24"/>
        </w:rPr>
        <w:t>the money AEP Ohio is spending on vegetation management, customers have a right to expect much better reliability</w:t>
      </w:r>
      <w:r w:rsidR="004A39C0">
        <w:rPr>
          <w:szCs w:val="24"/>
        </w:rPr>
        <w:t xml:space="preserve"> than is currently being delivered by AEP Ohio</w:t>
      </w:r>
      <w:r w:rsidRPr="000119C7">
        <w:rPr>
          <w:szCs w:val="24"/>
        </w:rPr>
        <w:t xml:space="preserve">.                  </w:t>
      </w:r>
    </w:p>
    <w:p w:rsidR="005E2783" w:rsidP="005E2783">
      <w:pPr>
        <w:rPr>
          <w:szCs w:val="24"/>
        </w:rPr>
      </w:pPr>
    </w:p>
    <w:p w:rsidR="005E2783" w:rsidRPr="008A2BCE" w:rsidP="005E2783">
      <w:pPr>
        <w:pStyle w:val="Heading1"/>
      </w:pPr>
      <w:r>
        <w:t>IV.</w:t>
      </w:r>
      <w:r>
        <w:tab/>
        <w:t>CONCLUSION</w:t>
      </w:r>
      <w:r w:rsidRPr="008A2BCE">
        <w:t xml:space="preserve">   </w:t>
      </w:r>
    </w:p>
    <w:p w:rsidR="005E2783" w:rsidRPr="00D44EF2" w:rsidP="005E2783">
      <w:pPr>
        <w:spacing w:line="480" w:lineRule="auto"/>
        <w:ind w:firstLine="720"/>
        <w:rPr>
          <w:szCs w:val="24"/>
        </w:rPr>
      </w:pPr>
      <w:r>
        <w:rPr>
          <w:szCs w:val="24"/>
        </w:rPr>
        <w:t xml:space="preserve">AEP Ohio’s ESRR charges are unjust, unreasonable, and unauthorized. </w:t>
      </w:r>
      <w:r w:rsidR="003B7A97">
        <w:rPr>
          <w:szCs w:val="24"/>
        </w:rPr>
        <w:t xml:space="preserve">  AEP</w:t>
      </w:r>
      <w:r>
        <w:rPr>
          <w:szCs w:val="24"/>
        </w:rPr>
        <w:t xml:space="preserve"> has not lived up to its own tree-trimming plan.  The PUCO should not allow this to continue.   </w:t>
      </w:r>
    </w:p>
    <w:p w:rsidR="005E2783" w:rsidRPr="00D44EF2" w:rsidP="005E2783">
      <w:pPr>
        <w:rPr>
          <w:szCs w:val="24"/>
        </w:rPr>
      </w:pPr>
      <w:r w:rsidRPr="00D44EF2">
        <w:rPr>
          <w:szCs w:val="24"/>
        </w:rPr>
        <w:t xml:space="preserve">      </w:t>
      </w:r>
    </w:p>
    <w:p w:rsidR="00FF7A8A">
      <w:pPr>
        <w:tabs>
          <w:tab w:val="left" w:pos="4320"/>
        </w:tabs>
      </w:pPr>
    </w:p>
    <w:p w:rsidR="000322E5">
      <w:pPr>
        <w:rPr>
          <w:szCs w:val="24"/>
        </w:rPr>
      </w:pPr>
      <w:r>
        <w:rPr>
          <w:szCs w:val="24"/>
        </w:rPr>
        <w:br w:type="page"/>
      </w:r>
    </w:p>
    <w:p w:rsidR="00FF7A8A" w:rsidP="00FF7A8A">
      <w:pPr>
        <w:pStyle w:val="BodyTextIndent3"/>
        <w:spacing w:line="240" w:lineRule="auto"/>
        <w:ind w:left="4320" w:firstLine="0"/>
        <w:rPr>
          <w:szCs w:val="24"/>
        </w:rPr>
      </w:pPr>
      <w:r>
        <w:rPr>
          <w:szCs w:val="24"/>
        </w:rPr>
        <w:t>Respectfully submitted,</w:t>
      </w:r>
    </w:p>
    <w:p w:rsidR="00FF7A8A" w:rsidP="00FF7A8A">
      <w:pPr>
        <w:pStyle w:val="BodyTextIndent3"/>
        <w:spacing w:line="240" w:lineRule="auto"/>
        <w:ind w:left="4320" w:firstLine="0"/>
        <w:rPr>
          <w:szCs w:val="24"/>
        </w:rPr>
      </w:pPr>
    </w:p>
    <w:p w:rsidR="00FF7A8A" w:rsidP="00FF7A8A">
      <w:pPr>
        <w:pStyle w:val="Footer"/>
        <w:tabs>
          <w:tab w:val="left" w:pos="4320"/>
          <w:tab w:val="clear" w:pos="8640"/>
        </w:tabs>
        <w:ind w:left="4320"/>
        <w:rPr>
          <w:sz w:val="24"/>
          <w:szCs w:val="24"/>
        </w:rPr>
      </w:pPr>
      <w:r>
        <w:rPr>
          <w:sz w:val="24"/>
          <w:szCs w:val="24"/>
        </w:rPr>
        <w:t>Bruce Weston (0016973)</w:t>
      </w:r>
    </w:p>
    <w:p w:rsidR="00FF7A8A" w:rsidP="00FF7A8A">
      <w:pPr>
        <w:tabs>
          <w:tab w:val="left" w:pos="4320"/>
        </w:tabs>
        <w:ind w:left="4320"/>
        <w:rPr>
          <w:szCs w:val="24"/>
        </w:rPr>
      </w:pPr>
      <w:r>
        <w:rPr>
          <w:szCs w:val="24"/>
        </w:rPr>
        <w:t>Ohio Consumers’ Counsel</w:t>
      </w:r>
    </w:p>
    <w:p w:rsidR="00FF7A8A" w:rsidP="00FF7A8A">
      <w:pPr>
        <w:tabs>
          <w:tab w:val="left" w:pos="4320"/>
        </w:tabs>
        <w:ind w:left="4320"/>
        <w:rPr>
          <w:szCs w:val="24"/>
        </w:rPr>
      </w:pPr>
    </w:p>
    <w:p w:rsidR="00FF7A8A" w:rsidRPr="00EF3C60" w:rsidP="00FF7A8A">
      <w:pPr>
        <w:tabs>
          <w:tab w:val="left" w:pos="4320"/>
        </w:tabs>
      </w:pPr>
      <w:r>
        <w:rPr>
          <w:szCs w:val="24"/>
        </w:rPr>
        <w:tab/>
      </w:r>
      <w:r>
        <w:rPr>
          <w:i/>
          <w:szCs w:val="24"/>
          <w:u w:val="single"/>
        </w:rPr>
        <w:t>/s/ William J. Michael                             </w:t>
      </w:r>
    </w:p>
    <w:p w:rsidR="00FF7A8A" w:rsidP="00FF7A8A">
      <w:pPr>
        <w:tabs>
          <w:tab w:val="left" w:pos="4320"/>
        </w:tabs>
        <w:ind w:left="4320"/>
        <w:rPr>
          <w:szCs w:val="24"/>
        </w:rPr>
      </w:pPr>
      <w:r>
        <w:rPr>
          <w:szCs w:val="24"/>
        </w:rPr>
        <w:t xml:space="preserve">William J. Michael (0070921), </w:t>
      </w:r>
    </w:p>
    <w:p w:rsidR="00FF7A8A" w:rsidP="00FF7A8A">
      <w:pPr>
        <w:tabs>
          <w:tab w:val="left" w:pos="4320"/>
        </w:tabs>
        <w:ind w:left="4320"/>
        <w:rPr>
          <w:szCs w:val="24"/>
        </w:rPr>
      </w:pPr>
      <w:r>
        <w:rPr>
          <w:szCs w:val="24"/>
        </w:rPr>
        <w:t xml:space="preserve">Counsel of Record </w:t>
      </w:r>
    </w:p>
    <w:p w:rsidR="00FF7A8A" w:rsidP="00FF7A8A">
      <w:pPr>
        <w:tabs>
          <w:tab w:val="left" w:pos="4320"/>
        </w:tabs>
        <w:ind w:left="4320"/>
        <w:rPr>
          <w:szCs w:val="24"/>
        </w:rPr>
      </w:pPr>
      <w:r>
        <w:rPr>
          <w:szCs w:val="24"/>
        </w:rPr>
        <w:t>Assistant Consumers’ Counsel</w:t>
      </w:r>
    </w:p>
    <w:p w:rsidR="005E2783" w:rsidP="005E2783">
      <w:pPr>
        <w:ind w:left="4320"/>
        <w:rPr>
          <w:b/>
        </w:rPr>
      </w:pPr>
    </w:p>
    <w:p w:rsidR="00FF7A8A" w:rsidRPr="005E2783" w:rsidP="005E2783">
      <w:pPr>
        <w:ind w:left="4320"/>
        <w:rPr>
          <w:b/>
        </w:rPr>
      </w:pPr>
      <w:r w:rsidRPr="005E2783">
        <w:rPr>
          <w:b/>
        </w:rPr>
        <w:t>Office of the Ohio Consumers’ Counsel</w:t>
      </w:r>
    </w:p>
    <w:p w:rsidR="00FF7A8A" w:rsidRPr="005E2783" w:rsidP="005E2783">
      <w:pPr>
        <w:ind w:left="4320"/>
      </w:pPr>
      <w:r w:rsidRPr="005E2783">
        <w:t>65 East State Street, 7</w:t>
      </w:r>
      <w:r w:rsidRPr="005E2783">
        <w:rPr>
          <w:vertAlign w:val="superscript"/>
        </w:rPr>
        <w:t>th</w:t>
      </w:r>
      <w:r w:rsidRPr="005E2783">
        <w:t xml:space="preserve"> Floor</w:t>
      </w:r>
    </w:p>
    <w:p w:rsidR="00FF7A8A" w:rsidP="005E2783">
      <w:pPr>
        <w:ind w:left="4320"/>
        <w:rPr>
          <w:b/>
        </w:rPr>
      </w:pPr>
      <w:r w:rsidRPr="005E2783">
        <w:t>Columbus, Ohio 43215</w:t>
      </w:r>
    </w:p>
    <w:p w:rsidR="00FF7A8A" w:rsidP="00FF7A8A">
      <w:pPr>
        <w:autoSpaceDE w:val="0"/>
        <w:autoSpaceDN w:val="0"/>
        <w:adjustRightInd w:val="0"/>
        <w:ind w:left="4320"/>
        <w:rPr>
          <w:szCs w:val="24"/>
        </w:rPr>
      </w:pPr>
      <w:r>
        <w:rPr>
          <w:szCs w:val="24"/>
        </w:rPr>
        <w:t>Telephone [Michael direct]: (614) 466-1291</w:t>
      </w:r>
    </w:p>
    <w:p w:rsidR="00FF7A8A" w:rsidP="00FF7A8A">
      <w:pPr>
        <w:autoSpaceDE w:val="0"/>
        <w:autoSpaceDN w:val="0"/>
        <w:adjustRightInd w:val="0"/>
        <w:ind w:left="4320"/>
        <w:rPr>
          <w:szCs w:val="24"/>
        </w:rPr>
      </w:pPr>
      <w:r>
        <w:fldChar w:fldCharType="begin"/>
      </w:r>
      <w:r>
        <w:instrText xml:space="preserve"> HYPERLINK "mailto:William.michael@occ.ohio.gov" </w:instrText>
      </w:r>
      <w:r>
        <w:fldChar w:fldCharType="separate"/>
      </w:r>
      <w:r w:rsidRPr="00F35F86">
        <w:rPr>
          <w:rStyle w:val="Hyperlink"/>
          <w:szCs w:val="24"/>
        </w:rPr>
        <w:t>William.michael@occ.ohio.gov</w:t>
      </w:r>
      <w:r>
        <w:fldChar w:fldCharType="end"/>
      </w:r>
    </w:p>
    <w:p w:rsidR="00FF7A8A" w:rsidP="00FF7A8A">
      <w:pPr>
        <w:ind w:left="4320"/>
        <w:rPr>
          <w:szCs w:val="24"/>
        </w:rPr>
      </w:pPr>
      <w:r>
        <w:rPr>
          <w:szCs w:val="24"/>
        </w:rPr>
        <w:t>(Will accept service via email)</w:t>
      </w:r>
    </w:p>
    <w:p w:rsidR="005E2783" w:rsidP="00FF7A8A">
      <w:pPr>
        <w:rPr>
          <w:szCs w:val="24"/>
        </w:rPr>
      </w:pPr>
      <w:r>
        <w:rPr>
          <w:szCs w:val="24"/>
        </w:rPr>
        <w:tab/>
      </w:r>
      <w:r>
        <w:rPr>
          <w:szCs w:val="24"/>
        </w:rPr>
        <w:tab/>
      </w:r>
      <w:r>
        <w:rPr>
          <w:szCs w:val="24"/>
        </w:rPr>
        <w:tab/>
      </w:r>
      <w:r>
        <w:rPr>
          <w:szCs w:val="24"/>
        </w:rPr>
        <w:tab/>
      </w:r>
    </w:p>
    <w:p w:rsidR="00FF7A8A" w:rsidP="005E2783">
      <w:pPr>
        <w:jc w:val="center"/>
        <w:rPr>
          <w:b/>
          <w:bCs/>
          <w:u w:val="single"/>
        </w:rPr>
      </w:pPr>
      <w:r>
        <w:rPr>
          <w:szCs w:val="24"/>
        </w:rPr>
        <w:br w:type="page"/>
      </w:r>
      <w:r>
        <w:rPr>
          <w:b/>
          <w:bCs/>
          <w:u w:val="single"/>
        </w:rPr>
        <w:t>CERTIFICATE OF SERVICE</w:t>
      </w:r>
    </w:p>
    <w:p w:rsidR="00FF7A8A">
      <w:pPr>
        <w:spacing w:line="480" w:lineRule="atLeast"/>
      </w:pPr>
      <w:r>
        <w:tab/>
        <w:t>I hereby certify that a copy of th</w:t>
      </w:r>
      <w:r w:rsidR="005E2783">
        <w:t xml:space="preserve">ese Comments </w:t>
      </w:r>
      <w:r>
        <w:t xml:space="preserve">was served on the persons stated below </w:t>
      </w:r>
      <w:r w:rsidRPr="00E9763A">
        <w:t>via</w:t>
      </w:r>
      <w:r>
        <w:t xml:space="preserve"> electronic transmission, this </w:t>
      </w:r>
      <w:r w:rsidR="005E2783">
        <w:t>4</w:t>
      </w:r>
      <w:r w:rsidRPr="005E2783" w:rsidR="005E2783">
        <w:rPr>
          <w:vertAlign w:val="superscript"/>
        </w:rPr>
        <w:t>th</w:t>
      </w:r>
      <w:r w:rsidR="005E2783">
        <w:t xml:space="preserve"> </w:t>
      </w:r>
      <w:r>
        <w:t xml:space="preserve">day of </w:t>
      </w:r>
      <w:r w:rsidR="005E2783">
        <w:t>January, 2019</w:t>
      </w:r>
      <w:r>
        <w:t>.</w:t>
      </w:r>
    </w:p>
    <w:p w:rsidR="00FF7A8A">
      <w:pPr>
        <w:spacing w:line="480" w:lineRule="atLeast"/>
      </w:pPr>
    </w:p>
    <w:p w:rsidR="00FF7A8A" w:rsidRPr="00EF3C60" w:rsidP="00FF7A8A">
      <w:pPr>
        <w:tabs>
          <w:tab w:val="left" w:pos="4320"/>
        </w:tabs>
      </w:pPr>
      <w:r>
        <w:rPr>
          <w:szCs w:val="24"/>
        </w:rPr>
        <w:tab/>
      </w:r>
      <w:r>
        <w:rPr>
          <w:i/>
          <w:szCs w:val="24"/>
          <w:u w:val="single"/>
        </w:rPr>
        <w:t>/s/ William J. Michael                             </w:t>
      </w:r>
    </w:p>
    <w:p w:rsidR="00FF7A8A">
      <w:pPr>
        <w:tabs>
          <w:tab w:val="left" w:pos="4320"/>
        </w:tabs>
      </w:pPr>
      <w:r>
        <w:tab/>
        <w:t>William J. Michael</w:t>
      </w:r>
    </w:p>
    <w:p w:rsidR="00FF7A8A">
      <w:pPr>
        <w:tabs>
          <w:tab w:val="left" w:pos="4320"/>
        </w:tabs>
      </w:pPr>
      <w:r>
        <w:tab/>
        <w:t>Assistant Consumers’ Counsel</w:t>
      </w:r>
    </w:p>
    <w:p w:rsidR="00FF7A8A">
      <w:pPr>
        <w:pStyle w:val="CommentSubject"/>
      </w:pPr>
    </w:p>
    <w:p w:rsidR="00FF7A8A">
      <w:pPr>
        <w:pStyle w:val="CommentText"/>
      </w:pPr>
    </w:p>
    <w:p w:rsidR="00FF7A8A">
      <w:pPr>
        <w:pStyle w:val="CommentText"/>
        <w:jc w:val="center"/>
        <w:rPr>
          <w:b/>
          <w:u w:val="single"/>
        </w:rPr>
      </w:pPr>
      <w:r>
        <w:rPr>
          <w:b/>
          <w:u w:val="single"/>
        </w:rPr>
        <w:t>SERVICE LIST</w:t>
      </w:r>
    </w:p>
    <w:p w:rsidR="00FF7A8A">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397"/>
        <w:gridCol w:w="4243"/>
      </w:tblGrid>
      <w:tr w:rsidTr="00FF7A8A">
        <w:tblPrEx>
          <w:tblW w:w="0" w:type="auto"/>
          <w:tblInd w:w="0" w:type="dxa"/>
          <w:tblCellMar>
            <w:top w:w="0" w:type="dxa"/>
            <w:left w:w="108" w:type="dxa"/>
            <w:bottom w:w="0" w:type="dxa"/>
            <w:right w:w="108" w:type="dxa"/>
          </w:tblCellMar>
          <w:tblLook w:val="04A0"/>
        </w:tblPrEx>
        <w:tc>
          <w:tcPr>
            <w:tcW w:w="4428" w:type="dxa"/>
            <w:shd w:val="clear" w:color="auto" w:fill="auto"/>
          </w:tcPr>
          <w:p w:rsidR="00FF7A8A" w:rsidRPr="000B432B" w:rsidP="00FF7A8A">
            <w:pPr>
              <w:pStyle w:val="CommentText"/>
              <w:rPr>
                <w:rStyle w:val="DefaultParagraphFont"/>
                <w:sz w:val="24"/>
                <w:szCs w:val="24"/>
                <w:u w:val="single"/>
                <w:lang w:val="en-US" w:eastAsia="en-US" w:bidi="ar-SA"/>
              </w:rPr>
            </w:pPr>
            <w:r>
              <w:fldChar w:fldCharType="begin"/>
            </w:r>
            <w:r>
              <w:rPr>
                <w:sz w:val="24"/>
                <w:szCs w:val="24"/>
                <w:lang w:val="en-US" w:eastAsia="en-US" w:bidi="ar-SA"/>
              </w:rPr>
              <w:instrText xml:space="preserve"> HYPERLINK "mailto:William.wright@ohioattorneygeneral.gov" </w:instrText>
            </w:r>
            <w:r>
              <w:fldChar w:fldCharType="separate"/>
            </w:r>
            <w:r w:rsidRPr="00C97379">
              <w:rPr>
                <w:rStyle w:val="Hyperlink"/>
                <w:color w:val="0000FF"/>
                <w:sz w:val="24"/>
                <w:szCs w:val="24"/>
                <w:u w:val="single"/>
                <w:lang w:val="en-US" w:eastAsia="en-US" w:bidi="ar-SA"/>
              </w:rPr>
              <w:t>William.wright@ohioattorneygeneral.gov</w:t>
            </w:r>
            <w:r>
              <w:fldChar w:fldCharType="end"/>
            </w:r>
          </w:p>
          <w:p w:rsidR="00FF7A8A" w:rsidRPr="000B432B" w:rsidP="00FF7A8A">
            <w:pPr>
              <w:pStyle w:val="CommentText"/>
              <w:rPr>
                <w:rStyle w:val="DefaultParagraphFont"/>
                <w:sz w:val="24"/>
                <w:szCs w:val="24"/>
                <w:u w:val="single"/>
                <w:lang w:val="en-US" w:eastAsia="en-US" w:bidi="ar-SA"/>
              </w:rPr>
            </w:pPr>
          </w:p>
          <w:p w:rsidR="00FF7A8A" w:rsidP="00FF7A8A">
            <w:pPr>
              <w:pStyle w:val="CommentText"/>
              <w:rPr>
                <w:rStyle w:val="DefaultParagraphFont"/>
                <w:sz w:val="24"/>
                <w:szCs w:val="24"/>
                <w:lang w:val="en-US" w:eastAsia="en-US" w:bidi="ar-SA"/>
              </w:rPr>
            </w:pPr>
            <w:r>
              <w:rPr>
                <w:sz w:val="24"/>
                <w:szCs w:val="24"/>
                <w:lang w:val="en-US" w:eastAsia="en-US" w:bidi="ar-SA"/>
              </w:rPr>
              <w:t>Attorney Examiners:</w:t>
            </w:r>
          </w:p>
          <w:p w:rsidR="00FF7A8A" w:rsidP="00FF7A8A">
            <w:pPr>
              <w:pStyle w:val="CommentText"/>
              <w:rPr>
                <w:rStyle w:val="DefaultParagraphFont"/>
                <w:sz w:val="24"/>
                <w:szCs w:val="24"/>
                <w:lang w:val="en-US" w:eastAsia="en-US" w:bidi="ar-SA"/>
              </w:rPr>
            </w:pPr>
          </w:p>
          <w:p w:rsidR="00FF7A8A" w:rsidP="00FF7A8A">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"mailto:Sarah.parrot@puc.state.oh.us" </w:instrText>
            </w:r>
            <w:r>
              <w:fldChar w:fldCharType="separate"/>
            </w:r>
            <w:r w:rsidRPr="00C97379">
              <w:rPr>
                <w:rStyle w:val="Hyperlink"/>
                <w:color w:val="0000FF"/>
                <w:sz w:val="24"/>
                <w:szCs w:val="24"/>
                <w:u w:val="single"/>
                <w:lang w:val="en-US" w:eastAsia="en-US" w:bidi="ar-SA"/>
              </w:rPr>
              <w:t>Sarah.parrot@puc.state.oh.us</w:t>
            </w:r>
            <w:r>
              <w:fldChar w:fldCharType="end"/>
            </w:r>
          </w:p>
          <w:p w:rsidR="00FF7A8A" w:rsidP="00FF7A8A">
            <w:pPr>
              <w:pStyle w:val="CommentText"/>
              <w:rPr>
                <w:rStyle w:val="DefaultParagraphFont"/>
                <w:sz w:val="24"/>
                <w:szCs w:val="24"/>
                <w:lang w:val="en-US" w:eastAsia="en-US" w:bidi="ar-SA"/>
              </w:rPr>
            </w:pPr>
            <w:r>
              <w:fldChar w:fldCharType="begin"/>
            </w:r>
            <w:r>
              <w:rPr>
                <w:sz w:val="24"/>
                <w:szCs w:val="24"/>
                <w:lang w:val="en-US" w:eastAsia="en-US" w:bidi="ar-SA"/>
              </w:rPr>
              <w:instrText xml:space="preserve"> HYPERLINK "mailto:Great.see@puc.state.oh.us" </w:instrText>
            </w:r>
            <w:r>
              <w:fldChar w:fldCharType="separate"/>
            </w:r>
            <w:r w:rsidRPr="00C97379">
              <w:rPr>
                <w:rStyle w:val="Hyperlink"/>
                <w:color w:val="0000FF"/>
                <w:sz w:val="24"/>
                <w:szCs w:val="24"/>
                <w:u w:val="single"/>
                <w:lang w:val="en-US" w:eastAsia="en-US" w:bidi="ar-SA"/>
              </w:rPr>
              <w:t>Gre</w:t>
            </w:r>
            <w:r>
              <w:rPr>
                <w:rStyle w:val="Hyperlink"/>
                <w:color w:val="0000FF"/>
                <w:sz w:val="24"/>
                <w:szCs w:val="24"/>
                <w:u w:val="single"/>
                <w:lang w:val="en-US" w:eastAsia="en-US" w:bidi="ar-SA"/>
              </w:rPr>
              <w:t>ta</w:t>
            </w:r>
            <w:r w:rsidRPr="00C97379">
              <w:rPr>
                <w:rStyle w:val="Hyperlink"/>
                <w:color w:val="0000FF"/>
                <w:sz w:val="24"/>
                <w:szCs w:val="24"/>
                <w:u w:val="single"/>
                <w:lang w:val="en-US" w:eastAsia="en-US" w:bidi="ar-SA"/>
              </w:rPr>
              <w:t>.see@puc.state.oh.us</w:t>
            </w:r>
            <w:r>
              <w:fldChar w:fldCharType="end"/>
            </w:r>
          </w:p>
          <w:p w:rsidR="00FF7A8A" w:rsidRPr="00424354" w:rsidP="00FF7A8A">
            <w:pPr>
              <w:pStyle w:val="CommentText"/>
              <w:rPr>
                <w:rStyle w:val="DefaultParagraphFont"/>
                <w:sz w:val="24"/>
                <w:szCs w:val="24"/>
                <w:lang w:val="en-US" w:eastAsia="en-US" w:bidi="ar-SA"/>
              </w:rPr>
            </w:pPr>
          </w:p>
          <w:p w:rsidR="00FF7A8A" w:rsidRPr="000B432B" w:rsidP="00FF7A8A">
            <w:pPr>
              <w:pStyle w:val="CommentText"/>
              <w:rPr>
                <w:rStyle w:val="DefaultParagraphFont"/>
                <w:sz w:val="24"/>
                <w:szCs w:val="24"/>
                <w:u w:val="single"/>
                <w:lang w:val="en-US" w:eastAsia="en-US" w:bidi="ar-SA"/>
              </w:rPr>
            </w:pPr>
          </w:p>
        </w:tc>
        <w:tc>
          <w:tcPr>
            <w:tcW w:w="4428" w:type="dxa"/>
            <w:shd w:val="clear" w:color="auto" w:fill="auto"/>
          </w:tcPr>
          <w:p w:rsidR="00FF7A8A" w:rsidP="00FF7A8A">
            <w:pPr>
              <w:pStyle w:val="CommentText"/>
              <w:ind w:left="1338"/>
              <w:rPr>
                <w:rStyle w:val="DefaultParagraphFont"/>
                <w:sz w:val="24"/>
                <w:szCs w:val="24"/>
                <w:lang w:val="en-US" w:eastAsia="en-US" w:bidi="ar-SA"/>
              </w:rPr>
            </w:pPr>
            <w:r>
              <w:fldChar w:fldCharType="begin"/>
            </w:r>
            <w:r>
              <w:rPr>
                <w:sz w:val="24"/>
                <w:szCs w:val="24"/>
                <w:lang w:val="en-US" w:eastAsia="en-US" w:bidi="ar-SA"/>
              </w:rPr>
              <w:instrText xml:space="preserve"> HYPERLINK "mailto:stnourse@aep.com" </w:instrText>
            </w:r>
            <w:r>
              <w:fldChar w:fldCharType="separate"/>
            </w:r>
            <w:r w:rsidRPr="00C97379">
              <w:rPr>
                <w:rStyle w:val="Hyperlink"/>
                <w:color w:val="0000FF"/>
                <w:sz w:val="24"/>
                <w:szCs w:val="24"/>
                <w:u w:val="single"/>
                <w:lang w:val="en-US" w:eastAsia="en-US" w:bidi="ar-SA"/>
              </w:rPr>
              <w:t>stnourse@aep.com</w:t>
            </w:r>
            <w:r>
              <w:fldChar w:fldCharType="end"/>
            </w:r>
          </w:p>
          <w:p w:rsidR="00FF7A8A" w:rsidRPr="00424354" w:rsidP="00FF7A8A">
            <w:pPr>
              <w:pStyle w:val="CommentText"/>
              <w:rPr>
                <w:rStyle w:val="DefaultParagraphFont"/>
                <w:sz w:val="24"/>
                <w:szCs w:val="24"/>
                <w:lang w:val="en-US" w:eastAsia="en-US" w:bidi="ar-SA"/>
              </w:rPr>
            </w:pPr>
          </w:p>
        </w:tc>
      </w:tr>
    </w:tbl>
    <w:p w:rsidR="00FF7A8A">
      <w:pPr>
        <w:pStyle w:val="CommentText"/>
        <w:jc w:val="center"/>
        <w:rPr>
          <w:b/>
          <w:u w:val="single"/>
        </w:rPr>
      </w:pPr>
    </w:p>
    <w:p w:rsidR="00FF7A8A">
      <w:pPr>
        <w:pStyle w:val="BodyText"/>
        <w:rPr>
          <w:b/>
          <w:bCs/>
        </w:rPr>
      </w:pPr>
    </w:p>
    <w:tbl>
      <w:tblPr>
        <w:tblW w:w="0" w:type="auto"/>
        <w:tblInd w:w="0" w:type="dxa"/>
        <w:tblCellMar>
          <w:top w:w="0" w:type="dxa"/>
          <w:left w:w="108" w:type="dxa"/>
          <w:bottom w:w="0" w:type="dxa"/>
          <w:right w:w="108" w:type="dxa"/>
        </w:tblCellMar>
        <w:tblLook w:val="01E0"/>
      </w:tblPr>
      <w:tblGrid>
        <w:gridCol w:w="4320"/>
        <w:gridCol w:w="4320"/>
      </w:tblGrid>
      <w:tr w:rsidTr="00FF7A8A">
        <w:tblPrEx>
          <w:tblW w:w="0" w:type="auto"/>
          <w:tblInd w:w="0" w:type="dxa"/>
          <w:tblCellMar>
            <w:top w:w="0" w:type="dxa"/>
            <w:left w:w="108" w:type="dxa"/>
            <w:bottom w:w="0" w:type="dxa"/>
            <w:right w:w="108" w:type="dxa"/>
          </w:tblCellMar>
          <w:tblLook w:val="01E0"/>
        </w:tblPrEx>
        <w:tc>
          <w:tcPr>
            <w:tcW w:w="4428" w:type="dxa"/>
            <w:shd w:val="clear" w:color="auto" w:fill="auto"/>
          </w:tcPr>
          <w:p w:rsidR="00FF7A8A" w:rsidRPr="00A044B5" w:rsidP="00FF7A8A">
            <w:pPr>
              <w:autoSpaceDE w:val="0"/>
              <w:autoSpaceDN w:val="0"/>
              <w:adjustRightInd w:val="0"/>
              <w:rPr>
                <w:rStyle w:val="DefaultParagraphFont"/>
                <w:bCs/>
                <w:sz w:val="24"/>
                <w:lang w:val="en-US" w:eastAsia="en-US" w:bidi="ar-SA"/>
              </w:rPr>
            </w:pPr>
          </w:p>
        </w:tc>
        <w:tc>
          <w:tcPr>
            <w:tcW w:w="4428" w:type="dxa"/>
            <w:shd w:val="clear" w:color="auto" w:fill="auto"/>
          </w:tcPr>
          <w:p w:rsidR="00FF7A8A" w:rsidRPr="00A044B5">
            <w:pPr>
              <w:pStyle w:val="BodyText"/>
              <w:jc w:val="both"/>
              <w:rPr>
                <w:rStyle w:val="DefaultParagraphFont"/>
                <w:bCs/>
                <w:sz w:val="24"/>
                <w:lang w:val="en-US" w:eastAsia="en-US" w:bidi="ar-SA"/>
              </w:rPr>
            </w:pPr>
          </w:p>
        </w:tc>
      </w:tr>
      <w:tr w:rsidTr="00FF7A8A">
        <w:tblPrEx>
          <w:tblW w:w="0" w:type="auto"/>
          <w:tblInd w:w="0" w:type="dxa"/>
          <w:tblCellMar>
            <w:top w:w="0" w:type="dxa"/>
            <w:left w:w="108" w:type="dxa"/>
            <w:bottom w:w="0" w:type="dxa"/>
            <w:right w:w="108" w:type="dxa"/>
          </w:tblCellMar>
          <w:tblLook w:val="01E0"/>
        </w:tblPrEx>
        <w:tc>
          <w:tcPr>
            <w:tcW w:w="4428" w:type="dxa"/>
            <w:shd w:val="clear" w:color="auto" w:fill="auto"/>
          </w:tcPr>
          <w:p w:rsidR="00FF7A8A" w:rsidRPr="00A044B5">
            <w:pPr>
              <w:rPr>
                <w:rStyle w:val="DefaultParagraphFont"/>
                <w:sz w:val="24"/>
                <w:szCs w:val="24"/>
                <w:lang w:val="en-US" w:eastAsia="en-US" w:bidi="ar-SA"/>
              </w:rPr>
            </w:pPr>
          </w:p>
        </w:tc>
        <w:tc>
          <w:tcPr>
            <w:tcW w:w="4428" w:type="dxa"/>
            <w:shd w:val="clear" w:color="auto" w:fill="auto"/>
          </w:tcPr>
          <w:p w:rsidR="00FF7A8A" w:rsidRPr="00A044B5">
            <w:pPr>
              <w:rPr>
                <w:rStyle w:val="DefaultParagraphFont"/>
                <w:bCs/>
                <w:sz w:val="24"/>
                <w:lang w:val="en-US" w:eastAsia="en-US" w:bidi="ar-SA"/>
              </w:rPr>
            </w:pPr>
          </w:p>
        </w:tc>
      </w:tr>
    </w:tbl>
    <w:p w:rsidR="00FF7A8A">
      <w:pPr>
        <w:pStyle w:val="BodyText"/>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8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7A8A">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FF7A8A">
    <w:pPr>
      <w:pStyle w:val="Footer"/>
      <w:framePr w:wrap="around" w:vAnchor="text" w:hAnchor="margin" w:xAlign="center" w:y="1"/>
      <w:rPr>
        <w:rStyle w:val="PageNumber"/>
      </w:rPr>
    </w:pPr>
  </w:p>
  <w:p w:rsidR="00FF7A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8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667D">
      <w:r>
        <w:separator/>
      </w:r>
    </w:p>
  </w:footnote>
  <w:footnote w:type="continuationSeparator" w:id="1">
    <w:p w:rsidR="00C7667D">
      <w:r>
        <w:continuationSeparator/>
      </w:r>
    </w:p>
  </w:footnote>
  <w:footnote w:id="2">
    <w:p w:rsidR="00E26D39" w:rsidRPr="000322E5" w:rsidP="000322E5">
      <w:pPr>
        <w:pStyle w:val="FootnoteText"/>
      </w:pPr>
      <w:r w:rsidRPr="000322E5">
        <w:rPr>
          <w:rStyle w:val="FootnoteReference"/>
        </w:rPr>
        <w:footnoteRef/>
      </w:r>
      <w:r w:rsidRPr="000322E5">
        <w:t xml:space="preserve"> Ohio Power Company Tariff, P.U.C.O. No. 20, 14</w:t>
      </w:r>
      <w:r w:rsidRPr="000322E5">
        <w:rPr>
          <w:vertAlign w:val="superscript"/>
        </w:rPr>
        <w:t>th</w:t>
      </w:r>
      <w:r w:rsidRPr="000322E5">
        <w:t xml:space="preserve"> Revised Sheet No. 104-1.</w:t>
      </w:r>
    </w:p>
  </w:footnote>
  <w:footnote w:id="3">
    <w:p w:rsidR="00327E3C" w:rsidRPr="000322E5" w:rsidP="000322E5">
      <w:pPr>
        <w:pStyle w:val="FootnoteText"/>
      </w:pPr>
      <w:r w:rsidRPr="000322E5">
        <w:rPr>
          <w:rStyle w:val="FootnoteReference"/>
        </w:rPr>
        <w:footnoteRef/>
      </w:r>
      <w:r w:rsidRPr="000322E5">
        <w:t xml:space="preserve"> </w:t>
      </w:r>
      <w:r w:rsidRPr="000322E5" w:rsidR="00E26D39">
        <w:t xml:space="preserve">Ohio Power Company 2017 Annual Report, FERC Form 1, (2017/Q4 at page 304). </w:t>
      </w:r>
    </w:p>
  </w:footnote>
  <w:footnote w:id="4">
    <w:p w:rsidR="005E2783" w:rsidRPr="000322E5" w:rsidP="000322E5">
      <w:pPr>
        <w:pStyle w:val="FootnoteText"/>
      </w:pPr>
      <w:r w:rsidRPr="000322E5">
        <w:rPr>
          <w:rStyle w:val="FootnoteReference"/>
        </w:rPr>
        <w:footnoteRef/>
      </w:r>
      <w:r w:rsidRPr="000322E5">
        <w:t xml:space="preserve"> </w:t>
      </w:r>
      <w:bookmarkStart w:id="1" w:name="_Hlk533758942"/>
      <w:r w:rsidRPr="000322E5">
        <w:rPr>
          <w:i/>
        </w:rPr>
        <w:t>In the Matter of the Application of Ohio Power Company for Approval of its Electric Security Plan; and an Amendment to its Corporate Separation Plan.</w:t>
      </w:r>
      <w:r w:rsidRPr="000322E5">
        <w:t>, Case No. 08-918-EL-SSO, Opinion and Order (March 18, 2009) at 33.</w:t>
      </w:r>
    </w:p>
  </w:footnote>
  <w:footnote w:id="5">
    <w:p w:rsidR="005E2783" w:rsidRPr="000322E5" w:rsidP="000322E5">
      <w:pPr>
        <w:pStyle w:val="FootnoteText"/>
      </w:pPr>
      <w:bookmarkEnd w:id="1"/>
      <w:r w:rsidRPr="000322E5">
        <w:rPr>
          <w:rStyle w:val="FootnoteReference"/>
        </w:rPr>
        <w:footnoteRef/>
      </w:r>
      <w:r w:rsidRPr="000322E5">
        <w:t xml:space="preserve"> </w:t>
      </w:r>
      <w:r w:rsidRPr="000322E5">
        <w:rPr>
          <w:i/>
        </w:rPr>
        <w:t>In the Matter of the Application of Ohio Power Company for Approval of its Electric Security Plan</w:t>
      </w:r>
      <w:r w:rsidRPr="000322E5">
        <w:t>, Case No. 11-346-EL-SSO et al., Opinion and Order (August 8, 2012) at 64.</w:t>
      </w:r>
    </w:p>
  </w:footnote>
  <w:footnote w:id="6">
    <w:p w:rsidR="005E2783" w:rsidRPr="000322E5" w:rsidP="000322E5">
      <w:pPr>
        <w:pStyle w:val="FootnoteText"/>
      </w:pPr>
      <w:r w:rsidRPr="000322E5">
        <w:rPr>
          <w:rStyle w:val="FootnoteReference"/>
        </w:rPr>
        <w:footnoteRef/>
      </w:r>
      <w:r w:rsidRPr="000322E5">
        <w:t xml:space="preserve"> </w:t>
      </w:r>
      <w:r w:rsidRPr="000322E5">
        <w:rPr>
          <w:i/>
        </w:rPr>
        <w:t>In the Matter of the Application of Ohio Power Company for Approval of its Electric Security Plan</w:t>
      </w:r>
      <w:r w:rsidRPr="000322E5">
        <w:t>, Case No. 13-2385-EL-SSO et al, Opinion and Order (February 25, 2015) at 47.</w:t>
      </w:r>
    </w:p>
    <w:p w:rsidR="005E2783" w:rsidRPr="000322E5" w:rsidP="000322E5">
      <w:pPr>
        <w:pStyle w:val="FootnoteText"/>
      </w:pPr>
    </w:p>
  </w:footnote>
  <w:footnote w:id="7">
    <w:p w:rsidR="005E2783" w:rsidRPr="000322E5" w:rsidP="000322E5">
      <w:pPr>
        <w:pStyle w:val="FootnoteText"/>
      </w:pPr>
      <w:r w:rsidRPr="000322E5">
        <w:rPr>
          <w:rStyle w:val="FootnoteReference"/>
        </w:rPr>
        <w:footnoteRef/>
      </w:r>
      <w:r w:rsidRPr="000322E5">
        <w:t xml:space="preserve"> </w:t>
      </w:r>
      <w:r w:rsidRPr="000322E5">
        <w:rPr>
          <w:i/>
        </w:rPr>
        <w:t>In the Matter of the Application of Ohio Power Company for Approval of its Electric Security Plan</w:t>
      </w:r>
      <w:r w:rsidRPr="000322E5">
        <w:t>, Case No. 16-1852-EL-SSO et al, Opinion and Order (April 25, 2018) at 90.</w:t>
      </w:r>
    </w:p>
  </w:footnote>
  <w:footnote w:id="8">
    <w:p w:rsidR="005E2783" w:rsidRPr="000322E5" w:rsidP="000322E5">
      <w:pPr>
        <w:pStyle w:val="FootnoteText"/>
      </w:pPr>
      <w:r w:rsidRPr="000322E5">
        <w:rPr>
          <w:rStyle w:val="FootnoteReference"/>
        </w:rPr>
        <w:footnoteRef/>
      </w:r>
      <w:r w:rsidRPr="000322E5">
        <w:t xml:space="preserve"> Case 13-2385-EL-SSO Opinion and Order (February 25, 2015) at 48.</w:t>
      </w:r>
    </w:p>
  </w:footnote>
  <w:footnote w:id="9">
    <w:p w:rsidR="004A39C0" w:rsidRPr="000322E5" w:rsidP="000322E5">
      <w:pPr>
        <w:autoSpaceDE w:val="0"/>
        <w:autoSpaceDN w:val="0"/>
        <w:adjustRightInd w:val="0"/>
        <w:spacing w:after="120"/>
        <w:rPr>
          <w:sz w:val="20"/>
        </w:rPr>
      </w:pPr>
      <w:r w:rsidRPr="000322E5">
        <w:rPr>
          <w:rStyle w:val="FootnoteReference"/>
          <w:sz w:val="20"/>
        </w:rPr>
        <w:footnoteRef/>
      </w:r>
      <w:r w:rsidR="00C006DB">
        <w:rPr>
          <w:i/>
          <w:sz w:val="20"/>
        </w:rPr>
        <w:t xml:space="preserve"> </w:t>
      </w:r>
      <w:r w:rsidRPr="000322E5" w:rsidR="005C6ED8">
        <w:rPr>
          <w:i/>
          <w:sz w:val="20"/>
        </w:rPr>
        <w:t>In the Matter of the Application of Ohio Power Company for Approval of its Electric Security Plan; and an Amendment to its Corporate Separation Plan</w:t>
      </w:r>
      <w:r w:rsidRPr="000322E5" w:rsidR="005C6ED8">
        <w:rPr>
          <w:sz w:val="20"/>
        </w:rPr>
        <w:t>, Opinion and Order (March 18, 2009 at 33).</w:t>
      </w:r>
    </w:p>
  </w:footnote>
  <w:footnote w:id="10">
    <w:p w:rsidR="005E2783" w:rsidRPr="000322E5" w:rsidP="000322E5">
      <w:pPr>
        <w:pStyle w:val="FootnoteText"/>
      </w:pPr>
      <w:r w:rsidRPr="000322E5">
        <w:rPr>
          <w:rStyle w:val="FootnoteReference"/>
        </w:rPr>
        <w:footnoteRef/>
      </w:r>
      <w:r w:rsidRPr="000322E5">
        <w:t xml:space="preserve"> </w:t>
      </w:r>
      <w:r w:rsidRPr="000322E5">
        <w:rPr>
          <w:i/>
        </w:rPr>
        <w:t>In the Matter of the Commission’s Review of the Ohio Power Company’s Revised Vegetation Management Program Resulting from Commission Case No. 11-346-EL-SSO et al.</w:t>
      </w:r>
      <w:r w:rsidRPr="000322E5">
        <w:t xml:space="preserve"> Case No. 12-3320-EL-ESS, Ohio Power Company’s Commission Requested Revised Vegetation Management Program (December 28, 2012). </w:t>
      </w:r>
    </w:p>
  </w:footnote>
  <w:footnote w:id="11">
    <w:p w:rsidR="005E2783" w:rsidRPr="000322E5" w:rsidP="000322E5">
      <w:pPr>
        <w:pStyle w:val="FootnoteText"/>
      </w:pPr>
      <w:r w:rsidRPr="000322E5">
        <w:rPr>
          <w:rStyle w:val="FootnoteReference"/>
        </w:rPr>
        <w:footnoteRef/>
      </w:r>
      <w:r w:rsidRPr="000322E5">
        <w:t xml:space="preserve"> </w:t>
      </w:r>
      <w:bookmarkStart w:id="2" w:name="_Hlk533772852"/>
      <w:r w:rsidRPr="000322E5">
        <w:rPr>
          <w:i/>
        </w:rPr>
        <w:t>In the matter of the Annual Report of the Electric Service and Safety Standards, Pursuant to Rule 4901:1-10-26(B) of the Ohio Administrative Code</w:t>
      </w:r>
      <w:bookmarkEnd w:id="2"/>
      <w:r w:rsidRPr="000322E5">
        <w:rPr>
          <w:i/>
        </w:rPr>
        <w:t>. C</w:t>
      </w:r>
      <w:r w:rsidRPr="000322E5">
        <w:t>ase 13-996-EL-ESS, System Improvement Plan (March 31, 2013) at 114.</w:t>
      </w:r>
    </w:p>
  </w:footnote>
  <w:footnote w:id="12">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the Electric Service and Safety Standards, Pursuant to Rule 4901:1-10-26(B) of the Ohio Administrative Code., </w:t>
      </w:r>
      <w:r w:rsidRPr="000322E5">
        <w:t>Case 14-996-EL-ESS, System Improvement Plan (March 31, 2014) at 66.</w:t>
      </w:r>
    </w:p>
  </w:footnote>
  <w:footnote w:id="13">
    <w:p w:rsidR="005E2783" w:rsidRPr="000322E5" w:rsidP="000322E5">
      <w:pPr>
        <w:pStyle w:val="FootnoteText"/>
      </w:pPr>
      <w:r w:rsidRPr="000322E5">
        <w:rPr>
          <w:rStyle w:val="FootnoteReference"/>
        </w:rPr>
        <w:footnoteRef/>
      </w:r>
      <w:r w:rsidRPr="000322E5">
        <w:t xml:space="preserve"> </w:t>
      </w:r>
      <w:r w:rsidRPr="000322E5">
        <w:rPr>
          <w:i/>
        </w:rPr>
        <w:t>In the matter of the Annual Report of the Electric Service and Safety Standards, Pursuant to Rule 4901:1-10-26(B) of the Ohio Administrative Code</w:t>
      </w:r>
      <w:r w:rsidRPr="000322E5">
        <w:t>., Case 15-996-EL-ESS, System Improvement Plan (March 31, 2015) at 48.</w:t>
      </w:r>
    </w:p>
  </w:footnote>
  <w:footnote w:id="14">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the Electric Service and Safety Standards, Pursuant to Rule 4901:1-10-26(B) of the Ohio Administrative Code., </w:t>
      </w:r>
      <w:r w:rsidRPr="000322E5">
        <w:t>Case 16-996-EL-ESS, System Improvement Plan (March 31, 2016) at 107.</w:t>
      </w:r>
    </w:p>
  </w:footnote>
  <w:footnote w:id="15">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the Electric Service and Safety Standards, Pursuant to Rule 4901:1-10-26(B) of the Ohio Administrative Code., </w:t>
      </w:r>
      <w:r w:rsidRPr="000322E5">
        <w:t>Case 17-996-EL-ESS, System Improvement Plan (March 31, 2017) at 10b:2.</w:t>
      </w:r>
    </w:p>
  </w:footnote>
  <w:footnote w:id="16">
    <w:p w:rsidR="004B1806" w:rsidRPr="000322E5" w:rsidP="000322E5">
      <w:pPr>
        <w:autoSpaceDE w:val="0"/>
        <w:autoSpaceDN w:val="0"/>
        <w:adjustRightInd w:val="0"/>
        <w:spacing w:after="120"/>
        <w:rPr>
          <w:sz w:val="20"/>
        </w:rPr>
      </w:pPr>
      <w:r w:rsidRPr="000322E5">
        <w:rPr>
          <w:rStyle w:val="FootnoteReference"/>
          <w:sz w:val="20"/>
        </w:rPr>
        <w:footnoteRef/>
      </w:r>
      <w:r w:rsidRPr="000322E5" w:rsidR="000322E5">
        <w:rPr>
          <w:bCs/>
          <w:i/>
          <w:sz w:val="20"/>
        </w:rPr>
        <w:t xml:space="preserve"> </w:t>
      </w:r>
      <w:r w:rsidRPr="000322E5">
        <w:rPr>
          <w:bCs/>
          <w:i/>
          <w:sz w:val="20"/>
        </w:rPr>
        <w:t>In the Matter of the Application of Ohio Power Company to Update Its Enhanced Service Reliability Rider</w:t>
      </w:r>
      <w:r w:rsidRPr="000322E5">
        <w:rPr>
          <w:bCs/>
          <w:sz w:val="20"/>
        </w:rPr>
        <w:t xml:space="preserve">, </w:t>
      </w:r>
      <w:r w:rsidRPr="000322E5">
        <w:rPr>
          <w:sz w:val="20"/>
        </w:rPr>
        <w:t xml:space="preserve">Case 18-1371-EL-RDR, Application, </w:t>
      </w:r>
      <w:r w:rsidRPr="000322E5">
        <w:rPr>
          <w:sz w:val="20"/>
        </w:rPr>
        <w:t xml:space="preserve">(August 31, 2018 at </w:t>
      </w:r>
      <w:r w:rsidRPr="000322E5">
        <w:rPr>
          <w:sz w:val="20"/>
        </w:rPr>
        <w:t>Schedule 1</w:t>
      </w:r>
      <w:r w:rsidRPr="000322E5">
        <w:rPr>
          <w:sz w:val="20"/>
        </w:rPr>
        <w:t>)</w:t>
      </w:r>
      <w:r w:rsidRPr="000322E5">
        <w:rPr>
          <w:sz w:val="20"/>
        </w:rPr>
        <w:t>.</w:t>
      </w:r>
    </w:p>
  </w:footnote>
  <w:footnote w:id="17">
    <w:p w:rsidR="005E2783" w:rsidRPr="000322E5" w:rsidP="000322E5">
      <w:pPr>
        <w:pStyle w:val="FootnoteText"/>
      </w:pPr>
      <w:r w:rsidRPr="000322E5">
        <w:rPr>
          <w:rStyle w:val="FootnoteReference"/>
        </w:rPr>
        <w:footnoteRef/>
      </w:r>
      <w:r w:rsidRPr="000322E5" w:rsidR="000322E5">
        <w:rPr>
          <w:i/>
        </w:rPr>
        <w:t xml:space="preserve"> </w:t>
      </w:r>
      <w:r w:rsidRPr="000322E5">
        <w:rPr>
          <w:i/>
        </w:rPr>
        <w:t>In the matter of the Annual Report of the Electric Service and Safety Standards, Pursuant to Rule 4901:1-10-26(B) of the Ohio Administrative Code,</w:t>
      </w:r>
      <w:r w:rsidRPr="000322E5">
        <w:t xml:space="preserve"> Case 18-996-EL-ESS, System Improvement Plan (March 31, 2018) at 107.</w:t>
      </w:r>
    </w:p>
  </w:footnote>
  <w:footnote w:id="18">
    <w:p w:rsidR="005E2783" w:rsidRPr="000322E5" w:rsidP="000322E5">
      <w:pPr>
        <w:pStyle w:val="FootnoteText"/>
      </w:pPr>
      <w:r w:rsidRPr="000322E5">
        <w:rPr>
          <w:rStyle w:val="FootnoteReference"/>
        </w:rPr>
        <w:footnoteRef/>
      </w:r>
      <w:r w:rsidRPr="000322E5">
        <w:t xml:space="preserve"> </w:t>
      </w:r>
      <w:r w:rsidRPr="000322E5">
        <w:rPr>
          <w:i/>
        </w:rPr>
        <w:t>In the Matter of the Commission’s Review of the Ohio Power Company’s Revised Vegetation Management Program Resulting from Commission Case No. 11-346-EL-SSO et al., Case No. 12-3320-EL-ESS, Ohio Power Company’s Commission Requested Revised Vegetation Management Program</w:t>
      </w:r>
      <w:r w:rsidRPr="000322E5">
        <w:t xml:space="preserve">, (December 28, 2012), Attachment F page 3.  </w:t>
      </w:r>
    </w:p>
  </w:footnote>
  <w:footnote w:id="19">
    <w:p w:rsidR="005E2783" w:rsidRPr="000322E5" w:rsidP="000322E5">
      <w:pPr>
        <w:pStyle w:val="FootnoteText"/>
      </w:pPr>
      <w:r w:rsidRPr="000322E5">
        <w:rPr>
          <w:rStyle w:val="FootnoteReference"/>
        </w:rPr>
        <w:footnoteRef/>
      </w:r>
      <w:r w:rsidRPr="000322E5">
        <w:t xml:space="preserve"> </w:t>
      </w:r>
      <w:r w:rsidRPr="000322E5" w:rsidR="009B46D1">
        <w:t>Ohio Adm. Code 4901:1-10(C)(3)(a), e</w:t>
      </w:r>
      <w:r w:rsidRPr="000322E5">
        <w:t>xcluding major events and transmission outages.</w:t>
      </w:r>
    </w:p>
  </w:footnote>
  <w:footnote w:id="20">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Electric Distribution System Reliability Pursuant to Rule 4901:1-10-10(C), </w:t>
      </w:r>
      <w:r w:rsidRPr="000322E5">
        <w:t>Case 14-517-EL-ESS (March 31, 2014).</w:t>
      </w:r>
    </w:p>
  </w:footnote>
  <w:footnote w:id="21">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Electric Distribution System Reliability Pursuant to Rule 4901:1-10-10(C), </w:t>
      </w:r>
      <w:r w:rsidRPr="000322E5">
        <w:t>Case 15-627-EL-ESS (March 31, 2015).</w:t>
      </w:r>
    </w:p>
  </w:footnote>
  <w:footnote w:id="22">
    <w:p w:rsidR="005E2783" w:rsidRPr="000322E5" w:rsidP="000322E5">
      <w:pPr>
        <w:pStyle w:val="FootnoteText"/>
      </w:pPr>
      <w:r w:rsidRPr="000322E5">
        <w:rPr>
          <w:rStyle w:val="FootnoteReference"/>
        </w:rPr>
        <w:footnoteRef/>
      </w:r>
      <w:r w:rsidRPr="000322E5">
        <w:t xml:space="preserve"> </w:t>
      </w:r>
      <w:r w:rsidRPr="000322E5">
        <w:rPr>
          <w:i/>
        </w:rPr>
        <w:t xml:space="preserve">In the Matter of the Annual Report of Electric Distribution System Reliability Pursuant to Rule 4901:1-10-10(C), </w:t>
      </w:r>
      <w:r w:rsidRPr="000322E5">
        <w:t>Case 16-550-EL-ESS (March 31, 2016).</w:t>
      </w:r>
    </w:p>
  </w:footnote>
  <w:footnote w:id="23">
    <w:p w:rsidR="005E2783" w:rsidRPr="000322E5" w:rsidP="000322E5">
      <w:pPr>
        <w:pStyle w:val="FootnoteText"/>
      </w:pPr>
      <w:r w:rsidRPr="000322E5">
        <w:rPr>
          <w:rStyle w:val="FootnoteReference"/>
        </w:rPr>
        <w:footnoteRef/>
      </w:r>
      <w:r w:rsidRPr="000322E5" w:rsidR="000322E5">
        <w:rPr>
          <w:i/>
        </w:rPr>
        <w:t xml:space="preserve"> </w:t>
      </w:r>
      <w:r w:rsidRPr="000322E5">
        <w:rPr>
          <w:i/>
        </w:rPr>
        <w:t xml:space="preserve">In the Matter of the Annual Report of Electric Distribution System Reliability Pursuant to Rule 4901:1-10-10(C), Case 17-890-EL-ESS </w:t>
      </w:r>
      <w:r w:rsidRPr="000322E5">
        <w:t>(March 31, 2017).</w:t>
      </w:r>
    </w:p>
  </w:footnote>
  <w:footnote w:id="24">
    <w:p w:rsidR="005E2783" w:rsidRPr="000322E5" w:rsidP="000322E5">
      <w:pPr>
        <w:pStyle w:val="FootnoteText"/>
        <w:rPr>
          <w:i/>
        </w:rPr>
      </w:pPr>
      <w:r w:rsidRPr="000322E5">
        <w:rPr>
          <w:rStyle w:val="FootnoteReference"/>
        </w:rPr>
        <w:footnoteRef/>
      </w:r>
      <w:r w:rsidRPr="000322E5">
        <w:t xml:space="preserve"> </w:t>
      </w:r>
      <w:r w:rsidRPr="000322E5">
        <w:rPr>
          <w:i/>
        </w:rPr>
        <w:t xml:space="preserve">In the Matter of the Annual Report of Electric Distribution System Reliability Pursuant to Rule 4901:1-10-10(C), </w:t>
      </w:r>
      <w:r w:rsidRPr="000322E5">
        <w:t>Case 18-992-EL-ESS (March 29, 2018).</w:t>
      </w:r>
    </w:p>
  </w:footnote>
  <w:footnote w:id="25">
    <w:p w:rsidR="005E2783" w:rsidRPr="000322E5" w:rsidP="000322E5">
      <w:pPr>
        <w:autoSpaceDE w:val="0"/>
        <w:autoSpaceDN w:val="0"/>
        <w:adjustRightInd w:val="0"/>
        <w:spacing w:after="120"/>
        <w:rPr>
          <w:i/>
          <w:sz w:val="20"/>
        </w:rPr>
      </w:pPr>
      <w:r w:rsidRPr="000322E5">
        <w:rPr>
          <w:rStyle w:val="FootnoteReference"/>
          <w:sz w:val="20"/>
        </w:rPr>
        <w:footnoteRef/>
      </w:r>
      <w:r w:rsidRPr="000322E5">
        <w:rPr>
          <w:sz w:val="20"/>
        </w:rPr>
        <w:t xml:space="preserve"> </w:t>
      </w:r>
      <w:r w:rsidRPr="000322E5">
        <w:rPr>
          <w:bCs/>
          <w:i/>
          <w:sz w:val="20"/>
        </w:rPr>
        <w:t xml:space="preserve">In the Matter of the Commission’s Review of the Ohio Power Company’s Distribution Investment Rider Work Plan for 2016, </w:t>
      </w:r>
      <w:r w:rsidRPr="000322E5">
        <w:rPr>
          <w:bCs/>
          <w:sz w:val="20"/>
        </w:rPr>
        <w:t>Case 16-024-EL-UNC, Notice (January 8, 2016).</w:t>
      </w:r>
    </w:p>
  </w:footnote>
  <w:footnote w:id="26">
    <w:p w:rsidR="009B46D1" w:rsidRPr="000322E5" w:rsidP="000322E5">
      <w:pPr>
        <w:autoSpaceDE w:val="0"/>
        <w:autoSpaceDN w:val="0"/>
        <w:adjustRightInd w:val="0"/>
        <w:spacing w:after="120"/>
        <w:rPr>
          <w:sz w:val="20"/>
        </w:rPr>
      </w:pPr>
      <w:r w:rsidRPr="000322E5">
        <w:rPr>
          <w:rStyle w:val="FootnoteReference"/>
          <w:sz w:val="20"/>
        </w:rPr>
        <w:footnoteRef/>
      </w:r>
      <w:r w:rsidRPr="000322E5">
        <w:rPr>
          <w:sz w:val="20"/>
        </w:rPr>
        <w:t xml:space="preserve"> </w:t>
      </w:r>
      <w:r w:rsidRPr="000322E5">
        <w:rPr>
          <w:i/>
          <w:sz w:val="20"/>
        </w:rPr>
        <w:t>In the Matter of the 2016 Review of the Distribution Investment Rider Contained in the Tariff of Ohio Power Company, et al,</w:t>
      </w:r>
      <w:r w:rsidRPr="000322E5">
        <w:rPr>
          <w:sz w:val="20"/>
        </w:rPr>
        <w:t xml:space="preserve"> Case 17-0038-EL-RDR, (October 26, 2018, at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36FB000A"/>
    <w:multiLevelType w:val="hybridMultilevel"/>
    <w:tmpl w:val="9894D54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1E5635"/>
    <w:multiLevelType w:val="hybridMultilevel"/>
    <w:tmpl w:val="F2124F6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5121ED3"/>
    <w:multiLevelType w:val="hybridMultilevel"/>
    <w:tmpl w:val="5E7C411A"/>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2C"/>
    <w:rPr>
      <w:sz w:val="24"/>
    </w:rPr>
  </w:style>
  <w:style w:type="paragraph" w:styleId="Heading1">
    <w:name w:val="heading 1"/>
    <w:basedOn w:val="Normal"/>
    <w:next w:val="Normal"/>
    <w:autoRedefine/>
    <w:qFormat/>
    <w:rsid w:val="005E2783"/>
    <w:pPr>
      <w:keepNext/>
      <w:spacing w:after="240"/>
      <w:outlineLvl w:val="0"/>
    </w:pPr>
    <w:rPr>
      <w:b/>
      <w:caps/>
      <w:szCs w:val="24"/>
    </w:rPr>
  </w:style>
  <w:style w:type="paragraph" w:styleId="Heading2">
    <w:name w:val="heading 2"/>
    <w:basedOn w:val="Normal"/>
    <w:next w:val="Normal"/>
    <w:autoRedefine/>
    <w:qFormat/>
    <w:rsid w:val="005E2783"/>
    <w:pPr>
      <w:keepNext/>
      <w:numPr>
        <w:numId w:val="9"/>
      </w:numPr>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uiPriority w:val="99"/>
    <w:rsid w:val="00250E2C"/>
    <w:pPr>
      <w:spacing w:after="120"/>
    </w:pPr>
    <w:rPr>
      <w:sz w:val="20"/>
    </w:rPr>
  </w:style>
  <w:style w:type="character" w:styleId="FootnoteReference">
    <w:name w:val="footnote reference"/>
    <w:uiPriority w:val="99"/>
    <w:semiHidden/>
    <w:rPr>
      <w:vertAlign w:val="superscript"/>
    </w:rPr>
  </w:style>
  <w:style w:type="paragraph" w:styleId="BodyTextIndent">
    <w:name w:val="Body Text Indent"/>
    <w:basedOn w:val="Normal"/>
    <w:link w:val="BodyTextIndentChar"/>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FootnoteTextChar">
    <w:name w:val="Footnote Text Char"/>
    <w:link w:val="FootnoteText"/>
    <w:uiPriority w:val="99"/>
    <w:locked/>
    <w:rsid w:val="00250E2C"/>
  </w:style>
  <w:style w:type="character" w:customStyle="1" w:styleId="UnresolvedMention">
    <w:name w:val="Unresolved Mention"/>
    <w:uiPriority w:val="99"/>
    <w:semiHidden/>
    <w:unhideWhenUsed/>
    <w:rsid w:val="00424354"/>
    <w:rPr>
      <w:color w:val="605E5C"/>
      <w:shd w:val="clear" w:color="auto" w:fill="E1DFDD"/>
    </w:rPr>
  </w:style>
  <w:style w:type="character" w:customStyle="1" w:styleId="BodyTextChar">
    <w:name w:val="Body Text Char"/>
    <w:link w:val="BodyText"/>
    <w:rsid w:val="00250E2C"/>
    <w:rPr>
      <w:sz w:val="24"/>
    </w:rPr>
  </w:style>
  <w:style w:type="character" w:customStyle="1" w:styleId="BodyTextIndentChar">
    <w:name w:val="Body Text Indent Char"/>
    <w:link w:val="BodyTextIndent"/>
    <w:rsid w:val="00250E2C"/>
    <w:rPr>
      <w:sz w:val="24"/>
    </w:rPr>
  </w:style>
  <w:style w:type="paragraph" w:styleId="ListParagraph">
    <w:name w:val="List Paragraph"/>
    <w:basedOn w:val="Normal"/>
    <w:uiPriority w:val="34"/>
    <w:qFormat/>
    <w:rsid w:val="005E278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AEP 17-1914 Comments.doc</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2019-01-04T16:09:24Z</dcterms:created>
  <dcterms:modified xsi:type="dcterms:W3CDTF">2019-01-04T16:09:24Z</dcterms:modified>
</cp:coreProperties>
</file>