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2C" w:rsidRDefault="00EA6E2C">
      <w:pPr>
        <w:widowControl/>
        <w:tabs>
          <w:tab w:val="center" w:pos="4680"/>
        </w:tabs>
        <w:spacing w:line="320" w:lineRule="exact"/>
        <w:jc w:val="center"/>
        <w:rPr>
          <w:rFonts w:ascii="Palatino Linotype" w:hAnsi="Palatino Linotype"/>
          <w:b/>
          <w:bCs/>
          <w:spacing w:val="-12"/>
        </w:rPr>
      </w:pPr>
      <w:bookmarkStart w:id="0" w:name="_GoBack"/>
      <w:bookmarkEnd w:id="0"/>
      <w:r>
        <w:rPr>
          <w:rFonts w:ascii="Palatino Linotype" w:hAnsi="Palatino Linotype"/>
          <w:b/>
          <w:bCs/>
          <w:spacing w:val="-12"/>
        </w:rPr>
        <w:t>BEFORE</w:t>
      </w:r>
    </w:p>
    <w:p w:rsidR="00EA6E2C" w:rsidRDefault="00EA6E2C">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THE PUBLIC UTILITIES COMMISSION OF OHIO</w:t>
      </w:r>
    </w:p>
    <w:p w:rsidR="00EA6E2C" w:rsidRDefault="00EA6E2C">
      <w:pPr>
        <w:widowControl/>
        <w:spacing w:line="320" w:lineRule="exact"/>
        <w:jc w:val="both"/>
        <w:rPr>
          <w:rFonts w:ascii="Palatino Linotype" w:hAnsi="Palatino Linotype"/>
          <w:b/>
          <w:bCs/>
          <w:spacing w:val="-12"/>
        </w:rPr>
      </w:pPr>
    </w:p>
    <w:p w:rsidR="00EA6E2C" w:rsidRDefault="00EA6E2C">
      <w:pPr>
        <w:widowControl/>
        <w:spacing w:line="320" w:lineRule="exact"/>
        <w:jc w:val="both"/>
        <w:rPr>
          <w:rFonts w:ascii="Palatino Linotype" w:hAnsi="Palatino Linotype"/>
          <w:b/>
          <w:bCs/>
        </w:rPr>
        <w:sectPr w:rsidR="00EA6E2C">
          <w:pgSz w:w="12240" w:h="15840"/>
          <w:pgMar w:top="1440" w:right="1800" w:bottom="1440" w:left="1800" w:header="1440" w:footer="1440" w:gutter="0"/>
          <w:cols w:space="720"/>
          <w:noEndnote/>
        </w:sectPr>
      </w:pPr>
    </w:p>
    <w:tbl>
      <w:tblPr>
        <w:tblW w:w="9360" w:type="dxa"/>
        <w:tblLayout w:type="fixed"/>
        <w:tblCellMar>
          <w:left w:w="0" w:type="dxa"/>
          <w:right w:w="0" w:type="dxa"/>
        </w:tblCellMar>
        <w:tblLook w:val="0000"/>
      </w:tblPr>
      <w:tblGrid>
        <w:gridCol w:w="4230"/>
        <w:gridCol w:w="90"/>
        <w:gridCol w:w="270"/>
        <w:gridCol w:w="90"/>
        <w:gridCol w:w="4680"/>
      </w:tblGrid>
      <w:tr w:rsidR="00EA6E2C">
        <w:tc>
          <w:tcPr>
            <w:tcW w:w="4230" w:type="dxa"/>
            <w:tcBorders>
              <w:top w:val="nil"/>
              <w:left w:val="nil"/>
              <w:bottom w:val="nil"/>
              <w:right w:val="nil"/>
            </w:tcBorders>
          </w:tcPr>
          <w:p w:rsidR="00EA6E2C" w:rsidRDefault="00EA6E2C">
            <w:pPr>
              <w:keepLines/>
              <w:widowControl/>
              <w:spacing w:line="320" w:lineRule="exact"/>
              <w:jc w:val="both"/>
              <w:rPr>
                <w:rFonts w:ascii="Palatino Linotype" w:hAnsi="Palatino Linotype"/>
              </w:rPr>
            </w:pPr>
            <w:r>
              <w:rPr>
                <w:rFonts w:ascii="Palatino Linotype" w:hAnsi="Palatino Linotype"/>
              </w:rPr>
              <w:t>In the Matter of the Application of C</w:t>
            </w:r>
            <w:r>
              <w:rPr>
                <w:rFonts w:ascii="Palatino Linotype" w:hAnsi="Palatino Linotype"/>
              </w:rPr>
              <w:t>o</w:t>
            </w:r>
            <w:r>
              <w:rPr>
                <w:rFonts w:ascii="Palatino Linotype" w:hAnsi="Palatino Linotype"/>
              </w:rPr>
              <w:t>lumbia Gas of Ohio, Inc. for Approval of an Alternative Form of Regulation.</w:t>
            </w:r>
          </w:p>
        </w:tc>
        <w:tc>
          <w:tcPr>
            <w:tcW w:w="90" w:type="dxa"/>
            <w:tcBorders>
              <w:top w:val="nil"/>
              <w:left w:val="nil"/>
              <w:bottom w:val="nil"/>
              <w:right w:val="nil"/>
            </w:tcBorders>
          </w:tcPr>
          <w:p w:rsidR="00EA6E2C" w:rsidRDefault="00EA6E2C">
            <w:pPr>
              <w:spacing w:line="320" w:lineRule="exact"/>
              <w:rPr>
                <w:rFonts w:ascii="Palatino Linotype" w:hAnsi="Palatino Linotype"/>
              </w:rPr>
            </w:pPr>
          </w:p>
        </w:tc>
        <w:tc>
          <w:tcPr>
            <w:tcW w:w="270" w:type="dxa"/>
            <w:tcBorders>
              <w:top w:val="nil"/>
              <w:left w:val="nil"/>
              <w:bottom w:val="nil"/>
              <w:right w:val="nil"/>
            </w:tcBorders>
          </w:tcPr>
          <w:p w:rsidR="00EA6E2C" w:rsidRDefault="00EA6E2C">
            <w:pPr>
              <w:widowControl/>
              <w:spacing w:line="320" w:lineRule="exact"/>
              <w:jc w:val="both"/>
              <w:rPr>
                <w:rFonts w:ascii="Palatino Linotype" w:hAnsi="Palatino Linotype"/>
              </w:rPr>
            </w:pPr>
            <w:r>
              <w:rPr>
                <w:rFonts w:ascii="Palatino Linotype" w:hAnsi="Palatino Linotype"/>
              </w:rPr>
              <w:t>)</w:t>
            </w:r>
          </w:p>
          <w:p w:rsidR="00EA6E2C" w:rsidRDefault="00EA6E2C">
            <w:pPr>
              <w:widowControl/>
              <w:spacing w:line="320" w:lineRule="exact"/>
              <w:jc w:val="both"/>
              <w:rPr>
                <w:rFonts w:ascii="Palatino Linotype" w:hAnsi="Palatino Linotype"/>
              </w:rPr>
            </w:pPr>
            <w:r>
              <w:rPr>
                <w:rFonts w:ascii="Palatino Linotype" w:hAnsi="Palatino Linotype"/>
              </w:rPr>
              <w:t>)</w:t>
            </w:r>
          </w:p>
          <w:p w:rsidR="00EA6E2C" w:rsidRDefault="00EA6E2C">
            <w:pPr>
              <w:widowControl/>
              <w:spacing w:line="320" w:lineRule="exact"/>
              <w:jc w:val="both"/>
              <w:rPr>
                <w:rFonts w:ascii="Palatino Linotype" w:hAnsi="Palatino Linotype"/>
              </w:rPr>
            </w:pPr>
            <w:r>
              <w:rPr>
                <w:rFonts w:ascii="Palatino Linotype" w:hAnsi="Palatino Linotype"/>
              </w:rPr>
              <w:t>)</w:t>
            </w:r>
          </w:p>
        </w:tc>
        <w:tc>
          <w:tcPr>
            <w:tcW w:w="90" w:type="dxa"/>
            <w:tcBorders>
              <w:top w:val="nil"/>
              <w:left w:val="nil"/>
              <w:bottom w:val="nil"/>
              <w:right w:val="nil"/>
            </w:tcBorders>
          </w:tcPr>
          <w:p w:rsidR="00EA6E2C" w:rsidRDefault="00EA6E2C">
            <w:pPr>
              <w:spacing w:line="320" w:lineRule="exact"/>
              <w:rPr>
                <w:rFonts w:ascii="Palatino Linotype" w:hAnsi="Palatino Linotype"/>
              </w:rPr>
            </w:pPr>
          </w:p>
        </w:tc>
        <w:tc>
          <w:tcPr>
            <w:tcW w:w="4680" w:type="dxa"/>
            <w:tcBorders>
              <w:top w:val="nil"/>
              <w:left w:val="nil"/>
              <w:bottom w:val="nil"/>
              <w:right w:val="nil"/>
            </w:tcBorders>
          </w:tcPr>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Case No. 11-5515-GA-ALT</w:t>
            </w:r>
          </w:p>
        </w:tc>
      </w:tr>
    </w:tbl>
    <w:p w:rsidR="00EA6E2C" w:rsidRDefault="00EA6E2C">
      <w:pPr>
        <w:spacing w:line="320" w:lineRule="exact"/>
        <w:rPr>
          <w:rFonts w:ascii="Palatino Linotype" w:hAnsi="Palatino Linotype"/>
        </w:rPr>
        <w:sectPr w:rsidR="00EA6E2C">
          <w:footerReference w:type="default" r:id="rId7"/>
          <w:type w:val="continuous"/>
          <w:pgSz w:w="12240" w:h="15840"/>
          <w:pgMar w:top="1440" w:right="1800" w:bottom="1440" w:left="1800" w:header="1440" w:footer="1440" w:gutter="0"/>
          <w:cols w:space="720"/>
          <w:noEndnote/>
        </w:sectPr>
      </w:pPr>
    </w:p>
    <w:p w:rsidR="00EA6E2C" w:rsidRDefault="00EA6E2C">
      <w:pPr>
        <w:widowControl/>
        <w:tabs>
          <w:tab w:val="center" w:pos="4680"/>
        </w:tabs>
        <w:spacing w:line="320" w:lineRule="exact"/>
        <w:jc w:val="both"/>
        <w:rPr>
          <w:rFonts w:ascii="Palatino Linotype" w:hAnsi="Palatino Linotype"/>
        </w:rPr>
      </w:pPr>
      <w:r>
        <w:rPr>
          <w:rFonts w:ascii="Palatino Linotype" w:hAnsi="Palatino Linotype"/>
        </w:rPr>
        <w:tab/>
      </w:r>
    </w:p>
    <w:p w:rsidR="00EA6E2C" w:rsidRDefault="00EA6E2C">
      <w:pPr>
        <w:widowControl/>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EA6E2C" w:rsidRDefault="00EA6E2C">
      <w:pPr>
        <w:widowControl/>
        <w:spacing w:line="320" w:lineRule="exact"/>
        <w:jc w:val="both"/>
        <w:rPr>
          <w:rFonts w:ascii="Palatino Linotype" w:hAnsi="Palatino Linotype"/>
        </w:rPr>
      </w:pPr>
    </w:p>
    <w:p w:rsidR="00EA6E2C" w:rsidRDefault="00EA6E2C">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REPLY MEMORANDUM</w:t>
      </w:r>
    </w:p>
    <w:p w:rsidR="00EA6E2C" w:rsidRDefault="00EA6E2C">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OF COLUMBIA GAS OF OHIO, INC.</w:t>
      </w:r>
    </w:p>
    <w:p w:rsidR="00EA6E2C" w:rsidRDefault="00EA6E2C">
      <w:pPr>
        <w:widowControl/>
        <w:tabs>
          <w:tab w:val="center" w:pos="4680"/>
        </w:tabs>
        <w:spacing w:line="320" w:lineRule="exact"/>
        <w:jc w:val="center"/>
        <w:rPr>
          <w:rFonts w:ascii="Palatino Linotype" w:hAnsi="Palatino Linotype"/>
          <w:b/>
          <w:bCs/>
          <w:spacing w:val="-12"/>
        </w:rPr>
      </w:pPr>
      <w:r>
        <w:rPr>
          <w:rFonts w:ascii="Palatino Linotype" w:hAnsi="Palatino Linotype"/>
          <w:b/>
          <w:bCs/>
          <w:spacing w:val="-12"/>
        </w:rPr>
        <w:t>TO THE MEMORANDUM CONTRA OF</w:t>
      </w:r>
    </w:p>
    <w:p w:rsidR="00EA6E2C" w:rsidRDefault="00EA6E2C">
      <w:pPr>
        <w:widowControl/>
        <w:tabs>
          <w:tab w:val="center" w:pos="4680"/>
        </w:tabs>
        <w:spacing w:line="320" w:lineRule="exact"/>
        <w:jc w:val="center"/>
        <w:rPr>
          <w:rFonts w:ascii="Palatino Linotype" w:hAnsi="Palatino Linotype"/>
          <w:spacing w:val="-12"/>
        </w:rPr>
      </w:pPr>
      <w:r>
        <w:rPr>
          <w:rFonts w:ascii="Palatino Linotype" w:hAnsi="Palatino Linotype"/>
          <w:b/>
          <w:bCs/>
          <w:spacing w:val="-12"/>
        </w:rPr>
        <w:t>OHIO PARTNERS FOR AFFORDABLE ENERGY</w:t>
      </w:r>
    </w:p>
    <w:p w:rsidR="00EA6E2C" w:rsidRDefault="00EA6E2C">
      <w:pPr>
        <w:widowControl/>
        <w:tabs>
          <w:tab w:val="center" w:pos="4680"/>
        </w:tabs>
        <w:spacing w:line="320" w:lineRule="exact"/>
        <w:jc w:val="center"/>
        <w:rPr>
          <w:rFonts w:ascii="Palatino Linotype" w:hAnsi="Palatino Linotype"/>
          <w:b/>
          <w:u w:val="double"/>
        </w:rPr>
      </w:pP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r>
        <w:rPr>
          <w:rFonts w:ascii="Palatino Linotype" w:hAnsi="Palatino Linotype"/>
          <w:b/>
          <w:u w:val="double"/>
        </w:rPr>
        <w:tab/>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This Reply Memorandum is part of a series of motions and responses to motions that center around a single issue – i.e., whether Columbia Gas of Ohio, Inc. (“Columbia”) may file an alternative regulation plan application to extend its Infrastructure Replacement Program (“IRP”) without the simultaneous filing of a base rate case.</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On December 9, 2011, Columbia filed a Notice of Intent in which Colu</w:t>
      </w:r>
      <w:r>
        <w:rPr>
          <w:rFonts w:ascii="Palatino Linotype" w:hAnsi="Palatino Linotype"/>
        </w:rPr>
        <w:t>m</w:t>
      </w:r>
      <w:r>
        <w:rPr>
          <w:rFonts w:ascii="Palatino Linotype" w:hAnsi="Palatino Linotype"/>
        </w:rPr>
        <w:t>bia stated that it planned to file an Alternative Regulation Plan application. The primary purpose of the Alternative Regulation Plan application would be to e</w:t>
      </w:r>
      <w:r>
        <w:rPr>
          <w:rFonts w:ascii="Palatino Linotype" w:hAnsi="Palatino Linotype"/>
        </w:rPr>
        <w:t>x</w:t>
      </w:r>
      <w:r>
        <w:rPr>
          <w:rFonts w:ascii="Palatino Linotype" w:hAnsi="Palatino Linotype"/>
        </w:rPr>
        <w:t>tend Columbia’s IRP after the expiration of its initial five-year term.</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ind w:firstLine="720"/>
        <w:jc w:val="both"/>
        <w:rPr>
          <w:rFonts w:ascii="Palatino Linotype" w:hAnsi="Palatino Linotype"/>
        </w:rPr>
      </w:pPr>
      <w:r>
        <w:rPr>
          <w:rFonts w:ascii="Palatino Linotype" w:hAnsi="Palatino Linotype"/>
        </w:rPr>
        <w:t>On December 22, 2011, Columbia filed a Motion for Waiver, in which it requested that it not be required to file those Standard Filing Requirement exhi</w:t>
      </w:r>
      <w:r>
        <w:rPr>
          <w:rFonts w:ascii="Palatino Linotype" w:hAnsi="Palatino Linotype"/>
        </w:rPr>
        <w:t>b</w:t>
      </w:r>
      <w:r>
        <w:rPr>
          <w:rFonts w:ascii="Palatino Linotype" w:hAnsi="Palatino Linotype"/>
        </w:rPr>
        <w:t>its that relate to the filing of a base rate case. This request was premised upon the fact that Ohio law no longer requires that alternative regulation plan applications be filed in conjunction with a base rate case. However, the Commission’s rules have not yet been revised to comport with statutory changes regarding the filing of alternative regulation plan applications.</w:t>
      </w:r>
    </w:p>
    <w:p w:rsidR="00EA6E2C" w:rsidRDefault="00EA6E2C">
      <w:pPr>
        <w:widowControl/>
        <w:spacing w:line="320" w:lineRule="exact"/>
        <w:ind w:firstLine="720"/>
        <w:jc w:val="both"/>
        <w:rPr>
          <w:rFonts w:ascii="Palatino Linotype" w:hAnsi="Palatino Linotype"/>
        </w:rPr>
      </w:pPr>
    </w:p>
    <w:p w:rsidR="00EA6E2C" w:rsidRDefault="00EA6E2C">
      <w:pPr>
        <w:widowControl/>
        <w:spacing w:line="320" w:lineRule="exact"/>
        <w:ind w:firstLine="720"/>
        <w:jc w:val="both"/>
        <w:rPr>
          <w:rFonts w:ascii="Palatino Linotype" w:hAnsi="Palatino Linotype"/>
        </w:rPr>
      </w:pPr>
      <w:r>
        <w:rPr>
          <w:rFonts w:ascii="Palatino Linotype" w:hAnsi="Palatino Linotype"/>
        </w:rPr>
        <w:t>On January 6, 2012, the Office of the Ohio Consumers’ Counsel (“OCC”) filed a Memorandum Contra Columbia’s Motion for Waiver. Columbia filed a Reply Memorandum on January 11, 2012.</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On January 11, 2012, Ohio Partners for Affordable Energy (“OPAE”) filed a pleading in this docket styled as a "Reply to the Memorandum Contra." The pleading explained that it is a reply to the memorandum contra filed by the OCC on January 6, 2012. On January 13, 2012, Columbia filed a Motion to Strike OPAE’s Reply to Memorandum Contra because the substance of the OPAE pleading was in no sense a reply to any of the OCC arguments, but was instead a response to the substance of Columbia’s January 11 Reply Memorandum. As noted in Columbia’s Motion to Strike, the Commission’s rules do not permit r</w:t>
      </w:r>
      <w:r>
        <w:rPr>
          <w:rFonts w:ascii="Palatino Linotype" w:hAnsi="Palatino Linotype"/>
        </w:rPr>
        <w:t>e</w:t>
      </w:r>
      <w:r>
        <w:rPr>
          <w:rFonts w:ascii="Palatino Linotype" w:hAnsi="Palatino Linotype"/>
        </w:rPr>
        <w:t>sponses to Reply Memoranda.</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ind w:firstLine="720"/>
        <w:jc w:val="both"/>
        <w:rPr>
          <w:rFonts w:ascii="Palatino Linotype" w:hAnsi="Palatino Linotype"/>
        </w:rPr>
      </w:pPr>
      <w:r>
        <w:rPr>
          <w:rFonts w:ascii="Palatino Linotype" w:hAnsi="Palatino Linotype"/>
        </w:rPr>
        <w:t>On January 19, 2012, OPAE filed a Memorandum Contra Columbia’s M</w:t>
      </w:r>
      <w:r>
        <w:rPr>
          <w:rFonts w:ascii="Palatino Linotype" w:hAnsi="Palatino Linotype"/>
        </w:rPr>
        <w:t>o</w:t>
      </w:r>
      <w:r>
        <w:rPr>
          <w:rFonts w:ascii="Palatino Linotype" w:hAnsi="Palatino Linotype"/>
        </w:rPr>
        <w:t>tion to Strike. Pursuant to Ohio Admin. Code § 4901-1-12(B)(2), Columbia files this Reply Memorandum in response to OPAE’s Memorandum Contra. Colu</w:t>
      </w:r>
      <w:r>
        <w:rPr>
          <w:rFonts w:ascii="Palatino Linotype" w:hAnsi="Palatino Linotype"/>
        </w:rPr>
        <w:t>m</w:t>
      </w:r>
      <w:r>
        <w:rPr>
          <w:rFonts w:ascii="Palatino Linotype" w:hAnsi="Palatino Linotype"/>
        </w:rPr>
        <w:t>bia will not further belabor the procedural defects in OPAE’s January 11 Reply to Memorandum Contra, having sufficiently addressed those in the earlier Motion to Strike. However, OPAE in its latest pleadings has made other incorrect su</w:t>
      </w:r>
      <w:r>
        <w:rPr>
          <w:rFonts w:ascii="Palatino Linotype" w:hAnsi="Palatino Linotype"/>
        </w:rPr>
        <w:t>b</w:t>
      </w:r>
      <w:r>
        <w:rPr>
          <w:rFonts w:ascii="Palatino Linotype" w:hAnsi="Palatino Linotype"/>
        </w:rPr>
        <w:t>stantive assertions to which Columbia must respond.</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OPAE continues to claim that an extension of Columbia’s IRP after its in</w:t>
      </w:r>
      <w:r>
        <w:rPr>
          <w:rFonts w:ascii="Palatino Linotype" w:hAnsi="Palatino Linotype"/>
        </w:rPr>
        <w:t>i</w:t>
      </w:r>
      <w:r>
        <w:rPr>
          <w:rFonts w:ascii="Palatino Linotype" w:hAnsi="Palatino Linotype"/>
        </w:rPr>
        <w:t>tial five-year term must be filed in conjunction with a base rate case, and claims that had the contrary been true the Stipulation in Case No. 08-72-GA-AIR et al. would have said so.</w:t>
      </w:r>
      <w:r>
        <w:rPr>
          <w:rStyle w:val="FootnoteReference"/>
          <w:rFonts w:ascii="Palatino Linotype" w:hAnsi="Palatino Linotype"/>
          <w:vertAlign w:val="superscript"/>
        </w:rPr>
        <w:footnoteReference w:id="1"/>
      </w:r>
      <w:r>
        <w:rPr>
          <w:rFonts w:ascii="Palatino Linotype" w:hAnsi="Palatino Linotype"/>
        </w:rPr>
        <w:t xml:space="preserve"> As noted in earlier pleadings, the 2008 Rate Case Stipulation does clearly state that an extension of Columbia’s IRP beyond the original five-year term may be sought through either “</w:t>
      </w:r>
      <w:r>
        <w:rPr>
          <w:rFonts w:ascii="Palatino Linotype" w:hAnsi="Palatino Linotype"/>
          <w:bCs/>
        </w:rPr>
        <w:t xml:space="preserve">an application for an increase in rates pursuant to Section 4909.18, Revised Code, </w:t>
      </w:r>
      <w:r>
        <w:rPr>
          <w:rFonts w:ascii="Palatino Linotype" w:hAnsi="Palatino Linotype"/>
          <w:bCs/>
          <w:i/>
        </w:rPr>
        <w:t>or</w:t>
      </w:r>
      <w:r>
        <w:rPr>
          <w:rFonts w:ascii="Palatino Linotype" w:hAnsi="Palatino Linotype"/>
          <w:bCs/>
        </w:rPr>
        <w:t xml:space="preserve"> Columbia's filing for an alternative method of regulation pursuant to Section 4929.05, Revised Code.”</w:t>
      </w:r>
      <w:r>
        <w:rPr>
          <w:rFonts w:ascii="Palatino Linotype" w:hAnsi="Palatino Linotype"/>
          <w:bCs/>
          <w:vertAlign w:val="superscript"/>
        </w:rPr>
        <w:footnoteReference w:id="2"/>
      </w:r>
      <w:r>
        <w:rPr>
          <w:rFonts w:ascii="Palatino Linotype" w:hAnsi="Palatino Linotype"/>
          <w:bCs/>
        </w:rPr>
        <w:t xml:space="preserve"> Had the pa</w:t>
      </w:r>
      <w:r>
        <w:rPr>
          <w:rFonts w:ascii="Palatino Linotype" w:hAnsi="Palatino Linotype"/>
          <w:bCs/>
        </w:rPr>
        <w:t>r</w:t>
      </w:r>
      <w:r>
        <w:rPr>
          <w:rFonts w:ascii="Palatino Linotype" w:hAnsi="Palatino Linotype"/>
          <w:bCs/>
        </w:rPr>
        <w:t>ties intended to require the filing of both a rate case and an alternative regulation case they would have used the conjunctive word “and” instead of “or.”</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OPAE also contends that Columbia should not be able to request an e</w:t>
      </w:r>
      <w:r>
        <w:rPr>
          <w:rFonts w:ascii="Palatino Linotype" w:hAnsi="Palatino Linotype"/>
        </w:rPr>
        <w:t>x</w:t>
      </w:r>
      <w:r>
        <w:rPr>
          <w:rFonts w:ascii="Palatino Linotype" w:hAnsi="Palatino Linotype"/>
        </w:rPr>
        <w:t>tension of its IRP until the end of the initial five-year term.</w:t>
      </w:r>
      <w:r>
        <w:rPr>
          <w:rStyle w:val="FootnoteReference"/>
          <w:rFonts w:ascii="Palatino Linotype" w:hAnsi="Palatino Linotype"/>
          <w:vertAlign w:val="superscript"/>
        </w:rPr>
        <w:footnoteReference w:id="3"/>
      </w:r>
      <w:r>
        <w:rPr>
          <w:rFonts w:ascii="Palatino Linotype" w:hAnsi="Palatino Linotype"/>
        </w:rPr>
        <w:t xml:space="preserve"> This interpretation of the 2008 Rate Case Stipulation is impractical. If Columbia has to wait until the end of the initial five-year program before it can request an extension, then there will be a gap of several months, perhaps as long as a year, where the IRP would have to be suspended pending Commission review and action upon an extension request. Such a suspension of the program would serve no practical purpose, and would put dozens, if not hundreds, of Columbia’s IRP contractors’ emplo</w:t>
      </w:r>
      <w:r>
        <w:rPr>
          <w:rFonts w:ascii="Palatino Linotype" w:hAnsi="Palatino Linotype"/>
        </w:rPr>
        <w:t>y</w:t>
      </w:r>
      <w:r>
        <w:rPr>
          <w:rFonts w:ascii="Palatino Linotype" w:hAnsi="Palatino Linotype"/>
        </w:rPr>
        <w:t>ees temporarily out of work during the period between the end of the initial five-year IRP and eventual Commission reauthorization to extend the IRP. OPAE’s interpretation would also add unnecessary length to the overall duration of C</w:t>
      </w:r>
      <w:r>
        <w:rPr>
          <w:rFonts w:ascii="Palatino Linotype" w:hAnsi="Palatino Linotype"/>
        </w:rPr>
        <w:t>o</w:t>
      </w:r>
      <w:r>
        <w:rPr>
          <w:rFonts w:ascii="Palatino Linotype" w:hAnsi="Palatino Linotype"/>
        </w:rPr>
        <w:t>lumbia’s IRP (originally estimated at 25 years), and that is certainly not in the public interest given the safety concerns that the IRP is intended to address.</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Columbia’s IRP will be in effect, as agreed upon in the 2008 Rate Case Stipulation, and as approved by the Commission, for its initial five-year term. That being so, the 2008 Rate Case Stipulation does not require the filing of base rate case to extend the IRP after the expiration of its initial five-year term.</w:t>
      </w:r>
    </w:p>
    <w:p w:rsidR="00EA6E2C" w:rsidRDefault="00EA6E2C">
      <w:pPr>
        <w:widowControl/>
        <w:spacing w:line="320" w:lineRule="exact"/>
        <w:jc w:val="both"/>
        <w:rPr>
          <w:rFonts w:ascii="Palatino Linotype" w:hAnsi="Palatino Linotype"/>
        </w:rPr>
      </w:pPr>
    </w:p>
    <w:p w:rsidR="00EA6E2C" w:rsidRDefault="00EA6E2C">
      <w:pPr>
        <w:widowControl/>
        <w:spacing w:line="320" w:lineRule="exact"/>
        <w:jc w:val="both"/>
        <w:rPr>
          <w:rFonts w:ascii="Palatino Linotype" w:hAnsi="Palatino Linotype"/>
        </w:rPr>
      </w:pPr>
      <w:r>
        <w:rPr>
          <w:rFonts w:ascii="Palatino Linotype" w:hAnsi="Palatino Linotype"/>
        </w:rPr>
        <w:tab/>
        <w:t>Due to the procedural deficiencies and the substantive errors in OPAE’s January 11, 2012 Reply Memorandum, the Commission should grant Columbia’s Motion to Strike OPAE’s January 11 Reply Memorandum.</w:t>
      </w:r>
    </w:p>
    <w:p w:rsidR="00EA6E2C" w:rsidRDefault="00EA6E2C">
      <w:pPr>
        <w:widowControl/>
        <w:spacing w:line="320" w:lineRule="exact"/>
        <w:jc w:val="both"/>
        <w:rPr>
          <w:rFonts w:ascii="Palatino Linotype" w:hAnsi="Palatino Linotype"/>
        </w:rPr>
      </w:pP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Respectfully submitted,</w:t>
      </w:r>
    </w:p>
    <w:p w:rsidR="00EA6E2C" w:rsidRDefault="00EA6E2C">
      <w:pPr>
        <w:keepNext/>
        <w:keepLines/>
        <w:widowControl/>
        <w:spacing w:line="320" w:lineRule="exact"/>
        <w:ind w:firstLine="3600"/>
        <w:jc w:val="both"/>
        <w:rPr>
          <w:rFonts w:ascii="Palatino Linotype" w:hAnsi="Palatino Linotype"/>
        </w:rPr>
      </w:pPr>
    </w:p>
    <w:p w:rsidR="00EA6E2C" w:rsidRDefault="00EA6E2C">
      <w:pPr>
        <w:keepNext/>
        <w:keepLines/>
        <w:widowControl/>
        <w:spacing w:line="320" w:lineRule="exact"/>
        <w:ind w:firstLine="3600"/>
        <w:jc w:val="both"/>
        <w:rPr>
          <w:rFonts w:ascii="Palatino Linotype" w:hAnsi="Palatino Linotype"/>
          <w:spacing w:val="-12"/>
        </w:rPr>
      </w:pPr>
      <w:r>
        <w:rPr>
          <w:rFonts w:ascii="Palatino Linotype" w:hAnsi="Palatino Linotype"/>
          <w:b/>
          <w:bCs/>
          <w:spacing w:val="-12"/>
        </w:rPr>
        <w:t>COLUMBIA GAS OF OHIO, INC.</w:t>
      </w:r>
    </w:p>
    <w:p w:rsidR="00EA6E2C" w:rsidRDefault="00EA6E2C">
      <w:pPr>
        <w:keepNext/>
        <w:keepLines/>
        <w:widowControl/>
        <w:spacing w:line="320" w:lineRule="exact"/>
        <w:ind w:firstLine="3600"/>
        <w:jc w:val="both"/>
        <w:rPr>
          <w:rFonts w:ascii="Palatino Linotype" w:hAnsi="Palatino Linotype"/>
        </w:rPr>
      </w:pPr>
    </w:p>
    <w:p w:rsidR="00EA6E2C" w:rsidRDefault="00EA6E2C">
      <w:pPr>
        <w:keepNext/>
        <w:keepLines/>
        <w:widowControl/>
        <w:tabs>
          <w:tab w:val="right" w:pos="8640"/>
        </w:tabs>
        <w:spacing w:line="320" w:lineRule="exact"/>
        <w:ind w:firstLine="3600"/>
        <w:jc w:val="both"/>
        <w:rPr>
          <w:rFonts w:ascii="Palatino Linotype" w:hAnsi="Palatino Linotype"/>
        </w:rPr>
      </w:pPr>
      <w:r>
        <w:rPr>
          <w:rFonts w:ascii="Palatino Linotype" w:hAnsi="Palatino Linotype"/>
          <w:u w:val="single"/>
        </w:rPr>
        <w:t>/s/ Stephen B. Seiple</w:t>
      </w:r>
      <w:r>
        <w:rPr>
          <w:rFonts w:ascii="Palatino Linotype" w:hAnsi="Palatino Linotype"/>
          <w:u w:val="single"/>
        </w:rPr>
        <w:tab/>
      </w:r>
    </w:p>
    <w:p w:rsidR="00EA6E2C" w:rsidRDefault="00EA6E2C">
      <w:pPr>
        <w:keepNext/>
        <w:keepLines/>
        <w:widowControl/>
        <w:spacing w:line="320" w:lineRule="exact"/>
        <w:ind w:left="2880" w:firstLine="720"/>
        <w:jc w:val="both"/>
        <w:rPr>
          <w:rFonts w:ascii="Palatino Linotype" w:hAnsi="Palatino Linotype"/>
        </w:rPr>
      </w:pPr>
      <w:r>
        <w:rPr>
          <w:rFonts w:ascii="Palatino Linotype" w:hAnsi="Palatino Linotype"/>
        </w:rPr>
        <w:t>Stephen B. Seiple (Counsel of Record)</w:t>
      </w:r>
    </w:p>
    <w:p w:rsidR="00EA6E2C" w:rsidRDefault="00EA6E2C">
      <w:pPr>
        <w:keepNext/>
        <w:keepLines/>
        <w:widowControl/>
        <w:spacing w:line="320" w:lineRule="exact"/>
        <w:ind w:firstLine="3600"/>
        <w:jc w:val="both"/>
        <w:rPr>
          <w:rFonts w:ascii="Palatino Linotype" w:hAnsi="Palatino Linotype"/>
        </w:rPr>
      </w:pP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Stephen B. Seiple, Assistant General Counsel</w:t>
      </w: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Brooke E. Leslie, Attorney</w:t>
      </w: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200 Civic Center Drive</w:t>
      </w:r>
    </w:p>
    <w:p w:rsidR="00EA6E2C" w:rsidRDefault="00EA6E2C">
      <w:pPr>
        <w:keepNext/>
        <w:keepLines/>
        <w:widowControl/>
        <w:spacing w:line="320" w:lineRule="exact"/>
        <w:ind w:firstLine="3600"/>
        <w:jc w:val="both"/>
        <w:rPr>
          <w:rFonts w:ascii="Palatino Linotype" w:hAnsi="Palatino Linotype"/>
        </w:rPr>
      </w:pPr>
      <w:smartTag w:uri="urn:schemas-microsoft-com:office:smarttags" w:element="address">
        <w:smartTag w:uri="urn:schemas-microsoft-com:office:smarttags" w:element="Street">
          <w:r>
            <w:rPr>
              <w:rFonts w:ascii="Palatino Linotype" w:hAnsi="Palatino Linotype"/>
            </w:rPr>
            <w:t>P. O. Box</w:t>
          </w:r>
        </w:smartTag>
        <w:r>
          <w:rPr>
            <w:rFonts w:ascii="Palatino Linotype" w:hAnsi="Palatino Linotype"/>
          </w:rPr>
          <w:t xml:space="preserve"> 117</w:t>
        </w:r>
      </w:smartTag>
    </w:p>
    <w:p w:rsidR="00EA6E2C" w:rsidRDefault="00EA6E2C">
      <w:pPr>
        <w:keepNext/>
        <w:keepLines/>
        <w:widowControl/>
        <w:spacing w:line="320" w:lineRule="exact"/>
        <w:ind w:firstLine="3600"/>
        <w:jc w:val="both"/>
        <w:rPr>
          <w:rFonts w:ascii="Palatino Linotype" w:hAnsi="Palatino Linotype"/>
        </w:rPr>
      </w:pPr>
      <w:smartTag w:uri="urn:schemas-microsoft-com:office:smarttags" w:element="place">
        <w:smartTag w:uri="urn:schemas-microsoft-com:office:smarttags" w:element="City">
          <w:r>
            <w:rPr>
              <w:rFonts w:ascii="Palatino Linotype" w:hAnsi="Palatino Linotype"/>
            </w:rPr>
            <w:t>Columbus</w:t>
          </w:r>
        </w:smartTag>
        <w:r>
          <w:rPr>
            <w:rFonts w:ascii="Palatino Linotype" w:hAnsi="Palatino Linotype"/>
          </w:rPr>
          <w:t xml:space="preserve">, </w:t>
        </w:r>
        <w:smartTag w:uri="urn:schemas-microsoft-com:office:smarttags" w:element="PostalCode">
          <w:r>
            <w:rPr>
              <w:rFonts w:ascii="Palatino Linotype" w:hAnsi="Palatino Linotype"/>
            </w:rPr>
            <w:t>Ohio</w:t>
          </w:r>
        </w:smartTag>
        <w:r>
          <w:rPr>
            <w:rFonts w:ascii="Palatino Linotype" w:hAnsi="Palatino Linotype"/>
          </w:rPr>
          <w:t xml:space="preserve"> </w:t>
        </w:r>
        <w:smartTag w:uri="urn:schemas-microsoft-com:office:smarttags" w:element="PostalCode">
          <w:r>
            <w:rPr>
              <w:rFonts w:ascii="Palatino Linotype" w:hAnsi="Palatino Linotype"/>
            </w:rPr>
            <w:t>43216-0117</w:t>
          </w:r>
        </w:smartTag>
      </w:smartTag>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Telephone: (614) 460-4648</w:t>
      </w: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Fax: (614) 460-6986</w:t>
      </w: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 xml:space="preserve">Email: </w:t>
      </w:r>
      <w:r>
        <w:t>sseiple@nisource.com</w:t>
      </w: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ab/>
        <w:t>bleslie@nisource.com</w:t>
      </w:r>
    </w:p>
    <w:p w:rsidR="00EA6E2C" w:rsidRDefault="00EA6E2C">
      <w:pPr>
        <w:keepNext/>
        <w:keepLines/>
        <w:widowControl/>
        <w:spacing w:line="320" w:lineRule="exact"/>
        <w:ind w:firstLine="3600"/>
        <w:jc w:val="both"/>
        <w:rPr>
          <w:rFonts w:ascii="Palatino Linotype" w:hAnsi="Palatino Linotype"/>
        </w:rPr>
      </w:pPr>
    </w:p>
    <w:p w:rsidR="00EA6E2C" w:rsidRDefault="00EA6E2C">
      <w:pPr>
        <w:keepNext/>
        <w:keepLines/>
        <w:widowControl/>
        <w:spacing w:line="320" w:lineRule="exact"/>
        <w:ind w:firstLine="3600"/>
        <w:jc w:val="both"/>
        <w:rPr>
          <w:rFonts w:ascii="Palatino Linotype" w:hAnsi="Palatino Linotype"/>
        </w:rPr>
      </w:pPr>
      <w:r>
        <w:rPr>
          <w:rFonts w:ascii="Palatino Linotype" w:hAnsi="Palatino Linotype"/>
        </w:rPr>
        <w:t>Attorneys for</w:t>
      </w:r>
    </w:p>
    <w:p w:rsidR="00EA6E2C" w:rsidRDefault="00EA6E2C">
      <w:pPr>
        <w:keepNext/>
        <w:keepLines/>
        <w:widowControl/>
        <w:spacing w:line="320" w:lineRule="exact"/>
        <w:ind w:firstLine="3600"/>
        <w:jc w:val="both"/>
        <w:rPr>
          <w:rFonts w:ascii="Palatino Linotype" w:hAnsi="Palatino Linotype"/>
          <w:b/>
          <w:bCs/>
          <w:spacing w:val="-12"/>
        </w:rPr>
        <w:sectPr w:rsidR="00EA6E2C">
          <w:type w:val="continuous"/>
          <w:pgSz w:w="12240" w:h="15840"/>
          <w:pgMar w:top="1440" w:right="1800" w:bottom="1440" w:left="1800" w:header="1440" w:footer="1440" w:gutter="0"/>
          <w:cols w:space="720"/>
          <w:noEndnote/>
        </w:sectPr>
      </w:pPr>
      <w:r>
        <w:rPr>
          <w:rFonts w:ascii="Palatino Linotype" w:hAnsi="Palatino Linotype"/>
          <w:b/>
          <w:bCs/>
          <w:spacing w:val="-12"/>
        </w:rPr>
        <w:t>COLUMBIA GAS OF OHIO, INC.</w:t>
      </w:r>
    </w:p>
    <w:p w:rsidR="00EA6E2C" w:rsidRDefault="00EA6E2C">
      <w:pPr>
        <w:keepNext/>
        <w:keepLines/>
        <w:widowControl/>
        <w:spacing w:line="320" w:lineRule="exact"/>
        <w:jc w:val="center"/>
        <w:rPr>
          <w:rFonts w:ascii="Palatino Linotype" w:hAnsi="Palatino Linotype"/>
          <w:spacing w:val="-12"/>
        </w:rPr>
      </w:pPr>
      <w:r>
        <w:rPr>
          <w:rFonts w:ascii="Palatino Linotype" w:hAnsi="Palatino Linotype"/>
          <w:b/>
          <w:spacing w:val="-12"/>
        </w:rPr>
        <w:t>CERTIFICATE OF SERVICE</w:t>
      </w:r>
    </w:p>
    <w:p w:rsidR="00EA6E2C" w:rsidRDefault="00EA6E2C">
      <w:pPr>
        <w:keepNext/>
        <w:keepLines/>
        <w:widowControl/>
        <w:spacing w:line="320" w:lineRule="exact"/>
        <w:ind w:firstLine="3600"/>
        <w:jc w:val="both"/>
        <w:rPr>
          <w:rFonts w:ascii="Palatino Linotype" w:hAnsi="Palatino Linotype"/>
          <w:spacing w:val="-12"/>
        </w:rPr>
      </w:pPr>
    </w:p>
    <w:p w:rsidR="00EA6E2C" w:rsidRDefault="00EA6E2C">
      <w:pPr>
        <w:keepNext/>
        <w:keepLines/>
        <w:widowControl/>
        <w:spacing w:line="320" w:lineRule="exact"/>
        <w:ind w:firstLine="720"/>
        <w:jc w:val="both"/>
        <w:rPr>
          <w:rFonts w:ascii="Palatino Linotype" w:hAnsi="Palatino Linotype"/>
          <w:spacing w:val="-12"/>
        </w:rPr>
      </w:pPr>
      <w:r>
        <w:rPr>
          <w:rFonts w:ascii="Palatino Linotype" w:hAnsi="Palatino Linotype"/>
          <w:spacing w:val="-12"/>
        </w:rPr>
        <w:t>I hereby certify that a copy of the foregoing Reply Memorandum of Columbia Gas of Ohio, Inc. was served upon all parties of record by electronic mail this 23rd day of Jan</w:t>
      </w:r>
      <w:r>
        <w:rPr>
          <w:rFonts w:ascii="Palatino Linotype" w:hAnsi="Palatino Linotype"/>
          <w:spacing w:val="-12"/>
        </w:rPr>
        <w:t>u</w:t>
      </w:r>
      <w:r>
        <w:rPr>
          <w:rFonts w:ascii="Palatino Linotype" w:hAnsi="Palatino Linotype"/>
          <w:spacing w:val="-12"/>
        </w:rPr>
        <w:t>ary, 2012.</w:t>
      </w:r>
    </w:p>
    <w:p w:rsidR="00EA6E2C" w:rsidRDefault="00EA6E2C">
      <w:pPr>
        <w:keepNext/>
        <w:keepLines/>
        <w:widowControl/>
        <w:spacing w:line="320" w:lineRule="exact"/>
        <w:ind w:firstLine="3600"/>
        <w:jc w:val="both"/>
        <w:rPr>
          <w:rFonts w:ascii="Palatino Linotype" w:hAnsi="Palatino Linotype"/>
          <w:spacing w:val="-12"/>
        </w:rPr>
      </w:pPr>
    </w:p>
    <w:p w:rsidR="00EA6E2C" w:rsidRDefault="00EA6E2C">
      <w:pPr>
        <w:keepNext/>
        <w:keepLines/>
        <w:widowControl/>
        <w:spacing w:line="320" w:lineRule="exact"/>
        <w:ind w:firstLine="3600"/>
        <w:jc w:val="both"/>
        <w:rPr>
          <w:rFonts w:ascii="Palatino Linotype" w:hAnsi="Palatino Linotype"/>
          <w:spacing w:val="-12"/>
        </w:rPr>
      </w:pPr>
    </w:p>
    <w:p w:rsidR="00EA6E2C" w:rsidRDefault="00EA6E2C">
      <w:pPr>
        <w:keepNext/>
        <w:keepLines/>
        <w:widowControl/>
        <w:spacing w:line="320" w:lineRule="exact"/>
        <w:ind w:firstLine="3600"/>
        <w:jc w:val="both"/>
        <w:rPr>
          <w:rFonts w:ascii="Palatino Linotype" w:hAnsi="Palatino Linotype"/>
          <w:spacing w:val="-12"/>
        </w:rPr>
      </w:pPr>
      <w:r>
        <w:rPr>
          <w:rFonts w:ascii="Palatino Linotype" w:hAnsi="Palatino Linotype"/>
          <w:spacing w:val="-12"/>
          <w:u w:val="single"/>
        </w:rPr>
        <w:t>/s/ Stephen B. Seiple</w:t>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r>
        <w:rPr>
          <w:rFonts w:ascii="Palatino Linotype" w:hAnsi="Palatino Linotype"/>
          <w:spacing w:val="-12"/>
          <w:u w:val="single"/>
        </w:rPr>
        <w:tab/>
      </w:r>
    </w:p>
    <w:p w:rsidR="00EA6E2C" w:rsidRDefault="00EA6E2C">
      <w:pPr>
        <w:keepNext/>
        <w:keepLines/>
        <w:widowControl/>
        <w:spacing w:line="320" w:lineRule="exact"/>
        <w:ind w:firstLine="3600"/>
        <w:jc w:val="both"/>
        <w:rPr>
          <w:rFonts w:ascii="Palatino Linotype" w:hAnsi="Palatino Linotype"/>
          <w:spacing w:val="-12"/>
        </w:rPr>
      </w:pPr>
      <w:r>
        <w:rPr>
          <w:rFonts w:ascii="Palatino Linotype" w:hAnsi="Palatino Linotype"/>
          <w:spacing w:val="-12"/>
        </w:rPr>
        <w:t>Stephen B. Seiple</w:t>
      </w:r>
    </w:p>
    <w:p w:rsidR="00EA6E2C" w:rsidRDefault="00EA6E2C">
      <w:pPr>
        <w:keepNext/>
        <w:keepLines/>
        <w:widowControl/>
        <w:spacing w:line="320" w:lineRule="exact"/>
        <w:ind w:firstLine="3600"/>
        <w:jc w:val="both"/>
        <w:rPr>
          <w:rFonts w:ascii="Palatino Linotype" w:hAnsi="Palatino Linotype"/>
          <w:spacing w:val="-12"/>
        </w:rPr>
      </w:pPr>
      <w:r>
        <w:rPr>
          <w:rFonts w:ascii="Palatino Linotype" w:hAnsi="Palatino Linotype"/>
          <w:spacing w:val="-12"/>
        </w:rPr>
        <w:t>Attorney for</w:t>
      </w:r>
    </w:p>
    <w:p w:rsidR="00EA6E2C" w:rsidRDefault="00EA6E2C">
      <w:pPr>
        <w:keepNext/>
        <w:keepLines/>
        <w:widowControl/>
        <w:spacing w:line="320" w:lineRule="exact"/>
        <w:ind w:firstLine="3600"/>
        <w:jc w:val="both"/>
        <w:rPr>
          <w:rFonts w:ascii="Palatino Linotype" w:hAnsi="Palatino Linotype"/>
          <w:spacing w:val="-12"/>
        </w:rPr>
      </w:pPr>
      <w:r>
        <w:rPr>
          <w:rFonts w:ascii="Palatino Linotype" w:hAnsi="Palatino Linotype"/>
          <w:b/>
          <w:spacing w:val="-12"/>
        </w:rPr>
        <w:t>COLUMBIA GAS OF OHIO, INC.</w:t>
      </w:r>
    </w:p>
    <w:p w:rsidR="00EA6E2C" w:rsidRDefault="00EA6E2C">
      <w:pPr>
        <w:keepNext/>
        <w:keepLines/>
        <w:widowControl/>
        <w:spacing w:line="320" w:lineRule="exact"/>
        <w:ind w:firstLine="3600"/>
        <w:jc w:val="both"/>
        <w:rPr>
          <w:rFonts w:ascii="Palatino Linotype" w:hAnsi="Palatino Linotype"/>
          <w:spacing w:val="-12"/>
        </w:rPr>
      </w:pPr>
    </w:p>
    <w:p w:rsidR="00EA6E2C" w:rsidRDefault="00EA6E2C">
      <w:pPr>
        <w:keepNext/>
        <w:keepLines/>
        <w:widowControl/>
        <w:spacing w:line="320" w:lineRule="exact"/>
        <w:ind w:firstLine="3600"/>
        <w:jc w:val="both"/>
        <w:rPr>
          <w:rFonts w:ascii="Palatino Linotype" w:hAnsi="Palatino Linotype"/>
          <w:spacing w:val="-12"/>
        </w:rPr>
      </w:pPr>
    </w:p>
    <w:p w:rsidR="00EA6E2C" w:rsidRDefault="00EA6E2C">
      <w:pPr>
        <w:keepNext/>
        <w:keepLines/>
        <w:widowControl/>
        <w:spacing w:line="320" w:lineRule="exact"/>
        <w:ind w:firstLine="3600"/>
        <w:jc w:val="both"/>
        <w:rPr>
          <w:rFonts w:ascii="Palatino Linotype" w:hAnsi="Palatino Linotype"/>
          <w:b/>
          <w:spacing w:val="-12"/>
        </w:rPr>
      </w:pPr>
      <w:r>
        <w:rPr>
          <w:rFonts w:ascii="Palatino Linotype" w:hAnsi="Palatino Linotype"/>
          <w:b/>
          <w:spacing w:val="-12"/>
        </w:rPr>
        <w:t>SERVICE LIST</w:t>
      </w:r>
    </w:p>
    <w:p w:rsidR="00EA6E2C" w:rsidRDefault="00EA6E2C">
      <w:pPr>
        <w:keepNext/>
        <w:keepLines/>
        <w:widowControl/>
        <w:spacing w:line="320" w:lineRule="exact"/>
        <w:ind w:firstLine="3600"/>
        <w:jc w:val="both"/>
        <w:rPr>
          <w:rFonts w:ascii="Palatino Linotype" w:hAnsi="Palatino Linotype"/>
          <w:b/>
          <w:bCs/>
          <w:spacing w:val="-12"/>
          <w:u w:val="single"/>
        </w:rPr>
      </w:pPr>
    </w:p>
    <w:tbl>
      <w:tblPr>
        <w:tblW w:w="0" w:type="auto"/>
        <w:tblLook w:val="00A0"/>
      </w:tblPr>
      <w:tblGrid>
        <w:gridCol w:w="4428"/>
        <w:gridCol w:w="4428"/>
      </w:tblGrid>
      <w:tr w:rsidR="00EA6E2C">
        <w:tc>
          <w:tcPr>
            <w:tcW w:w="4428" w:type="dxa"/>
          </w:tcPr>
          <w:p w:rsidR="00EA6E2C" w:rsidRDefault="00EA6E2C">
            <w:pPr>
              <w:keepNext/>
              <w:keepLines/>
              <w:widowControl/>
              <w:spacing w:line="320" w:lineRule="exact"/>
              <w:rPr>
                <w:rFonts w:ascii="Palatino Linotype" w:hAnsi="Palatino Linotype"/>
                <w:bCs/>
              </w:rPr>
            </w:pPr>
            <w:r>
              <w:rPr>
                <w:rFonts w:ascii="Palatino Linotype" w:hAnsi="Palatino Linotype"/>
                <w:bCs/>
              </w:rPr>
              <w:t>William Wright</w:t>
            </w:r>
          </w:p>
          <w:p w:rsidR="00EA6E2C" w:rsidRDefault="00EA6E2C">
            <w:pPr>
              <w:keepNext/>
              <w:keepLines/>
              <w:widowControl/>
              <w:spacing w:line="320" w:lineRule="exact"/>
              <w:rPr>
                <w:rFonts w:ascii="Palatino Linotype" w:hAnsi="Palatino Linotype"/>
                <w:bCs/>
              </w:rPr>
            </w:pPr>
            <w:r>
              <w:rPr>
                <w:rFonts w:ascii="Palatino Linotype" w:hAnsi="Palatino Linotype"/>
                <w:bCs/>
              </w:rPr>
              <w:t>Public Utilities Commission of Ohio</w:t>
            </w:r>
          </w:p>
          <w:p w:rsidR="00EA6E2C" w:rsidRDefault="00EA6E2C">
            <w:pPr>
              <w:keepNext/>
              <w:keepLines/>
              <w:widowControl/>
              <w:spacing w:line="320" w:lineRule="exact"/>
              <w:rPr>
                <w:rFonts w:ascii="Palatino Linotype" w:hAnsi="Palatino Linotype"/>
                <w:bCs/>
              </w:rPr>
            </w:pPr>
            <w:r>
              <w:rPr>
                <w:rFonts w:ascii="Palatino Linotype" w:hAnsi="Palatino Linotype"/>
                <w:bCs/>
              </w:rPr>
              <w:t>180 East Broad Street, 6</w:t>
            </w:r>
            <w:r>
              <w:rPr>
                <w:rFonts w:ascii="Palatino Linotype" w:hAnsi="Palatino Linotype"/>
                <w:bCs/>
                <w:vertAlign w:val="superscript"/>
              </w:rPr>
              <w:t>th</w:t>
            </w:r>
            <w:r>
              <w:rPr>
                <w:rFonts w:ascii="Palatino Linotype" w:hAnsi="Palatino Linotype"/>
                <w:bCs/>
              </w:rPr>
              <w:t xml:space="preserve"> Floor</w:t>
            </w:r>
          </w:p>
          <w:p w:rsidR="00EA6E2C" w:rsidRDefault="00EA6E2C">
            <w:pPr>
              <w:keepNext/>
              <w:keepLines/>
              <w:widowControl/>
              <w:spacing w:line="320" w:lineRule="exact"/>
              <w:rPr>
                <w:rFonts w:ascii="Palatino Linotype" w:hAnsi="Palatino Linotype"/>
                <w:bCs/>
              </w:rPr>
            </w:pPr>
            <w:r>
              <w:rPr>
                <w:rFonts w:ascii="Palatino Linotype" w:hAnsi="Palatino Linotype"/>
                <w:bCs/>
              </w:rPr>
              <w:t>Columbus, OH 43215</w:t>
            </w:r>
          </w:p>
          <w:p w:rsidR="00EA6E2C" w:rsidRDefault="00EA6E2C">
            <w:pPr>
              <w:keepNext/>
              <w:keepLines/>
              <w:widowControl/>
              <w:spacing w:line="320" w:lineRule="exact"/>
              <w:rPr>
                <w:rFonts w:ascii="Palatino Linotype" w:hAnsi="Palatino Linotype"/>
                <w:bCs/>
              </w:rPr>
            </w:pPr>
            <w:r>
              <w:rPr>
                <w:rFonts w:ascii="Palatino Linotype" w:hAnsi="Palatino Linotype"/>
                <w:bCs/>
              </w:rPr>
              <w:t>William.wright@puc.state.oh.us</w:t>
            </w:r>
          </w:p>
          <w:p w:rsidR="00EA6E2C" w:rsidRDefault="00EA6E2C">
            <w:pPr>
              <w:keepNext/>
              <w:keepLines/>
              <w:widowControl/>
              <w:spacing w:line="320" w:lineRule="exact"/>
              <w:rPr>
                <w:rFonts w:ascii="Palatino Linotype" w:hAnsi="Palatino Linotype"/>
                <w:bCs/>
              </w:rPr>
            </w:pPr>
          </w:p>
        </w:tc>
        <w:tc>
          <w:tcPr>
            <w:tcW w:w="4428" w:type="dxa"/>
          </w:tcPr>
          <w:p w:rsidR="00EA6E2C" w:rsidRDefault="00EA6E2C">
            <w:pPr>
              <w:keepNext/>
              <w:keepLines/>
              <w:widowControl/>
              <w:spacing w:line="320" w:lineRule="exact"/>
              <w:rPr>
                <w:rFonts w:ascii="Palatino Linotype" w:hAnsi="Palatino Linotype"/>
                <w:bCs/>
              </w:rPr>
            </w:pPr>
            <w:r>
              <w:rPr>
                <w:rFonts w:ascii="Palatino Linotype" w:hAnsi="Palatino Linotype"/>
                <w:bCs/>
              </w:rPr>
              <w:t>Larry S. Sauer</w:t>
            </w:r>
          </w:p>
          <w:p w:rsidR="00EA6E2C" w:rsidRDefault="00EA6E2C">
            <w:pPr>
              <w:keepNext/>
              <w:keepLines/>
              <w:widowControl/>
              <w:spacing w:line="320" w:lineRule="exact"/>
              <w:rPr>
                <w:rFonts w:ascii="Palatino Linotype" w:hAnsi="Palatino Linotype"/>
                <w:bCs/>
              </w:rPr>
            </w:pPr>
            <w:r>
              <w:rPr>
                <w:rFonts w:ascii="Palatino Linotype" w:hAnsi="Palatino Linotype"/>
                <w:bCs/>
              </w:rPr>
              <w:t>Joseph P. Serio</w:t>
            </w:r>
          </w:p>
          <w:p w:rsidR="00EA6E2C" w:rsidRDefault="00EA6E2C">
            <w:pPr>
              <w:keepNext/>
              <w:keepLines/>
              <w:widowControl/>
              <w:spacing w:line="320" w:lineRule="exact"/>
              <w:rPr>
                <w:rFonts w:ascii="Palatino Linotype" w:hAnsi="Palatino Linotype"/>
                <w:bCs/>
              </w:rPr>
            </w:pPr>
            <w:r>
              <w:rPr>
                <w:rFonts w:ascii="Palatino Linotype" w:hAnsi="Palatino Linotype"/>
                <w:bCs/>
              </w:rPr>
              <w:t>Assistant Consumers’ Counsel</w:t>
            </w:r>
          </w:p>
          <w:p w:rsidR="00EA6E2C" w:rsidRDefault="00EA6E2C">
            <w:pPr>
              <w:keepNext/>
              <w:keepLines/>
              <w:widowControl/>
              <w:spacing w:line="320" w:lineRule="exact"/>
              <w:rPr>
                <w:rFonts w:ascii="Palatino Linotype" w:hAnsi="Palatino Linotype"/>
                <w:bCs/>
              </w:rPr>
            </w:pPr>
            <w:r>
              <w:rPr>
                <w:rFonts w:ascii="Palatino Linotype" w:hAnsi="Palatino Linotype"/>
                <w:bCs/>
              </w:rPr>
              <w:t>10 West Broad Street, Suite 1800</w:t>
            </w:r>
          </w:p>
          <w:p w:rsidR="00EA6E2C" w:rsidRDefault="00EA6E2C">
            <w:pPr>
              <w:keepNext/>
              <w:keepLines/>
              <w:widowControl/>
              <w:spacing w:line="320" w:lineRule="exact"/>
              <w:rPr>
                <w:rFonts w:ascii="Palatino Linotype" w:hAnsi="Palatino Linotype"/>
                <w:bCs/>
              </w:rPr>
            </w:pPr>
            <w:r>
              <w:rPr>
                <w:rFonts w:ascii="Palatino Linotype" w:hAnsi="Palatino Linotype"/>
                <w:bCs/>
              </w:rPr>
              <w:t>Columbus, OH 43215-3485</w:t>
            </w:r>
          </w:p>
          <w:p w:rsidR="00EA6E2C" w:rsidRDefault="00EA6E2C">
            <w:pPr>
              <w:keepNext/>
              <w:keepLines/>
              <w:widowControl/>
              <w:spacing w:line="320" w:lineRule="exact"/>
              <w:rPr>
                <w:rFonts w:ascii="Palatino Linotype" w:hAnsi="Palatino Linotype"/>
                <w:bCs/>
              </w:rPr>
            </w:pPr>
            <w:r>
              <w:rPr>
                <w:rFonts w:ascii="Palatino Linotype" w:hAnsi="Palatino Linotype"/>
                <w:bCs/>
              </w:rPr>
              <w:t>sauer@occ.state.oh.us</w:t>
            </w:r>
          </w:p>
          <w:p w:rsidR="00EA6E2C" w:rsidRDefault="00EA6E2C">
            <w:pPr>
              <w:keepNext/>
              <w:keepLines/>
              <w:widowControl/>
              <w:spacing w:line="320" w:lineRule="exact"/>
              <w:rPr>
                <w:rFonts w:ascii="Palatino Linotype" w:hAnsi="Palatino Linotype"/>
                <w:bCs/>
              </w:rPr>
            </w:pPr>
            <w:r>
              <w:rPr>
                <w:rFonts w:ascii="Palatino Linotype" w:hAnsi="Palatino Linotype"/>
                <w:bCs/>
              </w:rPr>
              <w:t>serio@occ.state.oh.us</w:t>
            </w:r>
          </w:p>
          <w:p w:rsidR="00EA6E2C" w:rsidRDefault="00EA6E2C">
            <w:pPr>
              <w:keepNext/>
              <w:keepLines/>
              <w:widowControl/>
              <w:spacing w:line="320" w:lineRule="exact"/>
              <w:rPr>
                <w:rFonts w:ascii="Palatino Linotype" w:hAnsi="Palatino Linotype"/>
                <w:bCs/>
              </w:rPr>
            </w:pPr>
          </w:p>
        </w:tc>
      </w:tr>
      <w:tr w:rsidR="00EA6E2C">
        <w:tc>
          <w:tcPr>
            <w:tcW w:w="4428" w:type="dxa"/>
          </w:tcPr>
          <w:p w:rsidR="00EA6E2C" w:rsidRDefault="00EA6E2C">
            <w:pPr>
              <w:keepNext/>
              <w:keepLines/>
              <w:widowControl/>
              <w:spacing w:line="320" w:lineRule="exact"/>
              <w:rPr>
                <w:rFonts w:ascii="Palatino Linotype" w:hAnsi="Palatino Linotype"/>
                <w:bCs/>
              </w:rPr>
            </w:pPr>
            <w:r>
              <w:rPr>
                <w:rFonts w:ascii="Palatino Linotype" w:hAnsi="Palatino Linotype"/>
                <w:bCs/>
              </w:rPr>
              <w:t>Colleen L. Mooney</w:t>
            </w:r>
          </w:p>
          <w:p w:rsidR="00EA6E2C" w:rsidRDefault="00EA6E2C">
            <w:pPr>
              <w:keepNext/>
              <w:keepLines/>
              <w:widowControl/>
              <w:spacing w:line="320" w:lineRule="exact"/>
              <w:rPr>
                <w:rFonts w:ascii="Palatino Linotype" w:hAnsi="Palatino Linotype"/>
                <w:bCs/>
              </w:rPr>
            </w:pPr>
            <w:r>
              <w:rPr>
                <w:rFonts w:ascii="Palatino Linotype" w:hAnsi="Palatino Linotype"/>
                <w:bCs/>
              </w:rPr>
              <w:t>Ohio Partners for Affordable Energy</w:t>
            </w:r>
          </w:p>
          <w:p w:rsidR="00EA6E2C" w:rsidRDefault="00EA6E2C">
            <w:pPr>
              <w:keepNext/>
              <w:keepLines/>
              <w:widowControl/>
              <w:spacing w:line="320" w:lineRule="exact"/>
              <w:rPr>
                <w:rFonts w:ascii="Palatino Linotype" w:hAnsi="Palatino Linotype"/>
                <w:bCs/>
              </w:rPr>
            </w:pPr>
            <w:r>
              <w:rPr>
                <w:rFonts w:ascii="Palatino Linotype" w:hAnsi="Palatino Linotype"/>
                <w:bCs/>
              </w:rPr>
              <w:t>231 West Lima Street</w:t>
            </w:r>
          </w:p>
          <w:p w:rsidR="00EA6E2C" w:rsidRDefault="00EA6E2C">
            <w:pPr>
              <w:keepNext/>
              <w:keepLines/>
              <w:widowControl/>
              <w:spacing w:line="320" w:lineRule="exact"/>
              <w:rPr>
                <w:rFonts w:ascii="Palatino Linotype" w:hAnsi="Palatino Linotype"/>
                <w:bCs/>
              </w:rPr>
            </w:pPr>
            <w:r>
              <w:rPr>
                <w:rFonts w:ascii="Palatino Linotype" w:hAnsi="Palatino Linotype"/>
                <w:bCs/>
              </w:rPr>
              <w:t>P.O. Box 1793</w:t>
            </w:r>
          </w:p>
          <w:p w:rsidR="00EA6E2C" w:rsidRDefault="00EA6E2C">
            <w:pPr>
              <w:keepNext/>
              <w:keepLines/>
              <w:widowControl/>
              <w:spacing w:line="320" w:lineRule="exact"/>
              <w:rPr>
                <w:rFonts w:ascii="Palatino Linotype" w:hAnsi="Palatino Linotype"/>
                <w:bCs/>
              </w:rPr>
            </w:pPr>
            <w:r>
              <w:rPr>
                <w:rFonts w:ascii="Palatino Linotype" w:hAnsi="Palatino Linotype"/>
                <w:bCs/>
              </w:rPr>
              <w:t>Findlay, OH 45839-1793</w:t>
            </w:r>
          </w:p>
          <w:p w:rsidR="00EA6E2C" w:rsidRDefault="00EA6E2C">
            <w:pPr>
              <w:keepNext/>
              <w:keepLines/>
              <w:widowControl/>
              <w:spacing w:line="320" w:lineRule="exact"/>
              <w:rPr>
                <w:rFonts w:ascii="Palatino Linotype" w:hAnsi="Palatino Linotype"/>
                <w:bCs/>
              </w:rPr>
            </w:pPr>
            <w:r>
              <w:rPr>
                <w:rFonts w:ascii="Palatino Linotype" w:hAnsi="Palatino Linotype"/>
                <w:bCs/>
              </w:rPr>
              <w:t>Cmooney2@columbus.rr.com</w:t>
            </w:r>
          </w:p>
          <w:p w:rsidR="00EA6E2C" w:rsidRDefault="00EA6E2C">
            <w:pPr>
              <w:keepNext/>
              <w:keepLines/>
              <w:widowControl/>
              <w:spacing w:line="320" w:lineRule="exact"/>
              <w:rPr>
                <w:rFonts w:ascii="Palatino Linotype" w:hAnsi="Palatino Linotype"/>
                <w:bCs/>
              </w:rPr>
            </w:pPr>
          </w:p>
        </w:tc>
        <w:tc>
          <w:tcPr>
            <w:tcW w:w="4428" w:type="dxa"/>
          </w:tcPr>
          <w:p w:rsidR="00EA6E2C" w:rsidRDefault="00EA6E2C">
            <w:pPr>
              <w:keepNext/>
              <w:keepLines/>
              <w:widowControl/>
              <w:spacing w:line="320" w:lineRule="exact"/>
              <w:rPr>
                <w:rFonts w:ascii="Palatino Linotype" w:hAnsi="Palatino Linotype"/>
                <w:bCs/>
              </w:rPr>
            </w:pPr>
          </w:p>
        </w:tc>
      </w:tr>
    </w:tbl>
    <w:p w:rsidR="00EA6E2C" w:rsidRDefault="00EA6E2C">
      <w:pPr>
        <w:keepNext/>
        <w:keepLines/>
        <w:widowControl/>
        <w:spacing w:line="320" w:lineRule="exact"/>
        <w:rPr>
          <w:rFonts w:ascii="Palatino Linotype" w:hAnsi="Palatino Linotype"/>
          <w:b/>
          <w:bCs/>
          <w:spacing w:val="-12"/>
          <w:u w:val="single"/>
        </w:rPr>
      </w:pPr>
    </w:p>
    <w:sectPr w:rsidR="00EA6E2C" w:rsidSect="00533715">
      <w:footerReference w:type="default" r:id="rId8"/>
      <w:pgSz w:w="12240" w:h="15840"/>
      <w:pgMar w:top="1440" w:right="1800" w:bottom="1440" w:left="180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E2C" w:rsidRDefault="00EA6E2C">
      <w:r>
        <w:separator/>
      </w:r>
    </w:p>
  </w:endnote>
  <w:endnote w:type="continuationSeparator" w:id="0">
    <w:p w:rsidR="00EA6E2C" w:rsidRDefault="00EA6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2C" w:rsidRDefault="00EA6E2C">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Pr>
        <w:rFonts w:cs="Courier"/>
        <w:noProof/>
      </w:rPr>
      <w:t>2</w:t>
    </w:r>
    <w:r>
      <w:rPr>
        <w:rFonts w:cs="Courier"/>
      </w:rPr>
      <w:fldChar w:fldCharType="end"/>
    </w:r>
  </w:p>
  <w:p w:rsidR="00EA6E2C" w:rsidRDefault="00EA6E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E2C" w:rsidRDefault="00EA6E2C">
    <w:r>
      <w:rPr>
        <w:noProof/>
      </w:rPr>
      <w:pict>
        <v:rect id="Rectangle 1" o:spid="_x0000_s2049" style="position:absolute;margin-left:1in;margin-top:12pt;width:468pt;height:1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EA6E2C" w:rsidRDefault="00EA6E2C">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Pr>
                    <w:noProof/>
                    <w:spacing w:val="-3"/>
                  </w:rPr>
                  <w:t>4</w:t>
                </w:r>
                <w:r>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E2C" w:rsidRDefault="00EA6E2C">
      <w:r>
        <w:separator/>
      </w:r>
    </w:p>
  </w:footnote>
  <w:footnote w:type="continuationSeparator" w:id="0">
    <w:p w:rsidR="00EA6E2C" w:rsidRDefault="00EA6E2C">
      <w:r>
        <w:continuationSeparator/>
      </w:r>
    </w:p>
  </w:footnote>
  <w:footnote w:id="1">
    <w:p w:rsidR="00EA6E2C" w:rsidRDefault="00EA6E2C">
      <w:pPr>
        <w:pStyle w:val="FootnoteText"/>
      </w:pPr>
      <w:r>
        <w:rPr>
          <w:rStyle w:val="FootnoteReference"/>
          <w:rFonts w:ascii="Palatino Linotype" w:hAnsi="Palatino Linotype"/>
        </w:rPr>
        <w:footnoteRef/>
      </w:r>
      <w:r>
        <w:rPr>
          <w:rFonts w:ascii="Palatino Linotype" w:hAnsi="Palatino Linotype"/>
        </w:rPr>
        <w:t xml:space="preserve"> Ohio Partners for Affordable Energy Memorandum Contra (January 19, 2012) at 3.</w:t>
      </w:r>
    </w:p>
  </w:footnote>
  <w:footnote w:id="2">
    <w:p w:rsidR="00EA6E2C" w:rsidRDefault="00EA6E2C">
      <w:pPr>
        <w:pStyle w:val="FootnoteText"/>
      </w:pPr>
      <w:r>
        <w:rPr>
          <w:rStyle w:val="FootnoteReference"/>
          <w:rFonts w:ascii="Palatino Linotype" w:hAnsi="Palatino Linotype"/>
        </w:rPr>
        <w:footnoteRef/>
      </w:r>
      <w:r>
        <w:rPr>
          <w:rFonts w:ascii="Palatino Linotype" w:hAnsi="Palatino Linotype"/>
        </w:rPr>
        <w:t xml:space="preserve"> Case Nos. 08-0072-GA-AIR et al., Joint Stipulation and Recommendation (October 24, 2008) at 9 (emphasis added).</w:t>
      </w:r>
    </w:p>
  </w:footnote>
  <w:footnote w:id="3">
    <w:p w:rsidR="00EA6E2C" w:rsidRDefault="00EA6E2C">
      <w:pPr>
        <w:pStyle w:val="FootnoteText"/>
      </w:pPr>
      <w:r>
        <w:rPr>
          <w:rStyle w:val="FootnoteReference"/>
        </w:rPr>
        <w:footnoteRef/>
      </w:r>
      <w:r>
        <w:t xml:space="preserve"> Ohio Partners for Affordable Energy Memorandum Contra (January 19, 2012) at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9FA"/>
    <w:multiLevelType w:val="hybridMultilevel"/>
    <w:tmpl w:val="9E8A82BC"/>
    <w:lvl w:ilvl="0" w:tplc="04090015">
      <w:start w:val="1"/>
      <w:numFmt w:val="upperLetter"/>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1A782EEA"/>
    <w:multiLevelType w:val="hybridMultilevel"/>
    <w:tmpl w:val="67186156"/>
    <w:lvl w:ilvl="0" w:tplc="0A74752A">
      <w:start w:val="10"/>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5E26CA4"/>
    <w:multiLevelType w:val="hybridMultilevel"/>
    <w:tmpl w:val="E7402250"/>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705B1D2A"/>
    <w:multiLevelType w:val="hybridMultilevel"/>
    <w:tmpl w:val="06E0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E2C"/>
    <w:rsid w:val="00533715"/>
    <w:rsid w:val="00EA6E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A6E2C"/>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A6E2C"/>
    <w:rPr>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99"/>
    <w:qFormat/>
    <w:pPr>
      <w:widowControl/>
      <w:autoSpaceDE/>
      <w:autoSpaceDN/>
      <w:adjustRightInd/>
      <w:ind w:left="720"/>
      <w:contextualSpacing/>
    </w:pPr>
  </w:style>
  <w:style w:type="paragraph" w:styleId="FootnoteText">
    <w:name w:val="footnote text"/>
    <w:basedOn w:val="Normal"/>
    <w:link w:val="FootnoteTextChar"/>
    <w:uiPriority w:val="99"/>
    <w:pPr>
      <w:widowControl/>
      <w:autoSpaceDE/>
      <w:autoSpaceDN/>
      <w:adjustRightInd/>
    </w:pPr>
    <w:rPr>
      <w:sz w:val="20"/>
      <w:szCs w:val="20"/>
      <w:lang w:eastAsia="ko-KR"/>
    </w:rPr>
  </w:style>
  <w:style w:type="character" w:customStyle="1" w:styleId="FootnoteTextChar">
    <w:name w:val="Footnote Text Char"/>
    <w:basedOn w:val="DefaultParagraphFont"/>
    <w:link w:val="FootnoteText"/>
    <w:uiPriority w:val="99"/>
    <w:locked/>
    <w:rPr>
      <w:rFonts w:cs="Times New Roman"/>
      <w:lang w:eastAsia="ko-KR"/>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937</Words>
  <Characters>5342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Stephen Seiple</dc:creator>
  <cp:keywords/>
  <dc:description/>
  <cp:lastModifiedBy>u124106</cp:lastModifiedBy>
  <cp:revision>2</cp:revision>
  <cp:lastPrinted>2012-01-23T17:37:00Z</cp:lastPrinted>
  <dcterms:created xsi:type="dcterms:W3CDTF">2012-01-23T17:44:00Z</dcterms:created>
  <dcterms:modified xsi:type="dcterms:W3CDTF">2012-01-23T17:44:00Z</dcterms:modified>
</cp:coreProperties>
</file>