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bookmarkStart w:id="0" w:name="_GoBack"/>
      <w:bookmarkEnd w:id="0"/>
      <w:r w:rsidRPr="00BF2D87">
        <w:rPr>
          <w:rFonts w:ascii="Times New Roman" w:eastAsia="Courier New" w:hAnsi="Times New Roman" w:cs="Courier New"/>
          <w:b/>
          <w:bCs/>
          <w:sz w:val="24"/>
          <w:szCs w:val="20"/>
        </w:rPr>
        <w:t>BEFORE</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0"/>
        </w:rPr>
      </w:pPr>
      <w:r w:rsidRPr="00BF2D87">
        <w:rPr>
          <w:rFonts w:ascii="Times New Roman" w:eastAsia="Courier New" w:hAnsi="Times New Roman" w:cs="Courier New"/>
          <w:b/>
          <w:bCs/>
          <w:sz w:val="24"/>
          <w:szCs w:val="20"/>
        </w:rPr>
        <w:t>THE PUBLIC UTILITIES COMMISSION OF OHIO</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bl>
      <w:tblPr>
        <w:tblW w:w="9092" w:type="dxa"/>
        <w:tblLook w:val="01E0" w:firstRow="1" w:lastRow="1" w:firstColumn="1" w:lastColumn="1" w:noHBand="0" w:noVBand="0"/>
      </w:tblPr>
      <w:tblGrid>
        <w:gridCol w:w="4332"/>
        <w:gridCol w:w="360"/>
        <w:gridCol w:w="4400"/>
      </w:tblGrid>
      <w:tr w:rsidR="00BF2D87" w:rsidRPr="00BF2D87" w:rsidTr="00D41C87">
        <w:trPr>
          <w:trHeight w:val="807"/>
        </w:trPr>
        <w:tc>
          <w:tcPr>
            <w:tcW w:w="4332" w:type="dxa"/>
          </w:tcPr>
          <w:p w:rsidR="00BF2D87" w:rsidRDefault="00BF2D87" w:rsidP="00130F92">
            <w:pPr>
              <w:autoSpaceDE w:val="0"/>
              <w:autoSpaceDN w:val="0"/>
              <w:adjustRightInd w:val="0"/>
              <w:spacing w:after="0" w:line="240" w:lineRule="auto"/>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In the Matter of the Application Seeking Approval of Ohio Power Company</w:t>
            </w:r>
            <w:r w:rsidR="00130F92">
              <w:rPr>
                <w:rFonts w:ascii="Times New Roman" w:eastAsiaTheme="minorEastAsia" w:hAnsi="Times New Roman" w:cs="Times New Roman"/>
                <w:sz w:val="24"/>
                <w:szCs w:val="24"/>
              </w:rPr>
              <w:t>’</w:t>
            </w:r>
            <w:r w:rsidRPr="00BF2D87">
              <w:rPr>
                <w:rFonts w:ascii="Times New Roman" w:eastAsiaTheme="minorEastAsia" w:hAnsi="Times New Roman" w:cs="Times New Roman"/>
                <w:sz w:val="24"/>
                <w:szCs w:val="24"/>
              </w:rPr>
              <w:t>s Proposal to Enter into an Affiliate Power Purchase Agreement in the Power Purchase Agreement Rider.</w:t>
            </w:r>
          </w:p>
          <w:p w:rsidR="00130F92" w:rsidRPr="00BF2D87" w:rsidRDefault="00130F92" w:rsidP="00130F92">
            <w:pPr>
              <w:autoSpaceDE w:val="0"/>
              <w:autoSpaceDN w:val="0"/>
              <w:adjustRightInd w:val="0"/>
              <w:spacing w:after="0" w:line="240" w:lineRule="auto"/>
              <w:rPr>
                <w:rFonts w:ascii="Times New Roman" w:eastAsiaTheme="minorEastAsia" w:hAnsi="Times New Roman" w:cs="Times New Roman"/>
                <w:sz w:val="24"/>
                <w:szCs w:val="24"/>
              </w:rPr>
            </w:pPr>
          </w:p>
          <w:p w:rsidR="00BF2D87" w:rsidRPr="00BF2D87" w:rsidRDefault="00BF2D87" w:rsidP="00130F92">
            <w:pPr>
              <w:autoSpaceDE w:val="0"/>
              <w:autoSpaceDN w:val="0"/>
              <w:adjustRightInd w:val="0"/>
              <w:spacing w:after="0" w:line="240" w:lineRule="auto"/>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 xml:space="preserve">In the Matter of the Application of Ohio Power Company for Approval of Certain Accounting Authority. </w:t>
            </w:r>
          </w:p>
          <w:p w:rsidR="00BF2D87" w:rsidRPr="00BF2D87" w:rsidRDefault="00BF2D87"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4"/>
              </w:rPr>
            </w:pPr>
          </w:p>
        </w:tc>
        <w:tc>
          <w:tcPr>
            <w:tcW w:w="360" w:type="dxa"/>
          </w:tcPr>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c>
          <w:tcPr>
            <w:tcW w:w="4400" w:type="dxa"/>
          </w:tcPr>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Case No. 14-1693-EL-RDR</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Case No. 14-1694-EL-AAM</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r>
    </w:tbl>
    <w:p w:rsidR="00BF2D87" w:rsidRPr="00BF2D87" w:rsidRDefault="00BF2D87" w:rsidP="00BF2D8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i/>
          <w:sz w:val="24"/>
          <w:szCs w:val="20"/>
        </w:r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Pr>
          <w:rFonts w:ascii="Times New Roman" w:eastAsia="Courier New" w:hAnsi="Times New Roman" w:cs="Courier New"/>
          <w:b/>
          <w:bCs/>
          <w:sz w:val="24"/>
          <w:szCs w:val="20"/>
        </w:rPr>
        <w:t>REPLY</w:t>
      </w:r>
      <w:r w:rsidRPr="00BF2D87">
        <w:rPr>
          <w:rFonts w:ascii="Times New Roman" w:eastAsia="Courier New" w:hAnsi="Times New Roman" w:cs="Courier New"/>
          <w:b/>
          <w:bCs/>
          <w:sz w:val="24"/>
          <w:szCs w:val="20"/>
        </w:rPr>
        <w:t xml:space="preserve"> BRIEF</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BY</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THE OFFICE OF THE OHIO CONSUMERS</w:t>
      </w:r>
      <w:r w:rsidR="00130F92">
        <w:rPr>
          <w:rFonts w:ascii="Times New Roman" w:eastAsia="Courier New" w:hAnsi="Times New Roman" w:cs="Courier New"/>
          <w:b/>
          <w:bCs/>
          <w:sz w:val="24"/>
          <w:szCs w:val="20"/>
        </w:rPr>
        <w:t>’</w:t>
      </w:r>
      <w:r w:rsidRPr="00BF2D87">
        <w:rPr>
          <w:rFonts w:ascii="Times New Roman" w:eastAsia="Courier New" w:hAnsi="Times New Roman" w:cs="Courier New"/>
          <w:b/>
          <w:bCs/>
          <w:sz w:val="24"/>
          <w:szCs w:val="20"/>
        </w:rPr>
        <w:t xml:space="preserve"> COUNSEL</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APPALACHIAN PEACE AND JUSTICE NETWORK</w:t>
      </w:r>
    </w:p>
    <w:p w:rsidR="00BF2D87" w:rsidRPr="00BF2D87" w:rsidRDefault="00BF2D87" w:rsidP="00BF2D8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sz w:val="24"/>
          <w:szCs w:val="20"/>
        </w:rPr>
      </w:pP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Bruce J. Weston (0016973)</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OHIO CONSUMERS</w:t>
      </w:r>
      <w:r w:rsidR="00130F92">
        <w:rPr>
          <w:rFonts w:ascii="Times New Roman" w:eastAsiaTheme="minorEastAsia" w:hAnsi="Times New Roman" w:cs="Times New Roman"/>
          <w:sz w:val="24"/>
        </w:rPr>
        <w:t>’</w:t>
      </w:r>
      <w:r w:rsidRPr="00BF2D87">
        <w:rPr>
          <w:rFonts w:ascii="Times New Roman" w:eastAsiaTheme="minorEastAsia" w:hAnsi="Times New Roman" w:cs="Times New Roman"/>
          <w:sz w:val="24"/>
        </w:rPr>
        <w:t xml:space="preserve"> COUNSEL</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William J. Michael (0070921)</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Counsel of Record</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Jodi J. Bair (0062921)</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Kevin F. Moore (0089228)</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Assistant Consumers</w:t>
      </w:r>
      <w:r w:rsidR="00130F92">
        <w:rPr>
          <w:rFonts w:ascii="Times New Roman" w:eastAsiaTheme="minorEastAsia" w:hAnsi="Times New Roman" w:cs="Times New Roman"/>
          <w:sz w:val="24"/>
        </w:rPr>
        <w:t>’</w:t>
      </w:r>
      <w:r w:rsidRPr="00BF2D87">
        <w:rPr>
          <w:rFonts w:ascii="Times New Roman" w:eastAsiaTheme="minorEastAsia" w:hAnsi="Times New Roman" w:cs="Times New Roman"/>
          <w:sz w:val="24"/>
        </w:rPr>
        <w:t xml:space="preserve"> Counsel</w:t>
      </w:r>
    </w:p>
    <w:p w:rsidR="00BF2D87" w:rsidRPr="00BF2D87" w:rsidRDefault="00BF2D87" w:rsidP="00BF2D87">
      <w:pPr>
        <w:spacing w:after="0" w:line="240" w:lineRule="auto"/>
        <w:rPr>
          <w:rFonts w:ascii="Times New Roman" w:eastAsiaTheme="minorEastAsia" w:hAnsi="Times New Roman" w:cs="Times New Roman"/>
          <w:sz w:val="24"/>
        </w:rPr>
      </w:pPr>
    </w:p>
    <w:p w:rsidR="00BF2D87" w:rsidRPr="00BF2D87" w:rsidRDefault="00BF2D87" w:rsidP="00BF2D87">
      <w:pPr>
        <w:spacing w:after="0" w:line="240" w:lineRule="auto"/>
        <w:rPr>
          <w:rFonts w:ascii="Times New Roman" w:eastAsiaTheme="minorEastAsia" w:hAnsi="Times New Roman" w:cs="Times New Roman"/>
          <w:b/>
          <w:sz w:val="24"/>
        </w:rPr>
      </w:pP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t>Office of the Ohio Consumers</w:t>
      </w:r>
      <w:r w:rsidR="00130F92">
        <w:rPr>
          <w:rFonts w:ascii="Times New Roman" w:eastAsiaTheme="minorEastAsia" w:hAnsi="Times New Roman" w:cs="Times New Roman"/>
          <w:b/>
          <w:sz w:val="24"/>
        </w:rPr>
        <w:t>’</w:t>
      </w:r>
      <w:r w:rsidRPr="00BF2D87">
        <w:rPr>
          <w:rFonts w:ascii="Times New Roman" w:eastAsiaTheme="minorEastAsia" w:hAnsi="Times New Roman" w:cs="Times New Roman"/>
          <w:b/>
          <w:sz w:val="24"/>
        </w:rPr>
        <w:t xml:space="preserve"> Counsel</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10 W. Broad Street, Suite 1800</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Columbus, Ohio 43215-3485</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Telephone [Michael]: 614-466-1291</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Telephone [Bair]: 614-466-9559</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Telephone [Moore]: 614-466-2965</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hyperlink r:id="rId8" w:history="1">
        <w:r w:rsidRPr="00BF2D87">
          <w:rPr>
            <w:rFonts w:ascii="Times New Roman" w:eastAsiaTheme="minorEastAsia" w:hAnsi="Times New Roman" w:cs="Times New Roman"/>
            <w:color w:val="0000FF"/>
            <w:sz w:val="24"/>
            <w:u w:val="single"/>
          </w:rPr>
          <w:t>William.michael@occ.ohio.gov</w:t>
        </w:r>
      </w:hyperlink>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 accept service via email)</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hyperlink r:id="rId9" w:history="1">
        <w:r w:rsidRPr="00BF2D87">
          <w:rPr>
            <w:rFonts w:ascii="Times New Roman" w:eastAsiaTheme="minorEastAsia" w:hAnsi="Times New Roman" w:cs="Times New Roman"/>
            <w:color w:val="0000FF"/>
            <w:sz w:val="24"/>
            <w:u w:val="single"/>
          </w:rPr>
          <w:t>Jodi.bair@occ.ohio.gov</w:t>
        </w:r>
      </w:hyperlink>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 accept service via email)</w:t>
      </w:r>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hyperlink r:id="rId10" w:history="1">
        <w:r w:rsidRPr="00BF2D87">
          <w:rPr>
            <w:rFonts w:ascii="Times New Roman" w:eastAsiaTheme="minorEastAsia" w:hAnsi="Times New Roman" w:cs="Times New Roman"/>
            <w:color w:val="0000FF"/>
            <w:sz w:val="24"/>
            <w:u w:val="single"/>
          </w:rPr>
          <w:t>kevin.moore@occ.ohio.gov</w:t>
        </w:r>
      </w:hyperlink>
    </w:p>
    <w:p w:rsidR="00BF2D87" w:rsidRPr="00BF2D87" w:rsidRDefault="00BF2D87" w:rsidP="00BF2D87">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 accept service via email)</w:t>
      </w:r>
    </w:p>
    <w:p w:rsidR="00BF2D87" w:rsidRPr="00BF2D87" w:rsidRDefault="00BF2D87" w:rsidP="00BF2D87">
      <w:pPr>
        <w:spacing w:after="0" w:line="240" w:lineRule="auto"/>
        <w:rPr>
          <w:rFonts w:ascii="Times New Roman" w:eastAsiaTheme="minorEastAsia" w:hAnsi="Times New Roman" w:cs="Times New Roman"/>
          <w:sz w:val="24"/>
        </w:rPr>
      </w:pPr>
    </w:p>
    <w:p w:rsidR="00BF2D87" w:rsidRPr="00BF2D87" w:rsidRDefault="00BF2D87" w:rsidP="00BF2D87">
      <w:pPr>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br w:type="page"/>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lastRenderedPageBreak/>
        <w:t>Dane Stinson (0019101)</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Bricker &amp; Eckler LLP</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100 S. Third St.</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Columbus, OH 43215</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Phone:  (614) 227-2300</w:t>
      </w:r>
    </w:p>
    <w:p w:rsidR="00BF2D87" w:rsidRPr="00BF2D87" w:rsidRDefault="007E6ABF" w:rsidP="00BF2D87">
      <w:pPr>
        <w:autoSpaceDE w:val="0"/>
        <w:autoSpaceDN w:val="0"/>
        <w:adjustRightInd w:val="0"/>
        <w:spacing w:after="0" w:line="240" w:lineRule="auto"/>
        <w:ind w:left="4320"/>
        <w:rPr>
          <w:rFonts w:ascii="Times New Roman" w:eastAsiaTheme="minorEastAsia" w:hAnsi="Times New Roman" w:cs="Times New Roman"/>
          <w:color w:val="0000FF"/>
          <w:sz w:val="24"/>
          <w:szCs w:val="24"/>
          <w:u w:val="single"/>
        </w:rPr>
      </w:pPr>
      <w:hyperlink r:id="rId11" w:history="1">
        <w:r w:rsidR="00BF2D87" w:rsidRPr="00BF2D87">
          <w:rPr>
            <w:rFonts w:ascii="Times New Roman" w:eastAsiaTheme="minorEastAsia" w:hAnsi="Times New Roman" w:cs="Times New Roman"/>
            <w:color w:val="0000FF"/>
            <w:sz w:val="24"/>
            <w:szCs w:val="24"/>
            <w:u w:val="single"/>
          </w:rPr>
          <w:t>dstinson@bricker.com</w:t>
        </w:r>
      </w:hyperlink>
    </w:p>
    <w:p w:rsidR="00BF2D87" w:rsidRPr="00130F92"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130F92">
        <w:rPr>
          <w:rFonts w:ascii="Times New Roman" w:eastAsiaTheme="minorEastAsia" w:hAnsi="Times New Roman" w:cs="Times New Roman"/>
          <w:sz w:val="24"/>
          <w:szCs w:val="24"/>
        </w:rPr>
        <w:t>(will accept service via email)</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i/>
          <w:sz w:val="24"/>
          <w:szCs w:val="24"/>
        </w:rPr>
      </w:pPr>
      <w:r w:rsidRPr="00BF2D87">
        <w:rPr>
          <w:rFonts w:ascii="Times New Roman" w:eastAsiaTheme="minorEastAsia" w:hAnsi="Times New Roman" w:cs="Times New Roman"/>
          <w:i/>
          <w:sz w:val="24"/>
          <w:szCs w:val="24"/>
        </w:rPr>
        <w:t xml:space="preserve">Outside Counsel for the Office of </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i/>
          <w:sz w:val="24"/>
          <w:szCs w:val="24"/>
        </w:rPr>
        <w:t>The Ohio Consumers</w:t>
      </w:r>
      <w:r w:rsidR="00130F92">
        <w:rPr>
          <w:rFonts w:ascii="Times New Roman" w:eastAsiaTheme="minorEastAsia" w:hAnsi="Times New Roman" w:cs="Times New Roman"/>
          <w:i/>
          <w:sz w:val="24"/>
          <w:szCs w:val="24"/>
        </w:rPr>
        <w:t>’</w:t>
      </w:r>
      <w:r w:rsidRPr="00BF2D87">
        <w:rPr>
          <w:rFonts w:ascii="Times New Roman" w:eastAsiaTheme="minorEastAsia" w:hAnsi="Times New Roman" w:cs="Times New Roman"/>
          <w:i/>
          <w:sz w:val="24"/>
          <w:szCs w:val="24"/>
        </w:rPr>
        <w:t xml:space="preserve"> Counsel</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p>
    <w:p w:rsidR="00130F92"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Michael R. Smalz</w:t>
      </w:r>
      <w:r w:rsidR="00130F92">
        <w:rPr>
          <w:rFonts w:ascii="Times New Roman" w:eastAsiaTheme="minorEastAsia" w:hAnsi="Times New Roman" w:cs="Times New Roman"/>
          <w:sz w:val="24"/>
          <w:szCs w:val="24"/>
        </w:rPr>
        <w:t xml:space="preserve"> </w:t>
      </w:r>
      <w:r w:rsidR="00130F92" w:rsidRPr="00BF2D87">
        <w:rPr>
          <w:rFonts w:ascii="Times New Roman" w:eastAsiaTheme="minorEastAsia" w:hAnsi="Times New Roman" w:cs="Times New Roman"/>
          <w:sz w:val="24"/>
          <w:szCs w:val="24"/>
        </w:rPr>
        <w:t>(0041897)</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Counsel of Record</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Ohio Poverty Law Center</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555 Buttles Avenue</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Columbus, OH 3215-1137</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Telephone: (614) 824-2502</w:t>
      </w:r>
    </w:p>
    <w:p w:rsidR="00BF2D87" w:rsidRPr="00BF2D87" w:rsidRDefault="00BF2D87" w:rsidP="00BF2D87">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 xml:space="preserve">e-mail: </w:t>
      </w:r>
      <w:hyperlink r:id="rId12" w:history="1">
        <w:r w:rsidRPr="00BF2D87">
          <w:rPr>
            <w:rFonts w:ascii="Times New Roman" w:eastAsiaTheme="minorEastAsia" w:hAnsi="Times New Roman" w:cs="Times New Roman"/>
            <w:color w:val="0000FF"/>
            <w:sz w:val="24"/>
            <w:szCs w:val="24"/>
            <w:u w:val="single"/>
          </w:rPr>
          <w:t>msmalz@ohiopovertylaw.org</w:t>
        </w:r>
      </w:hyperlink>
    </w:p>
    <w:p w:rsidR="00BF2D87" w:rsidRPr="00BF2D87" w:rsidRDefault="00BF2D87" w:rsidP="00BF2D87">
      <w:pPr>
        <w:spacing w:after="0" w:line="240" w:lineRule="auto"/>
        <w:jc w:val="both"/>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 xml:space="preserve">February </w:t>
      </w:r>
      <w:r>
        <w:rPr>
          <w:rFonts w:ascii="Times New Roman" w:eastAsiaTheme="minorEastAsia" w:hAnsi="Times New Roman" w:cs="Times New Roman"/>
          <w:sz w:val="24"/>
          <w:szCs w:val="24"/>
        </w:rPr>
        <w:t>8</w:t>
      </w:r>
      <w:r w:rsidRPr="00BF2D87">
        <w:rPr>
          <w:rFonts w:ascii="Times New Roman" w:eastAsiaTheme="minorEastAsia" w:hAnsi="Times New Roman" w:cs="Times New Roman"/>
          <w:sz w:val="24"/>
          <w:szCs w:val="24"/>
        </w:rPr>
        <w:t>, 2016</w:t>
      </w:r>
      <w:r w:rsidRPr="00BF2D87">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t>(willing to accept email service)</w:t>
      </w:r>
    </w:p>
    <w:p w:rsidR="00BF2D87" w:rsidRPr="00BF2D87" w:rsidRDefault="00BF2D87" w:rsidP="00BF2D87">
      <w:pPr>
        <w:spacing w:after="0" w:line="240" w:lineRule="auto"/>
        <w:ind w:left="4320"/>
        <w:rPr>
          <w:rFonts w:ascii="Times New Roman" w:eastAsiaTheme="minorEastAsia" w:hAnsi="Times New Roman" w:cs="Times New Roman"/>
          <w:sz w:val="24"/>
          <w:szCs w:val="24"/>
        </w:rPr>
      </w:pPr>
    </w:p>
    <w:p w:rsidR="00BF2D87" w:rsidRPr="00BF2D87" w:rsidRDefault="00BF2D87" w:rsidP="00BF2D87">
      <w:pPr>
        <w:spacing w:after="0" w:line="240" w:lineRule="auto"/>
        <w:ind w:left="4320"/>
        <w:rPr>
          <w:rFonts w:ascii="Times New Roman" w:eastAsiaTheme="minorEastAsia" w:hAnsi="Times New Roman" w:cs="Times New Roman"/>
          <w:sz w:val="24"/>
        </w:rPr>
        <w:sectPr w:rsidR="00BF2D87" w:rsidRPr="00BF2D87" w:rsidSect="00D41C8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docGrid w:linePitch="360"/>
        </w:sectPr>
      </w:pPr>
    </w:p>
    <w:p w:rsidR="00BF2D87" w:rsidRPr="00BF2D87" w:rsidRDefault="00BF2D87" w:rsidP="00BF2D87">
      <w:pPr>
        <w:spacing w:after="0" w:line="240" w:lineRule="auto"/>
        <w:jc w:val="center"/>
        <w:rPr>
          <w:rFonts w:ascii="Times New Roman" w:eastAsiaTheme="minorEastAsia" w:hAnsi="Times New Roman" w:cs="Times New Roman"/>
          <w:b/>
          <w:sz w:val="24"/>
          <w:u w:val="single"/>
        </w:rPr>
      </w:pPr>
      <w:r w:rsidRPr="00BF2D87">
        <w:rPr>
          <w:rFonts w:ascii="Times New Roman" w:eastAsiaTheme="minorEastAsia" w:hAnsi="Times New Roman" w:cs="Times New Roman"/>
          <w:b/>
          <w:sz w:val="24"/>
          <w:u w:val="single"/>
        </w:rPr>
        <w:lastRenderedPageBreak/>
        <w:t>TABLE OF CONTENTS</w:t>
      </w:r>
    </w:p>
    <w:p w:rsidR="00BF2D87" w:rsidRPr="00BF2D87" w:rsidRDefault="00BF2D87" w:rsidP="00BF2D87">
      <w:pPr>
        <w:spacing w:after="0" w:line="240" w:lineRule="auto"/>
        <w:jc w:val="right"/>
        <w:rPr>
          <w:rFonts w:ascii="Times New Roman" w:eastAsiaTheme="minorEastAsia" w:hAnsi="Times New Roman" w:cs="Times New Roman"/>
          <w:b/>
          <w:sz w:val="24"/>
        </w:rPr>
      </w:pPr>
      <w:r w:rsidRPr="00BF2D87">
        <w:rPr>
          <w:rFonts w:ascii="Times New Roman" w:eastAsiaTheme="minorEastAsia" w:hAnsi="Times New Roman" w:cs="Times New Roman"/>
          <w:b/>
          <w:sz w:val="24"/>
        </w:rPr>
        <w:t>PAGE</w:t>
      </w:r>
    </w:p>
    <w:p w:rsidR="00BF2D87" w:rsidRDefault="00BF2D87" w:rsidP="00BF2D87">
      <w:pPr>
        <w:spacing w:after="0" w:line="240" w:lineRule="auto"/>
        <w:jc w:val="right"/>
        <w:rPr>
          <w:rFonts w:ascii="Times New Roman" w:eastAsiaTheme="minorEastAsia" w:hAnsi="Times New Roman" w:cs="Times New Roman"/>
          <w:b/>
          <w:sz w:val="24"/>
        </w:rPr>
      </w:pPr>
    </w:p>
    <w:p w:rsidR="0059342E" w:rsidRDefault="005F2836" w:rsidP="0059342E">
      <w:pPr>
        <w:pStyle w:val="TOC1"/>
        <w:ind w:right="720"/>
        <w:rPr>
          <w:rFonts w:asciiTheme="minorHAnsi" w:eastAsiaTheme="minorEastAsia" w:hAnsiTheme="minorHAnsi"/>
          <w:caps w:val="0"/>
          <w:noProof/>
          <w:sz w:val="22"/>
        </w:rPr>
      </w:pPr>
      <w:r>
        <w:rPr>
          <w:rFonts w:eastAsiaTheme="minorEastAsia" w:cs="Times New Roman"/>
          <w:b/>
          <w:caps w:val="0"/>
        </w:rPr>
        <w:fldChar w:fldCharType="begin"/>
      </w:r>
      <w:r>
        <w:rPr>
          <w:rFonts w:eastAsiaTheme="minorEastAsia" w:cs="Times New Roman"/>
          <w:b/>
          <w:caps w:val="0"/>
        </w:rPr>
        <w:instrText xml:space="preserve"> TOC \o "1-5" \h \z \u </w:instrText>
      </w:r>
      <w:r>
        <w:rPr>
          <w:rFonts w:eastAsiaTheme="minorEastAsia" w:cs="Times New Roman"/>
          <w:b/>
          <w:caps w:val="0"/>
        </w:rPr>
        <w:fldChar w:fldCharType="separate"/>
      </w:r>
      <w:hyperlink w:anchor="_Toc442713353" w:history="1">
        <w:r w:rsidR="0059342E" w:rsidRPr="008965D1">
          <w:rPr>
            <w:rStyle w:val="Hyperlink"/>
            <w:noProof/>
          </w:rPr>
          <w:t>I.</w:t>
        </w:r>
        <w:r w:rsidR="0059342E">
          <w:rPr>
            <w:rFonts w:asciiTheme="minorHAnsi" w:eastAsiaTheme="minorEastAsia" w:hAnsiTheme="minorHAnsi"/>
            <w:caps w:val="0"/>
            <w:noProof/>
            <w:sz w:val="22"/>
          </w:rPr>
          <w:tab/>
        </w:r>
        <w:r w:rsidR="0059342E" w:rsidRPr="008965D1">
          <w:rPr>
            <w:rStyle w:val="Hyperlink"/>
            <w:noProof/>
          </w:rPr>
          <w:t>INTRODUCTION</w:t>
        </w:r>
        <w:r w:rsidR="0059342E">
          <w:rPr>
            <w:noProof/>
            <w:webHidden/>
          </w:rPr>
          <w:tab/>
        </w:r>
        <w:r w:rsidR="0059342E">
          <w:rPr>
            <w:noProof/>
            <w:webHidden/>
          </w:rPr>
          <w:fldChar w:fldCharType="begin"/>
        </w:r>
        <w:r w:rsidR="0059342E">
          <w:rPr>
            <w:noProof/>
            <w:webHidden/>
          </w:rPr>
          <w:instrText xml:space="preserve"> PAGEREF _Toc442713353 \h </w:instrText>
        </w:r>
        <w:r w:rsidR="0059342E">
          <w:rPr>
            <w:noProof/>
            <w:webHidden/>
          </w:rPr>
        </w:r>
        <w:r w:rsidR="0059342E">
          <w:rPr>
            <w:noProof/>
            <w:webHidden/>
          </w:rPr>
          <w:fldChar w:fldCharType="separate"/>
        </w:r>
        <w:r w:rsidR="00DF74E7">
          <w:rPr>
            <w:noProof/>
            <w:webHidden/>
          </w:rPr>
          <w:t>2</w:t>
        </w:r>
        <w:r w:rsidR="0059342E">
          <w:rPr>
            <w:noProof/>
            <w:webHidden/>
          </w:rPr>
          <w:fldChar w:fldCharType="end"/>
        </w:r>
      </w:hyperlink>
    </w:p>
    <w:p w:rsidR="0059342E" w:rsidRDefault="007E6ABF" w:rsidP="0059342E">
      <w:pPr>
        <w:pStyle w:val="TOC1"/>
        <w:ind w:right="720"/>
        <w:rPr>
          <w:rFonts w:asciiTheme="minorHAnsi" w:eastAsiaTheme="minorEastAsia" w:hAnsiTheme="minorHAnsi"/>
          <w:caps w:val="0"/>
          <w:noProof/>
          <w:sz w:val="22"/>
        </w:rPr>
      </w:pPr>
      <w:hyperlink w:anchor="_Toc442713354" w:history="1">
        <w:r w:rsidR="0059342E" w:rsidRPr="008965D1">
          <w:rPr>
            <w:rStyle w:val="Hyperlink"/>
            <w:noProof/>
          </w:rPr>
          <w:t>II.</w:t>
        </w:r>
        <w:r w:rsidR="0059342E">
          <w:rPr>
            <w:rFonts w:asciiTheme="minorHAnsi" w:eastAsiaTheme="minorEastAsia" w:hAnsiTheme="minorHAnsi"/>
            <w:caps w:val="0"/>
            <w:noProof/>
            <w:sz w:val="22"/>
          </w:rPr>
          <w:tab/>
        </w:r>
        <w:r w:rsidR="0059342E" w:rsidRPr="008965D1">
          <w:rPr>
            <w:rStyle w:val="Hyperlink"/>
            <w:noProof/>
          </w:rPr>
          <w:t>RECOMMENDATIONS</w:t>
        </w:r>
        <w:r w:rsidR="0059342E">
          <w:rPr>
            <w:noProof/>
            <w:webHidden/>
          </w:rPr>
          <w:tab/>
        </w:r>
        <w:r w:rsidR="0059342E">
          <w:rPr>
            <w:noProof/>
            <w:webHidden/>
          </w:rPr>
          <w:fldChar w:fldCharType="begin"/>
        </w:r>
        <w:r w:rsidR="0059342E">
          <w:rPr>
            <w:noProof/>
            <w:webHidden/>
          </w:rPr>
          <w:instrText xml:space="preserve"> PAGEREF _Toc442713354 \h </w:instrText>
        </w:r>
        <w:r w:rsidR="0059342E">
          <w:rPr>
            <w:noProof/>
            <w:webHidden/>
          </w:rPr>
        </w:r>
        <w:r w:rsidR="0059342E">
          <w:rPr>
            <w:noProof/>
            <w:webHidden/>
          </w:rPr>
          <w:fldChar w:fldCharType="separate"/>
        </w:r>
        <w:r w:rsidR="00DF74E7">
          <w:rPr>
            <w:noProof/>
            <w:webHidden/>
          </w:rPr>
          <w:t>3</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55" w:history="1">
        <w:r w:rsidR="0059342E" w:rsidRPr="008965D1">
          <w:rPr>
            <w:rStyle w:val="Hyperlink"/>
            <w:noProof/>
          </w:rPr>
          <w:t>A.</w:t>
        </w:r>
        <w:r w:rsidR="0059342E">
          <w:rPr>
            <w:rFonts w:asciiTheme="minorHAnsi" w:eastAsiaTheme="minorEastAsia" w:hAnsiTheme="minorHAnsi"/>
            <w:noProof/>
            <w:sz w:val="22"/>
          </w:rPr>
          <w:tab/>
        </w:r>
        <w:r w:rsidR="0059342E" w:rsidRPr="008965D1">
          <w:rPr>
            <w:rStyle w:val="Hyperlink"/>
            <w:noProof/>
          </w:rPr>
          <w:t>The PUCO would ignore the jurisdictional issue (as AEP Ohio recommends) at its and consumers’ peril; instead, the PUCO should address the issue first.</w:t>
        </w:r>
        <w:r w:rsidR="0059342E">
          <w:rPr>
            <w:noProof/>
            <w:webHidden/>
          </w:rPr>
          <w:tab/>
        </w:r>
        <w:r w:rsidR="0059342E">
          <w:rPr>
            <w:noProof/>
            <w:webHidden/>
          </w:rPr>
          <w:fldChar w:fldCharType="begin"/>
        </w:r>
        <w:r w:rsidR="0059342E">
          <w:rPr>
            <w:noProof/>
            <w:webHidden/>
          </w:rPr>
          <w:instrText xml:space="preserve"> PAGEREF _Toc442713355 \h </w:instrText>
        </w:r>
        <w:r w:rsidR="0059342E">
          <w:rPr>
            <w:noProof/>
            <w:webHidden/>
          </w:rPr>
        </w:r>
        <w:r w:rsidR="0059342E">
          <w:rPr>
            <w:noProof/>
            <w:webHidden/>
          </w:rPr>
          <w:fldChar w:fldCharType="separate"/>
        </w:r>
        <w:r w:rsidR="00DF74E7">
          <w:rPr>
            <w:noProof/>
            <w:webHidden/>
          </w:rPr>
          <w:t>3</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56" w:history="1">
        <w:r w:rsidR="0059342E" w:rsidRPr="008965D1">
          <w:rPr>
            <w:rStyle w:val="Hyperlink"/>
            <w:noProof/>
          </w:rPr>
          <w:t>B.</w:t>
        </w:r>
        <w:r w:rsidR="0059342E">
          <w:rPr>
            <w:rFonts w:asciiTheme="minorHAnsi" w:eastAsiaTheme="minorEastAsia" w:hAnsiTheme="minorHAnsi"/>
            <w:noProof/>
            <w:sz w:val="22"/>
          </w:rPr>
          <w:tab/>
        </w:r>
        <w:r w:rsidR="0059342E" w:rsidRPr="008965D1">
          <w:rPr>
            <w:rStyle w:val="Hyperlink"/>
            <w:noProof/>
          </w:rPr>
          <w:t>AEP Ohio’s examples of “cost-based” generation offered into wholesale markets by generators in other states, cooperatives, and municipalities is misplaced, as it compares apples to oranges; the PPA Rider is a customer-funded subsidy.</w:t>
        </w:r>
        <w:r w:rsidR="0059342E">
          <w:rPr>
            <w:noProof/>
            <w:webHidden/>
          </w:rPr>
          <w:tab/>
        </w:r>
        <w:r w:rsidR="0059342E">
          <w:rPr>
            <w:noProof/>
            <w:webHidden/>
          </w:rPr>
          <w:fldChar w:fldCharType="begin"/>
        </w:r>
        <w:r w:rsidR="0059342E">
          <w:rPr>
            <w:noProof/>
            <w:webHidden/>
          </w:rPr>
          <w:instrText xml:space="preserve"> PAGEREF _Toc442713356 \h </w:instrText>
        </w:r>
        <w:r w:rsidR="0059342E">
          <w:rPr>
            <w:noProof/>
            <w:webHidden/>
          </w:rPr>
        </w:r>
        <w:r w:rsidR="0059342E">
          <w:rPr>
            <w:noProof/>
            <w:webHidden/>
          </w:rPr>
          <w:fldChar w:fldCharType="separate"/>
        </w:r>
        <w:r w:rsidR="00DF74E7">
          <w:rPr>
            <w:noProof/>
            <w:webHidden/>
          </w:rPr>
          <w:t>4</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57" w:history="1">
        <w:r w:rsidR="0059342E" w:rsidRPr="008965D1">
          <w:rPr>
            <w:rStyle w:val="Hyperlink"/>
            <w:noProof/>
          </w:rPr>
          <w:t>C.</w:t>
        </w:r>
        <w:r w:rsidR="0059342E">
          <w:rPr>
            <w:rFonts w:asciiTheme="minorHAnsi" w:eastAsiaTheme="minorEastAsia" w:hAnsiTheme="minorHAnsi"/>
            <w:noProof/>
            <w:sz w:val="22"/>
          </w:rPr>
          <w:tab/>
        </w:r>
        <w:r w:rsidR="0059342E" w:rsidRPr="008965D1">
          <w:rPr>
            <w:rStyle w:val="Hyperlink"/>
            <w:noProof/>
          </w:rPr>
          <w:t>AEP Ohio’s Amended Application and Settlement should be evaluated and denied by the PUCO without using the three-prong test for settlements, but the Amended Application and Settlement should be denied to protect consumers even if the settlement test is used.</w:t>
        </w:r>
        <w:r w:rsidR="0059342E">
          <w:rPr>
            <w:noProof/>
            <w:webHidden/>
          </w:rPr>
          <w:tab/>
        </w:r>
        <w:r w:rsidR="0059342E">
          <w:rPr>
            <w:noProof/>
            <w:webHidden/>
          </w:rPr>
          <w:fldChar w:fldCharType="begin"/>
        </w:r>
        <w:r w:rsidR="0059342E">
          <w:rPr>
            <w:noProof/>
            <w:webHidden/>
          </w:rPr>
          <w:instrText xml:space="preserve"> PAGEREF _Toc442713357 \h </w:instrText>
        </w:r>
        <w:r w:rsidR="0059342E">
          <w:rPr>
            <w:noProof/>
            <w:webHidden/>
          </w:rPr>
        </w:r>
        <w:r w:rsidR="0059342E">
          <w:rPr>
            <w:noProof/>
            <w:webHidden/>
          </w:rPr>
          <w:fldChar w:fldCharType="separate"/>
        </w:r>
        <w:r w:rsidR="00DF74E7">
          <w:rPr>
            <w:noProof/>
            <w:webHidden/>
          </w:rPr>
          <w:t>8</w:t>
        </w:r>
        <w:r w:rsidR="0059342E">
          <w:rPr>
            <w:noProof/>
            <w:webHidden/>
          </w:rPr>
          <w:fldChar w:fldCharType="end"/>
        </w:r>
      </w:hyperlink>
    </w:p>
    <w:p w:rsidR="0059342E" w:rsidRDefault="007E6ABF" w:rsidP="0059342E">
      <w:pPr>
        <w:pStyle w:val="TOC3"/>
        <w:tabs>
          <w:tab w:val="left" w:pos="2160"/>
        </w:tabs>
        <w:ind w:right="720"/>
        <w:rPr>
          <w:rFonts w:asciiTheme="minorHAnsi" w:eastAsiaTheme="minorEastAsia" w:hAnsiTheme="minorHAnsi"/>
          <w:noProof/>
          <w:sz w:val="22"/>
        </w:rPr>
      </w:pPr>
      <w:hyperlink w:anchor="_Toc442713358" w:history="1">
        <w:r w:rsidR="0059342E" w:rsidRPr="008965D1">
          <w:rPr>
            <w:rStyle w:val="Hyperlink"/>
            <w:noProof/>
          </w:rPr>
          <w:t>1.</w:t>
        </w:r>
        <w:r w:rsidR="0059342E">
          <w:rPr>
            <w:rFonts w:asciiTheme="minorHAnsi" w:eastAsiaTheme="minorEastAsia" w:hAnsiTheme="minorHAnsi"/>
            <w:noProof/>
            <w:sz w:val="22"/>
          </w:rPr>
          <w:tab/>
        </w:r>
        <w:r w:rsidR="0059342E" w:rsidRPr="008965D1">
          <w:rPr>
            <w:rStyle w:val="Hyperlink"/>
            <w:noProof/>
          </w:rPr>
          <w:t>In the interest of justice for a million consumers, the PUCO should evaluate the proposals of parties without using the three-prong test for settlements.</w:t>
        </w:r>
        <w:r w:rsidR="0059342E">
          <w:rPr>
            <w:noProof/>
            <w:webHidden/>
          </w:rPr>
          <w:tab/>
        </w:r>
        <w:r w:rsidR="0059342E">
          <w:rPr>
            <w:noProof/>
            <w:webHidden/>
          </w:rPr>
          <w:fldChar w:fldCharType="begin"/>
        </w:r>
        <w:r w:rsidR="0059342E">
          <w:rPr>
            <w:noProof/>
            <w:webHidden/>
          </w:rPr>
          <w:instrText xml:space="preserve"> PAGEREF _Toc442713358 \h </w:instrText>
        </w:r>
        <w:r w:rsidR="0059342E">
          <w:rPr>
            <w:noProof/>
            <w:webHidden/>
          </w:rPr>
        </w:r>
        <w:r w:rsidR="0059342E">
          <w:rPr>
            <w:noProof/>
            <w:webHidden/>
          </w:rPr>
          <w:fldChar w:fldCharType="separate"/>
        </w:r>
        <w:r w:rsidR="00DF74E7">
          <w:rPr>
            <w:noProof/>
            <w:webHidden/>
          </w:rPr>
          <w:t>8</w:t>
        </w:r>
        <w:r w:rsidR="0059342E">
          <w:rPr>
            <w:noProof/>
            <w:webHidden/>
          </w:rPr>
          <w:fldChar w:fldCharType="end"/>
        </w:r>
      </w:hyperlink>
    </w:p>
    <w:p w:rsidR="0059342E" w:rsidRDefault="007E6ABF" w:rsidP="0059342E">
      <w:pPr>
        <w:pStyle w:val="TOC4"/>
        <w:tabs>
          <w:tab w:val="left" w:pos="2880"/>
        </w:tabs>
        <w:ind w:right="720"/>
        <w:rPr>
          <w:rFonts w:asciiTheme="minorHAnsi" w:eastAsiaTheme="minorEastAsia" w:hAnsiTheme="minorHAnsi"/>
          <w:noProof/>
          <w:sz w:val="22"/>
        </w:rPr>
      </w:pPr>
      <w:hyperlink w:anchor="_Toc442713359" w:history="1">
        <w:r w:rsidR="0059342E" w:rsidRPr="008965D1">
          <w:rPr>
            <w:rStyle w:val="Hyperlink"/>
            <w:noProof/>
          </w:rPr>
          <w:t>a.</w:t>
        </w:r>
        <w:r w:rsidR="0059342E">
          <w:rPr>
            <w:rFonts w:asciiTheme="minorHAnsi" w:eastAsiaTheme="minorEastAsia" w:hAnsiTheme="minorHAnsi"/>
            <w:noProof/>
            <w:sz w:val="22"/>
          </w:rPr>
          <w:tab/>
        </w:r>
        <w:r w:rsidR="0059342E" w:rsidRPr="008965D1">
          <w:rPr>
            <w:rStyle w:val="Hyperlink"/>
            <w:noProof/>
          </w:rPr>
          <w:t>Prong 1: The settlement fails the first prong because it lacks the serious bargaining and the diversity of interests required for PUCO approval.</w:t>
        </w:r>
        <w:r w:rsidR="0059342E">
          <w:rPr>
            <w:noProof/>
            <w:webHidden/>
          </w:rPr>
          <w:tab/>
        </w:r>
        <w:r w:rsidR="0059342E">
          <w:rPr>
            <w:noProof/>
            <w:webHidden/>
          </w:rPr>
          <w:fldChar w:fldCharType="begin"/>
        </w:r>
        <w:r w:rsidR="0059342E">
          <w:rPr>
            <w:noProof/>
            <w:webHidden/>
          </w:rPr>
          <w:instrText xml:space="preserve"> PAGEREF _Toc442713359 \h </w:instrText>
        </w:r>
        <w:r w:rsidR="0059342E">
          <w:rPr>
            <w:noProof/>
            <w:webHidden/>
          </w:rPr>
        </w:r>
        <w:r w:rsidR="0059342E">
          <w:rPr>
            <w:noProof/>
            <w:webHidden/>
          </w:rPr>
          <w:fldChar w:fldCharType="separate"/>
        </w:r>
        <w:r w:rsidR="00DF74E7">
          <w:rPr>
            <w:noProof/>
            <w:webHidden/>
          </w:rPr>
          <w:t>11</w:t>
        </w:r>
        <w:r w:rsidR="0059342E">
          <w:rPr>
            <w:noProof/>
            <w:webHidden/>
          </w:rPr>
          <w:fldChar w:fldCharType="end"/>
        </w:r>
      </w:hyperlink>
    </w:p>
    <w:p w:rsidR="0059342E" w:rsidRDefault="007E6ABF" w:rsidP="0059342E">
      <w:pPr>
        <w:pStyle w:val="TOC5"/>
        <w:tabs>
          <w:tab w:val="left" w:pos="3600"/>
          <w:tab w:val="decimal" w:leader="dot" w:pos="8640"/>
        </w:tabs>
        <w:ind w:right="720"/>
        <w:rPr>
          <w:rFonts w:asciiTheme="minorHAnsi" w:eastAsiaTheme="minorEastAsia" w:hAnsiTheme="minorHAnsi"/>
          <w:noProof/>
          <w:sz w:val="22"/>
        </w:rPr>
      </w:pPr>
      <w:hyperlink w:anchor="_Toc442713360" w:history="1">
        <w:r w:rsidR="0059342E" w:rsidRPr="008965D1">
          <w:rPr>
            <w:rStyle w:val="Hyperlink"/>
            <w:noProof/>
          </w:rPr>
          <w:t>i.</w:t>
        </w:r>
        <w:r w:rsidR="0059342E">
          <w:rPr>
            <w:rFonts w:asciiTheme="minorHAnsi" w:eastAsiaTheme="minorEastAsia" w:hAnsiTheme="minorHAnsi"/>
            <w:noProof/>
            <w:sz w:val="22"/>
          </w:rPr>
          <w:tab/>
        </w:r>
        <w:r w:rsidR="0059342E" w:rsidRPr="008965D1">
          <w:rPr>
            <w:rStyle w:val="Hyperlink"/>
            <w:noProof/>
          </w:rPr>
          <w:t>The Joint Stipulation is not the settlement it’s advertised to be, is more of an agreement to disagree, and therefore fails the first prong of the settlement test.</w:t>
        </w:r>
        <w:r w:rsidR="0059342E">
          <w:rPr>
            <w:noProof/>
            <w:webHidden/>
          </w:rPr>
          <w:tab/>
        </w:r>
        <w:r w:rsidR="0059342E">
          <w:rPr>
            <w:noProof/>
            <w:webHidden/>
          </w:rPr>
          <w:fldChar w:fldCharType="begin"/>
        </w:r>
        <w:r w:rsidR="0059342E">
          <w:rPr>
            <w:noProof/>
            <w:webHidden/>
          </w:rPr>
          <w:instrText xml:space="preserve"> PAGEREF _Toc442713360 \h </w:instrText>
        </w:r>
        <w:r w:rsidR="0059342E">
          <w:rPr>
            <w:noProof/>
            <w:webHidden/>
          </w:rPr>
        </w:r>
        <w:r w:rsidR="0059342E">
          <w:rPr>
            <w:noProof/>
            <w:webHidden/>
          </w:rPr>
          <w:fldChar w:fldCharType="separate"/>
        </w:r>
        <w:r w:rsidR="00DF74E7">
          <w:rPr>
            <w:noProof/>
            <w:webHidden/>
          </w:rPr>
          <w:t>12</w:t>
        </w:r>
        <w:r w:rsidR="0059342E">
          <w:rPr>
            <w:noProof/>
            <w:webHidden/>
          </w:rPr>
          <w:fldChar w:fldCharType="end"/>
        </w:r>
      </w:hyperlink>
    </w:p>
    <w:p w:rsidR="0059342E" w:rsidRDefault="007E6ABF" w:rsidP="0059342E">
      <w:pPr>
        <w:pStyle w:val="TOC4"/>
        <w:tabs>
          <w:tab w:val="left" w:pos="2880"/>
        </w:tabs>
        <w:ind w:right="720"/>
        <w:rPr>
          <w:rFonts w:asciiTheme="minorHAnsi" w:eastAsiaTheme="minorEastAsia" w:hAnsiTheme="minorHAnsi"/>
          <w:noProof/>
          <w:sz w:val="22"/>
        </w:rPr>
      </w:pPr>
      <w:hyperlink w:anchor="_Toc442713361" w:history="1">
        <w:r w:rsidR="0059342E" w:rsidRPr="008965D1">
          <w:rPr>
            <w:rStyle w:val="Hyperlink"/>
            <w:noProof/>
          </w:rPr>
          <w:t>b.</w:t>
        </w:r>
        <w:r w:rsidR="0059342E">
          <w:rPr>
            <w:rFonts w:asciiTheme="minorHAnsi" w:eastAsiaTheme="minorEastAsia" w:hAnsiTheme="minorHAnsi"/>
            <w:noProof/>
            <w:sz w:val="22"/>
          </w:rPr>
          <w:tab/>
        </w:r>
        <w:r w:rsidR="0059342E" w:rsidRPr="008965D1">
          <w:rPr>
            <w:rStyle w:val="Hyperlink"/>
            <w:noProof/>
          </w:rPr>
          <w:t>Prong 2:  The Joint Stipulation, as a package, violates important regulatory principles or practices, which results in harm to consumers.</w:t>
        </w:r>
        <w:r w:rsidR="0059342E">
          <w:rPr>
            <w:noProof/>
            <w:webHidden/>
          </w:rPr>
          <w:tab/>
        </w:r>
        <w:r w:rsidR="0059342E">
          <w:rPr>
            <w:noProof/>
            <w:webHidden/>
          </w:rPr>
          <w:fldChar w:fldCharType="begin"/>
        </w:r>
        <w:r w:rsidR="0059342E">
          <w:rPr>
            <w:noProof/>
            <w:webHidden/>
          </w:rPr>
          <w:instrText xml:space="preserve"> PAGEREF _Toc442713361 \h </w:instrText>
        </w:r>
        <w:r w:rsidR="0059342E">
          <w:rPr>
            <w:noProof/>
            <w:webHidden/>
          </w:rPr>
        </w:r>
        <w:r w:rsidR="0059342E">
          <w:rPr>
            <w:noProof/>
            <w:webHidden/>
          </w:rPr>
          <w:fldChar w:fldCharType="separate"/>
        </w:r>
        <w:r w:rsidR="00DF74E7">
          <w:rPr>
            <w:noProof/>
            <w:webHidden/>
          </w:rPr>
          <w:t>13</w:t>
        </w:r>
        <w:r w:rsidR="0059342E">
          <w:rPr>
            <w:noProof/>
            <w:webHidden/>
          </w:rPr>
          <w:fldChar w:fldCharType="end"/>
        </w:r>
      </w:hyperlink>
    </w:p>
    <w:p w:rsidR="0059342E" w:rsidRDefault="007E6ABF" w:rsidP="0059342E">
      <w:pPr>
        <w:pStyle w:val="TOC5"/>
        <w:tabs>
          <w:tab w:val="left" w:pos="3600"/>
          <w:tab w:val="decimal" w:leader="dot" w:pos="8640"/>
        </w:tabs>
        <w:ind w:right="720"/>
        <w:rPr>
          <w:rFonts w:asciiTheme="minorHAnsi" w:eastAsiaTheme="minorEastAsia" w:hAnsiTheme="minorHAnsi"/>
          <w:noProof/>
          <w:sz w:val="22"/>
        </w:rPr>
      </w:pPr>
      <w:hyperlink w:anchor="_Toc442713362" w:history="1">
        <w:r w:rsidR="0059342E" w:rsidRPr="008965D1">
          <w:rPr>
            <w:rStyle w:val="Hyperlink"/>
            <w:noProof/>
          </w:rPr>
          <w:t xml:space="preserve">i. </w:t>
        </w:r>
        <w:r w:rsidR="0059342E">
          <w:rPr>
            <w:rFonts w:asciiTheme="minorHAnsi" w:eastAsiaTheme="minorEastAsia" w:hAnsiTheme="minorHAnsi"/>
            <w:noProof/>
            <w:sz w:val="22"/>
          </w:rPr>
          <w:tab/>
        </w:r>
        <w:r w:rsidR="0059342E" w:rsidRPr="008965D1">
          <w:rPr>
            <w:rStyle w:val="Hyperlink"/>
            <w:noProof/>
          </w:rPr>
          <w:t>The PUCO should not evaluate the settlement as a “package.”</w:t>
        </w:r>
        <w:r w:rsidR="0059342E">
          <w:rPr>
            <w:noProof/>
            <w:webHidden/>
          </w:rPr>
          <w:tab/>
        </w:r>
        <w:r w:rsidR="0059342E">
          <w:rPr>
            <w:noProof/>
            <w:webHidden/>
          </w:rPr>
          <w:fldChar w:fldCharType="begin"/>
        </w:r>
        <w:r w:rsidR="0059342E">
          <w:rPr>
            <w:noProof/>
            <w:webHidden/>
          </w:rPr>
          <w:instrText xml:space="preserve"> PAGEREF _Toc442713362 \h </w:instrText>
        </w:r>
        <w:r w:rsidR="0059342E">
          <w:rPr>
            <w:noProof/>
            <w:webHidden/>
          </w:rPr>
        </w:r>
        <w:r w:rsidR="0059342E">
          <w:rPr>
            <w:noProof/>
            <w:webHidden/>
          </w:rPr>
          <w:fldChar w:fldCharType="separate"/>
        </w:r>
        <w:r w:rsidR="00DF74E7">
          <w:rPr>
            <w:noProof/>
            <w:webHidden/>
          </w:rPr>
          <w:t>16</w:t>
        </w:r>
        <w:r w:rsidR="0059342E">
          <w:rPr>
            <w:noProof/>
            <w:webHidden/>
          </w:rPr>
          <w:fldChar w:fldCharType="end"/>
        </w:r>
      </w:hyperlink>
    </w:p>
    <w:p w:rsidR="0059342E" w:rsidRDefault="007E6ABF" w:rsidP="0059342E">
      <w:pPr>
        <w:pStyle w:val="TOC4"/>
        <w:tabs>
          <w:tab w:val="left" w:pos="2880"/>
        </w:tabs>
        <w:ind w:right="720"/>
        <w:rPr>
          <w:rFonts w:asciiTheme="minorHAnsi" w:eastAsiaTheme="minorEastAsia" w:hAnsiTheme="minorHAnsi"/>
          <w:noProof/>
          <w:sz w:val="22"/>
        </w:rPr>
      </w:pPr>
      <w:hyperlink w:anchor="_Toc442713363" w:history="1">
        <w:r w:rsidR="0059342E" w:rsidRPr="008965D1">
          <w:rPr>
            <w:rStyle w:val="Hyperlink"/>
            <w:noProof/>
          </w:rPr>
          <w:t>c.</w:t>
        </w:r>
        <w:r w:rsidR="0059342E">
          <w:rPr>
            <w:rFonts w:asciiTheme="minorHAnsi" w:eastAsiaTheme="minorEastAsia" w:hAnsiTheme="minorHAnsi"/>
            <w:noProof/>
            <w:sz w:val="22"/>
          </w:rPr>
          <w:tab/>
        </w:r>
        <w:r w:rsidR="0059342E" w:rsidRPr="008965D1">
          <w:rPr>
            <w:rStyle w:val="Hyperlink"/>
            <w:noProof/>
          </w:rPr>
          <w:t>Prong 3:  The Joint Stipulation, as a package, does not benefit consumers and is not in the public interest.</w:t>
        </w:r>
        <w:r w:rsidR="0059342E">
          <w:rPr>
            <w:noProof/>
            <w:webHidden/>
          </w:rPr>
          <w:tab/>
        </w:r>
        <w:r w:rsidR="0059342E">
          <w:rPr>
            <w:noProof/>
            <w:webHidden/>
          </w:rPr>
          <w:fldChar w:fldCharType="begin"/>
        </w:r>
        <w:r w:rsidR="0059342E">
          <w:rPr>
            <w:noProof/>
            <w:webHidden/>
          </w:rPr>
          <w:instrText xml:space="preserve"> PAGEREF _Toc442713363 \h </w:instrText>
        </w:r>
        <w:r w:rsidR="0059342E">
          <w:rPr>
            <w:noProof/>
            <w:webHidden/>
          </w:rPr>
        </w:r>
        <w:r w:rsidR="0059342E">
          <w:rPr>
            <w:noProof/>
            <w:webHidden/>
          </w:rPr>
          <w:fldChar w:fldCharType="separate"/>
        </w:r>
        <w:r w:rsidR="00DF74E7">
          <w:rPr>
            <w:noProof/>
            <w:webHidden/>
          </w:rPr>
          <w:t>16</w:t>
        </w:r>
        <w:r w:rsidR="0059342E">
          <w:rPr>
            <w:noProof/>
            <w:webHidden/>
          </w:rPr>
          <w:fldChar w:fldCharType="end"/>
        </w:r>
      </w:hyperlink>
    </w:p>
    <w:p w:rsidR="0059342E" w:rsidRDefault="007E6ABF" w:rsidP="0059342E">
      <w:pPr>
        <w:pStyle w:val="TOC5"/>
        <w:tabs>
          <w:tab w:val="left" w:pos="3600"/>
          <w:tab w:val="decimal" w:leader="dot" w:pos="8640"/>
        </w:tabs>
        <w:ind w:right="720"/>
        <w:rPr>
          <w:rFonts w:asciiTheme="minorHAnsi" w:eastAsiaTheme="minorEastAsia" w:hAnsiTheme="minorHAnsi"/>
          <w:noProof/>
          <w:sz w:val="22"/>
        </w:rPr>
      </w:pPr>
      <w:hyperlink w:anchor="_Toc442713364" w:history="1">
        <w:r w:rsidR="0059342E" w:rsidRPr="008965D1">
          <w:rPr>
            <w:rStyle w:val="Hyperlink"/>
            <w:noProof/>
          </w:rPr>
          <w:t>i.</w:t>
        </w:r>
        <w:r w:rsidR="0059342E">
          <w:rPr>
            <w:rFonts w:asciiTheme="minorHAnsi" w:eastAsiaTheme="minorEastAsia" w:hAnsiTheme="minorHAnsi"/>
            <w:noProof/>
            <w:sz w:val="22"/>
          </w:rPr>
          <w:tab/>
        </w:r>
        <w:r w:rsidR="0059342E" w:rsidRPr="008965D1">
          <w:rPr>
            <w:rStyle w:val="Hyperlink"/>
            <w:noProof/>
          </w:rPr>
          <w:t>The Joint Stipulation fails the settlement test’s third prong.</w:t>
        </w:r>
        <w:r w:rsidR="0059342E">
          <w:rPr>
            <w:noProof/>
            <w:webHidden/>
          </w:rPr>
          <w:tab/>
        </w:r>
        <w:r w:rsidR="0059342E">
          <w:rPr>
            <w:noProof/>
            <w:webHidden/>
          </w:rPr>
          <w:fldChar w:fldCharType="begin"/>
        </w:r>
        <w:r w:rsidR="0059342E">
          <w:rPr>
            <w:noProof/>
            <w:webHidden/>
          </w:rPr>
          <w:instrText xml:space="preserve"> PAGEREF _Toc442713364 \h </w:instrText>
        </w:r>
        <w:r w:rsidR="0059342E">
          <w:rPr>
            <w:noProof/>
            <w:webHidden/>
          </w:rPr>
        </w:r>
        <w:r w:rsidR="0059342E">
          <w:rPr>
            <w:noProof/>
            <w:webHidden/>
          </w:rPr>
          <w:fldChar w:fldCharType="separate"/>
        </w:r>
        <w:r w:rsidR="00DF74E7">
          <w:rPr>
            <w:noProof/>
            <w:webHidden/>
          </w:rPr>
          <w:t>16</w:t>
        </w:r>
        <w:r w:rsidR="0059342E">
          <w:rPr>
            <w:noProof/>
            <w:webHidden/>
          </w:rPr>
          <w:fldChar w:fldCharType="end"/>
        </w:r>
      </w:hyperlink>
    </w:p>
    <w:p w:rsidR="0059342E" w:rsidRDefault="007E6ABF" w:rsidP="0059342E">
      <w:pPr>
        <w:pStyle w:val="TOC5"/>
        <w:tabs>
          <w:tab w:val="left" w:pos="3600"/>
          <w:tab w:val="decimal" w:leader="dot" w:pos="8640"/>
        </w:tabs>
        <w:ind w:right="720"/>
        <w:rPr>
          <w:rFonts w:asciiTheme="minorHAnsi" w:eastAsiaTheme="minorEastAsia" w:hAnsiTheme="minorHAnsi"/>
          <w:noProof/>
          <w:sz w:val="22"/>
        </w:rPr>
      </w:pPr>
      <w:hyperlink w:anchor="_Toc442713365" w:history="1">
        <w:r w:rsidR="0059342E" w:rsidRPr="008965D1">
          <w:rPr>
            <w:rStyle w:val="Hyperlink"/>
            <w:noProof/>
          </w:rPr>
          <w:t>ii.</w:t>
        </w:r>
        <w:r w:rsidR="0059342E">
          <w:rPr>
            <w:rFonts w:asciiTheme="minorHAnsi" w:eastAsiaTheme="minorEastAsia" w:hAnsiTheme="minorHAnsi"/>
            <w:noProof/>
            <w:sz w:val="22"/>
          </w:rPr>
          <w:tab/>
        </w:r>
        <w:r w:rsidR="0059342E" w:rsidRPr="008965D1">
          <w:rPr>
            <w:rStyle w:val="Hyperlink"/>
            <w:noProof/>
          </w:rPr>
          <w:t>AEP Ohio’s proposals fail the ESP III Opinion and Orders’ factors and requirements.</w:t>
        </w:r>
        <w:r w:rsidR="0059342E">
          <w:rPr>
            <w:noProof/>
            <w:webHidden/>
          </w:rPr>
          <w:tab/>
        </w:r>
        <w:r w:rsidR="0059342E">
          <w:rPr>
            <w:noProof/>
            <w:webHidden/>
          </w:rPr>
          <w:fldChar w:fldCharType="begin"/>
        </w:r>
        <w:r w:rsidR="0059342E">
          <w:rPr>
            <w:noProof/>
            <w:webHidden/>
          </w:rPr>
          <w:instrText xml:space="preserve"> PAGEREF _Toc442713365 \h </w:instrText>
        </w:r>
        <w:r w:rsidR="0059342E">
          <w:rPr>
            <w:noProof/>
            <w:webHidden/>
          </w:rPr>
        </w:r>
        <w:r w:rsidR="0059342E">
          <w:rPr>
            <w:noProof/>
            <w:webHidden/>
          </w:rPr>
          <w:fldChar w:fldCharType="separate"/>
        </w:r>
        <w:r w:rsidR="00DF74E7">
          <w:rPr>
            <w:noProof/>
            <w:webHidden/>
          </w:rPr>
          <w:t>19</w:t>
        </w:r>
        <w:r w:rsidR="0059342E">
          <w:rPr>
            <w:noProof/>
            <w:webHidden/>
          </w:rPr>
          <w:fldChar w:fldCharType="end"/>
        </w:r>
      </w:hyperlink>
    </w:p>
    <w:p w:rsidR="0059342E" w:rsidRDefault="007E6ABF" w:rsidP="0059342E">
      <w:pPr>
        <w:pStyle w:val="TOC5"/>
        <w:tabs>
          <w:tab w:val="left" w:pos="3600"/>
          <w:tab w:val="decimal" w:leader="dot" w:pos="8640"/>
        </w:tabs>
        <w:ind w:right="720"/>
        <w:rPr>
          <w:rFonts w:asciiTheme="minorHAnsi" w:eastAsiaTheme="minorEastAsia" w:hAnsiTheme="minorHAnsi"/>
          <w:noProof/>
          <w:sz w:val="22"/>
        </w:rPr>
      </w:pPr>
      <w:hyperlink w:anchor="_Toc442713366" w:history="1">
        <w:r w:rsidR="0059342E" w:rsidRPr="008965D1">
          <w:rPr>
            <w:rStyle w:val="Hyperlink"/>
            <w:noProof/>
          </w:rPr>
          <w:t xml:space="preserve">iii. </w:t>
        </w:r>
        <w:r w:rsidR="0059342E">
          <w:rPr>
            <w:rFonts w:asciiTheme="minorHAnsi" w:eastAsiaTheme="minorEastAsia" w:hAnsiTheme="minorHAnsi"/>
            <w:noProof/>
            <w:sz w:val="22"/>
          </w:rPr>
          <w:tab/>
        </w:r>
        <w:r w:rsidR="0059342E" w:rsidRPr="008965D1">
          <w:rPr>
            <w:rStyle w:val="Hyperlink"/>
            <w:noProof/>
          </w:rPr>
          <w:t>The PUCO should not evaluate the settlement as a “package.”</w:t>
        </w:r>
        <w:r w:rsidR="0059342E">
          <w:rPr>
            <w:noProof/>
            <w:webHidden/>
          </w:rPr>
          <w:tab/>
        </w:r>
        <w:r w:rsidR="0059342E">
          <w:rPr>
            <w:noProof/>
            <w:webHidden/>
          </w:rPr>
          <w:fldChar w:fldCharType="begin"/>
        </w:r>
        <w:r w:rsidR="0059342E">
          <w:rPr>
            <w:noProof/>
            <w:webHidden/>
          </w:rPr>
          <w:instrText xml:space="preserve"> PAGEREF _Toc442713366 \h </w:instrText>
        </w:r>
        <w:r w:rsidR="0059342E">
          <w:rPr>
            <w:noProof/>
            <w:webHidden/>
          </w:rPr>
        </w:r>
        <w:r w:rsidR="0059342E">
          <w:rPr>
            <w:noProof/>
            <w:webHidden/>
          </w:rPr>
          <w:fldChar w:fldCharType="separate"/>
        </w:r>
        <w:r w:rsidR="00DF74E7">
          <w:rPr>
            <w:noProof/>
            <w:webHidden/>
          </w:rPr>
          <w:t>21</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67" w:history="1">
        <w:r w:rsidR="0059342E" w:rsidRPr="008965D1">
          <w:rPr>
            <w:rStyle w:val="Hyperlink"/>
            <w:noProof/>
          </w:rPr>
          <w:t>D.</w:t>
        </w:r>
        <w:r w:rsidR="0059342E">
          <w:rPr>
            <w:rFonts w:asciiTheme="minorHAnsi" w:eastAsiaTheme="minorEastAsia" w:hAnsiTheme="minorHAnsi"/>
            <w:noProof/>
            <w:sz w:val="22"/>
          </w:rPr>
          <w:tab/>
        </w:r>
        <w:r w:rsidR="0059342E" w:rsidRPr="008965D1">
          <w:rPr>
            <w:rStyle w:val="Hyperlink"/>
            <w:noProof/>
          </w:rPr>
          <w:t>OCC Witness Wilson’s market-based figures showing consumer impacts of the Settlement are properly calculated, contrary to AEP Ohio’s critique.</w:t>
        </w:r>
        <w:r w:rsidR="0059342E">
          <w:rPr>
            <w:noProof/>
            <w:webHidden/>
          </w:rPr>
          <w:tab/>
        </w:r>
        <w:r w:rsidR="0059342E">
          <w:rPr>
            <w:noProof/>
            <w:webHidden/>
          </w:rPr>
          <w:fldChar w:fldCharType="begin"/>
        </w:r>
        <w:r w:rsidR="0059342E">
          <w:rPr>
            <w:noProof/>
            <w:webHidden/>
          </w:rPr>
          <w:instrText xml:space="preserve"> PAGEREF _Toc442713367 \h </w:instrText>
        </w:r>
        <w:r w:rsidR="0059342E">
          <w:rPr>
            <w:noProof/>
            <w:webHidden/>
          </w:rPr>
        </w:r>
        <w:r w:rsidR="0059342E">
          <w:rPr>
            <w:noProof/>
            <w:webHidden/>
          </w:rPr>
          <w:fldChar w:fldCharType="separate"/>
        </w:r>
        <w:r w:rsidR="00DF74E7">
          <w:rPr>
            <w:noProof/>
            <w:webHidden/>
          </w:rPr>
          <w:t>22</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68" w:history="1">
        <w:r w:rsidR="0059342E" w:rsidRPr="008965D1">
          <w:rPr>
            <w:rStyle w:val="Hyperlink"/>
            <w:noProof/>
          </w:rPr>
          <w:t>E.</w:t>
        </w:r>
        <w:r w:rsidR="0059342E">
          <w:rPr>
            <w:rFonts w:asciiTheme="minorHAnsi" w:eastAsiaTheme="minorEastAsia" w:hAnsiTheme="minorHAnsi"/>
            <w:noProof/>
            <w:sz w:val="22"/>
          </w:rPr>
          <w:tab/>
        </w:r>
        <w:r w:rsidR="0059342E" w:rsidRPr="008965D1">
          <w:rPr>
            <w:rStyle w:val="Hyperlink"/>
            <w:noProof/>
          </w:rPr>
          <w:t>AEP Ohio’s focus on market prices is relevant if the PPA Units are offered into the PJM market and actually clear that market; the worst case scenario for consumers is that the PPA Units don’t clear.</w:t>
        </w:r>
        <w:r w:rsidR="0059342E">
          <w:rPr>
            <w:noProof/>
            <w:webHidden/>
          </w:rPr>
          <w:tab/>
        </w:r>
        <w:r w:rsidR="0059342E">
          <w:rPr>
            <w:noProof/>
            <w:webHidden/>
          </w:rPr>
          <w:fldChar w:fldCharType="begin"/>
        </w:r>
        <w:r w:rsidR="0059342E">
          <w:rPr>
            <w:noProof/>
            <w:webHidden/>
          </w:rPr>
          <w:instrText xml:space="preserve"> PAGEREF _Toc442713368 \h </w:instrText>
        </w:r>
        <w:r w:rsidR="0059342E">
          <w:rPr>
            <w:noProof/>
            <w:webHidden/>
          </w:rPr>
        </w:r>
        <w:r w:rsidR="0059342E">
          <w:rPr>
            <w:noProof/>
            <w:webHidden/>
          </w:rPr>
          <w:fldChar w:fldCharType="separate"/>
        </w:r>
        <w:r w:rsidR="00DF74E7">
          <w:rPr>
            <w:noProof/>
            <w:webHidden/>
          </w:rPr>
          <w:t>26</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69" w:history="1">
        <w:r w:rsidR="0059342E" w:rsidRPr="008965D1">
          <w:rPr>
            <w:rStyle w:val="Hyperlink"/>
            <w:noProof/>
          </w:rPr>
          <w:t>F.</w:t>
        </w:r>
        <w:r w:rsidR="0059342E">
          <w:rPr>
            <w:rFonts w:asciiTheme="minorHAnsi" w:eastAsiaTheme="minorEastAsia" w:hAnsiTheme="minorHAnsi"/>
            <w:noProof/>
            <w:sz w:val="22"/>
          </w:rPr>
          <w:tab/>
        </w:r>
        <w:r w:rsidR="0059342E" w:rsidRPr="008965D1">
          <w:rPr>
            <w:rStyle w:val="Hyperlink"/>
            <w:noProof/>
          </w:rPr>
          <w:t>The PUCO should exercise its considerable discretion in matters of rate design to protect consumers by relying on the regulatory principles and practices, described by OCC Witness Fortney.</w:t>
        </w:r>
        <w:r w:rsidR="0059342E">
          <w:rPr>
            <w:noProof/>
            <w:webHidden/>
          </w:rPr>
          <w:tab/>
        </w:r>
        <w:r w:rsidR="0059342E">
          <w:rPr>
            <w:noProof/>
            <w:webHidden/>
          </w:rPr>
          <w:fldChar w:fldCharType="begin"/>
        </w:r>
        <w:r w:rsidR="0059342E">
          <w:rPr>
            <w:noProof/>
            <w:webHidden/>
          </w:rPr>
          <w:instrText xml:space="preserve"> PAGEREF _Toc442713369 \h </w:instrText>
        </w:r>
        <w:r w:rsidR="0059342E">
          <w:rPr>
            <w:noProof/>
            <w:webHidden/>
          </w:rPr>
        </w:r>
        <w:r w:rsidR="0059342E">
          <w:rPr>
            <w:noProof/>
            <w:webHidden/>
          </w:rPr>
          <w:fldChar w:fldCharType="separate"/>
        </w:r>
        <w:r w:rsidR="00DF74E7">
          <w:rPr>
            <w:noProof/>
            <w:webHidden/>
          </w:rPr>
          <w:t>27</w:t>
        </w:r>
        <w:r w:rsidR="0059342E">
          <w:rPr>
            <w:noProof/>
            <w:webHidden/>
          </w:rPr>
          <w:fldChar w:fldCharType="end"/>
        </w:r>
      </w:hyperlink>
    </w:p>
    <w:p w:rsidR="0059342E" w:rsidRDefault="007E6ABF" w:rsidP="0059342E">
      <w:pPr>
        <w:pStyle w:val="TOC3"/>
        <w:tabs>
          <w:tab w:val="left" w:pos="2160"/>
        </w:tabs>
        <w:ind w:right="720"/>
        <w:rPr>
          <w:rFonts w:asciiTheme="minorHAnsi" w:eastAsiaTheme="minorEastAsia" w:hAnsiTheme="minorHAnsi"/>
          <w:noProof/>
          <w:sz w:val="22"/>
        </w:rPr>
      </w:pPr>
      <w:hyperlink w:anchor="_Toc442713370" w:history="1">
        <w:r w:rsidR="0059342E" w:rsidRPr="008965D1">
          <w:rPr>
            <w:rStyle w:val="Hyperlink"/>
            <w:noProof/>
          </w:rPr>
          <w:t>1.</w:t>
        </w:r>
        <w:r w:rsidR="0059342E">
          <w:rPr>
            <w:rFonts w:asciiTheme="minorHAnsi" w:eastAsiaTheme="minorEastAsia" w:hAnsiTheme="minorHAnsi"/>
            <w:noProof/>
            <w:sz w:val="22"/>
          </w:rPr>
          <w:tab/>
        </w:r>
        <w:r w:rsidR="0059342E" w:rsidRPr="008965D1">
          <w:rPr>
            <w:rStyle w:val="Hyperlink"/>
            <w:noProof/>
          </w:rPr>
          <w:t>OCC Witness Fortney’s opinion about how the PPA Rider’s costs are allocated under the Joint Stipulation importantly protects consumers.</w:t>
        </w:r>
        <w:r w:rsidR="0059342E">
          <w:rPr>
            <w:noProof/>
            <w:webHidden/>
          </w:rPr>
          <w:tab/>
        </w:r>
        <w:r w:rsidR="0059342E">
          <w:rPr>
            <w:noProof/>
            <w:webHidden/>
          </w:rPr>
          <w:fldChar w:fldCharType="begin"/>
        </w:r>
        <w:r w:rsidR="0059342E">
          <w:rPr>
            <w:noProof/>
            <w:webHidden/>
          </w:rPr>
          <w:instrText xml:space="preserve"> PAGEREF _Toc442713370 \h </w:instrText>
        </w:r>
        <w:r w:rsidR="0059342E">
          <w:rPr>
            <w:noProof/>
            <w:webHidden/>
          </w:rPr>
        </w:r>
        <w:r w:rsidR="0059342E">
          <w:rPr>
            <w:noProof/>
            <w:webHidden/>
          </w:rPr>
          <w:fldChar w:fldCharType="separate"/>
        </w:r>
        <w:r w:rsidR="00DF74E7">
          <w:rPr>
            <w:noProof/>
            <w:webHidden/>
          </w:rPr>
          <w:t>29</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71" w:history="1">
        <w:r w:rsidR="0059342E" w:rsidRPr="008965D1">
          <w:rPr>
            <w:rStyle w:val="Hyperlink"/>
            <w:noProof/>
          </w:rPr>
          <w:t>G.</w:t>
        </w:r>
        <w:r w:rsidR="0059342E">
          <w:rPr>
            <w:rFonts w:asciiTheme="minorHAnsi" w:eastAsiaTheme="minorEastAsia" w:hAnsiTheme="minorHAnsi"/>
            <w:noProof/>
            <w:sz w:val="22"/>
          </w:rPr>
          <w:tab/>
        </w:r>
        <w:r w:rsidR="0059342E" w:rsidRPr="008965D1">
          <w:rPr>
            <w:rStyle w:val="Hyperlink"/>
            <w:noProof/>
          </w:rPr>
          <w:t>AEP Ohio ignores the substance of OCC Witness Dormady’s testimony, which confirms that AEP Ohio’s proposals are harmful to consumers and should be denied.</w:t>
        </w:r>
        <w:r w:rsidR="0059342E">
          <w:rPr>
            <w:noProof/>
            <w:webHidden/>
          </w:rPr>
          <w:tab/>
        </w:r>
        <w:r w:rsidR="0059342E">
          <w:rPr>
            <w:noProof/>
            <w:webHidden/>
          </w:rPr>
          <w:fldChar w:fldCharType="begin"/>
        </w:r>
        <w:r w:rsidR="0059342E">
          <w:rPr>
            <w:noProof/>
            <w:webHidden/>
          </w:rPr>
          <w:instrText xml:space="preserve"> PAGEREF _Toc442713371 \h </w:instrText>
        </w:r>
        <w:r w:rsidR="0059342E">
          <w:rPr>
            <w:noProof/>
            <w:webHidden/>
          </w:rPr>
        </w:r>
        <w:r w:rsidR="0059342E">
          <w:rPr>
            <w:noProof/>
            <w:webHidden/>
          </w:rPr>
          <w:fldChar w:fldCharType="separate"/>
        </w:r>
        <w:r w:rsidR="00DF74E7">
          <w:rPr>
            <w:noProof/>
            <w:webHidden/>
          </w:rPr>
          <w:t>31</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72" w:history="1">
        <w:r w:rsidR="0059342E" w:rsidRPr="008965D1">
          <w:rPr>
            <w:rStyle w:val="Hyperlink"/>
            <w:noProof/>
          </w:rPr>
          <w:t>H.</w:t>
        </w:r>
        <w:r w:rsidR="0059342E">
          <w:rPr>
            <w:rFonts w:asciiTheme="minorHAnsi" w:eastAsiaTheme="minorEastAsia" w:hAnsiTheme="minorHAnsi"/>
            <w:noProof/>
            <w:sz w:val="22"/>
          </w:rPr>
          <w:tab/>
        </w:r>
        <w:r w:rsidR="0059342E" w:rsidRPr="008965D1">
          <w:rPr>
            <w:rStyle w:val="Hyperlink"/>
            <w:noProof/>
          </w:rPr>
          <w:t>AEP Ohio misses the point of OCC Witness Duann’s testimony, which confirms that deregulated generation such as the PPA Units should not get a guaranteed rate of return (profit) that captive retail consumers must pay.</w:t>
        </w:r>
        <w:r w:rsidR="0059342E">
          <w:rPr>
            <w:noProof/>
            <w:webHidden/>
          </w:rPr>
          <w:tab/>
        </w:r>
        <w:r w:rsidR="0059342E">
          <w:rPr>
            <w:noProof/>
            <w:webHidden/>
          </w:rPr>
          <w:fldChar w:fldCharType="begin"/>
        </w:r>
        <w:r w:rsidR="0059342E">
          <w:rPr>
            <w:noProof/>
            <w:webHidden/>
          </w:rPr>
          <w:instrText xml:space="preserve"> PAGEREF _Toc442713372 \h </w:instrText>
        </w:r>
        <w:r w:rsidR="0059342E">
          <w:rPr>
            <w:noProof/>
            <w:webHidden/>
          </w:rPr>
        </w:r>
        <w:r w:rsidR="0059342E">
          <w:rPr>
            <w:noProof/>
            <w:webHidden/>
          </w:rPr>
          <w:fldChar w:fldCharType="separate"/>
        </w:r>
        <w:r w:rsidR="00DF74E7">
          <w:rPr>
            <w:noProof/>
            <w:webHidden/>
          </w:rPr>
          <w:t>34</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73" w:history="1">
        <w:r w:rsidR="0059342E" w:rsidRPr="008965D1">
          <w:rPr>
            <w:rStyle w:val="Hyperlink"/>
            <w:noProof/>
          </w:rPr>
          <w:t>I.</w:t>
        </w:r>
        <w:r w:rsidR="0059342E">
          <w:rPr>
            <w:rFonts w:asciiTheme="minorHAnsi" w:eastAsiaTheme="minorEastAsia" w:hAnsiTheme="minorHAnsi"/>
            <w:noProof/>
            <w:sz w:val="22"/>
          </w:rPr>
          <w:tab/>
        </w:r>
        <w:r w:rsidR="0059342E" w:rsidRPr="008965D1">
          <w:rPr>
            <w:rStyle w:val="Hyperlink"/>
            <w:noProof/>
          </w:rPr>
          <w:t>AEP Ohio critiques the showing by OCC Witnesses Hixon and Haugh that AEP Ohio’s proposals would cause the MRO versus ESP to fail, but AEP Ohio’s claims lack record support.</w:t>
        </w:r>
        <w:r w:rsidR="0059342E">
          <w:rPr>
            <w:noProof/>
            <w:webHidden/>
          </w:rPr>
          <w:tab/>
        </w:r>
        <w:r w:rsidR="0059342E">
          <w:rPr>
            <w:noProof/>
            <w:webHidden/>
          </w:rPr>
          <w:fldChar w:fldCharType="begin"/>
        </w:r>
        <w:r w:rsidR="0059342E">
          <w:rPr>
            <w:noProof/>
            <w:webHidden/>
          </w:rPr>
          <w:instrText xml:space="preserve"> PAGEREF _Toc442713373 \h </w:instrText>
        </w:r>
        <w:r w:rsidR="0059342E">
          <w:rPr>
            <w:noProof/>
            <w:webHidden/>
          </w:rPr>
        </w:r>
        <w:r w:rsidR="0059342E">
          <w:rPr>
            <w:noProof/>
            <w:webHidden/>
          </w:rPr>
          <w:fldChar w:fldCharType="separate"/>
        </w:r>
        <w:r w:rsidR="00DF74E7">
          <w:rPr>
            <w:noProof/>
            <w:webHidden/>
          </w:rPr>
          <w:t>35</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74" w:history="1">
        <w:r w:rsidR="0059342E" w:rsidRPr="008965D1">
          <w:rPr>
            <w:rStyle w:val="Hyperlink"/>
            <w:noProof/>
          </w:rPr>
          <w:t>J.</w:t>
        </w:r>
        <w:r w:rsidR="0059342E">
          <w:rPr>
            <w:rFonts w:asciiTheme="minorHAnsi" w:eastAsiaTheme="minorEastAsia" w:hAnsiTheme="minorHAnsi"/>
            <w:noProof/>
            <w:sz w:val="22"/>
          </w:rPr>
          <w:tab/>
        </w:r>
        <w:r w:rsidR="0059342E" w:rsidRPr="008965D1">
          <w:rPr>
            <w:rStyle w:val="Hyperlink"/>
            <w:noProof/>
          </w:rPr>
          <w:t>Residential customers are not represented in the Joint Stipulation, so there is not the required diversity under the first of the three prongs of the settlement test, and AEP Ohio’s assertion that OCC has signed stipulations with footnotes is meaningless.</w:t>
        </w:r>
        <w:r w:rsidR="0059342E">
          <w:rPr>
            <w:noProof/>
            <w:webHidden/>
          </w:rPr>
          <w:tab/>
        </w:r>
        <w:r w:rsidR="0059342E">
          <w:rPr>
            <w:noProof/>
            <w:webHidden/>
          </w:rPr>
          <w:fldChar w:fldCharType="begin"/>
        </w:r>
        <w:r w:rsidR="0059342E">
          <w:rPr>
            <w:noProof/>
            <w:webHidden/>
          </w:rPr>
          <w:instrText xml:space="preserve"> PAGEREF _Toc442713374 \h </w:instrText>
        </w:r>
        <w:r w:rsidR="0059342E">
          <w:rPr>
            <w:noProof/>
            <w:webHidden/>
          </w:rPr>
        </w:r>
        <w:r w:rsidR="0059342E">
          <w:rPr>
            <w:noProof/>
            <w:webHidden/>
          </w:rPr>
          <w:fldChar w:fldCharType="separate"/>
        </w:r>
        <w:r w:rsidR="00DF74E7">
          <w:rPr>
            <w:noProof/>
            <w:webHidden/>
          </w:rPr>
          <w:t>37</w:t>
        </w:r>
        <w:r w:rsidR="0059342E">
          <w:rPr>
            <w:noProof/>
            <w:webHidden/>
          </w:rPr>
          <w:fldChar w:fldCharType="end"/>
        </w:r>
      </w:hyperlink>
    </w:p>
    <w:p w:rsidR="0059342E" w:rsidRDefault="007E6ABF" w:rsidP="0059342E">
      <w:pPr>
        <w:pStyle w:val="TOC2"/>
        <w:ind w:right="720"/>
        <w:rPr>
          <w:rFonts w:asciiTheme="minorHAnsi" w:eastAsiaTheme="minorEastAsia" w:hAnsiTheme="minorHAnsi"/>
          <w:noProof/>
          <w:sz w:val="22"/>
        </w:rPr>
      </w:pPr>
      <w:hyperlink w:anchor="_Toc442713375" w:history="1">
        <w:r w:rsidR="0059342E" w:rsidRPr="008965D1">
          <w:rPr>
            <w:rStyle w:val="Hyperlink"/>
            <w:noProof/>
          </w:rPr>
          <w:t>K.</w:t>
        </w:r>
        <w:r w:rsidR="0059342E">
          <w:rPr>
            <w:rFonts w:asciiTheme="minorHAnsi" w:eastAsiaTheme="minorEastAsia" w:hAnsiTheme="minorHAnsi"/>
            <w:noProof/>
            <w:sz w:val="22"/>
          </w:rPr>
          <w:tab/>
        </w:r>
        <w:r w:rsidR="0059342E" w:rsidRPr="008965D1">
          <w:rPr>
            <w:rStyle w:val="Hyperlink"/>
            <w:noProof/>
          </w:rPr>
          <w:t>Unable to argue the law or facts, AEP Ohio resorts to personal criticism of OCC Witness Jackson and misleads about her testimony.</w:t>
        </w:r>
        <w:r w:rsidR="0059342E">
          <w:rPr>
            <w:noProof/>
            <w:webHidden/>
          </w:rPr>
          <w:tab/>
        </w:r>
        <w:r w:rsidR="0059342E">
          <w:rPr>
            <w:noProof/>
            <w:webHidden/>
          </w:rPr>
          <w:fldChar w:fldCharType="begin"/>
        </w:r>
        <w:r w:rsidR="0059342E">
          <w:rPr>
            <w:noProof/>
            <w:webHidden/>
          </w:rPr>
          <w:instrText xml:space="preserve"> PAGEREF _Toc442713375 \h </w:instrText>
        </w:r>
        <w:r w:rsidR="0059342E">
          <w:rPr>
            <w:noProof/>
            <w:webHidden/>
          </w:rPr>
        </w:r>
        <w:r w:rsidR="0059342E">
          <w:rPr>
            <w:noProof/>
            <w:webHidden/>
          </w:rPr>
          <w:fldChar w:fldCharType="separate"/>
        </w:r>
        <w:r w:rsidR="00DF74E7">
          <w:rPr>
            <w:noProof/>
            <w:webHidden/>
          </w:rPr>
          <w:t>39</w:t>
        </w:r>
        <w:r w:rsidR="0059342E">
          <w:rPr>
            <w:noProof/>
            <w:webHidden/>
          </w:rPr>
          <w:fldChar w:fldCharType="end"/>
        </w:r>
      </w:hyperlink>
    </w:p>
    <w:p w:rsidR="0059342E" w:rsidRDefault="007E6ABF" w:rsidP="0059342E">
      <w:pPr>
        <w:pStyle w:val="TOC3"/>
        <w:tabs>
          <w:tab w:val="left" w:pos="2160"/>
        </w:tabs>
        <w:ind w:right="720"/>
        <w:rPr>
          <w:rFonts w:asciiTheme="minorHAnsi" w:eastAsiaTheme="minorEastAsia" w:hAnsiTheme="minorHAnsi"/>
          <w:noProof/>
          <w:sz w:val="22"/>
        </w:rPr>
      </w:pPr>
      <w:hyperlink w:anchor="_Toc442713376" w:history="1">
        <w:r w:rsidR="0059342E" w:rsidRPr="008965D1">
          <w:rPr>
            <w:rStyle w:val="Hyperlink"/>
            <w:noProof/>
          </w:rPr>
          <w:t>1.</w:t>
        </w:r>
        <w:r w:rsidR="0059342E">
          <w:rPr>
            <w:rFonts w:asciiTheme="minorHAnsi" w:eastAsiaTheme="minorEastAsia" w:hAnsiTheme="minorHAnsi"/>
            <w:noProof/>
            <w:sz w:val="22"/>
          </w:rPr>
          <w:tab/>
        </w:r>
        <w:r w:rsidR="0059342E" w:rsidRPr="008965D1">
          <w:rPr>
            <w:rStyle w:val="Hyperlink"/>
            <w:noProof/>
          </w:rPr>
          <w:t>OCC Witness Jackson is well qualified to express expert opinions on the topics of her testimony.</w:t>
        </w:r>
        <w:r w:rsidR="0059342E">
          <w:rPr>
            <w:noProof/>
            <w:webHidden/>
          </w:rPr>
          <w:tab/>
        </w:r>
        <w:r w:rsidR="0059342E">
          <w:rPr>
            <w:noProof/>
            <w:webHidden/>
          </w:rPr>
          <w:fldChar w:fldCharType="begin"/>
        </w:r>
        <w:r w:rsidR="0059342E">
          <w:rPr>
            <w:noProof/>
            <w:webHidden/>
          </w:rPr>
          <w:instrText xml:space="preserve"> PAGEREF _Toc442713376 \h </w:instrText>
        </w:r>
        <w:r w:rsidR="0059342E">
          <w:rPr>
            <w:noProof/>
            <w:webHidden/>
          </w:rPr>
        </w:r>
        <w:r w:rsidR="0059342E">
          <w:rPr>
            <w:noProof/>
            <w:webHidden/>
          </w:rPr>
          <w:fldChar w:fldCharType="separate"/>
        </w:r>
        <w:r w:rsidR="00DF74E7">
          <w:rPr>
            <w:noProof/>
            <w:webHidden/>
          </w:rPr>
          <w:t>40</w:t>
        </w:r>
        <w:r w:rsidR="0059342E">
          <w:rPr>
            <w:noProof/>
            <w:webHidden/>
          </w:rPr>
          <w:fldChar w:fldCharType="end"/>
        </w:r>
      </w:hyperlink>
    </w:p>
    <w:p w:rsidR="0059342E" w:rsidRDefault="007E6ABF" w:rsidP="0059342E">
      <w:pPr>
        <w:pStyle w:val="TOC3"/>
        <w:tabs>
          <w:tab w:val="left" w:pos="2160"/>
        </w:tabs>
        <w:ind w:right="720"/>
        <w:rPr>
          <w:rFonts w:asciiTheme="minorHAnsi" w:eastAsiaTheme="minorEastAsia" w:hAnsiTheme="minorHAnsi"/>
          <w:noProof/>
          <w:sz w:val="22"/>
        </w:rPr>
      </w:pPr>
      <w:hyperlink w:anchor="_Toc442713377" w:history="1">
        <w:r w:rsidR="0059342E" w:rsidRPr="008965D1">
          <w:rPr>
            <w:rStyle w:val="Hyperlink"/>
            <w:noProof/>
          </w:rPr>
          <w:t>2.</w:t>
        </w:r>
        <w:r w:rsidR="0059342E">
          <w:rPr>
            <w:rFonts w:asciiTheme="minorHAnsi" w:eastAsiaTheme="minorEastAsia" w:hAnsiTheme="minorHAnsi"/>
            <w:noProof/>
            <w:sz w:val="22"/>
          </w:rPr>
          <w:tab/>
        </w:r>
        <w:r w:rsidR="0059342E" w:rsidRPr="008965D1">
          <w:rPr>
            <w:rStyle w:val="Hyperlink"/>
            <w:noProof/>
          </w:rPr>
          <w:t>AEP Ohio misleads about OCC Witness Jackson’s testimony.</w:t>
        </w:r>
        <w:r w:rsidR="0059342E">
          <w:rPr>
            <w:noProof/>
            <w:webHidden/>
          </w:rPr>
          <w:tab/>
        </w:r>
        <w:r w:rsidR="0059342E">
          <w:rPr>
            <w:noProof/>
            <w:webHidden/>
          </w:rPr>
          <w:fldChar w:fldCharType="begin"/>
        </w:r>
        <w:r w:rsidR="0059342E">
          <w:rPr>
            <w:noProof/>
            <w:webHidden/>
          </w:rPr>
          <w:instrText xml:space="preserve"> PAGEREF _Toc442713377 \h </w:instrText>
        </w:r>
        <w:r w:rsidR="0059342E">
          <w:rPr>
            <w:noProof/>
            <w:webHidden/>
          </w:rPr>
        </w:r>
        <w:r w:rsidR="0059342E">
          <w:rPr>
            <w:noProof/>
            <w:webHidden/>
          </w:rPr>
          <w:fldChar w:fldCharType="separate"/>
        </w:r>
        <w:r w:rsidR="00DF74E7">
          <w:rPr>
            <w:noProof/>
            <w:webHidden/>
          </w:rPr>
          <w:t>42</w:t>
        </w:r>
        <w:r w:rsidR="0059342E">
          <w:rPr>
            <w:noProof/>
            <w:webHidden/>
          </w:rPr>
          <w:fldChar w:fldCharType="end"/>
        </w:r>
      </w:hyperlink>
    </w:p>
    <w:p w:rsidR="0059342E" w:rsidRDefault="007E6ABF" w:rsidP="0059342E">
      <w:pPr>
        <w:pStyle w:val="TOC1"/>
        <w:ind w:right="720"/>
        <w:rPr>
          <w:rFonts w:asciiTheme="minorHAnsi" w:eastAsiaTheme="minorEastAsia" w:hAnsiTheme="minorHAnsi"/>
          <w:caps w:val="0"/>
          <w:noProof/>
          <w:sz w:val="22"/>
        </w:rPr>
      </w:pPr>
      <w:hyperlink w:anchor="_Toc442713378" w:history="1">
        <w:r w:rsidR="0059342E" w:rsidRPr="008965D1">
          <w:rPr>
            <w:rStyle w:val="Hyperlink"/>
            <w:noProof/>
          </w:rPr>
          <w:t>III.</w:t>
        </w:r>
        <w:r w:rsidR="0059342E">
          <w:rPr>
            <w:rFonts w:asciiTheme="minorHAnsi" w:eastAsiaTheme="minorEastAsia" w:hAnsiTheme="minorHAnsi"/>
            <w:caps w:val="0"/>
            <w:noProof/>
            <w:sz w:val="22"/>
          </w:rPr>
          <w:tab/>
        </w:r>
        <w:r w:rsidR="0059342E" w:rsidRPr="008965D1">
          <w:rPr>
            <w:rStyle w:val="Hyperlink"/>
            <w:noProof/>
          </w:rPr>
          <w:t>CONCLUSION</w:t>
        </w:r>
        <w:r w:rsidR="0059342E">
          <w:rPr>
            <w:noProof/>
            <w:webHidden/>
          </w:rPr>
          <w:tab/>
        </w:r>
        <w:r w:rsidR="0059342E">
          <w:rPr>
            <w:noProof/>
            <w:webHidden/>
          </w:rPr>
          <w:fldChar w:fldCharType="begin"/>
        </w:r>
        <w:r w:rsidR="0059342E">
          <w:rPr>
            <w:noProof/>
            <w:webHidden/>
          </w:rPr>
          <w:instrText xml:space="preserve"> PAGEREF _Toc442713378 \h </w:instrText>
        </w:r>
        <w:r w:rsidR="0059342E">
          <w:rPr>
            <w:noProof/>
            <w:webHidden/>
          </w:rPr>
        </w:r>
        <w:r w:rsidR="0059342E">
          <w:rPr>
            <w:noProof/>
            <w:webHidden/>
          </w:rPr>
          <w:fldChar w:fldCharType="separate"/>
        </w:r>
        <w:r w:rsidR="00DF74E7">
          <w:rPr>
            <w:noProof/>
            <w:webHidden/>
          </w:rPr>
          <w:t>44</w:t>
        </w:r>
        <w:r w:rsidR="0059342E">
          <w:rPr>
            <w:noProof/>
            <w:webHidden/>
          </w:rPr>
          <w:fldChar w:fldCharType="end"/>
        </w:r>
      </w:hyperlink>
    </w:p>
    <w:p w:rsidR="00BF2D87" w:rsidRDefault="005F2836" w:rsidP="0059342E">
      <w:pPr>
        <w:tabs>
          <w:tab w:val="decimal" w:leader="dot" w:pos="8640"/>
        </w:tabs>
        <w:spacing w:after="0" w:line="240" w:lineRule="auto"/>
        <w:ind w:right="720"/>
        <w:rPr>
          <w:rFonts w:ascii="Times New Roman" w:eastAsiaTheme="minorEastAsia" w:hAnsi="Times New Roman" w:cs="Times New Roman"/>
          <w:b/>
          <w:sz w:val="24"/>
        </w:rPr>
      </w:pPr>
      <w:r>
        <w:rPr>
          <w:rFonts w:ascii="Times New Roman" w:eastAsiaTheme="minorEastAsia" w:hAnsi="Times New Roman" w:cs="Times New Roman"/>
          <w:b/>
          <w:caps/>
          <w:sz w:val="24"/>
        </w:rPr>
        <w:fldChar w:fldCharType="end"/>
      </w:r>
    </w:p>
    <w:p w:rsidR="00BF2D87" w:rsidRPr="00BF2D87" w:rsidRDefault="00BF2D87" w:rsidP="00BF2D87">
      <w:pPr>
        <w:spacing w:after="0" w:line="240" w:lineRule="auto"/>
        <w:rPr>
          <w:rFonts w:ascii="Times New Roman" w:eastAsiaTheme="minorEastAsia" w:hAnsi="Times New Roman" w:cs="Times New Roman"/>
          <w:b/>
          <w:sz w:val="24"/>
        </w:rPr>
      </w:pPr>
    </w:p>
    <w:p w:rsid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sz w:val="24"/>
          <w:szCs w:val="20"/>
        </w:rPr>
        <w:sectPr w:rsidR="00BF2D87" w:rsidSect="00130F92">
          <w:footerReference w:type="default" r:id="rId19"/>
          <w:pgSz w:w="12240" w:h="15840"/>
          <w:pgMar w:top="1440" w:right="1800" w:bottom="1440" w:left="1800" w:header="720" w:footer="720" w:gutter="0"/>
          <w:pgNumType w:fmt="lowerRoman" w:start="1"/>
          <w:cols w:space="720"/>
          <w:docGrid w:linePitch="360"/>
        </w:sectPr>
      </w:pP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BEFORE</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sz w:val="24"/>
          <w:szCs w:val="20"/>
        </w:rPr>
      </w:pPr>
      <w:r w:rsidRPr="00BF2D87">
        <w:rPr>
          <w:rFonts w:ascii="Times New Roman" w:eastAsia="Courier New" w:hAnsi="Times New Roman" w:cs="Courier New"/>
          <w:b/>
          <w:bCs/>
          <w:sz w:val="24"/>
          <w:szCs w:val="20"/>
        </w:rPr>
        <w:t>THE PUBLIC UTILITIES COMMISSION OF OHIO</w:t>
      </w:r>
    </w:p>
    <w:p w:rsid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bl>
      <w:tblPr>
        <w:tblW w:w="9092" w:type="dxa"/>
        <w:tblLook w:val="01E0" w:firstRow="1" w:lastRow="1" w:firstColumn="1" w:lastColumn="1" w:noHBand="0" w:noVBand="0"/>
      </w:tblPr>
      <w:tblGrid>
        <w:gridCol w:w="4332"/>
        <w:gridCol w:w="360"/>
        <w:gridCol w:w="4400"/>
      </w:tblGrid>
      <w:tr w:rsidR="00130F92" w:rsidRPr="00BF2D87" w:rsidTr="00130F92">
        <w:trPr>
          <w:trHeight w:val="807"/>
        </w:trPr>
        <w:tc>
          <w:tcPr>
            <w:tcW w:w="4332" w:type="dxa"/>
          </w:tcPr>
          <w:p w:rsidR="00130F92" w:rsidRDefault="00130F92" w:rsidP="00130F92">
            <w:pPr>
              <w:autoSpaceDE w:val="0"/>
              <w:autoSpaceDN w:val="0"/>
              <w:adjustRightInd w:val="0"/>
              <w:spacing w:after="0" w:line="240" w:lineRule="auto"/>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In the Matter of the Application Seeking Approval of Ohio Power Company</w:t>
            </w:r>
            <w:r>
              <w:rPr>
                <w:rFonts w:ascii="Times New Roman" w:eastAsiaTheme="minorEastAsia" w:hAnsi="Times New Roman" w:cs="Times New Roman"/>
                <w:sz w:val="24"/>
                <w:szCs w:val="24"/>
              </w:rPr>
              <w:t>’</w:t>
            </w:r>
            <w:r w:rsidRPr="00BF2D87">
              <w:rPr>
                <w:rFonts w:ascii="Times New Roman" w:eastAsiaTheme="minorEastAsia" w:hAnsi="Times New Roman" w:cs="Times New Roman"/>
                <w:sz w:val="24"/>
                <w:szCs w:val="24"/>
              </w:rPr>
              <w:t>s Proposal to Enter into an Affiliate Power Purchase Agreement in the Power Purchase Agreement Rider.</w:t>
            </w:r>
          </w:p>
          <w:p w:rsidR="00130F92" w:rsidRPr="00BF2D87" w:rsidRDefault="00130F92" w:rsidP="00130F92">
            <w:pPr>
              <w:autoSpaceDE w:val="0"/>
              <w:autoSpaceDN w:val="0"/>
              <w:adjustRightInd w:val="0"/>
              <w:spacing w:after="0" w:line="240" w:lineRule="auto"/>
              <w:rPr>
                <w:rFonts w:ascii="Times New Roman" w:eastAsiaTheme="minorEastAsia" w:hAnsi="Times New Roman" w:cs="Times New Roman"/>
                <w:sz w:val="24"/>
                <w:szCs w:val="24"/>
              </w:rPr>
            </w:pPr>
          </w:p>
          <w:p w:rsidR="00130F92" w:rsidRPr="00BF2D87" w:rsidRDefault="00130F92" w:rsidP="00E566F6">
            <w:pPr>
              <w:autoSpaceDE w:val="0"/>
              <w:autoSpaceDN w:val="0"/>
              <w:adjustRightInd w:val="0"/>
              <w:spacing w:after="0" w:line="240" w:lineRule="auto"/>
              <w:rPr>
                <w:rFonts w:ascii="Times New Roman" w:eastAsia="Courier New" w:hAnsi="Times New Roman" w:cs="Courier New"/>
                <w:sz w:val="24"/>
                <w:szCs w:val="24"/>
              </w:rPr>
            </w:pPr>
            <w:r w:rsidRPr="00BF2D87">
              <w:rPr>
                <w:rFonts w:ascii="Times New Roman" w:eastAsiaTheme="minorEastAsia" w:hAnsi="Times New Roman" w:cs="Times New Roman"/>
                <w:sz w:val="24"/>
                <w:szCs w:val="24"/>
              </w:rPr>
              <w:t xml:space="preserve">In the Matter of the Application of Ohio Power Company for Approval of Certain Accounting Authority. </w:t>
            </w:r>
          </w:p>
        </w:tc>
        <w:tc>
          <w:tcPr>
            <w:tcW w:w="360" w:type="dxa"/>
          </w:tcPr>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c>
          <w:tcPr>
            <w:tcW w:w="4400" w:type="dxa"/>
          </w:tcPr>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Case No. 14-1693-EL-RDR</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r w:rsidRPr="00BF2D87">
              <w:rPr>
                <w:rFonts w:ascii="Times New Roman" w:eastAsia="Courier New" w:hAnsi="Times New Roman" w:cs="Courier New"/>
                <w:sz w:val="24"/>
                <w:szCs w:val="20"/>
              </w:rPr>
              <w:t>Case No. 14-1694-EL-AAM</w:t>
            </w:r>
          </w:p>
          <w:p w:rsidR="00130F92" w:rsidRPr="00BF2D87" w:rsidRDefault="00130F92" w:rsidP="0013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sz w:val="24"/>
                <w:szCs w:val="20"/>
              </w:rPr>
            </w:pPr>
          </w:p>
        </w:tc>
      </w:tr>
    </w:tbl>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Pr>
          <w:rFonts w:ascii="Times New Roman" w:eastAsia="Courier New" w:hAnsi="Times New Roman" w:cs="Courier New"/>
          <w:b/>
          <w:bCs/>
          <w:sz w:val="24"/>
          <w:szCs w:val="20"/>
        </w:rPr>
        <w:t>REPLY</w:t>
      </w:r>
      <w:r w:rsidRPr="00BF2D87">
        <w:rPr>
          <w:rFonts w:ascii="Times New Roman" w:eastAsia="Courier New" w:hAnsi="Times New Roman" w:cs="Courier New"/>
          <w:b/>
          <w:bCs/>
          <w:sz w:val="24"/>
          <w:szCs w:val="20"/>
        </w:rPr>
        <w:t xml:space="preserve"> BRIEF</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BY</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THE OFFICE OF THE OHIO CONSUMERS</w:t>
      </w:r>
      <w:r w:rsidR="00130F92">
        <w:rPr>
          <w:rFonts w:ascii="Times New Roman" w:eastAsia="Courier New" w:hAnsi="Times New Roman" w:cs="Courier New"/>
          <w:b/>
          <w:bCs/>
          <w:sz w:val="24"/>
          <w:szCs w:val="20"/>
        </w:rPr>
        <w:t>’</w:t>
      </w:r>
      <w:r w:rsidRPr="00BF2D87">
        <w:rPr>
          <w:rFonts w:ascii="Times New Roman" w:eastAsia="Courier New" w:hAnsi="Times New Roman" w:cs="Courier New"/>
          <w:b/>
          <w:bCs/>
          <w:sz w:val="24"/>
          <w:szCs w:val="20"/>
        </w:rPr>
        <w:t xml:space="preserve"> COUNSEL</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Courier New"/>
          <w:b/>
          <w:bCs/>
          <w:sz w:val="24"/>
          <w:szCs w:val="20"/>
        </w:rPr>
      </w:pPr>
      <w:r w:rsidRPr="00BF2D87">
        <w:rPr>
          <w:rFonts w:ascii="Times New Roman" w:eastAsia="Courier New" w:hAnsi="Times New Roman" w:cs="Courier New"/>
          <w:b/>
          <w:bCs/>
          <w:sz w:val="24"/>
          <w:szCs w:val="20"/>
        </w:rPr>
        <w:t>APPALACHIAN PEACE AND JUSTICE NETWORK</w:t>
      </w:r>
    </w:p>
    <w:p w:rsidR="00BF2D87" w:rsidRPr="00BF2D87" w:rsidRDefault="00BF2D87" w:rsidP="00BF2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Courier New"/>
          <w:b/>
          <w:bCs/>
          <w:sz w:val="24"/>
          <w:szCs w:val="20"/>
        </w:rPr>
      </w:pPr>
    </w:p>
    <w:p w:rsidR="002A668C" w:rsidRDefault="00E14BD9" w:rsidP="001E26F1">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There is so much bad news for Ohioans in AEP Ohio’s settlement that </w:t>
      </w:r>
      <w:r w:rsidR="002517D8">
        <w:rPr>
          <w:rFonts w:ascii="Times New Roman" w:hAnsi="Times New Roman" w:cs="Times New Roman"/>
          <w:sz w:val="24"/>
          <w:szCs w:val="24"/>
        </w:rPr>
        <w:t>the problems vie with each other for the attention they</w:t>
      </w:r>
      <w:r>
        <w:rPr>
          <w:rFonts w:ascii="Times New Roman" w:hAnsi="Times New Roman" w:cs="Times New Roman"/>
          <w:sz w:val="24"/>
          <w:szCs w:val="24"/>
        </w:rPr>
        <w:t xml:space="preserve"> deser</w:t>
      </w:r>
      <w:r w:rsidR="002517D8">
        <w:rPr>
          <w:rFonts w:ascii="Times New Roman" w:hAnsi="Times New Roman" w:cs="Times New Roman"/>
          <w:sz w:val="24"/>
          <w:szCs w:val="24"/>
        </w:rPr>
        <w:t>ve</w:t>
      </w:r>
      <w:r>
        <w:rPr>
          <w:rFonts w:ascii="Times New Roman" w:hAnsi="Times New Roman" w:cs="Times New Roman"/>
          <w:sz w:val="24"/>
          <w:szCs w:val="24"/>
        </w:rPr>
        <w:t xml:space="preserve">.  But one of the </w:t>
      </w:r>
      <w:r w:rsidR="0051609F">
        <w:rPr>
          <w:rFonts w:ascii="Times New Roman" w:hAnsi="Times New Roman" w:cs="Times New Roman"/>
          <w:sz w:val="24"/>
          <w:szCs w:val="24"/>
        </w:rPr>
        <w:t xml:space="preserve">worst </w:t>
      </w:r>
      <w:r>
        <w:rPr>
          <w:rFonts w:ascii="Times New Roman" w:hAnsi="Times New Roman" w:cs="Times New Roman"/>
          <w:sz w:val="24"/>
          <w:szCs w:val="24"/>
        </w:rPr>
        <w:t>problems we identified</w:t>
      </w:r>
      <w:r w:rsidR="002517D8">
        <w:rPr>
          <w:rFonts w:ascii="Times New Roman" w:hAnsi="Times New Roman" w:cs="Times New Roman"/>
          <w:sz w:val="24"/>
          <w:szCs w:val="24"/>
        </w:rPr>
        <w:t xml:space="preserve"> </w:t>
      </w:r>
      <w:r w:rsidR="0051609F">
        <w:rPr>
          <w:rFonts w:ascii="Times New Roman" w:hAnsi="Times New Roman" w:cs="Times New Roman"/>
          <w:sz w:val="24"/>
          <w:szCs w:val="24"/>
        </w:rPr>
        <w:t xml:space="preserve">(on Brief) </w:t>
      </w:r>
      <w:r>
        <w:rPr>
          <w:rFonts w:ascii="Times New Roman" w:hAnsi="Times New Roman" w:cs="Times New Roman"/>
          <w:sz w:val="24"/>
          <w:szCs w:val="24"/>
        </w:rPr>
        <w:t xml:space="preserve">as needing </w:t>
      </w:r>
      <w:r w:rsidR="0051609F">
        <w:rPr>
          <w:rFonts w:ascii="Times New Roman" w:hAnsi="Times New Roman" w:cs="Times New Roman"/>
          <w:sz w:val="24"/>
          <w:szCs w:val="24"/>
        </w:rPr>
        <w:t>PUCO</w:t>
      </w:r>
      <w:r>
        <w:rPr>
          <w:rFonts w:ascii="Times New Roman" w:hAnsi="Times New Roman" w:cs="Times New Roman"/>
          <w:sz w:val="24"/>
          <w:szCs w:val="24"/>
        </w:rPr>
        <w:t xml:space="preserve"> disapproval is</w:t>
      </w:r>
      <w:r w:rsidR="0051609F">
        <w:rPr>
          <w:rFonts w:ascii="Times New Roman" w:hAnsi="Times New Roman" w:cs="Times New Roman"/>
          <w:sz w:val="24"/>
          <w:szCs w:val="24"/>
        </w:rPr>
        <w:t xml:space="preserve"> that federal regulators may require</w:t>
      </w:r>
      <w:r>
        <w:rPr>
          <w:rFonts w:ascii="Times New Roman" w:hAnsi="Times New Roman" w:cs="Times New Roman"/>
          <w:sz w:val="24"/>
          <w:szCs w:val="24"/>
        </w:rPr>
        <w:t xml:space="preserve"> the subsidized power plants </w:t>
      </w:r>
      <w:r w:rsidR="002517D8">
        <w:rPr>
          <w:rFonts w:ascii="Times New Roman" w:hAnsi="Times New Roman" w:cs="Times New Roman"/>
          <w:sz w:val="24"/>
          <w:szCs w:val="24"/>
        </w:rPr>
        <w:t>to bid into markets at prices that will not clear</w:t>
      </w:r>
      <w:r w:rsidR="00C7631B">
        <w:rPr>
          <w:rFonts w:ascii="Times New Roman" w:hAnsi="Times New Roman" w:cs="Times New Roman"/>
          <w:sz w:val="24"/>
          <w:szCs w:val="24"/>
        </w:rPr>
        <w:t>.</w:t>
      </w:r>
      <w:r w:rsidR="00675A56">
        <w:rPr>
          <w:rFonts w:ascii="Times New Roman" w:hAnsi="Times New Roman" w:cs="Times New Roman"/>
          <w:sz w:val="24"/>
          <w:szCs w:val="24"/>
        </w:rPr>
        <w:t xml:space="preserve"> (</w:t>
      </w:r>
      <w:r w:rsidR="00665619">
        <w:rPr>
          <w:rFonts w:ascii="Times New Roman" w:hAnsi="Times New Roman" w:cs="Times New Roman"/>
          <w:sz w:val="24"/>
          <w:szCs w:val="24"/>
        </w:rPr>
        <w:t>P</w:t>
      </w:r>
      <w:r w:rsidR="0051609F">
        <w:rPr>
          <w:rFonts w:ascii="Times New Roman" w:hAnsi="Times New Roman" w:cs="Times New Roman"/>
          <w:sz w:val="24"/>
          <w:szCs w:val="24"/>
        </w:rPr>
        <w:t xml:space="preserve">JM Market Monitor Brief at </w:t>
      </w:r>
      <w:r w:rsidR="001F0238">
        <w:rPr>
          <w:rFonts w:ascii="Times New Roman" w:hAnsi="Times New Roman" w:cs="Times New Roman"/>
          <w:sz w:val="24"/>
          <w:szCs w:val="24"/>
        </w:rPr>
        <w:t>8-9</w:t>
      </w:r>
      <w:r w:rsidR="00C7631B">
        <w:rPr>
          <w:rFonts w:ascii="Times New Roman" w:hAnsi="Times New Roman" w:cs="Times New Roman"/>
          <w:sz w:val="24"/>
          <w:szCs w:val="24"/>
        </w:rPr>
        <w:t>.</w:t>
      </w:r>
      <w:r w:rsidR="0051609F">
        <w:rPr>
          <w:rFonts w:ascii="Times New Roman" w:hAnsi="Times New Roman" w:cs="Times New Roman"/>
          <w:sz w:val="24"/>
          <w:szCs w:val="24"/>
        </w:rPr>
        <w:t>) That</w:t>
      </w:r>
      <w:r w:rsidR="00665619">
        <w:rPr>
          <w:rFonts w:ascii="Times New Roman" w:hAnsi="Times New Roman" w:cs="Times New Roman"/>
          <w:sz w:val="24"/>
          <w:szCs w:val="24"/>
        </w:rPr>
        <w:t xml:space="preserve"> </w:t>
      </w:r>
      <w:r w:rsidR="0051609F">
        <w:rPr>
          <w:rFonts w:ascii="Times New Roman" w:hAnsi="Times New Roman" w:cs="Times New Roman"/>
          <w:sz w:val="24"/>
          <w:szCs w:val="24"/>
        </w:rPr>
        <w:t>means</w:t>
      </w:r>
      <w:r w:rsidR="00665619">
        <w:rPr>
          <w:rFonts w:ascii="Times New Roman" w:hAnsi="Times New Roman" w:cs="Times New Roman"/>
          <w:sz w:val="24"/>
          <w:szCs w:val="24"/>
        </w:rPr>
        <w:t xml:space="preserve"> Ohioans</w:t>
      </w:r>
      <w:r w:rsidR="0051609F">
        <w:rPr>
          <w:rFonts w:ascii="Times New Roman" w:hAnsi="Times New Roman" w:cs="Times New Roman"/>
          <w:sz w:val="24"/>
          <w:szCs w:val="24"/>
        </w:rPr>
        <w:t xml:space="preserve"> would</w:t>
      </w:r>
      <w:r w:rsidR="00665619">
        <w:rPr>
          <w:rFonts w:ascii="Times New Roman" w:hAnsi="Times New Roman" w:cs="Times New Roman"/>
          <w:sz w:val="24"/>
          <w:szCs w:val="24"/>
        </w:rPr>
        <w:t xml:space="preserve"> pay</w:t>
      </w:r>
      <w:r w:rsidR="00996DA8">
        <w:rPr>
          <w:rFonts w:ascii="Times New Roman" w:hAnsi="Times New Roman" w:cs="Times New Roman"/>
          <w:sz w:val="24"/>
          <w:szCs w:val="24"/>
        </w:rPr>
        <w:t xml:space="preserve"> AEP Ohio</w:t>
      </w:r>
      <w:r w:rsidR="00FF725D">
        <w:rPr>
          <w:rFonts w:ascii="Times New Roman" w:hAnsi="Times New Roman" w:cs="Times New Roman"/>
          <w:sz w:val="24"/>
          <w:szCs w:val="24"/>
        </w:rPr>
        <w:t xml:space="preserve"> </w:t>
      </w:r>
      <w:r w:rsidR="00665619">
        <w:rPr>
          <w:rFonts w:ascii="Times New Roman" w:hAnsi="Times New Roman" w:cs="Times New Roman"/>
          <w:sz w:val="24"/>
          <w:szCs w:val="24"/>
        </w:rPr>
        <w:t>much more</w:t>
      </w:r>
      <w:r w:rsidR="00FF725D">
        <w:rPr>
          <w:rFonts w:ascii="Times New Roman" w:hAnsi="Times New Roman" w:cs="Times New Roman"/>
          <w:sz w:val="24"/>
          <w:szCs w:val="24"/>
        </w:rPr>
        <w:t xml:space="preserve"> than our projection of $700 each</w:t>
      </w:r>
      <w:r w:rsidR="00665619">
        <w:rPr>
          <w:rFonts w:ascii="Times New Roman" w:hAnsi="Times New Roman" w:cs="Times New Roman"/>
          <w:sz w:val="24"/>
          <w:szCs w:val="24"/>
        </w:rPr>
        <w:t>.</w:t>
      </w:r>
      <w:r w:rsidR="002517D8">
        <w:rPr>
          <w:rFonts w:ascii="Times New Roman" w:hAnsi="Times New Roman" w:cs="Times New Roman"/>
          <w:sz w:val="24"/>
          <w:szCs w:val="24"/>
        </w:rPr>
        <w:t xml:space="preserve"> Now Ohio Energy Group (“OEG”), a </w:t>
      </w:r>
      <w:r w:rsidR="002A668C">
        <w:rPr>
          <w:rFonts w:ascii="Times New Roman" w:hAnsi="Times New Roman" w:cs="Times New Roman"/>
          <w:sz w:val="24"/>
          <w:szCs w:val="24"/>
        </w:rPr>
        <w:t>signer of</w:t>
      </w:r>
      <w:r w:rsidR="002517D8">
        <w:rPr>
          <w:rFonts w:ascii="Times New Roman" w:hAnsi="Times New Roman" w:cs="Times New Roman"/>
          <w:sz w:val="24"/>
          <w:szCs w:val="24"/>
        </w:rPr>
        <w:t xml:space="preserve"> the settlement no less, has rightly expressed </w:t>
      </w:r>
      <w:r w:rsidR="00665619">
        <w:rPr>
          <w:rFonts w:ascii="Times New Roman" w:hAnsi="Times New Roman" w:cs="Times New Roman"/>
          <w:sz w:val="24"/>
          <w:szCs w:val="24"/>
        </w:rPr>
        <w:t xml:space="preserve">its </w:t>
      </w:r>
      <w:r w:rsidR="002517D8">
        <w:rPr>
          <w:rFonts w:ascii="Times New Roman" w:hAnsi="Times New Roman" w:cs="Times New Roman"/>
          <w:sz w:val="24"/>
          <w:szCs w:val="24"/>
        </w:rPr>
        <w:t>concern that this eventuality “</w:t>
      </w:r>
      <w:r w:rsidR="00665619">
        <w:rPr>
          <w:rFonts w:ascii="Times New Roman" w:hAnsi="Times New Roman" w:cs="Times New Roman"/>
          <w:sz w:val="24"/>
          <w:szCs w:val="24"/>
        </w:rPr>
        <w:t>would dramatically raise</w:t>
      </w:r>
      <w:r w:rsidR="002517D8">
        <w:rPr>
          <w:rFonts w:ascii="Times New Roman" w:hAnsi="Times New Roman" w:cs="Times New Roman"/>
          <w:sz w:val="24"/>
          <w:szCs w:val="24"/>
        </w:rPr>
        <w:t xml:space="preserve"> the level of costs collected [from customers] through the PPA Rider.” (OEG Brief at 20.)  OEG wants the </w:t>
      </w:r>
      <w:r w:rsidR="002D4D54">
        <w:rPr>
          <w:rFonts w:ascii="Times New Roman" w:hAnsi="Times New Roman" w:cs="Times New Roman"/>
          <w:sz w:val="24"/>
          <w:szCs w:val="24"/>
        </w:rPr>
        <w:t>PUCO</w:t>
      </w:r>
      <w:r w:rsidR="002517D8">
        <w:rPr>
          <w:rFonts w:ascii="Times New Roman" w:hAnsi="Times New Roman" w:cs="Times New Roman"/>
          <w:sz w:val="24"/>
          <w:szCs w:val="24"/>
        </w:rPr>
        <w:t xml:space="preserve"> to “reserve the right to reevaluate, modify, or terminate the PPA rider….”</w:t>
      </w:r>
      <w:r w:rsidR="00665619">
        <w:rPr>
          <w:rFonts w:ascii="Times New Roman" w:hAnsi="Times New Roman" w:cs="Times New Roman"/>
          <w:sz w:val="24"/>
          <w:szCs w:val="24"/>
        </w:rPr>
        <w:t xml:space="preserve"> </w:t>
      </w:r>
      <w:r w:rsidR="00E566F6">
        <w:rPr>
          <w:rFonts w:ascii="Times New Roman" w:hAnsi="Times New Roman" w:cs="Times New Roman"/>
          <w:sz w:val="24"/>
          <w:szCs w:val="24"/>
        </w:rPr>
        <w:t>(</w:t>
      </w:r>
      <w:r w:rsidR="00E566F6">
        <w:rPr>
          <w:rFonts w:ascii="Times New Roman" w:hAnsi="Times New Roman" w:cs="Times New Roman"/>
          <w:i/>
          <w:sz w:val="24"/>
          <w:szCs w:val="24"/>
        </w:rPr>
        <w:t>Id.</w:t>
      </w:r>
      <w:r w:rsidR="00E566F6">
        <w:rPr>
          <w:rFonts w:ascii="Times New Roman" w:hAnsi="Times New Roman" w:cs="Times New Roman"/>
          <w:sz w:val="24"/>
          <w:szCs w:val="24"/>
        </w:rPr>
        <w:t xml:space="preserve">)  </w:t>
      </w:r>
      <w:r w:rsidR="00854170">
        <w:rPr>
          <w:rFonts w:ascii="Times New Roman" w:hAnsi="Times New Roman" w:cs="Times New Roman"/>
          <w:sz w:val="24"/>
          <w:szCs w:val="24"/>
        </w:rPr>
        <w:t xml:space="preserve">Not </w:t>
      </w:r>
      <w:r w:rsidR="002D4D54">
        <w:rPr>
          <w:rFonts w:ascii="Times New Roman" w:hAnsi="Times New Roman" w:cs="Times New Roman"/>
          <w:sz w:val="24"/>
          <w:szCs w:val="24"/>
        </w:rPr>
        <w:t xml:space="preserve">a </w:t>
      </w:r>
      <w:r w:rsidR="00854170">
        <w:rPr>
          <w:rFonts w:ascii="Times New Roman" w:hAnsi="Times New Roman" w:cs="Times New Roman"/>
          <w:sz w:val="24"/>
          <w:szCs w:val="24"/>
        </w:rPr>
        <w:t>bad</w:t>
      </w:r>
      <w:r w:rsidR="002D4D54">
        <w:rPr>
          <w:rFonts w:ascii="Times New Roman" w:hAnsi="Times New Roman" w:cs="Times New Roman"/>
          <w:sz w:val="24"/>
          <w:szCs w:val="24"/>
        </w:rPr>
        <w:t xml:space="preserve"> idea</w:t>
      </w:r>
      <w:r w:rsidR="00BF455B">
        <w:rPr>
          <w:rFonts w:ascii="Times New Roman" w:hAnsi="Times New Roman" w:cs="Times New Roman"/>
          <w:sz w:val="24"/>
          <w:szCs w:val="24"/>
        </w:rPr>
        <w:t xml:space="preserve">. </w:t>
      </w:r>
      <w:r w:rsidR="00854170">
        <w:rPr>
          <w:rFonts w:ascii="Times New Roman" w:hAnsi="Times New Roman" w:cs="Times New Roman"/>
          <w:sz w:val="24"/>
          <w:szCs w:val="24"/>
        </w:rPr>
        <w:t>But the PUCO should not interfere with the market in the first place. H</w:t>
      </w:r>
      <w:r w:rsidR="00665619">
        <w:rPr>
          <w:rFonts w:ascii="Times New Roman" w:hAnsi="Times New Roman" w:cs="Times New Roman"/>
          <w:sz w:val="24"/>
          <w:szCs w:val="24"/>
        </w:rPr>
        <w:t xml:space="preserve">ere’s </w:t>
      </w:r>
      <w:r w:rsidR="00854170">
        <w:rPr>
          <w:rFonts w:ascii="Times New Roman" w:hAnsi="Times New Roman" w:cs="Times New Roman"/>
          <w:sz w:val="24"/>
          <w:szCs w:val="24"/>
        </w:rPr>
        <w:t>the point</w:t>
      </w:r>
      <w:r w:rsidR="00665619">
        <w:rPr>
          <w:rFonts w:ascii="Times New Roman" w:hAnsi="Times New Roman" w:cs="Times New Roman"/>
          <w:sz w:val="24"/>
          <w:szCs w:val="24"/>
        </w:rPr>
        <w:t xml:space="preserve"> from Dr. Hisham Choueiki</w:t>
      </w:r>
      <w:r w:rsidR="002A668C">
        <w:rPr>
          <w:rFonts w:ascii="Times New Roman" w:hAnsi="Times New Roman" w:cs="Times New Roman"/>
          <w:sz w:val="24"/>
          <w:szCs w:val="24"/>
        </w:rPr>
        <w:t>, PUCO Staff witness</w:t>
      </w:r>
      <w:r w:rsidR="00BF455B">
        <w:rPr>
          <w:rFonts w:ascii="Times New Roman" w:hAnsi="Times New Roman" w:cs="Times New Roman"/>
          <w:sz w:val="24"/>
          <w:szCs w:val="24"/>
        </w:rPr>
        <w:t>.</w:t>
      </w:r>
      <w:r w:rsidR="00E50022">
        <w:rPr>
          <w:rFonts w:ascii="Times New Roman" w:hAnsi="Times New Roman" w:cs="Times New Roman"/>
          <w:sz w:val="24"/>
          <w:szCs w:val="24"/>
        </w:rPr>
        <w:t xml:space="preserve"> Says he:  </w:t>
      </w:r>
      <w:r w:rsidR="00665619">
        <w:rPr>
          <w:rFonts w:ascii="Times New Roman" w:hAnsi="Times New Roman" w:cs="Times New Roman"/>
          <w:sz w:val="24"/>
          <w:szCs w:val="24"/>
        </w:rPr>
        <w:t>“It’s a fully functionally competitive market in Ohio</w:t>
      </w:r>
      <w:r w:rsidR="002A668C">
        <w:rPr>
          <w:rFonts w:ascii="Times New Roman" w:hAnsi="Times New Roman" w:cs="Times New Roman"/>
          <w:sz w:val="24"/>
          <w:szCs w:val="24"/>
        </w:rPr>
        <w:t xml:space="preserve">, a generation service, </w:t>
      </w:r>
      <w:r w:rsidR="002A668C" w:rsidRPr="00E566F6">
        <w:rPr>
          <w:rFonts w:ascii="Times New Roman" w:hAnsi="Times New Roman" w:cs="Times New Roman"/>
          <w:b/>
          <w:sz w:val="24"/>
          <w:szCs w:val="24"/>
        </w:rPr>
        <w:t>so ther</w:t>
      </w:r>
      <w:r w:rsidR="00665619" w:rsidRPr="00E566F6">
        <w:rPr>
          <w:rFonts w:ascii="Times New Roman" w:hAnsi="Times New Roman" w:cs="Times New Roman"/>
          <w:b/>
          <w:sz w:val="24"/>
          <w:szCs w:val="24"/>
        </w:rPr>
        <w:t>e</w:t>
      </w:r>
      <w:r w:rsidR="002A668C" w:rsidRPr="00E566F6">
        <w:rPr>
          <w:rFonts w:ascii="Times New Roman" w:hAnsi="Times New Roman" w:cs="Times New Roman"/>
          <w:b/>
          <w:sz w:val="24"/>
          <w:szCs w:val="24"/>
        </w:rPr>
        <w:t xml:space="preserve"> </w:t>
      </w:r>
      <w:r w:rsidR="00665619" w:rsidRPr="00E566F6">
        <w:rPr>
          <w:rFonts w:ascii="Times New Roman" w:hAnsi="Times New Roman" w:cs="Times New Roman"/>
          <w:b/>
          <w:sz w:val="24"/>
          <w:szCs w:val="24"/>
        </w:rPr>
        <w:t>is no need for anything else on the generation side.</w:t>
      </w:r>
      <w:r w:rsidR="00665619">
        <w:rPr>
          <w:rFonts w:ascii="Times New Roman" w:hAnsi="Times New Roman" w:cs="Times New Roman"/>
          <w:sz w:val="24"/>
          <w:szCs w:val="24"/>
        </w:rPr>
        <w:t>” (</w:t>
      </w:r>
      <w:r w:rsidR="001F0238">
        <w:rPr>
          <w:rFonts w:ascii="Times New Roman" w:hAnsi="Times New Roman" w:cs="Times New Roman"/>
          <w:sz w:val="24"/>
          <w:szCs w:val="24"/>
        </w:rPr>
        <w:t xml:space="preserve">Hearing </w:t>
      </w:r>
      <w:r w:rsidR="00665619">
        <w:rPr>
          <w:rFonts w:ascii="Times New Roman" w:hAnsi="Times New Roman" w:cs="Times New Roman"/>
          <w:sz w:val="24"/>
          <w:szCs w:val="24"/>
        </w:rPr>
        <w:t xml:space="preserve">Transcript </w:t>
      </w:r>
      <w:r w:rsidR="001F0238">
        <w:rPr>
          <w:rFonts w:ascii="Times New Roman" w:hAnsi="Times New Roman" w:cs="Times New Roman"/>
          <w:sz w:val="24"/>
          <w:szCs w:val="24"/>
        </w:rPr>
        <w:t xml:space="preserve">at Vol. </w:t>
      </w:r>
      <w:r w:rsidR="00665619">
        <w:rPr>
          <w:rFonts w:ascii="Times New Roman" w:hAnsi="Times New Roman" w:cs="Times New Roman"/>
          <w:sz w:val="24"/>
          <w:szCs w:val="24"/>
        </w:rPr>
        <w:t>XVI</w:t>
      </w:r>
      <w:r w:rsidR="001F0238">
        <w:rPr>
          <w:rFonts w:ascii="Times New Roman" w:hAnsi="Times New Roman" w:cs="Times New Roman"/>
          <w:sz w:val="24"/>
          <w:szCs w:val="24"/>
        </w:rPr>
        <w:t>,</w:t>
      </w:r>
      <w:r w:rsidR="00AE6BD6">
        <w:rPr>
          <w:rFonts w:ascii="Times New Roman" w:hAnsi="Times New Roman" w:cs="Times New Roman"/>
          <w:sz w:val="24"/>
          <w:szCs w:val="24"/>
        </w:rPr>
        <w:t xml:space="preserve"> </w:t>
      </w:r>
      <w:r w:rsidR="001F0238">
        <w:rPr>
          <w:rFonts w:ascii="Times New Roman" w:hAnsi="Times New Roman" w:cs="Times New Roman"/>
          <w:sz w:val="24"/>
          <w:szCs w:val="24"/>
        </w:rPr>
        <w:t>p.</w:t>
      </w:r>
      <w:r w:rsidR="00665619">
        <w:rPr>
          <w:rFonts w:ascii="Times New Roman" w:hAnsi="Times New Roman" w:cs="Times New Roman"/>
          <w:sz w:val="24"/>
          <w:szCs w:val="24"/>
        </w:rPr>
        <w:t xml:space="preserve"> 3915</w:t>
      </w:r>
      <w:r w:rsidR="001F0238">
        <w:rPr>
          <w:rFonts w:ascii="Times New Roman" w:hAnsi="Times New Roman" w:cs="Times New Roman"/>
          <w:sz w:val="24"/>
          <w:szCs w:val="24"/>
        </w:rPr>
        <w:t>:17-22.</w:t>
      </w:r>
      <w:r w:rsidR="00004966">
        <w:rPr>
          <w:rFonts w:ascii="Times New Roman" w:hAnsi="Times New Roman" w:cs="Times New Roman"/>
          <w:sz w:val="24"/>
          <w:szCs w:val="24"/>
        </w:rPr>
        <w:t xml:space="preserve"> </w:t>
      </w:r>
      <w:r w:rsidR="000F1D72">
        <w:rPr>
          <w:rFonts w:ascii="Times New Roman" w:hAnsi="Times New Roman" w:cs="Times New Roman"/>
          <w:sz w:val="24"/>
          <w:szCs w:val="24"/>
        </w:rPr>
        <w:t>(Dr. Choueiki</w:t>
      </w:r>
      <w:r w:rsidR="00004966">
        <w:rPr>
          <w:rFonts w:ascii="Times New Roman" w:hAnsi="Times New Roman" w:cs="Times New Roman"/>
          <w:sz w:val="24"/>
          <w:szCs w:val="24"/>
        </w:rPr>
        <w:t>)</w:t>
      </w:r>
      <w:r w:rsidR="00E529CC">
        <w:rPr>
          <w:rFonts w:ascii="Times New Roman" w:hAnsi="Times New Roman" w:cs="Times New Roman"/>
          <w:sz w:val="24"/>
          <w:szCs w:val="24"/>
        </w:rPr>
        <w:t>)</w:t>
      </w:r>
      <w:r w:rsidR="00772EAD">
        <w:rPr>
          <w:rFonts w:ascii="Times New Roman" w:hAnsi="Times New Roman" w:cs="Times New Roman"/>
          <w:sz w:val="24"/>
          <w:szCs w:val="24"/>
        </w:rPr>
        <w:t xml:space="preserve"> (emphasis added</w:t>
      </w:r>
      <w:r w:rsidR="00665619">
        <w:rPr>
          <w:rFonts w:ascii="Times New Roman" w:hAnsi="Times New Roman" w:cs="Times New Roman"/>
          <w:sz w:val="24"/>
          <w:szCs w:val="24"/>
        </w:rPr>
        <w:t>)</w:t>
      </w:r>
      <w:r w:rsidR="00772EAD">
        <w:rPr>
          <w:rFonts w:ascii="Times New Roman" w:hAnsi="Times New Roman" w:cs="Times New Roman"/>
          <w:sz w:val="24"/>
          <w:szCs w:val="24"/>
        </w:rPr>
        <w:t>.)</w:t>
      </w:r>
      <w:r w:rsidR="002517D8">
        <w:rPr>
          <w:rFonts w:ascii="Times New Roman" w:hAnsi="Times New Roman" w:cs="Times New Roman"/>
          <w:sz w:val="24"/>
          <w:szCs w:val="24"/>
        </w:rPr>
        <w:t xml:space="preserve"> </w:t>
      </w:r>
      <w:r>
        <w:rPr>
          <w:rFonts w:ascii="Times New Roman" w:hAnsi="Times New Roman" w:cs="Times New Roman"/>
          <w:sz w:val="24"/>
          <w:szCs w:val="24"/>
        </w:rPr>
        <w:t xml:space="preserve"> </w:t>
      </w:r>
      <w:r w:rsidR="00BF455B">
        <w:rPr>
          <w:rFonts w:ascii="Times New Roman" w:hAnsi="Times New Roman" w:cs="Times New Roman"/>
          <w:sz w:val="24"/>
          <w:szCs w:val="24"/>
        </w:rPr>
        <w:t>Good advice for protecting a million Ohioans</w:t>
      </w:r>
      <w:r w:rsidR="005E3892">
        <w:rPr>
          <w:rFonts w:ascii="Times New Roman" w:hAnsi="Times New Roman" w:cs="Times New Roman"/>
          <w:sz w:val="24"/>
          <w:szCs w:val="24"/>
        </w:rPr>
        <w:t>.</w:t>
      </w:r>
      <w:r>
        <w:rPr>
          <w:rFonts w:ascii="Times New Roman" w:hAnsi="Times New Roman" w:cs="Times New Roman"/>
          <w:sz w:val="24"/>
          <w:szCs w:val="24"/>
        </w:rPr>
        <w:t xml:space="preserve">  </w:t>
      </w:r>
      <w:r w:rsidR="006777D2">
        <w:rPr>
          <w:rFonts w:ascii="Times New Roman" w:hAnsi="Times New Roman" w:cs="Times New Roman"/>
          <w:sz w:val="24"/>
          <w:szCs w:val="24"/>
        </w:rPr>
        <w:t xml:space="preserve"> </w:t>
      </w:r>
    </w:p>
    <w:p w:rsidR="00335380" w:rsidRPr="00EF694A" w:rsidRDefault="00EF694A" w:rsidP="00EF694A">
      <w:pPr>
        <w:pStyle w:val="Heading1"/>
      </w:pPr>
      <w:bookmarkStart w:id="1" w:name="_Toc442712212"/>
      <w:bookmarkStart w:id="2" w:name="_Toc442713353"/>
      <w:r>
        <w:t>I.</w:t>
      </w:r>
      <w:r>
        <w:tab/>
      </w:r>
      <w:r w:rsidR="00335380" w:rsidRPr="00EF694A">
        <w:t>INTRODUCTION</w:t>
      </w:r>
      <w:bookmarkEnd w:id="1"/>
      <w:bookmarkEnd w:id="2"/>
    </w:p>
    <w:p w:rsidR="00892AD3" w:rsidRDefault="00892AD3" w:rsidP="004D53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their initial briefs, the</w:t>
      </w:r>
      <w:r w:rsidR="006777D2">
        <w:rPr>
          <w:rFonts w:ascii="Times New Roman" w:hAnsi="Times New Roman" w:cs="Times New Roman"/>
          <w:sz w:val="24"/>
          <w:szCs w:val="24"/>
        </w:rPr>
        <w:t xml:space="preserve"> parties that signed the Joint Stipulation and Recommendation (</w:t>
      </w:r>
      <w:r w:rsidR="00130F92">
        <w:rPr>
          <w:rFonts w:ascii="Times New Roman" w:hAnsi="Times New Roman" w:cs="Times New Roman"/>
          <w:sz w:val="24"/>
          <w:szCs w:val="24"/>
        </w:rPr>
        <w:t>“</w:t>
      </w:r>
      <w:r w:rsidR="006777D2">
        <w:rPr>
          <w:rFonts w:ascii="Times New Roman" w:hAnsi="Times New Roman" w:cs="Times New Roman"/>
          <w:sz w:val="24"/>
          <w:szCs w:val="24"/>
        </w:rPr>
        <w:t>Joint Stipulation</w:t>
      </w:r>
      <w:r w:rsidR="00130F92">
        <w:rPr>
          <w:rFonts w:ascii="Times New Roman" w:hAnsi="Times New Roman" w:cs="Times New Roman"/>
          <w:sz w:val="24"/>
          <w:szCs w:val="24"/>
        </w:rPr>
        <w:t>”</w:t>
      </w:r>
      <w:r w:rsidR="00892435">
        <w:rPr>
          <w:rFonts w:ascii="Times New Roman" w:hAnsi="Times New Roman" w:cs="Times New Roman"/>
          <w:sz w:val="24"/>
          <w:szCs w:val="24"/>
        </w:rPr>
        <w:t xml:space="preserve"> or “Settlement”</w:t>
      </w:r>
      <w:r w:rsidR="006777D2">
        <w:rPr>
          <w:rFonts w:ascii="Times New Roman" w:hAnsi="Times New Roman" w:cs="Times New Roman"/>
          <w:sz w:val="24"/>
          <w:szCs w:val="24"/>
        </w:rPr>
        <w:t xml:space="preserve">) </w:t>
      </w:r>
      <w:r>
        <w:rPr>
          <w:rFonts w:ascii="Times New Roman" w:hAnsi="Times New Roman" w:cs="Times New Roman"/>
          <w:sz w:val="24"/>
          <w:szCs w:val="24"/>
        </w:rPr>
        <w:t>are avoiding</w:t>
      </w:r>
      <w:r w:rsidR="006777D2">
        <w:rPr>
          <w:rFonts w:ascii="Times New Roman" w:hAnsi="Times New Roman" w:cs="Times New Roman"/>
          <w:sz w:val="24"/>
          <w:szCs w:val="24"/>
        </w:rPr>
        <w:t xml:space="preserve"> the</w:t>
      </w:r>
      <w:r>
        <w:rPr>
          <w:rFonts w:ascii="Times New Roman" w:hAnsi="Times New Roman" w:cs="Times New Roman"/>
          <w:sz w:val="24"/>
          <w:szCs w:val="24"/>
        </w:rPr>
        <w:t xml:space="preserve"> hearing</w:t>
      </w:r>
      <w:r w:rsidR="006777D2">
        <w:rPr>
          <w:rFonts w:ascii="Times New Roman" w:hAnsi="Times New Roman" w:cs="Times New Roman"/>
          <w:sz w:val="24"/>
          <w:szCs w:val="24"/>
        </w:rPr>
        <w:t xml:space="preserve"> record</w:t>
      </w:r>
      <w:r>
        <w:rPr>
          <w:rFonts w:ascii="Times New Roman" w:hAnsi="Times New Roman" w:cs="Times New Roman"/>
          <w:sz w:val="24"/>
          <w:szCs w:val="24"/>
        </w:rPr>
        <w:t>,</w:t>
      </w:r>
      <w:r w:rsidR="00B2241D">
        <w:rPr>
          <w:rFonts w:ascii="Times New Roman" w:hAnsi="Times New Roman" w:cs="Times New Roman"/>
          <w:sz w:val="24"/>
          <w:szCs w:val="24"/>
        </w:rPr>
        <w:t xml:space="preserve"> to the det</w:t>
      </w:r>
      <w:r>
        <w:rPr>
          <w:rFonts w:ascii="Times New Roman" w:hAnsi="Times New Roman" w:cs="Times New Roman"/>
          <w:sz w:val="24"/>
          <w:szCs w:val="24"/>
        </w:rPr>
        <w:t>ri</w:t>
      </w:r>
      <w:r w:rsidR="00B2241D">
        <w:rPr>
          <w:rFonts w:ascii="Times New Roman" w:hAnsi="Times New Roman" w:cs="Times New Roman"/>
          <w:sz w:val="24"/>
          <w:szCs w:val="24"/>
        </w:rPr>
        <w:t xml:space="preserve">ment of all consumers </w:t>
      </w:r>
      <w:r w:rsidR="00EA6534">
        <w:rPr>
          <w:rFonts w:ascii="Times New Roman" w:hAnsi="Times New Roman" w:cs="Times New Roman"/>
          <w:sz w:val="24"/>
          <w:szCs w:val="24"/>
        </w:rPr>
        <w:t>who</w:t>
      </w:r>
      <w:r w:rsidR="00B2241D">
        <w:rPr>
          <w:rFonts w:ascii="Times New Roman" w:hAnsi="Times New Roman" w:cs="Times New Roman"/>
          <w:sz w:val="24"/>
          <w:szCs w:val="24"/>
        </w:rPr>
        <w:t xml:space="preserve"> must pay the unwarranted </w:t>
      </w:r>
      <w:r w:rsidR="00EA6534">
        <w:rPr>
          <w:rFonts w:ascii="Times New Roman" w:hAnsi="Times New Roman" w:cs="Times New Roman"/>
          <w:sz w:val="24"/>
          <w:szCs w:val="24"/>
        </w:rPr>
        <w:t>subsidy</w:t>
      </w:r>
      <w:r w:rsidR="00B2241D">
        <w:rPr>
          <w:rFonts w:ascii="Times New Roman" w:hAnsi="Times New Roman" w:cs="Times New Roman"/>
          <w:sz w:val="24"/>
          <w:szCs w:val="24"/>
        </w:rPr>
        <w:t xml:space="preserve"> for </w:t>
      </w:r>
      <w:r w:rsidR="00EA6534">
        <w:rPr>
          <w:rFonts w:ascii="Times New Roman" w:hAnsi="Times New Roman" w:cs="Times New Roman"/>
          <w:sz w:val="24"/>
          <w:szCs w:val="24"/>
        </w:rPr>
        <w:t>uneconomic generation and other</w:t>
      </w:r>
      <w:r w:rsidR="00B2241D">
        <w:rPr>
          <w:rFonts w:ascii="Times New Roman" w:hAnsi="Times New Roman" w:cs="Times New Roman"/>
          <w:sz w:val="24"/>
          <w:szCs w:val="24"/>
        </w:rPr>
        <w:t xml:space="preserve"> provisions included in the </w:t>
      </w:r>
      <w:r w:rsidR="00E566F6">
        <w:rPr>
          <w:rFonts w:ascii="Times New Roman" w:hAnsi="Times New Roman" w:cs="Times New Roman"/>
          <w:sz w:val="24"/>
          <w:szCs w:val="24"/>
        </w:rPr>
        <w:t>Settlement</w:t>
      </w:r>
      <w:r w:rsidR="006777D2">
        <w:rPr>
          <w:rFonts w:ascii="Times New Roman" w:hAnsi="Times New Roman" w:cs="Times New Roman"/>
          <w:sz w:val="24"/>
          <w:szCs w:val="24"/>
        </w:rPr>
        <w:t xml:space="preserve">.  </w:t>
      </w:r>
      <w:r w:rsidR="002109A7">
        <w:rPr>
          <w:rFonts w:ascii="Times New Roman" w:hAnsi="Times New Roman" w:cs="Times New Roman"/>
          <w:sz w:val="24"/>
          <w:szCs w:val="24"/>
        </w:rPr>
        <w:t>Judging by their initial briefs, the</w:t>
      </w:r>
      <w:r w:rsidR="00EA6534">
        <w:rPr>
          <w:rFonts w:ascii="Times New Roman" w:hAnsi="Times New Roman" w:cs="Times New Roman"/>
          <w:sz w:val="24"/>
          <w:szCs w:val="24"/>
        </w:rPr>
        <w:t xml:space="preserve"> Signatory Parties</w:t>
      </w:r>
      <w:r w:rsidR="002109A7">
        <w:rPr>
          <w:rFonts w:ascii="Times New Roman" w:hAnsi="Times New Roman" w:cs="Times New Roman"/>
          <w:sz w:val="24"/>
          <w:szCs w:val="24"/>
        </w:rPr>
        <w:t xml:space="preserve"> act as if the five weeks of evidentiary hearing never occurred.  </w:t>
      </w:r>
    </w:p>
    <w:p w:rsidR="000165A6" w:rsidRDefault="004D53E4" w:rsidP="004D53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 goes so far as to ask the</w:t>
      </w:r>
      <w:r w:rsidR="00842665">
        <w:rPr>
          <w:rFonts w:ascii="Times New Roman" w:hAnsi="Times New Roman" w:cs="Times New Roman"/>
          <w:sz w:val="24"/>
          <w:szCs w:val="24"/>
        </w:rPr>
        <w:t xml:space="preserve"> Public Utilities Commission of Ohio (“</w:t>
      </w:r>
      <w:r>
        <w:rPr>
          <w:rFonts w:ascii="Times New Roman" w:hAnsi="Times New Roman" w:cs="Times New Roman"/>
          <w:sz w:val="24"/>
          <w:szCs w:val="24"/>
        </w:rPr>
        <w:t>PUCO</w:t>
      </w:r>
      <w:r w:rsidR="00842665">
        <w:rPr>
          <w:rFonts w:ascii="Times New Roman" w:hAnsi="Times New Roman" w:cs="Times New Roman"/>
          <w:sz w:val="24"/>
          <w:szCs w:val="24"/>
        </w:rPr>
        <w:t>”)</w:t>
      </w:r>
      <w:r>
        <w:rPr>
          <w:rFonts w:ascii="Times New Roman" w:hAnsi="Times New Roman" w:cs="Times New Roman"/>
          <w:sz w:val="24"/>
          <w:szCs w:val="24"/>
        </w:rPr>
        <w:t xml:space="preserve"> to ignore </w:t>
      </w:r>
      <w:r w:rsidR="00CE7C9F">
        <w:rPr>
          <w:rFonts w:ascii="Times New Roman" w:hAnsi="Times New Roman" w:cs="Times New Roman"/>
          <w:sz w:val="24"/>
          <w:szCs w:val="24"/>
        </w:rPr>
        <w:t xml:space="preserve">a </w:t>
      </w:r>
      <w:r>
        <w:rPr>
          <w:rFonts w:ascii="Times New Roman" w:hAnsi="Times New Roman" w:cs="Times New Roman"/>
          <w:sz w:val="24"/>
          <w:szCs w:val="24"/>
        </w:rPr>
        <w:t>seminal and threshold issue in this case:  Does the PUCO have jurisdiction or is it preempted by federal law?</w:t>
      </w:r>
      <w:r w:rsidR="000165A6">
        <w:rPr>
          <w:rFonts w:ascii="Times New Roman" w:hAnsi="Times New Roman" w:cs="Times New Roman"/>
          <w:sz w:val="24"/>
          <w:szCs w:val="24"/>
        </w:rPr>
        <w:t xml:space="preserve">  The answers are no and yes.</w:t>
      </w:r>
      <w:r>
        <w:rPr>
          <w:rFonts w:ascii="Times New Roman" w:hAnsi="Times New Roman" w:cs="Times New Roman"/>
          <w:sz w:val="24"/>
          <w:szCs w:val="24"/>
        </w:rPr>
        <w:t xml:space="preserve">  </w:t>
      </w:r>
    </w:p>
    <w:p w:rsidR="006777D2" w:rsidRDefault="006777D2" w:rsidP="004D53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Ohio Supreme Court has been very clear that </w:t>
      </w:r>
      <w:r w:rsidR="004D53E4">
        <w:rPr>
          <w:rFonts w:ascii="Times New Roman" w:hAnsi="Times New Roman" w:cs="Times New Roman"/>
          <w:sz w:val="24"/>
          <w:szCs w:val="24"/>
        </w:rPr>
        <w:t>AEP Ohio and the Signatory Parties</w:t>
      </w:r>
      <w:r>
        <w:rPr>
          <w:rFonts w:ascii="Times New Roman" w:hAnsi="Times New Roman" w:cs="Times New Roman"/>
          <w:sz w:val="24"/>
          <w:szCs w:val="24"/>
        </w:rPr>
        <w:t xml:space="preserve"> may </w:t>
      </w:r>
      <w:r w:rsidR="002109A7">
        <w:rPr>
          <w:rFonts w:ascii="Times New Roman" w:hAnsi="Times New Roman" w:cs="Times New Roman"/>
          <w:sz w:val="24"/>
          <w:szCs w:val="24"/>
        </w:rPr>
        <w:t>not ignore the record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4D53E4">
        <w:rPr>
          <w:rFonts w:ascii="Times New Roman" w:hAnsi="Times New Roman" w:cs="Times New Roman"/>
          <w:sz w:val="24"/>
          <w:szCs w:val="24"/>
        </w:rPr>
        <w:t xml:space="preserve">The Ohio Supreme Court has made very clear that it is </w:t>
      </w:r>
      <w:r w:rsidR="00130F92">
        <w:rPr>
          <w:rFonts w:ascii="Times New Roman" w:hAnsi="Times New Roman" w:cs="Times New Roman"/>
          <w:sz w:val="24"/>
          <w:szCs w:val="24"/>
        </w:rPr>
        <w:t>“</w:t>
      </w:r>
      <w:r w:rsidR="004D53E4">
        <w:rPr>
          <w:rFonts w:ascii="Times New Roman" w:hAnsi="Times New Roman" w:cs="Times New Roman"/>
          <w:sz w:val="24"/>
          <w:szCs w:val="24"/>
        </w:rPr>
        <w:t>necessary and appropriate</w:t>
      </w:r>
      <w:r w:rsidR="00130F92">
        <w:rPr>
          <w:rFonts w:ascii="Times New Roman" w:hAnsi="Times New Roman" w:cs="Times New Roman"/>
          <w:sz w:val="24"/>
          <w:szCs w:val="24"/>
        </w:rPr>
        <w:t>”</w:t>
      </w:r>
      <w:r w:rsidR="004D53E4">
        <w:rPr>
          <w:rFonts w:ascii="Times New Roman" w:hAnsi="Times New Roman" w:cs="Times New Roman"/>
          <w:sz w:val="24"/>
          <w:szCs w:val="24"/>
        </w:rPr>
        <w:t xml:space="preserve"> for the PUCO to consider germane law to decide its own jurisdiction in the first instance.</w:t>
      </w:r>
      <w:r w:rsidR="004D53E4">
        <w:rPr>
          <w:rStyle w:val="FootnoteReference"/>
          <w:rFonts w:ascii="Times New Roman" w:hAnsi="Times New Roman" w:cs="Times New Roman"/>
          <w:sz w:val="24"/>
          <w:szCs w:val="24"/>
        </w:rPr>
        <w:footnoteReference w:id="2"/>
      </w:r>
      <w:r w:rsidR="004D53E4">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4D53E4">
        <w:rPr>
          <w:rFonts w:ascii="Times New Roman" w:hAnsi="Times New Roman" w:cs="Times New Roman"/>
          <w:sz w:val="24"/>
          <w:szCs w:val="24"/>
        </w:rPr>
        <w:t>AEP Ohio and the Signatory Parties</w:t>
      </w:r>
      <w:r>
        <w:rPr>
          <w:rFonts w:ascii="Times New Roman" w:hAnsi="Times New Roman" w:cs="Times New Roman"/>
          <w:sz w:val="24"/>
          <w:szCs w:val="24"/>
        </w:rPr>
        <w:t xml:space="preserve"> are </w:t>
      </w:r>
      <w:r w:rsidR="00CE7C9F">
        <w:rPr>
          <w:rFonts w:ascii="Times New Roman" w:hAnsi="Times New Roman" w:cs="Times New Roman"/>
          <w:sz w:val="24"/>
          <w:szCs w:val="24"/>
        </w:rPr>
        <w:t>navigating away</w:t>
      </w:r>
      <w:r w:rsidR="004D53E4">
        <w:rPr>
          <w:rFonts w:ascii="Times New Roman" w:hAnsi="Times New Roman" w:cs="Times New Roman"/>
          <w:sz w:val="24"/>
          <w:szCs w:val="24"/>
        </w:rPr>
        <w:t xml:space="preserve"> from the record </w:t>
      </w:r>
      <w:r>
        <w:rPr>
          <w:rFonts w:ascii="Times New Roman" w:hAnsi="Times New Roman" w:cs="Times New Roman"/>
          <w:sz w:val="24"/>
          <w:szCs w:val="24"/>
        </w:rPr>
        <w:t xml:space="preserve">should make clear to the </w:t>
      </w:r>
      <w:r w:rsidR="0009198D">
        <w:rPr>
          <w:rFonts w:ascii="Times New Roman" w:hAnsi="Times New Roman" w:cs="Times New Roman"/>
          <w:sz w:val="24"/>
          <w:szCs w:val="24"/>
        </w:rPr>
        <w:t xml:space="preserve">PUCO </w:t>
      </w:r>
      <w:r>
        <w:rPr>
          <w:rFonts w:ascii="Times New Roman" w:hAnsi="Times New Roman" w:cs="Times New Roman"/>
          <w:sz w:val="24"/>
          <w:szCs w:val="24"/>
        </w:rPr>
        <w:t xml:space="preserve">that there is </w:t>
      </w:r>
      <w:r w:rsidR="000165A6">
        <w:rPr>
          <w:rFonts w:ascii="Times New Roman" w:hAnsi="Times New Roman" w:cs="Times New Roman"/>
          <w:sz w:val="24"/>
          <w:szCs w:val="24"/>
        </w:rPr>
        <w:t>a lack of</w:t>
      </w:r>
      <w:r>
        <w:rPr>
          <w:rFonts w:ascii="Times New Roman" w:hAnsi="Times New Roman" w:cs="Times New Roman"/>
          <w:sz w:val="24"/>
          <w:szCs w:val="24"/>
        </w:rPr>
        <w:t xml:space="preserve"> record support for approving </w:t>
      </w:r>
      <w:r w:rsidR="002109A7">
        <w:rPr>
          <w:rFonts w:ascii="Times New Roman" w:hAnsi="Times New Roman" w:cs="Times New Roman"/>
          <w:sz w:val="24"/>
          <w:szCs w:val="24"/>
        </w:rPr>
        <w:t>AEP Ohio</w:t>
      </w:r>
      <w:r w:rsidR="00130F92">
        <w:rPr>
          <w:rFonts w:ascii="Times New Roman" w:hAnsi="Times New Roman" w:cs="Times New Roman"/>
          <w:sz w:val="24"/>
          <w:szCs w:val="24"/>
        </w:rPr>
        <w:t>’</w:t>
      </w:r>
      <w:r w:rsidR="002109A7">
        <w:rPr>
          <w:rFonts w:ascii="Times New Roman" w:hAnsi="Times New Roman" w:cs="Times New Roman"/>
          <w:sz w:val="24"/>
          <w:szCs w:val="24"/>
        </w:rPr>
        <w:t xml:space="preserve">s proposals.  </w:t>
      </w:r>
      <w:r w:rsidR="000165A6">
        <w:rPr>
          <w:rFonts w:ascii="Times New Roman" w:hAnsi="Times New Roman" w:cs="Times New Roman"/>
          <w:sz w:val="24"/>
          <w:szCs w:val="24"/>
        </w:rPr>
        <w:t xml:space="preserve">That is matched by the lack of support in law. </w:t>
      </w:r>
    </w:p>
    <w:p w:rsidR="00EF0D38" w:rsidRDefault="002109A7" w:rsidP="0009198D">
      <w:pPr>
        <w:spacing w:after="0" w:line="480" w:lineRule="auto"/>
        <w:rPr>
          <w:rFonts w:ascii="Times New Roman" w:hAnsi="Times New Roman" w:cs="Times New Roman"/>
          <w:sz w:val="24"/>
          <w:szCs w:val="24"/>
        </w:rPr>
      </w:pPr>
      <w:r>
        <w:rPr>
          <w:rFonts w:ascii="Times New Roman" w:hAnsi="Times New Roman" w:cs="Times New Roman"/>
          <w:sz w:val="24"/>
          <w:szCs w:val="24"/>
        </w:rPr>
        <w:tab/>
        <w:t>Signatory Parties</w:t>
      </w:r>
      <w:r w:rsidR="00130F92">
        <w:rPr>
          <w:rFonts w:ascii="Times New Roman" w:hAnsi="Times New Roman" w:cs="Times New Roman"/>
          <w:sz w:val="24"/>
          <w:szCs w:val="24"/>
        </w:rPr>
        <w:t>’</w:t>
      </w:r>
      <w:r>
        <w:rPr>
          <w:rFonts w:ascii="Times New Roman" w:hAnsi="Times New Roman" w:cs="Times New Roman"/>
          <w:sz w:val="24"/>
          <w:szCs w:val="24"/>
        </w:rPr>
        <w:t xml:space="preserve"> initial briefs confirm</w:t>
      </w:r>
      <w:r w:rsidR="000165A6">
        <w:rPr>
          <w:rFonts w:ascii="Times New Roman" w:hAnsi="Times New Roman" w:cs="Times New Roman"/>
          <w:sz w:val="24"/>
          <w:szCs w:val="24"/>
        </w:rPr>
        <w:t xml:space="preserve"> what we said on brief.  T</w:t>
      </w:r>
      <w:r>
        <w:rPr>
          <w:rFonts w:ascii="Times New Roman" w:hAnsi="Times New Roman" w:cs="Times New Roman"/>
          <w:sz w:val="24"/>
          <w:szCs w:val="24"/>
        </w:rPr>
        <w:t xml:space="preserve">he Joint Stipulation is a hodgepodge of </w:t>
      </w:r>
      <w:r w:rsidR="00E95195">
        <w:rPr>
          <w:rFonts w:ascii="Times New Roman" w:hAnsi="Times New Roman" w:cs="Times New Roman"/>
          <w:sz w:val="24"/>
          <w:szCs w:val="24"/>
        </w:rPr>
        <w:t>cash and cash equivalent</w:t>
      </w:r>
      <w:r w:rsidR="000165A6">
        <w:rPr>
          <w:rFonts w:ascii="Times New Roman" w:hAnsi="Times New Roman" w:cs="Times New Roman"/>
          <w:sz w:val="24"/>
          <w:szCs w:val="24"/>
        </w:rPr>
        <w:t>s</w:t>
      </w:r>
      <w:r w:rsidR="00E95195">
        <w:rPr>
          <w:rFonts w:ascii="Times New Roman" w:hAnsi="Times New Roman" w:cs="Times New Roman"/>
          <w:sz w:val="24"/>
          <w:szCs w:val="24"/>
        </w:rPr>
        <w:t xml:space="preserve"> given to parties in exchange for support</w:t>
      </w:r>
      <w:r w:rsidR="001F0238">
        <w:rPr>
          <w:rFonts w:ascii="Times New Roman" w:hAnsi="Times New Roman" w:cs="Times New Roman"/>
          <w:sz w:val="24"/>
          <w:szCs w:val="24"/>
        </w:rPr>
        <w:t xml:space="preserve"> —</w:t>
      </w:r>
      <w:r w:rsidR="00E566F6">
        <w:rPr>
          <w:rFonts w:ascii="Times New Roman" w:hAnsi="Times New Roman" w:cs="Times New Roman"/>
          <w:sz w:val="24"/>
          <w:szCs w:val="24"/>
        </w:rPr>
        <w:t xml:space="preserve"> </w:t>
      </w:r>
      <w:r w:rsidR="001F0238">
        <w:rPr>
          <w:rFonts w:ascii="Times New Roman" w:hAnsi="Times New Roman" w:cs="Times New Roman"/>
          <w:sz w:val="24"/>
          <w:szCs w:val="24"/>
        </w:rPr>
        <w:t>or</w:t>
      </w:r>
      <w:r w:rsidR="000165A6">
        <w:rPr>
          <w:rFonts w:ascii="Times New Roman" w:hAnsi="Times New Roman" w:cs="Times New Roman"/>
          <w:sz w:val="24"/>
          <w:szCs w:val="24"/>
        </w:rPr>
        <w:t xml:space="preserve"> merely for the perception of support (</w:t>
      </w:r>
      <w:r w:rsidR="000165A6" w:rsidRPr="00E566F6">
        <w:rPr>
          <w:rFonts w:ascii="Times New Roman" w:hAnsi="Times New Roman" w:cs="Times New Roman"/>
          <w:i/>
          <w:sz w:val="24"/>
          <w:szCs w:val="24"/>
        </w:rPr>
        <w:t>see</w:t>
      </w:r>
      <w:r w:rsidR="000165A6">
        <w:rPr>
          <w:rFonts w:ascii="Times New Roman" w:hAnsi="Times New Roman" w:cs="Times New Roman"/>
          <w:sz w:val="24"/>
          <w:szCs w:val="24"/>
        </w:rPr>
        <w:t xml:space="preserve"> Sierra Club’s and others many qualifying footnotes)</w:t>
      </w:r>
      <w:r w:rsidR="00E95195">
        <w:rPr>
          <w:rFonts w:ascii="Times New Roman" w:hAnsi="Times New Roman" w:cs="Times New Roman"/>
          <w:sz w:val="24"/>
          <w:szCs w:val="24"/>
        </w:rPr>
        <w:t xml:space="preserve"> </w:t>
      </w:r>
      <w:r w:rsidR="000165A6">
        <w:rPr>
          <w:rFonts w:ascii="Times New Roman" w:hAnsi="Times New Roman" w:cs="Times New Roman"/>
          <w:sz w:val="24"/>
          <w:szCs w:val="24"/>
        </w:rPr>
        <w:t xml:space="preserve">for </w:t>
      </w:r>
      <w:r w:rsidR="00E95195">
        <w:rPr>
          <w:rFonts w:ascii="Times New Roman" w:hAnsi="Times New Roman" w:cs="Times New Roman"/>
          <w:sz w:val="24"/>
          <w:szCs w:val="24"/>
        </w:rPr>
        <w:t>AEP Ohio</w:t>
      </w:r>
      <w:r w:rsidR="00130F92">
        <w:rPr>
          <w:rFonts w:ascii="Times New Roman" w:hAnsi="Times New Roman" w:cs="Times New Roman"/>
          <w:sz w:val="24"/>
          <w:szCs w:val="24"/>
        </w:rPr>
        <w:t>’</w:t>
      </w:r>
      <w:r w:rsidR="00E95195">
        <w:rPr>
          <w:rFonts w:ascii="Times New Roman" w:hAnsi="Times New Roman" w:cs="Times New Roman"/>
          <w:sz w:val="24"/>
          <w:szCs w:val="24"/>
        </w:rPr>
        <w:t>s PPA</w:t>
      </w:r>
      <w:r w:rsidR="000165A6">
        <w:rPr>
          <w:rFonts w:ascii="Times New Roman" w:hAnsi="Times New Roman" w:cs="Times New Roman"/>
          <w:sz w:val="24"/>
          <w:szCs w:val="24"/>
        </w:rPr>
        <w:t xml:space="preserve">.  </w:t>
      </w:r>
      <w:r w:rsidR="00E95195">
        <w:rPr>
          <w:rFonts w:ascii="Times New Roman" w:hAnsi="Times New Roman" w:cs="Times New Roman"/>
          <w:sz w:val="24"/>
          <w:szCs w:val="24"/>
        </w:rPr>
        <w:t xml:space="preserve">  </w:t>
      </w:r>
      <w:r w:rsidR="000165A6">
        <w:rPr>
          <w:rFonts w:ascii="Times New Roman" w:hAnsi="Times New Roman" w:cs="Times New Roman"/>
          <w:sz w:val="24"/>
          <w:szCs w:val="24"/>
        </w:rPr>
        <w:t xml:space="preserve">The stipulators </w:t>
      </w:r>
      <w:r w:rsidR="00E95195">
        <w:rPr>
          <w:rFonts w:ascii="Times New Roman" w:hAnsi="Times New Roman" w:cs="Times New Roman"/>
          <w:sz w:val="24"/>
          <w:szCs w:val="24"/>
        </w:rPr>
        <w:t xml:space="preserve">have attempted to defend certain </w:t>
      </w:r>
      <w:r w:rsidR="000165A6">
        <w:rPr>
          <w:rFonts w:ascii="Times New Roman" w:hAnsi="Times New Roman" w:cs="Times New Roman"/>
          <w:sz w:val="24"/>
          <w:szCs w:val="24"/>
        </w:rPr>
        <w:t xml:space="preserve">settlement terms </w:t>
      </w:r>
      <w:r w:rsidR="00E95195">
        <w:rPr>
          <w:rFonts w:ascii="Times New Roman" w:hAnsi="Times New Roman" w:cs="Times New Roman"/>
          <w:sz w:val="24"/>
          <w:szCs w:val="24"/>
        </w:rPr>
        <w:t>that are in their interest</w:t>
      </w:r>
      <w:r w:rsidR="000165A6">
        <w:rPr>
          <w:rFonts w:ascii="Times New Roman" w:hAnsi="Times New Roman" w:cs="Times New Roman"/>
          <w:sz w:val="24"/>
          <w:szCs w:val="24"/>
        </w:rPr>
        <w:t xml:space="preserve"> and </w:t>
      </w:r>
      <w:r w:rsidR="00E95195">
        <w:rPr>
          <w:rFonts w:ascii="Times New Roman" w:hAnsi="Times New Roman" w:cs="Times New Roman"/>
          <w:sz w:val="24"/>
          <w:szCs w:val="24"/>
        </w:rPr>
        <w:t>not the</w:t>
      </w:r>
      <w:r w:rsidR="000165A6">
        <w:rPr>
          <w:rFonts w:ascii="Times New Roman" w:hAnsi="Times New Roman" w:cs="Times New Roman"/>
          <w:sz w:val="24"/>
          <w:szCs w:val="24"/>
        </w:rPr>
        <w:t xml:space="preserve"> interest of the broader public</w:t>
      </w:r>
      <w:r w:rsidR="00E95195">
        <w:rPr>
          <w:rFonts w:ascii="Times New Roman" w:hAnsi="Times New Roman" w:cs="Times New Roman"/>
          <w:sz w:val="24"/>
          <w:szCs w:val="24"/>
        </w:rPr>
        <w:t xml:space="preserve">.  </w:t>
      </w:r>
    </w:p>
    <w:p w:rsidR="004D53E4" w:rsidRDefault="00E95195" w:rsidP="00E566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They have not even attempted to defend the Joint Stipulation as a </w:t>
      </w:r>
      <w:r w:rsidR="00EF0D38">
        <w:rPr>
          <w:rFonts w:ascii="Times New Roman" w:hAnsi="Times New Roman" w:cs="Times New Roman"/>
          <w:sz w:val="24"/>
          <w:szCs w:val="24"/>
        </w:rPr>
        <w:t>“</w:t>
      </w:r>
      <w:r>
        <w:rPr>
          <w:rFonts w:ascii="Times New Roman" w:hAnsi="Times New Roman" w:cs="Times New Roman"/>
          <w:sz w:val="24"/>
          <w:szCs w:val="24"/>
        </w:rPr>
        <w:t>package</w:t>
      </w:r>
      <w:r w:rsidR="00EF0D38">
        <w:rPr>
          <w:rFonts w:ascii="Times New Roman" w:hAnsi="Times New Roman" w:cs="Times New Roman"/>
          <w:sz w:val="24"/>
          <w:szCs w:val="24"/>
        </w:rPr>
        <w:t>” under the settlement standard</w:t>
      </w:r>
      <w:r>
        <w:rPr>
          <w:rFonts w:ascii="Times New Roman" w:hAnsi="Times New Roman" w:cs="Times New Roman"/>
          <w:sz w:val="24"/>
          <w:szCs w:val="24"/>
        </w:rPr>
        <w:t>.  This</w:t>
      </w:r>
      <w:r w:rsidR="00EF0D38">
        <w:rPr>
          <w:rFonts w:ascii="Times New Roman" w:hAnsi="Times New Roman" w:cs="Times New Roman"/>
          <w:sz w:val="24"/>
          <w:szCs w:val="24"/>
        </w:rPr>
        <w:t xml:space="preserve"> omission</w:t>
      </w:r>
      <w:r>
        <w:rPr>
          <w:rFonts w:ascii="Times New Roman" w:hAnsi="Times New Roman" w:cs="Times New Roman"/>
          <w:sz w:val="24"/>
          <w:szCs w:val="24"/>
        </w:rPr>
        <w:t xml:space="preserve"> </w:t>
      </w:r>
      <w:r w:rsidR="00EF0D38">
        <w:rPr>
          <w:rFonts w:ascii="Times New Roman" w:hAnsi="Times New Roman" w:cs="Times New Roman"/>
          <w:sz w:val="24"/>
          <w:szCs w:val="24"/>
        </w:rPr>
        <w:t>con</w:t>
      </w:r>
      <w:r>
        <w:rPr>
          <w:rFonts w:ascii="Times New Roman" w:hAnsi="Times New Roman" w:cs="Times New Roman"/>
          <w:sz w:val="24"/>
          <w:szCs w:val="24"/>
        </w:rPr>
        <w:t>firms</w:t>
      </w:r>
      <w:r w:rsidR="00EF0D38">
        <w:rPr>
          <w:rFonts w:ascii="Times New Roman" w:hAnsi="Times New Roman" w:cs="Times New Roman"/>
          <w:sz w:val="24"/>
          <w:szCs w:val="24"/>
        </w:rPr>
        <w:t xml:space="preserve"> our position (Brief at </w:t>
      </w:r>
      <w:r w:rsidR="001F0238">
        <w:rPr>
          <w:rFonts w:ascii="Times New Roman" w:hAnsi="Times New Roman" w:cs="Times New Roman"/>
          <w:sz w:val="24"/>
          <w:szCs w:val="24"/>
        </w:rPr>
        <w:t>55</w:t>
      </w:r>
      <w:r w:rsidR="00EF0D38">
        <w:rPr>
          <w:rFonts w:ascii="Times New Roman" w:hAnsi="Times New Roman" w:cs="Times New Roman"/>
          <w:sz w:val="24"/>
          <w:szCs w:val="24"/>
        </w:rPr>
        <w:t>)</w:t>
      </w:r>
      <w:r>
        <w:rPr>
          <w:rFonts w:ascii="Times New Roman" w:hAnsi="Times New Roman" w:cs="Times New Roman"/>
          <w:sz w:val="24"/>
          <w:szCs w:val="24"/>
        </w:rPr>
        <w:t xml:space="preserve"> that the PUCO should not apply the three</w:t>
      </w:r>
      <w:r w:rsidR="00EF0D38">
        <w:rPr>
          <w:rFonts w:ascii="Times New Roman" w:hAnsi="Times New Roman" w:cs="Times New Roman"/>
          <w:sz w:val="24"/>
          <w:szCs w:val="24"/>
        </w:rPr>
        <w:t>-</w:t>
      </w:r>
      <w:r>
        <w:rPr>
          <w:rFonts w:ascii="Times New Roman" w:hAnsi="Times New Roman" w:cs="Times New Roman"/>
          <w:sz w:val="24"/>
          <w:szCs w:val="24"/>
        </w:rPr>
        <w:t>prong test that it has historically applied to settlements</w:t>
      </w:r>
      <w:r w:rsidR="00EF0D38">
        <w:rPr>
          <w:rFonts w:ascii="Times New Roman" w:hAnsi="Times New Roman" w:cs="Times New Roman"/>
          <w:sz w:val="24"/>
          <w:szCs w:val="24"/>
        </w:rPr>
        <w:t xml:space="preserve"> (or at least not apply the test as a package)</w:t>
      </w:r>
      <w:r>
        <w:rPr>
          <w:rFonts w:ascii="Times New Roman" w:hAnsi="Times New Roman" w:cs="Times New Roman"/>
          <w:sz w:val="24"/>
          <w:szCs w:val="24"/>
        </w:rPr>
        <w:t xml:space="preserve">.  It affirms that AEP Ohio and the Signatory Parties are doing exactly what the PUCO has warned against and </w:t>
      </w:r>
      <w:r w:rsidR="004D53E4">
        <w:rPr>
          <w:rFonts w:ascii="Times New Roman" w:hAnsi="Times New Roman" w:cs="Times New Roman"/>
          <w:sz w:val="24"/>
          <w:szCs w:val="24"/>
        </w:rPr>
        <w:t xml:space="preserve">said it </w:t>
      </w:r>
      <w:r>
        <w:rPr>
          <w:rFonts w:ascii="Times New Roman" w:hAnsi="Times New Roman" w:cs="Times New Roman"/>
          <w:sz w:val="24"/>
          <w:szCs w:val="24"/>
        </w:rPr>
        <w:t xml:space="preserve">will not </w:t>
      </w:r>
      <w:r w:rsidR="004D53E4">
        <w:rPr>
          <w:rFonts w:ascii="Times New Roman" w:hAnsi="Times New Roman" w:cs="Times New Roman"/>
          <w:sz w:val="24"/>
          <w:szCs w:val="24"/>
        </w:rPr>
        <w:t>tolerate</w:t>
      </w:r>
      <w:r>
        <w:rPr>
          <w:rFonts w:ascii="Times New Roman" w:hAnsi="Times New Roman" w:cs="Times New Roman"/>
          <w:sz w:val="24"/>
          <w:szCs w:val="24"/>
        </w:rPr>
        <w:t xml:space="preserve"> – paying parties </w:t>
      </w:r>
      <w:r w:rsidR="007D71ED">
        <w:rPr>
          <w:rFonts w:ascii="Times New Roman" w:hAnsi="Times New Roman" w:cs="Times New Roman"/>
          <w:sz w:val="24"/>
          <w:szCs w:val="24"/>
        </w:rPr>
        <w:t>with other</w:t>
      </w:r>
      <w:r w:rsidR="00020EDD">
        <w:rPr>
          <w:rFonts w:ascii="Times New Roman" w:hAnsi="Times New Roman" w:cs="Times New Roman"/>
          <w:sz w:val="24"/>
          <w:szCs w:val="24"/>
        </w:rPr>
        <w:t xml:space="preserve"> peoples</w:t>
      </w:r>
      <w:r w:rsidR="007D71ED">
        <w:rPr>
          <w:rFonts w:ascii="Times New Roman" w:hAnsi="Times New Roman" w:cs="Times New Roman"/>
          <w:sz w:val="24"/>
          <w:szCs w:val="24"/>
        </w:rPr>
        <w:t xml:space="preserve">’ money </w:t>
      </w:r>
      <w:r>
        <w:rPr>
          <w:rFonts w:ascii="Times New Roman" w:hAnsi="Times New Roman" w:cs="Times New Roman"/>
          <w:sz w:val="24"/>
          <w:szCs w:val="24"/>
        </w:rPr>
        <w:t>in return for signing a settlement.</w:t>
      </w:r>
    </w:p>
    <w:p w:rsidR="002109A7" w:rsidRDefault="004D53E4" w:rsidP="0009198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9198D">
        <w:rPr>
          <w:rFonts w:ascii="Times New Roman" w:hAnsi="Times New Roman" w:cs="Times New Roman"/>
          <w:sz w:val="24"/>
          <w:szCs w:val="24"/>
        </w:rPr>
        <w:t xml:space="preserve">AEP Ohio mischaracterizes, misunderstands, selectively </w:t>
      </w:r>
      <w:r w:rsidR="000719A1">
        <w:rPr>
          <w:rFonts w:ascii="Times New Roman" w:hAnsi="Times New Roman" w:cs="Times New Roman"/>
          <w:sz w:val="24"/>
          <w:szCs w:val="24"/>
        </w:rPr>
        <w:t xml:space="preserve">and inaccurately </w:t>
      </w:r>
      <w:r w:rsidR="0009198D">
        <w:rPr>
          <w:rFonts w:ascii="Times New Roman" w:hAnsi="Times New Roman" w:cs="Times New Roman"/>
          <w:sz w:val="24"/>
          <w:szCs w:val="24"/>
        </w:rPr>
        <w:t>interprets, and sets up straw men</w:t>
      </w:r>
      <w:r w:rsidR="00EF0D38">
        <w:rPr>
          <w:rFonts w:ascii="Times New Roman" w:hAnsi="Times New Roman" w:cs="Times New Roman"/>
          <w:sz w:val="24"/>
          <w:szCs w:val="24"/>
        </w:rPr>
        <w:t xml:space="preserve"> in its critique of the evidence of the Office of the Ohio Consumers’ Counsel (“OCC”)</w:t>
      </w:r>
      <w:r w:rsidR="0009198D">
        <w:rPr>
          <w:rFonts w:ascii="Times New Roman" w:hAnsi="Times New Roman" w:cs="Times New Roman"/>
          <w:sz w:val="24"/>
          <w:szCs w:val="24"/>
        </w:rPr>
        <w:t xml:space="preserve">.  </w:t>
      </w:r>
      <w:r w:rsidR="00EF0D38">
        <w:rPr>
          <w:rFonts w:ascii="Times New Roman" w:hAnsi="Times New Roman" w:cs="Times New Roman"/>
          <w:sz w:val="24"/>
          <w:szCs w:val="24"/>
        </w:rPr>
        <w:t>But t</w:t>
      </w:r>
      <w:r>
        <w:rPr>
          <w:rFonts w:ascii="Times New Roman" w:hAnsi="Times New Roman" w:cs="Times New Roman"/>
          <w:sz w:val="24"/>
          <w:szCs w:val="24"/>
        </w:rPr>
        <w:t xml:space="preserve">he evidence from all the parties – AEP Ohio, </w:t>
      </w:r>
      <w:r w:rsidR="000719A1">
        <w:rPr>
          <w:rFonts w:ascii="Times New Roman" w:hAnsi="Times New Roman" w:cs="Times New Roman"/>
          <w:sz w:val="24"/>
          <w:szCs w:val="24"/>
        </w:rPr>
        <w:t>OCC</w:t>
      </w:r>
      <w:r>
        <w:rPr>
          <w:rFonts w:ascii="Times New Roman" w:hAnsi="Times New Roman" w:cs="Times New Roman"/>
          <w:sz w:val="24"/>
          <w:szCs w:val="24"/>
        </w:rPr>
        <w:t>, and others –</w:t>
      </w:r>
      <w:r w:rsidR="00E566F6">
        <w:rPr>
          <w:rFonts w:ascii="Times New Roman" w:hAnsi="Times New Roman" w:cs="Times New Roman"/>
          <w:sz w:val="24"/>
          <w:szCs w:val="24"/>
        </w:rPr>
        <w:t xml:space="preserve"> </w:t>
      </w:r>
      <w:r>
        <w:rPr>
          <w:rFonts w:ascii="Times New Roman" w:hAnsi="Times New Roman" w:cs="Times New Roman"/>
          <w:sz w:val="24"/>
          <w:szCs w:val="24"/>
        </w:rPr>
        <w:t>points in the same direction:  Denial</w:t>
      </w:r>
      <w:r w:rsidR="00EF0D38">
        <w:rPr>
          <w:rFonts w:ascii="Times New Roman" w:hAnsi="Times New Roman" w:cs="Times New Roman"/>
          <w:sz w:val="24"/>
          <w:szCs w:val="24"/>
        </w:rPr>
        <w:t xml:space="preserve"> of AEP Ohio’s proposal</w:t>
      </w:r>
      <w:r>
        <w:rPr>
          <w:rFonts w:ascii="Times New Roman" w:hAnsi="Times New Roman" w:cs="Times New Roman"/>
          <w:sz w:val="24"/>
          <w:szCs w:val="24"/>
        </w:rPr>
        <w:t>.</w:t>
      </w:r>
      <w:r w:rsidR="00E95195">
        <w:rPr>
          <w:rFonts w:ascii="Times New Roman" w:hAnsi="Times New Roman" w:cs="Times New Roman"/>
          <w:sz w:val="24"/>
          <w:szCs w:val="24"/>
        </w:rPr>
        <w:t xml:space="preserve"> </w:t>
      </w:r>
    </w:p>
    <w:p w:rsidR="006C32CD" w:rsidRPr="00BF2D87" w:rsidRDefault="00BF2D87" w:rsidP="00BF2D87">
      <w:pPr>
        <w:pStyle w:val="Heading1"/>
      </w:pPr>
      <w:bookmarkStart w:id="3" w:name="_Toc442712213"/>
      <w:bookmarkStart w:id="4" w:name="_Toc442713354"/>
      <w:r>
        <w:t>II.</w:t>
      </w:r>
      <w:r>
        <w:tab/>
      </w:r>
      <w:r w:rsidR="005C0FD6">
        <w:t>RECOMMENDATIONS</w:t>
      </w:r>
      <w:bookmarkEnd w:id="3"/>
      <w:bookmarkEnd w:id="4"/>
      <w:r w:rsidR="00B12A18">
        <w:t xml:space="preserve">  </w:t>
      </w:r>
    </w:p>
    <w:p w:rsidR="00593C19" w:rsidRPr="001F35BA" w:rsidRDefault="00BF2D87" w:rsidP="00BF2D87">
      <w:pPr>
        <w:pStyle w:val="Heading2"/>
      </w:pPr>
      <w:bookmarkStart w:id="5" w:name="_Toc442712214"/>
      <w:bookmarkStart w:id="6" w:name="_Toc442713355"/>
      <w:r>
        <w:t>A.</w:t>
      </w:r>
      <w:r>
        <w:tab/>
      </w:r>
      <w:r w:rsidR="00C16570">
        <w:t xml:space="preserve">The PUCO would </w:t>
      </w:r>
      <w:r w:rsidR="00593C19" w:rsidRPr="001F35BA">
        <w:t>ignore the jurisdictional issue</w:t>
      </w:r>
      <w:r w:rsidR="00C16570">
        <w:t xml:space="preserve"> (as AEP Ohio recommends) at its and consumers’ peril</w:t>
      </w:r>
      <w:r w:rsidR="00593C19" w:rsidRPr="001F35BA">
        <w:t>; instead, the PUCO should</w:t>
      </w:r>
      <w:r w:rsidR="00C16570">
        <w:t xml:space="preserve"> </w:t>
      </w:r>
      <w:r w:rsidR="00593C19" w:rsidRPr="001F35BA">
        <w:t>address the issue first.</w:t>
      </w:r>
      <w:bookmarkEnd w:id="5"/>
      <w:bookmarkEnd w:id="6"/>
    </w:p>
    <w:p w:rsidR="006F3F3B" w:rsidRDefault="00593C19" w:rsidP="00A84043">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F3F3B">
        <w:rPr>
          <w:rFonts w:ascii="Times New Roman" w:hAnsi="Times New Roman" w:cs="Times New Roman"/>
          <w:sz w:val="24"/>
          <w:szCs w:val="24"/>
        </w:rPr>
        <w:t>AEP Ohio invites the PUCO to act as the detectives in Twain</w:t>
      </w:r>
      <w:r w:rsidR="00130F92">
        <w:rPr>
          <w:rFonts w:ascii="Times New Roman" w:hAnsi="Times New Roman" w:cs="Times New Roman"/>
          <w:sz w:val="24"/>
          <w:szCs w:val="24"/>
        </w:rPr>
        <w:t>’</w:t>
      </w:r>
      <w:r w:rsidR="006F3F3B">
        <w:rPr>
          <w:rFonts w:ascii="Times New Roman" w:hAnsi="Times New Roman" w:cs="Times New Roman"/>
          <w:sz w:val="24"/>
          <w:szCs w:val="24"/>
        </w:rPr>
        <w:t xml:space="preserve">s </w:t>
      </w:r>
      <w:r w:rsidR="00130F92">
        <w:rPr>
          <w:rFonts w:ascii="Times New Roman" w:hAnsi="Times New Roman" w:cs="Times New Roman"/>
          <w:sz w:val="24"/>
          <w:szCs w:val="24"/>
        </w:rPr>
        <w:t>“</w:t>
      </w:r>
      <w:r w:rsidR="006F3F3B">
        <w:rPr>
          <w:rFonts w:ascii="Times New Roman" w:hAnsi="Times New Roman" w:cs="Times New Roman"/>
          <w:sz w:val="24"/>
          <w:szCs w:val="24"/>
        </w:rPr>
        <w:t>The Stolen White Elephant,</w:t>
      </w:r>
      <w:r w:rsidR="00130F92">
        <w:rPr>
          <w:rFonts w:ascii="Times New Roman" w:hAnsi="Times New Roman" w:cs="Times New Roman"/>
          <w:sz w:val="24"/>
          <w:szCs w:val="24"/>
        </w:rPr>
        <w:t>”</w:t>
      </w:r>
      <w:r w:rsidR="006F3F3B">
        <w:rPr>
          <w:rStyle w:val="FootnoteReference"/>
          <w:rFonts w:ascii="Times New Roman" w:hAnsi="Times New Roman" w:cs="Times New Roman"/>
          <w:sz w:val="24"/>
          <w:szCs w:val="24"/>
        </w:rPr>
        <w:footnoteReference w:id="3"/>
      </w:r>
      <w:r w:rsidR="006F3F3B">
        <w:rPr>
          <w:rFonts w:ascii="Times New Roman" w:hAnsi="Times New Roman" w:cs="Times New Roman"/>
          <w:sz w:val="24"/>
          <w:szCs w:val="24"/>
        </w:rPr>
        <w:t xml:space="preserve"> who searched for a stolen elephant oblivious to the fact that it was right there.  The PUCO should not be oblivious to the elephant in the room.  It should, and must, address whether it has jurisdiction</w:t>
      </w:r>
      <w:r w:rsidR="00A84043">
        <w:rPr>
          <w:rFonts w:ascii="Times New Roman" w:hAnsi="Times New Roman" w:cs="Times New Roman"/>
          <w:sz w:val="24"/>
          <w:szCs w:val="24"/>
        </w:rPr>
        <w:t xml:space="preserve">.  </w:t>
      </w:r>
      <w:r w:rsidR="00AE6BD6" w:rsidRPr="00AE6BD6">
        <w:rPr>
          <w:rFonts w:ascii="Times New Roman" w:hAnsi="Times New Roman" w:cs="Times New Roman"/>
          <w:sz w:val="24"/>
          <w:szCs w:val="24"/>
        </w:rPr>
        <w:t>In fact, just recently, the PUCO recognized the importance of determining in the first instance if it has jurisdiction.</w:t>
      </w:r>
      <w:r w:rsidR="00AE6BD6">
        <w:rPr>
          <w:rStyle w:val="FootnoteReference"/>
          <w:rFonts w:ascii="Times New Roman" w:hAnsi="Times New Roman" w:cs="Times New Roman"/>
          <w:sz w:val="24"/>
          <w:szCs w:val="24"/>
        </w:rPr>
        <w:footnoteReference w:id="4"/>
      </w:r>
      <w:r w:rsidR="00AE6BD6">
        <w:rPr>
          <w:rFonts w:ascii="Times New Roman" w:hAnsi="Times New Roman" w:cs="Times New Roman"/>
        </w:rPr>
        <w:t xml:space="preserve">  </w:t>
      </w:r>
      <w:r w:rsidR="00AE6BD6" w:rsidRPr="00AE6BD6">
        <w:rPr>
          <w:rFonts w:ascii="Times New Roman" w:hAnsi="Times New Roman" w:cs="Times New Roman"/>
          <w:sz w:val="24"/>
          <w:szCs w:val="24"/>
        </w:rPr>
        <w:t>In this case, i</w:t>
      </w:r>
      <w:r w:rsidR="00A84043" w:rsidRPr="00AE6BD6">
        <w:rPr>
          <w:rFonts w:ascii="Times New Roman" w:hAnsi="Times New Roman" w:cs="Times New Roman"/>
          <w:sz w:val="24"/>
          <w:szCs w:val="24"/>
        </w:rPr>
        <w:t>t</w:t>
      </w:r>
      <w:r w:rsidR="00A84043">
        <w:rPr>
          <w:rFonts w:ascii="Times New Roman" w:hAnsi="Times New Roman" w:cs="Times New Roman"/>
          <w:sz w:val="24"/>
          <w:szCs w:val="24"/>
        </w:rPr>
        <w:t xml:space="preserve"> does not.</w:t>
      </w:r>
    </w:p>
    <w:p w:rsidR="006F3F3B" w:rsidRDefault="006F3F3B" w:rsidP="00E566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 asserts that the PPA Rider</w:t>
      </w:r>
      <w:r w:rsidR="00130F92">
        <w:rPr>
          <w:rFonts w:ascii="Times New Roman" w:hAnsi="Times New Roman" w:cs="Times New Roman"/>
          <w:sz w:val="24"/>
          <w:szCs w:val="24"/>
        </w:rPr>
        <w:t>’</w:t>
      </w:r>
      <w:r>
        <w:rPr>
          <w:rFonts w:ascii="Times New Roman" w:hAnsi="Times New Roman" w:cs="Times New Roman"/>
          <w:sz w:val="24"/>
          <w:szCs w:val="24"/>
        </w:rPr>
        <w:t>s effects on the wholesale market should not be considered by the PUCO.</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794C5E">
        <w:rPr>
          <w:rFonts w:ascii="Times New Roman" w:hAnsi="Times New Roman" w:cs="Times New Roman"/>
          <w:sz w:val="24"/>
          <w:szCs w:val="24"/>
        </w:rPr>
        <w:t xml:space="preserve">But those issues are front </w:t>
      </w:r>
      <w:r w:rsidR="00FE2789">
        <w:rPr>
          <w:rFonts w:ascii="Times New Roman" w:hAnsi="Times New Roman" w:cs="Times New Roman"/>
          <w:sz w:val="24"/>
          <w:szCs w:val="24"/>
        </w:rPr>
        <w:t xml:space="preserve">and </w:t>
      </w:r>
      <w:r w:rsidR="00794C5E">
        <w:rPr>
          <w:rFonts w:ascii="Times New Roman" w:hAnsi="Times New Roman" w:cs="Times New Roman"/>
          <w:sz w:val="24"/>
          <w:szCs w:val="24"/>
        </w:rPr>
        <w:t>center before it.</w:t>
      </w:r>
      <w:r w:rsidR="00794C5E">
        <w:rPr>
          <w:rStyle w:val="FootnoteReference"/>
          <w:rFonts w:ascii="Times New Roman" w:hAnsi="Times New Roman" w:cs="Times New Roman"/>
          <w:sz w:val="24"/>
          <w:szCs w:val="24"/>
        </w:rPr>
        <w:footnoteReference w:id="6"/>
      </w:r>
      <w:r w:rsidR="00794C5E">
        <w:rPr>
          <w:rFonts w:ascii="Times New Roman" w:hAnsi="Times New Roman" w:cs="Times New Roman"/>
          <w:sz w:val="24"/>
          <w:szCs w:val="24"/>
        </w:rPr>
        <w:t xml:space="preserve">  OCC, and others, show that they require the conclusion that the PUCO</w:t>
      </w:r>
      <w:r w:rsidR="00130F92">
        <w:rPr>
          <w:rFonts w:ascii="Times New Roman" w:hAnsi="Times New Roman" w:cs="Times New Roman"/>
          <w:sz w:val="24"/>
          <w:szCs w:val="24"/>
        </w:rPr>
        <w:t>’</w:t>
      </w:r>
      <w:r w:rsidR="00794C5E">
        <w:rPr>
          <w:rFonts w:ascii="Times New Roman" w:hAnsi="Times New Roman" w:cs="Times New Roman"/>
          <w:sz w:val="24"/>
          <w:szCs w:val="24"/>
        </w:rPr>
        <w:t>s jurisdiction is preempted.</w:t>
      </w:r>
      <w:r w:rsidR="00794C5E">
        <w:rPr>
          <w:rStyle w:val="FootnoteReference"/>
          <w:rFonts w:ascii="Times New Roman" w:hAnsi="Times New Roman" w:cs="Times New Roman"/>
          <w:sz w:val="24"/>
          <w:szCs w:val="24"/>
        </w:rPr>
        <w:footnoteReference w:id="7"/>
      </w:r>
      <w:r w:rsidR="00794C5E">
        <w:rPr>
          <w:rFonts w:ascii="Times New Roman" w:hAnsi="Times New Roman" w:cs="Times New Roman"/>
          <w:sz w:val="24"/>
          <w:szCs w:val="24"/>
        </w:rPr>
        <w:t xml:space="preserve">  The PUCO should, and must, decide the jurisdictional issue.</w:t>
      </w:r>
      <w:r w:rsidR="00794C5E">
        <w:rPr>
          <w:rStyle w:val="FootnoteReference"/>
          <w:rFonts w:ascii="Times New Roman" w:hAnsi="Times New Roman" w:cs="Times New Roman"/>
          <w:sz w:val="24"/>
          <w:szCs w:val="24"/>
        </w:rPr>
        <w:footnoteReference w:id="8"/>
      </w:r>
      <w:r w:rsidR="00794C5E">
        <w:rPr>
          <w:rFonts w:ascii="Times New Roman" w:hAnsi="Times New Roman" w:cs="Times New Roman"/>
          <w:sz w:val="24"/>
          <w:szCs w:val="24"/>
        </w:rPr>
        <w:t xml:space="preserve">  </w:t>
      </w:r>
      <w:r>
        <w:rPr>
          <w:rFonts w:ascii="Times New Roman" w:hAnsi="Times New Roman" w:cs="Times New Roman"/>
          <w:sz w:val="24"/>
          <w:szCs w:val="24"/>
        </w:rPr>
        <w:t xml:space="preserve">As the Ohio Supreme Court has explained, it is </w:t>
      </w:r>
      <w:r w:rsidR="00130F92">
        <w:rPr>
          <w:rFonts w:ascii="Times New Roman" w:hAnsi="Times New Roman" w:cs="Times New Roman"/>
          <w:sz w:val="24"/>
          <w:szCs w:val="24"/>
        </w:rPr>
        <w:t>“</w:t>
      </w:r>
      <w:r>
        <w:rPr>
          <w:rFonts w:ascii="Times New Roman" w:hAnsi="Times New Roman" w:cs="Times New Roman"/>
          <w:sz w:val="24"/>
          <w:szCs w:val="24"/>
        </w:rPr>
        <w:t>necessary and appropriate</w:t>
      </w:r>
      <w:r w:rsidR="00130F92">
        <w:rPr>
          <w:rFonts w:ascii="Times New Roman" w:hAnsi="Times New Roman" w:cs="Times New Roman"/>
          <w:sz w:val="24"/>
          <w:szCs w:val="24"/>
        </w:rPr>
        <w:t>”</w:t>
      </w:r>
      <w:r>
        <w:rPr>
          <w:rFonts w:ascii="Times New Roman" w:hAnsi="Times New Roman" w:cs="Times New Roman"/>
          <w:sz w:val="24"/>
          <w:szCs w:val="24"/>
        </w:rPr>
        <w:t xml:space="preserve"> for the PUCO to consider germane law to decide its own jurisdiction in the first instance.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Upon such consideration here, the PUCO can come to but one conclusion:  It lacks jurisdiction.</w:t>
      </w:r>
      <w:r w:rsidR="00A84043">
        <w:rPr>
          <w:rStyle w:val="FootnoteReference"/>
          <w:rFonts w:ascii="Times New Roman" w:hAnsi="Times New Roman" w:cs="Times New Roman"/>
          <w:sz w:val="24"/>
          <w:szCs w:val="24"/>
        </w:rPr>
        <w:footnoteReference w:id="10"/>
      </w:r>
    </w:p>
    <w:p w:rsidR="00B81EAD" w:rsidRPr="00BF2D87" w:rsidRDefault="00BF2D87" w:rsidP="00BF2D87">
      <w:pPr>
        <w:pStyle w:val="Heading2"/>
      </w:pPr>
      <w:bookmarkStart w:id="7" w:name="_Toc442712215"/>
      <w:bookmarkStart w:id="8" w:name="_Toc442713356"/>
      <w:r>
        <w:t>B.</w:t>
      </w:r>
      <w:r>
        <w:tab/>
      </w:r>
      <w:r w:rsidR="00AE6BD6">
        <w:t xml:space="preserve">AEP </w:t>
      </w:r>
      <w:r w:rsidR="0059342E">
        <w:t xml:space="preserve">Ohio’s </w:t>
      </w:r>
      <w:r w:rsidR="00AE6BD6">
        <w:t>examples of</w:t>
      </w:r>
      <w:r w:rsidR="00B81EAD" w:rsidRPr="00BF2D87">
        <w:t xml:space="preserve"> </w:t>
      </w:r>
      <w:r w:rsidR="00130F92">
        <w:t>“</w:t>
      </w:r>
      <w:r w:rsidR="001274AD">
        <w:t>c</w:t>
      </w:r>
      <w:r w:rsidR="001274AD" w:rsidRPr="00BF2D87">
        <w:t>ost</w:t>
      </w:r>
      <w:r w:rsidR="00B81EAD" w:rsidRPr="00BF2D87">
        <w:t>-based</w:t>
      </w:r>
      <w:r w:rsidR="00130F92">
        <w:t>”</w:t>
      </w:r>
      <w:r w:rsidR="00B81EAD" w:rsidRPr="00BF2D87">
        <w:t xml:space="preserve"> generation offered into wholesale markets by generators in other states, cooperatives, and municipalities is misplaced, as it compares apples to oranges</w:t>
      </w:r>
      <w:r w:rsidR="0090280A">
        <w:t>; the PPA Rider is a customer-funded subsidy</w:t>
      </w:r>
      <w:r w:rsidR="00B81EAD" w:rsidRPr="00BF2D87">
        <w:t>.</w:t>
      </w:r>
      <w:bookmarkEnd w:id="7"/>
      <w:bookmarkEnd w:id="8"/>
    </w:p>
    <w:p w:rsidR="00201D86" w:rsidRDefault="00D011EA" w:rsidP="00201D8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noted by AEP Ohio,</w:t>
      </w:r>
      <w:r w:rsidR="00201D86">
        <w:rPr>
          <w:rFonts w:ascii="Times New Roman" w:hAnsi="Times New Roman" w:cs="Times New Roman"/>
          <w:sz w:val="24"/>
          <w:szCs w:val="24"/>
        </w:rPr>
        <w:t xml:space="preserve"> </w:t>
      </w:r>
      <w:r w:rsidR="0066696A">
        <w:rPr>
          <w:rFonts w:ascii="Times New Roman" w:hAnsi="Times New Roman" w:cs="Times New Roman"/>
          <w:sz w:val="24"/>
          <w:szCs w:val="24"/>
        </w:rPr>
        <w:t xml:space="preserve">non-stipulators </w:t>
      </w:r>
      <w:r w:rsidR="00201D86">
        <w:rPr>
          <w:rFonts w:ascii="Times New Roman" w:hAnsi="Times New Roman" w:cs="Times New Roman"/>
          <w:sz w:val="24"/>
          <w:szCs w:val="24"/>
        </w:rPr>
        <w:t xml:space="preserve">explain that the PPA Rider is an impermissible subsidy that is inconsistent with </w:t>
      </w:r>
      <w:r w:rsidR="0066696A">
        <w:rPr>
          <w:rFonts w:ascii="Times New Roman" w:hAnsi="Times New Roman" w:cs="Times New Roman"/>
          <w:sz w:val="24"/>
          <w:szCs w:val="24"/>
        </w:rPr>
        <w:t xml:space="preserve">the existing wholesale market structures of </w:t>
      </w:r>
      <w:r>
        <w:rPr>
          <w:rFonts w:ascii="Times New Roman" w:hAnsi="Times New Roman" w:cs="Times New Roman"/>
          <w:sz w:val="24"/>
          <w:szCs w:val="24"/>
        </w:rPr>
        <w:t>PJM Interconnection, LLC</w:t>
      </w:r>
      <w:r w:rsidR="00201D86">
        <w:rPr>
          <w:rFonts w:ascii="Times New Roman" w:hAnsi="Times New Roman" w:cs="Times New Roman"/>
          <w:sz w:val="24"/>
          <w:szCs w:val="24"/>
        </w:rPr>
        <w:t xml:space="preserve"> </w:t>
      </w:r>
      <w:r>
        <w:rPr>
          <w:rFonts w:ascii="Times New Roman" w:hAnsi="Times New Roman" w:cs="Times New Roman"/>
          <w:sz w:val="24"/>
          <w:szCs w:val="24"/>
        </w:rPr>
        <w:t>(</w:t>
      </w:r>
      <w:r w:rsidR="00130F92">
        <w:rPr>
          <w:rFonts w:ascii="Times New Roman" w:hAnsi="Times New Roman" w:cs="Times New Roman"/>
          <w:sz w:val="24"/>
          <w:szCs w:val="24"/>
        </w:rPr>
        <w:t>“</w:t>
      </w:r>
      <w:r>
        <w:rPr>
          <w:rFonts w:ascii="Times New Roman" w:hAnsi="Times New Roman" w:cs="Times New Roman"/>
          <w:sz w:val="24"/>
          <w:szCs w:val="24"/>
        </w:rPr>
        <w:t>PJM</w:t>
      </w:r>
      <w:r w:rsidR="00130F92">
        <w:rPr>
          <w:rFonts w:ascii="Times New Roman" w:hAnsi="Times New Roman" w:cs="Times New Roman"/>
          <w:sz w:val="24"/>
          <w:szCs w:val="24"/>
        </w:rPr>
        <w:t>”</w:t>
      </w:r>
      <w:r>
        <w:rPr>
          <w:rFonts w:ascii="Times New Roman" w:hAnsi="Times New Roman" w:cs="Times New Roman"/>
          <w:sz w:val="24"/>
          <w:szCs w:val="24"/>
        </w:rPr>
        <w:t>)</w:t>
      </w:r>
      <w:r w:rsidR="00201D86">
        <w:rPr>
          <w:rFonts w:ascii="Times New Roman" w:hAnsi="Times New Roman" w:cs="Times New Roman"/>
          <w:sz w:val="24"/>
          <w:szCs w:val="24"/>
        </w:rPr>
        <w:t>.</w:t>
      </w:r>
      <w:r w:rsidR="00201D86">
        <w:rPr>
          <w:rStyle w:val="FootnoteReference"/>
          <w:rFonts w:ascii="Times New Roman" w:hAnsi="Times New Roman" w:cs="Times New Roman"/>
          <w:sz w:val="24"/>
          <w:szCs w:val="24"/>
        </w:rPr>
        <w:footnoteReference w:id="11"/>
      </w:r>
      <w:r w:rsidR="00201D86">
        <w:rPr>
          <w:rFonts w:ascii="Times New Roman" w:hAnsi="Times New Roman" w:cs="Times New Roman"/>
          <w:sz w:val="24"/>
          <w:szCs w:val="24"/>
        </w:rPr>
        <w:t xml:space="preserve">  That is, allowing the PPA Units</w:t>
      </w:r>
      <w:r w:rsidR="00130F92">
        <w:rPr>
          <w:rFonts w:ascii="Times New Roman" w:hAnsi="Times New Roman" w:cs="Times New Roman"/>
          <w:sz w:val="24"/>
          <w:szCs w:val="24"/>
        </w:rPr>
        <w:t>’</w:t>
      </w:r>
      <w:r w:rsidR="00201D86">
        <w:rPr>
          <w:rFonts w:ascii="Times New Roman" w:hAnsi="Times New Roman" w:cs="Times New Roman"/>
          <w:sz w:val="24"/>
          <w:szCs w:val="24"/>
        </w:rPr>
        <w:t xml:space="preserve"> subsidized generation to compete against unsubsidized generation in the PJM markets will distort and undermine the PJM markets.  AEP Ohio attempts to explain away this </w:t>
      </w:r>
      <w:r w:rsidR="0066696A">
        <w:rPr>
          <w:rFonts w:ascii="Times New Roman" w:hAnsi="Times New Roman" w:cs="Times New Roman"/>
          <w:sz w:val="24"/>
          <w:szCs w:val="24"/>
        </w:rPr>
        <w:t xml:space="preserve">fact </w:t>
      </w:r>
      <w:r w:rsidR="00201D86">
        <w:rPr>
          <w:rFonts w:ascii="Times New Roman" w:hAnsi="Times New Roman" w:cs="Times New Roman"/>
          <w:sz w:val="24"/>
          <w:szCs w:val="24"/>
        </w:rPr>
        <w:t xml:space="preserve">by citing many </w:t>
      </w:r>
      <w:r w:rsidR="0066696A">
        <w:rPr>
          <w:rFonts w:ascii="Times New Roman" w:hAnsi="Times New Roman" w:cs="Times New Roman"/>
          <w:sz w:val="24"/>
          <w:szCs w:val="24"/>
        </w:rPr>
        <w:t xml:space="preserve">purported </w:t>
      </w:r>
      <w:r w:rsidR="00201D86">
        <w:rPr>
          <w:rFonts w:ascii="Times New Roman" w:hAnsi="Times New Roman" w:cs="Times New Roman"/>
          <w:sz w:val="24"/>
          <w:szCs w:val="24"/>
        </w:rPr>
        <w:t>examples of cost-based generation offering into PJM without distorting or undermining the PJM markets.</w:t>
      </w:r>
      <w:r w:rsidR="00201D86">
        <w:rPr>
          <w:rStyle w:val="FootnoteReference"/>
          <w:rFonts w:ascii="Times New Roman" w:hAnsi="Times New Roman" w:cs="Times New Roman"/>
          <w:sz w:val="24"/>
          <w:szCs w:val="24"/>
        </w:rPr>
        <w:footnoteReference w:id="12"/>
      </w:r>
      <w:r w:rsidR="00201D86">
        <w:rPr>
          <w:rFonts w:ascii="Times New Roman" w:hAnsi="Times New Roman" w:cs="Times New Roman"/>
          <w:sz w:val="24"/>
          <w:szCs w:val="24"/>
        </w:rPr>
        <w:t xml:space="preserve">  Generation resources </w:t>
      </w:r>
      <w:r w:rsidR="0066696A">
        <w:rPr>
          <w:rFonts w:ascii="Times New Roman" w:hAnsi="Times New Roman" w:cs="Times New Roman"/>
          <w:sz w:val="24"/>
          <w:szCs w:val="24"/>
        </w:rPr>
        <w:t xml:space="preserve">owned by Dominion, that </w:t>
      </w:r>
      <w:r w:rsidR="00201D86">
        <w:rPr>
          <w:rFonts w:ascii="Times New Roman" w:hAnsi="Times New Roman" w:cs="Times New Roman"/>
          <w:sz w:val="24"/>
          <w:szCs w:val="24"/>
        </w:rPr>
        <w:t>receiv</w:t>
      </w:r>
      <w:r w:rsidR="0066696A">
        <w:rPr>
          <w:rFonts w:ascii="Times New Roman" w:hAnsi="Times New Roman" w:cs="Times New Roman"/>
          <w:sz w:val="24"/>
          <w:szCs w:val="24"/>
        </w:rPr>
        <w:t>e</w:t>
      </w:r>
      <w:r w:rsidR="00201D86">
        <w:rPr>
          <w:rFonts w:ascii="Times New Roman" w:hAnsi="Times New Roman" w:cs="Times New Roman"/>
          <w:sz w:val="24"/>
          <w:szCs w:val="24"/>
        </w:rPr>
        <w:t xml:space="preserve"> cost-based compensation under Virginia</w:t>
      </w:r>
      <w:r w:rsidR="00130F92">
        <w:rPr>
          <w:rFonts w:ascii="Times New Roman" w:hAnsi="Times New Roman" w:cs="Times New Roman"/>
          <w:sz w:val="24"/>
          <w:szCs w:val="24"/>
        </w:rPr>
        <w:t>’</w:t>
      </w:r>
      <w:r w:rsidR="00201D86">
        <w:rPr>
          <w:rFonts w:ascii="Times New Roman" w:hAnsi="Times New Roman" w:cs="Times New Roman"/>
          <w:sz w:val="24"/>
          <w:szCs w:val="24"/>
        </w:rPr>
        <w:t>s traditional cost-of-service retail regulation</w:t>
      </w:r>
      <w:r w:rsidR="0066696A">
        <w:rPr>
          <w:rFonts w:ascii="Times New Roman" w:hAnsi="Times New Roman" w:cs="Times New Roman"/>
          <w:sz w:val="24"/>
          <w:szCs w:val="24"/>
        </w:rPr>
        <w:t>,</w:t>
      </w:r>
      <w:r w:rsidR="00201D86">
        <w:rPr>
          <w:rFonts w:ascii="Times New Roman" w:hAnsi="Times New Roman" w:cs="Times New Roman"/>
          <w:sz w:val="24"/>
          <w:szCs w:val="24"/>
        </w:rPr>
        <w:t xml:space="preserve"> participate in PJM</w:t>
      </w:r>
      <w:r w:rsidR="00130F92">
        <w:rPr>
          <w:rFonts w:ascii="Times New Roman" w:hAnsi="Times New Roman" w:cs="Times New Roman"/>
          <w:sz w:val="24"/>
          <w:szCs w:val="24"/>
        </w:rPr>
        <w:t>’</w:t>
      </w:r>
      <w:r w:rsidR="00201D86">
        <w:rPr>
          <w:rFonts w:ascii="Times New Roman" w:hAnsi="Times New Roman" w:cs="Times New Roman"/>
          <w:sz w:val="24"/>
          <w:szCs w:val="24"/>
        </w:rPr>
        <w:t>s markets.</w:t>
      </w:r>
      <w:r w:rsidR="00201D86">
        <w:rPr>
          <w:rStyle w:val="FootnoteReference"/>
          <w:rFonts w:ascii="Times New Roman" w:hAnsi="Times New Roman" w:cs="Times New Roman"/>
          <w:sz w:val="24"/>
          <w:szCs w:val="24"/>
        </w:rPr>
        <w:footnoteReference w:id="13"/>
      </w:r>
      <w:r w:rsidR="00201D86">
        <w:rPr>
          <w:rFonts w:ascii="Times New Roman" w:hAnsi="Times New Roman" w:cs="Times New Roman"/>
          <w:sz w:val="24"/>
          <w:szCs w:val="24"/>
        </w:rPr>
        <w:t xml:space="preserve">  Municipal utilities and cooperatives, such as Eastern Kentucky Power Cooperative (</w:t>
      </w:r>
      <w:r w:rsidR="00130F92">
        <w:rPr>
          <w:rFonts w:ascii="Times New Roman" w:hAnsi="Times New Roman" w:cs="Times New Roman"/>
          <w:sz w:val="24"/>
          <w:szCs w:val="24"/>
        </w:rPr>
        <w:t>“</w:t>
      </w:r>
      <w:r w:rsidR="00201D86">
        <w:rPr>
          <w:rFonts w:ascii="Times New Roman" w:hAnsi="Times New Roman" w:cs="Times New Roman"/>
          <w:sz w:val="24"/>
          <w:szCs w:val="24"/>
        </w:rPr>
        <w:t>EKPC</w:t>
      </w:r>
      <w:r w:rsidR="00130F92">
        <w:rPr>
          <w:rFonts w:ascii="Times New Roman" w:hAnsi="Times New Roman" w:cs="Times New Roman"/>
          <w:sz w:val="24"/>
          <w:szCs w:val="24"/>
        </w:rPr>
        <w:t>”</w:t>
      </w:r>
      <w:r w:rsidR="00201D86">
        <w:rPr>
          <w:rFonts w:ascii="Times New Roman" w:hAnsi="Times New Roman" w:cs="Times New Roman"/>
          <w:sz w:val="24"/>
          <w:szCs w:val="24"/>
        </w:rPr>
        <w:t>), also participate in PJM</w:t>
      </w:r>
      <w:r w:rsidR="00130F92">
        <w:rPr>
          <w:rFonts w:ascii="Times New Roman" w:hAnsi="Times New Roman" w:cs="Times New Roman"/>
          <w:sz w:val="24"/>
          <w:szCs w:val="24"/>
        </w:rPr>
        <w:t>’</w:t>
      </w:r>
      <w:r w:rsidR="00201D86">
        <w:rPr>
          <w:rFonts w:ascii="Times New Roman" w:hAnsi="Times New Roman" w:cs="Times New Roman"/>
          <w:sz w:val="24"/>
          <w:szCs w:val="24"/>
        </w:rPr>
        <w:t>s markets and receive cost-based compensation.</w:t>
      </w:r>
      <w:r w:rsidR="00201D86">
        <w:rPr>
          <w:rStyle w:val="FootnoteReference"/>
          <w:rFonts w:ascii="Times New Roman" w:hAnsi="Times New Roman" w:cs="Times New Roman"/>
          <w:sz w:val="24"/>
          <w:szCs w:val="24"/>
        </w:rPr>
        <w:footnoteReference w:id="14"/>
      </w:r>
      <w:r w:rsidR="00201D86">
        <w:rPr>
          <w:rFonts w:ascii="Times New Roman" w:hAnsi="Times New Roman" w:cs="Times New Roman"/>
          <w:sz w:val="24"/>
          <w:szCs w:val="24"/>
        </w:rPr>
        <w:t xml:space="preserve">  AEP Ohio</w:t>
      </w:r>
      <w:r w:rsidR="00130F92">
        <w:rPr>
          <w:rFonts w:ascii="Times New Roman" w:hAnsi="Times New Roman" w:cs="Times New Roman"/>
          <w:sz w:val="24"/>
          <w:szCs w:val="24"/>
        </w:rPr>
        <w:t>’</w:t>
      </w:r>
      <w:r w:rsidR="00201D86">
        <w:rPr>
          <w:rFonts w:ascii="Times New Roman" w:hAnsi="Times New Roman" w:cs="Times New Roman"/>
          <w:sz w:val="24"/>
          <w:szCs w:val="24"/>
        </w:rPr>
        <w:t xml:space="preserve">s logic </w:t>
      </w:r>
      <w:r w:rsidR="0090280A">
        <w:rPr>
          <w:rFonts w:ascii="Times New Roman" w:hAnsi="Times New Roman" w:cs="Times New Roman"/>
          <w:sz w:val="24"/>
          <w:szCs w:val="24"/>
        </w:rPr>
        <w:t xml:space="preserve">in citing these examples </w:t>
      </w:r>
      <w:r w:rsidR="00201D86">
        <w:rPr>
          <w:rFonts w:ascii="Times New Roman" w:hAnsi="Times New Roman" w:cs="Times New Roman"/>
          <w:sz w:val="24"/>
          <w:szCs w:val="24"/>
        </w:rPr>
        <w:t>is flawed for several reasons.</w:t>
      </w:r>
    </w:p>
    <w:p w:rsidR="00201D86" w:rsidRDefault="00201D86" w:rsidP="00201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First, AEP Ohio and </w:t>
      </w:r>
      <w:r w:rsidR="00BF528E">
        <w:rPr>
          <w:rFonts w:ascii="Times New Roman" w:hAnsi="Times New Roman" w:cs="Times New Roman"/>
          <w:sz w:val="24"/>
          <w:szCs w:val="24"/>
        </w:rPr>
        <w:t>its generation affiliate (</w:t>
      </w:r>
      <w:r>
        <w:rPr>
          <w:rFonts w:ascii="Times New Roman" w:hAnsi="Times New Roman" w:cs="Times New Roman"/>
          <w:sz w:val="24"/>
          <w:szCs w:val="24"/>
        </w:rPr>
        <w:t>AEPGR</w:t>
      </w:r>
      <w:r w:rsidR="00BF528E">
        <w:rPr>
          <w:rFonts w:ascii="Times New Roman" w:hAnsi="Times New Roman" w:cs="Times New Roman"/>
          <w:sz w:val="24"/>
          <w:szCs w:val="24"/>
        </w:rPr>
        <w:t>)</w:t>
      </w:r>
      <w:r>
        <w:rPr>
          <w:rFonts w:ascii="Times New Roman" w:hAnsi="Times New Roman" w:cs="Times New Roman"/>
          <w:sz w:val="24"/>
          <w:szCs w:val="24"/>
        </w:rPr>
        <w:t xml:space="preserve"> operate in a deregulated state</w:t>
      </w:r>
      <w:r w:rsidR="00BF528E">
        <w:rPr>
          <w:rFonts w:ascii="Times New Roman" w:hAnsi="Times New Roman" w:cs="Times New Roman"/>
          <w:sz w:val="24"/>
          <w:szCs w:val="24"/>
        </w:rPr>
        <w:t xml:space="preserve"> (Ohio)</w:t>
      </w:r>
      <w:r>
        <w:rPr>
          <w:rFonts w:ascii="Times New Roman" w:hAnsi="Times New Roman" w:cs="Times New Roman"/>
          <w:sz w:val="24"/>
          <w:szCs w:val="24"/>
        </w:rPr>
        <w:t xml:space="preserve">.  Dominion operates in a regulated state.  This is a vital fact.  As RESA Witness Bennett put it:  </w:t>
      </w:r>
    </w:p>
    <w:p w:rsidR="00201D86" w:rsidRDefault="00201D86" w:rsidP="00BF2D87">
      <w:pPr>
        <w:spacing w:line="240" w:lineRule="auto"/>
        <w:ind w:left="1440" w:right="720"/>
        <w:contextualSpacing/>
        <w:rPr>
          <w:rFonts w:ascii="Times New Roman" w:hAnsi="Times New Roman" w:cs="Times New Roman"/>
          <w:sz w:val="24"/>
          <w:szCs w:val="24"/>
        </w:rPr>
      </w:pPr>
      <w:r>
        <w:rPr>
          <w:rFonts w:ascii="Times New Roman" w:hAnsi="Times New Roman" w:cs="Times New Roman"/>
          <w:sz w:val="24"/>
          <w:szCs w:val="24"/>
        </w:rPr>
        <w:t>it</w:t>
      </w:r>
      <w:r w:rsidR="00130F92">
        <w:rPr>
          <w:rFonts w:ascii="Times New Roman" w:hAnsi="Times New Roman" w:cs="Times New Roman"/>
          <w:sz w:val="24"/>
          <w:szCs w:val="24"/>
        </w:rPr>
        <w:t>’</w:t>
      </w:r>
      <w:r>
        <w:rPr>
          <w:rFonts w:ascii="Times New Roman" w:hAnsi="Times New Roman" w:cs="Times New Roman"/>
          <w:sz w:val="24"/>
          <w:szCs w:val="24"/>
        </w:rPr>
        <w:t>s an apples and</w:t>
      </w:r>
      <w:r w:rsidRPr="0092188B">
        <w:rPr>
          <w:rFonts w:ascii="Times New Roman" w:hAnsi="Times New Roman" w:cs="Times New Roman"/>
          <w:sz w:val="24"/>
          <w:szCs w:val="24"/>
        </w:rPr>
        <w:t xml:space="preserve"> oranges comparison to </w:t>
      </w:r>
      <w:r>
        <w:rPr>
          <w:rFonts w:ascii="Times New Roman" w:hAnsi="Times New Roman" w:cs="Times New Roman"/>
          <w:sz w:val="24"/>
          <w:szCs w:val="24"/>
        </w:rPr>
        <w:t>look at cost of service for a</w:t>
      </w:r>
      <w:r w:rsidRPr="0092188B">
        <w:rPr>
          <w:rFonts w:ascii="Times New Roman" w:hAnsi="Times New Roman" w:cs="Times New Roman"/>
          <w:sz w:val="24"/>
          <w:szCs w:val="24"/>
        </w:rPr>
        <w:t xml:space="preserve"> generation asset in </w:t>
      </w:r>
      <w:r>
        <w:rPr>
          <w:rFonts w:ascii="Times New Roman" w:hAnsi="Times New Roman" w:cs="Times New Roman"/>
          <w:sz w:val="24"/>
          <w:szCs w:val="24"/>
        </w:rPr>
        <w:t>a vertically-integrated state</w:t>
      </w:r>
      <w:r w:rsidRPr="0092188B">
        <w:rPr>
          <w:rFonts w:ascii="Times New Roman" w:hAnsi="Times New Roman" w:cs="Times New Roman"/>
          <w:sz w:val="24"/>
          <w:szCs w:val="24"/>
        </w:rPr>
        <w:t xml:space="preserve"> that hasn</w:t>
      </w:r>
      <w:r w:rsidR="00130F92">
        <w:rPr>
          <w:rFonts w:ascii="Times New Roman" w:hAnsi="Times New Roman" w:cs="Times New Roman"/>
          <w:sz w:val="24"/>
          <w:szCs w:val="24"/>
        </w:rPr>
        <w:t>’</w:t>
      </w:r>
      <w:r w:rsidRPr="0092188B">
        <w:rPr>
          <w:rFonts w:ascii="Times New Roman" w:hAnsi="Times New Roman" w:cs="Times New Roman"/>
          <w:sz w:val="24"/>
          <w:szCs w:val="24"/>
        </w:rPr>
        <w:t>t made the dec</w:t>
      </w:r>
      <w:r>
        <w:rPr>
          <w:rFonts w:ascii="Times New Roman" w:hAnsi="Times New Roman" w:cs="Times New Roman"/>
          <w:sz w:val="24"/>
          <w:szCs w:val="24"/>
        </w:rPr>
        <w:t>ision to become a competitive</w:t>
      </w:r>
      <w:r w:rsidRPr="0092188B">
        <w:rPr>
          <w:rFonts w:ascii="Times New Roman" w:hAnsi="Times New Roman" w:cs="Times New Roman"/>
          <w:sz w:val="24"/>
          <w:szCs w:val="24"/>
        </w:rPr>
        <w:t xml:space="preserve"> state, and a cost of ser</w:t>
      </w:r>
      <w:r>
        <w:rPr>
          <w:rFonts w:ascii="Times New Roman" w:hAnsi="Times New Roman" w:cs="Times New Roman"/>
          <w:sz w:val="24"/>
          <w:szCs w:val="24"/>
        </w:rPr>
        <w:t>vice ratemaking for something</w:t>
      </w:r>
      <w:r w:rsidRPr="0092188B">
        <w:rPr>
          <w:rFonts w:ascii="Times New Roman" w:hAnsi="Times New Roman" w:cs="Times New Roman"/>
          <w:sz w:val="24"/>
          <w:szCs w:val="24"/>
        </w:rPr>
        <w:t xml:space="preserve"> that is an unregu</w:t>
      </w:r>
      <w:r>
        <w:rPr>
          <w:rFonts w:ascii="Times New Roman" w:hAnsi="Times New Roman" w:cs="Times New Roman"/>
          <w:sz w:val="24"/>
          <w:szCs w:val="24"/>
        </w:rPr>
        <w:t>lated asset that</w:t>
      </w:r>
      <w:r w:rsidR="00130F92">
        <w:rPr>
          <w:rFonts w:ascii="Times New Roman" w:hAnsi="Times New Roman" w:cs="Times New Roman"/>
          <w:sz w:val="24"/>
          <w:szCs w:val="24"/>
        </w:rPr>
        <w:t>’</w:t>
      </w:r>
      <w:r>
        <w:rPr>
          <w:rFonts w:ascii="Times New Roman" w:hAnsi="Times New Roman" w:cs="Times New Roman"/>
          <w:sz w:val="24"/>
          <w:szCs w:val="24"/>
        </w:rPr>
        <w:t>s part of an</w:t>
      </w:r>
      <w:r w:rsidRPr="0092188B">
        <w:rPr>
          <w:rFonts w:ascii="Times New Roman" w:hAnsi="Times New Roman" w:cs="Times New Roman"/>
          <w:sz w:val="24"/>
          <w:szCs w:val="24"/>
        </w:rPr>
        <w:t xml:space="preserve"> unregulated subsidiary </w:t>
      </w:r>
      <w:r>
        <w:rPr>
          <w:rFonts w:ascii="Times New Roman" w:hAnsi="Times New Roman" w:cs="Times New Roman"/>
          <w:sz w:val="24"/>
          <w:szCs w:val="24"/>
        </w:rPr>
        <w:t>that</w:t>
      </w:r>
      <w:r w:rsidR="00130F92">
        <w:rPr>
          <w:rFonts w:ascii="Times New Roman" w:hAnsi="Times New Roman" w:cs="Times New Roman"/>
          <w:sz w:val="24"/>
          <w:szCs w:val="24"/>
        </w:rPr>
        <w:t>’</w:t>
      </w:r>
      <w:r>
        <w:rPr>
          <w:rFonts w:ascii="Times New Roman" w:hAnsi="Times New Roman" w:cs="Times New Roman"/>
          <w:sz w:val="24"/>
          <w:szCs w:val="24"/>
        </w:rPr>
        <w:t>s now being transitioned</w:t>
      </w:r>
      <w:r w:rsidRPr="0092188B">
        <w:rPr>
          <w:rFonts w:ascii="Times New Roman" w:hAnsi="Times New Roman" w:cs="Times New Roman"/>
          <w:sz w:val="24"/>
          <w:szCs w:val="24"/>
        </w:rPr>
        <w:t xml:space="preserve"> into a cost of service ratemaking.</w:t>
      </w:r>
      <w:r>
        <w:rPr>
          <w:rStyle w:val="FootnoteReference"/>
          <w:rFonts w:ascii="Times New Roman" w:hAnsi="Times New Roman" w:cs="Times New Roman"/>
          <w:sz w:val="24"/>
          <w:szCs w:val="24"/>
        </w:rPr>
        <w:footnoteReference w:id="15"/>
      </w:r>
      <w:r w:rsidRPr="0092188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1D86" w:rsidRDefault="00201D86" w:rsidP="00201D86">
      <w:pPr>
        <w:spacing w:line="240" w:lineRule="auto"/>
        <w:ind w:left="720" w:right="720"/>
        <w:contextualSpacing/>
        <w:jc w:val="both"/>
        <w:rPr>
          <w:rFonts w:ascii="Times New Roman" w:hAnsi="Times New Roman" w:cs="Times New Roman"/>
          <w:sz w:val="24"/>
          <w:szCs w:val="24"/>
        </w:rPr>
      </w:pPr>
    </w:p>
    <w:p w:rsidR="00201D86" w:rsidRDefault="00201D86" w:rsidP="00201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Dominion, as a regulated utility, must follow certain rules that AEP Ohio and AEPGR would not under AEP Ohio</w:t>
      </w:r>
      <w:r w:rsidR="00130F92">
        <w:rPr>
          <w:rFonts w:ascii="Times New Roman" w:hAnsi="Times New Roman" w:cs="Times New Roman"/>
          <w:sz w:val="24"/>
          <w:szCs w:val="24"/>
        </w:rPr>
        <w:t>’</w:t>
      </w:r>
      <w:r>
        <w:rPr>
          <w:rFonts w:ascii="Times New Roman" w:hAnsi="Times New Roman" w:cs="Times New Roman"/>
          <w:sz w:val="24"/>
          <w:szCs w:val="24"/>
        </w:rPr>
        <w:t xml:space="preserve">s proposal.  </w:t>
      </w:r>
    </w:p>
    <w:p w:rsidR="00201D86" w:rsidRDefault="00201D86" w:rsidP="00201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Further, the PPAs proposed by AEP Ohio are different than Dominion</w:t>
      </w:r>
      <w:r w:rsidR="00130F92">
        <w:rPr>
          <w:rFonts w:ascii="Times New Roman" w:hAnsi="Times New Roman" w:cs="Times New Roman"/>
          <w:sz w:val="24"/>
          <w:szCs w:val="24"/>
        </w:rPr>
        <w:t>’</w:t>
      </w:r>
      <w:r>
        <w:rPr>
          <w:rFonts w:ascii="Times New Roman" w:hAnsi="Times New Roman" w:cs="Times New Roman"/>
          <w:sz w:val="24"/>
          <w:szCs w:val="24"/>
        </w:rPr>
        <w:t>s generation PPAs.  P3/EPSA Witness Cavicchi explained that Dominion</w:t>
      </w:r>
      <w:r w:rsidR="00130F92">
        <w:rPr>
          <w:rFonts w:ascii="Times New Roman" w:hAnsi="Times New Roman" w:cs="Times New Roman"/>
          <w:sz w:val="24"/>
          <w:szCs w:val="24"/>
        </w:rPr>
        <w:t>’</w:t>
      </w:r>
      <w:r>
        <w:rPr>
          <w:rFonts w:ascii="Times New Roman" w:hAnsi="Times New Roman" w:cs="Times New Roman"/>
          <w:sz w:val="24"/>
          <w:szCs w:val="24"/>
        </w:rPr>
        <w:t>s PPAs are developed through competitive bids.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P3/EPSA Witness Cavicchi went on to describe that </w:t>
      </w:r>
      <w:r w:rsidRPr="00DC7935">
        <w:rPr>
          <w:rFonts w:ascii="Times New Roman" w:hAnsi="Times New Roman" w:cs="Times New Roman"/>
          <w:sz w:val="24"/>
          <w:szCs w:val="24"/>
        </w:rPr>
        <w:t xml:space="preserve">in </w:t>
      </w:r>
      <w:r>
        <w:rPr>
          <w:rFonts w:ascii="Times New Roman" w:hAnsi="Times New Roman" w:cs="Times New Roman"/>
          <w:sz w:val="24"/>
          <w:szCs w:val="24"/>
        </w:rPr>
        <w:t>that</w:t>
      </w:r>
      <w:r w:rsidRPr="00DC7935">
        <w:rPr>
          <w:rFonts w:ascii="Times New Roman" w:hAnsi="Times New Roman" w:cs="Times New Roman"/>
          <w:sz w:val="24"/>
          <w:szCs w:val="24"/>
        </w:rPr>
        <w:t xml:space="preserve"> situation</w:t>
      </w:r>
      <w:r w:rsidR="007D71ED">
        <w:rPr>
          <w:rFonts w:ascii="Times New Roman" w:hAnsi="Times New Roman" w:cs="Times New Roman"/>
          <w:sz w:val="24"/>
          <w:szCs w:val="24"/>
        </w:rPr>
        <w:t>,</w:t>
      </w:r>
      <w:r w:rsidRPr="00DC7935">
        <w:rPr>
          <w:rFonts w:ascii="Times New Roman" w:hAnsi="Times New Roman" w:cs="Times New Roman"/>
          <w:sz w:val="24"/>
          <w:szCs w:val="24"/>
        </w:rPr>
        <w:t xml:space="preserve"> </w:t>
      </w:r>
      <w:r w:rsidR="00130F92">
        <w:rPr>
          <w:rFonts w:ascii="Times New Roman" w:hAnsi="Times New Roman" w:cs="Times New Roman"/>
          <w:sz w:val="24"/>
          <w:szCs w:val="24"/>
        </w:rPr>
        <w:t>“</w:t>
      </w:r>
      <w:r w:rsidRPr="00DC7935">
        <w:rPr>
          <w:rFonts w:ascii="Times New Roman" w:hAnsi="Times New Roman" w:cs="Times New Roman"/>
          <w:sz w:val="24"/>
          <w:szCs w:val="24"/>
        </w:rPr>
        <w:t>the requirements that the seller undertakes are very substantial, and in my experience quite a bit different than an agreement that wasn</w:t>
      </w:r>
      <w:r w:rsidR="00130F92">
        <w:rPr>
          <w:rFonts w:ascii="Times New Roman" w:hAnsi="Times New Roman" w:cs="Times New Roman"/>
          <w:sz w:val="24"/>
          <w:szCs w:val="24"/>
        </w:rPr>
        <w:t>’</w:t>
      </w:r>
      <w:r w:rsidRPr="00DC7935">
        <w:rPr>
          <w:rFonts w:ascii="Times New Roman" w:hAnsi="Times New Roman" w:cs="Times New Roman"/>
          <w:sz w:val="24"/>
          <w:szCs w:val="24"/>
        </w:rPr>
        <w:t>t subject to a competitive process like the power purchase agreements here that AEP Ohio is proposing to enter into with its affiliate, with AEP Generation Resources.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201D86" w:rsidRPr="00DC7935" w:rsidRDefault="00201D86" w:rsidP="00201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Dominion</w:t>
      </w:r>
      <w:r w:rsidR="00130F92">
        <w:rPr>
          <w:rFonts w:ascii="Times New Roman" w:hAnsi="Times New Roman" w:cs="Times New Roman"/>
          <w:sz w:val="24"/>
          <w:szCs w:val="24"/>
        </w:rPr>
        <w:t>’</w:t>
      </w:r>
      <w:r>
        <w:rPr>
          <w:rFonts w:ascii="Times New Roman" w:hAnsi="Times New Roman" w:cs="Times New Roman"/>
          <w:sz w:val="24"/>
          <w:szCs w:val="24"/>
        </w:rPr>
        <w:t>s situation is also different than AEP Ohio</w:t>
      </w:r>
      <w:r w:rsidR="00130F92">
        <w:rPr>
          <w:rFonts w:ascii="Times New Roman" w:hAnsi="Times New Roman" w:cs="Times New Roman"/>
          <w:sz w:val="24"/>
          <w:szCs w:val="24"/>
        </w:rPr>
        <w:t>’</w:t>
      </w:r>
      <w:r>
        <w:rPr>
          <w:rFonts w:ascii="Times New Roman" w:hAnsi="Times New Roman" w:cs="Times New Roman"/>
          <w:sz w:val="24"/>
          <w:szCs w:val="24"/>
        </w:rPr>
        <w:t xml:space="preserve">s </w:t>
      </w:r>
      <w:r w:rsidR="00D011EA">
        <w:rPr>
          <w:rFonts w:ascii="Times New Roman" w:hAnsi="Times New Roman" w:cs="Times New Roman"/>
          <w:sz w:val="24"/>
          <w:szCs w:val="24"/>
        </w:rPr>
        <w:t>here</w:t>
      </w:r>
      <w:r>
        <w:rPr>
          <w:rFonts w:ascii="Times New Roman" w:hAnsi="Times New Roman" w:cs="Times New Roman"/>
          <w:sz w:val="24"/>
          <w:szCs w:val="24"/>
        </w:rPr>
        <w:t xml:space="preserve"> because Dominion, as P3/EPSA Witness Cavicchi explained, is a regulated utility.  It has rates set based on a test-year.</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And </w:t>
      </w:r>
      <w:r w:rsidR="00130F92">
        <w:rPr>
          <w:rFonts w:ascii="Times New Roman" w:hAnsi="Times New Roman" w:cs="Times New Roman"/>
          <w:sz w:val="24"/>
          <w:szCs w:val="24"/>
        </w:rPr>
        <w:t>“</w:t>
      </w:r>
      <w:r>
        <w:rPr>
          <w:rFonts w:ascii="Times New Roman" w:hAnsi="Times New Roman" w:cs="Times New Roman"/>
          <w:sz w:val="24"/>
          <w:szCs w:val="24"/>
        </w:rPr>
        <w:t>o</w:t>
      </w:r>
      <w:r w:rsidRPr="005E473F">
        <w:rPr>
          <w:rFonts w:ascii="Times New Roman" w:hAnsi="Times New Roman" w:cs="Times New Roman"/>
          <w:sz w:val="24"/>
          <w:szCs w:val="24"/>
        </w:rPr>
        <w:t>nce those r</w:t>
      </w:r>
      <w:r>
        <w:rPr>
          <w:rFonts w:ascii="Times New Roman" w:hAnsi="Times New Roman" w:cs="Times New Roman"/>
          <w:sz w:val="24"/>
          <w:szCs w:val="24"/>
        </w:rPr>
        <w:t>ates are set, the utility who</w:t>
      </w:r>
      <w:r w:rsidRPr="005E473F">
        <w:rPr>
          <w:rFonts w:ascii="Times New Roman" w:hAnsi="Times New Roman" w:cs="Times New Roman"/>
          <w:sz w:val="24"/>
          <w:szCs w:val="24"/>
        </w:rPr>
        <w:t xml:space="preserve"> is receiving </w:t>
      </w:r>
      <w:r>
        <w:rPr>
          <w:rFonts w:ascii="Times New Roman" w:hAnsi="Times New Roman" w:cs="Times New Roman"/>
          <w:sz w:val="24"/>
          <w:szCs w:val="24"/>
        </w:rPr>
        <w:t>those rates, in this case the</w:t>
      </w:r>
      <w:r w:rsidRPr="005E473F">
        <w:rPr>
          <w:rFonts w:ascii="Times New Roman" w:hAnsi="Times New Roman" w:cs="Times New Roman"/>
          <w:sz w:val="24"/>
          <w:szCs w:val="24"/>
        </w:rPr>
        <w:t xml:space="preserve"> vertically-inte</w:t>
      </w:r>
      <w:r>
        <w:rPr>
          <w:rFonts w:ascii="Times New Roman" w:hAnsi="Times New Roman" w:cs="Times New Roman"/>
          <w:sz w:val="24"/>
          <w:szCs w:val="24"/>
        </w:rPr>
        <w:t>grated company</w:t>
      </w:r>
      <w:r w:rsidR="007D71ED">
        <w:rPr>
          <w:rFonts w:ascii="Times New Roman" w:hAnsi="Times New Roman" w:cs="Times New Roman"/>
          <w:sz w:val="24"/>
          <w:szCs w:val="24"/>
        </w:rPr>
        <w:t>,</w:t>
      </w:r>
      <w:r>
        <w:rPr>
          <w:rFonts w:ascii="Times New Roman" w:hAnsi="Times New Roman" w:cs="Times New Roman"/>
          <w:sz w:val="24"/>
          <w:szCs w:val="24"/>
        </w:rPr>
        <w:t xml:space="preserve"> which is fully</w:t>
      </w:r>
      <w:r w:rsidRPr="005E473F">
        <w:rPr>
          <w:rFonts w:ascii="Times New Roman" w:hAnsi="Times New Roman" w:cs="Times New Roman"/>
          <w:sz w:val="24"/>
          <w:szCs w:val="24"/>
        </w:rPr>
        <w:t xml:space="preserve"> regulated</w:t>
      </w:r>
      <w:r>
        <w:rPr>
          <w:rFonts w:ascii="Times New Roman" w:hAnsi="Times New Roman" w:cs="Times New Roman"/>
          <w:sz w:val="24"/>
          <w:szCs w:val="24"/>
        </w:rPr>
        <w:t>,</w:t>
      </w:r>
      <w:r w:rsidRPr="005E473F">
        <w:rPr>
          <w:rFonts w:ascii="Times New Roman" w:hAnsi="Times New Roman" w:cs="Times New Roman"/>
          <w:sz w:val="24"/>
          <w:szCs w:val="24"/>
        </w:rPr>
        <w:t xml:space="preserve"> has a great in</w:t>
      </w:r>
      <w:r>
        <w:rPr>
          <w:rFonts w:ascii="Times New Roman" w:hAnsi="Times New Roman" w:cs="Times New Roman"/>
          <w:sz w:val="24"/>
          <w:szCs w:val="24"/>
        </w:rPr>
        <w:t>centive to minimize its costs</w:t>
      </w:r>
      <w:r w:rsidRPr="005E473F">
        <w:rPr>
          <w:rFonts w:ascii="Times New Roman" w:hAnsi="Times New Roman" w:cs="Times New Roman"/>
          <w:sz w:val="24"/>
          <w:szCs w:val="24"/>
        </w:rPr>
        <w:t xml:space="preserve"> so as to be able t</w:t>
      </w:r>
      <w:r>
        <w:rPr>
          <w:rFonts w:ascii="Times New Roman" w:hAnsi="Times New Roman" w:cs="Times New Roman"/>
          <w:sz w:val="24"/>
          <w:szCs w:val="24"/>
        </w:rPr>
        <w:t>o achieve the return on equity that</w:t>
      </w:r>
      <w:r w:rsidR="00130F92">
        <w:rPr>
          <w:rFonts w:ascii="Times New Roman" w:hAnsi="Times New Roman" w:cs="Times New Roman"/>
          <w:sz w:val="24"/>
          <w:szCs w:val="24"/>
        </w:rPr>
        <w:t>’</w:t>
      </w:r>
      <w:r w:rsidRPr="005E473F">
        <w:rPr>
          <w:rFonts w:ascii="Times New Roman" w:hAnsi="Times New Roman" w:cs="Times New Roman"/>
          <w:sz w:val="24"/>
          <w:szCs w:val="24"/>
        </w:rPr>
        <w:t>s been built into its rate structure.</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D011EA">
        <w:rPr>
          <w:rFonts w:ascii="Times New Roman" w:hAnsi="Times New Roman" w:cs="Times New Roman"/>
          <w:sz w:val="24"/>
          <w:szCs w:val="24"/>
        </w:rPr>
        <w:t xml:space="preserve"> </w:t>
      </w:r>
      <w:r w:rsidRPr="005E473F">
        <w:rPr>
          <w:rFonts w:ascii="Times New Roman" w:hAnsi="Times New Roman" w:cs="Times New Roman"/>
          <w:sz w:val="24"/>
          <w:szCs w:val="24"/>
        </w:rPr>
        <w:t xml:space="preserve"> </w:t>
      </w:r>
      <w:r w:rsidR="00824B85">
        <w:rPr>
          <w:rFonts w:ascii="Times New Roman" w:hAnsi="Times New Roman" w:cs="Times New Roman"/>
          <w:sz w:val="24"/>
          <w:szCs w:val="24"/>
        </w:rPr>
        <w:t>Under AEP Ohio’s PPA Rider proposal, which entails a “cost-plus” contract with costs charged to consumers, AEPGR would not have the same cost-control incentives.</w:t>
      </w:r>
    </w:p>
    <w:p w:rsidR="00201D86" w:rsidRDefault="00201D86" w:rsidP="00201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AEP Ohio</w:t>
      </w:r>
      <w:r w:rsidR="00130F92">
        <w:rPr>
          <w:rFonts w:ascii="Times New Roman" w:hAnsi="Times New Roman" w:cs="Times New Roman"/>
          <w:sz w:val="24"/>
          <w:szCs w:val="24"/>
        </w:rPr>
        <w:t>’</w:t>
      </w:r>
      <w:r>
        <w:rPr>
          <w:rFonts w:ascii="Times New Roman" w:hAnsi="Times New Roman" w:cs="Times New Roman"/>
          <w:sz w:val="24"/>
          <w:szCs w:val="24"/>
        </w:rPr>
        <w:t>s comparison between its PPA proposal and EKPC</w:t>
      </w:r>
      <w:r w:rsidR="00130F92">
        <w:rPr>
          <w:rFonts w:ascii="Times New Roman" w:hAnsi="Times New Roman" w:cs="Times New Roman"/>
          <w:sz w:val="24"/>
          <w:szCs w:val="24"/>
        </w:rPr>
        <w:t>’</w:t>
      </w:r>
      <w:r>
        <w:rPr>
          <w:rFonts w:ascii="Times New Roman" w:hAnsi="Times New Roman" w:cs="Times New Roman"/>
          <w:sz w:val="24"/>
          <w:szCs w:val="24"/>
        </w:rPr>
        <w:t>s participation in PJM markets is also flawed.  Most notably, AEP Ohio, as an investor-owned utility, seeks to maximize shareholder (owner) value.  Its shareholders (owners) and its customers are not the same.  EKPC</w:t>
      </w:r>
      <w:r w:rsidR="00130F92">
        <w:rPr>
          <w:rFonts w:ascii="Times New Roman" w:hAnsi="Times New Roman" w:cs="Times New Roman"/>
          <w:sz w:val="24"/>
          <w:szCs w:val="24"/>
        </w:rPr>
        <w:t>’</w:t>
      </w:r>
      <w:r>
        <w:rPr>
          <w:rFonts w:ascii="Times New Roman" w:hAnsi="Times New Roman" w:cs="Times New Roman"/>
          <w:sz w:val="24"/>
          <w:szCs w:val="24"/>
        </w:rPr>
        <w:t xml:space="preserve">s incentives are different.  It is </w:t>
      </w:r>
      <w:r w:rsidR="001F35BA">
        <w:rPr>
          <w:rFonts w:ascii="Times New Roman" w:hAnsi="Times New Roman" w:cs="Times New Roman"/>
          <w:sz w:val="24"/>
          <w:szCs w:val="24"/>
        </w:rPr>
        <w:t>a non-profit</w:t>
      </w:r>
      <w:r>
        <w:rPr>
          <w:rFonts w:ascii="Times New Roman" w:hAnsi="Times New Roman" w:cs="Times New Roman"/>
          <w:sz w:val="24"/>
          <w:szCs w:val="24"/>
        </w:rPr>
        <w:t xml:space="preserve"> entity owned by 16 electric distribution cooperatives that are in turn owned by their customers.  </w:t>
      </w:r>
      <w:r w:rsidR="00D011EA">
        <w:rPr>
          <w:rFonts w:ascii="Times New Roman" w:hAnsi="Times New Roman" w:cs="Times New Roman"/>
          <w:sz w:val="24"/>
          <w:szCs w:val="24"/>
        </w:rPr>
        <w:t>EKPC</w:t>
      </w:r>
      <w:r w:rsidR="00130F92">
        <w:rPr>
          <w:rFonts w:ascii="Times New Roman" w:hAnsi="Times New Roman" w:cs="Times New Roman"/>
          <w:sz w:val="24"/>
          <w:szCs w:val="24"/>
        </w:rPr>
        <w:t>’</w:t>
      </w:r>
      <w:r w:rsidR="00D011EA">
        <w:rPr>
          <w:rFonts w:ascii="Times New Roman" w:hAnsi="Times New Roman" w:cs="Times New Roman"/>
          <w:sz w:val="24"/>
          <w:szCs w:val="24"/>
        </w:rPr>
        <w:t>s</w:t>
      </w:r>
      <w:r>
        <w:rPr>
          <w:rFonts w:ascii="Times New Roman" w:hAnsi="Times New Roman" w:cs="Times New Roman"/>
          <w:sz w:val="24"/>
          <w:szCs w:val="24"/>
        </w:rPr>
        <w:t xml:space="preserve"> </w:t>
      </w:r>
      <w:r w:rsidR="001F35BA">
        <w:rPr>
          <w:rFonts w:ascii="Times New Roman" w:hAnsi="Times New Roman" w:cs="Times New Roman"/>
          <w:sz w:val="24"/>
          <w:szCs w:val="24"/>
        </w:rPr>
        <w:t>member-</w:t>
      </w:r>
      <w:r>
        <w:rPr>
          <w:rFonts w:ascii="Times New Roman" w:hAnsi="Times New Roman" w:cs="Times New Roman"/>
          <w:sz w:val="24"/>
          <w:szCs w:val="24"/>
        </w:rPr>
        <w:t>owners are its customers.  EKPC</w:t>
      </w:r>
      <w:r w:rsidR="00130F92">
        <w:rPr>
          <w:rFonts w:ascii="Times New Roman" w:hAnsi="Times New Roman" w:cs="Times New Roman"/>
          <w:sz w:val="24"/>
          <w:szCs w:val="24"/>
        </w:rPr>
        <w:t>’</w:t>
      </w:r>
      <w:r>
        <w:rPr>
          <w:rFonts w:ascii="Times New Roman" w:hAnsi="Times New Roman" w:cs="Times New Roman"/>
          <w:sz w:val="24"/>
          <w:szCs w:val="24"/>
        </w:rPr>
        <w:t>s incentives are fundamentally different than AEP Ohio</w:t>
      </w:r>
      <w:r w:rsidR="00130F92">
        <w:rPr>
          <w:rFonts w:ascii="Times New Roman" w:hAnsi="Times New Roman" w:cs="Times New Roman"/>
          <w:sz w:val="24"/>
          <w:szCs w:val="24"/>
        </w:rPr>
        <w:t>’</w:t>
      </w:r>
      <w:r>
        <w:rPr>
          <w:rFonts w:ascii="Times New Roman" w:hAnsi="Times New Roman" w:cs="Times New Roman"/>
          <w:sz w:val="24"/>
          <w:szCs w:val="24"/>
        </w:rPr>
        <w:t xml:space="preserve">s.  AEP Ohio, in contrast to EKPC, will seek to maximize profits even if its methods for doing so distort and undermine the PJM markets – and harm consumers. </w:t>
      </w:r>
    </w:p>
    <w:p w:rsidR="00201D86" w:rsidRDefault="00201D86" w:rsidP="00201D8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AEP Ohio contends that PJM</w:t>
      </w:r>
      <w:r w:rsidR="00130F92">
        <w:rPr>
          <w:rFonts w:ascii="Times New Roman" w:hAnsi="Times New Roman" w:cs="Times New Roman"/>
          <w:sz w:val="24"/>
          <w:szCs w:val="24"/>
        </w:rPr>
        <w:t>’</w:t>
      </w:r>
      <w:r>
        <w:rPr>
          <w:rFonts w:ascii="Times New Roman" w:hAnsi="Times New Roman" w:cs="Times New Roman"/>
          <w:sz w:val="24"/>
          <w:szCs w:val="24"/>
        </w:rPr>
        <w:t>s Independent Market Monitor (</w:t>
      </w:r>
      <w:r w:rsidR="00130F92">
        <w:rPr>
          <w:rFonts w:ascii="Times New Roman" w:hAnsi="Times New Roman" w:cs="Times New Roman"/>
          <w:sz w:val="24"/>
          <w:szCs w:val="24"/>
        </w:rPr>
        <w:t>“</w:t>
      </w:r>
      <w:r>
        <w:rPr>
          <w:rFonts w:ascii="Times New Roman" w:hAnsi="Times New Roman" w:cs="Times New Roman"/>
          <w:sz w:val="24"/>
          <w:szCs w:val="24"/>
        </w:rPr>
        <w:t>IMM</w:t>
      </w:r>
      <w:r w:rsidR="00130F92">
        <w:rPr>
          <w:rFonts w:ascii="Times New Roman" w:hAnsi="Times New Roman" w:cs="Times New Roman"/>
          <w:sz w:val="24"/>
          <w:szCs w:val="24"/>
        </w:rPr>
        <w:t>”</w:t>
      </w:r>
      <w:r>
        <w:rPr>
          <w:rFonts w:ascii="Times New Roman" w:hAnsi="Times New Roman" w:cs="Times New Roman"/>
          <w:sz w:val="24"/>
          <w:szCs w:val="24"/>
        </w:rPr>
        <w:t>) confirmed AEP Ohio</w:t>
      </w:r>
      <w:r w:rsidR="00130F92">
        <w:rPr>
          <w:rFonts w:ascii="Times New Roman" w:hAnsi="Times New Roman" w:cs="Times New Roman"/>
          <w:sz w:val="24"/>
          <w:szCs w:val="24"/>
        </w:rPr>
        <w:t>’</w:t>
      </w:r>
      <w:r>
        <w:rPr>
          <w:rFonts w:ascii="Times New Roman" w:hAnsi="Times New Roman" w:cs="Times New Roman"/>
          <w:sz w:val="24"/>
          <w:szCs w:val="24"/>
        </w:rPr>
        <w:t>s position that cost-based compensation for generation has not and will not disrupt the PJM markets.  In support of this argument AEP Ohio quotes the IMM</w:t>
      </w:r>
      <w:r w:rsidR="00130F92">
        <w:rPr>
          <w:rFonts w:ascii="Times New Roman" w:hAnsi="Times New Roman" w:cs="Times New Roman"/>
          <w:sz w:val="24"/>
          <w:szCs w:val="24"/>
        </w:rPr>
        <w:t>’</w:t>
      </w:r>
      <w:r>
        <w:rPr>
          <w:rFonts w:ascii="Times New Roman" w:hAnsi="Times New Roman" w:cs="Times New Roman"/>
          <w:sz w:val="24"/>
          <w:szCs w:val="24"/>
        </w:rPr>
        <w:t xml:space="preserve">s testimony that </w:t>
      </w:r>
      <w:r w:rsidR="00130F92">
        <w:rPr>
          <w:rFonts w:ascii="Times New Roman" w:hAnsi="Times New Roman" w:cs="Times New Roman"/>
          <w:sz w:val="24"/>
          <w:szCs w:val="24"/>
        </w:rPr>
        <w:t>“‘</w:t>
      </w:r>
      <w:r>
        <w:rPr>
          <w:rFonts w:ascii="Times New Roman" w:hAnsi="Times New Roman" w:cs="Times New Roman"/>
          <w:sz w:val="24"/>
          <w:szCs w:val="24"/>
        </w:rPr>
        <w:t xml:space="preserve">every auction that has been conducted in PJM </w:t>
      </w:r>
      <w:r w:rsidR="00130F92">
        <w:rPr>
          <w:rFonts w:ascii="Times New Roman" w:hAnsi="Times New Roman" w:cs="Times New Roman"/>
          <w:sz w:val="24"/>
          <w:szCs w:val="24"/>
        </w:rPr>
        <w:t>‘</w:t>
      </w:r>
      <w:r>
        <w:rPr>
          <w:rFonts w:ascii="Times New Roman" w:hAnsi="Times New Roman" w:cs="Times New Roman"/>
          <w:sz w:val="24"/>
          <w:szCs w:val="24"/>
        </w:rPr>
        <w:t>has produced competitive results, and the behavior of the participants was competitive.</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AEP Ohio</w:t>
      </w:r>
      <w:r w:rsidR="00130F92">
        <w:rPr>
          <w:rFonts w:ascii="Times New Roman" w:hAnsi="Times New Roman" w:cs="Times New Roman"/>
          <w:sz w:val="24"/>
          <w:szCs w:val="24"/>
        </w:rPr>
        <w:t>’</w:t>
      </w:r>
      <w:r>
        <w:rPr>
          <w:rFonts w:ascii="Times New Roman" w:hAnsi="Times New Roman" w:cs="Times New Roman"/>
          <w:sz w:val="24"/>
          <w:szCs w:val="24"/>
        </w:rPr>
        <w:t>s assertion is misleading.</w:t>
      </w:r>
      <w:r w:rsidR="00702314">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It takes the</w:t>
      </w:r>
      <w:r w:rsidR="008A7E95">
        <w:rPr>
          <w:rFonts w:ascii="Times New Roman" w:hAnsi="Times New Roman" w:cs="Times New Roman"/>
          <w:sz w:val="24"/>
          <w:szCs w:val="24"/>
        </w:rPr>
        <w:t xml:space="preserve"> Market Monitor</w:t>
      </w:r>
      <w:r w:rsidR="00130F92">
        <w:rPr>
          <w:rFonts w:ascii="Times New Roman" w:hAnsi="Times New Roman" w:cs="Times New Roman"/>
          <w:sz w:val="24"/>
          <w:szCs w:val="24"/>
        </w:rPr>
        <w:t>’</w:t>
      </w:r>
      <w:r>
        <w:rPr>
          <w:rFonts w:ascii="Times New Roman" w:hAnsi="Times New Roman" w:cs="Times New Roman"/>
          <w:sz w:val="24"/>
          <w:szCs w:val="24"/>
        </w:rPr>
        <w:t xml:space="preserve">s testimony out of context.  The </w:t>
      </w:r>
      <w:r w:rsidR="008A7E95">
        <w:rPr>
          <w:rFonts w:ascii="Times New Roman" w:hAnsi="Times New Roman" w:cs="Times New Roman"/>
          <w:sz w:val="24"/>
          <w:szCs w:val="24"/>
        </w:rPr>
        <w:t>Market Monitor</w:t>
      </w:r>
      <w:r w:rsidR="00130F92">
        <w:rPr>
          <w:rFonts w:ascii="Times New Roman" w:hAnsi="Times New Roman" w:cs="Times New Roman"/>
          <w:sz w:val="24"/>
          <w:szCs w:val="24"/>
        </w:rPr>
        <w:t>’</w:t>
      </w:r>
      <w:r>
        <w:rPr>
          <w:rFonts w:ascii="Times New Roman" w:hAnsi="Times New Roman" w:cs="Times New Roman"/>
          <w:sz w:val="24"/>
          <w:szCs w:val="24"/>
        </w:rPr>
        <w:t xml:space="preserve">s full response to a question posed by PUCO Commissioner Haque is as follows: </w:t>
      </w: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r w:rsidRPr="002613CA">
        <w:rPr>
          <w:rFonts w:ascii="Times New Roman" w:hAnsi="Times New Roman" w:cs="Times New Roman"/>
          <w:sz w:val="24"/>
          <w:szCs w:val="24"/>
        </w:rPr>
        <w:t xml:space="preserve">COMMISSIONER HAQUE: </w:t>
      </w:r>
      <w:r>
        <w:rPr>
          <w:rFonts w:ascii="Times New Roman" w:hAnsi="Times New Roman" w:cs="Times New Roman"/>
          <w:sz w:val="24"/>
          <w:szCs w:val="24"/>
        </w:rPr>
        <w:t xml:space="preserve">Can everyone hear? Okay. Great. </w:t>
      </w:r>
      <w:r w:rsidRPr="002613CA">
        <w:rPr>
          <w:rFonts w:ascii="Times New Roman" w:hAnsi="Times New Roman" w:cs="Times New Roman"/>
          <w:sz w:val="24"/>
          <w:szCs w:val="24"/>
        </w:rPr>
        <w:t>Dr. Bowring, just one quick question and I</w:t>
      </w:r>
      <w:r w:rsidR="00130F92">
        <w:rPr>
          <w:rFonts w:ascii="Times New Roman" w:hAnsi="Times New Roman" w:cs="Times New Roman"/>
          <w:sz w:val="24"/>
          <w:szCs w:val="24"/>
        </w:rPr>
        <w:t>’</w:t>
      </w:r>
      <w:r w:rsidRPr="002613CA">
        <w:rPr>
          <w:rFonts w:ascii="Times New Roman" w:hAnsi="Times New Roman" w:cs="Times New Roman"/>
          <w:sz w:val="24"/>
          <w:szCs w:val="24"/>
        </w:rPr>
        <w:t>ll ask you to respond to this question generally. I am not talking about specific companies, specific units, but the units that have -- thank you, your Honor -- the units that have bid and cleared CP auctions to this point. In your opinion have those units been bid competitively based upon your thoughts, understanding, notion of competitive bidding practices?</w:t>
      </w: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r w:rsidRPr="002613CA">
        <w:rPr>
          <w:rFonts w:ascii="Times New Roman" w:hAnsi="Times New Roman" w:cs="Times New Roman"/>
          <w:sz w:val="24"/>
          <w:szCs w:val="24"/>
        </w:rPr>
        <w:t>THE WITNESS: So let me answer two ways. One is that under the existing rules, units – all units have bid competitively. But if -- if you think about a competitive offer from a subsidized unit being at less than what it would be without the subsidies, then that</w:t>
      </w:r>
      <w:r w:rsidR="00130F92">
        <w:rPr>
          <w:rFonts w:ascii="Times New Roman" w:hAnsi="Times New Roman" w:cs="Times New Roman"/>
          <w:sz w:val="24"/>
          <w:szCs w:val="24"/>
        </w:rPr>
        <w:t>’</w:t>
      </w:r>
      <w:r w:rsidRPr="002613CA">
        <w:rPr>
          <w:rFonts w:ascii="Times New Roman" w:hAnsi="Times New Roman" w:cs="Times New Roman"/>
          <w:sz w:val="24"/>
          <w:szCs w:val="24"/>
        </w:rPr>
        <w:t>s not true in every case. So some units -- the offers of some units reflect those subsidies; that is permitted under the current rules.</w:t>
      </w: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r w:rsidRPr="002613CA">
        <w:rPr>
          <w:rFonts w:ascii="Times New Roman" w:hAnsi="Times New Roman" w:cs="Times New Roman"/>
          <w:sz w:val="24"/>
          <w:szCs w:val="24"/>
        </w:rPr>
        <w:t>COMMISSIONER HAQUE: So if I clarify that question by saying those units that do not presently receive the subsidies that have been articulated by you and Mr. McKenzie for examination, does that -- can you respond to that?</w:t>
      </w: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r w:rsidRPr="002613CA">
        <w:rPr>
          <w:rFonts w:ascii="Times New Roman" w:hAnsi="Times New Roman" w:cs="Times New Roman"/>
          <w:sz w:val="24"/>
          <w:szCs w:val="24"/>
        </w:rPr>
        <w:t>THE WITNESS: Yes, of course. Yes. And so we do a detailed review in realtime and ahead of time, as well as after the fact, of every auction and, yes, it</w:t>
      </w:r>
      <w:r w:rsidR="00130F92">
        <w:rPr>
          <w:rFonts w:ascii="Times New Roman" w:hAnsi="Times New Roman" w:cs="Times New Roman"/>
          <w:sz w:val="24"/>
          <w:szCs w:val="24"/>
        </w:rPr>
        <w:t>’</w:t>
      </w:r>
      <w:r w:rsidRPr="002613CA">
        <w:rPr>
          <w:rFonts w:ascii="Times New Roman" w:hAnsi="Times New Roman" w:cs="Times New Roman"/>
          <w:sz w:val="24"/>
          <w:szCs w:val="24"/>
        </w:rPr>
        <w:t xml:space="preserve">s been our conclusion that every capacity auction, including the most recent capacity performance action for </w:t>
      </w:r>
      <w:r w:rsidR="00130F92">
        <w:rPr>
          <w:rFonts w:ascii="Times New Roman" w:hAnsi="Times New Roman" w:cs="Times New Roman"/>
          <w:sz w:val="24"/>
          <w:szCs w:val="24"/>
        </w:rPr>
        <w:t>‘</w:t>
      </w:r>
      <w:r w:rsidRPr="002613CA">
        <w:rPr>
          <w:rFonts w:ascii="Times New Roman" w:hAnsi="Times New Roman" w:cs="Times New Roman"/>
          <w:sz w:val="24"/>
          <w:szCs w:val="24"/>
        </w:rPr>
        <w:t>18-</w:t>
      </w:r>
      <w:r w:rsidR="00130F92">
        <w:rPr>
          <w:rFonts w:ascii="Times New Roman" w:hAnsi="Times New Roman" w:cs="Times New Roman"/>
          <w:sz w:val="24"/>
          <w:szCs w:val="24"/>
        </w:rPr>
        <w:t>’</w:t>
      </w:r>
      <w:r w:rsidRPr="002613CA">
        <w:rPr>
          <w:rFonts w:ascii="Times New Roman" w:hAnsi="Times New Roman" w:cs="Times New Roman"/>
          <w:sz w:val="24"/>
          <w:szCs w:val="24"/>
        </w:rPr>
        <w:t>19 delivery year was --produced competitive results, and the behavior of participants was competitive.</w:t>
      </w:r>
    </w:p>
    <w:p w:rsidR="00201D86" w:rsidRPr="002613CA"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p>
    <w:p w:rsidR="00201D86" w:rsidRDefault="00201D86" w:rsidP="00BF2D87">
      <w:pPr>
        <w:autoSpaceDE w:val="0"/>
        <w:autoSpaceDN w:val="0"/>
        <w:adjustRightInd w:val="0"/>
        <w:spacing w:after="0" w:line="240" w:lineRule="auto"/>
        <w:ind w:left="1440" w:right="720"/>
        <w:contextualSpacing/>
        <w:rPr>
          <w:rFonts w:ascii="Times New Roman" w:hAnsi="Times New Roman" w:cs="Times New Roman"/>
          <w:sz w:val="24"/>
          <w:szCs w:val="24"/>
        </w:rPr>
      </w:pPr>
      <w:r w:rsidRPr="002613CA">
        <w:rPr>
          <w:rFonts w:ascii="Times New Roman" w:hAnsi="Times New Roman" w:cs="Times New Roman"/>
          <w:sz w:val="24"/>
          <w:szCs w:val="24"/>
        </w:rPr>
        <w:t>COMMISSIONER HAQUE: Thank you, Dr. Bowring.</w:t>
      </w:r>
      <w:r>
        <w:rPr>
          <w:rStyle w:val="FootnoteReference"/>
          <w:rFonts w:ascii="Times New Roman" w:hAnsi="Times New Roman" w:cs="Times New Roman"/>
          <w:sz w:val="24"/>
          <w:szCs w:val="24"/>
        </w:rPr>
        <w:footnoteReference w:id="22"/>
      </w:r>
    </w:p>
    <w:p w:rsidR="00201D86" w:rsidRDefault="00201D86" w:rsidP="00201D86">
      <w:pPr>
        <w:autoSpaceDE w:val="0"/>
        <w:autoSpaceDN w:val="0"/>
        <w:adjustRightInd w:val="0"/>
        <w:spacing w:after="0" w:line="240" w:lineRule="auto"/>
        <w:ind w:right="720"/>
        <w:contextualSpacing/>
        <w:jc w:val="both"/>
        <w:rPr>
          <w:rFonts w:ascii="Times New Roman" w:hAnsi="Times New Roman" w:cs="Times New Roman"/>
          <w:sz w:val="24"/>
          <w:szCs w:val="24"/>
        </w:rPr>
      </w:pPr>
    </w:p>
    <w:p w:rsidR="00B81EAD" w:rsidRPr="00B81EAD" w:rsidRDefault="00201D86" w:rsidP="00201D86">
      <w:pPr>
        <w:autoSpaceDE w:val="0"/>
        <w:autoSpaceDN w:val="0"/>
        <w:adjustRightInd w:val="0"/>
        <w:spacing w:after="0"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t>The</w:t>
      </w:r>
      <w:r w:rsidR="008A7E95">
        <w:rPr>
          <w:rFonts w:ascii="Times New Roman" w:hAnsi="Times New Roman" w:cs="Times New Roman"/>
          <w:sz w:val="24"/>
          <w:szCs w:val="24"/>
        </w:rPr>
        <w:t>re, the</w:t>
      </w:r>
      <w:r>
        <w:rPr>
          <w:rFonts w:ascii="Times New Roman" w:hAnsi="Times New Roman" w:cs="Times New Roman"/>
          <w:sz w:val="24"/>
          <w:szCs w:val="24"/>
        </w:rPr>
        <w:t xml:space="preserve"> </w:t>
      </w:r>
      <w:r w:rsidR="008A7E95">
        <w:rPr>
          <w:rFonts w:ascii="Times New Roman" w:hAnsi="Times New Roman" w:cs="Times New Roman"/>
          <w:sz w:val="24"/>
          <w:szCs w:val="24"/>
        </w:rPr>
        <w:t xml:space="preserve">Market Monitor </w:t>
      </w:r>
      <w:r>
        <w:rPr>
          <w:rFonts w:ascii="Times New Roman" w:hAnsi="Times New Roman" w:cs="Times New Roman"/>
          <w:sz w:val="24"/>
          <w:szCs w:val="24"/>
        </w:rPr>
        <w:t>makes a clear distinction between a generat</w:t>
      </w:r>
      <w:r w:rsidR="008A7E95">
        <w:rPr>
          <w:rFonts w:ascii="Times New Roman" w:hAnsi="Times New Roman" w:cs="Times New Roman"/>
          <w:sz w:val="24"/>
          <w:szCs w:val="24"/>
        </w:rPr>
        <w:t>ing</w:t>
      </w:r>
      <w:r>
        <w:rPr>
          <w:rFonts w:ascii="Times New Roman" w:hAnsi="Times New Roman" w:cs="Times New Roman"/>
          <w:sz w:val="24"/>
          <w:szCs w:val="24"/>
        </w:rPr>
        <w:t xml:space="preserve"> unit that is receiving a subsidy, like the PPA </w:t>
      </w:r>
      <w:r w:rsidR="001274AD">
        <w:rPr>
          <w:rFonts w:ascii="Times New Roman" w:hAnsi="Times New Roman" w:cs="Times New Roman"/>
          <w:sz w:val="24"/>
          <w:szCs w:val="24"/>
        </w:rPr>
        <w:t>Units</w:t>
      </w:r>
      <w:r>
        <w:rPr>
          <w:rFonts w:ascii="Times New Roman" w:hAnsi="Times New Roman" w:cs="Times New Roman"/>
          <w:sz w:val="24"/>
          <w:szCs w:val="24"/>
        </w:rPr>
        <w:t>, and a generating unit that is not receiving a subsidy.  He states that an offer into the PJM markets from a subsidized generator is not necessarily competitive.  AEP Ohio</w:t>
      </w:r>
      <w:r w:rsidR="008A7E95">
        <w:rPr>
          <w:rFonts w:ascii="Times New Roman" w:hAnsi="Times New Roman" w:cs="Times New Roman"/>
          <w:sz w:val="24"/>
          <w:szCs w:val="24"/>
        </w:rPr>
        <w:t>’s suggestion</w:t>
      </w:r>
      <w:r w:rsidR="001274AD">
        <w:rPr>
          <w:rFonts w:ascii="Times New Roman" w:hAnsi="Times New Roman" w:cs="Times New Roman"/>
          <w:sz w:val="24"/>
          <w:szCs w:val="24"/>
        </w:rPr>
        <w:t xml:space="preserve"> </w:t>
      </w:r>
      <w:r w:rsidR="008A7E95">
        <w:rPr>
          <w:rFonts w:ascii="Times New Roman" w:hAnsi="Times New Roman" w:cs="Times New Roman"/>
          <w:sz w:val="24"/>
          <w:szCs w:val="24"/>
        </w:rPr>
        <w:t>--</w:t>
      </w:r>
      <w:r w:rsidR="001274AD">
        <w:rPr>
          <w:rFonts w:ascii="Times New Roman" w:hAnsi="Times New Roman" w:cs="Times New Roman"/>
          <w:sz w:val="24"/>
          <w:szCs w:val="24"/>
        </w:rPr>
        <w:t xml:space="preserve"> </w:t>
      </w:r>
      <w:r>
        <w:rPr>
          <w:rFonts w:ascii="Times New Roman" w:hAnsi="Times New Roman" w:cs="Times New Roman"/>
          <w:sz w:val="24"/>
          <w:szCs w:val="24"/>
        </w:rPr>
        <w:t xml:space="preserve">that the </w:t>
      </w:r>
      <w:r w:rsidR="008A7E95">
        <w:rPr>
          <w:rFonts w:ascii="Times New Roman" w:hAnsi="Times New Roman" w:cs="Times New Roman"/>
          <w:sz w:val="24"/>
          <w:szCs w:val="24"/>
        </w:rPr>
        <w:t>Market Monitor</w:t>
      </w:r>
      <w:r>
        <w:rPr>
          <w:rFonts w:ascii="Times New Roman" w:hAnsi="Times New Roman" w:cs="Times New Roman"/>
          <w:sz w:val="24"/>
          <w:szCs w:val="24"/>
        </w:rPr>
        <w:t xml:space="preserve"> was making a sweeping statement </w:t>
      </w:r>
      <w:r w:rsidR="008A7E95">
        <w:rPr>
          <w:rFonts w:ascii="Times New Roman" w:hAnsi="Times New Roman" w:cs="Times New Roman"/>
          <w:sz w:val="24"/>
          <w:szCs w:val="24"/>
        </w:rPr>
        <w:t xml:space="preserve">that </w:t>
      </w:r>
      <w:r>
        <w:rPr>
          <w:rFonts w:ascii="Times New Roman" w:hAnsi="Times New Roman" w:cs="Times New Roman"/>
          <w:sz w:val="24"/>
          <w:szCs w:val="24"/>
        </w:rPr>
        <w:t>all generation units</w:t>
      </w:r>
      <w:r w:rsidR="008A7E95">
        <w:rPr>
          <w:rFonts w:ascii="Times New Roman" w:hAnsi="Times New Roman" w:cs="Times New Roman"/>
          <w:sz w:val="24"/>
          <w:szCs w:val="24"/>
        </w:rPr>
        <w:t xml:space="preserve"> (</w:t>
      </w:r>
      <w:r>
        <w:rPr>
          <w:rFonts w:ascii="Times New Roman" w:hAnsi="Times New Roman" w:cs="Times New Roman"/>
          <w:sz w:val="24"/>
          <w:szCs w:val="24"/>
        </w:rPr>
        <w:t>including units that receive subsidies</w:t>
      </w:r>
      <w:r w:rsidR="008A7E95">
        <w:rPr>
          <w:rFonts w:ascii="Times New Roman" w:hAnsi="Times New Roman" w:cs="Times New Roman"/>
          <w:sz w:val="24"/>
          <w:szCs w:val="24"/>
        </w:rPr>
        <w:t>)</w:t>
      </w:r>
      <w:r>
        <w:rPr>
          <w:rFonts w:ascii="Times New Roman" w:hAnsi="Times New Roman" w:cs="Times New Roman"/>
          <w:sz w:val="24"/>
          <w:szCs w:val="24"/>
        </w:rPr>
        <w:t xml:space="preserve"> </w:t>
      </w:r>
      <w:r w:rsidR="008A7E95">
        <w:rPr>
          <w:rFonts w:ascii="Times New Roman" w:hAnsi="Times New Roman" w:cs="Times New Roman"/>
          <w:sz w:val="24"/>
          <w:szCs w:val="24"/>
        </w:rPr>
        <w:t>can bid without distorting markets</w:t>
      </w:r>
      <w:r w:rsidR="001274AD">
        <w:rPr>
          <w:rFonts w:ascii="Times New Roman" w:hAnsi="Times New Roman" w:cs="Times New Roman"/>
          <w:sz w:val="24"/>
          <w:szCs w:val="24"/>
        </w:rPr>
        <w:t xml:space="preserve"> </w:t>
      </w:r>
      <w:r w:rsidR="008A7E95">
        <w:rPr>
          <w:rFonts w:ascii="Times New Roman" w:hAnsi="Times New Roman" w:cs="Times New Roman"/>
          <w:sz w:val="24"/>
          <w:szCs w:val="24"/>
        </w:rPr>
        <w:t>—</w:t>
      </w:r>
      <w:r w:rsidR="001274AD">
        <w:rPr>
          <w:rFonts w:ascii="Times New Roman" w:hAnsi="Times New Roman" w:cs="Times New Roman"/>
          <w:sz w:val="24"/>
          <w:szCs w:val="24"/>
        </w:rPr>
        <w:t xml:space="preserve"> </w:t>
      </w:r>
      <w:r w:rsidR="008A7E95">
        <w:rPr>
          <w:rFonts w:ascii="Times New Roman" w:hAnsi="Times New Roman" w:cs="Times New Roman"/>
          <w:sz w:val="24"/>
          <w:szCs w:val="24"/>
        </w:rPr>
        <w:t xml:space="preserve">is </w:t>
      </w:r>
      <w:r>
        <w:rPr>
          <w:rFonts w:ascii="Times New Roman" w:hAnsi="Times New Roman" w:cs="Times New Roman"/>
          <w:sz w:val="24"/>
          <w:szCs w:val="24"/>
        </w:rPr>
        <w:t>misleading</w:t>
      </w:r>
      <w:r w:rsidR="008A7E95">
        <w:rPr>
          <w:rFonts w:ascii="Times New Roman" w:hAnsi="Times New Roman" w:cs="Times New Roman"/>
          <w:sz w:val="24"/>
          <w:szCs w:val="24"/>
        </w:rPr>
        <w:t xml:space="preserve"> and inaccurate</w:t>
      </w:r>
      <w:r>
        <w:rPr>
          <w:rFonts w:ascii="Times New Roman" w:hAnsi="Times New Roman" w:cs="Times New Roman"/>
          <w:sz w:val="24"/>
          <w:szCs w:val="24"/>
        </w:rPr>
        <w:t>.</w:t>
      </w:r>
      <w:r w:rsidR="00702314">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593C19" w:rsidRPr="00E66D9C" w:rsidRDefault="00E66D9C" w:rsidP="00E66D9C">
      <w:pPr>
        <w:pStyle w:val="Heading2"/>
      </w:pPr>
      <w:bookmarkStart w:id="9" w:name="_Toc442712216"/>
      <w:bookmarkStart w:id="10" w:name="_Toc442713357"/>
      <w:r>
        <w:t>C.</w:t>
      </w:r>
      <w:r>
        <w:tab/>
      </w:r>
      <w:r w:rsidR="00E64E2D">
        <w:t xml:space="preserve">AEP Ohio’s </w:t>
      </w:r>
      <w:r w:rsidR="00824B85">
        <w:t>Amended A</w:t>
      </w:r>
      <w:r w:rsidR="00E64E2D">
        <w:t xml:space="preserve">pplication and </w:t>
      </w:r>
      <w:r w:rsidR="00A873E9">
        <w:t xml:space="preserve">Settlement </w:t>
      </w:r>
      <w:r w:rsidR="00E64E2D">
        <w:t>should be evaluated</w:t>
      </w:r>
      <w:r w:rsidR="003A3EEB">
        <w:t xml:space="preserve"> and denied</w:t>
      </w:r>
      <w:r w:rsidR="00E64E2D">
        <w:t xml:space="preserve"> by the PUCO without using </w:t>
      </w:r>
      <w:r w:rsidR="00555ACD">
        <w:t>the three-prong test</w:t>
      </w:r>
      <w:r w:rsidR="00E64E2D">
        <w:t xml:space="preserve"> for settlements, but the </w:t>
      </w:r>
      <w:r w:rsidR="00824B85">
        <w:t xml:space="preserve">Amended </w:t>
      </w:r>
      <w:r w:rsidR="00E64E2D">
        <w:t xml:space="preserve">Application and </w:t>
      </w:r>
      <w:r w:rsidR="00A873E9">
        <w:t xml:space="preserve">Settlement </w:t>
      </w:r>
      <w:r w:rsidR="00E64E2D">
        <w:t>should be denied to protect consumers even if the settlement test is used</w:t>
      </w:r>
      <w:r w:rsidR="006F3F3B" w:rsidRPr="00E66D9C">
        <w:t>.</w:t>
      </w:r>
      <w:bookmarkEnd w:id="9"/>
      <w:bookmarkEnd w:id="10"/>
    </w:p>
    <w:p w:rsidR="00201D86" w:rsidRPr="00E66D9C" w:rsidRDefault="00E66D9C" w:rsidP="00E66D9C">
      <w:pPr>
        <w:pStyle w:val="Heading3"/>
      </w:pPr>
      <w:bookmarkStart w:id="11" w:name="_Toc442712217"/>
      <w:bookmarkStart w:id="12" w:name="_Toc442713358"/>
      <w:r>
        <w:t>1.</w:t>
      </w:r>
      <w:r>
        <w:tab/>
      </w:r>
      <w:r w:rsidR="008A7E95">
        <w:t>In the interest of justice for a million consumers, t</w:t>
      </w:r>
      <w:r w:rsidR="00201D86" w:rsidRPr="00E66D9C">
        <w:t xml:space="preserve">he PUCO should </w:t>
      </w:r>
      <w:r w:rsidR="008A7E95">
        <w:t xml:space="preserve">evaluate the proposals of parties without using </w:t>
      </w:r>
      <w:r w:rsidR="00201D86" w:rsidRPr="00E66D9C">
        <w:t>the three-prong test</w:t>
      </w:r>
      <w:r w:rsidR="008A7E95">
        <w:t xml:space="preserve"> for settlements</w:t>
      </w:r>
      <w:r w:rsidR="00201D86" w:rsidRPr="00E66D9C">
        <w:t>.</w:t>
      </w:r>
      <w:bookmarkEnd w:id="11"/>
      <w:bookmarkEnd w:id="12"/>
    </w:p>
    <w:p w:rsidR="00201D86" w:rsidRDefault="00201D86" w:rsidP="00201D86">
      <w:pPr>
        <w:ind w:left="720"/>
        <w:rPr>
          <w:rFonts w:ascii="Times New Roman" w:hAnsi="Times New Roman" w:cs="Times New Roman"/>
          <w:sz w:val="24"/>
          <w:szCs w:val="24"/>
        </w:rPr>
      </w:pPr>
      <w:r>
        <w:rPr>
          <w:rFonts w:ascii="Times New Roman" w:hAnsi="Times New Roman" w:cs="Times New Roman"/>
          <w:sz w:val="24"/>
          <w:szCs w:val="24"/>
        </w:rPr>
        <w:t>The test historically applied to settlements has three prongs:</w:t>
      </w:r>
    </w:p>
    <w:p w:rsidR="00B96D5C" w:rsidRPr="00F05B9B" w:rsidRDefault="00B96D5C" w:rsidP="00B96D5C">
      <w:pPr>
        <w:autoSpaceDE w:val="0"/>
        <w:autoSpaceDN w:val="0"/>
        <w:adjustRightInd w:val="0"/>
        <w:spacing w:after="0" w:line="240" w:lineRule="auto"/>
        <w:ind w:left="2160" w:right="720" w:hanging="720"/>
        <w:rPr>
          <w:rFonts w:ascii="Times New Roman" w:hAnsi="Times New Roman" w:cs="Times New Roman"/>
          <w:sz w:val="24"/>
          <w:szCs w:val="24"/>
        </w:rPr>
      </w:pPr>
      <w:r w:rsidRPr="00F05B9B">
        <w:rPr>
          <w:rFonts w:ascii="Times New Roman" w:hAnsi="Times New Roman" w:cs="Times New Roman"/>
          <w:sz w:val="24"/>
          <w:szCs w:val="24"/>
        </w:rPr>
        <w:t>1.</w:t>
      </w:r>
      <w:r w:rsidRPr="00F05B9B">
        <w:rPr>
          <w:rFonts w:ascii="Times New Roman" w:hAnsi="Times New Roman" w:cs="Times New Roman"/>
          <w:sz w:val="24"/>
          <w:szCs w:val="24"/>
        </w:rPr>
        <w:tab/>
        <w:t>Is the settlement a product of serious bargaining among capable, knowledgeable parties</w:t>
      </w:r>
      <w:r>
        <w:rPr>
          <w:rFonts w:ascii="Times New Roman" w:hAnsi="Times New Roman" w:cs="Times New Roman"/>
          <w:sz w:val="24"/>
          <w:szCs w:val="24"/>
        </w:rPr>
        <w:t>, where there is diversity of interests among the stipulating parties</w:t>
      </w:r>
      <w:r w:rsidRPr="00F05B9B">
        <w:rPr>
          <w:rFonts w:ascii="Times New Roman" w:hAnsi="Times New Roman" w:cs="Times New Roman"/>
          <w:sz w:val="24"/>
          <w:szCs w:val="24"/>
        </w:rPr>
        <w:t>?</w:t>
      </w:r>
    </w:p>
    <w:p w:rsidR="00B96D5C" w:rsidRPr="00F05B9B" w:rsidRDefault="00B96D5C" w:rsidP="00B96D5C">
      <w:pPr>
        <w:autoSpaceDE w:val="0"/>
        <w:autoSpaceDN w:val="0"/>
        <w:adjustRightInd w:val="0"/>
        <w:spacing w:after="0" w:line="240" w:lineRule="auto"/>
        <w:ind w:left="2160" w:right="1440" w:hanging="720"/>
        <w:rPr>
          <w:rFonts w:ascii="Times New Roman" w:hAnsi="Times New Roman" w:cs="Times New Roman"/>
          <w:sz w:val="24"/>
          <w:szCs w:val="24"/>
        </w:rPr>
      </w:pPr>
    </w:p>
    <w:p w:rsidR="00B96D5C" w:rsidRDefault="00B96D5C" w:rsidP="00B96D5C">
      <w:pPr>
        <w:tabs>
          <w:tab w:val="left" w:pos="7920"/>
        </w:tabs>
        <w:autoSpaceDE w:val="0"/>
        <w:autoSpaceDN w:val="0"/>
        <w:adjustRightInd w:val="0"/>
        <w:spacing w:after="0" w:line="240" w:lineRule="auto"/>
        <w:ind w:left="2160" w:right="720" w:hanging="720"/>
        <w:rPr>
          <w:rFonts w:ascii="Times New Roman" w:hAnsi="Times New Roman" w:cs="Times New Roman"/>
          <w:sz w:val="24"/>
          <w:szCs w:val="24"/>
        </w:rPr>
      </w:pPr>
      <w:r w:rsidRPr="00F05B9B">
        <w:rPr>
          <w:rFonts w:ascii="Times New Roman" w:hAnsi="Times New Roman" w:cs="Times New Roman"/>
          <w:sz w:val="24"/>
          <w:szCs w:val="24"/>
        </w:rPr>
        <w:t xml:space="preserve">2. </w:t>
      </w:r>
      <w:r w:rsidRPr="00F05B9B">
        <w:rPr>
          <w:rFonts w:ascii="Times New Roman" w:hAnsi="Times New Roman" w:cs="Times New Roman"/>
          <w:sz w:val="24"/>
          <w:szCs w:val="24"/>
        </w:rPr>
        <w:tab/>
        <w:t>Does the settlement package violate any important regulatory principle or practice?</w:t>
      </w:r>
    </w:p>
    <w:p w:rsidR="00B96D5C" w:rsidRDefault="00B96D5C" w:rsidP="00B96D5C">
      <w:pPr>
        <w:tabs>
          <w:tab w:val="left" w:pos="7920"/>
        </w:tabs>
        <w:autoSpaceDE w:val="0"/>
        <w:autoSpaceDN w:val="0"/>
        <w:adjustRightInd w:val="0"/>
        <w:spacing w:after="0" w:line="240" w:lineRule="auto"/>
        <w:ind w:left="2160" w:right="720" w:hanging="720"/>
        <w:rPr>
          <w:rFonts w:ascii="Times New Roman" w:hAnsi="Times New Roman" w:cs="Times New Roman"/>
          <w:sz w:val="24"/>
          <w:szCs w:val="24"/>
        </w:rPr>
      </w:pPr>
      <w:r>
        <w:rPr>
          <w:rFonts w:ascii="Times New Roman" w:hAnsi="Times New Roman" w:cs="Times New Roman"/>
          <w:sz w:val="24"/>
          <w:szCs w:val="24"/>
        </w:rPr>
        <w:tab/>
      </w:r>
    </w:p>
    <w:p w:rsidR="00B96D5C" w:rsidRPr="00E66D9C" w:rsidRDefault="00B96D5C" w:rsidP="00E66D9C">
      <w:pPr>
        <w:pStyle w:val="ListParagraph"/>
        <w:numPr>
          <w:ilvl w:val="0"/>
          <w:numId w:val="2"/>
        </w:numPr>
        <w:spacing w:after="0" w:line="240" w:lineRule="auto"/>
        <w:ind w:left="2160" w:hanging="720"/>
        <w:rPr>
          <w:rFonts w:ascii="Times New Roman" w:hAnsi="Times New Roman" w:cs="Times New Roman"/>
          <w:sz w:val="24"/>
          <w:szCs w:val="24"/>
        </w:rPr>
      </w:pPr>
      <w:r w:rsidRPr="00E66D9C">
        <w:rPr>
          <w:rFonts w:ascii="Times New Roman" w:hAnsi="Times New Roman" w:cs="Times New Roman"/>
          <w:sz w:val="24"/>
          <w:szCs w:val="24"/>
        </w:rPr>
        <w:t>Does the settlement, as a package, benefit ratepayers and the public interest?</w:t>
      </w:r>
      <w:r w:rsidRPr="00F05B9B">
        <w:rPr>
          <w:rStyle w:val="FootnoteReference"/>
          <w:rFonts w:ascii="Times New Roman" w:hAnsi="Times New Roman" w:cs="Times New Roman"/>
        </w:rPr>
        <w:footnoteReference w:id="24"/>
      </w:r>
    </w:p>
    <w:p w:rsidR="00B96D5C" w:rsidRPr="00B96D5C" w:rsidRDefault="00B96D5C" w:rsidP="00B96D5C">
      <w:pPr>
        <w:spacing w:after="0" w:line="240" w:lineRule="auto"/>
        <w:ind w:left="1440"/>
        <w:rPr>
          <w:rFonts w:ascii="Times New Roman" w:hAnsi="Times New Roman" w:cs="Times New Roman"/>
          <w:sz w:val="24"/>
          <w:szCs w:val="24"/>
        </w:rPr>
      </w:pPr>
    </w:p>
    <w:p w:rsidR="002C130C" w:rsidRDefault="00B96D5C" w:rsidP="00A873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 asserts that</w:t>
      </w:r>
      <w:r w:rsidR="00A873E9">
        <w:rPr>
          <w:rFonts w:ascii="Times New Roman" w:hAnsi="Times New Roman" w:cs="Times New Roman"/>
          <w:sz w:val="24"/>
          <w:szCs w:val="24"/>
        </w:rPr>
        <w:t xml:space="preserve"> </w:t>
      </w:r>
      <w:r w:rsidR="00C51321">
        <w:rPr>
          <w:rFonts w:ascii="Times New Roman" w:hAnsi="Times New Roman" w:cs="Times New Roman"/>
          <w:sz w:val="24"/>
          <w:szCs w:val="24"/>
        </w:rPr>
        <w:t>the three-prong test</w:t>
      </w:r>
      <w:r>
        <w:rPr>
          <w:rFonts w:ascii="Times New Roman" w:hAnsi="Times New Roman" w:cs="Times New Roman"/>
          <w:sz w:val="24"/>
          <w:szCs w:val="24"/>
        </w:rPr>
        <w:t xml:space="preserve"> should be applied here.</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It should not be applied here.</w:t>
      </w:r>
      <w:r w:rsidR="0009429A">
        <w:rPr>
          <w:rFonts w:ascii="Times New Roman" w:hAnsi="Times New Roman" w:cs="Times New Roman"/>
          <w:sz w:val="24"/>
          <w:szCs w:val="24"/>
        </w:rPr>
        <w:t xml:space="preserve">  Instead, as ELPC Witness Rebago explained, “the Stipulation cannot be found to be in the public interest absent a careful review of each of its terms – individually, in addition to as an interactive whole.”</w:t>
      </w:r>
      <w:r w:rsidR="0009429A">
        <w:rPr>
          <w:rStyle w:val="FootnoteReference"/>
          <w:rFonts w:ascii="Times New Roman" w:hAnsi="Times New Roman" w:cs="Times New Roman"/>
          <w:sz w:val="24"/>
          <w:szCs w:val="24"/>
        </w:rPr>
        <w:footnoteReference w:id="26"/>
      </w:r>
      <w:r w:rsidR="0009429A">
        <w:rPr>
          <w:rFonts w:ascii="Times New Roman" w:hAnsi="Times New Roman" w:cs="Times New Roman"/>
          <w:sz w:val="24"/>
          <w:szCs w:val="24"/>
        </w:rPr>
        <w:t xml:space="preserve">  Upon that careful review, ELPC Witness Rebago concluded that “the record lacks testimony that fleshes out the elements of the settlement in a way that allows the Commission to reach a decision about whether this package is in the public interest based on the merits.”</w:t>
      </w:r>
      <w:r w:rsidR="0009429A">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920AB8" w:rsidRDefault="00ED3489" w:rsidP="00A873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 than Staff,</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five signatory parties filed initial briefs.  </w:t>
      </w:r>
      <w:r w:rsidR="00F511EB">
        <w:rPr>
          <w:rFonts w:ascii="Times New Roman" w:hAnsi="Times New Roman" w:cs="Times New Roman"/>
          <w:sz w:val="24"/>
          <w:szCs w:val="24"/>
        </w:rPr>
        <w:t>Neither Interstate Gas Supply, Inc. (</w:t>
      </w:r>
      <w:r w:rsidR="00130F92">
        <w:rPr>
          <w:rFonts w:ascii="Times New Roman" w:hAnsi="Times New Roman" w:cs="Times New Roman"/>
          <w:sz w:val="24"/>
          <w:szCs w:val="24"/>
        </w:rPr>
        <w:t>“</w:t>
      </w:r>
      <w:r w:rsidR="00F511EB">
        <w:rPr>
          <w:rFonts w:ascii="Times New Roman" w:hAnsi="Times New Roman" w:cs="Times New Roman"/>
          <w:sz w:val="24"/>
          <w:szCs w:val="24"/>
        </w:rPr>
        <w:t>IGS</w:t>
      </w:r>
      <w:r w:rsidR="00130F92">
        <w:rPr>
          <w:rFonts w:ascii="Times New Roman" w:hAnsi="Times New Roman" w:cs="Times New Roman"/>
          <w:sz w:val="24"/>
          <w:szCs w:val="24"/>
        </w:rPr>
        <w:t>”</w:t>
      </w:r>
      <w:r w:rsidR="00F511EB">
        <w:rPr>
          <w:rFonts w:ascii="Times New Roman" w:hAnsi="Times New Roman" w:cs="Times New Roman"/>
          <w:sz w:val="24"/>
          <w:szCs w:val="24"/>
        </w:rPr>
        <w:t>) nor Direct Energy Services, LLC (</w:t>
      </w:r>
      <w:r w:rsidR="00130F92">
        <w:rPr>
          <w:rFonts w:ascii="Times New Roman" w:hAnsi="Times New Roman" w:cs="Times New Roman"/>
          <w:sz w:val="24"/>
          <w:szCs w:val="24"/>
        </w:rPr>
        <w:t>“</w:t>
      </w:r>
      <w:r w:rsidR="00F511EB">
        <w:rPr>
          <w:rFonts w:ascii="Times New Roman" w:hAnsi="Times New Roman" w:cs="Times New Roman"/>
          <w:sz w:val="24"/>
          <w:szCs w:val="24"/>
        </w:rPr>
        <w:t>Direct Energy</w:t>
      </w:r>
      <w:r w:rsidR="00130F92">
        <w:rPr>
          <w:rFonts w:ascii="Times New Roman" w:hAnsi="Times New Roman" w:cs="Times New Roman"/>
          <w:sz w:val="24"/>
          <w:szCs w:val="24"/>
        </w:rPr>
        <w:t>”</w:t>
      </w:r>
      <w:r w:rsidR="00F511EB">
        <w:rPr>
          <w:rFonts w:ascii="Times New Roman" w:hAnsi="Times New Roman" w:cs="Times New Roman"/>
          <w:sz w:val="24"/>
          <w:szCs w:val="24"/>
        </w:rPr>
        <w:t>) even attempt to defend the Joint Stipulation or analyze the record fully.</w:t>
      </w:r>
      <w:r w:rsidR="00F511EB">
        <w:rPr>
          <w:rStyle w:val="FootnoteReference"/>
          <w:rFonts w:ascii="Times New Roman" w:hAnsi="Times New Roman" w:cs="Times New Roman"/>
          <w:sz w:val="24"/>
          <w:szCs w:val="24"/>
        </w:rPr>
        <w:footnoteReference w:id="29"/>
      </w:r>
      <w:r w:rsidR="00F511EB">
        <w:rPr>
          <w:rFonts w:ascii="Times New Roman" w:hAnsi="Times New Roman" w:cs="Times New Roman"/>
          <w:sz w:val="24"/>
          <w:szCs w:val="24"/>
        </w:rPr>
        <w:t xml:space="preserve">  Instead, they </w:t>
      </w:r>
      <w:r w:rsidR="00D011EA">
        <w:rPr>
          <w:rFonts w:ascii="Times New Roman" w:hAnsi="Times New Roman" w:cs="Times New Roman"/>
          <w:sz w:val="24"/>
          <w:szCs w:val="24"/>
        </w:rPr>
        <w:t>discuss</w:t>
      </w:r>
      <w:r w:rsidR="00F511EB">
        <w:rPr>
          <w:rFonts w:ascii="Times New Roman" w:hAnsi="Times New Roman" w:cs="Times New Roman"/>
          <w:sz w:val="24"/>
          <w:szCs w:val="24"/>
        </w:rPr>
        <w:t xml:space="preserve"> provisions of the Joint Stipulation benefiting them – a customer referral program, the </w:t>
      </w:r>
      <w:r w:rsidR="0096429B">
        <w:rPr>
          <w:rFonts w:ascii="Times New Roman" w:hAnsi="Times New Roman" w:cs="Times New Roman"/>
          <w:sz w:val="24"/>
          <w:szCs w:val="24"/>
        </w:rPr>
        <w:t>inaptly and cynically named “</w:t>
      </w:r>
      <w:r w:rsidR="00F511EB">
        <w:rPr>
          <w:rFonts w:ascii="Times New Roman" w:hAnsi="Times New Roman" w:cs="Times New Roman"/>
          <w:sz w:val="24"/>
          <w:szCs w:val="24"/>
        </w:rPr>
        <w:t>Competition Incentive</w:t>
      </w:r>
      <w:r w:rsidR="0096429B">
        <w:rPr>
          <w:rFonts w:ascii="Times New Roman" w:hAnsi="Times New Roman" w:cs="Times New Roman"/>
          <w:sz w:val="24"/>
          <w:szCs w:val="24"/>
        </w:rPr>
        <w:t>”</w:t>
      </w:r>
      <w:r w:rsidR="00F511EB">
        <w:rPr>
          <w:rFonts w:ascii="Times New Roman" w:hAnsi="Times New Roman" w:cs="Times New Roman"/>
          <w:sz w:val="24"/>
          <w:szCs w:val="24"/>
        </w:rPr>
        <w:t xml:space="preserve"> Rider</w:t>
      </w:r>
      <w:r w:rsidR="0096429B">
        <w:rPr>
          <w:rFonts w:ascii="Times New Roman" w:hAnsi="Times New Roman" w:cs="Times New Roman"/>
          <w:sz w:val="24"/>
          <w:szCs w:val="24"/>
        </w:rPr>
        <w:t xml:space="preserve"> (which is neither about competition or an incentive, but is anti-consumer)</w:t>
      </w:r>
      <w:r w:rsidR="00F511EB">
        <w:rPr>
          <w:rFonts w:ascii="Times New Roman" w:hAnsi="Times New Roman" w:cs="Times New Roman"/>
          <w:sz w:val="24"/>
          <w:szCs w:val="24"/>
        </w:rPr>
        <w:t>, Supplier Consolidated Billing, and smart meter deployment.</w:t>
      </w:r>
      <w:r w:rsidR="00F511EB">
        <w:rPr>
          <w:rStyle w:val="FootnoteReference"/>
          <w:rFonts w:ascii="Times New Roman" w:hAnsi="Times New Roman" w:cs="Times New Roman"/>
          <w:sz w:val="24"/>
          <w:szCs w:val="24"/>
        </w:rPr>
        <w:footnoteReference w:id="30"/>
      </w:r>
      <w:r w:rsidR="00F511EB">
        <w:rPr>
          <w:rFonts w:ascii="Times New Roman" w:hAnsi="Times New Roman" w:cs="Times New Roman"/>
          <w:sz w:val="24"/>
          <w:szCs w:val="24"/>
        </w:rPr>
        <w:t xml:space="preserve">  The Mid-Atlantic Renewable Energy Coalition (</w:t>
      </w:r>
      <w:r w:rsidR="00130F92">
        <w:rPr>
          <w:rFonts w:ascii="Times New Roman" w:hAnsi="Times New Roman" w:cs="Times New Roman"/>
          <w:sz w:val="24"/>
          <w:szCs w:val="24"/>
        </w:rPr>
        <w:t>“</w:t>
      </w:r>
      <w:r w:rsidR="00F511EB">
        <w:rPr>
          <w:rFonts w:ascii="Times New Roman" w:hAnsi="Times New Roman" w:cs="Times New Roman"/>
          <w:sz w:val="24"/>
          <w:szCs w:val="24"/>
        </w:rPr>
        <w:t>MAREC</w:t>
      </w:r>
      <w:r w:rsidR="00130F92">
        <w:rPr>
          <w:rFonts w:ascii="Times New Roman" w:hAnsi="Times New Roman" w:cs="Times New Roman"/>
          <w:sz w:val="24"/>
          <w:szCs w:val="24"/>
        </w:rPr>
        <w:t>”</w:t>
      </w:r>
      <w:r w:rsidR="00F511EB">
        <w:rPr>
          <w:rFonts w:ascii="Times New Roman" w:hAnsi="Times New Roman" w:cs="Times New Roman"/>
          <w:sz w:val="24"/>
          <w:szCs w:val="24"/>
        </w:rPr>
        <w:t>) does not cite the record or evaluate the Joint Stipulation.</w:t>
      </w:r>
      <w:r w:rsidR="00F511EB">
        <w:rPr>
          <w:rStyle w:val="FootnoteReference"/>
          <w:rFonts w:ascii="Times New Roman" w:hAnsi="Times New Roman" w:cs="Times New Roman"/>
          <w:sz w:val="24"/>
          <w:szCs w:val="24"/>
        </w:rPr>
        <w:footnoteReference w:id="31"/>
      </w:r>
      <w:r w:rsidR="00F511EB">
        <w:rPr>
          <w:rFonts w:ascii="Times New Roman" w:hAnsi="Times New Roman" w:cs="Times New Roman"/>
          <w:sz w:val="24"/>
          <w:szCs w:val="24"/>
        </w:rPr>
        <w:t xml:space="preserve">  Instead, it asserts that the PUCO should approve the Joint Stipulation so more </w:t>
      </w:r>
      <w:r w:rsidR="00185FF8">
        <w:rPr>
          <w:rFonts w:ascii="Times New Roman" w:hAnsi="Times New Roman" w:cs="Times New Roman"/>
          <w:sz w:val="24"/>
          <w:szCs w:val="24"/>
        </w:rPr>
        <w:t xml:space="preserve">renewable energy </w:t>
      </w:r>
      <w:r w:rsidR="00F511EB">
        <w:rPr>
          <w:rFonts w:ascii="Times New Roman" w:hAnsi="Times New Roman" w:cs="Times New Roman"/>
          <w:sz w:val="24"/>
          <w:szCs w:val="24"/>
        </w:rPr>
        <w:t>tax advantages can be realized.</w:t>
      </w:r>
      <w:r w:rsidR="00F511EB">
        <w:rPr>
          <w:rStyle w:val="FootnoteReference"/>
          <w:rFonts w:ascii="Times New Roman" w:hAnsi="Times New Roman" w:cs="Times New Roman"/>
          <w:sz w:val="24"/>
          <w:szCs w:val="24"/>
        </w:rPr>
        <w:footnoteReference w:id="32"/>
      </w:r>
      <w:r w:rsidR="006B7C83">
        <w:rPr>
          <w:rFonts w:ascii="Times New Roman" w:hAnsi="Times New Roman" w:cs="Times New Roman"/>
          <w:sz w:val="24"/>
          <w:szCs w:val="24"/>
        </w:rPr>
        <w:t xml:space="preserve">  The Post-Hearing Brief of the Ohio Energy Group is l</w:t>
      </w:r>
      <w:r w:rsidR="005A0D49">
        <w:rPr>
          <w:rFonts w:ascii="Times New Roman" w:hAnsi="Times New Roman" w:cs="Times New Roman"/>
          <w:sz w:val="24"/>
          <w:szCs w:val="24"/>
        </w:rPr>
        <w:t xml:space="preserve">ong on argument </w:t>
      </w:r>
      <w:r w:rsidR="006B7C83">
        <w:rPr>
          <w:rFonts w:ascii="Times New Roman" w:hAnsi="Times New Roman" w:cs="Times New Roman"/>
          <w:sz w:val="24"/>
          <w:szCs w:val="24"/>
        </w:rPr>
        <w:t>but short on record support</w:t>
      </w:r>
      <w:r w:rsidR="005A0D49">
        <w:rPr>
          <w:rFonts w:ascii="Times New Roman" w:hAnsi="Times New Roman" w:cs="Times New Roman"/>
          <w:sz w:val="24"/>
          <w:szCs w:val="24"/>
        </w:rPr>
        <w:t xml:space="preserve"> – citing the Hearing Transcript</w:t>
      </w:r>
      <w:r w:rsidR="003153E0">
        <w:rPr>
          <w:rFonts w:ascii="Times New Roman" w:hAnsi="Times New Roman" w:cs="Times New Roman"/>
          <w:sz w:val="24"/>
          <w:szCs w:val="24"/>
        </w:rPr>
        <w:t xml:space="preserve"> merely</w:t>
      </w:r>
      <w:r w:rsidR="005A0D49">
        <w:rPr>
          <w:rFonts w:ascii="Times New Roman" w:hAnsi="Times New Roman" w:cs="Times New Roman"/>
          <w:sz w:val="24"/>
          <w:szCs w:val="24"/>
        </w:rPr>
        <w:t xml:space="preserve"> </w:t>
      </w:r>
      <w:r w:rsidR="00D04B37">
        <w:rPr>
          <w:rFonts w:ascii="Times New Roman" w:hAnsi="Times New Roman" w:cs="Times New Roman"/>
          <w:sz w:val="24"/>
          <w:szCs w:val="24"/>
        </w:rPr>
        <w:t>five</w:t>
      </w:r>
      <w:r w:rsidR="005A0D49">
        <w:rPr>
          <w:rFonts w:ascii="Times New Roman" w:hAnsi="Times New Roman" w:cs="Times New Roman"/>
          <w:sz w:val="24"/>
          <w:szCs w:val="24"/>
        </w:rPr>
        <w:t xml:space="preserve"> times</w:t>
      </w:r>
      <w:r w:rsidR="003153E0">
        <w:rPr>
          <w:rFonts w:ascii="Times New Roman" w:hAnsi="Times New Roman" w:cs="Times New Roman"/>
          <w:sz w:val="24"/>
          <w:szCs w:val="24"/>
        </w:rPr>
        <w:t xml:space="preserve"> over </w:t>
      </w:r>
      <w:r w:rsidR="00824B85">
        <w:rPr>
          <w:rFonts w:ascii="Times New Roman" w:hAnsi="Times New Roman" w:cs="Times New Roman"/>
          <w:sz w:val="24"/>
          <w:szCs w:val="24"/>
        </w:rPr>
        <w:t>22</w:t>
      </w:r>
      <w:r w:rsidR="003153E0">
        <w:rPr>
          <w:rFonts w:ascii="Times New Roman" w:hAnsi="Times New Roman" w:cs="Times New Roman"/>
          <w:sz w:val="24"/>
          <w:szCs w:val="24"/>
        </w:rPr>
        <w:t xml:space="preserve"> pages</w:t>
      </w:r>
      <w:r w:rsidR="005A0D49">
        <w:rPr>
          <w:rFonts w:ascii="Times New Roman" w:hAnsi="Times New Roman" w:cs="Times New Roman"/>
          <w:sz w:val="24"/>
          <w:szCs w:val="24"/>
        </w:rPr>
        <w:t>.</w:t>
      </w:r>
      <w:r w:rsidR="005A0D49">
        <w:rPr>
          <w:rStyle w:val="FootnoteReference"/>
          <w:rFonts w:ascii="Times New Roman" w:hAnsi="Times New Roman" w:cs="Times New Roman"/>
          <w:sz w:val="24"/>
          <w:szCs w:val="24"/>
        </w:rPr>
        <w:footnoteReference w:id="33"/>
      </w:r>
      <w:r w:rsidR="00F511EB">
        <w:rPr>
          <w:rFonts w:ascii="Times New Roman" w:hAnsi="Times New Roman" w:cs="Times New Roman"/>
          <w:sz w:val="24"/>
          <w:szCs w:val="24"/>
        </w:rPr>
        <w:t xml:space="preserve">  </w:t>
      </w:r>
      <w:r w:rsidR="005A0D49">
        <w:rPr>
          <w:rFonts w:ascii="Times New Roman" w:hAnsi="Times New Roman" w:cs="Times New Roman"/>
          <w:sz w:val="24"/>
          <w:szCs w:val="24"/>
        </w:rPr>
        <w:t xml:space="preserve">Ohio Energy Group clearly focuses </w:t>
      </w:r>
      <w:r w:rsidR="00920AB8">
        <w:rPr>
          <w:rFonts w:ascii="Times New Roman" w:hAnsi="Times New Roman" w:cs="Times New Roman"/>
          <w:sz w:val="24"/>
          <w:szCs w:val="24"/>
        </w:rPr>
        <w:t xml:space="preserve">on </w:t>
      </w:r>
      <w:r w:rsidR="005A0D49">
        <w:rPr>
          <w:rFonts w:ascii="Times New Roman" w:hAnsi="Times New Roman" w:cs="Times New Roman"/>
          <w:sz w:val="24"/>
          <w:szCs w:val="24"/>
        </w:rPr>
        <w:t>the Joint Stipulation</w:t>
      </w:r>
      <w:r w:rsidR="00130F92">
        <w:rPr>
          <w:rFonts w:ascii="Times New Roman" w:hAnsi="Times New Roman" w:cs="Times New Roman"/>
          <w:sz w:val="24"/>
          <w:szCs w:val="24"/>
        </w:rPr>
        <w:t>’</w:t>
      </w:r>
      <w:r w:rsidR="005A0D49">
        <w:rPr>
          <w:rFonts w:ascii="Times New Roman" w:hAnsi="Times New Roman" w:cs="Times New Roman"/>
          <w:sz w:val="24"/>
          <w:szCs w:val="24"/>
        </w:rPr>
        <w:t xml:space="preserve">s provisions </w:t>
      </w:r>
      <w:r w:rsidR="00130F92">
        <w:rPr>
          <w:rFonts w:ascii="Times New Roman" w:hAnsi="Times New Roman" w:cs="Times New Roman"/>
          <w:sz w:val="24"/>
          <w:szCs w:val="24"/>
        </w:rPr>
        <w:t>“</w:t>
      </w:r>
      <w:r w:rsidR="005A0D49">
        <w:rPr>
          <w:rFonts w:ascii="Times New Roman" w:hAnsi="Times New Roman" w:cs="Times New Roman"/>
          <w:sz w:val="24"/>
          <w:szCs w:val="24"/>
        </w:rPr>
        <w:t>important to large energy-intensive customers</w:t>
      </w:r>
      <w:r w:rsidR="00130F92">
        <w:rPr>
          <w:rFonts w:ascii="Times New Roman" w:hAnsi="Times New Roman" w:cs="Times New Roman"/>
          <w:sz w:val="24"/>
          <w:szCs w:val="24"/>
        </w:rPr>
        <w:t>”</w:t>
      </w:r>
      <w:r w:rsidR="005A0D49">
        <w:rPr>
          <w:rFonts w:ascii="Times New Roman" w:hAnsi="Times New Roman" w:cs="Times New Roman"/>
          <w:sz w:val="24"/>
          <w:szCs w:val="24"/>
        </w:rPr>
        <w:t xml:space="preserve"> – its members</w:t>
      </w:r>
      <w:r w:rsidR="00084E25">
        <w:rPr>
          <w:rFonts w:ascii="Times New Roman" w:hAnsi="Times New Roman" w:cs="Times New Roman"/>
          <w:sz w:val="24"/>
          <w:szCs w:val="24"/>
        </w:rPr>
        <w:t xml:space="preserve"> </w:t>
      </w:r>
      <w:r w:rsidR="0059342E">
        <w:rPr>
          <w:rFonts w:ascii="Times New Roman" w:hAnsi="Times New Roman" w:cs="Times New Roman"/>
          <w:sz w:val="24"/>
          <w:szCs w:val="24"/>
        </w:rPr>
        <w:t xml:space="preserve">– </w:t>
      </w:r>
      <w:r w:rsidR="00084E25">
        <w:rPr>
          <w:rFonts w:ascii="Times New Roman" w:hAnsi="Times New Roman" w:cs="Times New Roman"/>
          <w:sz w:val="24"/>
          <w:szCs w:val="24"/>
        </w:rPr>
        <w:t xml:space="preserve">such as obtaining consumer subsidies for the </w:t>
      </w:r>
      <w:r w:rsidR="00824B85">
        <w:rPr>
          <w:rFonts w:ascii="Times New Roman" w:hAnsi="Times New Roman" w:cs="Times New Roman"/>
          <w:sz w:val="24"/>
          <w:szCs w:val="24"/>
        </w:rPr>
        <w:t>IRP program and automaker credit</w:t>
      </w:r>
      <w:r w:rsidR="005A0D49">
        <w:rPr>
          <w:rFonts w:ascii="Times New Roman" w:hAnsi="Times New Roman" w:cs="Times New Roman"/>
          <w:sz w:val="24"/>
          <w:szCs w:val="24"/>
        </w:rPr>
        <w:t>.</w:t>
      </w:r>
      <w:r w:rsidR="005A0D49">
        <w:rPr>
          <w:rStyle w:val="FootnoteReference"/>
          <w:rFonts w:ascii="Times New Roman" w:hAnsi="Times New Roman" w:cs="Times New Roman"/>
          <w:sz w:val="24"/>
          <w:szCs w:val="24"/>
        </w:rPr>
        <w:footnoteReference w:id="34"/>
      </w:r>
      <w:r w:rsidR="005A0D49">
        <w:rPr>
          <w:rFonts w:ascii="Times New Roman" w:hAnsi="Times New Roman" w:cs="Times New Roman"/>
          <w:sz w:val="24"/>
          <w:szCs w:val="24"/>
        </w:rPr>
        <w:t xml:space="preserve">  </w:t>
      </w:r>
    </w:p>
    <w:p w:rsidR="00920AB8" w:rsidRDefault="00F511EB" w:rsidP="005A0D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Buckeye Power, Inc.</w:t>
      </w:r>
      <w:r w:rsidR="00130F92">
        <w:rPr>
          <w:rFonts w:ascii="Times New Roman" w:hAnsi="Times New Roman" w:cs="Times New Roman"/>
          <w:sz w:val="24"/>
          <w:szCs w:val="24"/>
        </w:rPr>
        <w:t>’</w:t>
      </w:r>
      <w:r>
        <w:rPr>
          <w:rFonts w:ascii="Times New Roman" w:hAnsi="Times New Roman" w:cs="Times New Roman"/>
          <w:sz w:val="24"/>
          <w:szCs w:val="24"/>
        </w:rPr>
        <w:t>s Post-Hearing Brief is a different side of the same coin.  Rather than</w:t>
      </w:r>
      <w:r w:rsidR="00185FF8">
        <w:rPr>
          <w:rFonts w:ascii="Times New Roman" w:hAnsi="Times New Roman" w:cs="Times New Roman"/>
          <w:sz w:val="24"/>
          <w:szCs w:val="24"/>
        </w:rPr>
        <w:t xml:space="preserve"> support a particular provision benefiting it, Buckeye Power, Inc. goes out of its way to inform the PUCO that it is </w:t>
      </w:r>
      <w:r w:rsidR="00185FF8">
        <w:rPr>
          <w:rFonts w:ascii="Times New Roman" w:hAnsi="Times New Roman" w:cs="Times New Roman"/>
          <w:i/>
          <w:sz w:val="24"/>
          <w:szCs w:val="24"/>
        </w:rPr>
        <w:t xml:space="preserve">not </w:t>
      </w:r>
      <w:r w:rsidR="00185FF8">
        <w:rPr>
          <w:rFonts w:ascii="Times New Roman" w:hAnsi="Times New Roman" w:cs="Times New Roman"/>
          <w:sz w:val="24"/>
          <w:szCs w:val="24"/>
        </w:rPr>
        <w:t xml:space="preserve">supporting – indeed, has </w:t>
      </w:r>
      <w:r w:rsidR="00130F92">
        <w:rPr>
          <w:rFonts w:ascii="Times New Roman" w:hAnsi="Times New Roman" w:cs="Times New Roman"/>
          <w:sz w:val="24"/>
          <w:szCs w:val="24"/>
        </w:rPr>
        <w:t>“</w:t>
      </w:r>
      <w:r w:rsidR="00185FF8">
        <w:rPr>
          <w:rFonts w:ascii="Times New Roman" w:hAnsi="Times New Roman" w:cs="Times New Roman"/>
          <w:sz w:val="24"/>
          <w:szCs w:val="24"/>
        </w:rPr>
        <w:t>removed itself from</w:t>
      </w:r>
      <w:r w:rsidR="00130F92">
        <w:rPr>
          <w:rFonts w:ascii="Times New Roman" w:hAnsi="Times New Roman" w:cs="Times New Roman"/>
          <w:sz w:val="24"/>
          <w:szCs w:val="24"/>
        </w:rPr>
        <w:t>”</w:t>
      </w:r>
      <w:r w:rsidR="00185FF8">
        <w:rPr>
          <w:rFonts w:ascii="Times New Roman" w:hAnsi="Times New Roman" w:cs="Times New Roman"/>
          <w:sz w:val="24"/>
          <w:szCs w:val="24"/>
        </w:rPr>
        <w:t xml:space="preserve"> – those parts of the Joint Stipulation that impact it.</w:t>
      </w:r>
      <w:r w:rsidR="00185FF8">
        <w:rPr>
          <w:rStyle w:val="FootnoteReference"/>
          <w:rFonts w:ascii="Times New Roman" w:hAnsi="Times New Roman" w:cs="Times New Roman"/>
          <w:sz w:val="24"/>
          <w:szCs w:val="24"/>
        </w:rPr>
        <w:footnoteReference w:id="35"/>
      </w:r>
      <w:r w:rsidR="00185FF8">
        <w:rPr>
          <w:rFonts w:ascii="Times New Roman" w:hAnsi="Times New Roman" w:cs="Times New Roman"/>
          <w:sz w:val="24"/>
          <w:szCs w:val="24"/>
        </w:rPr>
        <w:t xml:space="preserve">  </w:t>
      </w:r>
    </w:p>
    <w:p w:rsidR="00AF6759" w:rsidRDefault="00185FF8" w:rsidP="00FA1E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initial briefs confirm ELPC Witness Rebago</w:t>
      </w:r>
      <w:r w:rsidR="00130F92">
        <w:rPr>
          <w:rFonts w:ascii="Times New Roman" w:hAnsi="Times New Roman" w:cs="Times New Roman"/>
          <w:sz w:val="24"/>
          <w:szCs w:val="24"/>
        </w:rPr>
        <w:t>’</w:t>
      </w:r>
      <w:r w:rsidR="00ED3489">
        <w:rPr>
          <w:rFonts w:ascii="Times New Roman" w:hAnsi="Times New Roman" w:cs="Times New Roman"/>
          <w:sz w:val="24"/>
          <w:szCs w:val="24"/>
        </w:rPr>
        <w:t xml:space="preserve">s conclusion that </w:t>
      </w:r>
      <w:r w:rsidR="00130F92">
        <w:rPr>
          <w:rFonts w:ascii="Times New Roman" w:hAnsi="Times New Roman" w:cs="Times New Roman"/>
          <w:sz w:val="24"/>
          <w:szCs w:val="24"/>
        </w:rPr>
        <w:t>“</w:t>
      </w:r>
      <w:r w:rsidR="00ED3489">
        <w:rPr>
          <w:rFonts w:ascii="Times New Roman" w:hAnsi="Times New Roman" w:cs="Times New Roman"/>
          <w:sz w:val="24"/>
          <w:szCs w:val="24"/>
        </w:rPr>
        <w:t>[t]</w:t>
      </w:r>
      <w:r>
        <w:rPr>
          <w:rFonts w:ascii="Times New Roman" w:hAnsi="Times New Roman" w:cs="Times New Roman"/>
          <w:sz w:val="24"/>
          <w:szCs w:val="24"/>
        </w:rPr>
        <w:t>he [Joint] Stipulation appears to be a deal to allow the Company to recover</w:t>
      </w:r>
      <w:r w:rsidR="00F511EB">
        <w:rPr>
          <w:rFonts w:ascii="Times New Roman" w:hAnsi="Times New Roman" w:cs="Times New Roman"/>
          <w:sz w:val="24"/>
          <w:szCs w:val="24"/>
        </w:rPr>
        <w:t xml:space="preserve"> </w:t>
      </w:r>
      <w:r w:rsidR="00ED3489">
        <w:rPr>
          <w:rFonts w:ascii="Times New Roman" w:hAnsi="Times New Roman" w:cs="Times New Roman"/>
          <w:sz w:val="24"/>
          <w:szCs w:val="24"/>
        </w:rPr>
        <w:t>costs for the proposed PPA in return for the many elements of the deal unrelated to the core PPA.</w:t>
      </w:r>
      <w:r w:rsidR="00130F92">
        <w:rPr>
          <w:rFonts w:ascii="Times New Roman" w:hAnsi="Times New Roman" w:cs="Times New Roman"/>
          <w:sz w:val="24"/>
          <w:szCs w:val="24"/>
        </w:rPr>
        <w:t>”</w:t>
      </w:r>
      <w:r w:rsidR="00ED3489">
        <w:rPr>
          <w:rStyle w:val="FootnoteReference"/>
          <w:rFonts w:ascii="Times New Roman" w:hAnsi="Times New Roman" w:cs="Times New Roman"/>
          <w:sz w:val="24"/>
          <w:szCs w:val="24"/>
        </w:rPr>
        <w:footnoteReference w:id="36"/>
      </w:r>
      <w:r w:rsidR="00FA1E96">
        <w:rPr>
          <w:rFonts w:ascii="Times New Roman" w:hAnsi="Times New Roman" w:cs="Times New Roman"/>
          <w:sz w:val="24"/>
          <w:szCs w:val="24"/>
        </w:rPr>
        <w:t xml:space="preserve">  </w:t>
      </w:r>
      <w:r w:rsidR="00FA1E96" w:rsidRPr="00B15ED0">
        <w:rPr>
          <w:rFonts w:ascii="Times New Roman" w:hAnsi="Times New Roman" w:cs="Times New Roman"/>
          <w:sz w:val="24"/>
          <w:szCs w:val="24"/>
        </w:rPr>
        <w:t>The PUCO has warned against the practice of paying signatory parties, stating that</w:t>
      </w:r>
      <w:r w:rsidR="00D04B37">
        <w:rPr>
          <w:rFonts w:ascii="Times New Roman" w:hAnsi="Times New Roman" w:cs="Times New Roman"/>
          <w:sz w:val="24"/>
          <w:szCs w:val="24"/>
        </w:rPr>
        <w:t>,</w:t>
      </w:r>
      <w:r w:rsidR="00FA1E96" w:rsidRPr="00B15ED0">
        <w:rPr>
          <w:rFonts w:ascii="Times New Roman" w:hAnsi="Times New Roman" w:cs="Times New Roman"/>
          <w:sz w:val="24"/>
          <w:szCs w:val="24"/>
        </w:rPr>
        <w:t xml:space="preserve"> </w:t>
      </w:r>
      <w:r w:rsidR="00130F92">
        <w:rPr>
          <w:rFonts w:ascii="Times New Roman" w:hAnsi="Times New Roman" w:cs="Times New Roman"/>
          <w:sz w:val="24"/>
          <w:szCs w:val="24"/>
        </w:rPr>
        <w:t>“</w:t>
      </w:r>
      <w:r w:rsidR="00FA1E96" w:rsidRPr="00B15ED0">
        <w:rPr>
          <w:rFonts w:ascii="Times New Roman" w:hAnsi="Times New Roman" w:cs="Times New Roman"/>
          <w:sz w:val="24"/>
          <w:szCs w:val="24"/>
        </w:rPr>
        <w:t>parties to future stipulations should be forewarned that such provisions are strongly disfavored by this Commission and are highly likely to be stricken from any future stipulation submitted to the Commission for approval.</w:t>
      </w:r>
      <w:r w:rsidR="00130F92">
        <w:rPr>
          <w:rFonts w:ascii="Times New Roman" w:hAnsi="Times New Roman" w:cs="Times New Roman"/>
          <w:sz w:val="24"/>
          <w:szCs w:val="24"/>
        </w:rPr>
        <w:t>”</w:t>
      </w:r>
      <w:r w:rsidR="00FA1E96" w:rsidRPr="00B15ED0">
        <w:rPr>
          <w:rStyle w:val="FootnoteReference"/>
          <w:rFonts w:ascii="Times New Roman" w:hAnsi="Times New Roman"/>
          <w:sz w:val="24"/>
          <w:szCs w:val="24"/>
        </w:rPr>
        <w:footnoteReference w:id="37"/>
      </w:r>
      <w:r w:rsidR="00FA1E96" w:rsidRPr="00B15ED0">
        <w:rPr>
          <w:rFonts w:ascii="Times New Roman" w:hAnsi="Times New Roman" w:cs="Times New Roman"/>
          <w:sz w:val="24"/>
          <w:szCs w:val="24"/>
        </w:rPr>
        <w:t xml:space="preserve"> </w:t>
      </w:r>
      <w:r w:rsidR="00FA1E96">
        <w:rPr>
          <w:rFonts w:ascii="Times New Roman" w:hAnsi="Times New Roman" w:cs="Times New Roman"/>
          <w:sz w:val="24"/>
          <w:szCs w:val="24"/>
        </w:rPr>
        <w:t xml:space="preserve"> </w:t>
      </w:r>
      <w:r w:rsidR="00FA1E96" w:rsidRPr="00B15ED0">
        <w:rPr>
          <w:rFonts w:ascii="Times New Roman" w:hAnsi="Times New Roman" w:cs="Times New Roman"/>
          <w:sz w:val="24"/>
          <w:szCs w:val="24"/>
        </w:rPr>
        <w:t xml:space="preserve">Yet, as pointed out by </w:t>
      </w:r>
      <w:r w:rsidR="00FA1E96">
        <w:rPr>
          <w:rFonts w:ascii="Times New Roman" w:hAnsi="Times New Roman" w:cs="Times New Roman"/>
          <w:sz w:val="24"/>
          <w:szCs w:val="24"/>
        </w:rPr>
        <w:t xml:space="preserve">ELPC Witness Rebago, and </w:t>
      </w:r>
      <w:r w:rsidR="00FA1E96" w:rsidRPr="00B15ED0">
        <w:rPr>
          <w:rFonts w:ascii="Times New Roman" w:hAnsi="Times New Roman" w:cs="Times New Roman"/>
          <w:sz w:val="24"/>
          <w:szCs w:val="24"/>
        </w:rPr>
        <w:t>OCC Witness Haugh,</w:t>
      </w:r>
      <w:r w:rsidR="00FA1E96" w:rsidRPr="00B15ED0">
        <w:rPr>
          <w:rStyle w:val="FootnoteReference"/>
          <w:rFonts w:ascii="Times New Roman" w:hAnsi="Times New Roman"/>
          <w:sz w:val="24"/>
          <w:szCs w:val="24"/>
        </w:rPr>
        <w:footnoteReference w:id="38"/>
      </w:r>
      <w:r w:rsidR="00FA1E96" w:rsidRPr="00B15ED0">
        <w:rPr>
          <w:rFonts w:ascii="Times New Roman" w:hAnsi="Times New Roman" w:cs="Times New Roman"/>
          <w:sz w:val="24"/>
          <w:szCs w:val="24"/>
        </w:rPr>
        <w:t xml:space="preserve"> AEP Ohio has presented the PUCO with a </w:t>
      </w:r>
      <w:r w:rsidR="00FA1E96">
        <w:rPr>
          <w:rFonts w:ascii="Times New Roman" w:hAnsi="Times New Roman" w:cs="Times New Roman"/>
          <w:sz w:val="24"/>
          <w:szCs w:val="24"/>
        </w:rPr>
        <w:t xml:space="preserve">Joint </w:t>
      </w:r>
      <w:r w:rsidR="00FA1E96" w:rsidRPr="00B15ED0">
        <w:rPr>
          <w:rFonts w:ascii="Times New Roman" w:hAnsi="Times New Roman" w:cs="Times New Roman"/>
          <w:sz w:val="24"/>
          <w:szCs w:val="24"/>
        </w:rPr>
        <w:t xml:space="preserve">Stipulation </w:t>
      </w:r>
      <w:r w:rsidR="00FA1E96">
        <w:rPr>
          <w:rFonts w:ascii="Times New Roman" w:hAnsi="Times New Roman" w:cs="Times New Roman"/>
          <w:sz w:val="24"/>
          <w:szCs w:val="24"/>
        </w:rPr>
        <w:t>that does exactly that.</w:t>
      </w:r>
      <w:r w:rsidR="000B7E62">
        <w:rPr>
          <w:rFonts w:ascii="Times New Roman" w:hAnsi="Times New Roman" w:cs="Times New Roman"/>
          <w:sz w:val="24"/>
          <w:szCs w:val="24"/>
        </w:rPr>
        <w:t xml:space="preserve">  It is a hodgepodge of handouts to individual signatory parties in return for supporting the PPA Rider, not a package.</w:t>
      </w:r>
      <w:r w:rsidR="00FA1E96">
        <w:rPr>
          <w:rFonts w:ascii="Times New Roman" w:hAnsi="Times New Roman" w:cs="Times New Roman"/>
          <w:sz w:val="24"/>
          <w:szCs w:val="24"/>
        </w:rPr>
        <w:t xml:space="preserve"> </w:t>
      </w:r>
    </w:p>
    <w:p w:rsidR="00FA1E96" w:rsidRPr="00E66D9C" w:rsidRDefault="003E3AD8" w:rsidP="003E3AD8">
      <w:pPr>
        <w:pStyle w:val="Heading4"/>
      </w:pPr>
      <w:bookmarkStart w:id="13" w:name="_Toc442712218"/>
      <w:bookmarkStart w:id="14" w:name="_Toc442713359"/>
      <w:r>
        <w:t>a.</w:t>
      </w:r>
      <w:r>
        <w:tab/>
      </w:r>
      <w:r>
        <w:rPr>
          <w:rStyle w:val="Heading4Char"/>
        </w:rPr>
        <w:t>Prong 1: The settlement fails the first prong because it lacks the serious bargaining and the diversity of interests required for PUCO approval.</w:t>
      </w:r>
      <w:bookmarkEnd w:id="13"/>
      <w:bookmarkEnd w:id="14"/>
      <w:r w:rsidR="00FA1E96" w:rsidRPr="00E66D9C">
        <w:t xml:space="preserve"> </w:t>
      </w:r>
    </w:p>
    <w:p w:rsidR="003B20EF" w:rsidRDefault="007A5E57" w:rsidP="007A5E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Based on AEP Ohio</w:t>
      </w:r>
      <w:r w:rsidR="00130F92">
        <w:rPr>
          <w:rFonts w:ascii="Times New Roman" w:hAnsi="Times New Roman" w:cs="Times New Roman"/>
          <w:sz w:val="24"/>
          <w:szCs w:val="24"/>
        </w:rPr>
        <w:t>’</w:t>
      </w:r>
      <w:r>
        <w:rPr>
          <w:rFonts w:ascii="Times New Roman" w:hAnsi="Times New Roman" w:cs="Times New Roman"/>
          <w:sz w:val="24"/>
          <w:szCs w:val="24"/>
        </w:rPr>
        <w:t>s own evidence, and that of OCC and others, OCC showed in its initial brief that the first prong is failed because the Joint Stipulation contains numerous, material unknowns, and is so vague and ambiguous, that the Signatory Parties were not knowledgeable</w:t>
      </w:r>
      <w:r w:rsidR="003B20EF">
        <w:rPr>
          <w:rFonts w:ascii="Times New Roman" w:hAnsi="Times New Roman" w:cs="Times New Roman"/>
          <w:sz w:val="24"/>
          <w:szCs w:val="24"/>
        </w:rPr>
        <w:t xml:space="preserve"> of the settlement’s results</w:t>
      </w:r>
      <w:r>
        <w:rPr>
          <w:rFonts w:ascii="Times New Roman" w:hAnsi="Times New Roman" w:cs="Times New Roman"/>
          <w:sz w:val="24"/>
          <w:szCs w:val="24"/>
        </w:rPr>
        <w:t xml:space="preserve">.  </w:t>
      </w:r>
      <w:r w:rsidR="00EF182E">
        <w:rPr>
          <w:rFonts w:ascii="Times New Roman" w:hAnsi="Times New Roman" w:cs="Times New Roman"/>
          <w:sz w:val="24"/>
          <w:szCs w:val="24"/>
        </w:rPr>
        <w:t>Signatory Parties</w:t>
      </w:r>
      <w:r w:rsidR="00130F92">
        <w:rPr>
          <w:rFonts w:ascii="Times New Roman" w:hAnsi="Times New Roman" w:cs="Times New Roman"/>
          <w:sz w:val="24"/>
          <w:szCs w:val="24"/>
        </w:rPr>
        <w:t>’</w:t>
      </w:r>
      <w:r w:rsidR="00554568">
        <w:rPr>
          <w:rFonts w:ascii="Times New Roman" w:hAnsi="Times New Roman" w:cs="Times New Roman"/>
          <w:sz w:val="24"/>
          <w:szCs w:val="24"/>
        </w:rPr>
        <w:t xml:space="preserve"> </w:t>
      </w:r>
      <w:r w:rsidR="003F0848">
        <w:rPr>
          <w:rFonts w:ascii="Times New Roman" w:hAnsi="Times New Roman" w:cs="Times New Roman"/>
          <w:sz w:val="24"/>
          <w:szCs w:val="24"/>
        </w:rPr>
        <w:t xml:space="preserve">many </w:t>
      </w:r>
      <w:r w:rsidR="00554568">
        <w:rPr>
          <w:rFonts w:ascii="Times New Roman" w:hAnsi="Times New Roman" w:cs="Times New Roman"/>
          <w:sz w:val="24"/>
          <w:szCs w:val="24"/>
        </w:rPr>
        <w:t>footnote</w:t>
      </w:r>
      <w:r w:rsidR="003F0848">
        <w:rPr>
          <w:rFonts w:ascii="Times New Roman" w:hAnsi="Times New Roman" w:cs="Times New Roman"/>
          <w:sz w:val="24"/>
          <w:szCs w:val="24"/>
        </w:rPr>
        <w:t>d</w:t>
      </w:r>
      <w:r w:rsidR="00EF182E">
        <w:rPr>
          <w:rFonts w:ascii="Times New Roman" w:hAnsi="Times New Roman" w:cs="Times New Roman"/>
          <w:sz w:val="24"/>
          <w:szCs w:val="24"/>
        </w:rPr>
        <w:t xml:space="preserve"> opt-outs</w:t>
      </w:r>
      <w:r w:rsidR="003F0848">
        <w:rPr>
          <w:rStyle w:val="FootnoteReference"/>
          <w:rFonts w:ascii="Times New Roman" w:hAnsi="Times New Roman" w:cs="Times New Roman"/>
          <w:sz w:val="24"/>
          <w:szCs w:val="24"/>
        </w:rPr>
        <w:footnoteReference w:id="39"/>
      </w:r>
      <w:r w:rsidR="00EF182E">
        <w:rPr>
          <w:rFonts w:ascii="Times New Roman" w:hAnsi="Times New Roman" w:cs="Times New Roman"/>
          <w:sz w:val="24"/>
          <w:szCs w:val="24"/>
        </w:rPr>
        <w:t xml:space="preserve"> from material provisions in the Joint Stipulation demonstrate a lack of diversity among </w:t>
      </w:r>
      <w:r w:rsidR="0059342E">
        <w:rPr>
          <w:rFonts w:ascii="Times New Roman" w:hAnsi="Times New Roman" w:cs="Times New Roman"/>
          <w:sz w:val="24"/>
          <w:szCs w:val="24"/>
        </w:rPr>
        <w:t>S</w:t>
      </w:r>
      <w:r w:rsidR="00EF182E">
        <w:rPr>
          <w:rFonts w:ascii="Times New Roman" w:hAnsi="Times New Roman" w:cs="Times New Roman"/>
          <w:sz w:val="24"/>
          <w:szCs w:val="24"/>
        </w:rPr>
        <w:t xml:space="preserve">ignatory </w:t>
      </w:r>
      <w:r w:rsidR="0059342E">
        <w:rPr>
          <w:rFonts w:ascii="Times New Roman" w:hAnsi="Times New Roman" w:cs="Times New Roman"/>
          <w:sz w:val="24"/>
          <w:szCs w:val="24"/>
        </w:rPr>
        <w:t>P</w:t>
      </w:r>
      <w:r w:rsidR="00EF182E">
        <w:rPr>
          <w:rFonts w:ascii="Times New Roman" w:hAnsi="Times New Roman" w:cs="Times New Roman"/>
          <w:sz w:val="24"/>
          <w:szCs w:val="24"/>
        </w:rPr>
        <w:t>arties, as does the fact that residential customers are not represented</w:t>
      </w:r>
      <w:r w:rsidR="00CE75C9">
        <w:rPr>
          <w:rFonts w:ascii="Times New Roman" w:hAnsi="Times New Roman" w:cs="Times New Roman"/>
          <w:sz w:val="24"/>
          <w:szCs w:val="24"/>
        </w:rPr>
        <w:t xml:space="preserve">. Those </w:t>
      </w:r>
      <w:r w:rsidR="00D04B37">
        <w:rPr>
          <w:rFonts w:ascii="Times New Roman" w:hAnsi="Times New Roman" w:cs="Times New Roman"/>
          <w:sz w:val="24"/>
          <w:szCs w:val="24"/>
        </w:rPr>
        <w:t xml:space="preserve">same </w:t>
      </w:r>
      <w:r w:rsidR="00CE75C9">
        <w:rPr>
          <w:rFonts w:ascii="Times New Roman" w:hAnsi="Times New Roman" w:cs="Times New Roman"/>
          <w:sz w:val="24"/>
          <w:szCs w:val="24"/>
        </w:rPr>
        <w:t xml:space="preserve">residential </w:t>
      </w:r>
      <w:r w:rsidR="00D04B37">
        <w:rPr>
          <w:rFonts w:ascii="Times New Roman" w:hAnsi="Times New Roman" w:cs="Times New Roman"/>
          <w:sz w:val="24"/>
          <w:szCs w:val="24"/>
        </w:rPr>
        <w:t xml:space="preserve">customers </w:t>
      </w:r>
      <w:r w:rsidR="00CE75C9">
        <w:rPr>
          <w:rFonts w:ascii="Times New Roman" w:hAnsi="Times New Roman" w:cs="Times New Roman"/>
          <w:sz w:val="24"/>
          <w:szCs w:val="24"/>
        </w:rPr>
        <w:t xml:space="preserve">are </w:t>
      </w:r>
      <w:r w:rsidR="00D04B37">
        <w:rPr>
          <w:rFonts w:ascii="Times New Roman" w:hAnsi="Times New Roman" w:cs="Times New Roman"/>
          <w:sz w:val="24"/>
          <w:szCs w:val="24"/>
        </w:rPr>
        <w:t xml:space="preserve">left </w:t>
      </w:r>
      <w:r w:rsidR="003B20EF">
        <w:rPr>
          <w:rFonts w:ascii="Times New Roman" w:hAnsi="Times New Roman" w:cs="Times New Roman"/>
          <w:sz w:val="24"/>
          <w:szCs w:val="24"/>
        </w:rPr>
        <w:t>to pay</w:t>
      </w:r>
      <w:r w:rsidR="00D04B37">
        <w:rPr>
          <w:rFonts w:ascii="Times New Roman" w:hAnsi="Times New Roman" w:cs="Times New Roman"/>
          <w:sz w:val="24"/>
          <w:szCs w:val="24"/>
        </w:rPr>
        <w:t xml:space="preserve"> for the Joint </w:t>
      </w:r>
      <w:r w:rsidR="00A077C5">
        <w:rPr>
          <w:rFonts w:ascii="Times New Roman" w:hAnsi="Times New Roman" w:cs="Times New Roman"/>
          <w:sz w:val="24"/>
          <w:szCs w:val="24"/>
        </w:rPr>
        <w:t xml:space="preserve">Stipulation’s </w:t>
      </w:r>
      <w:r w:rsidR="00D04B37">
        <w:rPr>
          <w:rFonts w:ascii="Times New Roman" w:hAnsi="Times New Roman" w:cs="Times New Roman"/>
          <w:sz w:val="24"/>
          <w:szCs w:val="24"/>
        </w:rPr>
        <w:t>handouts</w:t>
      </w:r>
      <w:r w:rsidR="00CE75C9">
        <w:rPr>
          <w:rFonts w:ascii="Times New Roman" w:hAnsi="Times New Roman" w:cs="Times New Roman"/>
          <w:sz w:val="24"/>
          <w:szCs w:val="24"/>
        </w:rPr>
        <w:t>.  AEP Ohio and the Signatory Parties are</w:t>
      </w:r>
      <w:r w:rsidR="003B20EF">
        <w:rPr>
          <w:rFonts w:ascii="Times New Roman" w:hAnsi="Times New Roman" w:cs="Times New Roman"/>
          <w:sz w:val="24"/>
          <w:szCs w:val="24"/>
        </w:rPr>
        <w:t xml:space="preserve"> using other people’s money</w:t>
      </w:r>
      <w:r w:rsidR="00EF182E">
        <w:rPr>
          <w:rFonts w:ascii="Times New Roman" w:hAnsi="Times New Roman" w:cs="Times New Roman"/>
          <w:sz w:val="24"/>
          <w:szCs w:val="24"/>
        </w:rPr>
        <w:t xml:space="preserve">.  </w:t>
      </w:r>
    </w:p>
    <w:p w:rsidR="007A5E57" w:rsidRDefault="00EF182E" w:rsidP="007A5E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undefined, impractical standards by which AEP Ohio</w:t>
      </w:r>
      <w:r w:rsidR="00130F92">
        <w:rPr>
          <w:rFonts w:ascii="Times New Roman" w:hAnsi="Times New Roman" w:cs="Times New Roman"/>
          <w:sz w:val="24"/>
          <w:szCs w:val="24"/>
        </w:rPr>
        <w:t>’</w:t>
      </w:r>
      <w:r>
        <w:rPr>
          <w:rFonts w:ascii="Times New Roman" w:hAnsi="Times New Roman" w:cs="Times New Roman"/>
          <w:sz w:val="24"/>
          <w:szCs w:val="24"/>
        </w:rPr>
        <w:t xml:space="preserve">s </w:t>
      </w:r>
      <w:r w:rsidR="003F0848">
        <w:rPr>
          <w:rFonts w:ascii="Times New Roman" w:hAnsi="Times New Roman" w:cs="Times New Roman"/>
          <w:sz w:val="24"/>
          <w:szCs w:val="24"/>
        </w:rPr>
        <w:t>commitments</w:t>
      </w:r>
      <w:r>
        <w:rPr>
          <w:rFonts w:ascii="Times New Roman" w:hAnsi="Times New Roman" w:cs="Times New Roman"/>
          <w:sz w:val="24"/>
          <w:szCs w:val="24"/>
        </w:rPr>
        <w:t xml:space="preserve"> will be evaluated confirm a lack of serious bargaining.  The Joint Stipulation was not a seriously bargained for agreement, but a compilation of </w:t>
      </w:r>
      <w:r w:rsidR="003F0848">
        <w:rPr>
          <w:rFonts w:ascii="Times New Roman" w:hAnsi="Times New Roman" w:cs="Times New Roman"/>
          <w:sz w:val="24"/>
          <w:szCs w:val="24"/>
        </w:rPr>
        <w:t>cash equivalents</w:t>
      </w:r>
      <w:r>
        <w:rPr>
          <w:rFonts w:ascii="Times New Roman" w:hAnsi="Times New Roman" w:cs="Times New Roman"/>
          <w:sz w:val="24"/>
          <w:szCs w:val="24"/>
        </w:rPr>
        <w:t xml:space="preserve"> and inducements </w:t>
      </w:r>
      <w:r w:rsidR="003B20EF">
        <w:rPr>
          <w:rFonts w:ascii="Times New Roman" w:hAnsi="Times New Roman" w:cs="Times New Roman"/>
          <w:sz w:val="24"/>
          <w:szCs w:val="24"/>
        </w:rPr>
        <w:t xml:space="preserve">for parties to sign it </w:t>
      </w:r>
      <w:r>
        <w:rPr>
          <w:rFonts w:ascii="Times New Roman" w:hAnsi="Times New Roman" w:cs="Times New Roman"/>
          <w:sz w:val="24"/>
          <w:szCs w:val="24"/>
        </w:rPr>
        <w:t>(</w:t>
      </w:r>
      <w:r w:rsidR="003B20EF">
        <w:rPr>
          <w:rFonts w:ascii="Times New Roman" w:hAnsi="Times New Roman" w:cs="Times New Roman"/>
          <w:sz w:val="24"/>
          <w:szCs w:val="24"/>
        </w:rPr>
        <w:t xml:space="preserve">to be </w:t>
      </w:r>
      <w:r>
        <w:rPr>
          <w:rFonts w:ascii="Times New Roman" w:hAnsi="Times New Roman" w:cs="Times New Roman"/>
          <w:sz w:val="24"/>
          <w:szCs w:val="24"/>
        </w:rPr>
        <w:t>paid by consumers who oppose the Joint Stipulation).</w:t>
      </w:r>
      <w:r w:rsidR="007A5E57">
        <w:rPr>
          <w:rFonts w:ascii="Times New Roman" w:hAnsi="Times New Roman" w:cs="Times New Roman"/>
          <w:sz w:val="24"/>
          <w:szCs w:val="24"/>
        </w:rPr>
        <w:t xml:space="preserve"> </w:t>
      </w:r>
    </w:p>
    <w:p w:rsidR="00C725A5" w:rsidRPr="00E566F6" w:rsidRDefault="00EF694A" w:rsidP="00EF694A">
      <w:pPr>
        <w:pStyle w:val="Heading5"/>
      </w:pPr>
      <w:bookmarkStart w:id="15" w:name="_Toc442713360"/>
      <w:r>
        <w:t>i</w:t>
      </w:r>
      <w:r w:rsidR="003E3AD8">
        <w:t>.</w:t>
      </w:r>
      <w:r w:rsidR="003E3AD8">
        <w:tab/>
      </w:r>
      <w:r w:rsidR="00C725A5" w:rsidRPr="00E566F6">
        <w:t xml:space="preserve">The </w:t>
      </w:r>
      <w:r w:rsidR="00A077C5">
        <w:t xml:space="preserve">Joint </w:t>
      </w:r>
      <w:r w:rsidR="003B20EF">
        <w:t>Stipulation</w:t>
      </w:r>
      <w:r w:rsidR="00C725A5" w:rsidRPr="00E566F6">
        <w:t xml:space="preserve"> is</w:t>
      </w:r>
      <w:r w:rsidR="007563F7">
        <w:t xml:space="preserve"> not</w:t>
      </w:r>
      <w:r w:rsidR="00C725A5" w:rsidRPr="00E566F6">
        <w:t xml:space="preserve"> the settlement it’s advertised to be, </w:t>
      </w:r>
      <w:r w:rsidR="00E529CC">
        <w:t xml:space="preserve">is more of an agreement to disagree, and therefore </w:t>
      </w:r>
      <w:r w:rsidR="00C725A5" w:rsidRPr="00E566F6">
        <w:t>fails the first prong of the settlement test.</w:t>
      </w:r>
      <w:bookmarkEnd w:id="15"/>
    </w:p>
    <w:p w:rsidR="00C725A5" w:rsidRDefault="00C725A5" w:rsidP="00C725A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so-called </w:t>
      </w:r>
      <w:r w:rsidR="00A077C5">
        <w:rPr>
          <w:rFonts w:ascii="Times New Roman" w:hAnsi="Times New Roman" w:cs="Times New Roman"/>
          <w:sz w:val="24"/>
          <w:szCs w:val="24"/>
        </w:rPr>
        <w:t xml:space="preserve">Settlement </w:t>
      </w:r>
      <w:r>
        <w:rPr>
          <w:rFonts w:ascii="Times New Roman" w:hAnsi="Times New Roman" w:cs="Times New Roman"/>
          <w:sz w:val="24"/>
          <w:szCs w:val="24"/>
        </w:rPr>
        <w:t>is, in material respects, more of an agreement to disagree than an agreement.  For example, Sierra Club, IGS</w:t>
      </w:r>
      <w:r w:rsidR="00CE75C9">
        <w:rPr>
          <w:rFonts w:ascii="Times New Roman" w:hAnsi="Times New Roman" w:cs="Times New Roman"/>
          <w:sz w:val="24"/>
          <w:szCs w:val="24"/>
        </w:rPr>
        <w:t>,</w:t>
      </w:r>
      <w:r>
        <w:rPr>
          <w:rFonts w:ascii="Times New Roman" w:hAnsi="Times New Roman" w:cs="Times New Roman"/>
          <w:sz w:val="24"/>
          <w:szCs w:val="24"/>
        </w:rPr>
        <w:t xml:space="preserve"> and Direct Energy have footnoted-out of some of the most material terms that AEP Ohio needs in the settlement.</w:t>
      </w:r>
      <w:r w:rsidR="003E3AD8">
        <w:rPr>
          <w:rStyle w:val="FootnoteReference"/>
          <w:rFonts w:ascii="Times New Roman" w:hAnsi="Times New Roman" w:cs="Times New Roman"/>
          <w:sz w:val="24"/>
          <w:szCs w:val="24"/>
        </w:rPr>
        <w:footnoteReference w:id="40"/>
      </w:r>
      <w:r w:rsidR="00E529CC">
        <w:rPr>
          <w:rFonts w:ascii="Times New Roman" w:hAnsi="Times New Roman" w:cs="Times New Roman"/>
          <w:sz w:val="24"/>
          <w:szCs w:val="24"/>
        </w:rPr>
        <w:t xml:space="preserve">  </w:t>
      </w:r>
      <w:r w:rsidR="003E3AD8">
        <w:rPr>
          <w:rFonts w:ascii="Times New Roman" w:hAnsi="Times New Roman" w:cs="Times New Roman"/>
          <w:sz w:val="24"/>
          <w:szCs w:val="24"/>
        </w:rPr>
        <w:t>In addition, Industrial Energy Users-Ohio agreed not to oppose the Joint Stipulation</w:t>
      </w:r>
      <w:r w:rsidR="006F1B99">
        <w:rPr>
          <w:rFonts w:ascii="Times New Roman" w:hAnsi="Times New Roman" w:cs="Times New Roman"/>
          <w:sz w:val="24"/>
          <w:szCs w:val="24"/>
        </w:rPr>
        <w:t>, and received</w:t>
      </w:r>
      <w:r w:rsidR="003E3AD8">
        <w:rPr>
          <w:rFonts w:ascii="Times New Roman" w:hAnsi="Times New Roman" w:cs="Times New Roman"/>
          <w:sz w:val="24"/>
          <w:szCs w:val="24"/>
        </w:rPr>
        <w:t xml:space="preserve"> $8 million.</w:t>
      </w:r>
      <w:r w:rsidR="003E3AD8">
        <w:rPr>
          <w:rStyle w:val="FootnoteReference"/>
          <w:rFonts w:ascii="Times New Roman" w:hAnsi="Times New Roman" w:cs="Times New Roman"/>
          <w:sz w:val="24"/>
          <w:szCs w:val="24"/>
        </w:rPr>
        <w:footnoteReference w:id="41"/>
      </w:r>
      <w:r w:rsidR="003E3AD8">
        <w:rPr>
          <w:rFonts w:ascii="Times New Roman" w:hAnsi="Times New Roman" w:cs="Times New Roman"/>
          <w:sz w:val="24"/>
          <w:szCs w:val="24"/>
        </w:rPr>
        <w:t xml:space="preserve">  </w:t>
      </w:r>
      <w:r w:rsidR="00E529CC">
        <w:rPr>
          <w:rFonts w:ascii="Times New Roman" w:hAnsi="Times New Roman" w:cs="Times New Roman"/>
          <w:sz w:val="24"/>
          <w:szCs w:val="24"/>
        </w:rPr>
        <w:t>The Industrial Energy Users did not agree; they merely committed to not oppose the Settlement.</w:t>
      </w:r>
      <w:r>
        <w:rPr>
          <w:rFonts w:ascii="Times New Roman" w:hAnsi="Times New Roman" w:cs="Times New Roman"/>
          <w:sz w:val="24"/>
          <w:szCs w:val="24"/>
        </w:rPr>
        <w:t xml:space="preserve">  </w:t>
      </w:r>
    </w:p>
    <w:p w:rsidR="00C725A5" w:rsidRDefault="00C725A5" w:rsidP="00C725A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non-agreements (or agreements to disagree) are not the serious bargaining contemplated by the first prong of the settlement standard.  And they’re not representing diverse interests that reached agreement.  </w:t>
      </w:r>
    </w:p>
    <w:p w:rsidR="00C725A5" w:rsidRDefault="00C725A5" w:rsidP="00C725A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non-agreements do not give the PUCO (and the Ohio public) the benefit of the serious give and take that is bargaining for a compromise solution.  Instead, they reflect the lack of serious bargaining that is </w:t>
      </w:r>
      <w:r w:rsidR="00E529CC">
        <w:rPr>
          <w:rFonts w:ascii="Times New Roman" w:hAnsi="Times New Roman" w:cs="Times New Roman"/>
          <w:sz w:val="24"/>
          <w:szCs w:val="24"/>
        </w:rPr>
        <w:t>an easier</w:t>
      </w:r>
      <w:r>
        <w:rPr>
          <w:rFonts w:ascii="Times New Roman" w:hAnsi="Times New Roman" w:cs="Times New Roman"/>
          <w:sz w:val="24"/>
          <w:szCs w:val="24"/>
        </w:rPr>
        <w:t xml:space="preserve"> path</w:t>
      </w:r>
      <w:r w:rsidR="00E529CC">
        <w:rPr>
          <w:rFonts w:ascii="Times New Roman" w:hAnsi="Times New Roman" w:cs="Times New Roman"/>
          <w:sz w:val="24"/>
          <w:szCs w:val="24"/>
        </w:rPr>
        <w:t>, including for the utility, than an actual settlement resolution.  The PUCO should not mistake such agreements for an actual settlement.  And the furnishing of cash or cash equivalents in the “settlement” process, by the utility, should not be mistaken for broad public policy achievements</w:t>
      </w:r>
      <w:r w:rsidR="003E3AD8">
        <w:rPr>
          <w:rFonts w:ascii="Times New Roman" w:hAnsi="Times New Roman" w:cs="Times New Roman"/>
          <w:sz w:val="24"/>
          <w:szCs w:val="24"/>
        </w:rPr>
        <w:t>.</w:t>
      </w:r>
    </w:p>
    <w:p w:rsidR="00C725A5" w:rsidRDefault="00C725A5" w:rsidP="00C725A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not be distracted or misled by the advertisement of the document as the settlement it is not.  The many footnotes-out in the fine print (Sierra</w:t>
      </w:r>
      <w:r w:rsidR="00A077C5">
        <w:rPr>
          <w:rFonts w:ascii="Times New Roman" w:hAnsi="Times New Roman" w:cs="Times New Roman"/>
          <w:sz w:val="24"/>
          <w:szCs w:val="24"/>
        </w:rPr>
        <w:t xml:space="preserve"> Club</w:t>
      </w:r>
      <w:r>
        <w:rPr>
          <w:rFonts w:ascii="Times New Roman" w:hAnsi="Times New Roman" w:cs="Times New Roman"/>
          <w:sz w:val="24"/>
          <w:szCs w:val="24"/>
        </w:rPr>
        <w:t xml:space="preserve"> itself has </w:t>
      </w:r>
      <w:r w:rsidR="00504DE4">
        <w:rPr>
          <w:rFonts w:ascii="Times New Roman" w:hAnsi="Times New Roman" w:cs="Times New Roman"/>
          <w:sz w:val="24"/>
          <w:szCs w:val="24"/>
        </w:rPr>
        <w:t>12</w:t>
      </w:r>
      <w:r>
        <w:rPr>
          <w:rFonts w:ascii="Times New Roman" w:hAnsi="Times New Roman" w:cs="Times New Roman"/>
          <w:sz w:val="24"/>
          <w:szCs w:val="24"/>
        </w:rPr>
        <w:t xml:space="preserve"> footnotes of non-agreement) reveal the truth. The alleged diverse interests such as environmental groups and competitors have not had a serious bargaining for consensus.</w:t>
      </w:r>
      <w:r w:rsidR="003B20EF">
        <w:rPr>
          <w:rFonts w:ascii="Times New Roman" w:hAnsi="Times New Roman" w:cs="Times New Roman"/>
          <w:sz w:val="24"/>
          <w:szCs w:val="24"/>
        </w:rPr>
        <w:t xml:space="preserve">  They could not</w:t>
      </w:r>
      <w:r>
        <w:rPr>
          <w:rFonts w:ascii="Times New Roman" w:hAnsi="Times New Roman" w:cs="Times New Roman"/>
          <w:sz w:val="24"/>
          <w:szCs w:val="24"/>
        </w:rPr>
        <w:t xml:space="preserve"> reach consensus.  Accordingly, the settlement fails the first-prong of the settlement standard.</w:t>
      </w:r>
    </w:p>
    <w:p w:rsidR="00EF182E" w:rsidRPr="00E66D9C" w:rsidRDefault="00E66D9C" w:rsidP="00E66D9C">
      <w:pPr>
        <w:pStyle w:val="Heading4"/>
      </w:pPr>
      <w:bookmarkStart w:id="16" w:name="_Toc442712219"/>
      <w:bookmarkStart w:id="17" w:name="_Toc442713361"/>
      <w:r>
        <w:t>b.</w:t>
      </w:r>
      <w:r>
        <w:tab/>
      </w:r>
      <w:r w:rsidR="00EF182E" w:rsidRPr="00E66D9C">
        <w:t>Prong 2:  The Joint Stipulation</w:t>
      </w:r>
      <w:r w:rsidR="00E85060">
        <w:t xml:space="preserve">, as a package, </w:t>
      </w:r>
      <w:r w:rsidR="00EF182E" w:rsidRPr="00E66D9C">
        <w:t>violates important regulatory principles or practices</w:t>
      </w:r>
      <w:r w:rsidR="0076714B">
        <w:t>, which results in</w:t>
      </w:r>
      <w:r w:rsidR="00146AD0" w:rsidRPr="00E66D9C">
        <w:t xml:space="preserve"> harm</w:t>
      </w:r>
      <w:r w:rsidR="0076714B">
        <w:t xml:space="preserve"> to</w:t>
      </w:r>
      <w:r w:rsidR="00146AD0" w:rsidRPr="00E66D9C">
        <w:t xml:space="preserve"> consumers</w:t>
      </w:r>
      <w:r w:rsidR="00EF182E" w:rsidRPr="00E66D9C">
        <w:t>.</w:t>
      </w:r>
      <w:bookmarkEnd w:id="16"/>
      <w:bookmarkEnd w:id="17"/>
      <w:r w:rsidR="00EF182E" w:rsidRPr="00E66D9C">
        <w:t xml:space="preserve">  </w:t>
      </w:r>
    </w:p>
    <w:p w:rsidR="000267B5" w:rsidRDefault="00817CE0" w:rsidP="000267B5">
      <w:pPr>
        <w:spacing w:after="0" w:line="480" w:lineRule="auto"/>
        <w:ind w:firstLine="720"/>
        <w:rPr>
          <w:rFonts w:ascii="Times New Roman" w:hAnsi="Times New Roman" w:cs="Times New Roman"/>
          <w:sz w:val="24"/>
          <w:szCs w:val="24"/>
        </w:rPr>
      </w:pPr>
      <w:r w:rsidRPr="00817CE0">
        <w:rPr>
          <w:rFonts w:ascii="Times New Roman" w:hAnsi="Times New Roman" w:cs="Times New Roman"/>
          <w:sz w:val="24"/>
          <w:szCs w:val="24"/>
        </w:rPr>
        <w:t>Based on AEP Ohio</w:t>
      </w:r>
      <w:r w:rsidR="00130F92">
        <w:rPr>
          <w:rFonts w:ascii="Times New Roman" w:hAnsi="Times New Roman" w:cs="Times New Roman"/>
          <w:sz w:val="24"/>
          <w:szCs w:val="24"/>
        </w:rPr>
        <w:t>’</w:t>
      </w:r>
      <w:r w:rsidRPr="00817CE0">
        <w:rPr>
          <w:rFonts w:ascii="Times New Roman" w:hAnsi="Times New Roman" w:cs="Times New Roman"/>
          <w:sz w:val="24"/>
          <w:szCs w:val="24"/>
        </w:rPr>
        <w:t>s own evidence, and that of OCC and others</w:t>
      </w:r>
      <w:r w:rsidR="001A6735">
        <w:rPr>
          <w:rFonts w:ascii="Times New Roman" w:hAnsi="Times New Roman" w:cs="Times New Roman"/>
          <w:sz w:val="24"/>
          <w:szCs w:val="24"/>
        </w:rPr>
        <w:t xml:space="preserve"> (as </w:t>
      </w:r>
      <w:r w:rsidRPr="00817CE0">
        <w:rPr>
          <w:rFonts w:ascii="Times New Roman" w:hAnsi="Times New Roman" w:cs="Times New Roman"/>
          <w:sz w:val="24"/>
          <w:szCs w:val="24"/>
        </w:rPr>
        <w:t>OCC showed in its initial brief</w:t>
      </w:r>
      <w:r w:rsidR="001A6735">
        <w:rPr>
          <w:rFonts w:ascii="Times New Roman" w:hAnsi="Times New Roman" w:cs="Times New Roman"/>
          <w:sz w:val="24"/>
          <w:szCs w:val="24"/>
        </w:rPr>
        <w:t>)</w:t>
      </w:r>
      <w:r w:rsidR="006F1B99">
        <w:rPr>
          <w:rFonts w:ascii="Times New Roman" w:hAnsi="Times New Roman" w:cs="Times New Roman"/>
          <w:sz w:val="24"/>
          <w:szCs w:val="24"/>
        </w:rPr>
        <w:t>,</w:t>
      </w:r>
      <w:r w:rsidRPr="00817CE0">
        <w:rPr>
          <w:rFonts w:ascii="Times New Roman" w:hAnsi="Times New Roman" w:cs="Times New Roman"/>
          <w:sz w:val="24"/>
          <w:szCs w:val="24"/>
        </w:rPr>
        <w:t xml:space="preserve"> the </w:t>
      </w:r>
      <w:r>
        <w:rPr>
          <w:rFonts w:ascii="Times New Roman" w:hAnsi="Times New Roman" w:cs="Times New Roman"/>
          <w:sz w:val="24"/>
          <w:szCs w:val="24"/>
        </w:rPr>
        <w:t>second</w:t>
      </w:r>
      <w:r w:rsidRPr="00817CE0">
        <w:rPr>
          <w:rFonts w:ascii="Times New Roman" w:hAnsi="Times New Roman" w:cs="Times New Roman"/>
          <w:sz w:val="24"/>
          <w:szCs w:val="24"/>
        </w:rPr>
        <w:t xml:space="preserve"> prong is failed because</w:t>
      </w:r>
      <w:r>
        <w:rPr>
          <w:rFonts w:ascii="Times New Roman" w:hAnsi="Times New Roman" w:cs="Times New Roman"/>
          <w:sz w:val="24"/>
          <w:szCs w:val="24"/>
        </w:rPr>
        <w:t xml:space="preserve"> the Joint Stipulation contains little more than contingent </w:t>
      </w:r>
      <w:r w:rsidR="00130F92">
        <w:rPr>
          <w:rFonts w:ascii="Times New Roman" w:hAnsi="Times New Roman" w:cs="Times New Roman"/>
          <w:sz w:val="24"/>
          <w:szCs w:val="24"/>
        </w:rPr>
        <w:t>“</w:t>
      </w:r>
      <w:r>
        <w:rPr>
          <w:rFonts w:ascii="Times New Roman" w:hAnsi="Times New Roman" w:cs="Times New Roman"/>
          <w:sz w:val="24"/>
          <w:szCs w:val="24"/>
        </w:rPr>
        <w:t>commitments</w:t>
      </w:r>
      <w:r w:rsidR="00130F92">
        <w:rPr>
          <w:rFonts w:ascii="Times New Roman" w:hAnsi="Times New Roman" w:cs="Times New Roman"/>
          <w:sz w:val="24"/>
          <w:szCs w:val="24"/>
        </w:rPr>
        <w:t>”</w:t>
      </w:r>
      <w:r>
        <w:rPr>
          <w:rFonts w:ascii="Times New Roman" w:hAnsi="Times New Roman" w:cs="Times New Roman"/>
          <w:sz w:val="24"/>
          <w:szCs w:val="24"/>
        </w:rPr>
        <w:t xml:space="preserve"> to make future filings.  Such filings may or may not be approved.  Their purported benefits may or may not materialize.</w:t>
      </w:r>
    </w:p>
    <w:p w:rsidR="000267B5" w:rsidRDefault="000267B5" w:rsidP="00026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A077C5">
        <w:rPr>
          <w:rFonts w:ascii="Times New Roman" w:hAnsi="Times New Roman" w:cs="Times New Roman"/>
          <w:sz w:val="24"/>
          <w:szCs w:val="24"/>
        </w:rPr>
        <w:t xml:space="preserve">Settlement </w:t>
      </w:r>
      <w:r>
        <w:rPr>
          <w:rFonts w:ascii="Times New Roman" w:hAnsi="Times New Roman" w:cs="Times New Roman"/>
          <w:sz w:val="24"/>
          <w:szCs w:val="24"/>
        </w:rPr>
        <w:t>would create a mess of Ohio’s principle</w:t>
      </w:r>
      <w:r w:rsidR="006543E2">
        <w:rPr>
          <w:rFonts w:ascii="Times New Roman" w:hAnsi="Times New Roman" w:cs="Times New Roman"/>
          <w:sz w:val="24"/>
          <w:szCs w:val="24"/>
        </w:rPr>
        <w:t>s</w:t>
      </w:r>
      <w:r>
        <w:rPr>
          <w:rFonts w:ascii="Times New Roman" w:hAnsi="Times New Roman" w:cs="Times New Roman"/>
          <w:sz w:val="24"/>
          <w:szCs w:val="24"/>
        </w:rPr>
        <w:t xml:space="preserve"> (and policy in R.C. 4928.02</w:t>
      </w:r>
      <w:r w:rsidR="00363853">
        <w:rPr>
          <w:rFonts w:ascii="Times New Roman" w:hAnsi="Times New Roman" w:cs="Times New Roman"/>
          <w:sz w:val="24"/>
          <w:szCs w:val="24"/>
        </w:rPr>
        <w:t xml:space="preserve">(A) </w:t>
      </w:r>
      <w:r w:rsidR="00EF694A">
        <w:rPr>
          <w:rFonts w:ascii="Times New Roman" w:hAnsi="Times New Roman" w:cs="Times New Roman"/>
          <w:sz w:val="24"/>
          <w:szCs w:val="24"/>
        </w:rPr>
        <w:t>to</w:t>
      </w:r>
      <w:r w:rsidR="00363853">
        <w:rPr>
          <w:rFonts w:ascii="Times New Roman" w:hAnsi="Times New Roman" w:cs="Times New Roman"/>
          <w:sz w:val="24"/>
          <w:szCs w:val="24"/>
        </w:rPr>
        <w:t xml:space="preserve"> R.C. 4928.02(H)</w:t>
      </w:r>
      <w:r w:rsidR="00EF694A">
        <w:rPr>
          <w:rFonts w:ascii="Times New Roman" w:hAnsi="Times New Roman" w:cs="Times New Roman"/>
          <w:sz w:val="24"/>
          <w:szCs w:val="24"/>
        </w:rPr>
        <w:t>, and others</w:t>
      </w:r>
      <w:r>
        <w:rPr>
          <w:rFonts w:ascii="Times New Roman" w:hAnsi="Times New Roman" w:cs="Times New Roman"/>
          <w:sz w:val="24"/>
          <w:szCs w:val="24"/>
        </w:rPr>
        <w:t xml:space="preserve">) requiring the use of markets for setting electric generation prices for Ohioans. </w:t>
      </w:r>
      <w:r w:rsidR="00EF694A">
        <w:rPr>
          <w:rFonts w:ascii="Times New Roman" w:hAnsi="Times New Roman" w:cs="Times New Roman"/>
          <w:sz w:val="24"/>
          <w:szCs w:val="24"/>
        </w:rPr>
        <w:t xml:space="preserve"> Additionally, </w:t>
      </w:r>
      <w:r w:rsidR="006543E2">
        <w:rPr>
          <w:rFonts w:ascii="Times New Roman" w:hAnsi="Times New Roman" w:cs="Times New Roman"/>
          <w:sz w:val="24"/>
          <w:szCs w:val="24"/>
        </w:rPr>
        <w:t>AEP Ohio’s</w:t>
      </w:r>
      <w:r>
        <w:rPr>
          <w:rFonts w:ascii="Times New Roman" w:hAnsi="Times New Roman" w:cs="Times New Roman"/>
          <w:sz w:val="24"/>
          <w:szCs w:val="24"/>
        </w:rPr>
        <w:t xml:space="preserve"> subsidized power plants may be required to bid into markets at prices that will not clear (</w:t>
      </w:r>
      <w:r w:rsidR="006543E2">
        <w:rPr>
          <w:rFonts w:ascii="Times New Roman" w:hAnsi="Times New Roman" w:cs="Times New Roman"/>
          <w:sz w:val="24"/>
          <w:szCs w:val="24"/>
        </w:rPr>
        <w:t xml:space="preserve">per the </w:t>
      </w:r>
      <w:r>
        <w:rPr>
          <w:rFonts w:ascii="Times New Roman" w:hAnsi="Times New Roman" w:cs="Times New Roman"/>
          <w:sz w:val="24"/>
          <w:szCs w:val="24"/>
        </w:rPr>
        <w:t>PJ</w:t>
      </w:r>
      <w:r w:rsidR="006543E2">
        <w:rPr>
          <w:rFonts w:ascii="Times New Roman" w:hAnsi="Times New Roman" w:cs="Times New Roman"/>
          <w:sz w:val="24"/>
          <w:szCs w:val="24"/>
        </w:rPr>
        <w:t xml:space="preserve">M Market Monitor Brief at </w:t>
      </w:r>
      <w:r w:rsidR="00D722EE">
        <w:rPr>
          <w:rFonts w:ascii="Times New Roman" w:hAnsi="Times New Roman" w:cs="Times New Roman"/>
          <w:sz w:val="24"/>
          <w:szCs w:val="24"/>
        </w:rPr>
        <w:t>8-9</w:t>
      </w:r>
      <w:r w:rsidR="006543E2">
        <w:rPr>
          <w:rFonts w:ascii="Times New Roman" w:hAnsi="Times New Roman" w:cs="Times New Roman"/>
          <w:sz w:val="24"/>
          <w:szCs w:val="24"/>
        </w:rPr>
        <w:t>).  That means</w:t>
      </w:r>
      <w:r>
        <w:rPr>
          <w:rFonts w:ascii="Times New Roman" w:hAnsi="Times New Roman" w:cs="Times New Roman"/>
          <w:sz w:val="24"/>
          <w:szCs w:val="24"/>
        </w:rPr>
        <w:t xml:space="preserve"> Ohioans </w:t>
      </w:r>
      <w:r w:rsidR="006543E2">
        <w:rPr>
          <w:rFonts w:ascii="Times New Roman" w:hAnsi="Times New Roman" w:cs="Times New Roman"/>
          <w:sz w:val="24"/>
          <w:szCs w:val="24"/>
        </w:rPr>
        <w:t xml:space="preserve">would </w:t>
      </w:r>
      <w:r>
        <w:rPr>
          <w:rFonts w:ascii="Times New Roman" w:hAnsi="Times New Roman" w:cs="Times New Roman"/>
          <w:sz w:val="24"/>
          <w:szCs w:val="24"/>
        </w:rPr>
        <w:t>pay AEP Ohio even more</w:t>
      </w:r>
      <w:r w:rsidR="00A077C5">
        <w:rPr>
          <w:rFonts w:ascii="Times New Roman" w:hAnsi="Times New Roman" w:cs="Times New Roman"/>
          <w:sz w:val="24"/>
          <w:szCs w:val="24"/>
        </w:rPr>
        <w:t xml:space="preserve"> </w:t>
      </w:r>
      <w:r>
        <w:rPr>
          <w:rFonts w:ascii="Times New Roman" w:hAnsi="Times New Roman" w:cs="Times New Roman"/>
          <w:sz w:val="24"/>
          <w:szCs w:val="24"/>
        </w:rPr>
        <w:t>—</w:t>
      </w:r>
      <w:r w:rsidR="00A077C5">
        <w:rPr>
          <w:rFonts w:ascii="Times New Roman" w:hAnsi="Times New Roman" w:cs="Times New Roman"/>
          <w:sz w:val="24"/>
          <w:szCs w:val="24"/>
        </w:rPr>
        <w:t xml:space="preserve"> </w:t>
      </w:r>
      <w:r>
        <w:rPr>
          <w:rFonts w:ascii="Times New Roman" w:hAnsi="Times New Roman" w:cs="Times New Roman"/>
          <w:sz w:val="24"/>
          <w:szCs w:val="24"/>
        </w:rPr>
        <w:t>much more</w:t>
      </w:r>
      <w:r w:rsidR="00A077C5">
        <w:rPr>
          <w:rFonts w:ascii="Times New Roman" w:hAnsi="Times New Roman" w:cs="Times New Roman"/>
          <w:sz w:val="24"/>
          <w:szCs w:val="24"/>
        </w:rPr>
        <w:t xml:space="preserve"> </w:t>
      </w:r>
      <w:r>
        <w:rPr>
          <w:rFonts w:ascii="Times New Roman" w:hAnsi="Times New Roman" w:cs="Times New Roman"/>
          <w:sz w:val="24"/>
          <w:szCs w:val="24"/>
        </w:rPr>
        <w:t>—</w:t>
      </w:r>
      <w:r w:rsidR="00A077C5">
        <w:rPr>
          <w:rFonts w:ascii="Times New Roman" w:hAnsi="Times New Roman" w:cs="Times New Roman"/>
          <w:sz w:val="24"/>
          <w:szCs w:val="24"/>
        </w:rPr>
        <w:t xml:space="preserve"> </w:t>
      </w:r>
      <w:r>
        <w:rPr>
          <w:rFonts w:ascii="Times New Roman" w:hAnsi="Times New Roman" w:cs="Times New Roman"/>
          <w:sz w:val="24"/>
          <w:szCs w:val="24"/>
        </w:rPr>
        <w:t xml:space="preserve">that the $700 projected by OCC Witness Wilson. </w:t>
      </w:r>
    </w:p>
    <w:p w:rsidR="006543E2" w:rsidRDefault="000267B5" w:rsidP="00026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Ohio Energy Group (“OEG”), a signer of the </w:t>
      </w:r>
      <w:r w:rsidR="00A077C5">
        <w:rPr>
          <w:rFonts w:ascii="Times New Roman" w:hAnsi="Times New Roman" w:cs="Times New Roman"/>
          <w:sz w:val="24"/>
          <w:szCs w:val="24"/>
        </w:rPr>
        <w:t xml:space="preserve">Settlement </w:t>
      </w:r>
      <w:r>
        <w:rPr>
          <w:rFonts w:ascii="Times New Roman" w:hAnsi="Times New Roman" w:cs="Times New Roman"/>
          <w:sz w:val="24"/>
          <w:szCs w:val="24"/>
        </w:rPr>
        <w:t>no less, has rightly expressed its concern that this eventuality “would dramatically raise the level of costs collected [from customers] through t</w:t>
      </w:r>
      <w:r w:rsidR="006F1B99">
        <w:rPr>
          <w:rFonts w:ascii="Times New Roman" w:hAnsi="Times New Roman" w:cs="Times New Roman"/>
          <w:sz w:val="24"/>
          <w:szCs w:val="24"/>
        </w:rPr>
        <w:t>he PPA Rider.” (OEG Brief at 20</w:t>
      </w:r>
      <w:r>
        <w:rPr>
          <w:rFonts w:ascii="Times New Roman" w:hAnsi="Times New Roman" w:cs="Times New Roman"/>
          <w:sz w:val="24"/>
          <w:szCs w:val="24"/>
        </w:rPr>
        <w:t>)</w:t>
      </w:r>
      <w:r w:rsidR="006F1B99">
        <w:rPr>
          <w:rFonts w:ascii="Times New Roman" w:hAnsi="Times New Roman" w:cs="Times New Roman"/>
          <w:sz w:val="24"/>
          <w:szCs w:val="24"/>
        </w:rPr>
        <w:t>.</w:t>
      </w:r>
      <w:r>
        <w:rPr>
          <w:rFonts w:ascii="Times New Roman" w:hAnsi="Times New Roman" w:cs="Times New Roman"/>
          <w:sz w:val="24"/>
          <w:szCs w:val="24"/>
        </w:rPr>
        <w:t xml:space="preserve">  OEG wants the PUCO to “reserve the right to reevaluate, modify, or terminate the PPA rider….” </w:t>
      </w:r>
      <w:r w:rsidR="00A077C5">
        <w:rPr>
          <w:rFonts w:ascii="Times New Roman" w:hAnsi="Times New Roman" w:cs="Times New Roman"/>
          <w:sz w:val="24"/>
          <w:szCs w:val="24"/>
        </w:rPr>
        <w:t>(</w:t>
      </w:r>
      <w:r w:rsidR="00A077C5">
        <w:rPr>
          <w:rFonts w:ascii="Times New Roman" w:hAnsi="Times New Roman" w:cs="Times New Roman"/>
          <w:i/>
          <w:sz w:val="24"/>
          <w:szCs w:val="24"/>
        </w:rPr>
        <w:t>Id.</w:t>
      </w:r>
      <w:r w:rsidR="00A077C5">
        <w:rPr>
          <w:rFonts w:ascii="Times New Roman" w:hAnsi="Times New Roman" w:cs="Times New Roman"/>
          <w:sz w:val="24"/>
          <w:szCs w:val="24"/>
        </w:rPr>
        <w:t xml:space="preserve">)  </w:t>
      </w:r>
      <w:r>
        <w:rPr>
          <w:rFonts w:ascii="Times New Roman" w:hAnsi="Times New Roman" w:cs="Times New Roman"/>
          <w:sz w:val="24"/>
          <w:szCs w:val="24"/>
        </w:rPr>
        <w:t xml:space="preserve">That’s very telling, coming from a </w:t>
      </w:r>
      <w:r w:rsidR="006543E2">
        <w:rPr>
          <w:rFonts w:ascii="Times New Roman" w:hAnsi="Times New Roman" w:cs="Times New Roman"/>
          <w:sz w:val="24"/>
          <w:szCs w:val="24"/>
        </w:rPr>
        <w:t>settlement signatory and a group of large customers</w:t>
      </w:r>
      <w:r>
        <w:rPr>
          <w:rFonts w:ascii="Times New Roman" w:hAnsi="Times New Roman" w:cs="Times New Roman"/>
          <w:sz w:val="24"/>
          <w:szCs w:val="24"/>
        </w:rPr>
        <w:t xml:space="preserve">. </w:t>
      </w:r>
    </w:p>
    <w:p w:rsidR="00962D97" w:rsidRDefault="006543E2" w:rsidP="00026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a much </w:t>
      </w:r>
      <w:r w:rsidR="000267B5">
        <w:rPr>
          <w:rFonts w:ascii="Times New Roman" w:hAnsi="Times New Roman" w:cs="Times New Roman"/>
          <w:sz w:val="24"/>
          <w:szCs w:val="24"/>
        </w:rPr>
        <w:t>better idea</w:t>
      </w:r>
      <w:r>
        <w:rPr>
          <w:rFonts w:ascii="Times New Roman" w:hAnsi="Times New Roman" w:cs="Times New Roman"/>
          <w:sz w:val="24"/>
          <w:szCs w:val="24"/>
        </w:rPr>
        <w:t xml:space="preserve"> is to avoid the need to reevaluate and terminate the </w:t>
      </w:r>
      <w:r w:rsidR="00A077C5">
        <w:rPr>
          <w:rFonts w:ascii="Times New Roman" w:hAnsi="Times New Roman" w:cs="Times New Roman"/>
          <w:sz w:val="24"/>
          <w:szCs w:val="24"/>
        </w:rPr>
        <w:t xml:space="preserve">Settlement </w:t>
      </w:r>
      <w:r>
        <w:rPr>
          <w:rFonts w:ascii="Times New Roman" w:hAnsi="Times New Roman" w:cs="Times New Roman"/>
          <w:sz w:val="24"/>
          <w:szCs w:val="24"/>
        </w:rPr>
        <w:t>by rejecting it in the first place.</w:t>
      </w:r>
      <w:r w:rsidR="000267B5">
        <w:rPr>
          <w:rFonts w:ascii="Times New Roman" w:hAnsi="Times New Roman" w:cs="Times New Roman"/>
          <w:sz w:val="24"/>
          <w:szCs w:val="24"/>
        </w:rPr>
        <w:t xml:space="preserve"> Dr. Hisham Choueiki, PUCO Staff witness</w:t>
      </w:r>
      <w:r>
        <w:rPr>
          <w:rFonts w:ascii="Times New Roman" w:hAnsi="Times New Roman" w:cs="Times New Roman"/>
          <w:sz w:val="24"/>
          <w:szCs w:val="24"/>
        </w:rPr>
        <w:t>, testified that</w:t>
      </w:r>
      <w:r w:rsidR="000267B5">
        <w:rPr>
          <w:rFonts w:ascii="Times New Roman" w:hAnsi="Times New Roman" w:cs="Times New Roman"/>
          <w:sz w:val="24"/>
          <w:szCs w:val="24"/>
        </w:rPr>
        <w:t xml:space="preserve"> “</w:t>
      </w:r>
      <w:r w:rsidR="00D722EE">
        <w:rPr>
          <w:rFonts w:ascii="Times New Roman" w:hAnsi="Times New Roman" w:cs="Times New Roman"/>
          <w:sz w:val="24"/>
          <w:szCs w:val="24"/>
        </w:rPr>
        <w:t>[i]</w:t>
      </w:r>
      <w:r w:rsidR="000267B5">
        <w:rPr>
          <w:rFonts w:ascii="Times New Roman" w:hAnsi="Times New Roman" w:cs="Times New Roman"/>
          <w:sz w:val="24"/>
          <w:szCs w:val="24"/>
        </w:rPr>
        <w:t xml:space="preserve">t’s a fully functionally competitive market in Ohio, a generation service, so there is no need for anything else on the generation side.” (Transcript </w:t>
      </w:r>
      <w:r w:rsidR="00A077C5">
        <w:rPr>
          <w:rFonts w:ascii="Times New Roman" w:hAnsi="Times New Roman" w:cs="Times New Roman"/>
          <w:sz w:val="24"/>
          <w:szCs w:val="24"/>
        </w:rPr>
        <w:t xml:space="preserve">at Vol. </w:t>
      </w:r>
      <w:r w:rsidR="000267B5">
        <w:rPr>
          <w:rFonts w:ascii="Times New Roman" w:hAnsi="Times New Roman" w:cs="Times New Roman"/>
          <w:sz w:val="24"/>
          <w:szCs w:val="24"/>
        </w:rPr>
        <w:t>XVI</w:t>
      </w:r>
      <w:r w:rsidR="00A077C5">
        <w:rPr>
          <w:rFonts w:ascii="Times New Roman" w:hAnsi="Times New Roman" w:cs="Times New Roman"/>
          <w:sz w:val="24"/>
          <w:szCs w:val="24"/>
        </w:rPr>
        <w:t>,</w:t>
      </w:r>
      <w:r w:rsidR="000267B5">
        <w:rPr>
          <w:rFonts w:ascii="Times New Roman" w:hAnsi="Times New Roman" w:cs="Times New Roman"/>
          <w:sz w:val="24"/>
          <w:szCs w:val="24"/>
        </w:rPr>
        <w:t xml:space="preserve"> </w:t>
      </w:r>
      <w:r w:rsidR="00A077C5">
        <w:rPr>
          <w:rFonts w:ascii="Times New Roman" w:hAnsi="Times New Roman" w:cs="Times New Roman"/>
          <w:sz w:val="24"/>
          <w:szCs w:val="24"/>
        </w:rPr>
        <w:t xml:space="preserve">p. </w:t>
      </w:r>
      <w:r w:rsidR="000267B5">
        <w:rPr>
          <w:rFonts w:ascii="Times New Roman" w:hAnsi="Times New Roman" w:cs="Times New Roman"/>
          <w:sz w:val="24"/>
          <w:szCs w:val="24"/>
        </w:rPr>
        <w:t>3915</w:t>
      </w:r>
      <w:r w:rsidR="00D722EE">
        <w:rPr>
          <w:rFonts w:ascii="Times New Roman" w:hAnsi="Times New Roman" w:cs="Times New Roman"/>
          <w:sz w:val="24"/>
          <w:szCs w:val="24"/>
        </w:rPr>
        <w:t>:17-22</w:t>
      </w:r>
      <w:r w:rsidR="000267B5">
        <w:rPr>
          <w:rFonts w:ascii="Times New Roman" w:hAnsi="Times New Roman" w:cs="Times New Roman"/>
          <w:sz w:val="24"/>
          <w:szCs w:val="24"/>
        </w:rPr>
        <w:t>)</w:t>
      </w:r>
      <w:r>
        <w:rPr>
          <w:rFonts w:ascii="Times New Roman" w:hAnsi="Times New Roman" w:cs="Times New Roman"/>
          <w:sz w:val="24"/>
          <w:szCs w:val="24"/>
        </w:rPr>
        <w:t>.  That is so true. At this point in Ohio’s arc of embracing competitive markets for pricing of electric generation services, regulatory principles hold no place for re</w:t>
      </w:r>
      <w:r w:rsidR="005E2FF4">
        <w:rPr>
          <w:rFonts w:ascii="Times New Roman" w:hAnsi="Times New Roman" w:cs="Times New Roman"/>
          <w:sz w:val="24"/>
          <w:szCs w:val="24"/>
        </w:rPr>
        <w:t>-</w:t>
      </w:r>
      <w:r>
        <w:rPr>
          <w:rFonts w:ascii="Times New Roman" w:hAnsi="Times New Roman" w:cs="Times New Roman"/>
          <w:sz w:val="24"/>
          <w:szCs w:val="24"/>
        </w:rPr>
        <w:t>regulatory PPA proposals.</w:t>
      </w:r>
    </w:p>
    <w:p w:rsidR="00727817" w:rsidRDefault="00C3668F" w:rsidP="00817C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term for 900 megawatts of renewable energy plants is an</w:t>
      </w:r>
      <w:r w:rsidR="006543E2">
        <w:rPr>
          <w:rFonts w:ascii="Times New Roman" w:hAnsi="Times New Roman" w:cs="Times New Roman"/>
          <w:sz w:val="24"/>
          <w:szCs w:val="24"/>
        </w:rPr>
        <w:t>other</w:t>
      </w:r>
      <w:r>
        <w:rPr>
          <w:rFonts w:ascii="Times New Roman" w:hAnsi="Times New Roman" w:cs="Times New Roman"/>
          <w:sz w:val="24"/>
          <w:szCs w:val="24"/>
        </w:rPr>
        <w:t xml:space="preserve"> example of the </w:t>
      </w:r>
      <w:r w:rsidR="00716AF2">
        <w:rPr>
          <w:rFonts w:ascii="Times New Roman" w:hAnsi="Times New Roman" w:cs="Times New Roman"/>
          <w:sz w:val="24"/>
          <w:szCs w:val="24"/>
        </w:rPr>
        <w:t xml:space="preserve">stipulators’ </w:t>
      </w:r>
      <w:r>
        <w:rPr>
          <w:rFonts w:ascii="Times New Roman" w:hAnsi="Times New Roman" w:cs="Times New Roman"/>
          <w:sz w:val="24"/>
          <w:szCs w:val="24"/>
        </w:rPr>
        <w:t>disregard for regulatory principles.  As Dr. Choueiki testified for the PUCO Staff, Ohio is a “fully functionally competitive market” for generation.</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Therefore, the regulatory principle is that Ohio consumers pay ma</w:t>
      </w:r>
      <w:r w:rsidR="00C9547A">
        <w:rPr>
          <w:rFonts w:ascii="Times New Roman" w:hAnsi="Times New Roman" w:cs="Times New Roman"/>
          <w:sz w:val="24"/>
          <w:szCs w:val="24"/>
        </w:rPr>
        <w:t>rket prices for generation</w:t>
      </w:r>
      <w:r w:rsidR="005E2FF4">
        <w:rPr>
          <w:rFonts w:ascii="Times New Roman" w:hAnsi="Times New Roman" w:cs="Times New Roman"/>
          <w:sz w:val="24"/>
          <w:szCs w:val="24"/>
        </w:rPr>
        <w:t xml:space="preserve">.  Ohioans </w:t>
      </w:r>
      <w:r w:rsidR="00C9547A">
        <w:rPr>
          <w:rFonts w:ascii="Times New Roman" w:hAnsi="Times New Roman" w:cs="Times New Roman"/>
          <w:sz w:val="24"/>
          <w:szCs w:val="24"/>
        </w:rPr>
        <w:t xml:space="preserve">aren’t supposed to pay </w:t>
      </w:r>
      <w:r>
        <w:rPr>
          <w:rFonts w:ascii="Times New Roman" w:hAnsi="Times New Roman" w:cs="Times New Roman"/>
          <w:sz w:val="24"/>
          <w:szCs w:val="24"/>
        </w:rPr>
        <w:t>government-</w:t>
      </w:r>
      <w:r w:rsidR="00334DF7">
        <w:rPr>
          <w:rFonts w:ascii="Times New Roman" w:hAnsi="Times New Roman" w:cs="Times New Roman"/>
          <w:sz w:val="24"/>
          <w:szCs w:val="24"/>
        </w:rPr>
        <w:t>imposed</w:t>
      </w:r>
      <w:r>
        <w:rPr>
          <w:rFonts w:ascii="Times New Roman" w:hAnsi="Times New Roman" w:cs="Times New Roman"/>
          <w:sz w:val="24"/>
          <w:szCs w:val="24"/>
        </w:rPr>
        <w:t xml:space="preserve"> rates</w:t>
      </w:r>
      <w:r w:rsidR="005E2FF4">
        <w:rPr>
          <w:rFonts w:ascii="Times New Roman" w:hAnsi="Times New Roman" w:cs="Times New Roman"/>
          <w:sz w:val="24"/>
          <w:szCs w:val="24"/>
        </w:rPr>
        <w:t xml:space="preserve"> for monopoly generation projects,</w:t>
      </w:r>
      <w:r>
        <w:rPr>
          <w:rFonts w:ascii="Times New Roman" w:hAnsi="Times New Roman" w:cs="Times New Roman"/>
          <w:sz w:val="24"/>
          <w:szCs w:val="24"/>
        </w:rPr>
        <w:t xml:space="preserve"> as Sierra Club and AEP Ohio would have it</w:t>
      </w:r>
      <w:r w:rsidR="00F4343C">
        <w:rPr>
          <w:rFonts w:ascii="Times New Roman" w:hAnsi="Times New Roman" w:cs="Times New Roman"/>
          <w:sz w:val="24"/>
          <w:szCs w:val="24"/>
        </w:rPr>
        <w:t>.</w:t>
      </w:r>
      <w:r w:rsidR="00D722EE">
        <w:rPr>
          <w:rStyle w:val="FootnoteReference"/>
          <w:rFonts w:ascii="Times New Roman" w:hAnsi="Times New Roman" w:cs="Times New Roman"/>
          <w:sz w:val="24"/>
          <w:szCs w:val="24"/>
        </w:rPr>
        <w:footnoteReference w:id="43"/>
      </w:r>
      <w:r w:rsidR="00F4343C">
        <w:rPr>
          <w:rFonts w:ascii="Times New Roman" w:hAnsi="Times New Roman" w:cs="Times New Roman"/>
          <w:sz w:val="24"/>
          <w:szCs w:val="24"/>
        </w:rPr>
        <w:t xml:space="preserve">  They </w:t>
      </w:r>
      <w:r>
        <w:rPr>
          <w:rFonts w:ascii="Times New Roman" w:hAnsi="Times New Roman" w:cs="Times New Roman"/>
          <w:sz w:val="24"/>
          <w:szCs w:val="24"/>
        </w:rPr>
        <w:t>turn</w:t>
      </w:r>
      <w:r w:rsidR="00F4343C">
        <w:rPr>
          <w:rFonts w:ascii="Times New Roman" w:hAnsi="Times New Roman" w:cs="Times New Roman"/>
          <w:sz w:val="24"/>
          <w:szCs w:val="24"/>
        </w:rPr>
        <w:t xml:space="preserve"> Ohio policy</w:t>
      </w:r>
      <w:r w:rsidR="005E2FF4">
        <w:rPr>
          <w:rFonts w:ascii="Times New Roman" w:hAnsi="Times New Roman" w:cs="Times New Roman"/>
          <w:sz w:val="24"/>
          <w:szCs w:val="24"/>
        </w:rPr>
        <w:t xml:space="preserve"> and regulatory principles</w:t>
      </w:r>
      <w:r w:rsidR="00F4343C">
        <w:rPr>
          <w:rFonts w:ascii="Times New Roman" w:hAnsi="Times New Roman" w:cs="Times New Roman"/>
          <w:sz w:val="24"/>
          <w:szCs w:val="24"/>
        </w:rPr>
        <w:t xml:space="preserve"> in R.C. 4928.02 upside down</w:t>
      </w:r>
      <w:r>
        <w:rPr>
          <w:rFonts w:ascii="Times New Roman" w:hAnsi="Times New Roman" w:cs="Times New Roman"/>
          <w:sz w:val="24"/>
          <w:szCs w:val="24"/>
        </w:rPr>
        <w:t xml:space="preserve">. </w:t>
      </w:r>
    </w:p>
    <w:p w:rsidR="00962D97" w:rsidRDefault="00727817" w:rsidP="007278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regard, the Ohio General Assembly determined, in Senate Bill 310, to freeze the renewable energy mandates.  And the General Assembly ended the in-state preference.  It is not for AEP Ohio and Sierra Club to unilaterally undo what the Ohio General Assembly resolved.</w:t>
      </w:r>
    </w:p>
    <w:p w:rsidR="00F73271" w:rsidRDefault="00C9547A" w:rsidP="00817C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inaptly named “Competition Incentive” Rider</w:t>
      </w:r>
      <w:r w:rsidR="00D722EE">
        <w:rPr>
          <w:rFonts w:ascii="Times New Roman" w:hAnsi="Times New Roman" w:cs="Times New Roman"/>
          <w:sz w:val="24"/>
          <w:szCs w:val="24"/>
        </w:rPr>
        <w:t xml:space="preserve"> </w:t>
      </w:r>
      <w:r>
        <w:rPr>
          <w:rFonts w:ascii="Times New Roman" w:hAnsi="Times New Roman" w:cs="Times New Roman"/>
          <w:sz w:val="24"/>
          <w:szCs w:val="24"/>
        </w:rPr>
        <w:t>--</w:t>
      </w:r>
      <w:r w:rsidR="00D722EE">
        <w:rPr>
          <w:rFonts w:ascii="Times New Roman" w:hAnsi="Times New Roman" w:cs="Times New Roman"/>
          <w:sz w:val="24"/>
          <w:szCs w:val="24"/>
        </w:rPr>
        <w:t xml:space="preserve"> </w:t>
      </w:r>
      <w:r>
        <w:rPr>
          <w:rFonts w:ascii="Times New Roman" w:hAnsi="Times New Roman" w:cs="Times New Roman"/>
          <w:sz w:val="24"/>
          <w:szCs w:val="24"/>
        </w:rPr>
        <w:t>which in reality undermines competition and is a disincentive for effective markets for serving Ohio consumers</w:t>
      </w:r>
      <w:r w:rsidR="00D722EE">
        <w:rPr>
          <w:rFonts w:ascii="Times New Roman" w:hAnsi="Times New Roman" w:cs="Times New Roman"/>
          <w:sz w:val="24"/>
          <w:szCs w:val="24"/>
        </w:rPr>
        <w:t xml:space="preserve"> </w:t>
      </w:r>
      <w:r>
        <w:rPr>
          <w:rFonts w:ascii="Times New Roman" w:hAnsi="Times New Roman" w:cs="Times New Roman"/>
          <w:sz w:val="24"/>
          <w:szCs w:val="24"/>
        </w:rPr>
        <w:t>--</w:t>
      </w:r>
      <w:r w:rsidR="00D722EE">
        <w:rPr>
          <w:rFonts w:ascii="Times New Roman" w:hAnsi="Times New Roman" w:cs="Times New Roman"/>
          <w:sz w:val="24"/>
          <w:szCs w:val="24"/>
        </w:rPr>
        <w:t xml:space="preserve"> </w:t>
      </w:r>
      <w:r>
        <w:rPr>
          <w:rFonts w:ascii="Times New Roman" w:hAnsi="Times New Roman" w:cs="Times New Roman"/>
          <w:sz w:val="24"/>
          <w:szCs w:val="24"/>
        </w:rPr>
        <w:t xml:space="preserve">is another term that is a violation of regulatory principles.  Even the Ohio Providers of Affordable Energy (whose </w:t>
      </w:r>
      <w:r w:rsidR="00DE5B8B">
        <w:rPr>
          <w:rFonts w:ascii="Times New Roman" w:hAnsi="Times New Roman" w:cs="Times New Roman"/>
          <w:sz w:val="24"/>
          <w:szCs w:val="24"/>
        </w:rPr>
        <w:t xml:space="preserve">settlement </w:t>
      </w:r>
      <w:r>
        <w:rPr>
          <w:rFonts w:ascii="Times New Roman" w:hAnsi="Times New Roman" w:cs="Times New Roman"/>
          <w:sz w:val="24"/>
          <w:szCs w:val="24"/>
        </w:rPr>
        <w:t>signature</w:t>
      </w:r>
      <w:r w:rsidR="00334DF7">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F73271">
        <w:rPr>
          <w:rFonts w:ascii="Times New Roman" w:hAnsi="Times New Roman" w:cs="Times New Roman"/>
          <w:sz w:val="24"/>
          <w:szCs w:val="24"/>
        </w:rPr>
        <w:t xml:space="preserve">ironically </w:t>
      </w:r>
      <w:r>
        <w:rPr>
          <w:rFonts w:ascii="Times New Roman" w:hAnsi="Times New Roman" w:cs="Times New Roman"/>
          <w:sz w:val="24"/>
          <w:szCs w:val="24"/>
        </w:rPr>
        <w:t xml:space="preserve">make energy </w:t>
      </w:r>
      <w:r w:rsidRPr="00E566F6">
        <w:rPr>
          <w:rFonts w:ascii="Times New Roman" w:hAnsi="Times New Roman" w:cs="Times New Roman"/>
          <w:i/>
          <w:sz w:val="24"/>
          <w:szCs w:val="24"/>
        </w:rPr>
        <w:t xml:space="preserve">less affordable </w:t>
      </w:r>
      <w:r>
        <w:rPr>
          <w:rFonts w:ascii="Times New Roman" w:hAnsi="Times New Roman" w:cs="Times New Roman"/>
          <w:sz w:val="24"/>
          <w:szCs w:val="24"/>
        </w:rPr>
        <w:t xml:space="preserve">for a million </w:t>
      </w:r>
      <w:r w:rsidR="00F73271">
        <w:rPr>
          <w:rFonts w:ascii="Times New Roman" w:hAnsi="Times New Roman" w:cs="Times New Roman"/>
          <w:sz w:val="24"/>
          <w:szCs w:val="24"/>
        </w:rPr>
        <w:t>Ohio consumers</w:t>
      </w:r>
      <w:r w:rsidR="007062C1">
        <w:rPr>
          <w:rFonts w:ascii="Times New Roman" w:hAnsi="Times New Roman" w:cs="Times New Roman"/>
          <w:sz w:val="24"/>
          <w:szCs w:val="24"/>
        </w:rPr>
        <w:t xml:space="preserve"> by about $700</w:t>
      </w:r>
      <w:r w:rsidR="005E2FF4">
        <w:rPr>
          <w:rFonts w:ascii="Times New Roman" w:hAnsi="Times New Roman" w:cs="Times New Roman"/>
          <w:sz w:val="24"/>
          <w:szCs w:val="24"/>
        </w:rPr>
        <w:t xml:space="preserve"> each</w:t>
      </w:r>
      <w:r w:rsidR="007062C1">
        <w:rPr>
          <w:rFonts w:ascii="Times New Roman" w:hAnsi="Times New Roman" w:cs="Times New Roman"/>
          <w:sz w:val="24"/>
          <w:szCs w:val="24"/>
        </w:rPr>
        <w:t xml:space="preserve"> or more</w:t>
      </w:r>
      <w:r w:rsidR="007062C1">
        <w:rPr>
          <w:rStyle w:val="FootnoteReference"/>
          <w:rFonts w:ascii="Times New Roman" w:hAnsi="Times New Roman" w:cs="Times New Roman"/>
          <w:sz w:val="24"/>
          <w:szCs w:val="24"/>
        </w:rPr>
        <w:footnoteReference w:id="44"/>
      </w:r>
      <w:r>
        <w:rPr>
          <w:rFonts w:ascii="Times New Roman" w:hAnsi="Times New Roman" w:cs="Times New Roman"/>
          <w:sz w:val="24"/>
          <w:szCs w:val="24"/>
        </w:rPr>
        <w:t>)</w:t>
      </w:r>
      <w:r w:rsidR="00F73271">
        <w:rPr>
          <w:rFonts w:ascii="Times New Roman" w:hAnsi="Times New Roman" w:cs="Times New Roman"/>
          <w:sz w:val="24"/>
          <w:szCs w:val="24"/>
        </w:rPr>
        <w:t xml:space="preserve"> would not sign this one.  (It footnoted out.)</w:t>
      </w:r>
      <w:r>
        <w:rPr>
          <w:rFonts w:ascii="Times New Roman" w:hAnsi="Times New Roman" w:cs="Times New Roman"/>
          <w:sz w:val="24"/>
          <w:szCs w:val="24"/>
        </w:rPr>
        <w:t xml:space="preserve">  </w:t>
      </w:r>
    </w:p>
    <w:p w:rsidR="00C9547A" w:rsidRDefault="00C9547A" w:rsidP="00817C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term is a low-point for regulatory principles </w:t>
      </w:r>
      <w:r w:rsidR="00F73271">
        <w:rPr>
          <w:rFonts w:ascii="Times New Roman" w:hAnsi="Times New Roman" w:cs="Times New Roman"/>
          <w:sz w:val="24"/>
          <w:szCs w:val="24"/>
        </w:rPr>
        <w:t>(</w:t>
      </w:r>
      <w:r>
        <w:rPr>
          <w:rFonts w:ascii="Times New Roman" w:hAnsi="Times New Roman" w:cs="Times New Roman"/>
          <w:sz w:val="24"/>
          <w:szCs w:val="24"/>
        </w:rPr>
        <w:t xml:space="preserve">and the misuse of </w:t>
      </w:r>
      <w:r w:rsidR="00F73271">
        <w:rPr>
          <w:rFonts w:ascii="Times New Roman" w:hAnsi="Times New Roman" w:cs="Times New Roman"/>
          <w:sz w:val="24"/>
          <w:szCs w:val="24"/>
        </w:rPr>
        <w:t xml:space="preserve">the </w:t>
      </w:r>
      <w:r>
        <w:rPr>
          <w:rFonts w:ascii="Times New Roman" w:hAnsi="Times New Roman" w:cs="Times New Roman"/>
          <w:sz w:val="24"/>
          <w:szCs w:val="24"/>
        </w:rPr>
        <w:t>English</w:t>
      </w:r>
      <w:r w:rsidR="00F73271">
        <w:rPr>
          <w:rFonts w:ascii="Times New Roman" w:hAnsi="Times New Roman" w:cs="Times New Roman"/>
          <w:sz w:val="24"/>
          <w:szCs w:val="24"/>
        </w:rPr>
        <w:t xml:space="preserve"> language)</w:t>
      </w:r>
      <w:r>
        <w:rPr>
          <w:rFonts w:ascii="Times New Roman" w:hAnsi="Times New Roman" w:cs="Times New Roman"/>
          <w:sz w:val="24"/>
          <w:szCs w:val="24"/>
        </w:rPr>
        <w:t>.</w:t>
      </w:r>
      <w:r w:rsidR="00F73271">
        <w:rPr>
          <w:rFonts w:ascii="Times New Roman" w:hAnsi="Times New Roman" w:cs="Times New Roman"/>
          <w:sz w:val="24"/>
          <w:szCs w:val="24"/>
        </w:rPr>
        <w:t xml:space="preserve">  At the expense of standard offer consumers, the term will</w:t>
      </w:r>
      <w:r w:rsidR="00633982">
        <w:rPr>
          <w:rFonts w:ascii="Times New Roman" w:hAnsi="Times New Roman" w:cs="Times New Roman"/>
          <w:sz w:val="24"/>
          <w:szCs w:val="24"/>
        </w:rPr>
        <w:t xml:space="preserve"> have government regulators artificially</w:t>
      </w:r>
      <w:r w:rsidR="00F73271">
        <w:rPr>
          <w:rFonts w:ascii="Times New Roman" w:hAnsi="Times New Roman" w:cs="Times New Roman"/>
          <w:sz w:val="24"/>
          <w:szCs w:val="24"/>
        </w:rPr>
        <w:t xml:space="preserve"> </w:t>
      </w:r>
      <w:r w:rsidR="00633982">
        <w:rPr>
          <w:rFonts w:ascii="Times New Roman" w:hAnsi="Times New Roman" w:cs="Times New Roman"/>
          <w:sz w:val="24"/>
          <w:szCs w:val="24"/>
        </w:rPr>
        <w:t xml:space="preserve">increase the price of the market-based standard offer.  That </w:t>
      </w:r>
      <w:r w:rsidR="008334FD">
        <w:rPr>
          <w:rFonts w:ascii="Times New Roman" w:hAnsi="Times New Roman" w:cs="Times New Roman"/>
          <w:sz w:val="24"/>
          <w:szCs w:val="24"/>
        </w:rPr>
        <w:t>bit of government and marketer interference in the electricity market</w:t>
      </w:r>
      <w:r w:rsidR="00633982">
        <w:rPr>
          <w:rFonts w:ascii="Times New Roman" w:hAnsi="Times New Roman" w:cs="Times New Roman"/>
          <w:sz w:val="24"/>
          <w:szCs w:val="24"/>
        </w:rPr>
        <w:t xml:space="preserve"> </w:t>
      </w:r>
      <w:r w:rsidR="008334FD">
        <w:rPr>
          <w:rFonts w:ascii="Times New Roman" w:hAnsi="Times New Roman" w:cs="Times New Roman"/>
          <w:sz w:val="24"/>
          <w:szCs w:val="24"/>
        </w:rPr>
        <w:t xml:space="preserve">will help </w:t>
      </w:r>
      <w:r w:rsidR="00F73271">
        <w:rPr>
          <w:rFonts w:ascii="Times New Roman" w:hAnsi="Times New Roman" w:cs="Times New Roman"/>
          <w:sz w:val="24"/>
          <w:szCs w:val="24"/>
        </w:rPr>
        <w:t xml:space="preserve">drive consumers to </w:t>
      </w:r>
      <w:r w:rsidR="008334FD">
        <w:rPr>
          <w:rFonts w:ascii="Times New Roman" w:hAnsi="Times New Roman" w:cs="Times New Roman"/>
          <w:sz w:val="24"/>
          <w:szCs w:val="24"/>
        </w:rPr>
        <w:t>marketers</w:t>
      </w:r>
      <w:r w:rsidR="00F73271">
        <w:rPr>
          <w:rFonts w:ascii="Times New Roman" w:hAnsi="Times New Roman" w:cs="Times New Roman"/>
          <w:sz w:val="24"/>
          <w:szCs w:val="24"/>
        </w:rPr>
        <w:t xml:space="preserve"> such as, unsurprisingly, IGS and Direct Energy.</w:t>
      </w:r>
      <w:r w:rsidR="003F247B">
        <w:rPr>
          <w:rFonts w:ascii="Times New Roman" w:hAnsi="Times New Roman" w:cs="Times New Roman"/>
          <w:sz w:val="24"/>
          <w:szCs w:val="24"/>
        </w:rPr>
        <w:t xml:space="preserve">  That is bad for consumers.</w:t>
      </w:r>
    </w:p>
    <w:p w:rsidR="00146AD0" w:rsidRDefault="00817CE0" w:rsidP="00817C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the PUCO should require a level of certitude, and a level of clarity, of stipulations.  The Joint Stipulation contains so many unknowns, and is so vague and ambiguous, that it is </w:t>
      </w:r>
      <w:r w:rsidR="00146AD0">
        <w:rPr>
          <w:rFonts w:ascii="Times New Roman" w:hAnsi="Times New Roman" w:cs="Times New Roman"/>
          <w:sz w:val="24"/>
          <w:szCs w:val="24"/>
        </w:rPr>
        <w:t>uncertain and unclear.  Its rate design is flawed</w:t>
      </w:r>
      <w:r w:rsidR="0060543C">
        <w:rPr>
          <w:rFonts w:ascii="Times New Roman" w:hAnsi="Times New Roman" w:cs="Times New Roman"/>
          <w:sz w:val="24"/>
          <w:szCs w:val="24"/>
        </w:rPr>
        <w:t xml:space="preserve"> because it departs from principles of cost causation and disproportionately affects residential customers</w:t>
      </w:r>
      <w:r w:rsidR="00146AD0">
        <w:rPr>
          <w:rFonts w:ascii="Times New Roman" w:hAnsi="Times New Roman" w:cs="Times New Roman"/>
          <w:sz w:val="24"/>
          <w:szCs w:val="24"/>
        </w:rPr>
        <w:t>.</w:t>
      </w:r>
      <w:r w:rsidR="00995B22">
        <w:rPr>
          <w:rStyle w:val="FootnoteReference"/>
          <w:rFonts w:ascii="Times New Roman" w:hAnsi="Times New Roman" w:cs="Times New Roman"/>
          <w:sz w:val="24"/>
          <w:szCs w:val="24"/>
        </w:rPr>
        <w:footnoteReference w:id="45"/>
      </w:r>
    </w:p>
    <w:p w:rsidR="007563F7" w:rsidRPr="006D2492" w:rsidRDefault="007563F7" w:rsidP="00EF694A">
      <w:pPr>
        <w:pStyle w:val="Heading5"/>
      </w:pPr>
      <w:bookmarkStart w:id="18" w:name="_Toc442713362"/>
      <w:r>
        <w:t>i.</w:t>
      </w:r>
      <w:r w:rsidRPr="006D2492">
        <w:t xml:space="preserve"> </w:t>
      </w:r>
      <w:r w:rsidR="00EF694A">
        <w:tab/>
      </w:r>
      <w:r w:rsidR="00702194">
        <w:t>T</w:t>
      </w:r>
      <w:r w:rsidRPr="006D2492">
        <w:t>he PUCO should not evaluate the settlement as a “package.”</w:t>
      </w:r>
      <w:bookmarkEnd w:id="18"/>
    </w:p>
    <w:p w:rsidR="001A6735" w:rsidRDefault="007563F7" w:rsidP="001A67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6D2492">
        <w:rPr>
          <w:rFonts w:ascii="Times New Roman" w:hAnsi="Times New Roman" w:cs="Times New Roman"/>
          <w:sz w:val="24"/>
          <w:szCs w:val="24"/>
        </w:rPr>
        <w:t>he</w:t>
      </w:r>
      <w:r>
        <w:rPr>
          <w:rFonts w:ascii="Times New Roman" w:hAnsi="Times New Roman" w:cs="Times New Roman"/>
          <w:sz w:val="24"/>
          <w:szCs w:val="24"/>
        </w:rPr>
        <w:t xml:space="preserve"> PUCO should not apply the settlement</w:t>
      </w:r>
      <w:r w:rsidRPr="006D2492">
        <w:rPr>
          <w:rFonts w:ascii="Times New Roman" w:hAnsi="Times New Roman" w:cs="Times New Roman"/>
          <w:sz w:val="24"/>
          <w:szCs w:val="24"/>
        </w:rPr>
        <w:t xml:space="preserve"> test to consider the Joint Stipulation as a “package” under the three-prong test.</w:t>
      </w:r>
      <w:r>
        <w:rPr>
          <w:rStyle w:val="FootnoteReference"/>
          <w:rFonts w:ascii="Times New Roman" w:hAnsi="Times New Roman" w:cs="Times New Roman"/>
          <w:sz w:val="24"/>
          <w:szCs w:val="24"/>
        </w:rPr>
        <w:footnoteReference w:id="46"/>
      </w:r>
      <w:r w:rsidRPr="006D2492">
        <w:rPr>
          <w:rFonts w:ascii="Times New Roman" w:hAnsi="Times New Roman" w:cs="Times New Roman"/>
          <w:sz w:val="24"/>
          <w:szCs w:val="24"/>
        </w:rPr>
        <w:t xml:space="preserve">  The settlement is a hodgepodge</w:t>
      </w:r>
      <w:r>
        <w:rPr>
          <w:rFonts w:ascii="Times New Roman" w:hAnsi="Times New Roman" w:cs="Times New Roman"/>
          <w:sz w:val="24"/>
          <w:szCs w:val="24"/>
        </w:rPr>
        <w:t xml:space="preserve"> (not a package)</w:t>
      </w:r>
      <w:r w:rsidRPr="006D2492">
        <w:rPr>
          <w:rFonts w:ascii="Times New Roman" w:hAnsi="Times New Roman" w:cs="Times New Roman"/>
          <w:sz w:val="24"/>
          <w:szCs w:val="24"/>
        </w:rPr>
        <w:t xml:space="preserve"> of unrelated terms, including “gimmes” to induce certain signatories</w:t>
      </w:r>
      <w:r w:rsidRPr="000746CE">
        <w:rPr>
          <w:rFonts w:ascii="Times New Roman" w:hAnsi="Times New Roman" w:cs="Times New Roman"/>
          <w:sz w:val="24"/>
          <w:szCs w:val="24"/>
        </w:rPr>
        <w:t xml:space="preserve"> to sign</w:t>
      </w:r>
      <w:r>
        <w:rPr>
          <w:rFonts w:ascii="Times New Roman" w:hAnsi="Times New Roman" w:cs="Times New Roman"/>
          <w:sz w:val="24"/>
          <w:szCs w:val="24"/>
        </w:rPr>
        <w:t>. The terms that are inducements to sign lack a reasonable nexus to the subject of the case, the power purchase agreement</w:t>
      </w:r>
      <w:r w:rsidR="00C52165">
        <w:rPr>
          <w:rFonts w:ascii="Times New Roman" w:hAnsi="Times New Roman" w:cs="Times New Roman"/>
          <w:sz w:val="24"/>
          <w:szCs w:val="24"/>
        </w:rPr>
        <w:t>, and are not a package</w:t>
      </w:r>
      <w:r>
        <w:rPr>
          <w:rFonts w:ascii="Times New Roman" w:hAnsi="Times New Roman" w:cs="Times New Roman"/>
          <w:sz w:val="24"/>
          <w:szCs w:val="24"/>
        </w:rPr>
        <w:t xml:space="preserve">.  </w:t>
      </w:r>
    </w:p>
    <w:p w:rsidR="001A6735" w:rsidRDefault="001A6735" w:rsidP="001A67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w:t>
      </w:r>
      <w:r w:rsidR="003A3EEB">
        <w:rPr>
          <w:rFonts w:ascii="Times New Roman" w:hAnsi="Times New Roman" w:cs="Times New Roman"/>
          <w:sz w:val="24"/>
          <w:szCs w:val="24"/>
        </w:rPr>
        <w:t>v</w:t>
      </w:r>
      <w:r>
        <w:rPr>
          <w:rFonts w:ascii="Times New Roman" w:hAnsi="Times New Roman" w:cs="Times New Roman"/>
          <w:sz w:val="24"/>
          <w:szCs w:val="24"/>
        </w:rPr>
        <w:t>er, t</w:t>
      </w:r>
      <w:r w:rsidR="007563F7">
        <w:rPr>
          <w:rFonts w:ascii="Times New Roman" w:hAnsi="Times New Roman" w:cs="Times New Roman"/>
          <w:sz w:val="24"/>
          <w:szCs w:val="24"/>
        </w:rPr>
        <w:t xml:space="preserve">here was no notice that this case was about consumer funding of renewable energy, </w:t>
      </w:r>
      <w:r w:rsidR="008B573F">
        <w:rPr>
          <w:rFonts w:ascii="Times New Roman" w:hAnsi="Times New Roman" w:cs="Times New Roman"/>
          <w:sz w:val="24"/>
          <w:szCs w:val="24"/>
        </w:rPr>
        <w:t xml:space="preserve">driving consumers away from the standard offer, </w:t>
      </w:r>
      <w:r w:rsidR="007563F7">
        <w:rPr>
          <w:rFonts w:ascii="Times New Roman" w:hAnsi="Times New Roman" w:cs="Times New Roman"/>
          <w:sz w:val="24"/>
          <w:szCs w:val="24"/>
        </w:rPr>
        <w:t xml:space="preserve">consumer payment for a mass roll-out of the smart grid, subsidies for members of an association of weatherization providers, and so on.  The </w:t>
      </w:r>
      <w:r w:rsidR="00A077C5">
        <w:rPr>
          <w:rFonts w:ascii="Times New Roman" w:hAnsi="Times New Roman" w:cs="Times New Roman"/>
          <w:sz w:val="24"/>
          <w:szCs w:val="24"/>
        </w:rPr>
        <w:t xml:space="preserve">Settlement </w:t>
      </w:r>
      <w:r w:rsidR="007563F7">
        <w:rPr>
          <w:rFonts w:ascii="Times New Roman" w:hAnsi="Times New Roman" w:cs="Times New Roman"/>
          <w:sz w:val="24"/>
          <w:szCs w:val="24"/>
        </w:rPr>
        <w:t>“package” was contrived largely for AEP Ohio’s purpose of obtaining PUCO app</w:t>
      </w:r>
      <w:r w:rsidR="00A437BE">
        <w:rPr>
          <w:rFonts w:ascii="Times New Roman" w:hAnsi="Times New Roman" w:cs="Times New Roman"/>
          <w:sz w:val="24"/>
          <w:szCs w:val="24"/>
        </w:rPr>
        <w:t xml:space="preserve">roval of its profit guarantees </w:t>
      </w:r>
      <w:r w:rsidR="00B92611">
        <w:rPr>
          <w:rFonts w:ascii="Times New Roman" w:hAnsi="Times New Roman" w:cs="Times New Roman"/>
          <w:sz w:val="24"/>
          <w:szCs w:val="24"/>
        </w:rPr>
        <w:t>for Ohioans</w:t>
      </w:r>
      <w:r w:rsidR="007563F7">
        <w:rPr>
          <w:rFonts w:ascii="Times New Roman" w:hAnsi="Times New Roman" w:cs="Times New Roman"/>
          <w:sz w:val="24"/>
          <w:szCs w:val="24"/>
        </w:rPr>
        <w:t xml:space="preserve"> to subsidize the power plants of its corporate affiliate.  </w:t>
      </w:r>
    </w:p>
    <w:p w:rsidR="007563F7" w:rsidRDefault="007563F7" w:rsidP="001A67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is not a “package” that should be countenanced by the PUCO’s settlement standards.  Each term of this settlement should rise or fall on its own merits</w:t>
      </w:r>
      <w:r w:rsidR="00E348D6">
        <w:rPr>
          <w:rFonts w:ascii="Times New Roman" w:hAnsi="Times New Roman" w:cs="Times New Roman"/>
          <w:sz w:val="24"/>
          <w:szCs w:val="24"/>
        </w:rPr>
        <w:t xml:space="preserve"> or demerits</w:t>
      </w:r>
      <w:r>
        <w:rPr>
          <w:rFonts w:ascii="Times New Roman" w:hAnsi="Times New Roman" w:cs="Times New Roman"/>
          <w:sz w:val="24"/>
          <w:szCs w:val="24"/>
        </w:rPr>
        <w:t xml:space="preserve"> (and most of the terms should not even be considered in this case).</w:t>
      </w:r>
    </w:p>
    <w:p w:rsidR="00817CE0" w:rsidRPr="00E66D9C" w:rsidRDefault="00E66D9C" w:rsidP="00E66D9C">
      <w:pPr>
        <w:pStyle w:val="Heading4"/>
      </w:pPr>
      <w:bookmarkStart w:id="19" w:name="_Toc442712220"/>
      <w:bookmarkStart w:id="20" w:name="_Toc442713363"/>
      <w:r>
        <w:t>c.</w:t>
      </w:r>
      <w:r>
        <w:tab/>
      </w:r>
      <w:r w:rsidR="00146AD0" w:rsidRPr="00E66D9C">
        <w:t xml:space="preserve">Prong 3:  The Joint Stipulation, as a package, </w:t>
      </w:r>
      <w:r w:rsidR="0020679B">
        <w:t>does not benefit</w:t>
      </w:r>
      <w:r w:rsidR="0020679B" w:rsidRPr="00E66D9C">
        <w:t xml:space="preserve"> consumers</w:t>
      </w:r>
      <w:r w:rsidR="0020679B">
        <w:t xml:space="preserve"> and</w:t>
      </w:r>
      <w:r w:rsidR="0020679B" w:rsidRPr="00E66D9C">
        <w:t xml:space="preserve"> </w:t>
      </w:r>
      <w:r w:rsidR="00146AD0" w:rsidRPr="00E66D9C">
        <w:t>is not in the public interest.</w:t>
      </w:r>
      <w:bookmarkEnd w:id="19"/>
      <w:bookmarkEnd w:id="20"/>
      <w:r w:rsidR="00817CE0" w:rsidRPr="00E66D9C">
        <w:t xml:space="preserve">  </w:t>
      </w:r>
    </w:p>
    <w:p w:rsidR="00A077C5" w:rsidRDefault="00D93990" w:rsidP="00EF694A">
      <w:pPr>
        <w:pStyle w:val="Heading5"/>
      </w:pPr>
      <w:bookmarkStart w:id="21" w:name="_Toc442713364"/>
      <w:r w:rsidRPr="00CE75C9">
        <w:t>i.</w:t>
      </w:r>
      <w:r w:rsidRPr="00CE75C9">
        <w:tab/>
        <w:t>The Joint Stipulation fails the</w:t>
      </w:r>
      <w:r w:rsidR="003E3AD8">
        <w:t xml:space="preserve"> </w:t>
      </w:r>
      <w:r w:rsidRPr="00CE75C9">
        <w:t>settlement test’s third prong.</w:t>
      </w:r>
      <w:bookmarkEnd w:id="21"/>
    </w:p>
    <w:p w:rsidR="00EE680F" w:rsidRDefault="009A7796" w:rsidP="00EF69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Joint Stipulation is not in the public interest because consumers would actually be worse off under it than they would be were only the PPA Rider approved.  </w:t>
      </w:r>
      <w:r w:rsidR="00702194">
        <w:rPr>
          <w:rFonts w:ascii="Times New Roman" w:hAnsi="Times New Roman" w:cs="Times New Roman"/>
          <w:sz w:val="24"/>
          <w:szCs w:val="24"/>
        </w:rPr>
        <w:t>And</w:t>
      </w:r>
      <w:r w:rsidR="008D1EF2">
        <w:rPr>
          <w:rFonts w:ascii="Times New Roman" w:hAnsi="Times New Roman" w:cs="Times New Roman"/>
          <w:sz w:val="24"/>
          <w:szCs w:val="24"/>
        </w:rPr>
        <w:t xml:space="preserve"> the PPA Rider is not in the public interest because it is </w:t>
      </w:r>
      <w:r w:rsidR="0024011D">
        <w:rPr>
          <w:rFonts w:ascii="Times New Roman" w:hAnsi="Times New Roman" w:cs="Times New Roman"/>
          <w:sz w:val="24"/>
          <w:szCs w:val="24"/>
        </w:rPr>
        <w:t xml:space="preserve">estimated to cost </w:t>
      </w:r>
      <w:r w:rsidR="00A077C5">
        <w:rPr>
          <w:rFonts w:ascii="Times New Roman" w:hAnsi="Times New Roman" w:cs="Times New Roman"/>
          <w:sz w:val="24"/>
          <w:szCs w:val="24"/>
        </w:rPr>
        <w:t xml:space="preserve">AEP Ohio’s </w:t>
      </w:r>
      <w:r w:rsidR="0024011D">
        <w:rPr>
          <w:rFonts w:ascii="Times New Roman" w:hAnsi="Times New Roman" w:cs="Times New Roman"/>
          <w:sz w:val="24"/>
          <w:szCs w:val="24"/>
        </w:rPr>
        <w:t xml:space="preserve">1.3 million customers $1.9 billion ($700 per customer) over the 8-year term of the </w:t>
      </w:r>
      <w:r w:rsidR="00A077C5">
        <w:rPr>
          <w:rFonts w:ascii="Times New Roman" w:hAnsi="Times New Roman" w:cs="Times New Roman"/>
          <w:sz w:val="24"/>
          <w:szCs w:val="24"/>
        </w:rPr>
        <w:t>Settlement</w:t>
      </w:r>
      <w:r w:rsidR="0024011D">
        <w:rPr>
          <w:rFonts w:ascii="Times New Roman" w:hAnsi="Times New Roman" w:cs="Times New Roman"/>
          <w:sz w:val="24"/>
          <w:szCs w:val="24"/>
        </w:rPr>
        <w:t>.</w:t>
      </w:r>
      <w:r w:rsidR="008D1EF2">
        <w:rPr>
          <w:rFonts w:ascii="Times New Roman" w:hAnsi="Times New Roman" w:cs="Times New Roman"/>
          <w:sz w:val="24"/>
          <w:szCs w:val="24"/>
        </w:rPr>
        <w:t xml:space="preserve"> </w:t>
      </w:r>
    </w:p>
    <w:p w:rsidR="002202DF" w:rsidRDefault="006543E2" w:rsidP="002202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as the </w:t>
      </w:r>
      <w:r w:rsidR="00A077C5">
        <w:rPr>
          <w:rFonts w:ascii="Times New Roman" w:hAnsi="Times New Roman" w:cs="Times New Roman"/>
          <w:sz w:val="24"/>
          <w:szCs w:val="24"/>
        </w:rPr>
        <w:t xml:space="preserve">Settlement </w:t>
      </w:r>
      <w:r>
        <w:rPr>
          <w:rFonts w:ascii="Times New Roman" w:hAnsi="Times New Roman" w:cs="Times New Roman"/>
          <w:sz w:val="24"/>
          <w:szCs w:val="24"/>
        </w:rPr>
        <w:t xml:space="preserve">terms contravene regulatory </w:t>
      </w:r>
      <w:r w:rsidR="004E449B">
        <w:rPr>
          <w:rFonts w:ascii="Times New Roman" w:hAnsi="Times New Roman" w:cs="Times New Roman"/>
          <w:sz w:val="24"/>
          <w:szCs w:val="24"/>
        </w:rPr>
        <w:t>principles</w:t>
      </w:r>
      <w:r>
        <w:rPr>
          <w:rFonts w:ascii="Times New Roman" w:hAnsi="Times New Roman" w:cs="Times New Roman"/>
          <w:sz w:val="24"/>
          <w:szCs w:val="24"/>
        </w:rPr>
        <w:t xml:space="preserve"> under the second prong of the PUCO’s settlement test, the terms </w:t>
      </w:r>
      <w:r w:rsidR="002202DF">
        <w:rPr>
          <w:rFonts w:ascii="Times New Roman" w:hAnsi="Times New Roman" w:cs="Times New Roman"/>
          <w:sz w:val="24"/>
          <w:szCs w:val="24"/>
        </w:rPr>
        <w:t>also are contrary to the public interest</w:t>
      </w:r>
      <w:r w:rsidR="006C51C1">
        <w:rPr>
          <w:rFonts w:ascii="Times New Roman" w:hAnsi="Times New Roman" w:cs="Times New Roman"/>
          <w:sz w:val="24"/>
          <w:szCs w:val="24"/>
        </w:rPr>
        <w:t xml:space="preserve"> under the test’s third prong</w:t>
      </w:r>
      <w:r w:rsidR="002202DF">
        <w:rPr>
          <w:rFonts w:ascii="Times New Roman" w:hAnsi="Times New Roman" w:cs="Times New Roman"/>
          <w:sz w:val="24"/>
          <w:szCs w:val="24"/>
        </w:rPr>
        <w:t>. F</w:t>
      </w:r>
      <w:r w:rsidR="00EE4892">
        <w:rPr>
          <w:rFonts w:ascii="Times New Roman" w:hAnsi="Times New Roman" w:cs="Times New Roman"/>
          <w:sz w:val="24"/>
          <w:szCs w:val="24"/>
        </w:rPr>
        <w:t>or one matter, the terms</w:t>
      </w:r>
      <w:r w:rsidR="002202DF">
        <w:rPr>
          <w:rFonts w:ascii="Times New Roman" w:hAnsi="Times New Roman" w:cs="Times New Roman"/>
          <w:sz w:val="24"/>
          <w:szCs w:val="24"/>
        </w:rPr>
        <w:t xml:space="preserve"> would deprive consumers of the benefits of electric markets. As stated, the settlement </w:t>
      </w:r>
      <w:r>
        <w:rPr>
          <w:rFonts w:ascii="Times New Roman" w:hAnsi="Times New Roman" w:cs="Times New Roman"/>
          <w:sz w:val="24"/>
          <w:szCs w:val="24"/>
        </w:rPr>
        <w:t xml:space="preserve">would </w:t>
      </w:r>
      <w:r w:rsidR="00A077C5">
        <w:rPr>
          <w:rFonts w:ascii="Times New Roman" w:hAnsi="Times New Roman" w:cs="Times New Roman"/>
          <w:sz w:val="24"/>
          <w:szCs w:val="24"/>
        </w:rPr>
        <w:t>wreak havoc</w:t>
      </w:r>
      <w:r w:rsidR="002202DF">
        <w:rPr>
          <w:rFonts w:ascii="Times New Roman" w:hAnsi="Times New Roman" w:cs="Times New Roman"/>
          <w:sz w:val="24"/>
          <w:szCs w:val="24"/>
        </w:rPr>
        <w:t xml:space="preserve"> on</w:t>
      </w:r>
      <w:r>
        <w:rPr>
          <w:rFonts w:ascii="Times New Roman" w:hAnsi="Times New Roman" w:cs="Times New Roman"/>
          <w:sz w:val="24"/>
          <w:szCs w:val="24"/>
        </w:rPr>
        <w:t xml:space="preserve"> Ohio</w:t>
      </w:r>
      <w:r w:rsidR="002202DF">
        <w:rPr>
          <w:rFonts w:ascii="Times New Roman" w:hAnsi="Times New Roman" w:cs="Times New Roman"/>
          <w:sz w:val="24"/>
          <w:szCs w:val="24"/>
        </w:rPr>
        <w:t>’s</w:t>
      </w:r>
      <w:r>
        <w:rPr>
          <w:rFonts w:ascii="Times New Roman" w:hAnsi="Times New Roman" w:cs="Times New Roman"/>
          <w:sz w:val="24"/>
          <w:szCs w:val="24"/>
        </w:rPr>
        <w:t xml:space="preserve"> policy </w:t>
      </w:r>
      <w:r w:rsidR="002202DF">
        <w:rPr>
          <w:rFonts w:ascii="Times New Roman" w:hAnsi="Times New Roman" w:cs="Times New Roman"/>
          <w:sz w:val="24"/>
          <w:szCs w:val="24"/>
        </w:rPr>
        <w:t>(</w:t>
      </w:r>
      <w:r>
        <w:rPr>
          <w:rFonts w:ascii="Times New Roman" w:hAnsi="Times New Roman" w:cs="Times New Roman"/>
          <w:sz w:val="24"/>
          <w:szCs w:val="24"/>
        </w:rPr>
        <w:t xml:space="preserve">in R.C. 4928.02) </w:t>
      </w:r>
      <w:r w:rsidR="002202DF">
        <w:rPr>
          <w:rFonts w:ascii="Times New Roman" w:hAnsi="Times New Roman" w:cs="Times New Roman"/>
          <w:sz w:val="24"/>
          <w:szCs w:val="24"/>
        </w:rPr>
        <w:t xml:space="preserve">for the use of markets to benefit Ohio consumers.  </w:t>
      </w:r>
    </w:p>
    <w:p w:rsidR="006543E2" w:rsidRDefault="002202DF" w:rsidP="002202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Worse, Ohioans could have to pay AEP Ohio even more</w:t>
      </w:r>
      <w:r w:rsidR="00A077C5">
        <w:rPr>
          <w:rFonts w:ascii="Times New Roman" w:hAnsi="Times New Roman" w:cs="Times New Roman"/>
          <w:sz w:val="24"/>
          <w:szCs w:val="24"/>
        </w:rPr>
        <w:t xml:space="preserve"> </w:t>
      </w:r>
      <w:r>
        <w:rPr>
          <w:rFonts w:ascii="Times New Roman" w:hAnsi="Times New Roman" w:cs="Times New Roman"/>
          <w:sz w:val="24"/>
          <w:szCs w:val="24"/>
        </w:rPr>
        <w:t>—</w:t>
      </w:r>
      <w:r w:rsidR="00A077C5">
        <w:rPr>
          <w:rFonts w:ascii="Times New Roman" w:hAnsi="Times New Roman" w:cs="Times New Roman"/>
          <w:sz w:val="24"/>
          <w:szCs w:val="24"/>
        </w:rPr>
        <w:t xml:space="preserve"> </w:t>
      </w:r>
      <w:r>
        <w:rPr>
          <w:rFonts w:ascii="Times New Roman" w:hAnsi="Times New Roman" w:cs="Times New Roman"/>
          <w:sz w:val="24"/>
          <w:szCs w:val="24"/>
        </w:rPr>
        <w:t>much more</w:t>
      </w:r>
      <w:r w:rsidR="00A077C5">
        <w:rPr>
          <w:rFonts w:ascii="Times New Roman" w:hAnsi="Times New Roman" w:cs="Times New Roman"/>
          <w:sz w:val="24"/>
          <w:szCs w:val="24"/>
        </w:rPr>
        <w:t xml:space="preserve"> </w:t>
      </w:r>
      <w:r>
        <w:rPr>
          <w:rFonts w:ascii="Times New Roman" w:hAnsi="Times New Roman" w:cs="Times New Roman"/>
          <w:sz w:val="24"/>
          <w:szCs w:val="24"/>
        </w:rPr>
        <w:t>—</w:t>
      </w:r>
      <w:r w:rsidR="00A077C5">
        <w:rPr>
          <w:rFonts w:ascii="Times New Roman" w:hAnsi="Times New Roman" w:cs="Times New Roman"/>
          <w:sz w:val="24"/>
          <w:szCs w:val="24"/>
        </w:rPr>
        <w:t xml:space="preserve"> </w:t>
      </w:r>
      <w:r>
        <w:rPr>
          <w:rFonts w:ascii="Times New Roman" w:hAnsi="Times New Roman" w:cs="Times New Roman"/>
          <w:sz w:val="24"/>
          <w:szCs w:val="24"/>
        </w:rPr>
        <w:t xml:space="preserve">than the $700 projected by OCC Witness Wilson. The reason is that </w:t>
      </w:r>
      <w:r w:rsidR="006543E2">
        <w:rPr>
          <w:rFonts w:ascii="Times New Roman" w:hAnsi="Times New Roman" w:cs="Times New Roman"/>
          <w:sz w:val="24"/>
          <w:szCs w:val="24"/>
        </w:rPr>
        <w:t>AEP Ohio’s subsidized power plants may be required to bid into markets at prices that will not clear</w:t>
      </w:r>
      <w:r w:rsidR="00EE4892">
        <w:rPr>
          <w:rFonts w:ascii="Times New Roman" w:hAnsi="Times New Roman" w:cs="Times New Roman"/>
          <w:sz w:val="24"/>
          <w:szCs w:val="24"/>
        </w:rPr>
        <w:t>.</w:t>
      </w:r>
      <w:r w:rsidR="006543E2">
        <w:rPr>
          <w:rFonts w:ascii="Times New Roman" w:hAnsi="Times New Roman" w:cs="Times New Roman"/>
          <w:sz w:val="24"/>
          <w:szCs w:val="24"/>
        </w:rPr>
        <w:t xml:space="preserve"> (PJM Market Monitor Brief at </w:t>
      </w:r>
      <w:r w:rsidR="0060543C">
        <w:rPr>
          <w:rFonts w:ascii="Times New Roman" w:hAnsi="Times New Roman" w:cs="Times New Roman"/>
          <w:sz w:val="24"/>
          <w:szCs w:val="24"/>
        </w:rPr>
        <w:t>8-9</w:t>
      </w:r>
      <w:r w:rsidR="00EE4892">
        <w:rPr>
          <w:rFonts w:ascii="Times New Roman" w:hAnsi="Times New Roman" w:cs="Times New Roman"/>
          <w:sz w:val="24"/>
          <w:szCs w:val="24"/>
        </w:rPr>
        <w:t>.</w:t>
      </w:r>
      <w:r w:rsidR="006543E2">
        <w:rPr>
          <w:rFonts w:ascii="Times New Roman" w:hAnsi="Times New Roman" w:cs="Times New Roman"/>
          <w:sz w:val="24"/>
          <w:szCs w:val="24"/>
        </w:rPr>
        <w:t xml:space="preserve">)  </w:t>
      </w:r>
    </w:p>
    <w:p w:rsidR="006543E2" w:rsidRDefault="006543E2" w:rsidP="006543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Ohio Energy Group (“OEG”), a signer of the settlement no less, has rightly expressed its concern that this eventuality “would dramatically raise the level of costs collected [from customers] through the PPA Rider.” (OEG Brief at 20.)  OEG wants the PUCO to “reserve the right to reevaluate, modify, or terminate the PPA rider….” </w:t>
      </w:r>
      <w:r w:rsidR="00A077C5">
        <w:rPr>
          <w:rFonts w:ascii="Times New Roman" w:hAnsi="Times New Roman" w:cs="Times New Roman"/>
          <w:sz w:val="24"/>
          <w:szCs w:val="24"/>
        </w:rPr>
        <w:t xml:space="preserve"> (</w:t>
      </w:r>
      <w:r w:rsidR="00A077C5">
        <w:rPr>
          <w:rFonts w:ascii="Times New Roman" w:hAnsi="Times New Roman" w:cs="Times New Roman"/>
          <w:i/>
          <w:sz w:val="24"/>
          <w:szCs w:val="24"/>
        </w:rPr>
        <w:t>Id.</w:t>
      </w:r>
      <w:r w:rsidR="00A077C5">
        <w:rPr>
          <w:rFonts w:ascii="Times New Roman" w:hAnsi="Times New Roman" w:cs="Times New Roman"/>
          <w:sz w:val="24"/>
          <w:szCs w:val="24"/>
        </w:rPr>
        <w:t xml:space="preserve">)  </w:t>
      </w:r>
      <w:r>
        <w:rPr>
          <w:rFonts w:ascii="Times New Roman" w:hAnsi="Times New Roman" w:cs="Times New Roman"/>
          <w:sz w:val="24"/>
          <w:szCs w:val="24"/>
        </w:rPr>
        <w:t xml:space="preserve">That’s very telling, coming from a settlement signatory and a group of large customers. </w:t>
      </w:r>
    </w:p>
    <w:p w:rsidR="006543E2" w:rsidRDefault="006543E2" w:rsidP="006543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a much better idea</w:t>
      </w:r>
      <w:r w:rsidR="002202DF">
        <w:rPr>
          <w:rFonts w:ascii="Times New Roman" w:hAnsi="Times New Roman" w:cs="Times New Roman"/>
          <w:sz w:val="24"/>
          <w:szCs w:val="24"/>
        </w:rPr>
        <w:t xml:space="preserve"> for benefiting consumers</w:t>
      </w:r>
      <w:r>
        <w:rPr>
          <w:rFonts w:ascii="Times New Roman" w:hAnsi="Times New Roman" w:cs="Times New Roman"/>
          <w:sz w:val="24"/>
          <w:szCs w:val="24"/>
        </w:rPr>
        <w:t xml:space="preserve"> is to avoid the need</w:t>
      </w:r>
      <w:r w:rsidR="002202DF">
        <w:rPr>
          <w:rFonts w:ascii="Times New Roman" w:hAnsi="Times New Roman" w:cs="Times New Roman"/>
          <w:sz w:val="24"/>
          <w:szCs w:val="24"/>
        </w:rPr>
        <w:t xml:space="preserve"> in the first place</w:t>
      </w:r>
      <w:r>
        <w:rPr>
          <w:rFonts w:ascii="Times New Roman" w:hAnsi="Times New Roman" w:cs="Times New Roman"/>
          <w:sz w:val="24"/>
          <w:szCs w:val="24"/>
        </w:rPr>
        <w:t xml:space="preserve"> to reevaluate and terminate the settlement by rejecting it. Dr. Hisham Choueiki, PUCO Staff witness, testified that “</w:t>
      </w:r>
      <w:r w:rsidR="0060543C">
        <w:rPr>
          <w:rFonts w:ascii="Times New Roman" w:hAnsi="Times New Roman" w:cs="Times New Roman"/>
          <w:sz w:val="24"/>
          <w:szCs w:val="24"/>
        </w:rPr>
        <w:t>[i]</w:t>
      </w:r>
      <w:r>
        <w:rPr>
          <w:rFonts w:ascii="Times New Roman" w:hAnsi="Times New Roman" w:cs="Times New Roman"/>
          <w:sz w:val="24"/>
          <w:szCs w:val="24"/>
        </w:rPr>
        <w:t>t’s a fully functionally competitive market in Ohio, a generation service, so there is no need for anything else on the generation side.” (Transcript XVI at 3915</w:t>
      </w:r>
      <w:r w:rsidR="0060543C">
        <w:rPr>
          <w:rFonts w:ascii="Times New Roman" w:hAnsi="Times New Roman" w:cs="Times New Roman"/>
          <w:sz w:val="24"/>
          <w:szCs w:val="24"/>
        </w:rPr>
        <w:t>:17-22</w:t>
      </w:r>
      <w:r>
        <w:rPr>
          <w:rFonts w:ascii="Times New Roman" w:hAnsi="Times New Roman" w:cs="Times New Roman"/>
          <w:sz w:val="24"/>
          <w:szCs w:val="24"/>
        </w:rPr>
        <w:t xml:space="preserve">).)  That is so true. At this point in Ohio’s arc of embracing competitive markets for pricing of electric generation services, </w:t>
      </w:r>
      <w:r w:rsidR="00EE4892">
        <w:rPr>
          <w:rFonts w:ascii="Times New Roman" w:hAnsi="Times New Roman" w:cs="Times New Roman"/>
          <w:sz w:val="24"/>
          <w:szCs w:val="24"/>
        </w:rPr>
        <w:t>the public interest</w:t>
      </w:r>
      <w:r>
        <w:rPr>
          <w:rFonts w:ascii="Times New Roman" w:hAnsi="Times New Roman" w:cs="Times New Roman"/>
          <w:sz w:val="24"/>
          <w:szCs w:val="24"/>
        </w:rPr>
        <w:t xml:space="preserve"> hold</w:t>
      </w:r>
      <w:r w:rsidR="00EE4892">
        <w:rPr>
          <w:rFonts w:ascii="Times New Roman" w:hAnsi="Times New Roman" w:cs="Times New Roman"/>
          <w:sz w:val="24"/>
          <w:szCs w:val="24"/>
        </w:rPr>
        <w:t>s</w:t>
      </w:r>
      <w:r>
        <w:rPr>
          <w:rFonts w:ascii="Times New Roman" w:hAnsi="Times New Roman" w:cs="Times New Roman"/>
          <w:sz w:val="24"/>
          <w:szCs w:val="24"/>
        </w:rPr>
        <w:t xml:space="preserve"> no place for re</w:t>
      </w:r>
      <w:r w:rsidR="00236CD6">
        <w:rPr>
          <w:rFonts w:ascii="Times New Roman" w:hAnsi="Times New Roman" w:cs="Times New Roman"/>
          <w:sz w:val="24"/>
          <w:szCs w:val="24"/>
        </w:rPr>
        <w:t>-</w:t>
      </w:r>
      <w:r>
        <w:rPr>
          <w:rFonts w:ascii="Times New Roman" w:hAnsi="Times New Roman" w:cs="Times New Roman"/>
          <w:sz w:val="24"/>
          <w:szCs w:val="24"/>
        </w:rPr>
        <w:t>regulatory PPA proposals.</w:t>
      </w:r>
      <w:r w:rsidR="002202DF">
        <w:rPr>
          <w:rFonts w:ascii="Times New Roman" w:hAnsi="Times New Roman" w:cs="Times New Roman"/>
          <w:sz w:val="24"/>
          <w:szCs w:val="24"/>
        </w:rPr>
        <w:t xml:space="preserve">  AEP Ohio’s </w:t>
      </w:r>
      <w:r w:rsidR="00236CD6">
        <w:rPr>
          <w:rFonts w:ascii="Times New Roman" w:hAnsi="Times New Roman" w:cs="Times New Roman"/>
          <w:sz w:val="24"/>
          <w:szCs w:val="24"/>
        </w:rPr>
        <w:t>application</w:t>
      </w:r>
      <w:r w:rsidR="002202DF">
        <w:rPr>
          <w:rFonts w:ascii="Times New Roman" w:hAnsi="Times New Roman" w:cs="Times New Roman"/>
          <w:sz w:val="24"/>
          <w:szCs w:val="24"/>
        </w:rPr>
        <w:t xml:space="preserve"> and the </w:t>
      </w:r>
      <w:r w:rsidR="00A077C5">
        <w:rPr>
          <w:rFonts w:ascii="Times New Roman" w:hAnsi="Times New Roman" w:cs="Times New Roman"/>
          <w:sz w:val="24"/>
          <w:szCs w:val="24"/>
        </w:rPr>
        <w:t xml:space="preserve">Settlement </w:t>
      </w:r>
      <w:r w:rsidR="002202DF">
        <w:rPr>
          <w:rFonts w:ascii="Times New Roman" w:hAnsi="Times New Roman" w:cs="Times New Roman"/>
          <w:sz w:val="24"/>
          <w:szCs w:val="24"/>
        </w:rPr>
        <w:t>should be rejected, to preserve the benefits of markets for Ohioans and to protect the public interest.</w:t>
      </w:r>
    </w:p>
    <w:p w:rsidR="00D1536C" w:rsidRDefault="006543E2" w:rsidP="006543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term for 900 megawatts of renewable energy plants is another example of the </w:t>
      </w:r>
      <w:r w:rsidR="004801EA">
        <w:rPr>
          <w:rFonts w:ascii="Times New Roman" w:hAnsi="Times New Roman" w:cs="Times New Roman"/>
          <w:sz w:val="24"/>
          <w:szCs w:val="24"/>
        </w:rPr>
        <w:t>settlement’s</w:t>
      </w:r>
      <w:r>
        <w:rPr>
          <w:rFonts w:ascii="Times New Roman" w:hAnsi="Times New Roman" w:cs="Times New Roman"/>
          <w:sz w:val="24"/>
          <w:szCs w:val="24"/>
        </w:rPr>
        <w:t xml:space="preserve"> disregard for </w:t>
      </w:r>
      <w:r w:rsidR="004801EA">
        <w:rPr>
          <w:rFonts w:ascii="Times New Roman" w:hAnsi="Times New Roman" w:cs="Times New Roman"/>
          <w:sz w:val="24"/>
          <w:szCs w:val="24"/>
        </w:rPr>
        <w:t>customer benefits and the public interest</w:t>
      </w:r>
      <w:r>
        <w:rPr>
          <w:rFonts w:ascii="Times New Roman" w:hAnsi="Times New Roman" w:cs="Times New Roman"/>
          <w:sz w:val="24"/>
          <w:szCs w:val="24"/>
        </w:rPr>
        <w:t>.  As Dr. Choueiki testified for the PUCO Staff, Ohio is a “fully functionally competitive market” for generation.</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Therefore, the </w:t>
      </w:r>
      <w:r w:rsidR="004801EA">
        <w:rPr>
          <w:rFonts w:ascii="Times New Roman" w:hAnsi="Times New Roman" w:cs="Times New Roman"/>
          <w:sz w:val="24"/>
          <w:szCs w:val="24"/>
        </w:rPr>
        <w:t>public interest</w:t>
      </w:r>
      <w:r>
        <w:rPr>
          <w:rFonts w:ascii="Times New Roman" w:hAnsi="Times New Roman" w:cs="Times New Roman"/>
          <w:sz w:val="24"/>
          <w:szCs w:val="24"/>
        </w:rPr>
        <w:t xml:space="preserve"> is that Ohio consumers pay market prices for generation; they aren’t supposed to pay government-</w:t>
      </w:r>
      <w:r w:rsidR="00727817">
        <w:rPr>
          <w:rFonts w:ascii="Times New Roman" w:hAnsi="Times New Roman" w:cs="Times New Roman"/>
          <w:sz w:val="24"/>
          <w:szCs w:val="24"/>
        </w:rPr>
        <w:t>imposed</w:t>
      </w:r>
      <w:r>
        <w:rPr>
          <w:rFonts w:ascii="Times New Roman" w:hAnsi="Times New Roman" w:cs="Times New Roman"/>
          <w:sz w:val="24"/>
          <w:szCs w:val="24"/>
        </w:rPr>
        <w:t xml:space="preserve"> rates</w:t>
      </w:r>
      <w:r w:rsidR="00D1536C">
        <w:rPr>
          <w:rFonts w:ascii="Times New Roman" w:hAnsi="Times New Roman" w:cs="Times New Roman"/>
          <w:sz w:val="24"/>
          <w:szCs w:val="24"/>
        </w:rPr>
        <w:t xml:space="preserve"> for generation by a monopoly utility,</w:t>
      </w:r>
      <w:r>
        <w:rPr>
          <w:rFonts w:ascii="Times New Roman" w:hAnsi="Times New Roman" w:cs="Times New Roman"/>
          <w:sz w:val="24"/>
          <w:szCs w:val="24"/>
        </w:rPr>
        <w:t xml:space="preserve"> as Sierra Club and AEP Ohio would have it.  They turn Ohio policy in R.C. 4928.02 upside down.  </w:t>
      </w:r>
      <w:r w:rsidR="00EF694A">
        <w:rPr>
          <w:rFonts w:ascii="Times New Roman" w:hAnsi="Times New Roman" w:cs="Times New Roman"/>
          <w:sz w:val="24"/>
          <w:szCs w:val="24"/>
        </w:rPr>
        <w:t>Also, as a public interest matter under the third prong, it is not clear how to evaluate the meaning of the renewable commitment given the complexities involved in whether the 900 MW of renewable energy would be built.</w:t>
      </w:r>
    </w:p>
    <w:p w:rsidR="006543E2" w:rsidRDefault="006543E2" w:rsidP="006543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inaptly named “Competition Incentive” Rider</w:t>
      </w:r>
      <w:r w:rsidR="00034E0E">
        <w:rPr>
          <w:rFonts w:ascii="Times New Roman" w:hAnsi="Times New Roman" w:cs="Times New Roman"/>
          <w:sz w:val="24"/>
          <w:szCs w:val="24"/>
        </w:rPr>
        <w:t xml:space="preserve"> </w:t>
      </w:r>
      <w:r>
        <w:rPr>
          <w:rFonts w:ascii="Times New Roman" w:hAnsi="Times New Roman" w:cs="Times New Roman"/>
          <w:sz w:val="24"/>
          <w:szCs w:val="24"/>
        </w:rPr>
        <w:t>--</w:t>
      </w:r>
      <w:r w:rsidR="00034E0E">
        <w:rPr>
          <w:rFonts w:ascii="Times New Roman" w:hAnsi="Times New Roman" w:cs="Times New Roman"/>
          <w:sz w:val="24"/>
          <w:szCs w:val="24"/>
        </w:rPr>
        <w:t xml:space="preserve"> </w:t>
      </w:r>
      <w:r>
        <w:rPr>
          <w:rFonts w:ascii="Times New Roman" w:hAnsi="Times New Roman" w:cs="Times New Roman"/>
          <w:sz w:val="24"/>
          <w:szCs w:val="24"/>
        </w:rPr>
        <w:t>which in reality undermines competition and is a disincentive for effective markets for serving Ohio consumers</w:t>
      </w:r>
      <w:r w:rsidR="00034E0E">
        <w:rPr>
          <w:rFonts w:ascii="Times New Roman" w:hAnsi="Times New Roman" w:cs="Times New Roman"/>
          <w:sz w:val="24"/>
          <w:szCs w:val="24"/>
        </w:rPr>
        <w:t xml:space="preserve"> </w:t>
      </w:r>
      <w:r>
        <w:rPr>
          <w:rFonts w:ascii="Times New Roman" w:hAnsi="Times New Roman" w:cs="Times New Roman"/>
          <w:sz w:val="24"/>
          <w:szCs w:val="24"/>
        </w:rPr>
        <w:t>--</w:t>
      </w:r>
      <w:r w:rsidR="00034E0E">
        <w:rPr>
          <w:rFonts w:ascii="Times New Roman" w:hAnsi="Times New Roman" w:cs="Times New Roman"/>
          <w:sz w:val="24"/>
          <w:szCs w:val="24"/>
        </w:rPr>
        <w:t xml:space="preserve"> </w:t>
      </w:r>
      <w:r>
        <w:rPr>
          <w:rFonts w:ascii="Times New Roman" w:hAnsi="Times New Roman" w:cs="Times New Roman"/>
          <w:sz w:val="24"/>
          <w:szCs w:val="24"/>
        </w:rPr>
        <w:t xml:space="preserve">is another term that </w:t>
      </w:r>
      <w:r w:rsidR="00D1536C">
        <w:rPr>
          <w:rFonts w:ascii="Times New Roman" w:hAnsi="Times New Roman" w:cs="Times New Roman"/>
          <w:sz w:val="24"/>
          <w:szCs w:val="24"/>
        </w:rPr>
        <w:t>violates the public interest and deprives consumers of the benefits of markets</w:t>
      </w:r>
      <w:r>
        <w:rPr>
          <w:rFonts w:ascii="Times New Roman" w:hAnsi="Times New Roman" w:cs="Times New Roman"/>
          <w:sz w:val="24"/>
          <w:szCs w:val="24"/>
        </w:rPr>
        <w:t xml:space="preserve">.  Even the Ohio Providers of Affordable Energy (whose settlement signature will make energy </w:t>
      </w:r>
      <w:r w:rsidRPr="006D2492">
        <w:rPr>
          <w:rFonts w:ascii="Times New Roman" w:hAnsi="Times New Roman" w:cs="Times New Roman"/>
          <w:i/>
          <w:sz w:val="24"/>
          <w:szCs w:val="24"/>
        </w:rPr>
        <w:t xml:space="preserve">less affordable </w:t>
      </w:r>
      <w:r>
        <w:rPr>
          <w:rFonts w:ascii="Times New Roman" w:hAnsi="Times New Roman" w:cs="Times New Roman"/>
          <w:sz w:val="24"/>
          <w:szCs w:val="24"/>
        </w:rPr>
        <w:t>for a million Ohio consumers by about $700 or more</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would not sign this one.  (It footnoted out.)  </w:t>
      </w:r>
    </w:p>
    <w:p w:rsidR="006543E2" w:rsidRDefault="006543E2" w:rsidP="006543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term</w:t>
      </w:r>
      <w:r w:rsidR="00D1536C">
        <w:rPr>
          <w:rFonts w:ascii="Times New Roman" w:hAnsi="Times New Roman" w:cs="Times New Roman"/>
          <w:sz w:val="24"/>
          <w:szCs w:val="24"/>
        </w:rPr>
        <w:t xml:space="preserve"> for increasing AEP Ohio’s market-based standard offer</w:t>
      </w:r>
      <w:r>
        <w:rPr>
          <w:rFonts w:ascii="Times New Roman" w:hAnsi="Times New Roman" w:cs="Times New Roman"/>
          <w:sz w:val="24"/>
          <w:szCs w:val="24"/>
        </w:rPr>
        <w:t xml:space="preserve"> is a low-point for </w:t>
      </w:r>
      <w:r w:rsidR="00236CD6">
        <w:rPr>
          <w:rFonts w:ascii="Times New Roman" w:hAnsi="Times New Roman" w:cs="Times New Roman"/>
          <w:sz w:val="24"/>
          <w:szCs w:val="24"/>
        </w:rPr>
        <w:t>the public interest</w:t>
      </w:r>
      <w:r>
        <w:rPr>
          <w:rFonts w:ascii="Times New Roman" w:hAnsi="Times New Roman" w:cs="Times New Roman"/>
          <w:sz w:val="24"/>
          <w:szCs w:val="24"/>
        </w:rPr>
        <w:t xml:space="preserve"> (and the misuse of the English language).  At the expense </w:t>
      </w:r>
      <w:r w:rsidR="00D1536C">
        <w:rPr>
          <w:rFonts w:ascii="Times New Roman" w:hAnsi="Times New Roman" w:cs="Times New Roman"/>
          <w:sz w:val="24"/>
          <w:szCs w:val="24"/>
        </w:rPr>
        <w:t>of standard offer consumers, this</w:t>
      </w:r>
      <w:r>
        <w:rPr>
          <w:rFonts w:ascii="Times New Roman" w:hAnsi="Times New Roman" w:cs="Times New Roman"/>
          <w:sz w:val="24"/>
          <w:szCs w:val="24"/>
        </w:rPr>
        <w:t xml:space="preserve"> term will have government regulators artificially increase the price of the market-based standard offer.  That bit of government and marketer interference in the electricity market will help drive consumers to marketers such as, unsurprisingly, </w:t>
      </w:r>
      <w:r w:rsidR="00D1536C">
        <w:rPr>
          <w:rFonts w:ascii="Times New Roman" w:hAnsi="Times New Roman" w:cs="Times New Roman"/>
          <w:sz w:val="24"/>
          <w:szCs w:val="24"/>
        </w:rPr>
        <w:t xml:space="preserve">settlement signatories </w:t>
      </w:r>
      <w:r>
        <w:rPr>
          <w:rFonts w:ascii="Times New Roman" w:hAnsi="Times New Roman" w:cs="Times New Roman"/>
          <w:sz w:val="24"/>
          <w:szCs w:val="24"/>
        </w:rPr>
        <w:t>IGS and Direct Energy.  That is bad for consumers.</w:t>
      </w:r>
    </w:p>
    <w:p w:rsidR="004C2BB3" w:rsidRDefault="009A7796" w:rsidP="008701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00EE7FDD">
        <w:rPr>
          <w:rFonts w:ascii="Times New Roman" w:hAnsi="Times New Roman" w:cs="Times New Roman"/>
          <w:sz w:val="24"/>
          <w:szCs w:val="24"/>
        </w:rPr>
        <w:t>the Joint Stipulation</w:t>
      </w:r>
      <w:r>
        <w:rPr>
          <w:rFonts w:ascii="Times New Roman" w:hAnsi="Times New Roman" w:cs="Times New Roman"/>
          <w:sz w:val="24"/>
          <w:szCs w:val="24"/>
        </w:rPr>
        <w:t xml:space="preserve"> is not in the public interest because it contains so many unknowns</w:t>
      </w:r>
      <w:r w:rsidR="008D1EF2">
        <w:rPr>
          <w:rFonts w:ascii="Times New Roman" w:hAnsi="Times New Roman" w:cs="Times New Roman"/>
          <w:sz w:val="24"/>
          <w:szCs w:val="24"/>
        </w:rPr>
        <w:t xml:space="preserve"> – especially related to costs –</w:t>
      </w:r>
      <w:r>
        <w:rPr>
          <w:rFonts w:ascii="Times New Roman" w:hAnsi="Times New Roman" w:cs="Times New Roman"/>
          <w:sz w:val="24"/>
          <w:szCs w:val="24"/>
        </w:rPr>
        <w:t xml:space="preserve"> that leave consumers unprotected.  The Joint Stipulation is so vague and ambiguous that it will plunge consumers of all types into an endless wave of litigation, and there are no meaningful standards by which AEP Ohio</w:t>
      </w:r>
      <w:r w:rsidR="00130F92">
        <w:rPr>
          <w:rFonts w:ascii="Times New Roman" w:hAnsi="Times New Roman" w:cs="Times New Roman"/>
          <w:sz w:val="24"/>
          <w:szCs w:val="24"/>
        </w:rPr>
        <w:t>’</w:t>
      </w:r>
      <w:r>
        <w:rPr>
          <w:rFonts w:ascii="Times New Roman" w:hAnsi="Times New Roman" w:cs="Times New Roman"/>
          <w:sz w:val="24"/>
          <w:szCs w:val="24"/>
        </w:rPr>
        <w:t xml:space="preserve">s </w:t>
      </w:r>
      <w:r w:rsidR="0024011D">
        <w:rPr>
          <w:rFonts w:ascii="Times New Roman" w:hAnsi="Times New Roman" w:cs="Times New Roman"/>
          <w:sz w:val="24"/>
          <w:szCs w:val="24"/>
        </w:rPr>
        <w:t>commitments</w:t>
      </w:r>
      <w:r>
        <w:rPr>
          <w:rFonts w:ascii="Times New Roman" w:hAnsi="Times New Roman" w:cs="Times New Roman"/>
          <w:sz w:val="24"/>
          <w:szCs w:val="24"/>
        </w:rPr>
        <w:t xml:space="preserve"> will be judged.</w:t>
      </w:r>
      <w:r w:rsidR="00EE7FDD" w:rsidRPr="00EE7FDD">
        <w:rPr>
          <w:rStyle w:val="FootnoteReference"/>
          <w:rFonts w:ascii="Times New Roman" w:hAnsi="Times New Roman" w:cs="Times New Roman"/>
          <w:sz w:val="24"/>
          <w:szCs w:val="24"/>
        </w:rPr>
        <w:t xml:space="preserve"> </w:t>
      </w:r>
      <w:r w:rsidR="00EE7FDD">
        <w:rPr>
          <w:rStyle w:val="FootnoteReference"/>
          <w:rFonts w:ascii="Times New Roman" w:hAnsi="Times New Roman" w:cs="Times New Roman"/>
          <w:sz w:val="24"/>
          <w:szCs w:val="24"/>
        </w:rPr>
        <w:footnoteReference w:id="49"/>
      </w:r>
      <w:r w:rsidR="00EE7FDD">
        <w:rPr>
          <w:rFonts w:ascii="Times New Roman" w:hAnsi="Times New Roman" w:cs="Times New Roman"/>
          <w:sz w:val="24"/>
          <w:szCs w:val="24"/>
        </w:rPr>
        <w:t xml:space="preserve"> </w:t>
      </w:r>
      <w:r w:rsidR="008D1EF2">
        <w:rPr>
          <w:rFonts w:ascii="Times New Roman" w:hAnsi="Times New Roman" w:cs="Times New Roman"/>
          <w:sz w:val="24"/>
          <w:szCs w:val="24"/>
        </w:rPr>
        <w:t xml:space="preserve">  </w:t>
      </w:r>
    </w:p>
    <w:p w:rsidR="009A7796" w:rsidRDefault="008D1EF2" w:rsidP="008701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Its purported benefits are overstated. For example, the PPA Rider is not necessary for customers to realize any</w:t>
      </w:r>
      <w:r w:rsidR="00FD7250">
        <w:rPr>
          <w:rFonts w:ascii="Times New Roman" w:hAnsi="Times New Roman" w:cs="Times New Roman"/>
          <w:sz w:val="24"/>
          <w:szCs w:val="24"/>
        </w:rPr>
        <w:t xml:space="preserve"> rate</w:t>
      </w:r>
      <w:r>
        <w:rPr>
          <w:rFonts w:ascii="Times New Roman" w:hAnsi="Times New Roman" w:cs="Times New Roman"/>
          <w:sz w:val="24"/>
          <w:szCs w:val="24"/>
        </w:rPr>
        <w:t xml:space="preserve"> hedging benefit.</w:t>
      </w:r>
      <w:r>
        <w:rPr>
          <w:rStyle w:val="FootnoteReference"/>
          <w:rFonts w:ascii="Times New Roman" w:hAnsi="Times New Roman" w:cs="Times New Roman"/>
          <w:sz w:val="24"/>
          <w:szCs w:val="24"/>
        </w:rPr>
        <w:footnoteReference w:id="50"/>
      </w:r>
      <w:r w:rsidR="009A7796">
        <w:rPr>
          <w:rFonts w:ascii="Times New Roman" w:hAnsi="Times New Roman" w:cs="Times New Roman"/>
          <w:sz w:val="24"/>
          <w:szCs w:val="24"/>
        </w:rPr>
        <w:t xml:space="preserve">  </w:t>
      </w:r>
      <w:r>
        <w:rPr>
          <w:rFonts w:ascii="Times New Roman" w:hAnsi="Times New Roman" w:cs="Times New Roman"/>
          <w:sz w:val="24"/>
          <w:szCs w:val="24"/>
        </w:rPr>
        <w:t xml:space="preserve">And the Joint Stipulation is a mere hodgepodge of unrelated provisions containing cash or cash equivalents </w:t>
      </w:r>
      <w:r w:rsidR="00C57C75">
        <w:rPr>
          <w:rFonts w:ascii="Times New Roman" w:hAnsi="Times New Roman" w:cs="Times New Roman"/>
          <w:sz w:val="24"/>
          <w:szCs w:val="24"/>
        </w:rPr>
        <w:t xml:space="preserve">paid for by other people (consumers) </w:t>
      </w:r>
      <w:r>
        <w:rPr>
          <w:rFonts w:ascii="Times New Roman" w:hAnsi="Times New Roman" w:cs="Times New Roman"/>
          <w:sz w:val="24"/>
          <w:szCs w:val="24"/>
        </w:rPr>
        <w:t xml:space="preserve">provided to Signatory Parties in return for supporting the </w:t>
      </w:r>
      <w:r w:rsidR="00FD7250">
        <w:rPr>
          <w:rFonts w:ascii="Times New Roman" w:hAnsi="Times New Roman" w:cs="Times New Roman"/>
          <w:sz w:val="24"/>
          <w:szCs w:val="24"/>
        </w:rPr>
        <w:t xml:space="preserve">PPAs and the </w:t>
      </w:r>
      <w:r>
        <w:rPr>
          <w:rFonts w:ascii="Times New Roman" w:hAnsi="Times New Roman" w:cs="Times New Roman"/>
          <w:sz w:val="24"/>
          <w:szCs w:val="24"/>
        </w:rPr>
        <w:t xml:space="preserve">PPA Rider. </w:t>
      </w:r>
    </w:p>
    <w:p w:rsidR="00D93990" w:rsidRPr="00EF694A" w:rsidRDefault="00EF694A" w:rsidP="00EF694A">
      <w:pPr>
        <w:pStyle w:val="Heading5"/>
      </w:pPr>
      <w:bookmarkStart w:id="22" w:name="_Toc442713365"/>
      <w:r>
        <w:t>ii.</w:t>
      </w:r>
      <w:r>
        <w:tab/>
      </w:r>
      <w:r w:rsidR="00D93990" w:rsidRPr="00EF694A">
        <w:t>AEP Ohio’s proposals fail the ESP III Opinion and Orders’ factors and requirements.</w:t>
      </w:r>
      <w:bookmarkEnd w:id="22"/>
    </w:p>
    <w:p w:rsidR="0059342E" w:rsidRDefault="00180CFC" w:rsidP="00870161">
      <w:pPr>
        <w:spacing w:after="0" w:line="480" w:lineRule="auto"/>
        <w:ind w:firstLine="720"/>
        <w:rPr>
          <w:rFonts w:ascii="Times New Roman" w:hAnsi="Times New Roman" w:cs="Times New Roman"/>
          <w:sz w:val="24"/>
          <w:szCs w:val="24"/>
        </w:rPr>
      </w:pPr>
      <w:r w:rsidRPr="00817CE0">
        <w:rPr>
          <w:rFonts w:ascii="Times New Roman" w:hAnsi="Times New Roman" w:cs="Times New Roman"/>
          <w:sz w:val="24"/>
          <w:szCs w:val="24"/>
        </w:rPr>
        <w:t>Based on AEP Ohio</w:t>
      </w:r>
      <w:r w:rsidR="00130F92">
        <w:rPr>
          <w:rFonts w:ascii="Times New Roman" w:hAnsi="Times New Roman" w:cs="Times New Roman"/>
          <w:sz w:val="24"/>
          <w:szCs w:val="24"/>
        </w:rPr>
        <w:t>’</w:t>
      </w:r>
      <w:r w:rsidRPr="00817CE0">
        <w:rPr>
          <w:rFonts w:ascii="Times New Roman" w:hAnsi="Times New Roman" w:cs="Times New Roman"/>
          <w:sz w:val="24"/>
          <w:szCs w:val="24"/>
        </w:rPr>
        <w:t xml:space="preserve">s own evidence, and that of OCC and others, OCC showed in its initial brief that </w:t>
      </w:r>
      <w:r w:rsidR="00EE7FDD">
        <w:rPr>
          <w:rFonts w:ascii="Times New Roman" w:hAnsi="Times New Roman" w:cs="Times New Roman"/>
          <w:sz w:val="24"/>
          <w:szCs w:val="24"/>
        </w:rPr>
        <w:t>AEP Ohio has failed to meet its burden under ESP III</w:t>
      </w:r>
      <w:r w:rsidR="00130F92">
        <w:rPr>
          <w:rFonts w:ascii="Times New Roman" w:hAnsi="Times New Roman" w:cs="Times New Roman"/>
          <w:sz w:val="24"/>
          <w:szCs w:val="24"/>
        </w:rPr>
        <w:t>’</w:t>
      </w:r>
      <w:r w:rsidR="00EE7FDD">
        <w:rPr>
          <w:rFonts w:ascii="Times New Roman" w:hAnsi="Times New Roman" w:cs="Times New Roman"/>
          <w:sz w:val="24"/>
          <w:szCs w:val="24"/>
        </w:rPr>
        <w:t xml:space="preserve">s factors and </w:t>
      </w:r>
    </w:p>
    <w:p w:rsidR="0059342E" w:rsidRDefault="0059342E">
      <w:pPr>
        <w:rPr>
          <w:rFonts w:ascii="Times New Roman" w:hAnsi="Times New Roman" w:cs="Times New Roman"/>
          <w:sz w:val="24"/>
          <w:szCs w:val="24"/>
        </w:rPr>
      </w:pPr>
      <w:r>
        <w:rPr>
          <w:rFonts w:ascii="Times New Roman" w:hAnsi="Times New Roman" w:cs="Times New Roman"/>
          <w:sz w:val="24"/>
          <w:szCs w:val="24"/>
        </w:rPr>
        <w:br w:type="page"/>
      </w:r>
    </w:p>
    <w:p w:rsidR="00870161" w:rsidRDefault="00EE7FDD" w:rsidP="0059342E">
      <w:pPr>
        <w:spacing w:after="0" w:line="480" w:lineRule="auto"/>
        <w:rPr>
          <w:rFonts w:ascii="Times New Roman" w:hAnsi="Times New Roman" w:cs="Times New Roman"/>
          <w:sz w:val="24"/>
          <w:szCs w:val="24"/>
        </w:rPr>
      </w:pPr>
      <w:r>
        <w:rPr>
          <w:rFonts w:ascii="Times New Roman" w:hAnsi="Times New Roman" w:cs="Times New Roman"/>
          <w:sz w:val="24"/>
          <w:szCs w:val="24"/>
        </w:rPr>
        <w:t>requirements</w:t>
      </w:r>
      <w:r w:rsidR="00907C18">
        <w:rPr>
          <w:rFonts w:ascii="Times New Roman" w:hAnsi="Times New Roman" w:cs="Times New Roman"/>
          <w:sz w:val="24"/>
          <w:szCs w:val="24"/>
        </w:rPr>
        <w:t xml:space="preserve"> set out by the PUCO</w:t>
      </w:r>
      <w:r>
        <w:rPr>
          <w:rFonts w:ascii="Times New Roman" w:hAnsi="Times New Roman" w:cs="Times New Roman"/>
          <w:sz w:val="24"/>
          <w:szCs w:val="24"/>
        </w:rPr>
        <w:t>. The</w:t>
      </w:r>
      <w:r w:rsidR="00180CFC">
        <w:rPr>
          <w:rFonts w:ascii="Times New Roman" w:hAnsi="Times New Roman" w:cs="Times New Roman"/>
          <w:sz w:val="24"/>
          <w:szCs w:val="24"/>
        </w:rPr>
        <w:t xml:space="preserve"> PPA Units are not in financial need.</w:t>
      </w:r>
      <w:r w:rsidR="00180CFC">
        <w:rPr>
          <w:rStyle w:val="FootnoteReference"/>
          <w:rFonts w:ascii="Times New Roman" w:hAnsi="Times New Roman" w:cs="Times New Roman"/>
          <w:sz w:val="24"/>
          <w:szCs w:val="24"/>
        </w:rPr>
        <w:footnoteReference w:id="51"/>
      </w:r>
      <w:r w:rsidR="00180CFC">
        <w:rPr>
          <w:rFonts w:ascii="Times New Roman" w:hAnsi="Times New Roman" w:cs="Times New Roman"/>
          <w:sz w:val="24"/>
          <w:szCs w:val="24"/>
        </w:rPr>
        <w:t xml:space="preserve">  AEP Ohio</w:t>
      </w:r>
      <w:r w:rsidR="00130F92">
        <w:rPr>
          <w:rFonts w:ascii="Times New Roman" w:hAnsi="Times New Roman" w:cs="Times New Roman"/>
          <w:sz w:val="24"/>
          <w:szCs w:val="24"/>
        </w:rPr>
        <w:t>’</w:t>
      </w:r>
      <w:r w:rsidR="00180CFC">
        <w:rPr>
          <w:rFonts w:ascii="Times New Roman" w:hAnsi="Times New Roman" w:cs="Times New Roman"/>
          <w:sz w:val="24"/>
          <w:szCs w:val="24"/>
        </w:rPr>
        <w:t xml:space="preserve">s proposed </w:t>
      </w:r>
      <w:r w:rsidR="00F444AC">
        <w:rPr>
          <w:rFonts w:ascii="Times New Roman" w:hAnsi="Times New Roman" w:cs="Times New Roman"/>
          <w:sz w:val="24"/>
          <w:szCs w:val="24"/>
        </w:rPr>
        <w:t xml:space="preserve">10.38 percent </w:t>
      </w:r>
      <w:r w:rsidR="00180CFC">
        <w:rPr>
          <w:rFonts w:ascii="Times New Roman" w:hAnsi="Times New Roman" w:cs="Times New Roman"/>
          <w:sz w:val="24"/>
          <w:szCs w:val="24"/>
        </w:rPr>
        <w:t xml:space="preserve">return on equity (profit) </w:t>
      </w:r>
      <w:r w:rsidR="00907C18">
        <w:rPr>
          <w:rFonts w:ascii="Times New Roman" w:hAnsi="Times New Roman" w:cs="Times New Roman"/>
          <w:sz w:val="24"/>
          <w:szCs w:val="24"/>
        </w:rPr>
        <w:t xml:space="preserve">for deregulated generation </w:t>
      </w:r>
      <w:r w:rsidR="00180CFC">
        <w:rPr>
          <w:rFonts w:ascii="Times New Roman" w:hAnsi="Times New Roman" w:cs="Times New Roman"/>
          <w:sz w:val="24"/>
          <w:szCs w:val="24"/>
        </w:rPr>
        <w:t>is unjust, unreasonable, unprecedented, and w</w:t>
      </w:r>
      <w:r w:rsidR="00FD7250">
        <w:rPr>
          <w:rFonts w:ascii="Times New Roman" w:hAnsi="Times New Roman" w:cs="Times New Roman"/>
          <w:sz w:val="24"/>
          <w:szCs w:val="24"/>
        </w:rPr>
        <w:t>ill</w:t>
      </w:r>
      <w:r w:rsidR="00180CFC">
        <w:rPr>
          <w:rFonts w:ascii="Times New Roman" w:hAnsi="Times New Roman" w:cs="Times New Roman"/>
          <w:sz w:val="24"/>
          <w:szCs w:val="24"/>
        </w:rPr>
        <w:t xml:space="preserve"> harm consumers.  Based on the same evidence, the PPA Units are not necessary in light of future reliability concerns, including supply diversity.</w:t>
      </w:r>
      <w:r w:rsidR="00180CFC">
        <w:rPr>
          <w:rStyle w:val="FootnoteReference"/>
          <w:rFonts w:ascii="Times New Roman" w:hAnsi="Times New Roman" w:cs="Times New Roman"/>
          <w:sz w:val="24"/>
          <w:szCs w:val="24"/>
        </w:rPr>
        <w:footnoteReference w:id="52"/>
      </w:r>
      <w:r w:rsidR="00180CFC">
        <w:rPr>
          <w:rFonts w:ascii="Times New Roman" w:hAnsi="Times New Roman" w:cs="Times New Roman"/>
          <w:sz w:val="24"/>
          <w:szCs w:val="24"/>
        </w:rPr>
        <w:t xml:space="preserve">  PJM is responsible for, and capable of, ensuring reliability and resource adequacy.</w:t>
      </w:r>
      <w:r w:rsidR="00D93990">
        <w:rPr>
          <w:rStyle w:val="FootnoteReference"/>
          <w:rFonts w:ascii="Times New Roman" w:hAnsi="Times New Roman" w:cs="Times New Roman"/>
          <w:sz w:val="24"/>
          <w:szCs w:val="24"/>
        </w:rPr>
        <w:footnoteReference w:id="53"/>
      </w:r>
      <w:r w:rsidR="00180CFC">
        <w:rPr>
          <w:rFonts w:ascii="Times New Roman" w:hAnsi="Times New Roman" w:cs="Times New Roman"/>
          <w:sz w:val="24"/>
          <w:szCs w:val="24"/>
        </w:rPr>
        <w:t xml:space="preserve">  And the PPA Units do not contribute to supply diversity – they are coal-fired units in a coal-dominated </w:t>
      </w:r>
      <w:r w:rsidR="00476F0E">
        <w:rPr>
          <w:rFonts w:ascii="Times New Roman" w:hAnsi="Times New Roman" w:cs="Times New Roman"/>
          <w:sz w:val="24"/>
          <w:szCs w:val="24"/>
        </w:rPr>
        <w:t>state</w:t>
      </w:r>
      <w:r w:rsidR="00180CFC">
        <w:rPr>
          <w:rFonts w:ascii="Times New Roman" w:hAnsi="Times New Roman" w:cs="Times New Roman"/>
          <w:sz w:val="24"/>
          <w:szCs w:val="24"/>
        </w:rPr>
        <w:t>.</w:t>
      </w:r>
      <w:r w:rsidR="002F33FA">
        <w:rPr>
          <w:rStyle w:val="FootnoteReference"/>
          <w:rFonts w:ascii="Times New Roman" w:hAnsi="Times New Roman" w:cs="Times New Roman"/>
          <w:sz w:val="24"/>
          <w:szCs w:val="24"/>
        </w:rPr>
        <w:footnoteReference w:id="54"/>
      </w:r>
      <w:r w:rsidR="00F158B6">
        <w:rPr>
          <w:rFonts w:ascii="Times New Roman" w:hAnsi="Times New Roman" w:cs="Times New Roman"/>
          <w:sz w:val="24"/>
          <w:szCs w:val="24"/>
        </w:rPr>
        <w:t xml:space="preserve">  Again based on the same evidence, AEP Ohio has failed to show the PPA Units</w:t>
      </w:r>
      <w:r w:rsidR="00130F92">
        <w:rPr>
          <w:rFonts w:ascii="Times New Roman" w:hAnsi="Times New Roman" w:cs="Times New Roman"/>
          <w:sz w:val="24"/>
          <w:szCs w:val="24"/>
        </w:rPr>
        <w:t>’</w:t>
      </w:r>
      <w:r w:rsidR="00F158B6">
        <w:rPr>
          <w:rFonts w:ascii="Times New Roman" w:hAnsi="Times New Roman" w:cs="Times New Roman"/>
          <w:sz w:val="24"/>
          <w:szCs w:val="24"/>
        </w:rPr>
        <w:t xml:space="preserve"> compliance with current environmental regulations and a plan for complying with future environmental regulations.</w:t>
      </w:r>
      <w:r w:rsidR="00F158B6">
        <w:rPr>
          <w:rStyle w:val="FootnoteReference"/>
          <w:rFonts w:ascii="Times New Roman" w:hAnsi="Times New Roman" w:cs="Times New Roman"/>
          <w:sz w:val="24"/>
          <w:szCs w:val="24"/>
        </w:rPr>
        <w:footnoteReference w:id="55"/>
      </w:r>
      <w:r w:rsidR="00870161">
        <w:rPr>
          <w:rFonts w:ascii="Times New Roman" w:hAnsi="Times New Roman" w:cs="Times New Roman"/>
          <w:sz w:val="24"/>
          <w:szCs w:val="24"/>
        </w:rPr>
        <w:t xml:space="preserve">  Also based on the same evidence, AEP Ohio has failed to show the impact that closing the PPA Units would have on electric prices and the resulting effect on economic development in the state.</w:t>
      </w:r>
      <w:r w:rsidR="00870161">
        <w:rPr>
          <w:rStyle w:val="FootnoteReference"/>
          <w:rFonts w:ascii="Times New Roman" w:hAnsi="Times New Roman" w:cs="Times New Roman"/>
          <w:sz w:val="24"/>
          <w:szCs w:val="24"/>
        </w:rPr>
        <w:footnoteReference w:id="56"/>
      </w:r>
      <w:r w:rsidR="00870161">
        <w:rPr>
          <w:rFonts w:ascii="Times New Roman" w:hAnsi="Times New Roman" w:cs="Times New Roman"/>
          <w:sz w:val="24"/>
          <w:szCs w:val="24"/>
        </w:rPr>
        <w:t xml:space="preserve">  It produced no evidence regarding the impact on electric prices, and no credible evidence on economic impact</w:t>
      </w:r>
      <w:r w:rsidR="00F85F20">
        <w:rPr>
          <w:rFonts w:ascii="Times New Roman" w:hAnsi="Times New Roman" w:cs="Times New Roman"/>
          <w:sz w:val="24"/>
          <w:szCs w:val="24"/>
        </w:rPr>
        <w:t xml:space="preserve"> </w:t>
      </w:r>
      <w:r w:rsidR="00F812D7">
        <w:rPr>
          <w:rFonts w:ascii="Times New Roman" w:hAnsi="Times New Roman" w:cs="Times New Roman"/>
          <w:sz w:val="24"/>
          <w:szCs w:val="24"/>
        </w:rPr>
        <w:t>caused by PPA plant closures</w:t>
      </w:r>
      <w:r w:rsidR="00870161">
        <w:rPr>
          <w:rFonts w:ascii="Times New Roman" w:hAnsi="Times New Roman" w:cs="Times New Roman"/>
          <w:sz w:val="24"/>
          <w:szCs w:val="24"/>
        </w:rPr>
        <w:t>.</w:t>
      </w:r>
    </w:p>
    <w:p w:rsidR="003A3EEB" w:rsidRDefault="00870161" w:rsidP="008701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 has not provided for rigorous PUCO oversight, full information sharing, and allocating financial risk as required.</w:t>
      </w:r>
      <w:r>
        <w:rPr>
          <w:rStyle w:val="FootnoteReference"/>
          <w:rFonts w:ascii="Times New Roman" w:hAnsi="Times New Roman" w:cs="Times New Roman"/>
          <w:sz w:val="24"/>
          <w:szCs w:val="24"/>
        </w:rPr>
        <w:footnoteReference w:id="57"/>
      </w:r>
      <w:r w:rsidR="009A7796">
        <w:rPr>
          <w:rFonts w:ascii="Times New Roman" w:hAnsi="Times New Roman" w:cs="Times New Roman"/>
          <w:sz w:val="24"/>
          <w:szCs w:val="24"/>
        </w:rPr>
        <w:t xml:space="preserve">  There is no public participation and transparency.  There are limitations and restrictions on the information to be shared with the PUCO, and no rights to information for other interested parties.  The very substantial costs associated with PUCO invocation of the tools that AEP Ohio asserts allocates risks to it render them unrealistic and ineffective</w:t>
      </w:r>
      <w:r w:rsidR="00AF74B9">
        <w:rPr>
          <w:rFonts w:ascii="Times New Roman" w:hAnsi="Times New Roman" w:cs="Times New Roman"/>
          <w:sz w:val="24"/>
          <w:szCs w:val="24"/>
        </w:rPr>
        <w:t xml:space="preserve"> and harmful to consumers</w:t>
      </w:r>
      <w:r w:rsidR="009A7796">
        <w:rPr>
          <w:rFonts w:ascii="Times New Roman" w:hAnsi="Times New Roman" w:cs="Times New Roman"/>
          <w:sz w:val="24"/>
          <w:szCs w:val="24"/>
        </w:rPr>
        <w:t>.  Consumers bear all the risk</w:t>
      </w:r>
      <w:r w:rsidR="00F812D7">
        <w:rPr>
          <w:rFonts w:ascii="Times New Roman" w:hAnsi="Times New Roman" w:cs="Times New Roman"/>
          <w:sz w:val="24"/>
          <w:szCs w:val="24"/>
        </w:rPr>
        <w:t xml:space="preserve"> associated with the PPA units</w:t>
      </w:r>
      <w:r w:rsidR="009A7796">
        <w:rPr>
          <w:rFonts w:ascii="Times New Roman" w:hAnsi="Times New Roman" w:cs="Times New Roman"/>
          <w:sz w:val="24"/>
          <w:szCs w:val="24"/>
        </w:rPr>
        <w:t>.</w:t>
      </w:r>
      <w:r w:rsidR="00F158B6">
        <w:rPr>
          <w:rFonts w:ascii="Times New Roman" w:hAnsi="Times New Roman" w:cs="Times New Roman"/>
          <w:sz w:val="24"/>
          <w:szCs w:val="24"/>
        </w:rPr>
        <w:t xml:space="preserve"> </w:t>
      </w:r>
      <w:r w:rsidR="00180CFC">
        <w:rPr>
          <w:rFonts w:ascii="Times New Roman" w:hAnsi="Times New Roman" w:cs="Times New Roman"/>
          <w:sz w:val="24"/>
          <w:szCs w:val="24"/>
        </w:rPr>
        <w:t xml:space="preserve"> </w:t>
      </w:r>
    </w:p>
    <w:p w:rsidR="003A3EEB" w:rsidRPr="006D2492" w:rsidRDefault="00D93990" w:rsidP="00EF694A">
      <w:pPr>
        <w:pStyle w:val="Heading5"/>
      </w:pPr>
      <w:bookmarkStart w:id="23" w:name="_Toc442713366"/>
      <w:r>
        <w:t>iii</w:t>
      </w:r>
      <w:r w:rsidR="003A3EEB">
        <w:t>.</w:t>
      </w:r>
      <w:r w:rsidR="003A3EEB" w:rsidRPr="006D2492">
        <w:t xml:space="preserve"> </w:t>
      </w:r>
      <w:r w:rsidR="00EF694A">
        <w:tab/>
      </w:r>
      <w:r w:rsidR="003A3EEB">
        <w:t>T</w:t>
      </w:r>
      <w:r w:rsidR="003A3EEB" w:rsidRPr="006D2492">
        <w:t>he PUCO should not evaluate the settlement as a “package.”</w:t>
      </w:r>
      <w:bookmarkEnd w:id="23"/>
    </w:p>
    <w:p w:rsidR="003A3EEB" w:rsidRDefault="003A3EEB" w:rsidP="003A3E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stated, t</w:t>
      </w:r>
      <w:r w:rsidRPr="006D2492">
        <w:rPr>
          <w:rFonts w:ascii="Times New Roman" w:hAnsi="Times New Roman" w:cs="Times New Roman"/>
          <w:sz w:val="24"/>
          <w:szCs w:val="24"/>
        </w:rPr>
        <w:t>he</w:t>
      </w:r>
      <w:r>
        <w:rPr>
          <w:rFonts w:ascii="Times New Roman" w:hAnsi="Times New Roman" w:cs="Times New Roman"/>
          <w:sz w:val="24"/>
          <w:szCs w:val="24"/>
        </w:rPr>
        <w:t xml:space="preserve"> PUCO should not apply the settlement</w:t>
      </w:r>
      <w:r w:rsidRPr="006D2492">
        <w:rPr>
          <w:rFonts w:ascii="Times New Roman" w:hAnsi="Times New Roman" w:cs="Times New Roman"/>
          <w:sz w:val="24"/>
          <w:szCs w:val="24"/>
        </w:rPr>
        <w:t xml:space="preserve"> test to consider the Joint Stipulation as a “package” under the three-prong test.</w:t>
      </w:r>
      <w:r>
        <w:rPr>
          <w:rStyle w:val="FootnoteReference"/>
          <w:rFonts w:ascii="Times New Roman" w:hAnsi="Times New Roman" w:cs="Times New Roman"/>
          <w:sz w:val="24"/>
          <w:szCs w:val="24"/>
        </w:rPr>
        <w:footnoteReference w:id="58"/>
      </w:r>
      <w:r w:rsidRPr="006D2492">
        <w:rPr>
          <w:rFonts w:ascii="Times New Roman" w:hAnsi="Times New Roman" w:cs="Times New Roman"/>
          <w:sz w:val="24"/>
          <w:szCs w:val="24"/>
        </w:rPr>
        <w:t xml:space="preserve">  The settlement is a hodgepodge</w:t>
      </w:r>
      <w:r>
        <w:rPr>
          <w:rFonts w:ascii="Times New Roman" w:hAnsi="Times New Roman" w:cs="Times New Roman"/>
          <w:sz w:val="24"/>
          <w:szCs w:val="24"/>
        </w:rPr>
        <w:t xml:space="preserve"> (not a package)</w:t>
      </w:r>
      <w:r w:rsidRPr="006D2492">
        <w:rPr>
          <w:rFonts w:ascii="Times New Roman" w:hAnsi="Times New Roman" w:cs="Times New Roman"/>
          <w:sz w:val="24"/>
          <w:szCs w:val="24"/>
        </w:rPr>
        <w:t xml:space="preserve"> of unrelated terms, including “gimmes” to induce certain signatories</w:t>
      </w:r>
      <w:r w:rsidRPr="000746CE">
        <w:rPr>
          <w:rFonts w:ascii="Times New Roman" w:hAnsi="Times New Roman" w:cs="Times New Roman"/>
          <w:sz w:val="24"/>
          <w:szCs w:val="24"/>
        </w:rPr>
        <w:t xml:space="preserve"> to sign</w:t>
      </w:r>
      <w:r>
        <w:rPr>
          <w:rFonts w:ascii="Times New Roman" w:hAnsi="Times New Roman" w:cs="Times New Roman"/>
          <w:sz w:val="24"/>
          <w:szCs w:val="24"/>
        </w:rPr>
        <w:t>.  These terms are tailored to the individual parties to be induced to sign, and should not be confused with benefits to customers generally</w:t>
      </w:r>
      <w:r w:rsidR="002C35B7">
        <w:rPr>
          <w:rFonts w:ascii="Times New Roman" w:hAnsi="Times New Roman" w:cs="Times New Roman"/>
          <w:sz w:val="24"/>
          <w:szCs w:val="24"/>
        </w:rPr>
        <w:t xml:space="preserve"> or the public interest</w:t>
      </w:r>
      <w:r>
        <w:rPr>
          <w:rFonts w:ascii="Times New Roman" w:hAnsi="Times New Roman" w:cs="Times New Roman"/>
          <w:sz w:val="24"/>
          <w:szCs w:val="24"/>
        </w:rPr>
        <w:t>.  The terms that</w:t>
      </w:r>
      <w:r w:rsidR="00793BFE">
        <w:rPr>
          <w:rFonts w:ascii="Times New Roman" w:hAnsi="Times New Roman" w:cs="Times New Roman"/>
          <w:sz w:val="24"/>
          <w:szCs w:val="24"/>
        </w:rPr>
        <w:t xml:space="preserve"> are inducements to sign lack </w:t>
      </w:r>
      <w:r>
        <w:rPr>
          <w:rFonts w:ascii="Times New Roman" w:hAnsi="Times New Roman" w:cs="Times New Roman"/>
          <w:sz w:val="24"/>
          <w:szCs w:val="24"/>
        </w:rPr>
        <w:t>a reasonable nexus to the subject of the case, the power purchase agreement</w:t>
      </w:r>
      <w:r w:rsidR="002C35B7">
        <w:rPr>
          <w:rFonts w:ascii="Times New Roman" w:hAnsi="Times New Roman" w:cs="Times New Roman"/>
          <w:sz w:val="24"/>
          <w:szCs w:val="24"/>
        </w:rPr>
        <w:t>, and are therefore not a package</w:t>
      </w:r>
      <w:r>
        <w:rPr>
          <w:rFonts w:ascii="Times New Roman" w:hAnsi="Times New Roman" w:cs="Times New Roman"/>
          <w:sz w:val="24"/>
          <w:szCs w:val="24"/>
        </w:rPr>
        <w:t xml:space="preserve">.  </w:t>
      </w:r>
    </w:p>
    <w:p w:rsidR="003A3EEB" w:rsidRDefault="003A3EEB" w:rsidP="003A3E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there was no notice that this case was about consumer funding of renewable energy, consumer payment for a mass roll-out of the smart grid, subsidies for members of an association of weatherization providers, and so on.  The </w:t>
      </w:r>
      <w:r w:rsidR="00034E0E">
        <w:rPr>
          <w:rFonts w:ascii="Times New Roman" w:hAnsi="Times New Roman" w:cs="Times New Roman"/>
          <w:sz w:val="24"/>
          <w:szCs w:val="24"/>
        </w:rPr>
        <w:t xml:space="preserve">Settlement </w:t>
      </w:r>
      <w:r>
        <w:rPr>
          <w:rFonts w:ascii="Times New Roman" w:hAnsi="Times New Roman" w:cs="Times New Roman"/>
          <w:sz w:val="24"/>
          <w:szCs w:val="24"/>
        </w:rPr>
        <w:t>“package” was contrived largely for AEP Ohio’s purpose o</w:t>
      </w:r>
      <w:r w:rsidR="00036244">
        <w:rPr>
          <w:rFonts w:ascii="Times New Roman" w:hAnsi="Times New Roman" w:cs="Times New Roman"/>
          <w:sz w:val="24"/>
          <w:szCs w:val="24"/>
        </w:rPr>
        <w:t xml:space="preserve">f obtaining PUCO approval of the profit guarantees </w:t>
      </w:r>
      <w:r>
        <w:rPr>
          <w:rFonts w:ascii="Times New Roman" w:hAnsi="Times New Roman" w:cs="Times New Roman"/>
          <w:sz w:val="24"/>
          <w:szCs w:val="24"/>
        </w:rPr>
        <w:t xml:space="preserve">for Ohioans’ to subsidize the power plants of its corporate affiliate.  </w:t>
      </w:r>
    </w:p>
    <w:p w:rsidR="003A3EEB" w:rsidRDefault="003A3EEB" w:rsidP="003A3E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is not a “package” that should be countenanced by the PUCO’s settlement standards.  Each term of this settlement should rise or fall on its own merits or demerits (and most of the terms should not even be considered in this case).</w:t>
      </w:r>
    </w:p>
    <w:p w:rsidR="00180A08" w:rsidRPr="001F35BA" w:rsidRDefault="00AC3BFC" w:rsidP="00E66D9C">
      <w:pPr>
        <w:pStyle w:val="Heading2"/>
      </w:pPr>
      <w:bookmarkStart w:id="24" w:name="_Toc442712221"/>
      <w:bookmarkStart w:id="25" w:name="_Toc442713367"/>
      <w:r>
        <w:t>D</w:t>
      </w:r>
      <w:r w:rsidR="00E66D9C">
        <w:t>.</w:t>
      </w:r>
      <w:r w:rsidR="00E66D9C">
        <w:tab/>
      </w:r>
      <w:r w:rsidR="00180A08" w:rsidRPr="001F35BA">
        <w:t>OCC Witness Wilson</w:t>
      </w:r>
      <w:r w:rsidR="00130F92">
        <w:t>’</w:t>
      </w:r>
      <w:r w:rsidR="00180A08" w:rsidRPr="001F35BA">
        <w:t>s market-based figures</w:t>
      </w:r>
      <w:r w:rsidR="000D7B6B">
        <w:t xml:space="preserve"> showing consumer impacts of the </w:t>
      </w:r>
      <w:r w:rsidR="00034E0E">
        <w:t xml:space="preserve">Settlement </w:t>
      </w:r>
      <w:r w:rsidR="000D7B6B">
        <w:t>are properly calculated, contrary to AEP Ohio’s critique.</w:t>
      </w:r>
      <w:bookmarkEnd w:id="24"/>
      <w:bookmarkEnd w:id="25"/>
    </w:p>
    <w:p w:rsidR="00B81EAD"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AEP Ohio claims that OCC Witness Wilson</w:t>
      </w:r>
      <w:r w:rsidR="00130F92">
        <w:rPr>
          <w:rFonts w:ascii="Times New Roman" w:hAnsi="Times New Roman" w:cs="Times New Roman"/>
          <w:sz w:val="24"/>
          <w:szCs w:val="24"/>
        </w:rPr>
        <w:t>’</w:t>
      </w:r>
      <w:r>
        <w:rPr>
          <w:rFonts w:ascii="Times New Roman" w:hAnsi="Times New Roman" w:cs="Times New Roman"/>
          <w:sz w:val="24"/>
          <w:szCs w:val="24"/>
        </w:rPr>
        <w:t>s figures</w:t>
      </w:r>
      <w:r w:rsidR="000D7B6B">
        <w:rPr>
          <w:rFonts w:ascii="Times New Roman" w:hAnsi="Times New Roman" w:cs="Times New Roman"/>
          <w:sz w:val="24"/>
          <w:szCs w:val="24"/>
        </w:rPr>
        <w:t xml:space="preserve"> (showing consumer impacts)</w:t>
      </w:r>
      <w:r>
        <w:rPr>
          <w:rFonts w:ascii="Times New Roman" w:hAnsi="Times New Roman" w:cs="Times New Roman"/>
          <w:sz w:val="24"/>
          <w:szCs w:val="24"/>
        </w:rPr>
        <w:t xml:space="preserve"> are unreliable because futures prices do not represent economic principles of demand, supply, and the resulting price.</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This is not true.  OCC Witness Wilson explained that future prices </w:t>
      </w:r>
      <w:r w:rsidR="00130F92">
        <w:rPr>
          <w:rFonts w:ascii="Times New Roman" w:hAnsi="Times New Roman" w:cs="Times New Roman"/>
          <w:sz w:val="24"/>
          <w:szCs w:val="24"/>
        </w:rPr>
        <w:t>“</w:t>
      </w:r>
      <w:r>
        <w:rPr>
          <w:rFonts w:ascii="Times New Roman" w:hAnsi="Times New Roman" w:cs="Times New Roman"/>
          <w:sz w:val="24"/>
          <w:szCs w:val="24"/>
        </w:rPr>
        <w:t>reflect a consensus of market participants</w:t>
      </w:r>
      <w:r w:rsidR="00130F92">
        <w:rPr>
          <w:rFonts w:ascii="Times New Roman" w:hAnsi="Times New Roman" w:cs="Times New Roman"/>
          <w:sz w:val="24"/>
          <w:szCs w:val="24"/>
        </w:rPr>
        <w:t>’</w:t>
      </w:r>
      <w:r>
        <w:rPr>
          <w:rFonts w:ascii="Times New Roman" w:hAnsi="Times New Roman" w:cs="Times New Roman"/>
          <w:sz w:val="24"/>
          <w:szCs w:val="24"/>
        </w:rPr>
        <w:t xml:space="preserve"> expectations of future prices, reflecting their expectations and forecasts of supply, demand and price.</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Although market participants pursue a range of objectives through futures transactions, </w:t>
      </w:r>
      <w:r w:rsidR="00130F92">
        <w:rPr>
          <w:rFonts w:ascii="Times New Roman" w:hAnsi="Times New Roman" w:cs="Times New Roman"/>
          <w:sz w:val="24"/>
          <w:szCs w:val="24"/>
        </w:rPr>
        <w:t>“</w:t>
      </w:r>
      <w:r>
        <w:rPr>
          <w:rFonts w:ascii="Times New Roman" w:hAnsi="Times New Roman" w:cs="Times New Roman"/>
          <w:sz w:val="24"/>
          <w:szCs w:val="24"/>
        </w:rPr>
        <w:t xml:space="preserve">their hedging actions will reflect and represent their expectations and forecasts of prices in the coming months and years, </w:t>
      </w:r>
      <w:r w:rsidRPr="00A4171A">
        <w:rPr>
          <w:rFonts w:ascii="Times New Roman" w:hAnsi="Times New Roman" w:cs="Times New Roman"/>
          <w:i/>
          <w:sz w:val="24"/>
          <w:szCs w:val="24"/>
        </w:rPr>
        <w:t>because the futures contract is simply an alternative to paying those prices.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61"/>
      </w:r>
    </w:p>
    <w:p w:rsidR="00B81EAD"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Further, and contrary to AEP Ohio</w:t>
      </w:r>
      <w:r w:rsidR="00130F92">
        <w:rPr>
          <w:rFonts w:ascii="Times New Roman" w:hAnsi="Times New Roman" w:cs="Times New Roman"/>
          <w:sz w:val="24"/>
          <w:szCs w:val="24"/>
        </w:rPr>
        <w:t>’</w:t>
      </w:r>
      <w:r>
        <w:rPr>
          <w:rFonts w:ascii="Times New Roman" w:hAnsi="Times New Roman" w:cs="Times New Roman"/>
          <w:sz w:val="24"/>
          <w:szCs w:val="24"/>
        </w:rPr>
        <w:t>s assertions, there is sufficient liquidity in electric energy forwards.</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OCC Witness Wilson decided to use the AEP-Dayton Hub day-ahead prices – </w:t>
      </w:r>
      <w:r w:rsidR="00130F92">
        <w:rPr>
          <w:rFonts w:ascii="Times New Roman" w:hAnsi="Times New Roman" w:cs="Times New Roman"/>
          <w:sz w:val="24"/>
          <w:szCs w:val="24"/>
        </w:rPr>
        <w:t>“</w:t>
      </w:r>
      <w:r>
        <w:rPr>
          <w:rFonts w:ascii="Times New Roman" w:hAnsi="Times New Roman" w:cs="Times New Roman"/>
          <w:sz w:val="24"/>
          <w:szCs w:val="24"/>
        </w:rPr>
        <w:t>AEP-Dayton Hub day-ahead were the right prices to use for [his] analysis.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AEP Ohio did not challenge the propriety of OCC Witness Wilson</w:t>
      </w:r>
      <w:r w:rsidR="00130F92">
        <w:rPr>
          <w:rFonts w:ascii="Times New Roman" w:hAnsi="Times New Roman" w:cs="Times New Roman"/>
          <w:sz w:val="24"/>
          <w:szCs w:val="24"/>
        </w:rPr>
        <w:t>’</w:t>
      </w:r>
      <w:r>
        <w:rPr>
          <w:rFonts w:ascii="Times New Roman" w:hAnsi="Times New Roman" w:cs="Times New Roman"/>
          <w:sz w:val="24"/>
          <w:szCs w:val="24"/>
        </w:rPr>
        <w:t xml:space="preserve">s choice.  And its challenge to the level of liquidity is belied by the fact that there are multiple exchanges on which futures are traded, additional contracts for the </w:t>
      </w:r>
      <w:r w:rsidR="00130F92">
        <w:rPr>
          <w:rFonts w:ascii="Times New Roman" w:hAnsi="Times New Roman" w:cs="Times New Roman"/>
          <w:sz w:val="24"/>
          <w:szCs w:val="24"/>
        </w:rPr>
        <w:t>real-time</w:t>
      </w:r>
      <w:r>
        <w:rPr>
          <w:rFonts w:ascii="Times New Roman" w:hAnsi="Times New Roman" w:cs="Times New Roman"/>
          <w:sz w:val="24"/>
          <w:szCs w:val="24"/>
        </w:rPr>
        <w:t xml:space="preserve"> market with large volume and similar prices to those used by OCC Witness Wilson, and other hubs geographically close and </w:t>
      </w:r>
      <w:r w:rsidRPr="00603DAD">
        <w:rPr>
          <w:rFonts w:ascii="Times New Roman" w:hAnsi="Times New Roman" w:cs="Times New Roman"/>
          <w:sz w:val="24"/>
          <w:szCs w:val="24"/>
        </w:rPr>
        <w:t>well interconnected</w:t>
      </w:r>
      <w:r>
        <w:rPr>
          <w:rFonts w:ascii="Times New Roman" w:hAnsi="Times New Roman" w:cs="Times New Roman"/>
          <w:sz w:val="24"/>
          <w:szCs w:val="24"/>
        </w:rPr>
        <w:t xml:space="preserve"> to the electricity grid.</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So when AEP Ohio attempts to challenge liquidity, it inappropriately looks at </w:t>
      </w:r>
      <w:r w:rsidR="00130F92">
        <w:rPr>
          <w:rFonts w:ascii="Times New Roman" w:hAnsi="Times New Roman" w:cs="Times New Roman"/>
          <w:sz w:val="24"/>
          <w:szCs w:val="24"/>
        </w:rPr>
        <w:t>“</w:t>
      </w:r>
      <w:r>
        <w:rPr>
          <w:rFonts w:ascii="Times New Roman" w:hAnsi="Times New Roman" w:cs="Times New Roman"/>
          <w:sz w:val="24"/>
          <w:szCs w:val="24"/>
        </w:rPr>
        <w:t>only a small part of a much larger picture.</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p>
    <w:p w:rsidR="00535809"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AEP Ohio is also wrong in its assertion that OCC Witness Wilson</w:t>
      </w:r>
      <w:r w:rsidR="00130F92">
        <w:rPr>
          <w:rFonts w:ascii="Times New Roman" w:hAnsi="Times New Roman" w:cs="Times New Roman"/>
          <w:sz w:val="24"/>
          <w:szCs w:val="24"/>
        </w:rPr>
        <w:t>’</w:t>
      </w:r>
      <w:r>
        <w:rPr>
          <w:rFonts w:ascii="Times New Roman" w:hAnsi="Times New Roman" w:cs="Times New Roman"/>
          <w:sz w:val="24"/>
          <w:szCs w:val="24"/>
        </w:rPr>
        <w:t>s market-figures are inaccurate because neither party in a futures transaction is concerned with the actual future price of energy.</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As OCC Witness Wilson explained clearly:  </w:t>
      </w:r>
      <w:r w:rsidR="00130F92">
        <w:rPr>
          <w:rFonts w:ascii="Times New Roman" w:hAnsi="Times New Roman" w:cs="Times New Roman"/>
          <w:sz w:val="24"/>
          <w:szCs w:val="24"/>
        </w:rPr>
        <w:t>“</w:t>
      </w:r>
      <w:r>
        <w:rPr>
          <w:rFonts w:ascii="Times New Roman" w:hAnsi="Times New Roman" w:cs="Times New Roman"/>
          <w:sz w:val="24"/>
          <w:szCs w:val="24"/>
        </w:rPr>
        <w:t xml:space="preserve">Both parties to a futures transaction have engaged in the transaction precisely because they </w:t>
      </w:r>
      <w:r>
        <w:rPr>
          <w:rFonts w:ascii="Times New Roman" w:hAnsi="Times New Roman" w:cs="Times New Roman"/>
          <w:sz w:val="24"/>
          <w:szCs w:val="24"/>
          <w:u w:val="single"/>
        </w:rPr>
        <w:t>are</w:t>
      </w:r>
      <w:r>
        <w:rPr>
          <w:rFonts w:ascii="Times New Roman" w:hAnsi="Times New Roman" w:cs="Times New Roman"/>
          <w:sz w:val="24"/>
          <w:szCs w:val="24"/>
        </w:rPr>
        <w:t xml:space="preserve"> concerned about future price levels. The transaction allows them to protect themselves from undesirable price movements, at least for the portion of their sales or purchases covered by the transaction.</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In fact parties to such a transaction </w:t>
      </w:r>
      <w:r w:rsidR="00130F92">
        <w:rPr>
          <w:rFonts w:ascii="Times New Roman" w:hAnsi="Times New Roman" w:cs="Times New Roman"/>
          <w:sz w:val="24"/>
          <w:szCs w:val="24"/>
        </w:rPr>
        <w:t>“</w:t>
      </w:r>
      <w:r>
        <w:rPr>
          <w:rFonts w:ascii="Times New Roman" w:hAnsi="Times New Roman" w:cs="Times New Roman"/>
          <w:sz w:val="24"/>
          <w:szCs w:val="24"/>
        </w:rPr>
        <w:t>likely evaluated future market conditions very carefully before entering into the transaction.</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p>
    <w:p w:rsidR="00B81EAD"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AEP Ohio assert</w:t>
      </w:r>
      <w:r w:rsidR="00535809">
        <w:rPr>
          <w:rFonts w:ascii="Times New Roman" w:hAnsi="Times New Roman" w:cs="Times New Roman"/>
          <w:sz w:val="24"/>
          <w:szCs w:val="24"/>
        </w:rPr>
        <w:t>ed</w:t>
      </w:r>
      <w:r>
        <w:rPr>
          <w:rFonts w:ascii="Times New Roman" w:hAnsi="Times New Roman" w:cs="Times New Roman"/>
          <w:sz w:val="24"/>
          <w:szCs w:val="24"/>
        </w:rPr>
        <w:t xml:space="preserve"> that financial participants (</w:t>
      </w:r>
      <w:r w:rsidR="009057FB">
        <w:rPr>
          <w:rFonts w:ascii="Times New Roman" w:hAnsi="Times New Roman" w:cs="Times New Roman"/>
          <w:sz w:val="24"/>
          <w:szCs w:val="24"/>
        </w:rPr>
        <w:t>who</w:t>
      </w:r>
      <w:r>
        <w:rPr>
          <w:rFonts w:ascii="Times New Roman" w:hAnsi="Times New Roman" w:cs="Times New Roman"/>
          <w:sz w:val="24"/>
          <w:szCs w:val="24"/>
        </w:rPr>
        <w:t xml:space="preserve"> AEP Ohio describes as </w:t>
      </w:r>
      <w:r w:rsidR="00130F92">
        <w:rPr>
          <w:rFonts w:ascii="Times New Roman" w:hAnsi="Times New Roman" w:cs="Times New Roman"/>
          <w:sz w:val="24"/>
          <w:szCs w:val="24"/>
        </w:rPr>
        <w:t>“</w:t>
      </w:r>
      <w:r>
        <w:rPr>
          <w:rFonts w:ascii="Times New Roman" w:hAnsi="Times New Roman" w:cs="Times New Roman"/>
          <w:sz w:val="24"/>
          <w:szCs w:val="24"/>
        </w:rPr>
        <w:t>speculating</w:t>
      </w:r>
      <w:r w:rsidR="00130F92">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are not concerned with the actual future price of energy</w:t>
      </w:r>
      <w:r w:rsidR="00535809">
        <w:rPr>
          <w:rFonts w:ascii="Times New Roman" w:hAnsi="Times New Roman" w:cs="Times New Roman"/>
          <w:sz w:val="24"/>
          <w:szCs w:val="24"/>
        </w:rPr>
        <w:t>.  But</w:t>
      </w:r>
      <w:r>
        <w:rPr>
          <w:rFonts w:ascii="Times New Roman" w:hAnsi="Times New Roman" w:cs="Times New Roman"/>
          <w:sz w:val="24"/>
          <w:szCs w:val="24"/>
        </w:rPr>
        <w:t xml:space="preserve"> OCC Witness Wilson pointed out that financial participants engage in future transactions because they believe that prices will move in one direction or the other.  </w:t>
      </w:r>
      <w:r w:rsidR="00130F92">
        <w:rPr>
          <w:rFonts w:ascii="Times New Roman" w:hAnsi="Times New Roman" w:cs="Times New Roman"/>
          <w:sz w:val="24"/>
          <w:szCs w:val="24"/>
        </w:rPr>
        <w:t>“</w:t>
      </w:r>
      <w:r>
        <w:rPr>
          <w:rFonts w:ascii="Times New Roman" w:hAnsi="Times New Roman" w:cs="Times New Roman"/>
          <w:sz w:val="24"/>
          <w:szCs w:val="24"/>
        </w:rPr>
        <w:t>[T]hey too are taking a position based on their evaluation of future market conditions.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p>
    <w:p w:rsidR="00F02391"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AEP Ohio Witness Bletzacker</w:t>
      </w:r>
      <w:r w:rsidR="00130F92">
        <w:rPr>
          <w:rFonts w:ascii="Times New Roman" w:hAnsi="Times New Roman" w:cs="Times New Roman"/>
          <w:sz w:val="24"/>
          <w:szCs w:val="24"/>
        </w:rPr>
        <w:t>’</w:t>
      </w:r>
      <w:r>
        <w:rPr>
          <w:rFonts w:ascii="Times New Roman" w:hAnsi="Times New Roman" w:cs="Times New Roman"/>
          <w:sz w:val="24"/>
          <w:szCs w:val="24"/>
        </w:rPr>
        <w:t xml:space="preserve">s assertion that long-term natural gas futures are </w:t>
      </w:r>
      <w:r w:rsidR="00130F92">
        <w:rPr>
          <w:rFonts w:ascii="Times New Roman" w:hAnsi="Times New Roman" w:cs="Times New Roman"/>
          <w:sz w:val="24"/>
          <w:szCs w:val="24"/>
        </w:rPr>
        <w:t>“</w:t>
      </w:r>
      <w:r>
        <w:rPr>
          <w:rFonts w:ascii="Times New Roman" w:hAnsi="Times New Roman" w:cs="Times New Roman"/>
          <w:sz w:val="24"/>
          <w:szCs w:val="24"/>
        </w:rPr>
        <w:t>tethered</w:t>
      </w:r>
      <w:r w:rsidR="00130F92">
        <w:rPr>
          <w:rFonts w:ascii="Times New Roman" w:hAnsi="Times New Roman" w:cs="Times New Roman"/>
          <w:sz w:val="24"/>
          <w:szCs w:val="24"/>
        </w:rPr>
        <w:t>”</w:t>
      </w:r>
      <w:r>
        <w:rPr>
          <w:rFonts w:ascii="Times New Roman" w:hAnsi="Times New Roman" w:cs="Times New Roman"/>
          <w:sz w:val="24"/>
          <w:szCs w:val="24"/>
        </w:rPr>
        <w:t xml:space="preserve"> to current spot market prices is trotted out by AEP Ohio.</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But AEP Ohio conveniently leaves out AEP Ohio Witness Bletzacker</w:t>
      </w:r>
      <w:r w:rsidR="00130F92">
        <w:rPr>
          <w:rFonts w:ascii="Times New Roman" w:hAnsi="Times New Roman" w:cs="Times New Roman"/>
          <w:sz w:val="24"/>
          <w:szCs w:val="24"/>
        </w:rPr>
        <w:t>’</w:t>
      </w:r>
      <w:r>
        <w:rPr>
          <w:rFonts w:ascii="Times New Roman" w:hAnsi="Times New Roman" w:cs="Times New Roman"/>
          <w:sz w:val="24"/>
          <w:szCs w:val="24"/>
        </w:rPr>
        <w:t>s rational</w:t>
      </w:r>
      <w:r w:rsidR="00535809">
        <w:rPr>
          <w:rFonts w:ascii="Times New Roman" w:hAnsi="Times New Roman" w:cs="Times New Roman"/>
          <w:sz w:val="24"/>
          <w:szCs w:val="24"/>
        </w:rPr>
        <w:t>e</w:t>
      </w:r>
      <w:r>
        <w:rPr>
          <w:rFonts w:ascii="Times New Roman" w:hAnsi="Times New Roman" w:cs="Times New Roman"/>
          <w:sz w:val="24"/>
          <w:szCs w:val="24"/>
        </w:rPr>
        <w:t xml:space="preserve"> for the assertion – the </w:t>
      </w:r>
      <w:r w:rsidR="00130F92">
        <w:rPr>
          <w:rFonts w:ascii="Times New Roman" w:hAnsi="Times New Roman" w:cs="Times New Roman"/>
          <w:sz w:val="24"/>
          <w:szCs w:val="24"/>
        </w:rPr>
        <w:t>“</w:t>
      </w:r>
      <w:r>
        <w:rPr>
          <w:rFonts w:ascii="Times New Roman" w:hAnsi="Times New Roman" w:cs="Times New Roman"/>
          <w:sz w:val="24"/>
          <w:szCs w:val="24"/>
        </w:rPr>
        <w:t>tethering</w:t>
      </w:r>
      <w:r w:rsidR="00130F92">
        <w:rPr>
          <w:rFonts w:ascii="Times New Roman" w:hAnsi="Times New Roman" w:cs="Times New Roman"/>
          <w:sz w:val="24"/>
          <w:szCs w:val="24"/>
        </w:rPr>
        <w:t>”</w:t>
      </w:r>
      <w:r>
        <w:rPr>
          <w:rFonts w:ascii="Times New Roman" w:hAnsi="Times New Roman" w:cs="Times New Roman"/>
          <w:sz w:val="24"/>
          <w:szCs w:val="24"/>
        </w:rPr>
        <w:t xml:space="preserve"> is due to storage.</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This omission is no doubt explained by AEP Ohio</w:t>
      </w:r>
      <w:r w:rsidR="00535809">
        <w:rPr>
          <w:rFonts w:ascii="Times New Roman" w:hAnsi="Times New Roman" w:cs="Times New Roman"/>
          <w:sz w:val="24"/>
          <w:szCs w:val="24"/>
        </w:rPr>
        <w:t>’s</w:t>
      </w:r>
      <w:r>
        <w:rPr>
          <w:rFonts w:ascii="Times New Roman" w:hAnsi="Times New Roman" w:cs="Times New Roman"/>
          <w:sz w:val="24"/>
          <w:szCs w:val="24"/>
        </w:rPr>
        <w:t xml:space="preserve"> recognition that AEP Ohio Witness Bletzacker</w:t>
      </w:r>
      <w:r w:rsidR="00130F92">
        <w:rPr>
          <w:rFonts w:ascii="Times New Roman" w:hAnsi="Times New Roman" w:cs="Times New Roman"/>
          <w:sz w:val="24"/>
          <w:szCs w:val="24"/>
        </w:rPr>
        <w:t>’</w:t>
      </w:r>
      <w:r>
        <w:rPr>
          <w:rFonts w:ascii="Times New Roman" w:hAnsi="Times New Roman" w:cs="Times New Roman"/>
          <w:sz w:val="24"/>
          <w:szCs w:val="24"/>
        </w:rPr>
        <w:t>s rational</w:t>
      </w:r>
      <w:r w:rsidR="00535809">
        <w:rPr>
          <w:rFonts w:ascii="Times New Roman" w:hAnsi="Times New Roman" w:cs="Times New Roman"/>
          <w:sz w:val="24"/>
          <w:szCs w:val="24"/>
        </w:rPr>
        <w:t>e</w:t>
      </w:r>
      <w:r>
        <w:rPr>
          <w:rFonts w:ascii="Times New Roman" w:hAnsi="Times New Roman" w:cs="Times New Roman"/>
          <w:sz w:val="24"/>
          <w:szCs w:val="24"/>
        </w:rPr>
        <w:t xml:space="preserve"> is, in OCC Witness Wilson</w:t>
      </w:r>
      <w:r w:rsidR="00130F92">
        <w:rPr>
          <w:rFonts w:ascii="Times New Roman" w:hAnsi="Times New Roman" w:cs="Times New Roman"/>
          <w:sz w:val="24"/>
          <w:szCs w:val="24"/>
        </w:rPr>
        <w:t>’</w:t>
      </w:r>
      <w:r>
        <w:rPr>
          <w:rFonts w:ascii="Times New Roman" w:hAnsi="Times New Roman" w:cs="Times New Roman"/>
          <w:sz w:val="24"/>
          <w:szCs w:val="24"/>
        </w:rPr>
        <w:t xml:space="preserve">s words, </w:t>
      </w:r>
      <w:r w:rsidR="00130F92">
        <w:rPr>
          <w:rFonts w:ascii="Times New Roman" w:hAnsi="Times New Roman" w:cs="Times New Roman"/>
          <w:sz w:val="24"/>
          <w:szCs w:val="24"/>
        </w:rPr>
        <w:t>“</w:t>
      </w:r>
      <w:r>
        <w:rPr>
          <w:rFonts w:ascii="Times New Roman" w:hAnsi="Times New Roman" w:cs="Times New Roman"/>
          <w:sz w:val="24"/>
          <w:szCs w:val="24"/>
        </w:rPr>
        <w:t>nonsense.</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Storage is not used to protect against possible future price increases – </w:t>
      </w:r>
      <w:r w:rsidR="00130F92">
        <w:rPr>
          <w:rFonts w:ascii="Times New Roman" w:hAnsi="Times New Roman" w:cs="Times New Roman"/>
          <w:sz w:val="24"/>
          <w:szCs w:val="24"/>
        </w:rPr>
        <w:t>“</w:t>
      </w:r>
      <w:r>
        <w:rPr>
          <w:rFonts w:ascii="Times New Roman" w:hAnsi="Times New Roman" w:cs="Times New Roman"/>
          <w:sz w:val="24"/>
          <w:szCs w:val="24"/>
        </w:rPr>
        <w:t>it is far too valuable and costly to use in that manner.</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Because natural gas storage </w:t>
      </w:r>
    </w:p>
    <w:p w:rsidR="00F02391" w:rsidRDefault="00F02391">
      <w:pPr>
        <w:rPr>
          <w:rFonts w:ascii="Times New Roman" w:hAnsi="Times New Roman" w:cs="Times New Roman"/>
          <w:sz w:val="24"/>
          <w:szCs w:val="24"/>
        </w:rPr>
      </w:pPr>
      <w:r>
        <w:rPr>
          <w:rFonts w:ascii="Times New Roman" w:hAnsi="Times New Roman" w:cs="Times New Roman"/>
          <w:sz w:val="24"/>
          <w:szCs w:val="24"/>
        </w:rPr>
        <w:br w:type="page"/>
      </w:r>
    </w:p>
    <w:p w:rsidR="00B81EAD" w:rsidRDefault="00B81EAD" w:rsidP="00F02391">
      <w:pPr>
        <w:spacing w:line="480" w:lineRule="auto"/>
        <w:contextualSpacing/>
        <w:rPr>
          <w:rFonts w:ascii="Times New Roman" w:hAnsi="Times New Roman" w:cs="Times New Roman"/>
          <w:sz w:val="24"/>
          <w:szCs w:val="24"/>
        </w:rPr>
      </w:pPr>
      <w:r>
        <w:rPr>
          <w:rFonts w:ascii="Times New Roman" w:hAnsi="Times New Roman" w:cs="Times New Roman"/>
          <w:sz w:val="24"/>
          <w:szCs w:val="24"/>
        </w:rPr>
        <w:t>is cycled on an annual basis, it may, to some extent, connect winter prices to summer prices.</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But storage does not </w:t>
      </w:r>
      <w:r w:rsidR="00130F92">
        <w:rPr>
          <w:rFonts w:ascii="Times New Roman" w:hAnsi="Times New Roman" w:cs="Times New Roman"/>
          <w:sz w:val="24"/>
          <w:szCs w:val="24"/>
        </w:rPr>
        <w:t>“</w:t>
      </w:r>
      <w:r>
        <w:rPr>
          <w:rFonts w:ascii="Times New Roman" w:hAnsi="Times New Roman" w:cs="Times New Roman"/>
          <w:sz w:val="24"/>
          <w:szCs w:val="24"/>
        </w:rPr>
        <w:t>tether</w:t>
      </w:r>
      <w:r w:rsidR="00130F92">
        <w:rPr>
          <w:rFonts w:ascii="Times New Roman" w:hAnsi="Times New Roman" w:cs="Times New Roman"/>
          <w:sz w:val="24"/>
          <w:szCs w:val="24"/>
        </w:rPr>
        <w:t>”</w:t>
      </w:r>
      <w:r>
        <w:rPr>
          <w:rFonts w:ascii="Times New Roman" w:hAnsi="Times New Roman" w:cs="Times New Roman"/>
          <w:sz w:val="24"/>
          <w:szCs w:val="24"/>
        </w:rPr>
        <w:t xml:space="preserve"> future prices to current prices.</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w:t>
      </w:r>
    </w:p>
    <w:p w:rsidR="009057FB"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AEP Ohio asserts that the market-based futures prices are not accurate because they do not take into account the impact of the Clean Power Plan or other CO</w:t>
      </w:r>
      <w:r w:rsidRPr="004F2311">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emissions costs.</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Wrong again.  First, it is not possible for AEP Ohio to determine whether future prices do or do not reflect a particular anticipated policy change, like the Clean Power Plan.</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r w:rsidR="009057FB">
        <w:rPr>
          <w:rFonts w:ascii="Times New Roman" w:hAnsi="Times New Roman" w:cs="Times New Roman"/>
          <w:sz w:val="24"/>
          <w:szCs w:val="24"/>
        </w:rPr>
        <w:t xml:space="preserve"> </w:t>
      </w:r>
      <w:r>
        <w:rPr>
          <w:rFonts w:ascii="Times New Roman" w:hAnsi="Times New Roman" w:cs="Times New Roman"/>
          <w:sz w:val="24"/>
          <w:szCs w:val="24"/>
        </w:rPr>
        <w:t xml:space="preserve">That is information personal to each participant </w:t>
      </w:r>
      <w:r w:rsidR="009057FB">
        <w:rPr>
          <w:rFonts w:ascii="Times New Roman" w:hAnsi="Times New Roman" w:cs="Times New Roman"/>
          <w:sz w:val="24"/>
          <w:szCs w:val="24"/>
        </w:rPr>
        <w:t>in</w:t>
      </w:r>
      <w:r>
        <w:rPr>
          <w:rFonts w:ascii="Times New Roman" w:hAnsi="Times New Roman" w:cs="Times New Roman"/>
          <w:sz w:val="24"/>
          <w:szCs w:val="24"/>
        </w:rPr>
        <w:t xml:space="preserve"> a futures transaction. Second, AEP Ohio provides no evidence, just a baseless claim, for why futures market participants would ignore the potential impact of the Clean Power Plan or other CO</w:t>
      </w:r>
      <w:r w:rsidRPr="004F2311">
        <w:rPr>
          <w:rFonts w:ascii="Times New Roman" w:hAnsi="Times New Roman" w:cs="Times New Roman"/>
          <w:sz w:val="24"/>
          <w:szCs w:val="24"/>
          <w:vertAlign w:val="subscript"/>
        </w:rPr>
        <w:t>2</w:t>
      </w:r>
      <w:r>
        <w:rPr>
          <w:rFonts w:ascii="Times New Roman" w:hAnsi="Times New Roman" w:cs="Times New Roman"/>
          <w:sz w:val="24"/>
          <w:szCs w:val="24"/>
        </w:rPr>
        <w:t xml:space="preserve"> policy in their decisions to engage in transactions at certain prices.</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Futures prices reflect market participants</w:t>
      </w:r>
      <w:r w:rsidR="00130F92">
        <w:rPr>
          <w:rFonts w:ascii="Times New Roman" w:hAnsi="Times New Roman" w:cs="Times New Roman"/>
          <w:sz w:val="24"/>
          <w:szCs w:val="24"/>
        </w:rPr>
        <w:t>’</w:t>
      </w:r>
      <w:r>
        <w:rPr>
          <w:rFonts w:ascii="Times New Roman" w:hAnsi="Times New Roman" w:cs="Times New Roman"/>
          <w:sz w:val="24"/>
          <w:szCs w:val="24"/>
        </w:rPr>
        <w:t xml:space="preserve"> expectations of future prices based on all relevant supply and demand factors, including CO2 policy, if they consider it relevant.</w:t>
      </w:r>
      <w:r>
        <w:rPr>
          <w:rStyle w:val="FootnoteReference"/>
          <w:rFonts w:ascii="Times New Roman" w:hAnsi="Times New Roman" w:cs="Times New Roman"/>
          <w:sz w:val="24"/>
          <w:szCs w:val="24"/>
        </w:rPr>
        <w:footnoteReference w:id="80"/>
      </w:r>
      <w:r w:rsidR="009057FB">
        <w:rPr>
          <w:rFonts w:ascii="Times New Roman" w:hAnsi="Times New Roman" w:cs="Times New Roman"/>
          <w:sz w:val="24"/>
          <w:szCs w:val="24"/>
        </w:rPr>
        <w:t xml:space="preserve"> </w:t>
      </w:r>
      <w:r>
        <w:rPr>
          <w:rFonts w:ascii="Times New Roman" w:hAnsi="Times New Roman" w:cs="Times New Roman"/>
          <w:sz w:val="24"/>
          <w:szCs w:val="24"/>
        </w:rPr>
        <w:t xml:space="preserve"> It would be completely irrational </w:t>
      </w:r>
      <w:r w:rsidR="00AF74B9">
        <w:rPr>
          <w:rFonts w:ascii="Times New Roman" w:hAnsi="Times New Roman" w:cs="Times New Roman"/>
          <w:sz w:val="24"/>
          <w:szCs w:val="24"/>
        </w:rPr>
        <w:t xml:space="preserve">and potentially disastrous </w:t>
      </w:r>
      <w:r>
        <w:rPr>
          <w:rFonts w:ascii="Times New Roman" w:hAnsi="Times New Roman" w:cs="Times New Roman"/>
          <w:sz w:val="24"/>
          <w:szCs w:val="24"/>
        </w:rPr>
        <w:t xml:space="preserve">for futures market participants to ignore such concerns. </w:t>
      </w:r>
    </w:p>
    <w:p w:rsidR="00B81EAD" w:rsidRDefault="00B81EAD" w:rsidP="00B81EA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OCC Witness Wilson did not </w:t>
      </w:r>
      <w:r w:rsidR="00130F92">
        <w:rPr>
          <w:rFonts w:ascii="Times New Roman" w:hAnsi="Times New Roman" w:cs="Times New Roman"/>
          <w:sz w:val="24"/>
          <w:szCs w:val="24"/>
        </w:rPr>
        <w:t>“</w:t>
      </w:r>
      <w:r>
        <w:rPr>
          <w:rFonts w:ascii="Times New Roman" w:hAnsi="Times New Roman" w:cs="Times New Roman"/>
          <w:sz w:val="24"/>
          <w:szCs w:val="24"/>
        </w:rPr>
        <w:t>use futures prices from the twelve-month period November 2019 through October 2020 as the futures prices for the next 50 months[,]</w:t>
      </w:r>
      <w:r w:rsidR="00130F92">
        <w:rPr>
          <w:rFonts w:ascii="Times New Roman" w:hAnsi="Times New Roman" w:cs="Times New Roman"/>
          <w:sz w:val="24"/>
          <w:szCs w:val="24"/>
        </w:rPr>
        <w:t>”</w:t>
      </w:r>
      <w:r>
        <w:rPr>
          <w:rFonts w:ascii="Times New Roman" w:hAnsi="Times New Roman" w:cs="Times New Roman"/>
          <w:sz w:val="24"/>
          <w:szCs w:val="24"/>
        </w:rPr>
        <w:t xml:space="preserve"> as AEP Ohio argues.</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Instead, he </w:t>
      </w:r>
      <w:r w:rsidR="00130F92">
        <w:rPr>
          <w:rFonts w:ascii="Times New Roman" w:hAnsi="Times New Roman" w:cs="Times New Roman"/>
          <w:sz w:val="24"/>
          <w:szCs w:val="24"/>
        </w:rPr>
        <w:t>“</w:t>
      </w:r>
      <w:r>
        <w:rPr>
          <w:rFonts w:ascii="Times New Roman" w:hAnsi="Times New Roman" w:cs="Times New Roman"/>
          <w:sz w:val="24"/>
          <w:szCs w:val="24"/>
        </w:rPr>
        <w:t>accepted the pattern reflected in AEP Ohio</w:t>
      </w:r>
      <w:r w:rsidR="00130F92">
        <w:rPr>
          <w:rFonts w:ascii="Times New Roman" w:hAnsi="Times New Roman" w:cs="Times New Roman"/>
          <w:sz w:val="24"/>
          <w:szCs w:val="24"/>
        </w:rPr>
        <w:t>’</w:t>
      </w:r>
      <w:r>
        <w:rPr>
          <w:rFonts w:ascii="Times New Roman" w:hAnsi="Times New Roman" w:cs="Times New Roman"/>
          <w:sz w:val="24"/>
          <w:szCs w:val="24"/>
        </w:rPr>
        <w:t>s energy price forecast[.]</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He then </w:t>
      </w:r>
      <w:r w:rsidRPr="00B74344">
        <w:rPr>
          <w:rFonts w:ascii="Times New Roman" w:hAnsi="Times New Roman" w:cs="Times New Roman"/>
          <w:i/>
          <w:sz w:val="24"/>
          <w:szCs w:val="24"/>
        </w:rPr>
        <w:t>scaled</w:t>
      </w:r>
      <w:r>
        <w:rPr>
          <w:rFonts w:ascii="Times New Roman" w:hAnsi="Times New Roman" w:cs="Times New Roman"/>
          <w:sz w:val="24"/>
          <w:szCs w:val="24"/>
        </w:rPr>
        <w:t xml:space="preserve"> AEP Ohio</w:t>
      </w:r>
      <w:r w:rsidR="00130F92">
        <w:rPr>
          <w:rFonts w:ascii="Times New Roman" w:hAnsi="Times New Roman" w:cs="Times New Roman"/>
          <w:sz w:val="24"/>
          <w:szCs w:val="24"/>
        </w:rPr>
        <w:t>’</w:t>
      </w:r>
      <w:r>
        <w:rPr>
          <w:rFonts w:ascii="Times New Roman" w:hAnsi="Times New Roman" w:cs="Times New Roman"/>
          <w:sz w:val="24"/>
          <w:szCs w:val="24"/>
        </w:rPr>
        <w:t>s energy prices to match, on average, forward prices.</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So for the years 2020-2024 OCC Witness Wilson </w:t>
      </w:r>
      <w:r w:rsidRPr="00B74344">
        <w:rPr>
          <w:rFonts w:ascii="Times New Roman" w:hAnsi="Times New Roman" w:cs="Times New Roman"/>
          <w:i/>
          <w:sz w:val="24"/>
          <w:szCs w:val="24"/>
        </w:rPr>
        <w:t>still used</w:t>
      </w:r>
      <w:r>
        <w:rPr>
          <w:rFonts w:ascii="Times New Roman" w:hAnsi="Times New Roman" w:cs="Times New Roman"/>
          <w:sz w:val="24"/>
          <w:szCs w:val="24"/>
        </w:rPr>
        <w:t xml:space="preserve"> AEP Ohio</w:t>
      </w:r>
      <w:r w:rsidR="00130F92">
        <w:rPr>
          <w:rFonts w:ascii="Times New Roman" w:hAnsi="Times New Roman" w:cs="Times New Roman"/>
          <w:sz w:val="24"/>
          <w:szCs w:val="24"/>
        </w:rPr>
        <w:t>’</w:t>
      </w:r>
      <w:r>
        <w:rPr>
          <w:rFonts w:ascii="Times New Roman" w:hAnsi="Times New Roman" w:cs="Times New Roman"/>
          <w:sz w:val="24"/>
          <w:szCs w:val="24"/>
        </w:rPr>
        <w:t>s forecasted energy prices, but adjusted them for his analysis based on the ratio,</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or relationship,</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between 2019-2020 forward prices and AEP Ohio</w:t>
      </w:r>
      <w:r w:rsidR="00130F92">
        <w:rPr>
          <w:rFonts w:ascii="Times New Roman" w:hAnsi="Times New Roman" w:cs="Times New Roman"/>
          <w:sz w:val="24"/>
          <w:szCs w:val="24"/>
        </w:rPr>
        <w:t>’</w:t>
      </w:r>
      <w:r>
        <w:rPr>
          <w:rFonts w:ascii="Times New Roman" w:hAnsi="Times New Roman" w:cs="Times New Roman"/>
          <w:sz w:val="24"/>
          <w:szCs w:val="24"/>
        </w:rPr>
        <w:t>s 2019-2020 prices – the best evidence available.</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p>
    <w:p w:rsidR="00B81EAD" w:rsidRPr="00180A08" w:rsidRDefault="00B81EAD" w:rsidP="00F02391">
      <w:pPr>
        <w:spacing w:after="0"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t xml:space="preserve">OCC Witness Wilson explained that the </w:t>
      </w:r>
      <w:r w:rsidR="00130F92">
        <w:rPr>
          <w:rFonts w:ascii="Times New Roman" w:hAnsi="Times New Roman" w:cs="Times New Roman"/>
          <w:sz w:val="24"/>
          <w:szCs w:val="24"/>
        </w:rPr>
        <w:t>“</w:t>
      </w:r>
      <w:r>
        <w:rPr>
          <w:rFonts w:ascii="Times New Roman" w:hAnsi="Times New Roman" w:cs="Times New Roman"/>
          <w:sz w:val="24"/>
          <w:szCs w:val="24"/>
        </w:rPr>
        <w:t>sanity check</w:t>
      </w:r>
      <w:r w:rsidR="00130F92">
        <w:rPr>
          <w:rFonts w:ascii="Times New Roman" w:hAnsi="Times New Roman" w:cs="Times New Roman"/>
          <w:sz w:val="24"/>
          <w:szCs w:val="24"/>
        </w:rPr>
        <w:t>”</w:t>
      </w:r>
      <w:r>
        <w:rPr>
          <w:rFonts w:ascii="Times New Roman" w:hAnsi="Times New Roman" w:cs="Times New Roman"/>
          <w:sz w:val="24"/>
          <w:szCs w:val="24"/>
        </w:rPr>
        <w:t xml:space="preserve"> for the price assumptions he used was the best one – the </w:t>
      </w:r>
      <w:r w:rsidR="00130F92">
        <w:rPr>
          <w:rFonts w:ascii="Times New Roman" w:hAnsi="Times New Roman" w:cs="Times New Roman"/>
          <w:sz w:val="24"/>
          <w:szCs w:val="24"/>
        </w:rPr>
        <w:t>“</w:t>
      </w:r>
      <w:r>
        <w:rPr>
          <w:rFonts w:ascii="Times New Roman" w:hAnsi="Times New Roman" w:cs="Times New Roman"/>
          <w:sz w:val="24"/>
          <w:szCs w:val="24"/>
        </w:rPr>
        <w:t>consensus of market participants.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So AEP Ohio</w:t>
      </w:r>
      <w:r w:rsidR="00130F92">
        <w:rPr>
          <w:rFonts w:ascii="Times New Roman" w:hAnsi="Times New Roman" w:cs="Times New Roman"/>
          <w:sz w:val="24"/>
          <w:szCs w:val="24"/>
        </w:rPr>
        <w:t>’</w:t>
      </w:r>
      <w:r>
        <w:rPr>
          <w:rFonts w:ascii="Times New Roman" w:hAnsi="Times New Roman" w:cs="Times New Roman"/>
          <w:sz w:val="24"/>
          <w:szCs w:val="24"/>
        </w:rPr>
        <w:t xml:space="preserve">s assertion that OCC Witness did not employ a </w:t>
      </w:r>
      <w:r w:rsidR="00130F92">
        <w:rPr>
          <w:rFonts w:ascii="Times New Roman" w:hAnsi="Times New Roman" w:cs="Times New Roman"/>
          <w:sz w:val="24"/>
          <w:szCs w:val="24"/>
        </w:rPr>
        <w:t>“</w:t>
      </w:r>
      <w:r>
        <w:rPr>
          <w:rFonts w:ascii="Times New Roman" w:hAnsi="Times New Roman" w:cs="Times New Roman"/>
          <w:sz w:val="24"/>
          <w:szCs w:val="24"/>
        </w:rPr>
        <w:t>sanity check</w:t>
      </w:r>
      <w:r w:rsidR="00130F92">
        <w:rPr>
          <w:rFonts w:ascii="Times New Roman" w:hAnsi="Times New Roman" w:cs="Times New Roman"/>
          <w:sz w:val="24"/>
          <w:szCs w:val="24"/>
        </w:rPr>
        <w:t>”</w:t>
      </w:r>
      <w:r>
        <w:rPr>
          <w:rFonts w:ascii="Times New Roman" w:hAnsi="Times New Roman" w:cs="Times New Roman"/>
          <w:sz w:val="24"/>
          <w:szCs w:val="24"/>
        </w:rPr>
        <w:t xml:space="preserve"> is wrong.</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In fact, OCC Witness Wilson pointed out that using AEP Ohio</w:t>
      </w:r>
      <w:r w:rsidR="00130F92">
        <w:rPr>
          <w:rFonts w:ascii="Times New Roman" w:hAnsi="Times New Roman" w:cs="Times New Roman"/>
          <w:sz w:val="24"/>
          <w:szCs w:val="24"/>
        </w:rPr>
        <w:t>’</w:t>
      </w:r>
      <w:r>
        <w:rPr>
          <w:rFonts w:ascii="Times New Roman" w:hAnsi="Times New Roman" w:cs="Times New Roman"/>
          <w:sz w:val="24"/>
          <w:szCs w:val="24"/>
        </w:rPr>
        <w:t xml:space="preserve">s preferred </w:t>
      </w:r>
      <w:r w:rsidR="00130F92">
        <w:rPr>
          <w:rFonts w:ascii="Times New Roman" w:hAnsi="Times New Roman" w:cs="Times New Roman"/>
          <w:sz w:val="24"/>
          <w:szCs w:val="24"/>
        </w:rPr>
        <w:t>“</w:t>
      </w:r>
      <w:r>
        <w:rPr>
          <w:rFonts w:ascii="Times New Roman" w:hAnsi="Times New Roman" w:cs="Times New Roman"/>
          <w:sz w:val="24"/>
          <w:szCs w:val="24"/>
        </w:rPr>
        <w:t>sanity check</w:t>
      </w:r>
      <w:r w:rsidR="00130F92">
        <w:rPr>
          <w:rFonts w:ascii="Times New Roman" w:hAnsi="Times New Roman" w:cs="Times New Roman"/>
          <w:sz w:val="24"/>
          <w:szCs w:val="24"/>
        </w:rPr>
        <w:t>”</w:t>
      </w:r>
      <w:r>
        <w:rPr>
          <w:rFonts w:ascii="Times New Roman" w:hAnsi="Times New Roman" w:cs="Times New Roman"/>
          <w:sz w:val="24"/>
          <w:szCs w:val="24"/>
        </w:rPr>
        <w:t xml:space="preserve"> – applying his methods to the entire PJM market</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 </w:t>
      </w:r>
      <w:r w:rsidRPr="00F02391">
        <w:rPr>
          <w:rFonts w:ascii="Times New Roman" w:hAnsi="Times New Roman" w:cs="Times New Roman"/>
          <w:sz w:val="24"/>
          <w:szCs w:val="24"/>
        </w:rPr>
        <w:t>would not be one at all.</w:t>
      </w:r>
      <w:r w:rsidRPr="00F02391">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w:t>
      </w:r>
    </w:p>
    <w:p w:rsidR="00C2392A" w:rsidRDefault="00AC3BFC" w:rsidP="00E66D9C">
      <w:pPr>
        <w:pStyle w:val="Heading2"/>
      </w:pPr>
      <w:bookmarkStart w:id="26" w:name="_Toc442712222"/>
      <w:bookmarkStart w:id="27" w:name="_Toc442713368"/>
      <w:r>
        <w:t>E</w:t>
      </w:r>
      <w:r w:rsidR="00E66D9C">
        <w:t>.</w:t>
      </w:r>
      <w:r w:rsidR="00E66D9C">
        <w:tab/>
      </w:r>
      <w:r w:rsidR="00861E7D">
        <w:t>AEP Ohio’s</w:t>
      </w:r>
      <w:r w:rsidR="00C2392A">
        <w:t xml:space="preserve"> focus on market prices is relevant if the PPA </w:t>
      </w:r>
      <w:r w:rsidR="0006625D">
        <w:t>U</w:t>
      </w:r>
      <w:r w:rsidR="00C2392A">
        <w:t>nits are offered into the PJM market and actually clear that market</w:t>
      </w:r>
      <w:r w:rsidR="00861E7D">
        <w:t>;</w:t>
      </w:r>
      <w:r w:rsidR="00C2392A">
        <w:t xml:space="preserve"> the worst case scenario for consumers is that the PPA </w:t>
      </w:r>
      <w:r w:rsidR="0006625D">
        <w:t>U</w:t>
      </w:r>
      <w:r w:rsidR="00C2392A">
        <w:t>nits don’t clear.</w:t>
      </w:r>
      <w:bookmarkEnd w:id="26"/>
      <w:bookmarkEnd w:id="27"/>
    </w:p>
    <w:p w:rsidR="00C2392A" w:rsidRDefault="00C2392A" w:rsidP="00EF694A">
      <w:pPr>
        <w:spacing w:after="0" w:line="480" w:lineRule="auto"/>
        <w:rPr>
          <w:rFonts w:ascii="Times New Roman" w:hAnsi="Times New Roman" w:cs="Times New Roman"/>
          <w:szCs w:val="24"/>
        </w:rPr>
      </w:pPr>
      <w:r>
        <w:rPr>
          <w:rFonts w:ascii="Times New Roman Bold" w:eastAsiaTheme="majorEastAsia" w:hAnsi="Times New Roman Bold" w:cstheme="majorBidi"/>
          <w:b/>
          <w:bCs/>
          <w:sz w:val="24"/>
          <w:szCs w:val="26"/>
        </w:rPr>
        <w:tab/>
      </w:r>
      <w:r w:rsidRPr="00E566F6">
        <w:rPr>
          <w:rFonts w:ascii="Times New Roman" w:eastAsiaTheme="majorEastAsia" w:hAnsi="Times New Roman" w:cs="Times New Roman"/>
          <w:bCs/>
          <w:sz w:val="24"/>
          <w:szCs w:val="24"/>
        </w:rPr>
        <w:t>AEP Ohio</w:t>
      </w:r>
      <w:r w:rsidR="00B660D1">
        <w:rPr>
          <w:rFonts w:ascii="Times New Roman" w:eastAsiaTheme="majorEastAsia" w:hAnsi="Times New Roman" w:cs="Times New Roman"/>
          <w:bCs/>
          <w:sz w:val="24"/>
          <w:szCs w:val="24"/>
        </w:rPr>
        <w:t>’</w:t>
      </w:r>
      <w:r w:rsidRPr="00E566F6">
        <w:rPr>
          <w:rFonts w:ascii="Times New Roman" w:eastAsiaTheme="majorEastAsia" w:hAnsi="Times New Roman" w:cs="Times New Roman"/>
          <w:bCs/>
          <w:sz w:val="24"/>
          <w:szCs w:val="24"/>
        </w:rPr>
        <w:t xml:space="preserve">s focus on </w:t>
      </w:r>
      <w:r w:rsidR="0006625D">
        <w:rPr>
          <w:rFonts w:ascii="Times New Roman" w:eastAsiaTheme="majorEastAsia" w:hAnsi="Times New Roman" w:cs="Times New Roman"/>
          <w:bCs/>
          <w:sz w:val="24"/>
          <w:szCs w:val="24"/>
        </w:rPr>
        <w:t xml:space="preserve">OCC Witness </w:t>
      </w:r>
      <w:r w:rsidRPr="00E566F6">
        <w:rPr>
          <w:rFonts w:ascii="Times New Roman" w:eastAsiaTheme="majorEastAsia" w:hAnsi="Times New Roman" w:cs="Times New Roman"/>
          <w:bCs/>
          <w:sz w:val="24"/>
          <w:szCs w:val="24"/>
        </w:rPr>
        <w:t>Wilson</w:t>
      </w:r>
      <w:r w:rsidR="00B660D1">
        <w:rPr>
          <w:rFonts w:ascii="Times New Roman" w:eastAsiaTheme="majorEastAsia" w:hAnsi="Times New Roman" w:cs="Times New Roman"/>
          <w:bCs/>
          <w:sz w:val="24"/>
          <w:szCs w:val="24"/>
        </w:rPr>
        <w:t>’</w:t>
      </w:r>
      <w:r w:rsidRPr="00E566F6">
        <w:rPr>
          <w:rFonts w:ascii="Times New Roman" w:eastAsiaTheme="majorEastAsia" w:hAnsi="Times New Roman" w:cs="Times New Roman"/>
          <w:bCs/>
          <w:sz w:val="24"/>
          <w:szCs w:val="24"/>
        </w:rPr>
        <w:t xml:space="preserve">s </w:t>
      </w:r>
      <w:r w:rsidR="00517444">
        <w:rPr>
          <w:rFonts w:ascii="Times New Roman" w:eastAsiaTheme="majorEastAsia" w:hAnsi="Times New Roman" w:cs="Times New Roman"/>
          <w:bCs/>
          <w:sz w:val="24"/>
          <w:szCs w:val="24"/>
        </w:rPr>
        <w:t xml:space="preserve">energy </w:t>
      </w:r>
      <w:r w:rsidRPr="00E566F6">
        <w:rPr>
          <w:rFonts w:ascii="Times New Roman" w:eastAsiaTheme="majorEastAsia" w:hAnsi="Times New Roman" w:cs="Times New Roman"/>
          <w:bCs/>
          <w:sz w:val="24"/>
          <w:szCs w:val="24"/>
        </w:rPr>
        <w:t>pric</w:t>
      </w:r>
      <w:r w:rsidR="00517444">
        <w:rPr>
          <w:rFonts w:ascii="Times New Roman" w:eastAsiaTheme="majorEastAsia" w:hAnsi="Times New Roman" w:cs="Times New Roman"/>
          <w:bCs/>
          <w:sz w:val="24"/>
          <w:szCs w:val="24"/>
        </w:rPr>
        <w:t>e</w:t>
      </w:r>
      <w:r w:rsidRPr="00E566F6">
        <w:rPr>
          <w:rFonts w:ascii="Times New Roman" w:eastAsiaTheme="majorEastAsia" w:hAnsi="Times New Roman" w:cs="Times New Roman"/>
          <w:bCs/>
          <w:sz w:val="24"/>
          <w:szCs w:val="24"/>
        </w:rPr>
        <w:t xml:space="preserve"> estimates are relevant to the discussion if, and only if, the PPA </w:t>
      </w:r>
      <w:r w:rsidR="00034E0E">
        <w:rPr>
          <w:rFonts w:ascii="Times New Roman" w:eastAsiaTheme="majorEastAsia" w:hAnsi="Times New Roman" w:cs="Times New Roman"/>
          <w:bCs/>
          <w:sz w:val="24"/>
          <w:szCs w:val="24"/>
        </w:rPr>
        <w:t>U</w:t>
      </w:r>
      <w:r w:rsidR="00034E0E" w:rsidRPr="00E566F6">
        <w:rPr>
          <w:rFonts w:ascii="Times New Roman" w:eastAsiaTheme="majorEastAsia" w:hAnsi="Times New Roman" w:cs="Times New Roman"/>
          <w:bCs/>
          <w:sz w:val="24"/>
          <w:szCs w:val="24"/>
        </w:rPr>
        <w:t xml:space="preserve">nits </w:t>
      </w:r>
      <w:r w:rsidRPr="00E566F6">
        <w:rPr>
          <w:rFonts w:ascii="Times New Roman" w:eastAsiaTheme="majorEastAsia" w:hAnsi="Times New Roman" w:cs="Times New Roman"/>
          <w:bCs/>
          <w:sz w:val="24"/>
          <w:szCs w:val="24"/>
        </w:rPr>
        <w:t xml:space="preserve">are offered into the </w:t>
      </w:r>
      <w:r w:rsidR="0006625D">
        <w:rPr>
          <w:rFonts w:ascii="Times New Roman" w:eastAsiaTheme="majorEastAsia" w:hAnsi="Times New Roman" w:cs="Times New Roman"/>
          <w:bCs/>
          <w:sz w:val="24"/>
          <w:szCs w:val="24"/>
        </w:rPr>
        <w:t>PJM</w:t>
      </w:r>
      <w:r w:rsidRPr="00E566F6">
        <w:rPr>
          <w:rFonts w:ascii="Times New Roman" w:eastAsiaTheme="majorEastAsia" w:hAnsi="Times New Roman" w:cs="Times New Roman"/>
          <w:bCs/>
          <w:sz w:val="24"/>
          <w:szCs w:val="24"/>
        </w:rPr>
        <w:t xml:space="preserve"> market</w:t>
      </w:r>
      <w:r w:rsidR="0006625D">
        <w:rPr>
          <w:rFonts w:ascii="Times New Roman" w:eastAsiaTheme="majorEastAsia" w:hAnsi="Times New Roman" w:cs="Times New Roman"/>
          <w:bCs/>
          <w:sz w:val="24"/>
          <w:szCs w:val="24"/>
        </w:rPr>
        <w:t>s</w:t>
      </w:r>
      <w:r w:rsidRPr="00E566F6">
        <w:rPr>
          <w:rFonts w:ascii="Times New Roman" w:eastAsiaTheme="majorEastAsia" w:hAnsi="Times New Roman" w:cs="Times New Roman"/>
          <w:bCs/>
          <w:sz w:val="24"/>
          <w:szCs w:val="24"/>
        </w:rPr>
        <w:t xml:space="preserve"> and those units clear.</w:t>
      </w:r>
      <w:r w:rsidRPr="00E566F6">
        <w:rPr>
          <w:rFonts w:ascii="Times New Roman" w:hAnsi="Times New Roman" w:cs="Times New Roman"/>
          <w:sz w:val="24"/>
          <w:szCs w:val="24"/>
        </w:rPr>
        <w:t xml:space="preserve">  </w:t>
      </w:r>
      <w:r w:rsidR="00034E0E">
        <w:rPr>
          <w:rFonts w:ascii="Times New Roman" w:hAnsi="Times New Roman" w:cs="Times New Roman"/>
          <w:sz w:val="24"/>
          <w:szCs w:val="24"/>
        </w:rPr>
        <w:t xml:space="preserve">OCC’s $1.9 billion estimated cost to consumers presumes a revenue stream to offset the PPA Unit costs. </w:t>
      </w:r>
      <w:r w:rsidRPr="00E566F6">
        <w:rPr>
          <w:rFonts w:ascii="Times New Roman" w:hAnsi="Times New Roman" w:cs="Times New Roman"/>
          <w:sz w:val="24"/>
          <w:szCs w:val="24"/>
        </w:rPr>
        <w:t xml:space="preserve">The worst case scenario for consumers is </w:t>
      </w:r>
      <w:r>
        <w:rPr>
          <w:rFonts w:ascii="Times New Roman" w:hAnsi="Times New Roman" w:cs="Times New Roman"/>
          <w:sz w:val="24"/>
          <w:szCs w:val="24"/>
        </w:rPr>
        <w:t>those plants are offered into the market and they don’t clear</w:t>
      </w:r>
      <w:r w:rsidR="00B660D1">
        <w:rPr>
          <w:rFonts w:ascii="Times New Roman" w:hAnsi="Times New Roman" w:cs="Times New Roman"/>
          <w:sz w:val="24"/>
          <w:szCs w:val="24"/>
        </w:rPr>
        <w:t xml:space="preserve"> (as </w:t>
      </w:r>
      <w:r w:rsidR="00185721">
        <w:rPr>
          <w:rFonts w:ascii="Times New Roman" w:hAnsi="Times New Roman" w:cs="Times New Roman"/>
          <w:sz w:val="24"/>
          <w:szCs w:val="24"/>
        </w:rPr>
        <w:t xml:space="preserve">we and </w:t>
      </w:r>
      <w:r w:rsidR="00B660D1">
        <w:rPr>
          <w:rFonts w:ascii="Times New Roman" w:hAnsi="Times New Roman" w:cs="Times New Roman"/>
          <w:sz w:val="24"/>
          <w:szCs w:val="24"/>
        </w:rPr>
        <w:t>OEG warned)</w:t>
      </w:r>
      <w:r>
        <w:rPr>
          <w:rFonts w:ascii="Times New Roman" w:hAnsi="Times New Roman" w:cs="Times New Roman"/>
          <w:sz w:val="24"/>
          <w:szCs w:val="24"/>
        </w:rPr>
        <w:t xml:space="preserve">.  </w:t>
      </w:r>
      <w:r w:rsidR="002B1995">
        <w:rPr>
          <w:rFonts w:ascii="Times New Roman" w:hAnsi="Times New Roman" w:cs="Times New Roman"/>
          <w:sz w:val="24"/>
          <w:szCs w:val="24"/>
        </w:rPr>
        <w:t>T</w:t>
      </w:r>
      <w:r>
        <w:rPr>
          <w:rFonts w:ascii="Times New Roman" w:hAnsi="Times New Roman" w:cs="Times New Roman"/>
          <w:sz w:val="24"/>
          <w:szCs w:val="24"/>
        </w:rPr>
        <w:t xml:space="preserve">hat eventuality </w:t>
      </w:r>
      <w:r w:rsidR="002B1995">
        <w:rPr>
          <w:rFonts w:ascii="Times New Roman" w:hAnsi="Times New Roman" w:cs="Times New Roman"/>
          <w:sz w:val="24"/>
          <w:szCs w:val="24"/>
        </w:rPr>
        <w:t xml:space="preserve">(the PPA </w:t>
      </w:r>
      <w:r w:rsidR="00034E0E">
        <w:rPr>
          <w:rFonts w:ascii="Times New Roman" w:hAnsi="Times New Roman" w:cs="Times New Roman"/>
          <w:sz w:val="24"/>
          <w:szCs w:val="24"/>
        </w:rPr>
        <w:t xml:space="preserve">Units </w:t>
      </w:r>
      <w:r w:rsidR="002B1995">
        <w:rPr>
          <w:rFonts w:ascii="Times New Roman" w:hAnsi="Times New Roman" w:cs="Times New Roman"/>
          <w:sz w:val="24"/>
          <w:szCs w:val="24"/>
        </w:rPr>
        <w:t xml:space="preserve">do not clear) </w:t>
      </w:r>
      <w:r>
        <w:rPr>
          <w:rFonts w:ascii="Times New Roman" w:hAnsi="Times New Roman" w:cs="Times New Roman"/>
          <w:sz w:val="24"/>
          <w:szCs w:val="24"/>
        </w:rPr>
        <w:t xml:space="preserve">would mean that there are no capacity </w:t>
      </w:r>
      <w:r w:rsidR="002B1995">
        <w:rPr>
          <w:rFonts w:ascii="Times New Roman" w:hAnsi="Times New Roman" w:cs="Times New Roman"/>
          <w:sz w:val="24"/>
          <w:szCs w:val="24"/>
        </w:rPr>
        <w:t xml:space="preserve">(as well as energy) </w:t>
      </w:r>
      <w:r>
        <w:rPr>
          <w:rFonts w:ascii="Times New Roman" w:hAnsi="Times New Roman" w:cs="Times New Roman"/>
          <w:sz w:val="24"/>
          <w:szCs w:val="24"/>
        </w:rPr>
        <w:t xml:space="preserve">revenues from the market to offset the costs and guaranteed profit </w:t>
      </w:r>
      <w:r w:rsidR="002B1995">
        <w:rPr>
          <w:rFonts w:ascii="Times New Roman" w:hAnsi="Times New Roman" w:cs="Times New Roman"/>
          <w:sz w:val="24"/>
          <w:szCs w:val="24"/>
        </w:rPr>
        <w:t>of those units</w:t>
      </w:r>
      <w:r w:rsidR="00517444">
        <w:rPr>
          <w:rFonts w:ascii="Times New Roman" w:hAnsi="Times New Roman" w:cs="Times New Roman"/>
          <w:sz w:val="24"/>
          <w:szCs w:val="24"/>
        </w:rPr>
        <w:t>.  T</w:t>
      </w:r>
      <w:r w:rsidR="002B1995">
        <w:rPr>
          <w:rFonts w:ascii="Times New Roman" w:hAnsi="Times New Roman" w:cs="Times New Roman"/>
          <w:sz w:val="24"/>
          <w:szCs w:val="24"/>
        </w:rPr>
        <w:t>here</w:t>
      </w:r>
      <w:r w:rsidR="00185721">
        <w:rPr>
          <w:rFonts w:ascii="Times New Roman" w:hAnsi="Times New Roman" w:cs="Times New Roman"/>
          <w:sz w:val="24"/>
          <w:szCs w:val="24"/>
        </w:rPr>
        <w:t xml:space="preserve">, the worst result of what is agreed to in the </w:t>
      </w:r>
      <w:r w:rsidR="00034E0E">
        <w:rPr>
          <w:rFonts w:ascii="Times New Roman" w:hAnsi="Times New Roman" w:cs="Times New Roman"/>
          <w:sz w:val="24"/>
          <w:szCs w:val="24"/>
        </w:rPr>
        <w:t xml:space="preserve">Settlement </w:t>
      </w:r>
      <w:r w:rsidR="00185721">
        <w:rPr>
          <w:rFonts w:ascii="Times New Roman" w:hAnsi="Times New Roman" w:cs="Times New Roman"/>
          <w:sz w:val="24"/>
          <w:szCs w:val="24"/>
        </w:rPr>
        <w:t>will be visited on a million AEP Ohio consumers, “dramatically” (in OEG’s words</w:t>
      </w:r>
      <w:r w:rsidR="00185721">
        <w:rPr>
          <w:rStyle w:val="FootnoteReference"/>
          <w:rFonts w:ascii="Times New Roman" w:hAnsi="Times New Roman" w:cs="Times New Roman"/>
          <w:sz w:val="24"/>
          <w:szCs w:val="24"/>
        </w:rPr>
        <w:footnoteReference w:id="91"/>
      </w:r>
      <w:r w:rsidR="00185721">
        <w:rPr>
          <w:rFonts w:ascii="Times New Roman" w:hAnsi="Times New Roman" w:cs="Times New Roman"/>
          <w:sz w:val="24"/>
          <w:szCs w:val="24"/>
        </w:rPr>
        <w:t xml:space="preserve">) </w:t>
      </w:r>
      <w:r w:rsidR="002B1995">
        <w:rPr>
          <w:rFonts w:ascii="Times New Roman" w:hAnsi="Times New Roman" w:cs="Times New Roman"/>
          <w:sz w:val="24"/>
          <w:szCs w:val="24"/>
        </w:rPr>
        <w:t>increasing the estimated costs charged to consumers through the PPA Rider.</w:t>
      </w:r>
    </w:p>
    <w:p w:rsidR="002B1995" w:rsidRPr="00E566F6" w:rsidRDefault="002B1995" w:rsidP="00F02391">
      <w:pPr>
        <w:spacing w:after="0" w:line="480" w:lineRule="auto"/>
        <w:rPr>
          <w:rFonts w:ascii="Times New Roman" w:hAnsi="Times New Roman" w:cs="Times New Roman"/>
          <w:szCs w:val="24"/>
        </w:rPr>
      </w:pPr>
      <w:r>
        <w:rPr>
          <w:rFonts w:ascii="Times New Roman" w:hAnsi="Times New Roman" w:cs="Times New Roman"/>
          <w:sz w:val="24"/>
          <w:szCs w:val="24"/>
        </w:rPr>
        <w:tab/>
        <w:t xml:space="preserve">PJM in its amicus brief has included arguments that the PPA </w:t>
      </w:r>
      <w:r w:rsidR="0006625D">
        <w:rPr>
          <w:rFonts w:ascii="Times New Roman" w:hAnsi="Times New Roman" w:cs="Times New Roman"/>
          <w:sz w:val="24"/>
          <w:szCs w:val="24"/>
        </w:rPr>
        <w:t>U</w:t>
      </w:r>
      <w:r>
        <w:rPr>
          <w:rFonts w:ascii="Times New Roman" w:hAnsi="Times New Roman" w:cs="Times New Roman"/>
          <w:sz w:val="24"/>
          <w:szCs w:val="24"/>
        </w:rPr>
        <w:t>nits should be offered at cost to protect the competitive market from the inherent subsidy the PPA arrangement provides.</w:t>
      </w:r>
      <w:r>
        <w:rPr>
          <w:rStyle w:val="FootnoteReference"/>
          <w:rFonts w:ascii="Times New Roman" w:hAnsi="Times New Roman" w:cs="Times New Roman"/>
          <w:sz w:val="24"/>
          <w:szCs w:val="24"/>
        </w:rPr>
        <w:footnoteReference w:id="92"/>
      </w:r>
      <w:r w:rsidR="00517444">
        <w:rPr>
          <w:rFonts w:ascii="Times New Roman" w:hAnsi="Times New Roman" w:cs="Times New Roman"/>
          <w:sz w:val="24"/>
          <w:szCs w:val="24"/>
        </w:rPr>
        <w:t xml:space="preserve"> T</w:t>
      </w:r>
      <w:r>
        <w:rPr>
          <w:rFonts w:ascii="Times New Roman" w:hAnsi="Times New Roman" w:cs="Times New Roman"/>
          <w:sz w:val="24"/>
          <w:szCs w:val="24"/>
        </w:rPr>
        <w:t xml:space="preserve">o the extent these units are uneconomic to bid in at cost, </w:t>
      </w:r>
      <w:r w:rsidR="00D37B75">
        <w:rPr>
          <w:rFonts w:ascii="Times New Roman" w:hAnsi="Times New Roman" w:cs="Times New Roman"/>
          <w:sz w:val="24"/>
          <w:szCs w:val="24"/>
        </w:rPr>
        <w:t xml:space="preserve">that </w:t>
      </w:r>
      <w:r>
        <w:rPr>
          <w:rFonts w:ascii="Times New Roman" w:hAnsi="Times New Roman" w:cs="Times New Roman"/>
          <w:sz w:val="24"/>
          <w:szCs w:val="24"/>
        </w:rPr>
        <w:t xml:space="preserve">increases the likelihood that these units will not clear, and the worst case scenario for consumers becomes a reality.    </w:t>
      </w:r>
    </w:p>
    <w:p w:rsidR="00861AB8" w:rsidRPr="00E66D9C" w:rsidRDefault="00C2392A" w:rsidP="00E66D9C">
      <w:pPr>
        <w:pStyle w:val="Heading2"/>
      </w:pPr>
      <w:bookmarkStart w:id="28" w:name="_Toc442712223"/>
      <w:bookmarkStart w:id="29" w:name="_Toc442713369"/>
      <w:r>
        <w:t>F.</w:t>
      </w:r>
      <w:r>
        <w:tab/>
      </w:r>
      <w:r w:rsidR="00EA2048" w:rsidRPr="00E66D9C">
        <w:t xml:space="preserve">The PUCO should exercise its considerable discretion in matters of rate design to </w:t>
      </w:r>
      <w:r w:rsidR="00A83A21">
        <w:t xml:space="preserve">protect </w:t>
      </w:r>
      <w:r w:rsidR="00EA2048" w:rsidRPr="00E66D9C">
        <w:t>consumers</w:t>
      </w:r>
      <w:r w:rsidR="00034E0E">
        <w:t xml:space="preserve"> </w:t>
      </w:r>
      <w:r w:rsidR="00042C17">
        <w:t>by relying on the</w:t>
      </w:r>
      <w:r w:rsidR="00EA2048" w:rsidRPr="00E66D9C">
        <w:t xml:space="preserve"> regulatory principles and practices, described by OCC Witness Fortney</w:t>
      </w:r>
      <w:r w:rsidR="00500221" w:rsidRPr="00E66D9C">
        <w:t>.</w:t>
      </w:r>
      <w:bookmarkEnd w:id="28"/>
      <w:bookmarkEnd w:id="29"/>
    </w:p>
    <w:p w:rsidR="00030821" w:rsidRDefault="00EA2048" w:rsidP="0009198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AEP Ohio asserts that</w:t>
      </w:r>
      <w:r w:rsidR="00D37B75">
        <w:rPr>
          <w:rFonts w:ascii="Times New Roman" w:hAnsi="Times New Roman" w:cs="Times New Roman"/>
          <w:sz w:val="24"/>
          <w:szCs w:val="24"/>
        </w:rPr>
        <w:t>, because the PUCO has discretion over rate design,</w:t>
      </w:r>
      <w:r>
        <w:rPr>
          <w:rFonts w:ascii="Times New Roman" w:hAnsi="Times New Roman" w:cs="Times New Roman"/>
          <w:sz w:val="24"/>
          <w:szCs w:val="24"/>
        </w:rPr>
        <w:t xml:space="preserve"> </w:t>
      </w:r>
      <w:r w:rsidR="00D37B75">
        <w:rPr>
          <w:rFonts w:ascii="Times New Roman" w:hAnsi="Times New Roman" w:cs="Times New Roman"/>
          <w:sz w:val="24"/>
          <w:szCs w:val="24"/>
        </w:rPr>
        <w:t xml:space="preserve">it </w:t>
      </w:r>
      <w:r w:rsidR="00202855">
        <w:rPr>
          <w:rFonts w:ascii="Times New Roman" w:hAnsi="Times New Roman" w:cs="Times New Roman"/>
          <w:sz w:val="24"/>
          <w:szCs w:val="24"/>
        </w:rPr>
        <w:t xml:space="preserve">should disregard </w:t>
      </w:r>
      <w:r>
        <w:rPr>
          <w:rFonts w:ascii="Times New Roman" w:hAnsi="Times New Roman" w:cs="Times New Roman"/>
          <w:sz w:val="24"/>
          <w:szCs w:val="24"/>
        </w:rPr>
        <w:t>OCC Witness Fortney</w:t>
      </w:r>
      <w:r w:rsidR="00130F92">
        <w:rPr>
          <w:rFonts w:ascii="Times New Roman" w:hAnsi="Times New Roman" w:cs="Times New Roman"/>
          <w:sz w:val="24"/>
          <w:szCs w:val="24"/>
        </w:rPr>
        <w:t>’</w:t>
      </w:r>
      <w:r>
        <w:rPr>
          <w:rFonts w:ascii="Times New Roman" w:hAnsi="Times New Roman" w:cs="Times New Roman"/>
          <w:sz w:val="24"/>
          <w:szCs w:val="24"/>
        </w:rPr>
        <w:t xml:space="preserve">s testimony that </w:t>
      </w:r>
      <w:r w:rsidR="00202855">
        <w:rPr>
          <w:rFonts w:ascii="Times New Roman" w:hAnsi="Times New Roman" w:cs="Times New Roman"/>
          <w:sz w:val="24"/>
          <w:szCs w:val="24"/>
        </w:rPr>
        <w:t xml:space="preserve">the </w:t>
      </w:r>
      <w:r w:rsidR="00D37B75">
        <w:rPr>
          <w:rFonts w:ascii="Times New Roman" w:hAnsi="Times New Roman" w:cs="Times New Roman"/>
          <w:sz w:val="24"/>
          <w:szCs w:val="24"/>
        </w:rPr>
        <w:t>Stipulators’</w:t>
      </w:r>
      <w:r w:rsidR="00202855">
        <w:rPr>
          <w:rFonts w:ascii="Times New Roman" w:hAnsi="Times New Roman" w:cs="Times New Roman"/>
          <w:sz w:val="24"/>
          <w:szCs w:val="24"/>
        </w:rPr>
        <w:t xml:space="preserve"> allocation of </w:t>
      </w:r>
      <w:r w:rsidR="0006625D">
        <w:rPr>
          <w:rFonts w:ascii="Times New Roman" w:hAnsi="Times New Roman" w:cs="Times New Roman"/>
          <w:sz w:val="24"/>
          <w:szCs w:val="24"/>
        </w:rPr>
        <w:t>Energy Efficiency and Peak Demand Reduction Cost Recovery Rider</w:t>
      </w:r>
      <w:r w:rsidR="004E449B">
        <w:rPr>
          <w:rFonts w:ascii="Times New Roman" w:hAnsi="Times New Roman" w:cs="Times New Roman"/>
          <w:sz w:val="24"/>
          <w:szCs w:val="24"/>
        </w:rPr>
        <w:t xml:space="preserve"> </w:t>
      </w:r>
      <w:r w:rsidR="00202855">
        <w:rPr>
          <w:rFonts w:ascii="Times New Roman" w:hAnsi="Times New Roman" w:cs="Times New Roman"/>
          <w:sz w:val="24"/>
          <w:szCs w:val="24"/>
        </w:rPr>
        <w:t xml:space="preserve">and </w:t>
      </w:r>
      <w:r w:rsidR="0006625D">
        <w:rPr>
          <w:rFonts w:ascii="Times New Roman" w:hAnsi="Times New Roman" w:cs="Times New Roman"/>
          <w:sz w:val="24"/>
          <w:szCs w:val="24"/>
        </w:rPr>
        <w:t xml:space="preserve">Economic Development Rider </w:t>
      </w:r>
      <w:r w:rsidR="00202855">
        <w:rPr>
          <w:rFonts w:ascii="Times New Roman" w:hAnsi="Times New Roman" w:cs="Times New Roman"/>
          <w:sz w:val="24"/>
          <w:szCs w:val="24"/>
        </w:rPr>
        <w:t>violates principles of cost causation.</w:t>
      </w:r>
      <w:r w:rsidR="00E332AB">
        <w:rPr>
          <w:rStyle w:val="FootnoteReference"/>
          <w:rFonts w:ascii="Times New Roman" w:hAnsi="Times New Roman" w:cs="Times New Roman"/>
          <w:sz w:val="24"/>
          <w:szCs w:val="24"/>
        </w:rPr>
        <w:footnoteReference w:id="93"/>
      </w:r>
      <w:r w:rsidR="00202855">
        <w:rPr>
          <w:rFonts w:ascii="Times New Roman" w:hAnsi="Times New Roman" w:cs="Times New Roman"/>
          <w:sz w:val="24"/>
          <w:szCs w:val="24"/>
        </w:rPr>
        <w:t xml:space="preserve">  But it is </w:t>
      </w:r>
      <w:r w:rsidR="00202855" w:rsidRPr="00E332AB">
        <w:rPr>
          <w:rFonts w:ascii="Times New Roman" w:hAnsi="Times New Roman" w:cs="Times New Roman"/>
          <w:i/>
          <w:sz w:val="24"/>
          <w:szCs w:val="24"/>
        </w:rPr>
        <w:t>precisely</w:t>
      </w:r>
      <w:r w:rsidR="00202855">
        <w:rPr>
          <w:rFonts w:ascii="Times New Roman" w:hAnsi="Times New Roman" w:cs="Times New Roman"/>
          <w:sz w:val="24"/>
          <w:szCs w:val="24"/>
        </w:rPr>
        <w:t xml:space="preserve"> </w:t>
      </w:r>
      <w:r w:rsidR="00202855">
        <w:rPr>
          <w:rFonts w:ascii="Times New Roman" w:hAnsi="Times New Roman" w:cs="Times New Roman"/>
          <w:i/>
          <w:sz w:val="24"/>
          <w:szCs w:val="24"/>
        </w:rPr>
        <w:t xml:space="preserve">because </w:t>
      </w:r>
      <w:r w:rsidR="00202855">
        <w:rPr>
          <w:rFonts w:ascii="Times New Roman" w:hAnsi="Times New Roman" w:cs="Times New Roman"/>
          <w:sz w:val="24"/>
          <w:szCs w:val="24"/>
        </w:rPr>
        <w:t>the PUCO has discretion over matters of rate de</w:t>
      </w:r>
      <w:r w:rsidR="00030821">
        <w:rPr>
          <w:rFonts w:ascii="Times New Roman" w:hAnsi="Times New Roman" w:cs="Times New Roman"/>
          <w:sz w:val="24"/>
          <w:szCs w:val="24"/>
        </w:rPr>
        <w:t xml:space="preserve">sign that </w:t>
      </w:r>
      <w:r w:rsidR="00202855">
        <w:rPr>
          <w:rFonts w:ascii="Times New Roman" w:hAnsi="Times New Roman" w:cs="Times New Roman"/>
          <w:sz w:val="24"/>
          <w:szCs w:val="24"/>
        </w:rPr>
        <w:t>it should accept OCC Witness Fortney</w:t>
      </w:r>
      <w:r w:rsidR="00130F92">
        <w:rPr>
          <w:rFonts w:ascii="Times New Roman" w:hAnsi="Times New Roman" w:cs="Times New Roman"/>
          <w:sz w:val="24"/>
          <w:szCs w:val="24"/>
        </w:rPr>
        <w:t>’</w:t>
      </w:r>
      <w:r w:rsidR="00202855">
        <w:rPr>
          <w:rFonts w:ascii="Times New Roman" w:hAnsi="Times New Roman" w:cs="Times New Roman"/>
          <w:sz w:val="24"/>
          <w:szCs w:val="24"/>
        </w:rPr>
        <w:t>s</w:t>
      </w:r>
      <w:r w:rsidR="00030821">
        <w:rPr>
          <w:rFonts w:ascii="Times New Roman" w:hAnsi="Times New Roman" w:cs="Times New Roman"/>
          <w:sz w:val="24"/>
          <w:szCs w:val="24"/>
        </w:rPr>
        <w:t xml:space="preserve"> point</w:t>
      </w:r>
      <w:r w:rsidR="00570B4B">
        <w:rPr>
          <w:rFonts w:ascii="Times New Roman" w:hAnsi="Times New Roman" w:cs="Times New Roman"/>
          <w:sz w:val="24"/>
          <w:szCs w:val="24"/>
        </w:rPr>
        <w:t xml:space="preserve">.  That means the PUCO should </w:t>
      </w:r>
      <w:r w:rsidR="00030821">
        <w:rPr>
          <w:rFonts w:ascii="Times New Roman" w:hAnsi="Times New Roman" w:cs="Times New Roman"/>
          <w:sz w:val="24"/>
          <w:szCs w:val="24"/>
        </w:rPr>
        <w:t xml:space="preserve">reject the </w:t>
      </w:r>
      <w:r w:rsidR="00570B4B">
        <w:rPr>
          <w:rFonts w:ascii="Times New Roman" w:hAnsi="Times New Roman" w:cs="Times New Roman"/>
          <w:sz w:val="24"/>
          <w:szCs w:val="24"/>
        </w:rPr>
        <w:t xml:space="preserve">allocation in the </w:t>
      </w:r>
      <w:r w:rsidR="00030821">
        <w:rPr>
          <w:rFonts w:ascii="Times New Roman" w:hAnsi="Times New Roman" w:cs="Times New Roman"/>
          <w:sz w:val="24"/>
          <w:szCs w:val="24"/>
        </w:rPr>
        <w:t xml:space="preserve">Joint Stipulation of </w:t>
      </w:r>
      <w:r w:rsidR="0006625D">
        <w:rPr>
          <w:rFonts w:ascii="Times New Roman" w:hAnsi="Times New Roman" w:cs="Times New Roman"/>
          <w:sz w:val="24"/>
          <w:szCs w:val="24"/>
        </w:rPr>
        <w:t>Energy Efficiency and Peak Demand Reduction Cost Recovery Rider</w:t>
      </w:r>
      <w:r w:rsidR="0006625D" w:rsidDel="0006625D">
        <w:rPr>
          <w:rFonts w:ascii="Times New Roman" w:hAnsi="Times New Roman" w:cs="Times New Roman"/>
          <w:sz w:val="24"/>
          <w:szCs w:val="24"/>
        </w:rPr>
        <w:t xml:space="preserve"> </w:t>
      </w:r>
      <w:r w:rsidR="00030821">
        <w:rPr>
          <w:rFonts w:ascii="Times New Roman" w:hAnsi="Times New Roman" w:cs="Times New Roman"/>
          <w:sz w:val="24"/>
          <w:szCs w:val="24"/>
        </w:rPr>
        <w:t xml:space="preserve">and </w:t>
      </w:r>
      <w:r w:rsidR="0006625D">
        <w:rPr>
          <w:rFonts w:ascii="Times New Roman" w:hAnsi="Times New Roman" w:cs="Times New Roman"/>
          <w:sz w:val="24"/>
          <w:szCs w:val="24"/>
        </w:rPr>
        <w:t xml:space="preserve">Economic Development Rider </w:t>
      </w:r>
      <w:r w:rsidR="00570B4B">
        <w:rPr>
          <w:rFonts w:ascii="Times New Roman" w:hAnsi="Times New Roman" w:cs="Times New Roman"/>
          <w:sz w:val="24"/>
          <w:szCs w:val="24"/>
        </w:rPr>
        <w:t>costs,</w:t>
      </w:r>
      <w:r w:rsidR="00042C17">
        <w:rPr>
          <w:rFonts w:ascii="Times New Roman" w:hAnsi="Times New Roman" w:cs="Times New Roman"/>
          <w:sz w:val="24"/>
          <w:szCs w:val="24"/>
        </w:rPr>
        <w:t xml:space="preserve"> to protect consumers</w:t>
      </w:r>
      <w:r w:rsidR="00030821">
        <w:rPr>
          <w:rFonts w:ascii="Times New Roman" w:hAnsi="Times New Roman" w:cs="Times New Roman"/>
          <w:sz w:val="24"/>
          <w:szCs w:val="24"/>
        </w:rPr>
        <w:t xml:space="preserve">.  </w:t>
      </w:r>
    </w:p>
    <w:p w:rsidR="00030821" w:rsidRDefault="00030821" w:rsidP="000919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Witness Fortney explained that the Joint Stipulation</w:t>
      </w:r>
      <w:r w:rsidR="00130F92">
        <w:rPr>
          <w:rFonts w:ascii="Times New Roman" w:hAnsi="Times New Roman" w:cs="Times New Roman"/>
          <w:sz w:val="24"/>
          <w:szCs w:val="24"/>
        </w:rPr>
        <w:t>’</w:t>
      </w:r>
      <w:r>
        <w:rPr>
          <w:rFonts w:ascii="Times New Roman" w:hAnsi="Times New Roman" w:cs="Times New Roman"/>
          <w:sz w:val="24"/>
          <w:szCs w:val="24"/>
        </w:rPr>
        <w:t xml:space="preserve">s transfer of 50 percent of the </w:t>
      </w:r>
      <w:r w:rsidR="0006625D">
        <w:rPr>
          <w:rFonts w:ascii="Times New Roman" w:hAnsi="Times New Roman" w:cs="Times New Roman"/>
          <w:sz w:val="24"/>
          <w:szCs w:val="24"/>
        </w:rPr>
        <w:t xml:space="preserve">Energy Efficiency and Peak Demand Reduction Cost Recovery </w:t>
      </w:r>
      <w:r>
        <w:rPr>
          <w:rFonts w:ascii="Times New Roman" w:hAnsi="Times New Roman" w:cs="Times New Roman"/>
          <w:sz w:val="24"/>
          <w:szCs w:val="24"/>
        </w:rPr>
        <w:t xml:space="preserve">Rider costs to </w:t>
      </w:r>
      <w:r w:rsidR="0006625D">
        <w:rPr>
          <w:rFonts w:ascii="Times New Roman" w:hAnsi="Times New Roman" w:cs="Times New Roman"/>
          <w:sz w:val="24"/>
          <w:szCs w:val="24"/>
        </w:rPr>
        <w:t>Economic Development Rider</w:t>
      </w:r>
      <w:r>
        <w:rPr>
          <w:rFonts w:ascii="Times New Roman" w:hAnsi="Times New Roman" w:cs="Times New Roman"/>
          <w:sz w:val="24"/>
          <w:szCs w:val="24"/>
        </w:rPr>
        <w:t xml:space="preserve"> causes harm to residential customers because the allocations of </w:t>
      </w:r>
      <w:r w:rsidR="00931581">
        <w:rPr>
          <w:rFonts w:ascii="Times New Roman" w:hAnsi="Times New Roman" w:cs="Times New Roman"/>
          <w:sz w:val="24"/>
          <w:szCs w:val="24"/>
        </w:rPr>
        <w:t>Energy Efficiency and Peak Demand Reduction Cost Recovery Rider</w:t>
      </w:r>
      <w:r w:rsidR="00931581" w:rsidDel="0006625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31581">
        <w:rPr>
          <w:rFonts w:ascii="Times New Roman" w:hAnsi="Times New Roman" w:cs="Times New Roman"/>
          <w:sz w:val="24"/>
          <w:szCs w:val="24"/>
        </w:rPr>
        <w:t>Economic Development Rider</w:t>
      </w:r>
      <w:r>
        <w:rPr>
          <w:rFonts w:ascii="Times New Roman" w:hAnsi="Times New Roman" w:cs="Times New Roman"/>
          <w:sz w:val="24"/>
          <w:szCs w:val="24"/>
        </w:rPr>
        <w:t xml:space="preserve"> were originally based on principles of cost causation.</w:t>
      </w:r>
      <w:r w:rsidR="00E332AB">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w:t>
      </w:r>
      <w:r w:rsidR="00130F92">
        <w:rPr>
          <w:rFonts w:ascii="Times New Roman" w:hAnsi="Times New Roman" w:cs="Times New Roman"/>
          <w:sz w:val="24"/>
          <w:szCs w:val="24"/>
        </w:rPr>
        <w:t>“</w:t>
      </w:r>
      <w:r>
        <w:rPr>
          <w:rFonts w:ascii="Times New Roman" w:hAnsi="Times New Roman" w:cs="Times New Roman"/>
          <w:sz w:val="24"/>
          <w:szCs w:val="24"/>
        </w:rPr>
        <w:t>Those principles are then abandoned by the [Joint Stipulation</w:t>
      </w:r>
      <w:r w:rsidR="00130F92">
        <w:rPr>
          <w:rFonts w:ascii="Times New Roman" w:hAnsi="Times New Roman" w:cs="Times New Roman"/>
          <w:sz w:val="24"/>
          <w:szCs w:val="24"/>
        </w:rPr>
        <w:t>’</w:t>
      </w:r>
      <w:r>
        <w:rPr>
          <w:rFonts w:ascii="Times New Roman" w:hAnsi="Times New Roman" w:cs="Times New Roman"/>
          <w:sz w:val="24"/>
          <w:szCs w:val="24"/>
        </w:rPr>
        <w:t>s] arbitrary transfer of 50</w:t>
      </w:r>
      <w:r w:rsidR="00AF74B9">
        <w:rPr>
          <w:rFonts w:ascii="Times New Roman" w:hAnsi="Times New Roman" w:cs="Times New Roman"/>
          <w:sz w:val="24"/>
          <w:szCs w:val="24"/>
        </w:rPr>
        <w:t xml:space="preserve"> </w:t>
      </w:r>
      <w:r w:rsidR="00034E0E">
        <w:rPr>
          <w:rFonts w:ascii="Times New Roman" w:hAnsi="Times New Roman" w:cs="Times New Roman"/>
          <w:sz w:val="24"/>
          <w:szCs w:val="24"/>
        </w:rPr>
        <w:t xml:space="preserve">% </w:t>
      </w:r>
      <w:r>
        <w:rPr>
          <w:rFonts w:ascii="Times New Roman" w:hAnsi="Times New Roman" w:cs="Times New Roman"/>
          <w:sz w:val="24"/>
          <w:szCs w:val="24"/>
        </w:rPr>
        <w:t>of the cost recovery from the EE/PDR to the EDR.</w:t>
      </w:r>
      <w:r w:rsidR="00130F92">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OCC Witness Fortney </w:t>
      </w:r>
      <w:r w:rsidR="007856A8">
        <w:rPr>
          <w:rFonts w:ascii="Times New Roman" w:hAnsi="Times New Roman" w:cs="Times New Roman"/>
          <w:sz w:val="24"/>
          <w:szCs w:val="24"/>
        </w:rPr>
        <w:t>therefore concluded</w:t>
      </w:r>
      <w:r>
        <w:rPr>
          <w:rFonts w:ascii="Times New Roman" w:hAnsi="Times New Roman" w:cs="Times New Roman"/>
          <w:sz w:val="24"/>
          <w:szCs w:val="24"/>
        </w:rPr>
        <w:t>:</w:t>
      </w:r>
    </w:p>
    <w:p w:rsidR="00EA2048" w:rsidRPr="00EA2048" w:rsidRDefault="00030821" w:rsidP="00E66D9C">
      <w:pPr>
        <w:ind w:left="1440" w:right="720"/>
        <w:rPr>
          <w:rFonts w:ascii="Times New Roman" w:hAnsi="Times New Roman" w:cs="Times New Roman"/>
          <w:sz w:val="24"/>
          <w:szCs w:val="24"/>
        </w:rPr>
      </w:pPr>
      <w:r>
        <w:rPr>
          <w:rFonts w:ascii="Times New Roman" w:hAnsi="Times New Roman" w:cs="Times New Roman"/>
          <w:sz w:val="24"/>
          <w:szCs w:val="24"/>
        </w:rPr>
        <w:t>The Stipulation modifies the application and the amended application [relating to the allocation of EE/PDR and EDR].  These modifications cause financial harm to the residential customers of AEP Ohio by shifting additional costs into the EDR Rider to be paid, at least in part, by residential customers.  Those provisions violate the fundamental rate-making principle that the customers who cause the costs should be the customers to pay for the costs.</w:t>
      </w:r>
      <w:r w:rsidR="00EA2048">
        <w:rPr>
          <w:rFonts w:ascii="Times New Roman" w:hAnsi="Times New Roman" w:cs="Times New Roman"/>
          <w:sz w:val="24"/>
          <w:szCs w:val="24"/>
        </w:rPr>
        <w:t xml:space="preserve"> </w:t>
      </w:r>
      <w:r w:rsidR="00E332AB">
        <w:rPr>
          <w:rStyle w:val="FootnoteReference"/>
          <w:rFonts w:ascii="Times New Roman" w:hAnsi="Times New Roman" w:cs="Times New Roman"/>
          <w:sz w:val="24"/>
          <w:szCs w:val="24"/>
        </w:rPr>
        <w:footnoteReference w:id="96"/>
      </w:r>
    </w:p>
    <w:p w:rsidR="00042C17" w:rsidRDefault="00042C17" w:rsidP="0009198D">
      <w:pPr>
        <w:spacing w:after="0" w:line="480" w:lineRule="auto"/>
        <w:rPr>
          <w:rFonts w:ascii="Times New Roman" w:hAnsi="Times New Roman" w:cs="Times New Roman"/>
          <w:sz w:val="24"/>
          <w:szCs w:val="24"/>
        </w:rPr>
      </w:pPr>
      <w:r>
        <w:rPr>
          <w:rFonts w:ascii="Times New Roman" w:hAnsi="Times New Roman" w:cs="Times New Roman"/>
          <w:sz w:val="24"/>
          <w:szCs w:val="24"/>
        </w:rPr>
        <w:t>This provision</w:t>
      </w:r>
      <w:r w:rsidR="00D05FF2">
        <w:rPr>
          <w:rFonts w:ascii="Times New Roman" w:hAnsi="Times New Roman" w:cs="Times New Roman"/>
          <w:sz w:val="24"/>
          <w:szCs w:val="24"/>
        </w:rPr>
        <w:t xml:space="preserve"> </w:t>
      </w:r>
      <w:r>
        <w:rPr>
          <w:rFonts w:ascii="Times New Roman" w:hAnsi="Times New Roman" w:cs="Times New Roman"/>
          <w:sz w:val="24"/>
          <w:szCs w:val="24"/>
        </w:rPr>
        <w:t>is consistent with the</w:t>
      </w:r>
      <w:r w:rsidR="00D05FF2">
        <w:rPr>
          <w:rFonts w:ascii="Times New Roman" w:hAnsi="Times New Roman" w:cs="Times New Roman"/>
          <w:sz w:val="24"/>
          <w:szCs w:val="24"/>
        </w:rPr>
        <w:t xml:space="preserve"> settlement’s</w:t>
      </w:r>
      <w:r>
        <w:rPr>
          <w:rFonts w:ascii="Times New Roman" w:hAnsi="Times New Roman" w:cs="Times New Roman"/>
          <w:sz w:val="24"/>
          <w:szCs w:val="24"/>
        </w:rPr>
        <w:t xml:space="preserve"> theme of inducing signatories to support AEP Ohio’s PPA proposal </w:t>
      </w:r>
      <w:r w:rsidR="00D05FF2">
        <w:rPr>
          <w:rFonts w:ascii="Times New Roman" w:hAnsi="Times New Roman" w:cs="Times New Roman"/>
          <w:sz w:val="24"/>
          <w:szCs w:val="24"/>
        </w:rPr>
        <w:t>where the signing inducements are paid for with other people’s money</w:t>
      </w:r>
      <w:r>
        <w:rPr>
          <w:rFonts w:ascii="Times New Roman" w:hAnsi="Times New Roman" w:cs="Times New Roman"/>
          <w:sz w:val="24"/>
          <w:szCs w:val="24"/>
        </w:rPr>
        <w:t>.</w:t>
      </w:r>
    </w:p>
    <w:p w:rsidR="00D66BA2" w:rsidRDefault="007856A8" w:rsidP="00E566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w:t>
      </w:r>
      <w:r w:rsidR="00130F92">
        <w:rPr>
          <w:rFonts w:ascii="Times New Roman" w:hAnsi="Times New Roman" w:cs="Times New Roman"/>
          <w:sz w:val="24"/>
          <w:szCs w:val="24"/>
        </w:rPr>
        <w:t>’</w:t>
      </w:r>
      <w:r>
        <w:rPr>
          <w:rFonts w:ascii="Times New Roman" w:hAnsi="Times New Roman" w:cs="Times New Roman"/>
          <w:sz w:val="24"/>
          <w:szCs w:val="24"/>
        </w:rPr>
        <w:t>s assert that OCC</w:t>
      </w:r>
      <w:r w:rsidR="00130F92">
        <w:rPr>
          <w:rFonts w:ascii="Times New Roman" w:hAnsi="Times New Roman" w:cs="Times New Roman"/>
          <w:sz w:val="24"/>
          <w:szCs w:val="24"/>
        </w:rPr>
        <w:t>’</w:t>
      </w:r>
      <w:r>
        <w:rPr>
          <w:rFonts w:ascii="Times New Roman" w:hAnsi="Times New Roman" w:cs="Times New Roman"/>
          <w:sz w:val="24"/>
          <w:szCs w:val="24"/>
        </w:rPr>
        <w:t>s position on the Joint Stipulation</w:t>
      </w:r>
      <w:r w:rsidR="00130F92">
        <w:rPr>
          <w:rFonts w:ascii="Times New Roman" w:hAnsi="Times New Roman" w:cs="Times New Roman"/>
          <w:sz w:val="24"/>
          <w:szCs w:val="24"/>
        </w:rPr>
        <w:t>’</w:t>
      </w:r>
      <w:r>
        <w:rPr>
          <w:rFonts w:ascii="Times New Roman" w:hAnsi="Times New Roman" w:cs="Times New Roman"/>
          <w:sz w:val="24"/>
          <w:szCs w:val="24"/>
        </w:rPr>
        <w:t xml:space="preserve">s reallocation of the </w:t>
      </w:r>
      <w:r w:rsidR="00931581">
        <w:rPr>
          <w:rFonts w:ascii="Times New Roman" w:hAnsi="Times New Roman" w:cs="Times New Roman"/>
          <w:sz w:val="24"/>
          <w:szCs w:val="24"/>
        </w:rPr>
        <w:t xml:space="preserve">Interruptible Power </w:t>
      </w:r>
      <w:r>
        <w:rPr>
          <w:rFonts w:ascii="Times New Roman" w:hAnsi="Times New Roman" w:cs="Times New Roman"/>
          <w:sz w:val="24"/>
          <w:szCs w:val="24"/>
        </w:rPr>
        <w:t xml:space="preserve">credits is </w:t>
      </w:r>
      <w:r w:rsidR="00130F92">
        <w:rPr>
          <w:rFonts w:ascii="Times New Roman" w:hAnsi="Times New Roman" w:cs="Times New Roman"/>
          <w:sz w:val="24"/>
          <w:szCs w:val="24"/>
        </w:rPr>
        <w:t>“</w:t>
      </w:r>
      <w:r>
        <w:rPr>
          <w:rFonts w:ascii="Times New Roman" w:hAnsi="Times New Roman" w:cs="Times New Roman"/>
          <w:sz w:val="24"/>
          <w:szCs w:val="24"/>
        </w:rPr>
        <w:t>disingenuous</w:t>
      </w:r>
      <w:r w:rsidR="00706839">
        <w:rPr>
          <w:rFonts w:ascii="Times New Roman" w:hAnsi="Times New Roman" w:cs="Times New Roman"/>
          <w:sz w:val="24"/>
          <w:szCs w:val="24"/>
        </w:rPr>
        <w:t>.</w:t>
      </w:r>
      <w:r w:rsidR="00130F92">
        <w:rPr>
          <w:rFonts w:ascii="Times New Roman" w:hAnsi="Times New Roman" w:cs="Times New Roman"/>
          <w:sz w:val="24"/>
          <w:szCs w:val="24"/>
        </w:rPr>
        <w:t>”</w:t>
      </w:r>
      <w:r>
        <w:rPr>
          <w:rFonts w:ascii="Times New Roman" w:hAnsi="Times New Roman" w:cs="Times New Roman"/>
          <w:sz w:val="24"/>
          <w:szCs w:val="24"/>
        </w:rPr>
        <w:t xml:space="preserve"> </w:t>
      </w:r>
      <w:r w:rsidR="00706839">
        <w:rPr>
          <w:rFonts w:ascii="Times New Roman" w:hAnsi="Times New Roman" w:cs="Times New Roman"/>
          <w:sz w:val="24"/>
          <w:szCs w:val="24"/>
        </w:rPr>
        <w:t xml:space="preserve"> That assertion </w:t>
      </w:r>
      <w:r>
        <w:rPr>
          <w:rFonts w:ascii="Times New Roman" w:hAnsi="Times New Roman" w:cs="Times New Roman"/>
          <w:sz w:val="24"/>
          <w:szCs w:val="24"/>
        </w:rPr>
        <w:t>ignores OCC Witness Fortney</w:t>
      </w:r>
      <w:r w:rsidR="00130F92">
        <w:rPr>
          <w:rFonts w:ascii="Times New Roman" w:hAnsi="Times New Roman" w:cs="Times New Roman"/>
          <w:sz w:val="24"/>
          <w:szCs w:val="24"/>
        </w:rPr>
        <w:t>’</w:t>
      </w:r>
      <w:r w:rsidR="00601196">
        <w:rPr>
          <w:rFonts w:ascii="Times New Roman" w:hAnsi="Times New Roman" w:cs="Times New Roman"/>
          <w:sz w:val="24"/>
          <w:szCs w:val="24"/>
        </w:rPr>
        <w:t>s testimony.</w:t>
      </w:r>
      <w:r w:rsidR="00E332AB">
        <w:rPr>
          <w:rStyle w:val="FootnoteReference"/>
          <w:rFonts w:ascii="Times New Roman" w:hAnsi="Times New Roman" w:cs="Times New Roman"/>
          <w:sz w:val="24"/>
          <w:szCs w:val="24"/>
        </w:rPr>
        <w:footnoteReference w:id="97"/>
      </w:r>
      <w:r w:rsidR="00E332AB">
        <w:rPr>
          <w:rFonts w:ascii="Times New Roman" w:hAnsi="Times New Roman" w:cs="Times New Roman"/>
          <w:sz w:val="24"/>
          <w:szCs w:val="24"/>
        </w:rPr>
        <w:t xml:space="preserve"> </w:t>
      </w:r>
      <w:r>
        <w:rPr>
          <w:rFonts w:ascii="Times New Roman" w:hAnsi="Times New Roman" w:cs="Times New Roman"/>
          <w:sz w:val="24"/>
          <w:szCs w:val="24"/>
        </w:rPr>
        <w:t xml:space="preserve"> During his testimony, AEP Ohio provided OCC Witness </w:t>
      </w:r>
      <w:r w:rsidR="00424363" w:rsidRPr="00EA2048">
        <w:rPr>
          <w:rFonts w:ascii="Times New Roman" w:hAnsi="Times New Roman" w:cs="Times New Roman"/>
          <w:sz w:val="24"/>
          <w:szCs w:val="24"/>
        </w:rPr>
        <w:t xml:space="preserve">Fortney </w:t>
      </w:r>
      <w:r>
        <w:rPr>
          <w:rFonts w:ascii="Times New Roman" w:hAnsi="Times New Roman" w:cs="Times New Roman"/>
          <w:sz w:val="24"/>
          <w:szCs w:val="24"/>
        </w:rPr>
        <w:t>a</w:t>
      </w:r>
      <w:r w:rsidR="00424363" w:rsidRPr="00EA2048">
        <w:rPr>
          <w:rFonts w:ascii="Times New Roman" w:hAnsi="Times New Roman" w:cs="Times New Roman"/>
          <w:sz w:val="24"/>
          <w:szCs w:val="24"/>
        </w:rPr>
        <w:t xml:space="preserve"> </w:t>
      </w:r>
      <w:r w:rsidR="00706839">
        <w:rPr>
          <w:rFonts w:ascii="Times New Roman" w:hAnsi="Times New Roman" w:cs="Times New Roman"/>
          <w:sz w:val="24"/>
          <w:szCs w:val="24"/>
        </w:rPr>
        <w:t>document</w:t>
      </w:r>
      <w:r w:rsidR="006B7CF1" w:rsidRPr="00EA2048">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At AEP Ohio</w:t>
      </w:r>
      <w:r w:rsidR="00130F92">
        <w:rPr>
          <w:rFonts w:ascii="Times New Roman" w:hAnsi="Times New Roman" w:cs="Times New Roman"/>
          <w:sz w:val="24"/>
          <w:szCs w:val="24"/>
        </w:rPr>
        <w:t>’</w:t>
      </w:r>
      <w:r>
        <w:rPr>
          <w:rFonts w:ascii="Times New Roman" w:hAnsi="Times New Roman" w:cs="Times New Roman"/>
          <w:sz w:val="24"/>
          <w:szCs w:val="24"/>
        </w:rPr>
        <w:t xml:space="preserve">s request, OCC Witness Fortney </w:t>
      </w:r>
      <w:r w:rsidR="006B7CF1" w:rsidRPr="00EA2048">
        <w:rPr>
          <w:rFonts w:ascii="Times New Roman" w:hAnsi="Times New Roman" w:cs="Times New Roman"/>
          <w:sz w:val="24"/>
          <w:szCs w:val="24"/>
        </w:rPr>
        <w:t xml:space="preserve">read a paragraph </w:t>
      </w:r>
      <w:r w:rsidR="00D66BA2">
        <w:rPr>
          <w:rFonts w:ascii="Times New Roman" w:hAnsi="Times New Roman" w:cs="Times New Roman"/>
          <w:sz w:val="24"/>
          <w:szCs w:val="24"/>
        </w:rPr>
        <w:t xml:space="preserve">from </w:t>
      </w:r>
      <w:r w:rsidR="006B7CF1" w:rsidRPr="00EA2048">
        <w:rPr>
          <w:rFonts w:ascii="Times New Roman" w:hAnsi="Times New Roman" w:cs="Times New Roman"/>
          <w:sz w:val="24"/>
          <w:szCs w:val="24"/>
        </w:rPr>
        <w:t>page 28</w:t>
      </w:r>
      <w:r>
        <w:rPr>
          <w:rFonts w:ascii="Times New Roman" w:hAnsi="Times New Roman" w:cs="Times New Roman"/>
          <w:sz w:val="24"/>
          <w:szCs w:val="24"/>
        </w:rPr>
        <w:t xml:space="preserve"> of the Memorandum Contra.  In part, the paragraph states:  </w:t>
      </w:r>
      <w:r w:rsidR="00130F92">
        <w:rPr>
          <w:rFonts w:ascii="Times New Roman" w:hAnsi="Times New Roman" w:cs="Times New Roman"/>
          <w:sz w:val="24"/>
          <w:szCs w:val="24"/>
        </w:rPr>
        <w:t>“</w:t>
      </w:r>
      <w:r w:rsidR="006B7CF1" w:rsidRPr="00EA2048">
        <w:rPr>
          <w:rFonts w:ascii="Times New Roman" w:hAnsi="Times New Roman" w:cs="Times New Roman"/>
          <w:sz w:val="24"/>
          <w:szCs w:val="24"/>
        </w:rPr>
        <w:t xml:space="preserve">As noted by AEP, the costs of the current IRP-D credits are substantial and are born by all customers who pay the EE/PDR Rider charges.  To </w:t>
      </w:r>
      <w:r w:rsidR="00931581">
        <w:rPr>
          <w:rFonts w:ascii="Times New Roman" w:hAnsi="Times New Roman" w:cs="Times New Roman"/>
          <w:sz w:val="24"/>
          <w:szCs w:val="24"/>
        </w:rPr>
        <w:t>assure</w:t>
      </w:r>
      <w:r w:rsidR="008F49BA" w:rsidRPr="00EA2048">
        <w:rPr>
          <w:rFonts w:ascii="Times New Roman" w:hAnsi="Times New Roman" w:cs="Times New Roman"/>
          <w:sz w:val="24"/>
          <w:szCs w:val="24"/>
        </w:rPr>
        <w:t xml:space="preserve"> </w:t>
      </w:r>
      <w:r w:rsidR="006B7CF1" w:rsidRPr="00EA2048">
        <w:rPr>
          <w:rFonts w:ascii="Times New Roman" w:hAnsi="Times New Roman" w:cs="Times New Roman"/>
          <w:sz w:val="24"/>
          <w:szCs w:val="24"/>
        </w:rPr>
        <w:t xml:space="preserve">that the costs of those credits are born </w:t>
      </w:r>
      <w:r w:rsidR="00D17899" w:rsidRPr="00EA2048">
        <w:rPr>
          <w:rFonts w:ascii="Times New Roman" w:hAnsi="Times New Roman" w:cs="Times New Roman"/>
          <w:sz w:val="24"/>
          <w:szCs w:val="24"/>
        </w:rPr>
        <w:t>by all customers, the costs should be collected through the Economic Development Rider.</w:t>
      </w:r>
      <w:r w:rsidR="00130F92">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99"/>
      </w:r>
      <w:r w:rsidR="00D17899" w:rsidRPr="00EA2048">
        <w:rPr>
          <w:rFonts w:ascii="Times New Roman" w:hAnsi="Times New Roman" w:cs="Times New Roman"/>
          <w:sz w:val="24"/>
          <w:szCs w:val="24"/>
        </w:rPr>
        <w:t xml:space="preserve"> </w:t>
      </w:r>
      <w:r>
        <w:rPr>
          <w:rFonts w:ascii="Times New Roman" w:hAnsi="Times New Roman" w:cs="Times New Roman"/>
          <w:sz w:val="24"/>
          <w:szCs w:val="24"/>
        </w:rPr>
        <w:t xml:space="preserve">  </w:t>
      </w:r>
      <w:r w:rsidR="00D66BA2">
        <w:rPr>
          <w:rFonts w:ascii="Times New Roman" w:hAnsi="Times New Roman" w:cs="Times New Roman"/>
          <w:sz w:val="24"/>
          <w:szCs w:val="24"/>
        </w:rPr>
        <w:t xml:space="preserve">Far from being </w:t>
      </w:r>
      <w:r w:rsidR="00130F92">
        <w:rPr>
          <w:rFonts w:ascii="Times New Roman" w:hAnsi="Times New Roman" w:cs="Times New Roman"/>
          <w:sz w:val="24"/>
          <w:szCs w:val="24"/>
        </w:rPr>
        <w:t>“</w:t>
      </w:r>
      <w:r w:rsidR="00D66BA2">
        <w:rPr>
          <w:rFonts w:ascii="Times New Roman" w:hAnsi="Times New Roman" w:cs="Times New Roman"/>
          <w:sz w:val="24"/>
          <w:szCs w:val="24"/>
        </w:rPr>
        <w:t>disingenuous,</w:t>
      </w:r>
      <w:r w:rsidR="00130F92">
        <w:rPr>
          <w:rFonts w:ascii="Times New Roman" w:hAnsi="Times New Roman" w:cs="Times New Roman"/>
          <w:sz w:val="24"/>
          <w:szCs w:val="24"/>
        </w:rPr>
        <w:t>”</w:t>
      </w:r>
      <w:r w:rsidR="00D66BA2">
        <w:rPr>
          <w:rFonts w:ascii="Times New Roman" w:hAnsi="Times New Roman" w:cs="Times New Roman"/>
          <w:sz w:val="24"/>
          <w:szCs w:val="24"/>
        </w:rPr>
        <w:t xml:space="preserve"> the discussion between OCC Witness Fortney and AEP Ohio buttresses OCC Witness Fortney</w:t>
      </w:r>
      <w:r w:rsidR="00130F92">
        <w:rPr>
          <w:rFonts w:ascii="Times New Roman" w:hAnsi="Times New Roman" w:cs="Times New Roman"/>
          <w:sz w:val="24"/>
          <w:szCs w:val="24"/>
        </w:rPr>
        <w:t>’</w:t>
      </w:r>
      <w:r w:rsidR="00D66BA2">
        <w:rPr>
          <w:rFonts w:ascii="Times New Roman" w:hAnsi="Times New Roman" w:cs="Times New Roman"/>
          <w:sz w:val="24"/>
          <w:szCs w:val="24"/>
        </w:rPr>
        <w:t>s point</w:t>
      </w:r>
      <w:r w:rsidR="00D17899" w:rsidRPr="00EA2048">
        <w:rPr>
          <w:rFonts w:ascii="Times New Roman" w:hAnsi="Times New Roman" w:cs="Times New Roman"/>
          <w:sz w:val="24"/>
          <w:szCs w:val="24"/>
        </w:rPr>
        <w:t xml:space="preserve">.  </w:t>
      </w:r>
    </w:p>
    <w:p w:rsidR="00424363" w:rsidRPr="00EA2048" w:rsidRDefault="00D17899" w:rsidP="0009198D">
      <w:pPr>
        <w:spacing w:after="0" w:line="480" w:lineRule="auto"/>
        <w:ind w:firstLine="720"/>
        <w:rPr>
          <w:rFonts w:ascii="Times New Roman" w:hAnsi="Times New Roman" w:cs="Times New Roman"/>
          <w:sz w:val="24"/>
          <w:szCs w:val="24"/>
        </w:rPr>
      </w:pPr>
      <w:r w:rsidRPr="00EA2048">
        <w:rPr>
          <w:rFonts w:ascii="Times New Roman" w:hAnsi="Times New Roman" w:cs="Times New Roman"/>
          <w:sz w:val="24"/>
          <w:szCs w:val="24"/>
        </w:rPr>
        <w:t xml:space="preserve">The </w:t>
      </w:r>
      <w:r w:rsidR="00D66BA2">
        <w:rPr>
          <w:rFonts w:ascii="Times New Roman" w:hAnsi="Times New Roman" w:cs="Times New Roman"/>
          <w:sz w:val="24"/>
          <w:szCs w:val="24"/>
        </w:rPr>
        <w:t>S</w:t>
      </w:r>
      <w:r w:rsidRPr="00EA2048">
        <w:rPr>
          <w:rFonts w:ascii="Times New Roman" w:hAnsi="Times New Roman" w:cs="Times New Roman"/>
          <w:sz w:val="24"/>
          <w:szCs w:val="24"/>
        </w:rPr>
        <w:t xml:space="preserve">ignatory </w:t>
      </w:r>
      <w:r w:rsidR="00D66BA2">
        <w:rPr>
          <w:rFonts w:ascii="Times New Roman" w:hAnsi="Times New Roman" w:cs="Times New Roman"/>
          <w:sz w:val="24"/>
          <w:szCs w:val="24"/>
        </w:rPr>
        <w:t>P</w:t>
      </w:r>
      <w:r w:rsidRPr="00EA2048">
        <w:rPr>
          <w:rFonts w:ascii="Times New Roman" w:hAnsi="Times New Roman" w:cs="Times New Roman"/>
          <w:sz w:val="24"/>
          <w:szCs w:val="24"/>
        </w:rPr>
        <w:t xml:space="preserve">arties </w:t>
      </w:r>
      <w:r w:rsidR="001D5986">
        <w:rPr>
          <w:rFonts w:ascii="Times New Roman" w:hAnsi="Times New Roman" w:cs="Times New Roman"/>
          <w:sz w:val="24"/>
          <w:szCs w:val="24"/>
        </w:rPr>
        <w:t>are attempting to</w:t>
      </w:r>
      <w:r w:rsidRPr="00EA2048">
        <w:rPr>
          <w:rFonts w:ascii="Times New Roman" w:hAnsi="Times New Roman" w:cs="Times New Roman"/>
          <w:sz w:val="24"/>
          <w:szCs w:val="24"/>
        </w:rPr>
        <w:t xml:space="preserve"> arbitrarily and unreasonably transfer costs from the appropriate </w:t>
      </w:r>
      <w:r w:rsidR="00D66BA2">
        <w:rPr>
          <w:rFonts w:ascii="Times New Roman" w:hAnsi="Times New Roman" w:cs="Times New Roman"/>
          <w:sz w:val="24"/>
          <w:szCs w:val="24"/>
        </w:rPr>
        <w:t>PUCO</w:t>
      </w:r>
      <w:r w:rsidRPr="00EA2048">
        <w:rPr>
          <w:rFonts w:ascii="Times New Roman" w:hAnsi="Times New Roman" w:cs="Times New Roman"/>
          <w:sz w:val="24"/>
          <w:szCs w:val="24"/>
        </w:rPr>
        <w:t>-approved mechanism (the EE/PDR rider)</w:t>
      </w:r>
      <w:r w:rsidR="007B32C7" w:rsidRPr="00EA2048">
        <w:rPr>
          <w:rFonts w:ascii="Times New Roman" w:hAnsi="Times New Roman" w:cs="Times New Roman"/>
          <w:sz w:val="24"/>
          <w:szCs w:val="24"/>
        </w:rPr>
        <w:t xml:space="preserve"> to another mechanism </w:t>
      </w:r>
      <w:r w:rsidR="00D66BA2">
        <w:rPr>
          <w:rFonts w:ascii="Times New Roman" w:hAnsi="Times New Roman" w:cs="Times New Roman"/>
          <w:sz w:val="24"/>
          <w:szCs w:val="24"/>
        </w:rPr>
        <w:t>that</w:t>
      </w:r>
      <w:r w:rsidR="007B32C7" w:rsidRPr="00EA2048">
        <w:rPr>
          <w:rFonts w:ascii="Times New Roman" w:hAnsi="Times New Roman" w:cs="Times New Roman"/>
          <w:sz w:val="24"/>
          <w:szCs w:val="24"/>
        </w:rPr>
        <w:t xml:space="preserve"> the </w:t>
      </w:r>
      <w:r w:rsidR="00D66BA2">
        <w:rPr>
          <w:rFonts w:ascii="Times New Roman" w:hAnsi="Times New Roman" w:cs="Times New Roman"/>
          <w:sz w:val="24"/>
          <w:szCs w:val="24"/>
        </w:rPr>
        <w:t>PUCO</w:t>
      </w:r>
      <w:r w:rsidR="007B32C7" w:rsidRPr="00EA2048">
        <w:rPr>
          <w:rFonts w:ascii="Times New Roman" w:hAnsi="Times New Roman" w:cs="Times New Roman"/>
          <w:sz w:val="24"/>
          <w:szCs w:val="24"/>
        </w:rPr>
        <w:t xml:space="preserve"> approved for an entirely different purpose.</w:t>
      </w:r>
      <w:r w:rsidR="00E332AB">
        <w:rPr>
          <w:rStyle w:val="FootnoteReference"/>
          <w:rFonts w:ascii="Times New Roman" w:hAnsi="Times New Roman" w:cs="Times New Roman"/>
          <w:sz w:val="24"/>
          <w:szCs w:val="24"/>
        </w:rPr>
        <w:footnoteReference w:id="100"/>
      </w:r>
      <w:r w:rsidR="007B32C7" w:rsidRPr="00EA2048">
        <w:rPr>
          <w:rFonts w:ascii="Times New Roman" w:hAnsi="Times New Roman" w:cs="Times New Roman"/>
          <w:sz w:val="24"/>
          <w:szCs w:val="24"/>
        </w:rPr>
        <w:t xml:space="preserve">  </w:t>
      </w:r>
      <w:r w:rsidR="00D66BA2">
        <w:rPr>
          <w:rFonts w:ascii="Times New Roman" w:hAnsi="Times New Roman" w:cs="Times New Roman"/>
          <w:sz w:val="24"/>
          <w:szCs w:val="24"/>
        </w:rPr>
        <w:t xml:space="preserve">As the PUCO </w:t>
      </w:r>
      <w:r w:rsidR="002F22B4">
        <w:rPr>
          <w:rFonts w:ascii="Times New Roman" w:hAnsi="Times New Roman" w:cs="Times New Roman"/>
          <w:sz w:val="24"/>
          <w:szCs w:val="24"/>
        </w:rPr>
        <w:t>reiterated</w:t>
      </w:r>
      <w:r w:rsidR="00D66BA2">
        <w:rPr>
          <w:rFonts w:ascii="Times New Roman" w:hAnsi="Times New Roman" w:cs="Times New Roman"/>
          <w:sz w:val="24"/>
          <w:szCs w:val="24"/>
        </w:rPr>
        <w:t xml:space="preserve"> </w:t>
      </w:r>
      <w:r w:rsidR="00AC6C94" w:rsidRPr="00EA2048">
        <w:rPr>
          <w:rFonts w:ascii="Times New Roman" w:hAnsi="Times New Roman" w:cs="Times New Roman"/>
          <w:sz w:val="24"/>
          <w:szCs w:val="24"/>
        </w:rPr>
        <w:t xml:space="preserve">in its Second Order </w:t>
      </w:r>
      <w:r w:rsidR="008F49BA">
        <w:rPr>
          <w:rFonts w:ascii="Times New Roman" w:hAnsi="Times New Roman" w:cs="Times New Roman"/>
          <w:sz w:val="24"/>
          <w:szCs w:val="24"/>
        </w:rPr>
        <w:t>o</w:t>
      </w:r>
      <w:r w:rsidR="00AC6C94" w:rsidRPr="00EA2048">
        <w:rPr>
          <w:rFonts w:ascii="Times New Roman" w:hAnsi="Times New Roman" w:cs="Times New Roman"/>
          <w:sz w:val="24"/>
          <w:szCs w:val="24"/>
        </w:rPr>
        <w:t>n Rehearing</w:t>
      </w:r>
      <w:r w:rsidR="001D5986">
        <w:rPr>
          <w:rFonts w:ascii="Times New Roman" w:hAnsi="Times New Roman" w:cs="Times New Roman"/>
          <w:sz w:val="24"/>
          <w:szCs w:val="24"/>
        </w:rPr>
        <w:t xml:space="preserve"> in ESP III</w:t>
      </w:r>
      <w:r w:rsidR="002F22B4">
        <w:rPr>
          <w:rFonts w:ascii="Times New Roman" w:hAnsi="Times New Roman" w:cs="Times New Roman"/>
          <w:sz w:val="24"/>
          <w:szCs w:val="24"/>
        </w:rPr>
        <w:t>,</w:t>
      </w:r>
      <w:r w:rsidR="00AC6C94" w:rsidRPr="00EA2048">
        <w:rPr>
          <w:rFonts w:ascii="Times New Roman" w:hAnsi="Times New Roman" w:cs="Times New Roman"/>
          <w:sz w:val="24"/>
          <w:szCs w:val="24"/>
        </w:rPr>
        <w:t xml:space="preserve"> </w:t>
      </w:r>
      <w:r w:rsidR="00130F92">
        <w:rPr>
          <w:rFonts w:ascii="Times New Roman" w:hAnsi="Times New Roman" w:cs="Times New Roman"/>
          <w:sz w:val="24"/>
          <w:szCs w:val="24"/>
        </w:rPr>
        <w:t>“</w:t>
      </w:r>
      <w:r w:rsidR="002F22B4">
        <w:rPr>
          <w:rFonts w:ascii="Times New Roman" w:hAnsi="Times New Roman" w:cs="Times New Roman"/>
          <w:sz w:val="24"/>
          <w:szCs w:val="24"/>
        </w:rPr>
        <w:t>the IRP-D reduces AEP Ohio</w:t>
      </w:r>
      <w:r w:rsidR="00130F92">
        <w:rPr>
          <w:rFonts w:ascii="Times New Roman" w:hAnsi="Times New Roman" w:cs="Times New Roman"/>
          <w:sz w:val="24"/>
          <w:szCs w:val="24"/>
        </w:rPr>
        <w:t>’</w:t>
      </w:r>
      <w:r w:rsidR="002F22B4">
        <w:rPr>
          <w:rFonts w:ascii="Times New Roman" w:hAnsi="Times New Roman" w:cs="Times New Roman"/>
          <w:sz w:val="24"/>
          <w:szCs w:val="24"/>
        </w:rPr>
        <w:t>s peak demand and encourages energy efficiency and, therefore, it is appropriate that the costs of the program are recovered through the EE/PDR rider.</w:t>
      </w:r>
      <w:r w:rsidR="00130F92">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101"/>
      </w:r>
      <w:r w:rsidR="002F22B4">
        <w:rPr>
          <w:rFonts w:ascii="Times New Roman" w:hAnsi="Times New Roman" w:cs="Times New Roman"/>
          <w:sz w:val="24"/>
          <w:szCs w:val="24"/>
        </w:rPr>
        <w:t xml:space="preserve">  </w:t>
      </w:r>
      <w:r w:rsidR="00AC6C94" w:rsidRPr="00EA2048">
        <w:rPr>
          <w:rFonts w:ascii="Times New Roman" w:hAnsi="Times New Roman" w:cs="Times New Roman"/>
          <w:sz w:val="24"/>
          <w:szCs w:val="24"/>
        </w:rPr>
        <w:t xml:space="preserve">It </w:t>
      </w:r>
      <w:r w:rsidR="002F22B4">
        <w:rPr>
          <w:rFonts w:ascii="Times New Roman" w:hAnsi="Times New Roman" w:cs="Times New Roman"/>
          <w:sz w:val="24"/>
          <w:szCs w:val="24"/>
        </w:rPr>
        <w:t xml:space="preserve">thus </w:t>
      </w:r>
      <w:r w:rsidR="00130F92">
        <w:rPr>
          <w:rFonts w:ascii="Times New Roman" w:hAnsi="Times New Roman" w:cs="Times New Roman"/>
          <w:sz w:val="24"/>
          <w:szCs w:val="24"/>
        </w:rPr>
        <w:t>“</w:t>
      </w:r>
      <w:r w:rsidR="00AC6C94" w:rsidRPr="00EA2048">
        <w:rPr>
          <w:rFonts w:ascii="Times New Roman" w:hAnsi="Times New Roman" w:cs="Times New Roman"/>
          <w:sz w:val="24"/>
          <w:szCs w:val="24"/>
        </w:rPr>
        <w:t>affirm</w:t>
      </w:r>
      <w:r w:rsidR="002F22B4">
        <w:rPr>
          <w:rFonts w:ascii="Times New Roman" w:hAnsi="Times New Roman" w:cs="Times New Roman"/>
          <w:sz w:val="24"/>
          <w:szCs w:val="24"/>
        </w:rPr>
        <w:t xml:space="preserve">[ed its] </w:t>
      </w:r>
      <w:r w:rsidR="00AC6C94" w:rsidRPr="00EA2048">
        <w:rPr>
          <w:rFonts w:ascii="Times New Roman" w:hAnsi="Times New Roman" w:cs="Times New Roman"/>
          <w:sz w:val="24"/>
          <w:szCs w:val="24"/>
        </w:rPr>
        <w:t>finding that the costs of the IRP-D should be recovered from the EE/PDR rider, until otherwise ordered by the Commission.</w:t>
      </w:r>
      <w:r w:rsidR="00130F92">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102"/>
      </w:r>
      <w:r w:rsidR="00AC6C94" w:rsidRPr="00EA2048">
        <w:rPr>
          <w:rFonts w:ascii="Times New Roman" w:hAnsi="Times New Roman" w:cs="Times New Roman"/>
          <w:sz w:val="24"/>
          <w:szCs w:val="24"/>
        </w:rPr>
        <w:t xml:space="preserve"> </w:t>
      </w:r>
      <w:r w:rsidR="00312F10" w:rsidRPr="00EA2048">
        <w:rPr>
          <w:rFonts w:ascii="Times New Roman" w:hAnsi="Times New Roman" w:cs="Times New Roman"/>
          <w:sz w:val="24"/>
          <w:szCs w:val="24"/>
        </w:rPr>
        <w:t xml:space="preserve"> </w:t>
      </w:r>
    </w:p>
    <w:p w:rsidR="00850281" w:rsidRDefault="002F22B4" w:rsidP="000919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850281" w:rsidRPr="00EA2048">
        <w:rPr>
          <w:rFonts w:ascii="Times New Roman" w:hAnsi="Times New Roman" w:cs="Times New Roman"/>
          <w:sz w:val="24"/>
          <w:szCs w:val="24"/>
        </w:rPr>
        <w:t xml:space="preserve"> record re</w:t>
      </w:r>
      <w:r w:rsidR="00DD5710" w:rsidRPr="00EA2048">
        <w:rPr>
          <w:rFonts w:ascii="Times New Roman" w:hAnsi="Times New Roman" w:cs="Times New Roman"/>
          <w:sz w:val="24"/>
          <w:szCs w:val="24"/>
        </w:rPr>
        <w:t>f</w:t>
      </w:r>
      <w:r w:rsidR="00850281" w:rsidRPr="00EA2048">
        <w:rPr>
          <w:rFonts w:ascii="Times New Roman" w:hAnsi="Times New Roman" w:cs="Times New Roman"/>
          <w:sz w:val="24"/>
          <w:szCs w:val="24"/>
        </w:rPr>
        <w:t>lects t</w:t>
      </w:r>
      <w:r w:rsidR="00DD5710" w:rsidRPr="00EA2048">
        <w:rPr>
          <w:rFonts w:ascii="Times New Roman" w:hAnsi="Times New Roman" w:cs="Times New Roman"/>
          <w:sz w:val="24"/>
          <w:szCs w:val="24"/>
        </w:rPr>
        <w:t>h</w:t>
      </w:r>
      <w:r w:rsidR="00850281" w:rsidRPr="00EA2048">
        <w:rPr>
          <w:rFonts w:ascii="Times New Roman" w:hAnsi="Times New Roman" w:cs="Times New Roman"/>
          <w:sz w:val="24"/>
          <w:szCs w:val="24"/>
        </w:rPr>
        <w:t xml:space="preserve">at </w:t>
      </w:r>
      <w:r w:rsidR="009057FB">
        <w:rPr>
          <w:rFonts w:ascii="Times New Roman" w:hAnsi="Times New Roman" w:cs="Times New Roman"/>
          <w:sz w:val="24"/>
          <w:szCs w:val="24"/>
        </w:rPr>
        <w:t xml:space="preserve">the </w:t>
      </w:r>
      <w:r w:rsidR="00C04934">
        <w:rPr>
          <w:rFonts w:ascii="Times New Roman" w:hAnsi="Times New Roman" w:cs="Times New Roman"/>
          <w:sz w:val="24"/>
          <w:szCs w:val="24"/>
        </w:rPr>
        <w:t>Joint Stipulation</w:t>
      </w:r>
      <w:r w:rsidR="00130F92">
        <w:rPr>
          <w:rFonts w:ascii="Times New Roman" w:hAnsi="Times New Roman" w:cs="Times New Roman"/>
          <w:sz w:val="24"/>
          <w:szCs w:val="24"/>
        </w:rPr>
        <w:t>’</w:t>
      </w:r>
      <w:r w:rsidR="00C04934">
        <w:rPr>
          <w:rFonts w:ascii="Times New Roman" w:hAnsi="Times New Roman" w:cs="Times New Roman"/>
          <w:sz w:val="24"/>
          <w:szCs w:val="24"/>
        </w:rPr>
        <w:t xml:space="preserve">s </w:t>
      </w:r>
      <w:r w:rsidR="00850281" w:rsidRPr="00EA2048">
        <w:rPr>
          <w:rFonts w:ascii="Times New Roman" w:hAnsi="Times New Roman" w:cs="Times New Roman"/>
          <w:sz w:val="24"/>
          <w:szCs w:val="24"/>
        </w:rPr>
        <w:t xml:space="preserve">transfer </w:t>
      </w:r>
      <w:r w:rsidR="00C04934">
        <w:rPr>
          <w:rFonts w:ascii="Times New Roman" w:hAnsi="Times New Roman" w:cs="Times New Roman"/>
          <w:sz w:val="24"/>
          <w:szCs w:val="24"/>
        </w:rPr>
        <w:t xml:space="preserve">of </w:t>
      </w:r>
      <w:r w:rsidR="00850281" w:rsidRPr="00EA2048">
        <w:rPr>
          <w:rFonts w:ascii="Times New Roman" w:hAnsi="Times New Roman" w:cs="Times New Roman"/>
          <w:sz w:val="24"/>
          <w:szCs w:val="24"/>
        </w:rPr>
        <w:t xml:space="preserve">costs from the EE/PDR rider to the EDR </w:t>
      </w:r>
      <w:r w:rsidR="00C04934">
        <w:rPr>
          <w:rFonts w:ascii="Times New Roman" w:hAnsi="Times New Roman" w:cs="Times New Roman"/>
          <w:sz w:val="24"/>
          <w:szCs w:val="24"/>
        </w:rPr>
        <w:t>violates previous PUCO</w:t>
      </w:r>
      <w:r w:rsidR="00850281" w:rsidRPr="00EA2048">
        <w:rPr>
          <w:rFonts w:ascii="Times New Roman" w:hAnsi="Times New Roman" w:cs="Times New Roman"/>
          <w:sz w:val="24"/>
          <w:szCs w:val="24"/>
        </w:rPr>
        <w:t xml:space="preserve"> orders</w:t>
      </w:r>
      <w:r w:rsidR="00706839">
        <w:rPr>
          <w:rFonts w:ascii="Times New Roman" w:hAnsi="Times New Roman" w:cs="Times New Roman"/>
          <w:sz w:val="24"/>
          <w:szCs w:val="24"/>
        </w:rPr>
        <w:t>.  That violation occurs</w:t>
      </w:r>
      <w:r w:rsidR="00850281" w:rsidRPr="00EA2048">
        <w:rPr>
          <w:rFonts w:ascii="Times New Roman" w:hAnsi="Times New Roman" w:cs="Times New Roman"/>
          <w:sz w:val="24"/>
          <w:szCs w:val="24"/>
        </w:rPr>
        <w:t xml:space="preserve"> </w:t>
      </w:r>
      <w:r w:rsidR="00C04934">
        <w:rPr>
          <w:rFonts w:ascii="Times New Roman" w:hAnsi="Times New Roman" w:cs="Times New Roman"/>
          <w:sz w:val="24"/>
          <w:szCs w:val="24"/>
        </w:rPr>
        <w:t>by</w:t>
      </w:r>
      <w:r w:rsidR="00850281" w:rsidRPr="00EA2048">
        <w:rPr>
          <w:rFonts w:ascii="Times New Roman" w:hAnsi="Times New Roman" w:cs="Times New Roman"/>
          <w:sz w:val="24"/>
          <w:szCs w:val="24"/>
        </w:rPr>
        <w:t xml:space="preserve"> arbitrarily </w:t>
      </w:r>
      <w:r w:rsidR="008F49BA">
        <w:rPr>
          <w:rFonts w:ascii="Times New Roman" w:hAnsi="Times New Roman" w:cs="Times New Roman"/>
          <w:sz w:val="24"/>
          <w:szCs w:val="24"/>
        </w:rPr>
        <w:t xml:space="preserve">and unfairly </w:t>
      </w:r>
      <w:r w:rsidR="00C04934">
        <w:rPr>
          <w:rFonts w:ascii="Times New Roman" w:hAnsi="Times New Roman" w:cs="Times New Roman"/>
          <w:sz w:val="24"/>
          <w:szCs w:val="24"/>
        </w:rPr>
        <w:t xml:space="preserve">transferring </w:t>
      </w:r>
      <w:r w:rsidR="00DD5710" w:rsidRPr="00EA2048">
        <w:rPr>
          <w:rFonts w:ascii="Times New Roman" w:hAnsi="Times New Roman" w:cs="Times New Roman"/>
          <w:sz w:val="24"/>
          <w:szCs w:val="24"/>
        </w:rPr>
        <w:t>a large portion of those costs to AEP Ohio</w:t>
      </w:r>
      <w:r w:rsidR="00130F92">
        <w:rPr>
          <w:rFonts w:ascii="Times New Roman" w:hAnsi="Times New Roman" w:cs="Times New Roman"/>
          <w:sz w:val="24"/>
          <w:szCs w:val="24"/>
        </w:rPr>
        <w:t>’</w:t>
      </w:r>
      <w:r w:rsidR="00C04934">
        <w:rPr>
          <w:rFonts w:ascii="Times New Roman" w:hAnsi="Times New Roman" w:cs="Times New Roman"/>
          <w:sz w:val="24"/>
          <w:szCs w:val="24"/>
        </w:rPr>
        <w:t>s residential customers</w:t>
      </w:r>
      <w:r w:rsidR="00DD5710" w:rsidRPr="00EA2048">
        <w:rPr>
          <w:rFonts w:ascii="Times New Roman" w:hAnsi="Times New Roman" w:cs="Times New Roman"/>
          <w:sz w:val="24"/>
          <w:szCs w:val="24"/>
        </w:rPr>
        <w:t>.</w:t>
      </w:r>
      <w:r w:rsidR="00C04934">
        <w:rPr>
          <w:rFonts w:ascii="Times New Roman" w:hAnsi="Times New Roman" w:cs="Times New Roman"/>
          <w:sz w:val="24"/>
          <w:szCs w:val="24"/>
        </w:rPr>
        <w:t xml:space="preserve">  OCC Witness Fortney</w:t>
      </w:r>
      <w:r w:rsidR="00130F92">
        <w:rPr>
          <w:rFonts w:ascii="Times New Roman" w:hAnsi="Times New Roman" w:cs="Times New Roman"/>
          <w:sz w:val="24"/>
          <w:szCs w:val="24"/>
        </w:rPr>
        <w:t>’</w:t>
      </w:r>
      <w:r w:rsidR="00C04934">
        <w:rPr>
          <w:rFonts w:ascii="Times New Roman" w:hAnsi="Times New Roman" w:cs="Times New Roman"/>
          <w:sz w:val="24"/>
          <w:szCs w:val="24"/>
        </w:rPr>
        <w:t>s testimony affirms this.  OCC</w:t>
      </w:r>
      <w:r w:rsidR="00130F92">
        <w:rPr>
          <w:rFonts w:ascii="Times New Roman" w:hAnsi="Times New Roman" w:cs="Times New Roman"/>
          <w:sz w:val="24"/>
          <w:szCs w:val="24"/>
        </w:rPr>
        <w:t>’</w:t>
      </w:r>
      <w:r w:rsidR="00C04934">
        <w:rPr>
          <w:rFonts w:ascii="Times New Roman" w:hAnsi="Times New Roman" w:cs="Times New Roman"/>
          <w:sz w:val="24"/>
          <w:szCs w:val="24"/>
        </w:rPr>
        <w:t xml:space="preserve">s position is </w:t>
      </w:r>
      <w:r w:rsidR="00706839">
        <w:rPr>
          <w:rFonts w:ascii="Times New Roman" w:hAnsi="Times New Roman" w:cs="Times New Roman"/>
          <w:sz w:val="24"/>
          <w:szCs w:val="24"/>
        </w:rPr>
        <w:t>well made</w:t>
      </w:r>
      <w:r w:rsidR="00C04934">
        <w:rPr>
          <w:rFonts w:ascii="Times New Roman" w:hAnsi="Times New Roman" w:cs="Times New Roman"/>
          <w:sz w:val="24"/>
          <w:szCs w:val="24"/>
        </w:rPr>
        <w:t xml:space="preserve">.  </w:t>
      </w:r>
    </w:p>
    <w:p w:rsidR="00367C26" w:rsidRPr="00E66D9C" w:rsidRDefault="00E66D9C" w:rsidP="00E66D9C">
      <w:pPr>
        <w:pStyle w:val="Heading3"/>
      </w:pPr>
      <w:bookmarkStart w:id="30" w:name="_Toc442712224"/>
      <w:bookmarkStart w:id="31" w:name="_Toc442713370"/>
      <w:r>
        <w:t>1.</w:t>
      </w:r>
      <w:r>
        <w:tab/>
      </w:r>
      <w:r w:rsidR="00367C26" w:rsidRPr="00E66D9C">
        <w:t>OCC Witness Fortney</w:t>
      </w:r>
      <w:r w:rsidR="00130F92">
        <w:t>’</w:t>
      </w:r>
      <w:r w:rsidR="00367C26" w:rsidRPr="00E66D9C">
        <w:t>s opinion about how the PPA Rider</w:t>
      </w:r>
      <w:r w:rsidR="00130F92">
        <w:t>’</w:t>
      </w:r>
      <w:r w:rsidR="00367C26" w:rsidRPr="00E66D9C">
        <w:t>s costs are allocated under the Joint Stipulation</w:t>
      </w:r>
      <w:r w:rsidR="00706839">
        <w:t xml:space="preserve"> </w:t>
      </w:r>
      <w:r w:rsidR="00384E68">
        <w:t>importantly protects consumers</w:t>
      </w:r>
      <w:r w:rsidR="00367C26" w:rsidRPr="00E66D9C">
        <w:t>.</w:t>
      </w:r>
      <w:bookmarkEnd w:id="30"/>
      <w:bookmarkEnd w:id="31"/>
    </w:p>
    <w:p w:rsidR="008E6E51" w:rsidRDefault="00367C26" w:rsidP="0009198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AEP Ohio asserts that OCC Witness Fortney offers nothing more than </w:t>
      </w:r>
      <w:r w:rsidR="00130F92">
        <w:rPr>
          <w:rFonts w:ascii="Times New Roman" w:hAnsi="Times New Roman" w:cs="Times New Roman"/>
          <w:sz w:val="24"/>
          <w:szCs w:val="24"/>
        </w:rPr>
        <w:t>“</w:t>
      </w:r>
      <w:r>
        <w:rPr>
          <w:rFonts w:ascii="Times New Roman" w:hAnsi="Times New Roman" w:cs="Times New Roman"/>
          <w:sz w:val="24"/>
          <w:szCs w:val="24"/>
        </w:rPr>
        <w:t>unsupported opinions</w:t>
      </w:r>
      <w:r w:rsidR="00130F92">
        <w:rPr>
          <w:rFonts w:ascii="Times New Roman" w:hAnsi="Times New Roman" w:cs="Times New Roman"/>
          <w:sz w:val="24"/>
          <w:szCs w:val="24"/>
        </w:rPr>
        <w:t>”</w:t>
      </w:r>
      <w:r>
        <w:rPr>
          <w:rFonts w:ascii="Times New Roman" w:hAnsi="Times New Roman" w:cs="Times New Roman"/>
          <w:sz w:val="24"/>
          <w:szCs w:val="24"/>
        </w:rPr>
        <w:t xml:space="preserve"> about the allocation of the PPA Rider</w:t>
      </w:r>
      <w:r w:rsidR="00130F92">
        <w:rPr>
          <w:rFonts w:ascii="Times New Roman" w:hAnsi="Times New Roman" w:cs="Times New Roman"/>
          <w:sz w:val="24"/>
          <w:szCs w:val="24"/>
        </w:rPr>
        <w:t>’</w:t>
      </w:r>
      <w:r>
        <w:rPr>
          <w:rFonts w:ascii="Times New Roman" w:hAnsi="Times New Roman" w:cs="Times New Roman"/>
          <w:sz w:val="24"/>
          <w:szCs w:val="24"/>
        </w:rPr>
        <w:t>s costs.</w:t>
      </w:r>
      <w:r w:rsidR="00E332AB">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w:t>
      </w:r>
      <w:r w:rsidR="008E6E51">
        <w:rPr>
          <w:rFonts w:ascii="Times New Roman" w:hAnsi="Times New Roman" w:cs="Times New Roman"/>
          <w:sz w:val="24"/>
          <w:szCs w:val="24"/>
        </w:rPr>
        <w:t xml:space="preserve">OCC Witness Fortney </w:t>
      </w:r>
      <w:r w:rsidR="00706839">
        <w:rPr>
          <w:rFonts w:ascii="Times New Roman" w:hAnsi="Times New Roman" w:cs="Times New Roman"/>
          <w:sz w:val="24"/>
          <w:szCs w:val="24"/>
        </w:rPr>
        <w:t>has 27 years of experience in Ohio regulation</w:t>
      </w:r>
      <w:r w:rsidR="008E6E51">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104"/>
      </w:r>
      <w:r w:rsidR="008E6E51">
        <w:rPr>
          <w:rFonts w:ascii="Times New Roman" w:hAnsi="Times New Roman" w:cs="Times New Roman"/>
          <w:sz w:val="24"/>
          <w:szCs w:val="24"/>
        </w:rPr>
        <w:t xml:space="preserve">  AEP Ohio</w:t>
      </w:r>
      <w:r w:rsidR="00706839">
        <w:rPr>
          <w:rFonts w:ascii="Times New Roman" w:hAnsi="Times New Roman" w:cs="Times New Roman"/>
          <w:sz w:val="24"/>
          <w:szCs w:val="24"/>
        </w:rPr>
        <w:t xml:space="preserve">’s </w:t>
      </w:r>
      <w:r w:rsidR="006816E9">
        <w:rPr>
          <w:rFonts w:ascii="Times New Roman" w:hAnsi="Times New Roman" w:cs="Times New Roman"/>
          <w:sz w:val="24"/>
          <w:szCs w:val="24"/>
        </w:rPr>
        <w:t>response</w:t>
      </w:r>
      <w:r w:rsidR="00706839">
        <w:rPr>
          <w:rFonts w:ascii="Times New Roman" w:hAnsi="Times New Roman" w:cs="Times New Roman"/>
          <w:sz w:val="24"/>
          <w:szCs w:val="24"/>
        </w:rPr>
        <w:t xml:space="preserve"> </w:t>
      </w:r>
      <w:r w:rsidR="006816E9">
        <w:rPr>
          <w:rFonts w:ascii="Times New Roman" w:hAnsi="Times New Roman" w:cs="Times New Roman"/>
          <w:sz w:val="24"/>
          <w:szCs w:val="24"/>
        </w:rPr>
        <w:t>to</w:t>
      </w:r>
      <w:r w:rsidR="00706839">
        <w:rPr>
          <w:rFonts w:ascii="Times New Roman" w:hAnsi="Times New Roman" w:cs="Times New Roman"/>
          <w:sz w:val="24"/>
          <w:szCs w:val="24"/>
        </w:rPr>
        <w:t xml:space="preserve"> </w:t>
      </w:r>
      <w:r w:rsidR="00931581">
        <w:rPr>
          <w:rFonts w:ascii="Times New Roman" w:hAnsi="Times New Roman" w:cs="Times New Roman"/>
          <w:sz w:val="24"/>
          <w:szCs w:val="24"/>
        </w:rPr>
        <w:t>OCC Witness</w:t>
      </w:r>
      <w:r w:rsidR="00706839">
        <w:rPr>
          <w:rFonts w:ascii="Times New Roman" w:hAnsi="Times New Roman" w:cs="Times New Roman"/>
          <w:sz w:val="24"/>
          <w:szCs w:val="24"/>
        </w:rPr>
        <w:t xml:space="preserve"> Fortney’s opinion </w:t>
      </w:r>
      <w:r w:rsidR="006816E9">
        <w:rPr>
          <w:rFonts w:ascii="Times New Roman" w:hAnsi="Times New Roman" w:cs="Times New Roman"/>
          <w:sz w:val="24"/>
          <w:szCs w:val="24"/>
        </w:rPr>
        <w:t>is merely that it is</w:t>
      </w:r>
      <w:r w:rsidR="008E6E51">
        <w:rPr>
          <w:rFonts w:ascii="Times New Roman" w:hAnsi="Times New Roman" w:cs="Times New Roman"/>
          <w:sz w:val="24"/>
          <w:szCs w:val="24"/>
        </w:rPr>
        <w:t xml:space="preserve"> </w:t>
      </w:r>
      <w:r w:rsidR="00130F92">
        <w:rPr>
          <w:rFonts w:ascii="Times New Roman" w:hAnsi="Times New Roman" w:cs="Times New Roman"/>
          <w:sz w:val="24"/>
          <w:szCs w:val="24"/>
        </w:rPr>
        <w:t>“</w:t>
      </w:r>
      <w:r w:rsidR="008E6E51">
        <w:rPr>
          <w:rFonts w:ascii="Times New Roman" w:hAnsi="Times New Roman" w:cs="Times New Roman"/>
          <w:sz w:val="24"/>
          <w:szCs w:val="24"/>
        </w:rPr>
        <w:t>unsupported</w:t>
      </w:r>
      <w:r w:rsidR="006816E9">
        <w:rPr>
          <w:rFonts w:ascii="Times New Roman" w:hAnsi="Times New Roman" w:cs="Times New Roman"/>
          <w:sz w:val="24"/>
          <w:szCs w:val="24"/>
        </w:rPr>
        <w:t>.</w:t>
      </w:r>
      <w:r w:rsidR="00130F92">
        <w:rPr>
          <w:rFonts w:ascii="Times New Roman" w:hAnsi="Times New Roman" w:cs="Times New Roman"/>
          <w:sz w:val="24"/>
          <w:szCs w:val="24"/>
        </w:rPr>
        <w:t>”</w:t>
      </w:r>
      <w:r w:rsidR="008E6E51">
        <w:rPr>
          <w:rFonts w:ascii="Times New Roman" w:hAnsi="Times New Roman" w:cs="Times New Roman"/>
          <w:sz w:val="24"/>
          <w:szCs w:val="24"/>
        </w:rPr>
        <w:t xml:space="preserve"> </w:t>
      </w:r>
      <w:r w:rsidR="006816E9">
        <w:rPr>
          <w:rFonts w:ascii="Times New Roman" w:hAnsi="Times New Roman" w:cs="Times New Roman"/>
          <w:sz w:val="24"/>
          <w:szCs w:val="24"/>
        </w:rPr>
        <w:t xml:space="preserve"> This undeveloped response </w:t>
      </w:r>
      <w:r w:rsidR="008E6E51">
        <w:rPr>
          <w:rFonts w:ascii="Times New Roman" w:hAnsi="Times New Roman" w:cs="Times New Roman"/>
          <w:sz w:val="24"/>
          <w:szCs w:val="24"/>
        </w:rPr>
        <w:t>underscores that AEP Ohio has no credible response to OCC Witness Fortney</w:t>
      </w:r>
      <w:r w:rsidR="00130F92">
        <w:rPr>
          <w:rFonts w:ascii="Times New Roman" w:hAnsi="Times New Roman" w:cs="Times New Roman"/>
          <w:sz w:val="24"/>
          <w:szCs w:val="24"/>
        </w:rPr>
        <w:t>’</w:t>
      </w:r>
      <w:r w:rsidR="008E6E51">
        <w:rPr>
          <w:rFonts w:ascii="Times New Roman" w:hAnsi="Times New Roman" w:cs="Times New Roman"/>
          <w:sz w:val="24"/>
          <w:szCs w:val="24"/>
        </w:rPr>
        <w:t>s testimony about the proposed allocation of the PPA Rider</w:t>
      </w:r>
      <w:r w:rsidR="00130F92">
        <w:rPr>
          <w:rFonts w:ascii="Times New Roman" w:hAnsi="Times New Roman" w:cs="Times New Roman"/>
          <w:sz w:val="24"/>
          <w:szCs w:val="24"/>
        </w:rPr>
        <w:t>’</w:t>
      </w:r>
      <w:r w:rsidR="008E6E51">
        <w:rPr>
          <w:rFonts w:ascii="Times New Roman" w:hAnsi="Times New Roman" w:cs="Times New Roman"/>
          <w:sz w:val="24"/>
          <w:szCs w:val="24"/>
        </w:rPr>
        <w:t>s costs under the Joint Stipulation.</w:t>
      </w:r>
    </w:p>
    <w:p w:rsidR="00E332AB" w:rsidRDefault="008E6E51" w:rsidP="0009198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31581">
        <w:rPr>
          <w:rFonts w:ascii="Times New Roman" w:hAnsi="Times New Roman" w:cs="Times New Roman"/>
          <w:sz w:val="24"/>
          <w:szCs w:val="24"/>
        </w:rPr>
        <w:t xml:space="preserve">AEP Ohio has no credible response to OCC Witness Fortney’s discussion regarding the allocation of the PPA Rider costs, either.  AEP Ohio asserts that </w:t>
      </w:r>
      <w:r>
        <w:rPr>
          <w:rFonts w:ascii="Times New Roman" w:hAnsi="Times New Roman" w:cs="Times New Roman"/>
          <w:sz w:val="24"/>
          <w:szCs w:val="24"/>
        </w:rPr>
        <w:t>OCC Witness Fortney</w:t>
      </w:r>
      <w:r w:rsidR="00130F92">
        <w:rPr>
          <w:rFonts w:ascii="Times New Roman" w:hAnsi="Times New Roman" w:cs="Times New Roman"/>
          <w:sz w:val="24"/>
          <w:szCs w:val="24"/>
        </w:rPr>
        <w:t>’</w:t>
      </w:r>
      <w:r>
        <w:rPr>
          <w:rFonts w:ascii="Times New Roman" w:hAnsi="Times New Roman" w:cs="Times New Roman"/>
          <w:sz w:val="24"/>
          <w:szCs w:val="24"/>
        </w:rPr>
        <w:t>s testimony should be disregarded because it lacks analysis of his recommendation</w:t>
      </w:r>
      <w:r w:rsidR="00130F92">
        <w:rPr>
          <w:rFonts w:ascii="Times New Roman" w:hAnsi="Times New Roman" w:cs="Times New Roman"/>
          <w:sz w:val="24"/>
          <w:szCs w:val="24"/>
        </w:rPr>
        <w:t>’</w:t>
      </w:r>
      <w:r>
        <w:rPr>
          <w:rFonts w:ascii="Times New Roman" w:hAnsi="Times New Roman" w:cs="Times New Roman"/>
          <w:sz w:val="24"/>
          <w:szCs w:val="24"/>
        </w:rPr>
        <w:t>s impact on customer bills.</w:t>
      </w:r>
      <w:r w:rsidR="00E332AB">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OCC Witness Fortney recommended during the evidentiary hearing on this matter that the PPA Rider</w:t>
      </w:r>
      <w:r w:rsidR="00130F92">
        <w:rPr>
          <w:rFonts w:ascii="Times New Roman" w:hAnsi="Times New Roman" w:cs="Times New Roman"/>
          <w:sz w:val="24"/>
          <w:szCs w:val="24"/>
        </w:rPr>
        <w:t>’</w:t>
      </w:r>
      <w:r>
        <w:rPr>
          <w:rFonts w:ascii="Times New Roman" w:hAnsi="Times New Roman" w:cs="Times New Roman"/>
          <w:sz w:val="24"/>
          <w:szCs w:val="24"/>
        </w:rPr>
        <w:t xml:space="preserve">s costs should be </w:t>
      </w:r>
      <w:r w:rsidR="006816E9">
        <w:rPr>
          <w:rFonts w:ascii="Times New Roman" w:hAnsi="Times New Roman" w:cs="Times New Roman"/>
          <w:sz w:val="24"/>
          <w:szCs w:val="24"/>
        </w:rPr>
        <w:t xml:space="preserve">based </w:t>
      </w:r>
      <w:r>
        <w:rPr>
          <w:rFonts w:ascii="Times New Roman" w:hAnsi="Times New Roman" w:cs="Times New Roman"/>
          <w:sz w:val="24"/>
          <w:szCs w:val="24"/>
        </w:rPr>
        <w:t>on an energy allocation.</w:t>
      </w:r>
      <w:r w:rsidR="00E332AB">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w:t>
      </w:r>
      <w:r w:rsidR="00673745">
        <w:rPr>
          <w:rFonts w:ascii="Times New Roman" w:hAnsi="Times New Roman" w:cs="Times New Roman"/>
          <w:sz w:val="24"/>
          <w:szCs w:val="24"/>
        </w:rPr>
        <w:t>Contrary to AEP Ohio</w:t>
      </w:r>
      <w:r w:rsidR="00130F92">
        <w:rPr>
          <w:rFonts w:ascii="Times New Roman" w:hAnsi="Times New Roman" w:cs="Times New Roman"/>
          <w:sz w:val="24"/>
          <w:szCs w:val="24"/>
        </w:rPr>
        <w:t>’</w:t>
      </w:r>
      <w:r w:rsidR="00673745">
        <w:rPr>
          <w:rFonts w:ascii="Times New Roman" w:hAnsi="Times New Roman" w:cs="Times New Roman"/>
          <w:sz w:val="24"/>
          <w:szCs w:val="24"/>
        </w:rPr>
        <w:t xml:space="preserve">s assertion, OCC Witness Fortney in his Direct Testimony specifically pointed out the impact of his recommendation on customer bills.  </w:t>
      </w:r>
      <w:r w:rsidR="00673745" w:rsidRPr="00E566F6">
        <w:rPr>
          <w:rFonts w:ascii="Times New Roman" w:hAnsi="Times New Roman" w:cs="Times New Roman"/>
          <w:sz w:val="24"/>
          <w:szCs w:val="24"/>
        </w:rPr>
        <w:t>The percentage that residential customers would pay based on an energy allocation would be much less than the straight demand allocation proposed in the Joint Stipulation.</w:t>
      </w:r>
      <w:r w:rsidR="00E332AB" w:rsidRPr="00E566F6">
        <w:rPr>
          <w:rStyle w:val="FootnoteReference"/>
          <w:rFonts w:ascii="Times New Roman" w:hAnsi="Times New Roman" w:cs="Times New Roman"/>
          <w:sz w:val="24"/>
          <w:szCs w:val="24"/>
        </w:rPr>
        <w:footnoteReference w:id="107"/>
      </w:r>
      <w:r w:rsidR="00673745" w:rsidRPr="00E566F6">
        <w:rPr>
          <w:rFonts w:ascii="Times New Roman" w:hAnsi="Times New Roman" w:cs="Times New Roman"/>
          <w:sz w:val="24"/>
          <w:szCs w:val="24"/>
        </w:rPr>
        <w:t xml:space="preserve">  </w:t>
      </w:r>
      <w:r w:rsidR="00673745">
        <w:rPr>
          <w:rFonts w:ascii="Times New Roman" w:hAnsi="Times New Roman" w:cs="Times New Roman"/>
          <w:sz w:val="24"/>
          <w:szCs w:val="24"/>
        </w:rPr>
        <w:t>The testimony to which AEP Ohio cites purportedly standing for the proposition that OCC Witness Fortney did not perform any analysis as part of his testimony does not relate to his recommendation for energy allocation.</w:t>
      </w:r>
      <w:r w:rsidR="00E332AB">
        <w:rPr>
          <w:rStyle w:val="FootnoteReference"/>
          <w:rFonts w:ascii="Times New Roman" w:hAnsi="Times New Roman" w:cs="Times New Roman"/>
          <w:sz w:val="24"/>
          <w:szCs w:val="24"/>
        </w:rPr>
        <w:footnoteReference w:id="108"/>
      </w:r>
      <w:r w:rsidR="00673745">
        <w:rPr>
          <w:rFonts w:ascii="Times New Roman" w:hAnsi="Times New Roman" w:cs="Times New Roman"/>
          <w:sz w:val="24"/>
          <w:szCs w:val="24"/>
        </w:rPr>
        <w:t xml:space="preserve">  </w:t>
      </w:r>
    </w:p>
    <w:p w:rsidR="0058131E" w:rsidRPr="00E66D9C" w:rsidRDefault="00C90FF1" w:rsidP="00E66D9C">
      <w:pPr>
        <w:pStyle w:val="Heading2"/>
      </w:pPr>
      <w:bookmarkStart w:id="32" w:name="_Toc442712225"/>
      <w:bookmarkStart w:id="33" w:name="_Toc442713371"/>
      <w:r>
        <w:t>G</w:t>
      </w:r>
      <w:r w:rsidR="00E66D9C">
        <w:t>.</w:t>
      </w:r>
      <w:r w:rsidR="00E66D9C">
        <w:tab/>
      </w:r>
      <w:r w:rsidR="0058131E" w:rsidRPr="00E66D9C">
        <w:t>AEP Ohio ignores the substance of OCC Witness Dormady</w:t>
      </w:r>
      <w:r w:rsidR="00130F92">
        <w:t>’</w:t>
      </w:r>
      <w:r w:rsidR="0058131E" w:rsidRPr="00E66D9C">
        <w:t>s testimony</w:t>
      </w:r>
      <w:r w:rsidR="00500221" w:rsidRPr="00E66D9C">
        <w:t>, which confirms that AEP Ohio</w:t>
      </w:r>
      <w:r w:rsidR="00130F92">
        <w:t>’</w:t>
      </w:r>
      <w:r w:rsidR="00500221" w:rsidRPr="00E66D9C">
        <w:t xml:space="preserve">s proposals </w:t>
      </w:r>
      <w:r w:rsidR="00384E68">
        <w:t xml:space="preserve">are harmful to consumers and </w:t>
      </w:r>
      <w:r w:rsidR="00500221" w:rsidRPr="00E66D9C">
        <w:t>should be denied</w:t>
      </w:r>
      <w:r w:rsidR="0058131E" w:rsidRPr="00E66D9C">
        <w:t>.</w:t>
      </w:r>
      <w:bookmarkEnd w:id="32"/>
      <w:bookmarkEnd w:id="33"/>
    </w:p>
    <w:p w:rsidR="00223C6F" w:rsidRDefault="0058131E" w:rsidP="0009198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AEP Ohio has not criticized</w:t>
      </w:r>
      <w:r w:rsidR="006816E9">
        <w:rPr>
          <w:rFonts w:ascii="Times New Roman" w:hAnsi="Times New Roman" w:cs="Times New Roman"/>
          <w:sz w:val="24"/>
          <w:szCs w:val="24"/>
        </w:rPr>
        <w:t xml:space="preserve"> </w:t>
      </w:r>
      <w:r w:rsidR="009900ED">
        <w:rPr>
          <w:rFonts w:ascii="Times New Roman" w:hAnsi="Times New Roman" w:cs="Times New Roman"/>
          <w:sz w:val="24"/>
          <w:szCs w:val="24"/>
        </w:rPr>
        <w:t xml:space="preserve">the substance of </w:t>
      </w:r>
      <w:r>
        <w:rPr>
          <w:rFonts w:ascii="Times New Roman" w:hAnsi="Times New Roman" w:cs="Times New Roman"/>
          <w:sz w:val="24"/>
          <w:szCs w:val="24"/>
        </w:rPr>
        <w:t>OCC Witness Dormady</w:t>
      </w:r>
      <w:r w:rsidR="00130F92">
        <w:rPr>
          <w:rFonts w:ascii="Times New Roman" w:hAnsi="Times New Roman" w:cs="Times New Roman"/>
          <w:sz w:val="24"/>
          <w:szCs w:val="24"/>
        </w:rPr>
        <w:t>’</w:t>
      </w:r>
      <w:r>
        <w:rPr>
          <w:rFonts w:ascii="Times New Roman" w:hAnsi="Times New Roman" w:cs="Times New Roman"/>
          <w:sz w:val="24"/>
          <w:szCs w:val="24"/>
        </w:rPr>
        <w:t xml:space="preserve">s testimony. </w:t>
      </w:r>
      <w:r w:rsidR="006816E9">
        <w:rPr>
          <w:rFonts w:ascii="Times New Roman" w:hAnsi="Times New Roman" w:cs="Times New Roman"/>
          <w:sz w:val="24"/>
          <w:szCs w:val="24"/>
        </w:rPr>
        <w:t xml:space="preserve">That result likely is because AEP Ohio cannot criticize the testimony. </w:t>
      </w:r>
      <w:r>
        <w:rPr>
          <w:rFonts w:ascii="Times New Roman" w:hAnsi="Times New Roman" w:cs="Times New Roman"/>
          <w:sz w:val="24"/>
          <w:szCs w:val="24"/>
        </w:rPr>
        <w:t xml:space="preserve"> Instead, AEP Ohio creates straw men.</w:t>
      </w:r>
      <w:r w:rsidR="000A4D11">
        <w:rPr>
          <w:rFonts w:ascii="Times New Roman" w:hAnsi="Times New Roman" w:cs="Times New Roman"/>
          <w:sz w:val="24"/>
          <w:szCs w:val="24"/>
        </w:rPr>
        <w:t xml:space="preserve">  </w:t>
      </w:r>
    </w:p>
    <w:p w:rsidR="009900ED" w:rsidRDefault="000A4D11" w:rsidP="000919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 asserts that OCC Witness Dormady does not know the three part test</w:t>
      </w:r>
      <w:r w:rsidR="00130F92">
        <w:rPr>
          <w:rFonts w:ascii="Times New Roman" w:hAnsi="Times New Roman" w:cs="Times New Roman"/>
          <w:sz w:val="24"/>
          <w:szCs w:val="24"/>
        </w:rPr>
        <w:t>’</w:t>
      </w:r>
      <w:r>
        <w:rPr>
          <w:rFonts w:ascii="Times New Roman" w:hAnsi="Times New Roman" w:cs="Times New Roman"/>
          <w:sz w:val="24"/>
          <w:szCs w:val="24"/>
        </w:rPr>
        <w:t>s components, has no background or history on the test, and is unsure whether the test requires diversity of interests.</w:t>
      </w:r>
      <w:r w:rsidR="00E332AB">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But OCC Witness Dormady did not testify to, and was not offered to testify about, any of those subject matters.  </w:t>
      </w:r>
      <w:r w:rsidR="009900ED">
        <w:rPr>
          <w:rFonts w:ascii="Times New Roman" w:hAnsi="Times New Roman" w:cs="Times New Roman"/>
          <w:sz w:val="24"/>
          <w:szCs w:val="24"/>
        </w:rPr>
        <w:tab/>
        <w:t xml:space="preserve">  </w:t>
      </w:r>
    </w:p>
    <w:p w:rsidR="00901849" w:rsidRDefault="000A4D11" w:rsidP="000919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Rather, OCC Witness Dormady explained that he is an economist.</w:t>
      </w:r>
      <w:r w:rsidR="00E332AB">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His credentials as an economist</w:t>
      </w:r>
      <w:r w:rsidR="00901849">
        <w:rPr>
          <w:rFonts w:ascii="Times New Roman" w:hAnsi="Times New Roman" w:cs="Times New Roman"/>
          <w:sz w:val="24"/>
          <w:szCs w:val="24"/>
        </w:rPr>
        <w:t xml:space="preserve"> at the John Glenn College of Public Affairs at The Ohio State University</w:t>
      </w:r>
      <w:r>
        <w:rPr>
          <w:rFonts w:ascii="Times New Roman" w:hAnsi="Times New Roman" w:cs="Times New Roman"/>
          <w:sz w:val="24"/>
          <w:szCs w:val="24"/>
        </w:rPr>
        <w:t xml:space="preserve"> </w:t>
      </w:r>
      <w:r w:rsidR="009900ED">
        <w:rPr>
          <w:rFonts w:ascii="Times New Roman" w:hAnsi="Times New Roman" w:cs="Times New Roman"/>
          <w:sz w:val="24"/>
          <w:szCs w:val="24"/>
        </w:rPr>
        <w:t xml:space="preserve">on economic impacts, energy, and environmental matters </w:t>
      </w:r>
      <w:r>
        <w:rPr>
          <w:rFonts w:ascii="Times New Roman" w:hAnsi="Times New Roman" w:cs="Times New Roman"/>
          <w:sz w:val="24"/>
          <w:szCs w:val="24"/>
        </w:rPr>
        <w:t>are unimpeachable, as demonstrated by the fact that AEP Ohio did not even attempt to call them into question.</w:t>
      </w:r>
      <w:r w:rsidR="00E332AB">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w:t>
      </w:r>
      <w:r w:rsidR="009900ED">
        <w:rPr>
          <w:rFonts w:ascii="Times New Roman" w:hAnsi="Times New Roman" w:cs="Times New Roman"/>
          <w:sz w:val="24"/>
          <w:szCs w:val="24"/>
        </w:rPr>
        <w:t>It is those matters – fundamental to energy policy generally, and specifically to concepts such as sound regulatory principles and public interest – to which OCC Witness Dormady testified.</w:t>
      </w:r>
      <w:r w:rsidR="00E332AB">
        <w:rPr>
          <w:rStyle w:val="FootnoteReference"/>
          <w:rFonts w:ascii="Times New Roman" w:hAnsi="Times New Roman" w:cs="Times New Roman"/>
          <w:sz w:val="24"/>
          <w:szCs w:val="24"/>
        </w:rPr>
        <w:footnoteReference w:id="112"/>
      </w:r>
      <w:r w:rsidR="009900ED">
        <w:rPr>
          <w:rFonts w:ascii="Times New Roman" w:hAnsi="Times New Roman" w:cs="Times New Roman"/>
          <w:sz w:val="24"/>
          <w:szCs w:val="24"/>
        </w:rPr>
        <w:t xml:space="preserve">  </w:t>
      </w:r>
    </w:p>
    <w:p w:rsidR="009057FB" w:rsidRDefault="00223C6F" w:rsidP="0009198D">
      <w:pPr>
        <w:pStyle w:val="FootnoteText"/>
        <w:spacing w:line="480" w:lineRule="auto"/>
        <w:ind w:firstLine="720"/>
        <w:rPr>
          <w:rFonts w:ascii="Times New Roman" w:hAnsi="Times New Roman" w:cs="Times New Roman"/>
          <w:i/>
        </w:rPr>
      </w:pPr>
      <w:r>
        <w:rPr>
          <w:rFonts w:ascii="Times New Roman" w:hAnsi="Times New Roman" w:cs="Times New Roman"/>
          <w:sz w:val="24"/>
          <w:szCs w:val="24"/>
        </w:rPr>
        <w:t>AEP Ohio next asserts that OCC Witness Dormady</w:t>
      </w:r>
      <w:r w:rsidR="00130F92">
        <w:rPr>
          <w:rFonts w:ascii="Times New Roman" w:hAnsi="Times New Roman" w:cs="Times New Roman"/>
          <w:sz w:val="24"/>
          <w:szCs w:val="24"/>
        </w:rPr>
        <w:t>’</w:t>
      </w:r>
      <w:r>
        <w:rPr>
          <w:rFonts w:ascii="Times New Roman" w:hAnsi="Times New Roman" w:cs="Times New Roman"/>
          <w:sz w:val="24"/>
          <w:szCs w:val="24"/>
        </w:rPr>
        <w:t xml:space="preserve">s testimony was </w:t>
      </w:r>
      <w:r w:rsidR="00130F92">
        <w:rPr>
          <w:rFonts w:ascii="Times New Roman" w:hAnsi="Times New Roman" w:cs="Times New Roman"/>
          <w:sz w:val="24"/>
          <w:szCs w:val="24"/>
        </w:rPr>
        <w:t>“</w:t>
      </w:r>
      <w:r>
        <w:rPr>
          <w:rFonts w:ascii="Times New Roman" w:hAnsi="Times New Roman" w:cs="Times New Roman"/>
          <w:sz w:val="24"/>
          <w:szCs w:val="24"/>
        </w:rPr>
        <w:t>limited</w:t>
      </w:r>
      <w:r w:rsidR="00130F92">
        <w:rPr>
          <w:rFonts w:ascii="Times New Roman" w:hAnsi="Times New Roman" w:cs="Times New Roman"/>
          <w:sz w:val="24"/>
          <w:szCs w:val="24"/>
        </w:rPr>
        <w:t>”</w:t>
      </w:r>
      <w:r>
        <w:rPr>
          <w:rFonts w:ascii="Times New Roman" w:hAnsi="Times New Roman" w:cs="Times New Roman"/>
          <w:sz w:val="24"/>
          <w:szCs w:val="24"/>
        </w:rPr>
        <w:t xml:space="preserve"> to criticizing the economic base model AEP Ohio used to address the economic impact factor from ESP III</w:t>
      </w:r>
      <w:r w:rsidR="006816E9">
        <w:rPr>
          <w:rFonts w:ascii="Times New Roman" w:hAnsi="Times New Roman" w:cs="Times New Roman"/>
          <w:sz w:val="24"/>
          <w:szCs w:val="24"/>
        </w:rPr>
        <w:t>.  A</w:t>
      </w:r>
      <w:r>
        <w:rPr>
          <w:rFonts w:ascii="Times New Roman" w:hAnsi="Times New Roman" w:cs="Times New Roman"/>
          <w:sz w:val="24"/>
          <w:szCs w:val="24"/>
        </w:rPr>
        <w:t>nd</w:t>
      </w:r>
      <w:r w:rsidR="006816E9">
        <w:rPr>
          <w:rFonts w:ascii="Times New Roman" w:hAnsi="Times New Roman" w:cs="Times New Roman"/>
          <w:sz w:val="24"/>
          <w:szCs w:val="24"/>
        </w:rPr>
        <w:t xml:space="preserve"> AEP Ohio asserts</w:t>
      </w:r>
      <w:r>
        <w:rPr>
          <w:rFonts w:ascii="Times New Roman" w:hAnsi="Times New Roman" w:cs="Times New Roman"/>
          <w:sz w:val="24"/>
          <w:szCs w:val="24"/>
        </w:rPr>
        <w:t xml:space="preserve"> that he conceded that there would be </w:t>
      </w:r>
      <w:r w:rsidR="00130F92">
        <w:rPr>
          <w:rFonts w:ascii="Times New Roman" w:hAnsi="Times New Roman" w:cs="Times New Roman"/>
          <w:sz w:val="24"/>
          <w:szCs w:val="24"/>
        </w:rPr>
        <w:t>“</w:t>
      </w:r>
      <w:r>
        <w:rPr>
          <w:rFonts w:ascii="Times New Roman" w:hAnsi="Times New Roman" w:cs="Times New Roman"/>
          <w:sz w:val="24"/>
          <w:szCs w:val="24"/>
        </w:rPr>
        <w:t>some</w:t>
      </w:r>
      <w:r w:rsidR="00130F92">
        <w:rPr>
          <w:rFonts w:ascii="Times New Roman" w:hAnsi="Times New Roman" w:cs="Times New Roman"/>
          <w:sz w:val="24"/>
          <w:szCs w:val="24"/>
        </w:rPr>
        <w:t>”</w:t>
      </w:r>
      <w:r>
        <w:rPr>
          <w:rFonts w:ascii="Times New Roman" w:hAnsi="Times New Roman" w:cs="Times New Roman"/>
          <w:sz w:val="24"/>
          <w:szCs w:val="24"/>
        </w:rPr>
        <w:t xml:space="preserve"> economic impact were the PPA Units closed.</w:t>
      </w:r>
      <w:r w:rsidR="00E332AB">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But what OCC Witness Dormady showed, which went undisputed by AEP Ohio, is that </w:t>
      </w:r>
      <w:r w:rsidR="006816E9">
        <w:rPr>
          <w:rFonts w:ascii="Times New Roman" w:hAnsi="Times New Roman" w:cs="Times New Roman"/>
          <w:sz w:val="24"/>
          <w:szCs w:val="24"/>
        </w:rPr>
        <w:t xml:space="preserve">AEP Ohio’s </w:t>
      </w:r>
      <w:r>
        <w:rPr>
          <w:rFonts w:ascii="Times New Roman" w:hAnsi="Times New Roman" w:cs="Times New Roman"/>
          <w:sz w:val="24"/>
          <w:szCs w:val="24"/>
        </w:rPr>
        <w:t xml:space="preserve">economic base model is not credible, it is not fit for the purpose to which AEP Ohio put it, and </w:t>
      </w:r>
      <w:r w:rsidR="00BA0917">
        <w:rPr>
          <w:rFonts w:ascii="Times New Roman" w:hAnsi="Times New Roman" w:cs="Times New Roman"/>
          <w:sz w:val="24"/>
          <w:szCs w:val="24"/>
        </w:rPr>
        <w:t xml:space="preserve">it is </w:t>
      </w:r>
      <w:r>
        <w:rPr>
          <w:rFonts w:ascii="Times New Roman" w:hAnsi="Times New Roman" w:cs="Times New Roman"/>
          <w:sz w:val="24"/>
          <w:szCs w:val="24"/>
        </w:rPr>
        <w:t xml:space="preserve"> not even </w:t>
      </w:r>
      <w:r w:rsidR="00BA0917">
        <w:rPr>
          <w:rFonts w:ascii="Times New Roman" w:hAnsi="Times New Roman" w:cs="Times New Roman"/>
          <w:sz w:val="24"/>
          <w:szCs w:val="24"/>
        </w:rPr>
        <w:t xml:space="preserve">used by AEP Ohio to </w:t>
      </w:r>
      <w:r>
        <w:rPr>
          <w:rFonts w:ascii="Times New Roman" w:hAnsi="Times New Roman" w:cs="Times New Roman"/>
          <w:sz w:val="24"/>
          <w:szCs w:val="24"/>
        </w:rPr>
        <w:t>address</w:t>
      </w:r>
      <w:r w:rsidR="00BA0917">
        <w:rPr>
          <w:rFonts w:ascii="Times New Roman" w:hAnsi="Times New Roman" w:cs="Times New Roman"/>
          <w:sz w:val="24"/>
          <w:szCs w:val="24"/>
        </w:rPr>
        <w:t xml:space="preserve"> the ESP III economic impact factor</w:t>
      </w:r>
      <w:r>
        <w:rPr>
          <w:rFonts w:ascii="Times New Roman" w:hAnsi="Times New Roman" w:cs="Times New Roman"/>
          <w:sz w:val="24"/>
          <w:szCs w:val="24"/>
        </w:rPr>
        <w:t>.</w:t>
      </w:r>
      <w:r w:rsidR="00E332AB">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r w:rsidR="00BA0917">
        <w:rPr>
          <w:rFonts w:ascii="Times New Roman" w:hAnsi="Times New Roman" w:cs="Times New Roman"/>
          <w:sz w:val="24"/>
          <w:szCs w:val="24"/>
        </w:rPr>
        <w:t>In light of OCC Witness Dormady</w:t>
      </w:r>
      <w:r w:rsidR="00130F92">
        <w:rPr>
          <w:rFonts w:ascii="Times New Roman" w:hAnsi="Times New Roman" w:cs="Times New Roman"/>
          <w:sz w:val="24"/>
          <w:szCs w:val="24"/>
        </w:rPr>
        <w:t>’</w:t>
      </w:r>
      <w:r w:rsidR="00BA0917">
        <w:rPr>
          <w:rFonts w:ascii="Times New Roman" w:hAnsi="Times New Roman" w:cs="Times New Roman"/>
          <w:sz w:val="24"/>
          <w:szCs w:val="24"/>
        </w:rPr>
        <w:t>s undisputed testimony on such matters, and that AEP Ohio bears the burden of proof, AEP Ohio</w:t>
      </w:r>
      <w:r w:rsidR="00130F92">
        <w:rPr>
          <w:rFonts w:ascii="Times New Roman" w:hAnsi="Times New Roman" w:cs="Times New Roman"/>
          <w:sz w:val="24"/>
          <w:szCs w:val="24"/>
        </w:rPr>
        <w:t>’</w:t>
      </w:r>
      <w:r w:rsidR="00BA0917">
        <w:rPr>
          <w:rFonts w:ascii="Times New Roman" w:hAnsi="Times New Roman" w:cs="Times New Roman"/>
          <w:sz w:val="24"/>
          <w:szCs w:val="24"/>
        </w:rPr>
        <w:t xml:space="preserve">s proposals should be rejected because the PUCO has </w:t>
      </w:r>
      <w:r w:rsidR="00BA0917">
        <w:rPr>
          <w:rFonts w:ascii="Times New Roman" w:hAnsi="Times New Roman" w:cs="Times New Roman"/>
          <w:i/>
          <w:sz w:val="24"/>
          <w:szCs w:val="24"/>
        </w:rPr>
        <w:t xml:space="preserve">no </w:t>
      </w:r>
      <w:r w:rsidR="00BA0917">
        <w:rPr>
          <w:rFonts w:ascii="Times New Roman" w:hAnsi="Times New Roman" w:cs="Times New Roman"/>
          <w:sz w:val="24"/>
          <w:szCs w:val="24"/>
        </w:rPr>
        <w:t>record evidence on the ESP III economic impact factor.</w:t>
      </w:r>
      <w:r w:rsidR="00601196">
        <w:rPr>
          <w:rStyle w:val="FootnoteReference"/>
          <w:rFonts w:ascii="Times New Roman" w:hAnsi="Times New Roman" w:cs="Times New Roman"/>
          <w:sz w:val="24"/>
          <w:szCs w:val="24"/>
        </w:rPr>
        <w:footnoteReference w:id="115"/>
      </w:r>
      <w:r w:rsidR="00BA0917" w:rsidRPr="00BA0917">
        <w:rPr>
          <w:rFonts w:ascii="Times New Roman" w:hAnsi="Times New Roman" w:cs="Times New Roman"/>
          <w:i/>
        </w:rPr>
        <w:t xml:space="preserve"> </w:t>
      </w:r>
      <w:r w:rsidR="00BA0917">
        <w:rPr>
          <w:rFonts w:ascii="Times New Roman" w:hAnsi="Times New Roman" w:cs="Times New Roman"/>
          <w:i/>
        </w:rPr>
        <w:t xml:space="preserve"> </w:t>
      </w:r>
    </w:p>
    <w:p w:rsidR="001474BB" w:rsidRDefault="00BA0917" w:rsidP="0009198D">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OCC Witness Dormady acknowledged that closing the PPA Units would have </w:t>
      </w:r>
      <w:r w:rsidR="00130F92">
        <w:rPr>
          <w:rFonts w:ascii="Times New Roman" w:hAnsi="Times New Roman" w:cs="Times New Roman"/>
          <w:sz w:val="24"/>
          <w:szCs w:val="24"/>
        </w:rPr>
        <w:t>“</w:t>
      </w:r>
      <w:r>
        <w:rPr>
          <w:rFonts w:ascii="Times New Roman" w:hAnsi="Times New Roman" w:cs="Times New Roman"/>
          <w:sz w:val="24"/>
          <w:szCs w:val="24"/>
        </w:rPr>
        <w:t>some</w:t>
      </w:r>
      <w:r w:rsidR="00130F92">
        <w:rPr>
          <w:rFonts w:ascii="Times New Roman" w:hAnsi="Times New Roman" w:cs="Times New Roman"/>
          <w:sz w:val="24"/>
          <w:szCs w:val="24"/>
        </w:rPr>
        <w:t>”</w:t>
      </w:r>
      <w:r>
        <w:rPr>
          <w:rFonts w:ascii="Times New Roman" w:hAnsi="Times New Roman" w:cs="Times New Roman"/>
          <w:sz w:val="24"/>
          <w:szCs w:val="24"/>
        </w:rPr>
        <w:t xml:space="preserve"> economic impact only serves to confirm his credibility.  </w:t>
      </w:r>
      <w:r>
        <w:rPr>
          <w:rFonts w:ascii="Times New Roman" w:hAnsi="Times New Roman" w:cs="Times New Roman"/>
          <w:i/>
          <w:sz w:val="24"/>
          <w:szCs w:val="24"/>
        </w:rPr>
        <w:t>Of course</w:t>
      </w:r>
      <w:r>
        <w:rPr>
          <w:rFonts w:ascii="Times New Roman" w:hAnsi="Times New Roman" w:cs="Times New Roman"/>
          <w:sz w:val="24"/>
          <w:szCs w:val="24"/>
        </w:rPr>
        <w:t xml:space="preserve"> </w:t>
      </w:r>
      <w:r w:rsidR="001474BB">
        <w:rPr>
          <w:rFonts w:ascii="Times New Roman" w:hAnsi="Times New Roman" w:cs="Times New Roman"/>
          <w:i/>
          <w:sz w:val="24"/>
          <w:szCs w:val="24"/>
        </w:rPr>
        <w:t>it would</w:t>
      </w:r>
      <w:r w:rsidR="001474BB">
        <w:rPr>
          <w:rFonts w:ascii="Times New Roman" w:hAnsi="Times New Roman" w:cs="Times New Roman"/>
          <w:sz w:val="24"/>
          <w:szCs w:val="24"/>
        </w:rPr>
        <w:t>.</w:t>
      </w:r>
      <w:r w:rsidR="00601196">
        <w:rPr>
          <w:rStyle w:val="FootnoteReference"/>
          <w:rFonts w:ascii="Times New Roman" w:hAnsi="Times New Roman" w:cs="Times New Roman"/>
          <w:sz w:val="24"/>
          <w:szCs w:val="24"/>
        </w:rPr>
        <w:footnoteReference w:id="116"/>
      </w:r>
      <w:r w:rsidR="001474BB">
        <w:rPr>
          <w:rFonts w:ascii="Times New Roman" w:hAnsi="Times New Roman" w:cs="Times New Roman"/>
          <w:sz w:val="24"/>
          <w:szCs w:val="24"/>
        </w:rPr>
        <w:t xml:space="preserve">  But AEP Ohio</w:t>
      </w:r>
      <w:r w:rsidR="00130F92">
        <w:rPr>
          <w:rFonts w:ascii="Times New Roman" w:hAnsi="Times New Roman" w:cs="Times New Roman"/>
          <w:sz w:val="24"/>
          <w:szCs w:val="24"/>
        </w:rPr>
        <w:t>’</w:t>
      </w:r>
      <w:r w:rsidR="001474BB">
        <w:rPr>
          <w:rFonts w:ascii="Times New Roman" w:hAnsi="Times New Roman" w:cs="Times New Roman"/>
          <w:sz w:val="24"/>
          <w:szCs w:val="24"/>
        </w:rPr>
        <w:t xml:space="preserve">s obligation was not to show that closing the PPA Units would have </w:t>
      </w:r>
      <w:r w:rsidR="00130F92">
        <w:rPr>
          <w:rFonts w:ascii="Times New Roman" w:hAnsi="Times New Roman" w:cs="Times New Roman"/>
          <w:sz w:val="24"/>
          <w:szCs w:val="24"/>
        </w:rPr>
        <w:t>“</w:t>
      </w:r>
      <w:r w:rsidR="001474BB">
        <w:rPr>
          <w:rFonts w:ascii="Times New Roman" w:hAnsi="Times New Roman" w:cs="Times New Roman"/>
          <w:sz w:val="24"/>
          <w:szCs w:val="24"/>
        </w:rPr>
        <w:t>some</w:t>
      </w:r>
      <w:r w:rsidR="00130F92">
        <w:rPr>
          <w:rFonts w:ascii="Times New Roman" w:hAnsi="Times New Roman" w:cs="Times New Roman"/>
          <w:sz w:val="24"/>
          <w:szCs w:val="24"/>
        </w:rPr>
        <w:t>”</w:t>
      </w:r>
      <w:r w:rsidR="001474BB">
        <w:rPr>
          <w:rFonts w:ascii="Times New Roman" w:hAnsi="Times New Roman" w:cs="Times New Roman"/>
          <w:sz w:val="24"/>
          <w:szCs w:val="24"/>
        </w:rPr>
        <w:t xml:space="preserve"> economic impact – particularly given the PPA Rider</w:t>
      </w:r>
      <w:r w:rsidR="00130F92">
        <w:rPr>
          <w:rFonts w:ascii="Times New Roman" w:hAnsi="Times New Roman" w:cs="Times New Roman"/>
          <w:sz w:val="24"/>
          <w:szCs w:val="24"/>
        </w:rPr>
        <w:t>’</w:t>
      </w:r>
      <w:r w:rsidR="001474BB">
        <w:rPr>
          <w:rFonts w:ascii="Times New Roman" w:hAnsi="Times New Roman" w:cs="Times New Roman"/>
          <w:sz w:val="24"/>
          <w:szCs w:val="24"/>
        </w:rPr>
        <w:t>s potential $2 billion cost.</w:t>
      </w:r>
      <w:r w:rsidR="00601196">
        <w:rPr>
          <w:rStyle w:val="FootnoteReference"/>
          <w:rFonts w:ascii="Times New Roman" w:hAnsi="Times New Roman" w:cs="Times New Roman"/>
          <w:sz w:val="24"/>
          <w:szCs w:val="24"/>
        </w:rPr>
        <w:footnoteReference w:id="117"/>
      </w:r>
      <w:r w:rsidR="001474BB">
        <w:rPr>
          <w:rFonts w:ascii="Times New Roman" w:hAnsi="Times New Roman" w:cs="Times New Roman"/>
          <w:sz w:val="24"/>
          <w:szCs w:val="24"/>
        </w:rPr>
        <w:t xml:space="preserve">  Instead, the PUCO required </w:t>
      </w:r>
      <w:r w:rsidR="006816E9">
        <w:rPr>
          <w:rFonts w:ascii="Times New Roman" w:hAnsi="Times New Roman" w:cs="Times New Roman"/>
          <w:sz w:val="24"/>
          <w:szCs w:val="24"/>
        </w:rPr>
        <w:t>AEP Ohio</w:t>
      </w:r>
      <w:r w:rsidR="001474BB">
        <w:rPr>
          <w:rFonts w:ascii="Times New Roman" w:hAnsi="Times New Roman" w:cs="Times New Roman"/>
          <w:sz w:val="24"/>
          <w:szCs w:val="24"/>
        </w:rPr>
        <w:t xml:space="preserve"> to show </w:t>
      </w:r>
      <w:r w:rsidR="00130F92">
        <w:rPr>
          <w:rFonts w:ascii="Times New Roman" w:hAnsi="Times New Roman" w:cs="Times New Roman"/>
          <w:sz w:val="24"/>
          <w:szCs w:val="24"/>
        </w:rPr>
        <w:t>“</w:t>
      </w:r>
      <w:r w:rsidR="001474BB">
        <w:rPr>
          <w:rFonts w:ascii="Times New Roman" w:hAnsi="Times New Roman" w:cs="Times New Roman"/>
          <w:sz w:val="24"/>
          <w:szCs w:val="24"/>
        </w:rPr>
        <w:t xml:space="preserve">[t]he impact that a closure of the generating plant would have on </w:t>
      </w:r>
      <w:r w:rsidR="001474BB" w:rsidRPr="001474BB">
        <w:rPr>
          <w:rFonts w:ascii="Times New Roman" w:hAnsi="Times New Roman" w:cs="Times New Roman"/>
          <w:i/>
          <w:sz w:val="24"/>
          <w:szCs w:val="24"/>
        </w:rPr>
        <w:t>electric prices</w:t>
      </w:r>
      <w:r w:rsidR="001474BB">
        <w:rPr>
          <w:rFonts w:ascii="Times New Roman" w:hAnsi="Times New Roman" w:cs="Times New Roman"/>
          <w:sz w:val="24"/>
          <w:szCs w:val="24"/>
        </w:rPr>
        <w:t xml:space="preserve"> and the resulting effect on economic development within Ohio.</w:t>
      </w:r>
      <w:r w:rsidR="00130F92">
        <w:rPr>
          <w:rFonts w:ascii="Times New Roman" w:hAnsi="Times New Roman" w:cs="Times New Roman"/>
          <w:sz w:val="24"/>
          <w:szCs w:val="24"/>
        </w:rPr>
        <w:t>”</w:t>
      </w:r>
      <w:r w:rsidR="00601196">
        <w:rPr>
          <w:rStyle w:val="FootnoteReference"/>
          <w:rFonts w:ascii="Times New Roman" w:hAnsi="Times New Roman" w:cs="Times New Roman"/>
          <w:sz w:val="24"/>
          <w:szCs w:val="24"/>
        </w:rPr>
        <w:footnoteReference w:id="118"/>
      </w:r>
      <w:r w:rsidR="001474BB">
        <w:rPr>
          <w:rFonts w:ascii="Times New Roman" w:hAnsi="Times New Roman" w:cs="Times New Roman"/>
          <w:sz w:val="24"/>
          <w:szCs w:val="24"/>
        </w:rPr>
        <w:t xml:space="preserve">  </w:t>
      </w:r>
    </w:p>
    <w:p w:rsidR="001474BB" w:rsidRDefault="001474BB" w:rsidP="00BA0917">
      <w:pPr>
        <w:pStyle w:val="FootnoteText"/>
        <w:spacing w:after="120"/>
        <w:ind w:firstLine="720"/>
        <w:rPr>
          <w:rFonts w:ascii="Times New Roman" w:hAnsi="Times New Roman" w:cs="Times New Roman"/>
          <w:sz w:val="24"/>
          <w:szCs w:val="24"/>
        </w:rPr>
      </w:pPr>
    </w:p>
    <w:p w:rsidR="00750BE2" w:rsidRDefault="001474BB" w:rsidP="0009198D">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AEP Ohio says that OCC Witness Dormady</w:t>
      </w:r>
      <w:r w:rsidR="00130F92">
        <w:rPr>
          <w:rFonts w:ascii="Times New Roman" w:hAnsi="Times New Roman" w:cs="Times New Roman"/>
          <w:sz w:val="24"/>
          <w:szCs w:val="24"/>
        </w:rPr>
        <w:t>’</w:t>
      </w:r>
      <w:r>
        <w:rPr>
          <w:rFonts w:ascii="Times New Roman" w:hAnsi="Times New Roman" w:cs="Times New Roman"/>
          <w:sz w:val="24"/>
          <w:szCs w:val="24"/>
        </w:rPr>
        <w:t xml:space="preserve">s criticisms of various provisions of the Joint Stipulation are </w:t>
      </w:r>
      <w:r w:rsidR="00130F92">
        <w:rPr>
          <w:rFonts w:ascii="Times New Roman" w:hAnsi="Times New Roman" w:cs="Times New Roman"/>
          <w:sz w:val="24"/>
          <w:szCs w:val="24"/>
        </w:rPr>
        <w:t>“</w:t>
      </w:r>
      <w:r>
        <w:rPr>
          <w:rFonts w:ascii="Times New Roman" w:hAnsi="Times New Roman" w:cs="Times New Roman"/>
          <w:sz w:val="24"/>
          <w:szCs w:val="24"/>
        </w:rPr>
        <w:t>premature</w:t>
      </w:r>
      <w:r w:rsidR="00130F92">
        <w:rPr>
          <w:rFonts w:ascii="Times New Roman" w:hAnsi="Times New Roman" w:cs="Times New Roman"/>
          <w:sz w:val="24"/>
          <w:szCs w:val="24"/>
        </w:rPr>
        <w:t>”</w:t>
      </w:r>
      <w:r w:rsidR="00750BE2">
        <w:rPr>
          <w:rFonts w:ascii="Times New Roman" w:hAnsi="Times New Roman" w:cs="Times New Roman"/>
          <w:sz w:val="24"/>
          <w:szCs w:val="24"/>
        </w:rPr>
        <w:t xml:space="preserve"> because they can be addressed in a future proceeding.</w:t>
      </w:r>
      <w:r w:rsidR="00601196">
        <w:rPr>
          <w:rStyle w:val="FootnoteReference"/>
          <w:rFonts w:ascii="Times New Roman" w:hAnsi="Times New Roman" w:cs="Times New Roman"/>
          <w:sz w:val="24"/>
          <w:szCs w:val="24"/>
        </w:rPr>
        <w:footnoteReference w:id="119"/>
      </w:r>
      <w:r w:rsidR="00750BE2">
        <w:rPr>
          <w:rFonts w:ascii="Times New Roman" w:hAnsi="Times New Roman" w:cs="Times New Roman"/>
          <w:sz w:val="24"/>
          <w:szCs w:val="24"/>
        </w:rPr>
        <w:t xml:space="preserve">  But it is the inherent uncertainty in such proposals, and </w:t>
      </w:r>
      <w:r w:rsidR="001D1007">
        <w:rPr>
          <w:rFonts w:ascii="Times New Roman" w:hAnsi="Times New Roman" w:cs="Times New Roman"/>
          <w:sz w:val="24"/>
          <w:szCs w:val="24"/>
        </w:rPr>
        <w:t>delaying to</w:t>
      </w:r>
      <w:r w:rsidR="00262114">
        <w:rPr>
          <w:rFonts w:ascii="Times New Roman" w:hAnsi="Times New Roman" w:cs="Times New Roman"/>
          <w:sz w:val="24"/>
          <w:szCs w:val="24"/>
        </w:rPr>
        <w:t xml:space="preserve"> the</w:t>
      </w:r>
      <w:r w:rsidR="001D1007">
        <w:rPr>
          <w:rFonts w:ascii="Times New Roman" w:hAnsi="Times New Roman" w:cs="Times New Roman"/>
          <w:sz w:val="24"/>
          <w:szCs w:val="24"/>
        </w:rPr>
        <w:t xml:space="preserve"> future the ultimate decision </w:t>
      </w:r>
      <w:r w:rsidR="00750BE2">
        <w:rPr>
          <w:rFonts w:ascii="Times New Roman" w:hAnsi="Times New Roman" w:cs="Times New Roman"/>
          <w:sz w:val="24"/>
          <w:szCs w:val="24"/>
        </w:rPr>
        <w:t>to address them, that OCC Witness Dormady explained causes the Joint Stipulation t</w:t>
      </w:r>
      <w:r w:rsidR="00E7265C">
        <w:rPr>
          <w:rFonts w:ascii="Times New Roman" w:hAnsi="Times New Roman" w:cs="Times New Roman"/>
          <w:sz w:val="24"/>
          <w:szCs w:val="24"/>
        </w:rPr>
        <w:t>o fail the first prong</w:t>
      </w:r>
      <w:r w:rsidR="00750BE2">
        <w:rPr>
          <w:rFonts w:ascii="Times New Roman" w:hAnsi="Times New Roman" w:cs="Times New Roman"/>
          <w:sz w:val="24"/>
          <w:szCs w:val="24"/>
        </w:rPr>
        <w:t>:</w:t>
      </w:r>
    </w:p>
    <w:p w:rsidR="00750BE2" w:rsidRDefault="00750BE2" w:rsidP="00E66D9C">
      <w:pPr>
        <w:pStyle w:val="FootnoteText"/>
        <w:ind w:left="1440" w:right="720"/>
        <w:rPr>
          <w:rFonts w:ascii="Times New Roman" w:hAnsi="Times New Roman" w:cs="Times New Roman"/>
          <w:sz w:val="24"/>
          <w:szCs w:val="24"/>
        </w:rPr>
      </w:pPr>
      <w:r>
        <w:rPr>
          <w:rFonts w:ascii="Times New Roman" w:hAnsi="Times New Roman" w:cs="Times New Roman"/>
          <w:sz w:val="24"/>
          <w:szCs w:val="24"/>
        </w:rPr>
        <w:t>The lack of any preliminary (let alone thorough) study, assessment, or evaluation of many of the provisions and individually-tailored carve outs contained within the Stipulation would indeed have precluded the signatories from capably and knowledgeably bargaining.</w:t>
      </w:r>
      <w:r w:rsidR="00601196">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w:t>
      </w:r>
    </w:p>
    <w:p w:rsidR="0009198D" w:rsidRDefault="0009198D" w:rsidP="0009198D">
      <w:pPr>
        <w:pStyle w:val="FootnoteText"/>
        <w:ind w:left="720"/>
        <w:rPr>
          <w:rFonts w:ascii="Times New Roman" w:hAnsi="Times New Roman" w:cs="Times New Roman"/>
          <w:sz w:val="24"/>
          <w:szCs w:val="24"/>
        </w:rPr>
      </w:pPr>
    </w:p>
    <w:p w:rsidR="00BA0917" w:rsidRDefault="00E7265C" w:rsidP="00E566F6">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to the degree that AEP Ohio cites its </w:t>
      </w:r>
      <w:r w:rsidR="00130F92">
        <w:rPr>
          <w:rFonts w:ascii="Times New Roman" w:hAnsi="Times New Roman" w:cs="Times New Roman"/>
          <w:sz w:val="24"/>
          <w:szCs w:val="24"/>
        </w:rPr>
        <w:t>“</w:t>
      </w:r>
      <w:r>
        <w:rPr>
          <w:rFonts w:ascii="Times New Roman" w:hAnsi="Times New Roman" w:cs="Times New Roman"/>
          <w:sz w:val="24"/>
          <w:szCs w:val="24"/>
        </w:rPr>
        <w:t>commitment</w:t>
      </w:r>
      <w:r w:rsidR="00130F92">
        <w:rPr>
          <w:rFonts w:ascii="Times New Roman" w:hAnsi="Times New Roman" w:cs="Times New Roman"/>
          <w:sz w:val="24"/>
          <w:szCs w:val="24"/>
        </w:rPr>
        <w:t>”</w:t>
      </w:r>
      <w:r>
        <w:rPr>
          <w:rFonts w:ascii="Times New Roman" w:hAnsi="Times New Roman" w:cs="Times New Roman"/>
          <w:sz w:val="24"/>
          <w:szCs w:val="24"/>
        </w:rPr>
        <w:t xml:space="preserve"> to make such proposals sufficiently in the public interest to pass the </w:t>
      </w:r>
      <w:r w:rsidR="00514D38">
        <w:rPr>
          <w:rFonts w:ascii="Times New Roman" w:hAnsi="Times New Roman" w:cs="Times New Roman"/>
          <w:sz w:val="24"/>
          <w:szCs w:val="24"/>
        </w:rPr>
        <w:t>settlement test</w:t>
      </w:r>
      <w:r w:rsidR="00130F92">
        <w:rPr>
          <w:rFonts w:ascii="Times New Roman" w:hAnsi="Times New Roman" w:cs="Times New Roman"/>
          <w:sz w:val="24"/>
          <w:szCs w:val="24"/>
        </w:rPr>
        <w:t>’</w:t>
      </w:r>
      <w:r w:rsidR="00514D38">
        <w:rPr>
          <w:rFonts w:ascii="Times New Roman" w:hAnsi="Times New Roman" w:cs="Times New Roman"/>
          <w:sz w:val="24"/>
          <w:szCs w:val="24"/>
        </w:rPr>
        <w:t xml:space="preserve">s </w:t>
      </w:r>
      <w:r>
        <w:rPr>
          <w:rFonts w:ascii="Times New Roman" w:hAnsi="Times New Roman" w:cs="Times New Roman"/>
          <w:sz w:val="24"/>
          <w:szCs w:val="24"/>
        </w:rPr>
        <w:t xml:space="preserve">third prong, the PUCO should consider the proposals.  A </w:t>
      </w:r>
      <w:r w:rsidR="00130F92">
        <w:rPr>
          <w:rFonts w:ascii="Times New Roman" w:hAnsi="Times New Roman" w:cs="Times New Roman"/>
          <w:sz w:val="24"/>
          <w:szCs w:val="24"/>
        </w:rPr>
        <w:t>“</w:t>
      </w:r>
      <w:r>
        <w:rPr>
          <w:rFonts w:ascii="Times New Roman" w:hAnsi="Times New Roman" w:cs="Times New Roman"/>
          <w:sz w:val="24"/>
          <w:szCs w:val="24"/>
        </w:rPr>
        <w:t>commitment</w:t>
      </w:r>
      <w:r w:rsidR="00130F92">
        <w:rPr>
          <w:rFonts w:ascii="Times New Roman" w:hAnsi="Times New Roman" w:cs="Times New Roman"/>
          <w:sz w:val="24"/>
          <w:szCs w:val="24"/>
        </w:rPr>
        <w:t>”</w:t>
      </w:r>
      <w:r>
        <w:rPr>
          <w:rFonts w:ascii="Times New Roman" w:hAnsi="Times New Roman" w:cs="Times New Roman"/>
          <w:sz w:val="24"/>
          <w:szCs w:val="24"/>
        </w:rPr>
        <w:t xml:space="preserve"> to make a bad proposal is not in the public interest</w:t>
      </w:r>
      <w:r w:rsidR="00EF1413">
        <w:rPr>
          <w:rFonts w:ascii="Times New Roman" w:hAnsi="Times New Roman" w:cs="Times New Roman"/>
          <w:sz w:val="24"/>
          <w:szCs w:val="24"/>
        </w:rPr>
        <w:t xml:space="preserve"> and will harm consumers</w:t>
      </w:r>
      <w:r>
        <w:rPr>
          <w:rFonts w:ascii="Times New Roman" w:hAnsi="Times New Roman" w:cs="Times New Roman"/>
          <w:sz w:val="24"/>
          <w:szCs w:val="24"/>
        </w:rPr>
        <w:t>.  OCC Witness Dormady showed that AEP Ohio is committed to making bad proposals.</w:t>
      </w:r>
      <w:r w:rsidR="00601196">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w:t>
      </w:r>
    </w:p>
    <w:p w:rsidR="00500221" w:rsidRDefault="00C90FF1" w:rsidP="00E66D9C">
      <w:pPr>
        <w:pStyle w:val="Heading2"/>
      </w:pPr>
      <w:bookmarkStart w:id="34" w:name="_Toc442712226"/>
      <w:bookmarkStart w:id="35" w:name="_Toc442713372"/>
      <w:r>
        <w:t>H</w:t>
      </w:r>
      <w:r w:rsidR="00E66D9C">
        <w:t>.</w:t>
      </w:r>
      <w:r w:rsidR="00E66D9C">
        <w:tab/>
      </w:r>
      <w:r w:rsidR="00500221">
        <w:t>AEP Ohio misses the point of OCC Witness Duann</w:t>
      </w:r>
      <w:r w:rsidR="00130F92">
        <w:t>’</w:t>
      </w:r>
      <w:r w:rsidR="00500221">
        <w:t>s testimony, which confirms that deregulated generation such as the PPA Units should not get a guaranteed rate of return (profit)</w:t>
      </w:r>
      <w:r w:rsidR="00EF1413">
        <w:t xml:space="preserve"> that captive retail consumers must pay.</w:t>
      </w:r>
      <w:bookmarkEnd w:id="34"/>
      <w:bookmarkEnd w:id="35"/>
    </w:p>
    <w:p w:rsidR="00F25C93" w:rsidRDefault="00500221" w:rsidP="0009198D">
      <w:pPr>
        <w:pStyle w:val="FootnoteText"/>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OCC Witness Duann explained that no rate of return (profit) should be included in the PPA.</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AEP Ohio characterizes this recommendation as </w:t>
      </w:r>
      <w:r w:rsidR="00130F92">
        <w:rPr>
          <w:rFonts w:ascii="Times New Roman" w:hAnsi="Times New Roman" w:cs="Times New Roman"/>
          <w:sz w:val="24"/>
          <w:szCs w:val="24"/>
        </w:rPr>
        <w:t>“</w:t>
      </w:r>
      <w:r>
        <w:rPr>
          <w:rFonts w:ascii="Times New Roman" w:hAnsi="Times New Roman" w:cs="Times New Roman"/>
          <w:sz w:val="24"/>
          <w:szCs w:val="24"/>
        </w:rPr>
        <w:t>nonsensical</w:t>
      </w:r>
      <w:r w:rsidR="00130F92">
        <w:rPr>
          <w:rFonts w:ascii="Times New Roman" w:hAnsi="Times New Roman" w:cs="Times New Roman"/>
          <w:sz w:val="24"/>
          <w:szCs w:val="24"/>
        </w:rPr>
        <w:t>”</w:t>
      </w:r>
      <w:r>
        <w:rPr>
          <w:rFonts w:ascii="Times New Roman" w:hAnsi="Times New Roman" w:cs="Times New Roman"/>
          <w:sz w:val="24"/>
          <w:szCs w:val="24"/>
        </w:rPr>
        <w:t xml:space="preserve"> because equity capital has a non-zero cost.</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AEP Ohio misse</w:t>
      </w:r>
      <w:r w:rsidR="00F25C93">
        <w:rPr>
          <w:rFonts w:ascii="Times New Roman" w:hAnsi="Times New Roman" w:cs="Times New Roman"/>
          <w:sz w:val="24"/>
          <w:szCs w:val="24"/>
        </w:rPr>
        <w:t xml:space="preserve">s the point.  Whether equity capital has a non-zero </w:t>
      </w:r>
      <w:r w:rsidR="00514D38">
        <w:rPr>
          <w:rFonts w:ascii="Times New Roman" w:hAnsi="Times New Roman" w:cs="Times New Roman"/>
          <w:sz w:val="24"/>
          <w:szCs w:val="24"/>
        </w:rPr>
        <w:t>cost</w:t>
      </w:r>
      <w:r w:rsidR="00F25C93">
        <w:rPr>
          <w:rFonts w:ascii="Times New Roman" w:hAnsi="Times New Roman" w:cs="Times New Roman"/>
          <w:sz w:val="24"/>
          <w:szCs w:val="24"/>
        </w:rPr>
        <w:t xml:space="preserve"> is beside the point of OCC Witness Duann</w:t>
      </w:r>
      <w:r w:rsidR="00130F92">
        <w:rPr>
          <w:rFonts w:ascii="Times New Roman" w:hAnsi="Times New Roman" w:cs="Times New Roman"/>
          <w:sz w:val="24"/>
          <w:szCs w:val="24"/>
        </w:rPr>
        <w:t>’</w:t>
      </w:r>
      <w:r w:rsidR="00F25C93">
        <w:rPr>
          <w:rFonts w:ascii="Times New Roman" w:hAnsi="Times New Roman" w:cs="Times New Roman"/>
          <w:sz w:val="24"/>
          <w:szCs w:val="24"/>
        </w:rPr>
        <w:t>s recommendation.  Instead, as OCC Witness Duann put clearly, there should be no rate of return (profit) included in the PPA because:</w:t>
      </w:r>
    </w:p>
    <w:p w:rsidR="00500221" w:rsidRDefault="00F25C93" w:rsidP="00E66D9C">
      <w:pPr>
        <w:pStyle w:val="FootnoteText"/>
        <w:spacing w:after="120"/>
        <w:ind w:left="1440" w:right="720"/>
        <w:rPr>
          <w:rFonts w:ascii="Times New Roman" w:hAnsi="Times New Roman" w:cs="Times New Roman"/>
          <w:sz w:val="24"/>
          <w:szCs w:val="24"/>
        </w:rPr>
      </w:pPr>
      <w:r>
        <w:rPr>
          <w:rFonts w:ascii="Times New Roman" w:hAnsi="Times New Roman" w:cs="Times New Roman"/>
          <w:sz w:val="24"/>
          <w:szCs w:val="24"/>
        </w:rPr>
        <w:t>AEPGR is an unregulated power producer and its return (or profit) is, and should be, decided in the marketplace.  AEP GR is not entitled to any specific level of a guaranteed return on equity.  Regarding the return on capital investments, AEPGR should be treated the same as any other unregulated power producer in Ohio.</w:t>
      </w:r>
      <w:r>
        <w:rPr>
          <w:rStyle w:val="FootnoteReference"/>
          <w:rFonts w:ascii="Times New Roman" w:hAnsi="Times New Roman" w:cs="Times New Roman"/>
          <w:sz w:val="24"/>
          <w:szCs w:val="24"/>
        </w:rPr>
        <w:footnoteReference w:id="124"/>
      </w:r>
      <w:r w:rsidR="00500221">
        <w:rPr>
          <w:rFonts w:ascii="Times New Roman" w:hAnsi="Times New Roman" w:cs="Times New Roman"/>
          <w:sz w:val="24"/>
          <w:szCs w:val="24"/>
        </w:rPr>
        <w:t xml:space="preserve">  </w:t>
      </w:r>
    </w:p>
    <w:p w:rsidR="00514D38" w:rsidRDefault="00514D38" w:rsidP="00F25C93">
      <w:pPr>
        <w:pStyle w:val="FootnoteText"/>
        <w:spacing w:after="120"/>
        <w:ind w:left="720"/>
        <w:rPr>
          <w:rFonts w:ascii="Times New Roman" w:hAnsi="Times New Roman" w:cs="Times New Roman"/>
          <w:sz w:val="24"/>
          <w:szCs w:val="24"/>
        </w:rPr>
      </w:pPr>
    </w:p>
    <w:p w:rsidR="009D3AEF" w:rsidRDefault="009D3AEF" w:rsidP="00E566F6">
      <w:pPr>
        <w:pStyle w:val="FootnoteText"/>
        <w:spacing w:after="120" w:line="480" w:lineRule="auto"/>
        <w:rPr>
          <w:rFonts w:ascii="Times New Roman" w:hAnsi="Times New Roman" w:cs="Times New Roman"/>
          <w:sz w:val="24"/>
          <w:szCs w:val="24"/>
        </w:rPr>
      </w:pPr>
      <w:r>
        <w:rPr>
          <w:rFonts w:ascii="Times New Roman" w:hAnsi="Times New Roman" w:cs="Times New Roman"/>
          <w:sz w:val="24"/>
          <w:szCs w:val="24"/>
        </w:rPr>
        <w:t>Let the market decide deregulated AEPGR</w:t>
      </w:r>
      <w:r w:rsidR="00130F92">
        <w:rPr>
          <w:rFonts w:ascii="Times New Roman" w:hAnsi="Times New Roman" w:cs="Times New Roman"/>
          <w:sz w:val="24"/>
          <w:szCs w:val="24"/>
        </w:rPr>
        <w:t>’</w:t>
      </w:r>
      <w:r>
        <w:rPr>
          <w:rFonts w:ascii="Times New Roman" w:hAnsi="Times New Roman" w:cs="Times New Roman"/>
          <w:sz w:val="24"/>
          <w:szCs w:val="24"/>
        </w:rPr>
        <w:t>s profit, OCC Witness Duann says, not government.</w:t>
      </w:r>
    </w:p>
    <w:p w:rsidR="00F25C93" w:rsidRDefault="00F25C93" w:rsidP="0009198D">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AEP Ohio characterizes OCC Witness Duann</w:t>
      </w:r>
      <w:r w:rsidR="00130F92">
        <w:rPr>
          <w:rFonts w:ascii="Times New Roman" w:hAnsi="Times New Roman" w:cs="Times New Roman"/>
          <w:sz w:val="24"/>
          <w:szCs w:val="24"/>
        </w:rPr>
        <w:t>’</w:t>
      </w:r>
      <w:r>
        <w:rPr>
          <w:rFonts w:ascii="Times New Roman" w:hAnsi="Times New Roman" w:cs="Times New Roman"/>
          <w:sz w:val="24"/>
          <w:szCs w:val="24"/>
        </w:rPr>
        <w:t>s recommendation that, if a PPA Rider is approved, the return on equity (profit) should be set no higher that AEPGR</w:t>
      </w:r>
      <w:r w:rsidR="00130F92">
        <w:rPr>
          <w:rFonts w:ascii="Times New Roman" w:hAnsi="Times New Roman" w:cs="Times New Roman"/>
          <w:sz w:val="24"/>
          <w:szCs w:val="24"/>
        </w:rPr>
        <w:t>’</w:t>
      </w:r>
      <w:r>
        <w:rPr>
          <w:rFonts w:ascii="Times New Roman" w:hAnsi="Times New Roman" w:cs="Times New Roman"/>
          <w:sz w:val="24"/>
          <w:szCs w:val="24"/>
        </w:rPr>
        <w:t xml:space="preserve">s average cost of debt (long-term and short-term), as </w:t>
      </w:r>
      <w:r w:rsidR="00130F92">
        <w:rPr>
          <w:rFonts w:ascii="Times New Roman" w:hAnsi="Times New Roman" w:cs="Times New Roman"/>
          <w:sz w:val="24"/>
          <w:szCs w:val="24"/>
        </w:rPr>
        <w:t>“</w:t>
      </w:r>
      <w:r>
        <w:rPr>
          <w:rFonts w:ascii="Times New Roman" w:hAnsi="Times New Roman" w:cs="Times New Roman"/>
          <w:sz w:val="24"/>
          <w:szCs w:val="24"/>
        </w:rPr>
        <w:t>irrational.</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This, according to AEP Ohio, is because equity capital faces greater risk than debt and, therefore, has a higher cost.</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Again, AEP Ohio misses the point.</w:t>
      </w:r>
      <w:r w:rsidR="009D3AEF">
        <w:rPr>
          <w:rFonts w:ascii="Times New Roman" w:hAnsi="Times New Roman" w:cs="Times New Roman"/>
          <w:sz w:val="24"/>
          <w:szCs w:val="24"/>
        </w:rPr>
        <w:t xml:space="preserve">  As OCC Witness Duann explained: </w:t>
      </w:r>
    </w:p>
    <w:p w:rsidR="009D3AEF" w:rsidRDefault="009D3AEF" w:rsidP="00E66D9C">
      <w:pPr>
        <w:pStyle w:val="FootnoteText"/>
        <w:spacing w:after="120"/>
        <w:ind w:left="1440" w:right="720"/>
        <w:rPr>
          <w:rFonts w:ascii="Times New Roman" w:hAnsi="Times New Roman" w:cs="Times New Roman"/>
          <w:sz w:val="24"/>
          <w:szCs w:val="24"/>
        </w:rPr>
      </w:pPr>
      <w:r>
        <w:rPr>
          <w:rFonts w:ascii="Times New Roman" w:hAnsi="Times New Roman" w:cs="Times New Roman"/>
          <w:sz w:val="24"/>
          <w:szCs w:val="24"/>
        </w:rPr>
        <w:t>[U]nder the proposed PPA, all of the business and financial risks to AEPGR are transferred to captive retail customers.  As a matter of fairness and for the protection of AEP Ohio</w:t>
      </w:r>
      <w:r w:rsidR="00130F92">
        <w:rPr>
          <w:rFonts w:ascii="Times New Roman" w:hAnsi="Times New Roman" w:cs="Times New Roman"/>
          <w:sz w:val="24"/>
          <w:szCs w:val="24"/>
        </w:rPr>
        <w:t>’</w:t>
      </w:r>
      <w:r>
        <w:rPr>
          <w:rFonts w:ascii="Times New Roman" w:hAnsi="Times New Roman" w:cs="Times New Roman"/>
          <w:sz w:val="24"/>
          <w:szCs w:val="24"/>
        </w:rPr>
        <w:t>s customers, I propose the ROE applicable to the PPA Units be set no higher than AEPGR</w:t>
      </w:r>
      <w:r w:rsidR="00130F92">
        <w:rPr>
          <w:rFonts w:ascii="Times New Roman" w:hAnsi="Times New Roman" w:cs="Times New Roman"/>
          <w:sz w:val="24"/>
          <w:szCs w:val="24"/>
        </w:rPr>
        <w:t>’</w:t>
      </w:r>
      <w:r>
        <w:rPr>
          <w:rFonts w:ascii="Times New Roman" w:hAnsi="Times New Roman" w:cs="Times New Roman"/>
          <w:sz w:val="24"/>
          <w:szCs w:val="24"/>
        </w:rPr>
        <w:t>s average cost of debt . . . .</w:t>
      </w:r>
      <w:r>
        <w:rPr>
          <w:rStyle w:val="FootnoteReference"/>
          <w:rFonts w:ascii="Times New Roman" w:hAnsi="Times New Roman" w:cs="Times New Roman"/>
          <w:sz w:val="24"/>
          <w:szCs w:val="24"/>
        </w:rPr>
        <w:footnoteReference w:id="127"/>
      </w:r>
    </w:p>
    <w:p w:rsidR="009D3AEF" w:rsidRDefault="009D3AEF" w:rsidP="0009198D">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Under the PPA proposal, OCC Witness Duann points out that AEPGR bears no risk.  Thus, it is AEP Ohio</w:t>
      </w:r>
      <w:r w:rsidR="00130F92">
        <w:rPr>
          <w:rFonts w:ascii="Times New Roman" w:hAnsi="Times New Roman" w:cs="Times New Roman"/>
          <w:sz w:val="24"/>
          <w:szCs w:val="24"/>
        </w:rPr>
        <w:t>’</w:t>
      </w:r>
      <w:r>
        <w:rPr>
          <w:rFonts w:ascii="Times New Roman" w:hAnsi="Times New Roman" w:cs="Times New Roman"/>
          <w:sz w:val="24"/>
          <w:szCs w:val="24"/>
        </w:rPr>
        <w:t>s characterization of OCC Witness Duann</w:t>
      </w:r>
      <w:r w:rsidR="00130F92">
        <w:rPr>
          <w:rFonts w:ascii="Times New Roman" w:hAnsi="Times New Roman" w:cs="Times New Roman"/>
          <w:sz w:val="24"/>
          <w:szCs w:val="24"/>
        </w:rPr>
        <w:t>’</w:t>
      </w:r>
      <w:r>
        <w:rPr>
          <w:rFonts w:ascii="Times New Roman" w:hAnsi="Times New Roman" w:cs="Times New Roman"/>
          <w:sz w:val="24"/>
          <w:szCs w:val="24"/>
        </w:rPr>
        <w:t>s recommendation that is irrational, not the recommendation.</w:t>
      </w:r>
    </w:p>
    <w:p w:rsidR="00F57D4B" w:rsidRPr="00F57D4B" w:rsidRDefault="00C90FF1" w:rsidP="00E66D9C">
      <w:pPr>
        <w:pStyle w:val="Heading2"/>
      </w:pPr>
      <w:bookmarkStart w:id="36" w:name="_Toc442712227"/>
      <w:bookmarkStart w:id="37" w:name="_Toc442713373"/>
      <w:r>
        <w:t>I</w:t>
      </w:r>
      <w:r w:rsidR="00E66D9C">
        <w:t>.</w:t>
      </w:r>
      <w:r w:rsidR="00E66D9C">
        <w:tab/>
      </w:r>
      <w:r w:rsidR="00F57D4B">
        <w:t>AEP Ohio critique</w:t>
      </w:r>
      <w:r w:rsidR="00EC3E00">
        <w:t>s the showing by</w:t>
      </w:r>
      <w:r w:rsidR="00F57D4B">
        <w:t xml:space="preserve"> OCC Witnesses Hixon and Haugh that </w:t>
      </w:r>
      <w:r w:rsidR="00EC3E00">
        <w:t>AEP Ohio’s</w:t>
      </w:r>
      <w:r w:rsidR="00F57D4B">
        <w:t xml:space="preserve"> proposals would cause the MRO </w:t>
      </w:r>
      <w:r w:rsidR="00514D38">
        <w:t>versus</w:t>
      </w:r>
      <w:r w:rsidR="00F57D4B">
        <w:t xml:space="preserve"> ESP to fail</w:t>
      </w:r>
      <w:r w:rsidR="00EC3E00">
        <w:t>, but AEP Ohio’s claims</w:t>
      </w:r>
      <w:r w:rsidR="00F57D4B">
        <w:t xml:space="preserve"> </w:t>
      </w:r>
      <w:r w:rsidR="00EC3E00">
        <w:t xml:space="preserve">lack </w:t>
      </w:r>
      <w:r w:rsidR="00F57D4B">
        <w:t>record support.</w:t>
      </w:r>
      <w:bookmarkEnd w:id="36"/>
      <w:bookmarkEnd w:id="37"/>
    </w:p>
    <w:p w:rsidR="00A04595" w:rsidRDefault="00A04595" w:rsidP="00EC3468">
      <w:pPr>
        <w:spacing w:after="0" w:line="480" w:lineRule="auto"/>
        <w:rPr>
          <w:rFonts w:ascii="Times New Roman" w:hAnsi="Times New Roman" w:cs="Times New Roman"/>
          <w:sz w:val="24"/>
          <w:szCs w:val="24"/>
        </w:rPr>
      </w:pPr>
      <w:r w:rsidRPr="00E20CB5">
        <w:rPr>
          <w:rFonts w:ascii="Times New Roman" w:hAnsi="Times New Roman" w:cs="Times New Roman"/>
          <w:sz w:val="24"/>
          <w:szCs w:val="24"/>
        </w:rPr>
        <w:tab/>
      </w:r>
      <w:r w:rsidR="00DC775D">
        <w:rPr>
          <w:rFonts w:ascii="Times New Roman" w:hAnsi="Times New Roman" w:cs="Times New Roman"/>
          <w:sz w:val="24"/>
          <w:szCs w:val="24"/>
        </w:rPr>
        <w:t>R.C.</w:t>
      </w:r>
      <w:r w:rsidRPr="00E20CB5">
        <w:rPr>
          <w:rFonts w:ascii="Times New Roman" w:hAnsi="Times New Roman" w:cs="Times New Roman"/>
          <w:sz w:val="24"/>
          <w:szCs w:val="24"/>
        </w:rPr>
        <w:t xml:space="preserve"> 4928.143(C) require</w:t>
      </w:r>
      <w:r>
        <w:rPr>
          <w:rFonts w:ascii="Times New Roman" w:hAnsi="Times New Roman" w:cs="Times New Roman"/>
          <w:sz w:val="24"/>
          <w:szCs w:val="24"/>
        </w:rPr>
        <w:t>s</w:t>
      </w:r>
      <w:r w:rsidRPr="00E20CB5">
        <w:rPr>
          <w:rFonts w:ascii="Times New Roman" w:hAnsi="Times New Roman" w:cs="Times New Roman"/>
          <w:sz w:val="24"/>
          <w:szCs w:val="24"/>
        </w:rPr>
        <w:t xml:space="preserve"> that the PUCO </w:t>
      </w:r>
      <w:r>
        <w:rPr>
          <w:rFonts w:ascii="Times New Roman" w:hAnsi="Times New Roman" w:cs="Times New Roman"/>
          <w:sz w:val="24"/>
          <w:szCs w:val="24"/>
        </w:rPr>
        <w:t>reject</w:t>
      </w:r>
      <w:r w:rsidRPr="00E20CB5">
        <w:rPr>
          <w:rFonts w:ascii="Times New Roman" w:hAnsi="Times New Roman" w:cs="Times New Roman"/>
          <w:sz w:val="24"/>
          <w:szCs w:val="24"/>
        </w:rPr>
        <w:t xml:space="preserve"> an ESP </w:t>
      </w:r>
      <w:r>
        <w:rPr>
          <w:rFonts w:ascii="Times New Roman" w:hAnsi="Times New Roman" w:cs="Times New Roman"/>
          <w:sz w:val="24"/>
          <w:szCs w:val="24"/>
        </w:rPr>
        <w:t>unless</w:t>
      </w:r>
      <w:r w:rsidRPr="00E20CB5">
        <w:rPr>
          <w:rFonts w:ascii="Times New Roman" w:hAnsi="Times New Roman" w:cs="Times New Roman"/>
          <w:sz w:val="24"/>
          <w:szCs w:val="24"/>
        </w:rPr>
        <w:t xml:space="preserve"> it finds that the plan, including its pricing and all other terms and conditions, and any deferrals and any future recovery of deferrals, is more favorable in </w:t>
      </w:r>
      <w:r>
        <w:rPr>
          <w:rFonts w:ascii="Times New Roman" w:hAnsi="Times New Roman" w:cs="Times New Roman"/>
          <w:sz w:val="24"/>
          <w:szCs w:val="24"/>
        </w:rPr>
        <w:t>the aggregate as compare</w:t>
      </w:r>
      <w:r w:rsidRPr="00E20CB5">
        <w:rPr>
          <w:rFonts w:ascii="Times New Roman" w:hAnsi="Times New Roman" w:cs="Times New Roman"/>
          <w:sz w:val="24"/>
          <w:szCs w:val="24"/>
        </w:rPr>
        <w:t>d to the expected results that a market rate offer u</w:t>
      </w:r>
      <w:r>
        <w:rPr>
          <w:rFonts w:ascii="Times New Roman" w:hAnsi="Times New Roman" w:cs="Times New Roman"/>
          <w:sz w:val="24"/>
          <w:szCs w:val="24"/>
        </w:rPr>
        <w:t>nder</w:t>
      </w:r>
      <w:r w:rsidRPr="00E20CB5">
        <w:rPr>
          <w:rFonts w:ascii="Times New Roman" w:hAnsi="Times New Roman" w:cs="Times New Roman"/>
          <w:sz w:val="24"/>
          <w:szCs w:val="24"/>
        </w:rPr>
        <w:t xml:space="preserve"> R.C. 4928.142.</w:t>
      </w:r>
      <w:r>
        <w:rPr>
          <w:rStyle w:val="FootnoteReference"/>
          <w:rFonts w:ascii="Times New Roman" w:hAnsi="Times New Roman" w:cs="Times New Roman"/>
          <w:sz w:val="24"/>
          <w:szCs w:val="24"/>
        </w:rPr>
        <w:footnoteReference w:id="128"/>
      </w:r>
      <w:r w:rsidRPr="00E20C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CB5">
        <w:rPr>
          <w:rFonts w:ascii="Times New Roman" w:hAnsi="Times New Roman" w:cs="Times New Roman"/>
          <w:sz w:val="24"/>
          <w:szCs w:val="24"/>
        </w:rPr>
        <w:t xml:space="preserve">AEP </w:t>
      </w:r>
      <w:r>
        <w:rPr>
          <w:rFonts w:ascii="Times New Roman" w:hAnsi="Times New Roman" w:cs="Times New Roman"/>
          <w:sz w:val="24"/>
          <w:szCs w:val="24"/>
        </w:rPr>
        <w:t xml:space="preserve">Ohio </w:t>
      </w:r>
      <w:r w:rsidRPr="00E20CB5">
        <w:rPr>
          <w:rFonts w:ascii="Times New Roman" w:hAnsi="Times New Roman" w:cs="Times New Roman"/>
          <w:sz w:val="24"/>
          <w:szCs w:val="24"/>
        </w:rPr>
        <w:t xml:space="preserve">believes that the MRO test finding made in the </w:t>
      </w:r>
      <w:r w:rsidRPr="003C3C1C">
        <w:rPr>
          <w:rFonts w:ascii="Times New Roman" w:hAnsi="Times New Roman" w:cs="Times New Roman"/>
          <w:sz w:val="24"/>
          <w:szCs w:val="24"/>
        </w:rPr>
        <w:t>ESP III</w:t>
      </w:r>
      <w:r w:rsidRPr="00E20CB5">
        <w:rPr>
          <w:rFonts w:ascii="Times New Roman" w:hAnsi="Times New Roman" w:cs="Times New Roman"/>
          <w:sz w:val="24"/>
          <w:szCs w:val="24"/>
        </w:rPr>
        <w:t xml:space="preserve"> decision </w:t>
      </w:r>
      <w:r>
        <w:rPr>
          <w:rFonts w:ascii="Times New Roman" w:hAnsi="Times New Roman" w:cs="Times New Roman"/>
          <w:sz w:val="24"/>
          <w:szCs w:val="24"/>
        </w:rPr>
        <w:t>is</w:t>
      </w:r>
      <w:r w:rsidRPr="00E20CB5">
        <w:rPr>
          <w:rFonts w:ascii="Times New Roman" w:hAnsi="Times New Roman" w:cs="Times New Roman"/>
          <w:sz w:val="24"/>
          <w:szCs w:val="24"/>
        </w:rPr>
        <w:t xml:space="preserve"> still applicable and </w:t>
      </w:r>
      <w:r>
        <w:rPr>
          <w:rFonts w:ascii="Times New Roman" w:hAnsi="Times New Roman" w:cs="Times New Roman"/>
          <w:sz w:val="24"/>
          <w:szCs w:val="24"/>
        </w:rPr>
        <w:t xml:space="preserve">adopting </w:t>
      </w:r>
      <w:r w:rsidRPr="00E20CB5">
        <w:rPr>
          <w:rFonts w:ascii="Times New Roman" w:hAnsi="Times New Roman" w:cs="Times New Roman"/>
          <w:sz w:val="24"/>
          <w:szCs w:val="24"/>
        </w:rPr>
        <w:t xml:space="preserve">the </w:t>
      </w:r>
      <w:r>
        <w:rPr>
          <w:rFonts w:ascii="Times New Roman" w:hAnsi="Times New Roman" w:cs="Times New Roman"/>
          <w:sz w:val="24"/>
          <w:szCs w:val="24"/>
        </w:rPr>
        <w:t xml:space="preserve">Joint </w:t>
      </w:r>
      <w:r w:rsidRPr="00E20CB5">
        <w:rPr>
          <w:rFonts w:ascii="Times New Roman" w:hAnsi="Times New Roman" w:cs="Times New Roman"/>
          <w:sz w:val="24"/>
          <w:szCs w:val="24"/>
        </w:rPr>
        <w:t>Stipulation</w:t>
      </w:r>
      <w:r>
        <w:rPr>
          <w:rFonts w:ascii="Times New Roman" w:hAnsi="Times New Roman" w:cs="Times New Roman"/>
          <w:sz w:val="24"/>
          <w:szCs w:val="24"/>
        </w:rPr>
        <w:t xml:space="preserve"> will only enhance it</w:t>
      </w:r>
      <w:r w:rsidRPr="00E20CB5">
        <w:rPr>
          <w:rFonts w:ascii="Times New Roman" w:hAnsi="Times New Roman" w:cs="Times New Roman"/>
          <w:sz w:val="24"/>
          <w:szCs w:val="24"/>
        </w:rPr>
        <w:t>.</w:t>
      </w:r>
      <w:r w:rsidRPr="00E20CB5">
        <w:rPr>
          <w:rStyle w:val="FootnoteReference"/>
          <w:rFonts w:ascii="Times New Roman" w:hAnsi="Times New Roman" w:cs="Times New Roman"/>
          <w:sz w:val="24"/>
          <w:szCs w:val="24"/>
        </w:rPr>
        <w:footnoteReference w:id="129"/>
      </w:r>
      <w:r w:rsidRPr="00E20CB5">
        <w:rPr>
          <w:rFonts w:ascii="Times New Roman" w:hAnsi="Times New Roman" w:cs="Times New Roman"/>
          <w:sz w:val="24"/>
          <w:szCs w:val="24"/>
        </w:rPr>
        <w:t xml:space="preserve"> </w:t>
      </w:r>
      <w:r>
        <w:rPr>
          <w:rFonts w:ascii="Times New Roman" w:hAnsi="Times New Roman" w:cs="Times New Roman"/>
          <w:sz w:val="24"/>
          <w:szCs w:val="24"/>
        </w:rPr>
        <w:t xml:space="preserve"> Though the PUCO determined that AEP Ohio</w:t>
      </w:r>
      <w:r w:rsidR="00130F92">
        <w:rPr>
          <w:rFonts w:ascii="Times New Roman" w:hAnsi="Times New Roman" w:cs="Times New Roman"/>
          <w:sz w:val="24"/>
          <w:szCs w:val="24"/>
        </w:rPr>
        <w:t>’</w:t>
      </w:r>
      <w:r>
        <w:rPr>
          <w:rFonts w:ascii="Times New Roman" w:hAnsi="Times New Roman" w:cs="Times New Roman"/>
          <w:sz w:val="24"/>
          <w:szCs w:val="24"/>
        </w:rPr>
        <w:t xml:space="preserve">s ESP was more favorable in the aggregate than the expected results under an MRO, the PUCO must now consider the significant impact that the PPA Rider will have on that result.  </w:t>
      </w:r>
      <w:r w:rsidR="00DC775D">
        <w:rPr>
          <w:rFonts w:ascii="Times New Roman" w:hAnsi="Times New Roman" w:cs="Times New Roman"/>
          <w:sz w:val="24"/>
          <w:szCs w:val="24"/>
        </w:rPr>
        <w:t>Only quantitative factors should be used for that assessment, under Ohio law.</w:t>
      </w:r>
      <w:r w:rsidR="00E312B8">
        <w:rPr>
          <w:rStyle w:val="FootnoteReference"/>
          <w:rFonts w:ascii="Times New Roman" w:hAnsi="Times New Roman" w:cs="Times New Roman"/>
          <w:sz w:val="24"/>
          <w:szCs w:val="24"/>
        </w:rPr>
        <w:footnoteReference w:id="130"/>
      </w:r>
    </w:p>
    <w:p w:rsidR="00A04595" w:rsidRDefault="00A04595" w:rsidP="00EC3468">
      <w:pPr>
        <w:spacing w:after="0" w:line="480" w:lineRule="auto"/>
        <w:ind w:firstLine="720"/>
        <w:rPr>
          <w:rFonts w:ascii="Times New Roman" w:hAnsi="Times New Roman" w:cs="Times New Roman"/>
          <w:sz w:val="24"/>
          <w:szCs w:val="24"/>
        </w:rPr>
      </w:pPr>
      <w:r w:rsidRPr="00E20CB5">
        <w:rPr>
          <w:rFonts w:ascii="Times New Roman" w:hAnsi="Times New Roman" w:cs="Times New Roman"/>
          <w:sz w:val="24"/>
          <w:szCs w:val="24"/>
        </w:rPr>
        <w:t xml:space="preserve">AEP </w:t>
      </w:r>
      <w:r>
        <w:rPr>
          <w:rFonts w:ascii="Times New Roman" w:hAnsi="Times New Roman" w:cs="Times New Roman"/>
          <w:sz w:val="24"/>
          <w:szCs w:val="24"/>
        </w:rPr>
        <w:t xml:space="preserve">Ohio </w:t>
      </w:r>
      <w:r w:rsidRPr="00E20CB5">
        <w:rPr>
          <w:rFonts w:ascii="Times New Roman" w:hAnsi="Times New Roman" w:cs="Times New Roman"/>
          <w:sz w:val="24"/>
          <w:szCs w:val="24"/>
        </w:rPr>
        <w:t xml:space="preserve">argues that OCC </w:t>
      </w:r>
      <w:r>
        <w:rPr>
          <w:rFonts w:ascii="Times New Roman" w:hAnsi="Times New Roman" w:cs="Times New Roman"/>
          <w:sz w:val="24"/>
          <w:szCs w:val="24"/>
        </w:rPr>
        <w:t>W</w:t>
      </w:r>
      <w:r w:rsidRPr="00E20CB5">
        <w:rPr>
          <w:rFonts w:ascii="Times New Roman" w:hAnsi="Times New Roman" w:cs="Times New Roman"/>
          <w:sz w:val="24"/>
          <w:szCs w:val="24"/>
        </w:rPr>
        <w:t xml:space="preserve">itnesses Hixon and Haugh focus on only one half of the relevant MRO versus ESP test. </w:t>
      </w:r>
      <w:r>
        <w:rPr>
          <w:rFonts w:ascii="Times New Roman" w:hAnsi="Times New Roman" w:cs="Times New Roman"/>
          <w:sz w:val="24"/>
          <w:szCs w:val="24"/>
        </w:rPr>
        <w:t xml:space="preserve"> AEP Ohio contends that the PUCO can engage in both a quantitative and qualitative analysis to make its determination under the test. </w:t>
      </w:r>
      <w:r w:rsidR="00514D38">
        <w:rPr>
          <w:rFonts w:ascii="Times New Roman" w:hAnsi="Times New Roman" w:cs="Times New Roman"/>
          <w:sz w:val="24"/>
          <w:szCs w:val="24"/>
        </w:rPr>
        <w:t xml:space="preserve"> </w:t>
      </w:r>
      <w:r>
        <w:rPr>
          <w:rFonts w:ascii="Times New Roman" w:hAnsi="Times New Roman" w:cs="Times New Roman"/>
          <w:sz w:val="24"/>
          <w:szCs w:val="24"/>
        </w:rPr>
        <w:t xml:space="preserve">If the PUCO were to approve the Joint Stipulation, the cost to customers would be approximately $580 million and the benefits flowing to customer $53 million, leaving a net cost </w:t>
      </w:r>
      <w:r w:rsidR="00EF1413">
        <w:rPr>
          <w:rFonts w:ascii="Times New Roman" w:hAnsi="Times New Roman" w:cs="Times New Roman"/>
          <w:sz w:val="24"/>
          <w:szCs w:val="24"/>
        </w:rPr>
        <w:t xml:space="preserve">to consumers </w:t>
      </w:r>
      <w:r>
        <w:rPr>
          <w:rFonts w:ascii="Times New Roman" w:hAnsi="Times New Roman" w:cs="Times New Roman"/>
          <w:sz w:val="24"/>
          <w:szCs w:val="24"/>
        </w:rPr>
        <w:t xml:space="preserve">of $527 million for the current ESP.  </w:t>
      </w:r>
      <w:r w:rsidR="00514D38">
        <w:rPr>
          <w:rFonts w:ascii="Times New Roman" w:hAnsi="Times New Roman" w:cs="Times New Roman"/>
          <w:sz w:val="24"/>
          <w:szCs w:val="24"/>
        </w:rPr>
        <w:t>AEP Ohio</w:t>
      </w:r>
      <w:r>
        <w:rPr>
          <w:rFonts w:ascii="Times New Roman" w:hAnsi="Times New Roman" w:cs="Times New Roman"/>
          <w:sz w:val="24"/>
          <w:szCs w:val="24"/>
        </w:rPr>
        <w:t xml:space="preserve"> critiques OCC</w:t>
      </w:r>
      <w:r w:rsidR="00130F92">
        <w:rPr>
          <w:rFonts w:ascii="Times New Roman" w:hAnsi="Times New Roman" w:cs="Times New Roman"/>
          <w:sz w:val="24"/>
          <w:szCs w:val="24"/>
        </w:rPr>
        <w:t>’</w:t>
      </w:r>
      <w:r>
        <w:rPr>
          <w:rFonts w:ascii="Times New Roman" w:hAnsi="Times New Roman" w:cs="Times New Roman"/>
          <w:sz w:val="24"/>
          <w:szCs w:val="24"/>
        </w:rPr>
        <w:t xml:space="preserve">s </w:t>
      </w:r>
      <w:r w:rsidR="00514D38">
        <w:rPr>
          <w:rFonts w:ascii="Times New Roman" w:hAnsi="Times New Roman" w:cs="Times New Roman"/>
          <w:sz w:val="24"/>
          <w:szCs w:val="24"/>
        </w:rPr>
        <w:t>W</w:t>
      </w:r>
      <w:r>
        <w:rPr>
          <w:rFonts w:ascii="Times New Roman" w:hAnsi="Times New Roman" w:cs="Times New Roman"/>
          <w:sz w:val="24"/>
          <w:szCs w:val="24"/>
        </w:rPr>
        <w:t xml:space="preserve">itnesses Hixon and Haugh, but offers no rationale to support qualitative benefits that outweigh the $527 million cost </w:t>
      </w:r>
      <w:r w:rsidR="00EF1413">
        <w:rPr>
          <w:rFonts w:ascii="Times New Roman" w:hAnsi="Times New Roman" w:cs="Times New Roman"/>
          <w:sz w:val="24"/>
          <w:szCs w:val="24"/>
        </w:rPr>
        <w:t xml:space="preserve">to consumers </w:t>
      </w:r>
      <w:r>
        <w:rPr>
          <w:rFonts w:ascii="Times New Roman" w:hAnsi="Times New Roman" w:cs="Times New Roman"/>
          <w:sz w:val="24"/>
          <w:szCs w:val="24"/>
        </w:rPr>
        <w:t>of the ESP</w:t>
      </w:r>
      <w:r w:rsidR="0098507F">
        <w:rPr>
          <w:rFonts w:ascii="Times New Roman" w:hAnsi="Times New Roman" w:cs="Times New Roman"/>
          <w:sz w:val="24"/>
          <w:szCs w:val="24"/>
        </w:rPr>
        <w:t>,</w:t>
      </w:r>
      <w:r>
        <w:rPr>
          <w:rFonts w:ascii="Times New Roman" w:hAnsi="Times New Roman" w:cs="Times New Roman"/>
          <w:sz w:val="24"/>
          <w:szCs w:val="24"/>
        </w:rPr>
        <w:t xml:space="preserve"> were the Joint Stipulation approved.  AEP </w:t>
      </w:r>
      <w:r w:rsidR="00514D38">
        <w:rPr>
          <w:rFonts w:ascii="Times New Roman" w:hAnsi="Times New Roman" w:cs="Times New Roman"/>
          <w:sz w:val="24"/>
          <w:szCs w:val="24"/>
        </w:rPr>
        <w:t xml:space="preserve">Ohio </w:t>
      </w:r>
      <w:r>
        <w:rPr>
          <w:rFonts w:ascii="Times New Roman" w:hAnsi="Times New Roman" w:cs="Times New Roman"/>
          <w:sz w:val="24"/>
          <w:szCs w:val="24"/>
        </w:rPr>
        <w:t>stated that that the OCC</w:t>
      </w:r>
      <w:r w:rsidR="00130F92">
        <w:rPr>
          <w:rFonts w:ascii="Times New Roman" w:hAnsi="Times New Roman" w:cs="Times New Roman"/>
          <w:sz w:val="24"/>
          <w:szCs w:val="24"/>
        </w:rPr>
        <w:t>’</w:t>
      </w:r>
      <w:r>
        <w:rPr>
          <w:rFonts w:ascii="Times New Roman" w:hAnsi="Times New Roman" w:cs="Times New Roman"/>
          <w:sz w:val="24"/>
          <w:szCs w:val="24"/>
        </w:rPr>
        <w:t>s position disregards the PPA Rider</w:t>
      </w:r>
      <w:r w:rsidR="00130F92">
        <w:rPr>
          <w:rFonts w:ascii="Times New Roman" w:hAnsi="Times New Roman" w:cs="Times New Roman"/>
          <w:sz w:val="24"/>
          <w:szCs w:val="24"/>
        </w:rPr>
        <w:t>’</w:t>
      </w:r>
      <w:r>
        <w:rPr>
          <w:rFonts w:ascii="Times New Roman" w:hAnsi="Times New Roman" w:cs="Times New Roman"/>
          <w:sz w:val="24"/>
          <w:szCs w:val="24"/>
        </w:rPr>
        <w:t>s substantial benefits,</w:t>
      </w:r>
      <w:r>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but makes absolutely no mention of what those benefits would be that outweigh the $527 million cost</w:t>
      </w:r>
      <w:r w:rsidR="00EF1413">
        <w:rPr>
          <w:rFonts w:ascii="Times New Roman" w:hAnsi="Times New Roman" w:cs="Times New Roman"/>
          <w:sz w:val="24"/>
          <w:szCs w:val="24"/>
        </w:rPr>
        <w:t xml:space="preserve"> to consumers</w:t>
      </w:r>
      <w:r>
        <w:rPr>
          <w:rFonts w:ascii="Times New Roman" w:hAnsi="Times New Roman" w:cs="Times New Roman"/>
          <w:sz w:val="24"/>
          <w:szCs w:val="24"/>
        </w:rPr>
        <w:t>.</w:t>
      </w:r>
    </w:p>
    <w:p w:rsidR="00A04595" w:rsidRDefault="00A04595" w:rsidP="00EC34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at a minimum, </w:t>
      </w:r>
      <w:r w:rsidR="00995B22">
        <w:rPr>
          <w:rFonts w:ascii="Times New Roman" w:hAnsi="Times New Roman" w:cs="Times New Roman"/>
          <w:sz w:val="24"/>
          <w:szCs w:val="24"/>
        </w:rPr>
        <w:t xml:space="preserve">34 </w:t>
      </w:r>
      <w:r>
        <w:rPr>
          <w:rFonts w:ascii="Times New Roman" w:hAnsi="Times New Roman" w:cs="Times New Roman"/>
          <w:sz w:val="24"/>
          <w:szCs w:val="24"/>
        </w:rPr>
        <w:t>promises contained in the Joint Stipulation.</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AEP Ohio would have the PUCO count the </w:t>
      </w:r>
      <w:r w:rsidR="00995B22">
        <w:rPr>
          <w:rFonts w:ascii="Times New Roman" w:hAnsi="Times New Roman" w:cs="Times New Roman"/>
          <w:sz w:val="24"/>
          <w:szCs w:val="24"/>
        </w:rPr>
        <w:t xml:space="preserve">34 </w:t>
      </w:r>
      <w:r>
        <w:rPr>
          <w:rFonts w:ascii="Times New Roman" w:hAnsi="Times New Roman" w:cs="Times New Roman"/>
          <w:sz w:val="24"/>
          <w:szCs w:val="24"/>
        </w:rPr>
        <w:t xml:space="preserve">promises in the MRO </w:t>
      </w:r>
      <w:r w:rsidR="00514D38">
        <w:rPr>
          <w:rFonts w:ascii="Times New Roman" w:hAnsi="Times New Roman" w:cs="Times New Roman"/>
          <w:sz w:val="24"/>
          <w:szCs w:val="24"/>
        </w:rPr>
        <w:t>versus</w:t>
      </w:r>
      <w:r>
        <w:rPr>
          <w:rFonts w:ascii="Times New Roman" w:hAnsi="Times New Roman" w:cs="Times New Roman"/>
          <w:sz w:val="24"/>
          <w:szCs w:val="24"/>
        </w:rPr>
        <w:t xml:space="preserve"> ESP test.</w:t>
      </w:r>
      <w:r>
        <w:rPr>
          <w:rStyle w:val="FootnoteReference"/>
          <w:rFonts w:ascii="Times New Roman" w:hAnsi="Times New Roman" w:cs="Times New Roman"/>
          <w:sz w:val="24"/>
          <w:szCs w:val="24"/>
        </w:rPr>
        <w:footnoteReference w:id="133"/>
      </w:r>
      <w:r>
        <w:rPr>
          <w:rFonts w:ascii="Times New Roman" w:hAnsi="Times New Roman" w:cs="Times New Roman"/>
          <w:sz w:val="24"/>
          <w:szCs w:val="24"/>
        </w:rPr>
        <w:t xml:space="preserve">  But were the PUCO to include the </w:t>
      </w:r>
      <w:r w:rsidR="00995B22">
        <w:rPr>
          <w:rFonts w:ascii="Times New Roman" w:hAnsi="Times New Roman" w:cs="Times New Roman"/>
          <w:sz w:val="24"/>
          <w:szCs w:val="24"/>
        </w:rPr>
        <w:t xml:space="preserve">34 </w:t>
      </w:r>
      <w:r>
        <w:rPr>
          <w:rFonts w:ascii="Times New Roman" w:hAnsi="Times New Roman" w:cs="Times New Roman"/>
          <w:sz w:val="24"/>
          <w:szCs w:val="24"/>
        </w:rPr>
        <w:t xml:space="preserve">promises in its MRO </w:t>
      </w:r>
      <w:r w:rsidR="00514D38">
        <w:rPr>
          <w:rFonts w:ascii="Times New Roman" w:hAnsi="Times New Roman" w:cs="Times New Roman"/>
          <w:sz w:val="24"/>
          <w:szCs w:val="24"/>
        </w:rPr>
        <w:t>versus</w:t>
      </w:r>
      <w:r>
        <w:rPr>
          <w:rFonts w:ascii="Times New Roman" w:hAnsi="Times New Roman" w:cs="Times New Roman"/>
          <w:sz w:val="24"/>
          <w:szCs w:val="24"/>
        </w:rPr>
        <w:t xml:space="preserve"> ESP analysis</w:t>
      </w:r>
      <w:r w:rsidR="00514D38">
        <w:rPr>
          <w:rFonts w:ascii="Times New Roman" w:hAnsi="Times New Roman" w:cs="Times New Roman"/>
          <w:sz w:val="24"/>
          <w:szCs w:val="24"/>
        </w:rPr>
        <w:t>,</w:t>
      </w:r>
      <w:r>
        <w:rPr>
          <w:rFonts w:ascii="Times New Roman" w:hAnsi="Times New Roman" w:cs="Times New Roman"/>
          <w:sz w:val="24"/>
          <w:szCs w:val="24"/>
        </w:rPr>
        <w:t xml:space="preserve"> they would only make the ESP </w:t>
      </w:r>
      <w:r w:rsidRPr="003C3C1C">
        <w:rPr>
          <w:rFonts w:ascii="Times New Roman" w:hAnsi="Times New Roman" w:cs="Times New Roman"/>
          <w:i/>
          <w:sz w:val="24"/>
          <w:szCs w:val="24"/>
        </w:rPr>
        <w:t>fail</w:t>
      </w:r>
      <w:r>
        <w:rPr>
          <w:rFonts w:ascii="Times New Roman" w:hAnsi="Times New Roman" w:cs="Times New Roman"/>
          <w:sz w:val="24"/>
          <w:szCs w:val="24"/>
        </w:rPr>
        <w:t xml:space="preserve"> the MRO </w:t>
      </w:r>
      <w:r w:rsidR="00514D38">
        <w:rPr>
          <w:rFonts w:ascii="Times New Roman" w:hAnsi="Times New Roman" w:cs="Times New Roman"/>
          <w:sz w:val="24"/>
          <w:szCs w:val="24"/>
        </w:rPr>
        <w:t>versus</w:t>
      </w:r>
      <w:r>
        <w:rPr>
          <w:rFonts w:ascii="Times New Roman" w:hAnsi="Times New Roman" w:cs="Times New Roman"/>
          <w:sz w:val="24"/>
          <w:szCs w:val="24"/>
        </w:rPr>
        <w:t xml:space="preserve"> ESP test.  The </w:t>
      </w:r>
      <w:r w:rsidR="00995B22">
        <w:rPr>
          <w:rFonts w:ascii="Times New Roman" w:hAnsi="Times New Roman" w:cs="Times New Roman"/>
          <w:sz w:val="24"/>
          <w:szCs w:val="24"/>
        </w:rPr>
        <w:t xml:space="preserve">34 </w:t>
      </w:r>
      <w:r>
        <w:rPr>
          <w:rFonts w:ascii="Times New Roman" w:hAnsi="Times New Roman" w:cs="Times New Roman"/>
          <w:sz w:val="24"/>
          <w:szCs w:val="24"/>
        </w:rPr>
        <w:t xml:space="preserve">promises will increase costs to customers, thereby driving the cost of the ESP well beyond the $527 million.  </w:t>
      </w:r>
    </w:p>
    <w:p w:rsidR="00A04595" w:rsidRDefault="00A04595" w:rsidP="00EC34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will be costs converting Conesville Units 5 and 6 to gas co-fired units. They are not accounted for.</w:t>
      </w:r>
      <w:r>
        <w:rPr>
          <w:rStyle w:val="FootnoteReference"/>
          <w:rFonts w:ascii="Times New Roman" w:hAnsi="Times New Roman" w:cs="Times New Roman"/>
          <w:sz w:val="24"/>
          <w:szCs w:val="24"/>
        </w:rPr>
        <w:footnoteReference w:id="134"/>
      </w:r>
      <w:r>
        <w:rPr>
          <w:rFonts w:ascii="Times New Roman" w:hAnsi="Times New Roman" w:cs="Times New Roman"/>
          <w:sz w:val="24"/>
          <w:szCs w:val="24"/>
        </w:rPr>
        <w:t xml:space="preserve">  There will be an additional yet-to-be-accounted-for cost impact on consumers of reducing AEP Ohio</w:t>
      </w:r>
      <w:r w:rsidR="00130F92">
        <w:rPr>
          <w:rFonts w:ascii="Times New Roman" w:hAnsi="Times New Roman" w:cs="Times New Roman"/>
          <w:sz w:val="24"/>
          <w:szCs w:val="24"/>
        </w:rPr>
        <w:t>’</w:t>
      </w:r>
      <w:r>
        <w:rPr>
          <w:rFonts w:ascii="Times New Roman" w:hAnsi="Times New Roman" w:cs="Times New Roman"/>
          <w:sz w:val="24"/>
          <w:szCs w:val="24"/>
        </w:rPr>
        <w:t>s reliance on coal/lignite generation from 74 percent in 2005 to 48 percent in 2026.</w:t>
      </w:r>
      <w:r>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There will be a cost to consumers for increasing energy efficiency/demand response from less than </w:t>
      </w:r>
      <w:r w:rsidR="00EF1413">
        <w:rPr>
          <w:rFonts w:ascii="Times New Roman" w:hAnsi="Times New Roman" w:cs="Times New Roman"/>
          <w:sz w:val="24"/>
          <w:szCs w:val="24"/>
        </w:rPr>
        <w:t>one</w:t>
      </w:r>
      <w:r>
        <w:rPr>
          <w:rFonts w:ascii="Times New Roman" w:hAnsi="Times New Roman" w:cs="Times New Roman"/>
          <w:sz w:val="24"/>
          <w:szCs w:val="24"/>
        </w:rPr>
        <w:t xml:space="preserve"> percent in 2005 to </w:t>
      </w:r>
      <w:r w:rsidR="00EF1413">
        <w:rPr>
          <w:rFonts w:ascii="Times New Roman" w:hAnsi="Times New Roman" w:cs="Times New Roman"/>
          <w:sz w:val="24"/>
          <w:szCs w:val="24"/>
        </w:rPr>
        <w:t xml:space="preserve">six </w:t>
      </w:r>
      <w:r>
        <w:rPr>
          <w:rFonts w:ascii="Times New Roman" w:hAnsi="Times New Roman" w:cs="Times New Roman"/>
          <w:sz w:val="24"/>
          <w:szCs w:val="24"/>
        </w:rPr>
        <w:t>percent in 2026.</w:t>
      </w:r>
      <w:r>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There will be a cost to consumers for the battery resources that AEP Ohio will include in future filings.</w:t>
      </w:r>
      <w:r>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There are </w:t>
      </w:r>
      <w:r w:rsidR="00995B22">
        <w:rPr>
          <w:rFonts w:ascii="Times New Roman" w:hAnsi="Times New Roman" w:cs="Times New Roman"/>
          <w:sz w:val="24"/>
          <w:szCs w:val="24"/>
        </w:rPr>
        <w:t xml:space="preserve">34 </w:t>
      </w:r>
      <w:r>
        <w:rPr>
          <w:rFonts w:ascii="Times New Roman" w:hAnsi="Times New Roman" w:cs="Times New Roman"/>
          <w:sz w:val="24"/>
          <w:szCs w:val="24"/>
        </w:rPr>
        <w:t xml:space="preserve">of these promises that AEP Ohio believes are </w:t>
      </w:r>
      <w:r w:rsidR="00130F92">
        <w:rPr>
          <w:rFonts w:ascii="Times New Roman" w:hAnsi="Times New Roman" w:cs="Times New Roman"/>
          <w:sz w:val="24"/>
          <w:szCs w:val="24"/>
        </w:rPr>
        <w:t>“</w:t>
      </w:r>
      <w:r>
        <w:rPr>
          <w:rFonts w:ascii="Times New Roman" w:hAnsi="Times New Roman" w:cs="Times New Roman"/>
          <w:sz w:val="24"/>
          <w:szCs w:val="24"/>
        </w:rPr>
        <w:t>benefits</w:t>
      </w:r>
      <w:r w:rsidR="00130F92">
        <w:rPr>
          <w:rFonts w:ascii="Times New Roman" w:hAnsi="Times New Roman" w:cs="Times New Roman"/>
          <w:sz w:val="24"/>
          <w:szCs w:val="24"/>
        </w:rPr>
        <w:t>”</w:t>
      </w:r>
      <w:r>
        <w:rPr>
          <w:rFonts w:ascii="Times New Roman" w:hAnsi="Times New Roman" w:cs="Times New Roman"/>
          <w:sz w:val="24"/>
          <w:szCs w:val="24"/>
        </w:rPr>
        <w:t xml:space="preserve"> that OCC Witnesses Hixon and Haugh fail to account for.  But the promises come at a cost to consumers, and that cost is unknown</w:t>
      </w:r>
      <w:r w:rsidR="00EF1413">
        <w:rPr>
          <w:rFonts w:ascii="Times New Roman" w:hAnsi="Times New Roman" w:cs="Times New Roman"/>
          <w:sz w:val="24"/>
          <w:szCs w:val="24"/>
        </w:rPr>
        <w:t xml:space="preserve"> but will not be insignificant</w:t>
      </w:r>
      <w:r>
        <w:rPr>
          <w:rFonts w:ascii="Times New Roman" w:hAnsi="Times New Roman" w:cs="Times New Roman"/>
          <w:sz w:val="24"/>
          <w:szCs w:val="24"/>
        </w:rPr>
        <w:t xml:space="preserve">. </w:t>
      </w:r>
    </w:p>
    <w:p w:rsidR="00A04595" w:rsidRDefault="00A04595" w:rsidP="00F023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Joint Stipulation, including the PPA Rider, </w:t>
      </w:r>
      <w:r w:rsidR="00514D38">
        <w:rPr>
          <w:rFonts w:ascii="Times New Roman" w:hAnsi="Times New Roman" w:cs="Times New Roman"/>
          <w:sz w:val="24"/>
          <w:szCs w:val="24"/>
        </w:rPr>
        <w:t>would cause the current ESP to fail</w:t>
      </w:r>
      <w:r>
        <w:rPr>
          <w:rFonts w:ascii="Times New Roman" w:hAnsi="Times New Roman" w:cs="Times New Roman"/>
          <w:sz w:val="24"/>
          <w:szCs w:val="24"/>
        </w:rPr>
        <w:t xml:space="preserve"> the MRO </w:t>
      </w:r>
      <w:r w:rsidR="00514D38">
        <w:rPr>
          <w:rFonts w:ascii="Times New Roman" w:hAnsi="Times New Roman" w:cs="Times New Roman"/>
          <w:sz w:val="24"/>
          <w:szCs w:val="24"/>
        </w:rPr>
        <w:t>versus</w:t>
      </w:r>
      <w:r>
        <w:rPr>
          <w:rFonts w:ascii="Times New Roman" w:hAnsi="Times New Roman" w:cs="Times New Roman"/>
          <w:sz w:val="24"/>
          <w:szCs w:val="24"/>
        </w:rPr>
        <w:t xml:space="preserve"> ESP test by </w:t>
      </w:r>
      <w:r w:rsidR="00EF1413">
        <w:rPr>
          <w:rFonts w:ascii="Times New Roman" w:hAnsi="Times New Roman" w:cs="Times New Roman"/>
          <w:sz w:val="24"/>
          <w:szCs w:val="24"/>
        </w:rPr>
        <w:t xml:space="preserve">at least </w:t>
      </w:r>
      <w:r>
        <w:rPr>
          <w:rFonts w:ascii="Times New Roman" w:hAnsi="Times New Roman" w:cs="Times New Roman"/>
          <w:sz w:val="24"/>
          <w:szCs w:val="24"/>
        </w:rPr>
        <w:t>$527 million.  Adding AEP Ohio</w:t>
      </w:r>
      <w:r w:rsidR="00130F92">
        <w:rPr>
          <w:rFonts w:ascii="Times New Roman" w:hAnsi="Times New Roman" w:cs="Times New Roman"/>
          <w:sz w:val="24"/>
          <w:szCs w:val="24"/>
        </w:rPr>
        <w:t>’</w:t>
      </w:r>
      <w:r>
        <w:rPr>
          <w:rFonts w:ascii="Times New Roman" w:hAnsi="Times New Roman" w:cs="Times New Roman"/>
          <w:sz w:val="24"/>
          <w:szCs w:val="24"/>
        </w:rPr>
        <w:t xml:space="preserve">s purported </w:t>
      </w:r>
      <w:r w:rsidR="00130F92">
        <w:rPr>
          <w:rFonts w:ascii="Times New Roman" w:hAnsi="Times New Roman" w:cs="Times New Roman"/>
          <w:sz w:val="24"/>
          <w:szCs w:val="24"/>
        </w:rPr>
        <w:t>“</w:t>
      </w:r>
      <w:r>
        <w:rPr>
          <w:rFonts w:ascii="Times New Roman" w:hAnsi="Times New Roman" w:cs="Times New Roman"/>
          <w:sz w:val="24"/>
          <w:szCs w:val="24"/>
        </w:rPr>
        <w:t>benefits</w:t>
      </w:r>
      <w:r w:rsidR="00130F92">
        <w:rPr>
          <w:rFonts w:ascii="Times New Roman" w:hAnsi="Times New Roman" w:cs="Times New Roman"/>
          <w:sz w:val="24"/>
          <w:szCs w:val="24"/>
        </w:rPr>
        <w:t>”</w:t>
      </w:r>
      <w:r>
        <w:rPr>
          <w:rFonts w:ascii="Times New Roman" w:hAnsi="Times New Roman" w:cs="Times New Roman"/>
          <w:sz w:val="24"/>
          <w:szCs w:val="24"/>
        </w:rPr>
        <w:t xml:space="preserve"> will only more clearly show that the ESP</w:t>
      </w:r>
      <w:r w:rsidR="00514D38">
        <w:rPr>
          <w:rFonts w:ascii="Times New Roman" w:hAnsi="Times New Roman" w:cs="Times New Roman"/>
          <w:sz w:val="24"/>
          <w:szCs w:val="24"/>
        </w:rPr>
        <w:t>, plus the Joint Stipulation,</w:t>
      </w:r>
      <w:r>
        <w:rPr>
          <w:rFonts w:ascii="Times New Roman" w:hAnsi="Times New Roman" w:cs="Times New Roman"/>
          <w:sz w:val="24"/>
          <w:szCs w:val="24"/>
        </w:rPr>
        <w:t xml:space="preserve"> is not more favorable in the aggregate</w:t>
      </w:r>
      <w:r w:rsidR="00EF1413">
        <w:rPr>
          <w:rFonts w:ascii="Times New Roman" w:hAnsi="Times New Roman" w:cs="Times New Roman"/>
          <w:sz w:val="24"/>
          <w:szCs w:val="24"/>
        </w:rPr>
        <w:t xml:space="preserve"> and will harm consumers</w:t>
      </w:r>
      <w:r>
        <w:rPr>
          <w:rFonts w:ascii="Times New Roman" w:hAnsi="Times New Roman" w:cs="Times New Roman"/>
          <w:sz w:val="24"/>
          <w:szCs w:val="24"/>
        </w:rPr>
        <w:t>.</w:t>
      </w:r>
    </w:p>
    <w:p w:rsidR="00A04595" w:rsidRPr="00E66D9C" w:rsidRDefault="00C90FF1" w:rsidP="00E66D9C">
      <w:pPr>
        <w:pStyle w:val="Heading2"/>
      </w:pPr>
      <w:bookmarkStart w:id="38" w:name="_Toc442712228"/>
      <w:bookmarkStart w:id="39" w:name="_Toc442713374"/>
      <w:r>
        <w:t>J</w:t>
      </w:r>
      <w:r w:rsidR="00E66D9C">
        <w:t>.</w:t>
      </w:r>
      <w:r w:rsidR="00E66D9C">
        <w:tab/>
      </w:r>
      <w:r w:rsidR="00A04595" w:rsidRPr="00E66D9C">
        <w:t>Residential customers are not represented in the Joint Stipulation, so there is not the required diversity under the</w:t>
      </w:r>
      <w:r w:rsidR="00B34753">
        <w:t xml:space="preserve"> first of the</w:t>
      </w:r>
      <w:r w:rsidR="00A04595" w:rsidRPr="00E66D9C">
        <w:t xml:space="preserve"> three</w:t>
      </w:r>
      <w:r w:rsidR="00B34753">
        <w:t xml:space="preserve"> </w:t>
      </w:r>
      <w:r w:rsidR="00A04595" w:rsidRPr="00E66D9C">
        <w:t>prong</w:t>
      </w:r>
      <w:r w:rsidR="00B34753">
        <w:t>s</w:t>
      </w:r>
      <w:r w:rsidR="00A04595" w:rsidRPr="00E66D9C">
        <w:t xml:space="preserve"> </w:t>
      </w:r>
      <w:r w:rsidR="00B34753">
        <w:t xml:space="preserve">of the </w:t>
      </w:r>
      <w:r w:rsidR="00A04595" w:rsidRPr="00E66D9C">
        <w:t>settlement test, and AEP Ohio</w:t>
      </w:r>
      <w:r w:rsidR="00130F92">
        <w:t>’</w:t>
      </w:r>
      <w:r w:rsidR="00A04595" w:rsidRPr="00E66D9C">
        <w:t>s assertion that OCC has signed stipulations with footnotes is meaningless.</w:t>
      </w:r>
      <w:bookmarkEnd w:id="38"/>
      <w:bookmarkEnd w:id="39"/>
    </w:p>
    <w:p w:rsidR="00D649FC" w:rsidRDefault="00D649FC" w:rsidP="00E66D9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AEP Ohio criticizes OCC Witness Haugh </w:t>
      </w:r>
      <w:r w:rsidR="00B34753">
        <w:rPr>
          <w:rFonts w:ascii="Times New Roman" w:hAnsi="Times New Roman" w:cs="Times New Roman"/>
          <w:sz w:val="24"/>
          <w:szCs w:val="24"/>
        </w:rPr>
        <w:t>who</w:t>
      </w:r>
      <w:r>
        <w:rPr>
          <w:rFonts w:ascii="Times New Roman" w:hAnsi="Times New Roman" w:cs="Times New Roman"/>
          <w:sz w:val="24"/>
          <w:szCs w:val="24"/>
        </w:rPr>
        <w:t xml:space="preserve"> found that there is a lack of diversity in the Joint Stipulation </w:t>
      </w:r>
      <w:r w:rsidR="00EF1413">
        <w:rPr>
          <w:rFonts w:ascii="Times New Roman" w:hAnsi="Times New Roman" w:cs="Times New Roman"/>
          <w:sz w:val="24"/>
          <w:szCs w:val="24"/>
        </w:rPr>
        <w:t xml:space="preserve">because </w:t>
      </w:r>
      <w:r>
        <w:rPr>
          <w:rFonts w:ascii="Times New Roman" w:hAnsi="Times New Roman" w:cs="Times New Roman"/>
          <w:sz w:val="24"/>
          <w:szCs w:val="24"/>
        </w:rPr>
        <w:t>residential customers are not represented by any signatory party.</w:t>
      </w:r>
      <w:r>
        <w:rPr>
          <w:rStyle w:val="FootnoteReference"/>
          <w:rFonts w:ascii="Times New Roman" w:hAnsi="Times New Roman" w:cs="Times New Roman"/>
          <w:sz w:val="24"/>
          <w:szCs w:val="24"/>
        </w:rPr>
        <w:footnoteReference w:id="138"/>
      </w:r>
      <w:r>
        <w:rPr>
          <w:rFonts w:ascii="Times New Roman" w:hAnsi="Times New Roman" w:cs="Times New Roman"/>
          <w:sz w:val="24"/>
          <w:szCs w:val="24"/>
        </w:rPr>
        <w:t xml:space="preserve">  OCC Witness Haugh explained:  </w:t>
      </w:r>
      <w:r w:rsidR="00130F92">
        <w:rPr>
          <w:rFonts w:ascii="Times New Roman" w:hAnsi="Times New Roman" w:cs="Times New Roman"/>
          <w:sz w:val="24"/>
          <w:szCs w:val="24"/>
        </w:rPr>
        <w:t>“</w:t>
      </w:r>
      <w:r>
        <w:rPr>
          <w:rFonts w:ascii="Times New Roman" w:hAnsi="Times New Roman" w:cs="Times New Roman"/>
          <w:sz w:val="24"/>
          <w:szCs w:val="24"/>
        </w:rPr>
        <w:t>The Ohio Partner</w:t>
      </w:r>
      <w:r w:rsidR="002815AF">
        <w:rPr>
          <w:rFonts w:ascii="Times New Roman" w:hAnsi="Times New Roman" w:cs="Times New Roman"/>
          <w:sz w:val="24"/>
          <w:szCs w:val="24"/>
        </w:rPr>
        <w:t>s</w:t>
      </w:r>
      <w:r>
        <w:rPr>
          <w:rFonts w:ascii="Times New Roman" w:hAnsi="Times New Roman" w:cs="Times New Roman"/>
          <w:sz w:val="24"/>
          <w:szCs w:val="24"/>
        </w:rPr>
        <w:t xml:space="preserve"> for Affordable Energy are not representatives of residential customer</w:t>
      </w:r>
      <w:r w:rsidR="008D617D">
        <w:rPr>
          <w:rFonts w:ascii="Times New Roman" w:hAnsi="Times New Roman" w:cs="Times New Roman"/>
          <w:sz w:val="24"/>
          <w:szCs w:val="24"/>
        </w:rPr>
        <w:t>s</w:t>
      </w:r>
      <w:r>
        <w:rPr>
          <w:rFonts w:ascii="Times New Roman" w:hAnsi="Times New Roman" w:cs="Times New Roman"/>
          <w:sz w:val="24"/>
          <w:szCs w:val="24"/>
        </w:rPr>
        <w:t>. That organization represents organizations that provide weatherization services to low</w:t>
      </w:r>
      <w:r w:rsidR="00B34753">
        <w:rPr>
          <w:rFonts w:ascii="Times New Roman" w:hAnsi="Times New Roman" w:cs="Times New Roman"/>
          <w:sz w:val="24"/>
          <w:szCs w:val="24"/>
        </w:rPr>
        <w:t>-</w:t>
      </w:r>
      <w:r>
        <w:rPr>
          <w:rFonts w:ascii="Times New Roman" w:hAnsi="Times New Roman" w:cs="Times New Roman"/>
          <w:sz w:val="24"/>
          <w:szCs w:val="24"/>
        </w:rPr>
        <w:t>income customer</w:t>
      </w:r>
      <w:r w:rsidR="00EF1413">
        <w:rPr>
          <w:rFonts w:ascii="Times New Roman" w:hAnsi="Times New Roman" w:cs="Times New Roman"/>
          <w:sz w:val="24"/>
          <w:szCs w:val="24"/>
        </w:rPr>
        <w:t>s</w:t>
      </w:r>
      <w:r>
        <w:rPr>
          <w:rFonts w:ascii="Times New Roman" w:hAnsi="Times New Roman" w:cs="Times New Roman"/>
          <w:sz w:val="24"/>
          <w:szCs w:val="24"/>
        </w:rPr>
        <w:t>.</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OPAE is not advocating on residential customers</w:t>
      </w:r>
      <w:r w:rsidR="00130F92">
        <w:rPr>
          <w:rFonts w:ascii="Times New Roman" w:hAnsi="Times New Roman" w:cs="Times New Roman"/>
          <w:sz w:val="24"/>
          <w:szCs w:val="24"/>
        </w:rPr>
        <w:t>’</w:t>
      </w:r>
      <w:r>
        <w:rPr>
          <w:rFonts w:ascii="Times New Roman" w:hAnsi="Times New Roman" w:cs="Times New Roman"/>
          <w:sz w:val="24"/>
          <w:szCs w:val="24"/>
        </w:rPr>
        <w:t xml:space="preserve"> behalf regarding the unjust and unreasonable rates and charges that they may have to pay if the PUCO approves the Joint Stipulation.</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w:t>
      </w:r>
    </w:p>
    <w:p w:rsidR="00D649FC" w:rsidRDefault="00D649FC" w:rsidP="00E66D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Upon cross</w:t>
      </w:r>
      <w:r w:rsidR="00B34753">
        <w:rPr>
          <w:rFonts w:ascii="Times New Roman" w:hAnsi="Times New Roman" w:cs="Times New Roman"/>
          <w:sz w:val="24"/>
          <w:szCs w:val="24"/>
        </w:rPr>
        <w:t>-</w:t>
      </w:r>
      <w:r>
        <w:rPr>
          <w:rFonts w:ascii="Times New Roman" w:hAnsi="Times New Roman" w:cs="Times New Roman"/>
          <w:sz w:val="24"/>
          <w:szCs w:val="24"/>
        </w:rPr>
        <w:t xml:space="preserve">examination at the hearing OCC Witness Haugh was asked if the PUCO Staff looked out for residential customers.  He responded:  </w:t>
      </w:r>
      <w:r w:rsidR="00130F92">
        <w:rPr>
          <w:rFonts w:ascii="Times New Roman" w:hAnsi="Times New Roman" w:cs="Times New Roman"/>
          <w:sz w:val="24"/>
          <w:szCs w:val="24"/>
        </w:rPr>
        <w:t>“</w:t>
      </w:r>
      <w:r>
        <w:rPr>
          <w:rFonts w:ascii="Times New Roman" w:hAnsi="Times New Roman" w:cs="Times New Roman"/>
          <w:sz w:val="24"/>
          <w:szCs w:val="24"/>
        </w:rPr>
        <w:t>residential customers are not being represented as a – as a class. As an individual class.  My job, working for the residential consumer advocate, is to look out for the best interests of residential customers.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41"/>
      </w:r>
      <w:r>
        <w:rPr>
          <w:rFonts w:ascii="Times New Roman" w:hAnsi="Times New Roman" w:cs="Times New Roman"/>
          <w:sz w:val="24"/>
          <w:szCs w:val="24"/>
        </w:rPr>
        <w:t xml:space="preserve">  Put differently, Staff </w:t>
      </w:r>
      <w:r w:rsidR="00514D38">
        <w:rPr>
          <w:rFonts w:ascii="Times New Roman" w:hAnsi="Times New Roman" w:cs="Times New Roman"/>
          <w:sz w:val="24"/>
          <w:szCs w:val="24"/>
        </w:rPr>
        <w:t>looks</w:t>
      </w:r>
      <w:r>
        <w:rPr>
          <w:rFonts w:ascii="Times New Roman" w:hAnsi="Times New Roman" w:cs="Times New Roman"/>
          <w:sz w:val="24"/>
          <w:szCs w:val="24"/>
        </w:rPr>
        <w:t xml:space="preserve"> after the interests of </w:t>
      </w:r>
      <w:r>
        <w:rPr>
          <w:rFonts w:ascii="Times New Roman" w:hAnsi="Times New Roman" w:cs="Times New Roman"/>
          <w:i/>
          <w:sz w:val="24"/>
          <w:szCs w:val="24"/>
        </w:rPr>
        <w:t xml:space="preserve">all </w:t>
      </w:r>
      <w:r>
        <w:rPr>
          <w:rFonts w:ascii="Times New Roman" w:hAnsi="Times New Roman" w:cs="Times New Roman"/>
          <w:sz w:val="24"/>
          <w:szCs w:val="24"/>
        </w:rPr>
        <w:t xml:space="preserve">constituencies – utilities, industrial, commercial, and residential customers – without preference or prejudice for any one.  The Signatory Parties do not represent the residential consumers of Ohio.  </w:t>
      </w:r>
      <w:r w:rsidR="00001F78">
        <w:rPr>
          <w:rFonts w:ascii="Times New Roman" w:hAnsi="Times New Roman" w:cs="Times New Roman"/>
          <w:sz w:val="24"/>
          <w:szCs w:val="24"/>
        </w:rPr>
        <w:t>Residential consumers</w:t>
      </w:r>
      <w:r>
        <w:rPr>
          <w:rFonts w:ascii="Times New Roman" w:hAnsi="Times New Roman" w:cs="Times New Roman"/>
          <w:sz w:val="24"/>
          <w:szCs w:val="24"/>
        </w:rPr>
        <w:t xml:space="preserve"> are the ones that will be </w:t>
      </w:r>
      <w:r w:rsidR="00EF1413">
        <w:rPr>
          <w:rFonts w:ascii="Times New Roman" w:hAnsi="Times New Roman" w:cs="Times New Roman"/>
          <w:sz w:val="24"/>
          <w:szCs w:val="24"/>
        </w:rPr>
        <w:t xml:space="preserve">unfairly </w:t>
      </w:r>
      <w:r>
        <w:rPr>
          <w:rFonts w:ascii="Times New Roman" w:hAnsi="Times New Roman" w:cs="Times New Roman"/>
          <w:sz w:val="24"/>
          <w:szCs w:val="24"/>
        </w:rPr>
        <w:t>burdened with paying the majority of the PPA Rider</w:t>
      </w:r>
      <w:r w:rsidR="00334895">
        <w:rPr>
          <w:rFonts w:ascii="Times New Roman" w:hAnsi="Times New Roman" w:cs="Times New Roman"/>
          <w:sz w:val="24"/>
          <w:szCs w:val="24"/>
        </w:rPr>
        <w:t>’</w:t>
      </w:r>
      <w:r w:rsidR="00DE0998">
        <w:rPr>
          <w:rFonts w:ascii="Times New Roman" w:hAnsi="Times New Roman" w:cs="Times New Roman"/>
          <w:sz w:val="24"/>
          <w:szCs w:val="24"/>
        </w:rPr>
        <w:t>s unwarra</w:t>
      </w:r>
      <w:r w:rsidR="00334895">
        <w:rPr>
          <w:rFonts w:ascii="Times New Roman" w:hAnsi="Times New Roman" w:cs="Times New Roman"/>
          <w:sz w:val="24"/>
          <w:szCs w:val="24"/>
        </w:rPr>
        <w:t>nted</w:t>
      </w:r>
      <w:r>
        <w:rPr>
          <w:rFonts w:ascii="Times New Roman" w:hAnsi="Times New Roman" w:cs="Times New Roman"/>
          <w:sz w:val="24"/>
          <w:szCs w:val="24"/>
        </w:rPr>
        <w:t xml:space="preserve"> costs.</w:t>
      </w:r>
    </w:p>
    <w:p w:rsidR="00D649FC" w:rsidRDefault="00D649FC" w:rsidP="00E66D9C">
      <w:pPr>
        <w:spacing w:after="0" w:line="480" w:lineRule="auto"/>
        <w:rPr>
          <w:rFonts w:ascii="Times New Roman" w:hAnsi="Times New Roman" w:cs="Times New Roman"/>
          <w:sz w:val="24"/>
          <w:szCs w:val="24"/>
        </w:rPr>
      </w:pPr>
      <w:r w:rsidRPr="00422FF9">
        <w:rPr>
          <w:rFonts w:ascii="Times New Roman" w:hAnsi="Times New Roman" w:cs="Times New Roman"/>
          <w:sz w:val="24"/>
          <w:szCs w:val="24"/>
        </w:rPr>
        <w:tab/>
      </w:r>
      <w:r w:rsidRPr="002815AF">
        <w:rPr>
          <w:rFonts w:ascii="Times New Roman" w:hAnsi="Times New Roman" w:cs="Times New Roman"/>
          <w:sz w:val="24"/>
          <w:szCs w:val="24"/>
        </w:rPr>
        <w:t>AEP Ohio contends that because OCC has entered into settlements that have included footnotes, OCC cannot make a claim that the footnotes in the Joint Stipulation cause it to fail the PUCO</w:t>
      </w:r>
      <w:r w:rsidR="00130F92">
        <w:rPr>
          <w:rFonts w:ascii="Times New Roman" w:hAnsi="Times New Roman" w:cs="Times New Roman"/>
          <w:sz w:val="24"/>
          <w:szCs w:val="24"/>
        </w:rPr>
        <w:t>’</w:t>
      </w:r>
      <w:r w:rsidRPr="002815AF">
        <w:rPr>
          <w:rFonts w:ascii="Times New Roman" w:hAnsi="Times New Roman" w:cs="Times New Roman"/>
          <w:sz w:val="24"/>
          <w:szCs w:val="24"/>
        </w:rPr>
        <w:t>s three</w:t>
      </w:r>
      <w:r w:rsidR="00B34753">
        <w:rPr>
          <w:rFonts w:ascii="Times New Roman" w:hAnsi="Times New Roman" w:cs="Times New Roman"/>
          <w:sz w:val="24"/>
          <w:szCs w:val="24"/>
        </w:rPr>
        <w:t>-</w:t>
      </w:r>
      <w:r w:rsidRPr="002815AF">
        <w:rPr>
          <w:rFonts w:ascii="Times New Roman" w:hAnsi="Times New Roman" w:cs="Times New Roman"/>
          <w:sz w:val="24"/>
          <w:szCs w:val="24"/>
        </w:rPr>
        <w:t>prong test.</w:t>
      </w:r>
      <w:r w:rsidR="002815AF" w:rsidRPr="002815AF">
        <w:rPr>
          <w:rStyle w:val="FootnoteReference"/>
          <w:rFonts w:ascii="Times New Roman" w:hAnsi="Times New Roman" w:cs="Times New Roman"/>
          <w:sz w:val="24"/>
          <w:szCs w:val="24"/>
        </w:rPr>
        <w:footnoteReference w:id="142"/>
      </w:r>
      <w:r w:rsidRPr="00422FF9">
        <w:rPr>
          <w:rFonts w:ascii="Times New Roman" w:hAnsi="Times New Roman" w:cs="Times New Roman"/>
          <w:sz w:val="24"/>
          <w:szCs w:val="24"/>
        </w:rPr>
        <w:t xml:space="preserve"> </w:t>
      </w:r>
      <w:r w:rsidR="002815AF">
        <w:rPr>
          <w:rFonts w:ascii="Times New Roman" w:hAnsi="Times New Roman" w:cs="Times New Roman"/>
          <w:sz w:val="24"/>
          <w:szCs w:val="24"/>
        </w:rPr>
        <w:t xml:space="preserve"> </w:t>
      </w:r>
      <w:r>
        <w:rPr>
          <w:rFonts w:ascii="Times New Roman" w:hAnsi="Times New Roman" w:cs="Times New Roman"/>
          <w:sz w:val="24"/>
          <w:szCs w:val="24"/>
        </w:rPr>
        <w:t>But</w:t>
      </w:r>
      <w:r w:rsidRPr="00422FF9">
        <w:rPr>
          <w:rFonts w:ascii="Times New Roman" w:hAnsi="Times New Roman" w:cs="Times New Roman"/>
          <w:sz w:val="24"/>
          <w:szCs w:val="24"/>
        </w:rPr>
        <w:t xml:space="preserve"> when</w:t>
      </w:r>
      <w:r>
        <w:rPr>
          <w:rFonts w:ascii="Times New Roman" w:hAnsi="Times New Roman" w:cs="Times New Roman"/>
          <w:sz w:val="24"/>
          <w:szCs w:val="24"/>
        </w:rPr>
        <w:t xml:space="preserve"> OCC Witness Haugh</w:t>
      </w:r>
      <w:r w:rsidRPr="00422FF9">
        <w:rPr>
          <w:rFonts w:ascii="Times New Roman" w:hAnsi="Times New Roman" w:cs="Times New Roman"/>
          <w:sz w:val="24"/>
          <w:szCs w:val="24"/>
        </w:rPr>
        <w:t xml:space="preserve"> was cross-examined by AEP </w:t>
      </w:r>
      <w:r>
        <w:rPr>
          <w:rFonts w:ascii="Times New Roman" w:hAnsi="Times New Roman" w:cs="Times New Roman"/>
          <w:sz w:val="24"/>
          <w:szCs w:val="24"/>
        </w:rPr>
        <w:t>Ohio, he was not</w:t>
      </w:r>
      <w:r w:rsidRPr="00422FF9">
        <w:rPr>
          <w:rFonts w:ascii="Times New Roman" w:hAnsi="Times New Roman" w:cs="Times New Roman"/>
          <w:sz w:val="24"/>
          <w:szCs w:val="24"/>
        </w:rPr>
        <w:t xml:space="preserve"> presented with </w:t>
      </w:r>
      <w:r>
        <w:rPr>
          <w:rFonts w:ascii="Times New Roman" w:hAnsi="Times New Roman" w:cs="Times New Roman"/>
          <w:sz w:val="24"/>
          <w:szCs w:val="24"/>
        </w:rPr>
        <w:t>any s</w:t>
      </w:r>
      <w:r w:rsidRPr="00422FF9">
        <w:rPr>
          <w:rFonts w:ascii="Times New Roman" w:hAnsi="Times New Roman" w:cs="Times New Roman"/>
          <w:sz w:val="24"/>
          <w:szCs w:val="24"/>
        </w:rPr>
        <w:t xml:space="preserve">tipulation that OCC had signed that contained footnotes. </w:t>
      </w:r>
      <w:r>
        <w:rPr>
          <w:rFonts w:ascii="Times New Roman" w:hAnsi="Times New Roman" w:cs="Times New Roman"/>
          <w:sz w:val="24"/>
          <w:szCs w:val="24"/>
        </w:rPr>
        <w:t xml:space="preserve"> OCC Witness</w:t>
      </w:r>
      <w:r w:rsidRPr="00422FF9">
        <w:rPr>
          <w:rFonts w:ascii="Times New Roman" w:hAnsi="Times New Roman" w:cs="Times New Roman"/>
          <w:sz w:val="24"/>
          <w:szCs w:val="24"/>
        </w:rPr>
        <w:t xml:space="preserve"> Haugh asked to </w:t>
      </w:r>
      <w:r>
        <w:rPr>
          <w:rFonts w:ascii="Times New Roman" w:hAnsi="Times New Roman" w:cs="Times New Roman"/>
          <w:sz w:val="24"/>
          <w:szCs w:val="24"/>
        </w:rPr>
        <w:t xml:space="preserve">be </w:t>
      </w:r>
      <w:r w:rsidRPr="00422FF9">
        <w:rPr>
          <w:rFonts w:ascii="Times New Roman" w:hAnsi="Times New Roman" w:cs="Times New Roman"/>
          <w:sz w:val="24"/>
          <w:szCs w:val="24"/>
        </w:rPr>
        <w:t>provide</w:t>
      </w:r>
      <w:r>
        <w:rPr>
          <w:rFonts w:ascii="Times New Roman" w:hAnsi="Times New Roman" w:cs="Times New Roman"/>
          <w:sz w:val="24"/>
          <w:szCs w:val="24"/>
        </w:rPr>
        <w:t>d with</w:t>
      </w:r>
      <w:r w:rsidRPr="00422FF9">
        <w:rPr>
          <w:rFonts w:ascii="Times New Roman" w:hAnsi="Times New Roman" w:cs="Times New Roman"/>
          <w:sz w:val="24"/>
          <w:szCs w:val="24"/>
        </w:rPr>
        <w:t xml:space="preserve"> an example – </w:t>
      </w:r>
      <w:r w:rsidR="00130F92">
        <w:rPr>
          <w:rFonts w:ascii="Times New Roman" w:hAnsi="Times New Roman" w:cs="Times New Roman"/>
          <w:sz w:val="24"/>
          <w:szCs w:val="24"/>
        </w:rPr>
        <w:t>“</w:t>
      </w:r>
      <w:r w:rsidRPr="00422FF9">
        <w:rPr>
          <w:rFonts w:ascii="Times New Roman" w:hAnsi="Times New Roman" w:cs="Times New Roman"/>
          <w:sz w:val="24"/>
          <w:szCs w:val="24"/>
        </w:rPr>
        <w:t xml:space="preserve">if you could point me to a particular </w:t>
      </w:r>
      <w:r>
        <w:rPr>
          <w:rFonts w:ascii="Times New Roman" w:hAnsi="Times New Roman" w:cs="Times New Roman"/>
          <w:sz w:val="24"/>
          <w:szCs w:val="24"/>
        </w:rPr>
        <w:t>one</w:t>
      </w:r>
      <w:r w:rsidR="00130F92">
        <w:rPr>
          <w:rFonts w:ascii="Times New Roman" w:hAnsi="Times New Roman" w:cs="Times New Roman"/>
          <w:sz w:val="24"/>
          <w:szCs w:val="24"/>
        </w:rPr>
        <w:t>”</w:t>
      </w:r>
      <w:r>
        <w:rPr>
          <w:rFonts w:ascii="Times New Roman" w:hAnsi="Times New Roman" w:cs="Times New Roman"/>
          <w:sz w:val="24"/>
          <w:szCs w:val="24"/>
        </w:rPr>
        <w:t xml:space="preserve"> – but none was given</w:t>
      </w:r>
      <w:r w:rsidRPr="00422FF9">
        <w:rPr>
          <w:rFonts w:ascii="Times New Roman" w:hAnsi="Times New Roman" w:cs="Times New Roman"/>
          <w:sz w:val="24"/>
          <w:szCs w:val="24"/>
        </w:rPr>
        <w:t>.</w:t>
      </w:r>
      <w:r w:rsidRPr="00422FF9">
        <w:rPr>
          <w:rStyle w:val="FootnoteReference"/>
          <w:rFonts w:ascii="Times New Roman" w:hAnsi="Times New Roman" w:cs="Times New Roman"/>
          <w:sz w:val="24"/>
          <w:szCs w:val="24"/>
        </w:rPr>
        <w:footnoteReference w:id="143"/>
      </w:r>
      <w:r w:rsidRPr="00422F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649FC" w:rsidRDefault="00D649FC" w:rsidP="00E66D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would have been of no moment were he provided with one.  The number of footnotes and the significant provisions of paramount importance that the footnotes </w:t>
      </w:r>
      <w:r w:rsidR="00B34753">
        <w:rPr>
          <w:rFonts w:ascii="Times New Roman" w:hAnsi="Times New Roman" w:cs="Times New Roman"/>
          <w:sz w:val="24"/>
          <w:szCs w:val="24"/>
        </w:rPr>
        <w:t xml:space="preserve">opt the signatories out of </w:t>
      </w:r>
      <w:r>
        <w:rPr>
          <w:rFonts w:ascii="Times New Roman" w:hAnsi="Times New Roman" w:cs="Times New Roman"/>
          <w:sz w:val="24"/>
          <w:szCs w:val="24"/>
        </w:rPr>
        <w:t xml:space="preserve">in the Joint Stipulation </w:t>
      </w:r>
      <w:r w:rsidR="00B34753">
        <w:rPr>
          <w:rFonts w:ascii="Times New Roman" w:hAnsi="Times New Roman" w:cs="Times New Roman"/>
          <w:sz w:val="24"/>
          <w:szCs w:val="24"/>
        </w:rPr>
        <w:t>prevent the settlement from meeting the PUCO’s settlement standard</w:t>
      </w:r>
      <w:r>
        <w:rPr>
          <w:rFonts w:ascii="Times New Roman" w:hAnsi="Times New Roman" w:cs="Times New Roman"/>
          <w:sz w:val="24"/>
          <w:szCs w:val="24"/>
        </w:rPr>
        <w:t xml:space="preserve">.  The Sierra Club, Direct Energy, and IGS </w:t>
      </w:r>
      <w:r w:rsidR="00130F92">
        <w:rPr>
          <w:rFonts w:ascii="Times New Roman" w:hAnsi="Times New Roman" w:cs="Times New Roman"/>
          <w:sz w:val="24"/>
          <w:szCs w:val="24"/>
        </w:rPr>
        <w:t>“</w:t>
      </w:r>
      <w:r>
        <w:rPr>
          <w:rFonts w:ascii="Times New Roman" w:hAnsi="Times New Roman" w:cs="Times New Roman"/>
          <w:sz w:val="24"/>
          <w:szCs w:val="24"/>
        </w:rPr>
        <w:t>agree not to oppose</w:t>
      </w:r>
      <w:r w:rsidR="00130F92">
        <w:rPr>
          <w:rFonts w:ascii="Times New Roman" w:hAnsi="Times New Roman" w:cs="Times New Roman"/>
          <w:sz w:val="24"/>
          <w:szCs w:val="24"/>
        </w:rPr>
        <w:t>”</w:t>
      </w:r>
      <w:r>
        <w:rPr>
          <w:rFonts w:ascii="Times New Roman" w:hAnsi="Times New Roman" w:cs="Times New Roman"/>
          <w:sz w:val="24"/>
          <w:szCs w:val="24"/>
        </w:rPr>
        <w:t xml:space="preserve"> a statement in the Joint Stipulation that says that it </w:t>
      </w:r>
      <w:r w:rsidR="00130F92">
        <w:rPr>
          <w:rFonts w:ascii="Times New Roman" w:hAnsi="Times New Roman" w:cs="Times New Roman"/>
          <w:sz w:val="24"/>
          <w:szCs w:val="24"/>
        </w:rPr>
        <w:t>“</w:t>
      </w:r>
      <w:r>
        <w:rPr>
          <w:rFonts w:ascii="Times New Roman" w:hAnsi="Times New Roman" w:cs="Times New Roman"/>
          <w:sz w:val="24"/>
          <w:szCs w:val="24"/>
        </w:rPr>
        <w:t>is supported by adequate data and information; as a package, the Stipulation benefits customers and the public interest; provides direct benefits to residential and low income customers; and represents a just reasonable resolution of all issues in this proceeding; violates no regulatory principle or practice; and complies with and promotes the policies and requirements of Title 49 of the Ohio Revised Code.</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44"/>
      </w:r>
      <w:r>
        <w:rPr>
          <w:rFonts w:ascii="Times New Roman" w:hAnsi="Times New Roman" w:cs="Times New Roman"/>
          <w:sz w:val="24"/>
          <w:szCs w:val="24"/>
        </w:rPr>
        <w:t xml:space="preserve">  Sierra Club </w:t>
      </w:r>
      <w:r w:rsidR="00130F92">
        <w:rPr>
          <w:rFonts w:ascii="Times New Roman" w:hAnsi="Times New Roman" w:cs="Times New Roman"/>
          <w:sz w:val="24"/>
          <w:szCs w:val="24"/>
        </w:rPr>
        <w:t>“</w:t>
      </w:r>
      <w:r>
        <w:rPr>
          <w:rFonts w:ascii="Times New Roman" w:hAnsi="Times New Roman" w:cs="Times New Roman"/>
          <w:sz w:val="24"/>
          <w:szCs w:val="24"/>
        </w:rPr>
        <w:t>is not participating</w:t>
      </w:r>
      <w:r w:rsidR="00130F92">
        <w:rPr>
          <w:rFonts w:ascii="Times New Roman" w:hAnsi="Times New Roman" w:cs="Times New Roman"/>
          <w:sz w:val="24"/>
          <w:szCs w:val="24"/>
        </w:rPr>
        <w:t>”</w:t>
      </w:r>
      <w:r>
        <w:rPr>
          <w:rFonts w:ascii="Times New Roman" w:hAnsi="Times New Roman" w:cs="Times New Roman"/>
          <w:sz w:val="24"/>
          <w:szCs w:val="24"/>
        </w:rPr>
        <w:t xml:space="preserve"> in a provision of the Joint Stipulation that states that the parties agree that the Joint Stipulation preserves and advances the positive results of the MRO </w:t>
      </w:r>
      <w:r w:rsidR="00514D38">
        <w:rPr>
          <w:rFonts w:ascii="Times New Roman" w:hAnsi="Times New Roman" w:cs="Times New Roman"/>
          <w:sz w:val="24"/>
          <w:szCs w:val="24"/>
        </w:rPr>
        <w:t>versus</w:t>
      </w:r>
      <w:r>
        <w:rPr>
          <w:rFonts w:ascii="Times New Roman" w:hAnsi="Times New Roman" w:cs="Times New Roman"/>
          <w:sz w:val="24"/>
          <w:szCs w:val="24"/>
        </w:rPr>
        <w:t xml:space="preserve"> ESP test.</w:t>
      </w:r>
      <w:r>
        <w:rPr>
          <w:rStyle w:val="FootnoteReference"/>
          <w:rFonts w:ascii="Times New Roman" w:hAnsi="Times New Roman" w:cs="Times New Roman"/>
          <w:sz w:val="24"/>
          <w:szCs w:val="24"/>
        </w:rPr>
        <w:footnoteReference w:id="145"/>
      </w:r>
      <w:r>
        <w:rPr>
          <w:rFonts w:ascii="Times New Roman" w:hAnsi="Times New Roman" w:cs="Times New Roman"/>
          <w:sz w:val="24"/>
          <w:szCs w:val="24"/>
        </w:rPr>
        <w:t xml:space="preserve">  The Joint Stipulation provides that </w:t>
      </w:r>
      <w:r w:rsidR="00130F92">
        <w:rPr>
          <w:rFonts w:ascii="Times New Roman" w:hAnsi="Times New Roman" w:cs="Times New Roman"/>
          <w:sz w:val="24"/>
          <w:szCs w:val="24"/>
        </w:rPr>
        <w:t>“</w:t>
      </w:r>
      <w:r>
        <w:rPr>
          <w:rFonts w:ascii="Times New Roman" w:hAnsi="Times New Roman" w:cs="Times New Roman"/>
          <w:sz w:val="24"/>
          <w:szCs w:val="24"/>
        </w:rPr>
        <w:t>Sierra Club and its counsel are not obligated to support the reasonableness of the Stipulation before the Commission.</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46"/>
      </w:r>
      <w:r>
        <w:rPr>
          <w:rFonts w:ascii="Times New Roman" w:hAnsi="Times New Roman" w:cs="Times New Roman"/>
          <w:sz w:val="24"/>
          <w:szCs w:val="24"/>
        </w:rPr>
        <w:t xml:space="preserve">  </w:t>
      </w:r>
    </w:p>
    <w:p w:rsidR="00D649FC" w:rsidRDefault="00D649FC" w:rsidP="00F023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the </w:t>
      </w:r>
      <w:r w:rsidR="002815AF">
        <w:rPr>
          <w:rFonts w:ascii="Times New Roman" w:hAnsi="Times New Roman" w:cs="Times New Roman"/>
          <w:sz w:val="24"/>
          <w:szCs w:val="24"/>
        </w:rPr>
        <w:t>Signatory Parties</w:t>
      </w:r>
      <w:r>
        <w:rPr>
          <w:rFonts w:ascii="Times New Roman" w:hAnsi="Times New Roman" w:cs="Times New Roman"/>
          <w:sz w:val="24"/>
          <w:szCs w:val="24"/>
        </w:rPr>
        <w:t xml:space="preserve"> </w:t>
      </w:r>
      <w:r w:rsidR="00B34753">
        <w:rPr>
          <w:rFonts w:ascii="Times New Roman" w:hAnsi="Times New Roman" w:cs="Times New Roman"/>
          <w:sz w:val="24"/>
          <w:szCs w:val="24"/>
        </w:rPr>
        <w:t>“</w:t>
      </w:r>
      <w:r w:rsidR="001D5CF8">
        <w:rPr>
          <w:rFonts w:ascii="Times New Roman" w:hAnsi="Times New Roman" w:cs="Times New Roman"/>
          <w:sz w:val="24"/>
          <w:szCs w:val="24"/>
        </w:rPr>
        <w:t xml:space="preserve">signed” </w:t>
      </w:r>
      <w:r w:rsidR="00B34753">
        <w:rPr>
          <w:rFonts w:ascii="Times New Roman" w:hAnsi="Times New Roman" w:cs="Times New Roman"/>
          <w:sz w:val="24"/>
          <w:szCs w:val="24"/>
        </w:rPr>
        <w:t>the settlement for their financial benefits</w:t>
      </w:r>
      <w:r>
        <w:rPr>
          <w:rFonts w:ascii="Times New Roman" w:hAnsi="Times New Roman" w:cs="Times New Roman"/>
          <w:sz w:val="24"/>
          <w:szCs w:val="24"/>
        </w:rPr>
        <w:t xml:space="preserve"> while </w:t>
      </w:r>
      <w:r w:rsidR="00B34753">
        <w:rPr>
          <w:rFonts w:ascii="Times New Roman" w:hAnsi="Times New Roman" w:cs="Times New Roman"/>
          <w:sz w:val="24"/>
          <w:szCs w:val="24"/>
        </w:rPr>
        <w:t>not bargaining for real agreement that, had it been reached, might have given the PUCO a better settlement proposal for consumers</w:t>
      </w:r>
      <w:r w:rsidR="002815AF">
        <w:rPr>
          <w:rFonts w:ascii="Times New Roman" w:hAnsi="Times New Roman" w:cs="Times New Roman"/>
          <w:sz w:val="24"/>
          <w:szCs w:val="24"/>
        </w:rPr>
        <w:t xml:space="preserve">.  </w:t>
      </w:r>
      <w:r>
        <w:rPr>
          <w:rFonts w:ascii="Times New Roman" w:hAnsi="Times New Roman" w:cs="Times New Roman"/>
          <w:sz w:val="24"/>
          <w:szCs w:val="24"/>
        </w:rPr>
        <w:t xml:space="preserve">OCC </w:t>
      </w:r>
      <w:r w:rsidR="002815AF">
        <w:rPr>
          <w:rFonts w:ascii="Times New Roman" w:hAnsi="Times New Roman" w:cs="Times New Roman"/>
          <w:sz w:val="24"/>
          <w:szCs w:val="24"/>
        </w:rPr>
        <w:t>W</w:t>
      </w:r>
      <w:r>
        <w:rPr>
          <w:rFonts w:ascii="Times New Roman" w:hAnsi="Times New Roman" w:cs="Times New Roman"/>
          <w:sz w:val="24"/>
          <w:szCs w:val="24"/>
        </w:rPr>
        <w:t>itness Haugh</w:t>
      </w:r>
      <w:r w:rsidR="002815AF">
        <w:rPr>
          <w:rFonts w:ascii="Times New Roman" w:hAnsi="Times New Roman" w:cs="Times New Roman"/>
          <w:sz w:val="24"/>
          <w:szCs w:val="24"/>
        </w:rPr>
        <w:t xml:space="preserve"> did not assert that footnotes are inherently wrong.  </w:t>
      </w:r>
      <w:r w:rsidR="00D21B59">
        <w:rPr>
          <w:rFonts w:ascii="Times New Roman" w:hAnsi="Times New Roman" w:cs="Times New Roman"/>
          <w:sz w:val="24"/>
          <w:szCs w:val="24"/>
        </w:rPr>
        <w:t>Instead, OCC Witness Haugh confirmed that the footnotes cause the Joint Settlement to fail the first prong of the settlement test.</w:t>
      </w:r>
      <w:r w:rsidR="00D21B59">
        <w:rPr>
          <w:rStyle w:val="FootnoteReference"/>
          <w:rFonts w:ascii="Times New Roman" w:hAnsi="Times New Roman" w:cs="Times New Roman"/>
          <w:sz w:val="24"/>
          <w:szCs w:val="24"/>
        </w:rPr>
        <w:footnoteReference w:id="147"/>
      </w:r>
    </w:p>
    <w:p w:rsidR="00D1038B" w:rsidRPr="00E66D9C" w:rsidRDefault="00C90FF1" w:rsidP="00E66D9C">
      <w:pPr>
        <w:pStyle w:val="Heading2"/>
      </w:pPr>
      <w:bookmarkStart w:id="40" w:name="_Toc442712229"/>
      <w:bookmarkStart w:id="41" w:name="_Toc442713375"/>
      <w:r>
        <w:t>K</w:t>
      </w:r>
      <w:r w:rsidR="00E66D9C">
        <w:t>.</w:t>
      </w:r>
      <w:r w:rsidR="00E66D9C">
        <w:tab/>
      </w:r>
      <w:r w:rsidR="00D1038B" w:rsidRPr="00E66D9C">
        <w:t>Unable to argue the law or facts, AEP Ohio resorts to personal criticism of OCC Witness Jackson</w:t>
      </w:r>
      <w:r w:rsidR="00514D38" w:rsidRPr="00E66D9C">
        <w:t xml:space="preserve"> and misleads about her testimony</w:t>
      </w:r>
      <w:r w:rsidR="00D1038B" w:rsidRPr="00E66D9C">
        <w:t>.</w:t>
      </w:r>
      <w:bookmarkEnd w:id="40"/>
      <w:bookmarkEnd w:id="41"/>
    </w:p>
    <w:p w:rsidR="007E43B3" w:rsidRDefault="007E43B3" w:rsidP="00D103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AEP Ohio </w:t>
      </w:r>
      <w:r w:rsidR="00755E33">
        <w:rPr>
          <w:rFonts w:ascii="Times New Roman" w:hAnsi="Times New Roman" w:cs="Times New Roman"/>
          <w:sz w:val="24"/>
          <w:szCs w:val="24"/>
        </w:rPr>
        <w:t xml:space="preserve">makes an </w:t>
      </w:r>
      <w:r>
        <w:rPr>
          <w:rFonts w:ascii="Times New Roman" w:hAnsi="Times New Roman" w:cs="Times New Roman"/>
          <w:sz w:val="24"/>
          <w:szCs w:val="24"/>
        </w:rPr>
        <w:t>assert</w:t>
      </w:r>
      <w:r w:rsidR="00755E33">
        <w:rPr>
          <w:rFonts w:ascii="Times New Roman" w:hAnsi="Times New Roman" w:cs="Times New Roman"/>
          <w:sz w:val="24"/>
          <w:szCs w:val="24"/>
        </w:rPr>
        <w:t xml:space="preserve">ion regarding the third of the PUCO’s </w:t>
      </w:r>
      <w:r w:rsidR="008D617D">
        <w:rPr>
          <w:rFonts w:ascii="Times New Roman" w:hAnsi="Times New Roman" w:cs="Times New Roman"/>
          <w:sz w:val="24"/>
          <w:szCs w:val="24"/>
        </w:rPr>
        <w:t>four</w:t>
      </w:r>
      <w:r w:rsidR="00755E33">
        <w:rPr>
          <w:rFonts w:ascii="Times New Roman" w:hAnsi="Times New Roman" w:cs="Times New Roman"/>
          <w:sz w:val="24"/>
          <w:szCs w:val="24"/>
        </w:rPr>
        <w:t xml:space="preserve"> factors for evaluating PPAs, being environmental compliance.  (We do not concede that the factors are lawful or reasonable.) </w:t>
      </w:r>
      <w:r w:rsidR="00D1038B">
        <w:rPr>
          <w:rFonts w:ascii="Times New Roman" w:hAnsi="Times New Roman" w:cs="Times New Roman"/>
          <w:sz w:val="24"/>
          <w:szCs w:val="24"/>
        </w:rPr>
        <w:t xml:space="preserve"> </w:t>
      </w:r>
      <w:r w:rsidR="00755E33">
        <w:rPr>
          <w:rFonts w:ascii="Times New Roman" w:hAnsi="Times New Roman" w:cs="Times New Roman"/>
          <w:sz w:val="24"/>
          <w:szCs w:val="24"/>
        </w:rPr>
        <w:t xml:space="preserve">AEP Ohio claims </w:t>
      </w:r>
      <w:r w:rsidR="00D1038B">
        <w:rPr>
          <w:rFonts w:ascii="Times New Roman" w:hAnsi="Times New Roman" w:cs="Times New Roman"/>
          <w:sz w:val="24"/>
          <w:szCs w:val="24"/>
        </w:rPr>
        <w:t xml:space="preserve">that </w:t>
      </w:r>
      <w:r w:rsidR="00130F92">
        <w:rPr>
          <w:rFonts w:ascii="Times New Roman" w:hAnsi="Times New Roman" w:cs="Times New Roman"/>
          <w:sz w:val="24"/>
          <w:szCs w:val="24"/>
        </w:rPr>
        <w:t>“</w:t>
      </w:r>
      <w:r w:rsidR="00D1038B">
        <w:rPr>
          <w:rFonts w:ascii="Times New Roman" w:hAnsi="Times New Roman" w:cs="Times New Roman"/>
          <w:sz w:val="24"/>
          <w:szCs w:val="24"/>
        </w:rPr>
        <w:t>the record established by AEP Ohio in demonstrating that the PPA Units are complying with environmental regulations[]</w:t>
      </w:r>
      <w:r w:rsidR="00130F92">
        <w:rPr>
          <w:rFonts w:ascii="Times New Roman" w:hAnsi="Times New Roman" w:cs="Times New Roman"/>
          <w:sz w:val="24"/>
          <w:szCs w:val="24"/>
        </w:rPr>
        <w:t>”</w:t>
      </w:r>
      <w:r w:rsidR="00D1038B">
        <w:rPr>
          <w:rFonts w:ascii="Times New Roman" w:hAnsi="Times New Roman" w:cs="Times New Roman"/>
          <w:sz w:val="24"/>
          <w:szCs w:val="24"/>
        </w:rPr>
        <w:t xml:space="preserve"> causes Intervenors</w:t>
      </w:r>
      <w:r w:rsidR="00130F92">
        <w:rPr>
          <w:rFonts w:ascii="Times New Roman" w:hAnsi="Times New Roman" w:cs="Times New Roman"/>
          <w:sz w:val="24"/>
          <w:szCs w:val="24"/>
        </w:rPr>
        <w:t>’</w:t>
      </w:r>
      <w:r>
        <w:rPr>
          <w:rFonts w:ascii="Times New Roman" w:hAnsi="Times New Roman" w:cs="Times New Roman"/>
          <w:sz w:val="24"/>
          <w:szCs w:val="24"/>
        </w:rPr>
        <w:t xml:space="preserve"> challenge to </w:t>
      </w:r>
      <w:r w:rsidR="001406C7">
        <w:rPr>
          <w:rFonts w:ascii="Times New Roman" w:hAnsi="Times New Roman" w:cs="Times New Roman"/>
          <w:sz w:val="24"/>
          <w:szCs w:val="24"/>
        </w:rPr>
        <w:t>AEP Ohio</w:t>
      </w:r>
      <w:r w:rsidR="00130F92">
        <w:rPr>
          <w:rFonts w:ascii="Times New Roman" w:hAnsi="Times New Roman" w:cs="Times New Roman"/>
          <w:sz w:val="24"/>
          <w:szCs w:val="24"/>
        </w:rPr>
        <w:t>’</w:t>
      </w:r>
      <w:r w:rsidR="001406C7">
        <w:rPr>
          <w:rFonts w:ascii="Times New Roman" w:hAnsi="Times New Roman" w:cs="Times New Roman"/>
          <w:sz w:val="24"/>
          <w:szCs w:val="24"/>
        </w:rPr>
        <w:t xml:space="preserve">s efforts to meet </w:t>
      </w:r>
      <w:r w:rsidR="00755E33">
        <w:rPr>
          <w:rFonts w:ascii="Times New Roman" w:hAnsi="Times New Roman" w:cs="Times New Roman"/>
          <w:sz w:val="24"/>
          <w:szCs w:val="24"/>
        </w:rPr>
        <w:t>the PUCO’s</w:t>
      </w:r>
      <w:r w:rsidR="001406C7">
        <w:rPr>
          <w:rFonts w:ascii="Times New Roman" w:hAnsi="Times New Roman" w:cs="Times New Roman"/>
          <w:sz w:val="24"/>
          <w:szCs w:val="24"/>
        </w:rPr>
        <w:t xml:space="preserve"> third factor to </w:t>
      </w:r>
      <w:r w:rsidR="00D1038B">
        <w:rPr>
          <w:rFonts w:ascii="Times New Roman" w:hAnsi="Times New Roman" w:cs="Times New Roman"/>
          <w:sz w:val="24"/>
          <w:szCs w:val="24"/>
        </w:rPr>
        <w:t>fail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w:t>
      </w:r>
      <w:r w:rsidR="00D1038B">
        <w:rPr>
          <w:rFonts w:ascii="Times New Roman" w:hAnsi="Times New Roman" w:cs="Times New Roman"/>
          <w:sz w:val="24"/>
          <w:szCs w:val="24"/>
        </w:rPr>
        <w:t xml:space="preserve"> </w:t>
      </w:r>
      <w:r>
        <w:rPr>
          <w:rFonts w:ascii="Times New Roman" w:hAnsi="Times New Roman" w:cs="Times New Roman"/>
          <w:sz w:val="24"/>
          <w:szCs w:val="24"/>
        </w:rPr>
        <w:t xml:space="preserve">But AEP Ohio is, once again, </w:t>
      </w:r>
      <w:r w:rsidR="00755E33">
        <w:rPr>
          <w:rFonts w:ascii="Times New Roman" w:hAnsi="Times New Roman" w:cs="Times New Roman"/>
          <w:sz w:val="24"/>
          <w:szCs w:val="24"/>
        </w:rPr>
        <w:t>outside</w:t>
      </w:r>
      <w:r>
        <w:rPr>
          <w:rFonts w:ascii="Times New Roman" w:hAnsi="Times New Roman" w:cs="Times New Roman"/>
          <w:sz w:val="24"/>
          <w:szCs w:val="24"/>
        </w:rPr>
        <w:t xml:space="preserve"> the record</w:t>
      </w:r>
      <w:r w:rsidR="00755E33">
        <w:rPr>
          <w:rFonts w:ascii="Times New Roman" w:hAnsi="Times New Roman" w:cs="Times New Roman"/>
          <w:sz w:val="24"/>
          <w:szCs w:val="24"/>
        </w:rPr>
        <w:t xml:space="preserve"> of evidence</w:t>
      </w:r>
      <w:r>
        <w:rPr>
          <w:rFonts w:ascii="Times New Roman" w:hAnsi="Times New Roman" w:cs="Times New Roman"/>
          <w:sz w:val="24"/>
          <w:szCs w:val="24"/>
        </w:rPr>
        <w:t>.  I</w:t>
      </w:r>
      <w:r w:rsidR="00D1038B">
        <w:rPr>
          <w:rFonts w:ascii="Times New Roman" w:hAnsi="Times New Roman" w:cs="Times New Roman"/>
          <w:sz w:val="24"/>
          <w:szCs w:val="24"/>
        </w:rPr>
        <w:t xml:space="preserve">t is </w:t>
      </w:r>
      <w:r w:rsidR="00D1038B">
        <w:rPr>
          <w:rFonts w:ascii="Times New Roman" w:hAnsi="Times New Roman" w:cs="Times New Roman"/>
          <w:i/>
          <w:sz w:val="24"/>
          <w:szCs w:val="24"/>
        </w:rPr>
        <w:t xml:space="preserve">precisely </w:t>
      </w:r>
      <w:r>
        <w:rPr>
          <w:rFonts w:ascii="Times New Roman" w:hAnsi="Times New Roman" w:cs="Times New Roman"/>
          <w:sz w:val="24"/>
          <w:szCs w:val="24"/>
        </w:rPr>
        <w:t>the</w:t>
      </w:r>
      <w:r w:rsidR="00D1038B" w:rsidRPr="00D1038B">
        <w:rPr>
          <w:rFonts w:ascii="Times New Roman" w:hAnsi="Times New Roman" w:cs="Times New Roman"/>
          <w:sz w:val="24"/>
          <w:szCs w:val="24"/>
        </w:rPr>
        <w:t xml:space="preserve"> record</w:t>
      </w:r>
      <w:r w:rsidR="00D1038B">
        <w:rPr>
          <w:rFonts w:ascii="Times New Roman" w:hAnsi="Times New Roman" w:cs="Times New Roman"/>
          <w:i/>
          <w:sz w:val="24"/>
          <w:szCs w:val="24"/>
        </w:rPr>
        <w:t xml:space="preserve"> </w:t>
      </w:r>
      <w:r w:rsidR="00D1038B">
        <w:rPr>
          <w:rFonts w:ascii="Times New Roman" w:hAnsi="Times New Roman" w:cs="Times New Roman"/>
          <w:sz w:val="24"/>
          <w:szCs w:val="24"/>
        </w:rPr>
        <w:t xml:space="preserve">established by AEP Ohio that causes </w:t>
      </w:r>
      <w:r w:rsidR="001406C7">
        <w:rPr>
          <w:rFonts w:ascii="Times New Roman" w:hAnsi="Times New Roman" w:cs="Times New Roman"/>
          <w:sz w:val="24"/>
          <w:szCs w:val="24"/>
        </w:rPr>
        <w:t>its effort to meet the third factor</w:t>
      </w:r>
      <w:r w:rsidR="00D1038B">
        <w:rPr>
          <w:rFonts w:ascii="Times New Roman" w:hAnsi="Times New Roman" w:cs="Times New Roman"/>
          <w:sz w:val="24"/>
          <w:szCs w:val="24"/>
        </w:rPr>
        <w:t xml:space="preserve"> to fail.</w:t>
      </w:r>
      <w:r>
        <w:rPr>
          <w:rStyle w:val="FootnoteReference"/>
          <w:rFonts w:ascii="Times New Roman" w:hAnsi="Times New Roman" w:cs="Times New Roman"/>
          <w:sz w:val="24"/>
          <w:szCs w:val="24"/>
        </w:rPr>
        <w:footnoteReference w:id="149"/>
      </w:r>
      <w:r>
        <w:rPr>
          <w:rFonts w:ascii="Times New Roman" w:hAnsi="Times New Roman" w:cs="Times New Roman"/>
          <w:sz w:val="24"/>
          <w:szCs w:val="24"/>
        </w:rPr>
        <w:t xml:space="preserve">  According to AEP Ohio</w:t>
      </w:r>
      <w:r w:rsidR="00130F92">
        <w:rPr>
          <w:rFonts w:ascii="Times New Roman" w:hAnsi="Times New Roman" w:cs="Times New Roman"/>
          <w:sz w:val="24"/>
          <w:szCs w:val="24"/>
        </w:rPr>
        <w:t>’</w:t>
      </w:r>
      <w:r>
        <w:rPr>
          <w:rFonts w:ascii="Times New Roman" w:hAnsi="Times New Roman" w:cs="Times New Roman"/>
          <w:sz w:val="24"/>
          <w:szCs w:val="24"/>
        </w:rPr>
        <w:t>s own testimony, the breadth and scope of current and pending environmental regulations are unknown, compliance costs are unknown, and environmental compliance plans and their associated costs are unknown.</w:t>
      </w:r>
      <w:r>
        <w:rPr>
          <w:rStyle w:val="FootnoteReference"/>
          <w:rFonts w:ascii="Times New Roman" w:hAnsi="Times New Roman" w:cs="Times New Roman"/>
          <w:sz w:val="24"/>
          <w:szCs w:val="24"/>
        </w:rPr>
        <w:footnoteReference w:id="150"/>
      </w:r>
      <w:r>
        <w:rPr>
          <w:rFonts w:ascii="Times New Roman" w:hAnsi="Times New Roman" w:cs="Times New Roman"/>
          <w:sz w:val="24"/>
          <w:szCs w:val="24"/>
        </w:rPr>
        <w:t xml:space="preserve"> </w:t>
      </w:r>
      <w:r w:rsidR="00D1038B">
        <w:rPr>
          <w:rFonts w:ascii="Times New Roman" w:hAnsi="Times New Roman" w:cs="Times New Roman"/>
          <w:sz w:val="24"/>
          <w:szCs w:val="24"/>
        </w:rPr>
        <w:t xml:space="preserve">  </w:t>
      </w:r>
    </w:p>
    <w:p w:rsidR="00405534" w:rsidRPr="00E66D9C" w:rsidRDefault="00E66D9C" w:rsidP="00E66D9C">
      <w:pPr>
        <w:pStyle w:val="Heading3"/>
      </w:pPr>
      <w:bookmarkStart w:id="42" w:name="_Toc442712230"/>
      <w:bookmarkStart w:id="43" w:name="_Toc442713376"/>
      <w:r>
        <w:t>1.</w:t>
      </w:r>
      <w:r>
        <w:tab/>
      </w:r>
      <w:r w:rsidR="00405534" w:rsidRPr="00E66D9C">
        <w:t xml:space="preserve">OCC Witness Jackson is </w:t>
      </w:r>
      <w:r w:rsidR="00F02704">
        <w:t xml:space="preserve">well </w:t>
      </w:r>
      <w:r w:rsidR="00405534" w:rsidRPr="00E66D9C">
        <w:t>qualified</w:t>
      </w:r>
      <w:r w:rsidR="00F02704">
        <w:t xml:space="preserve"> to express expert opinions on the topics of her testimony</w:t>
      </w:r>
      <w:r w:rsidR="00405534" w:rsidRPr="00E66D9C">
        <w:t>.</w:t>
      </w:r>
      <w:bookmarkEnd w:id="42"/>
      <w:bookmarkEnd w:id="43"/>
    </w:p>
    <w:p w:rsidR="00D1038B" w:rsidRDefault="001406C7" w:rsidP="00281768">
      <w:pPr>
        <w:spacing w:after="0" w:line="480" w:lineRule="auto"/>
        <w:rPr>
          <w:rFonts w:ascii="Times New Roman" w:hAnsi="Times New Roman" w:cs="Times New Roman"/>
          <w:sz w:val="24"/>
          <w:szCs w:val="24"/>
        </w:rPr>
      </w:pPr>
      <w:r>
        <w:rPr>
          <w:rFonts w:ascii="Times New Roman" w:hAnsi="Times New Roman" w:cs="Times New Roman"/>
          <w:sz w:val="24"/>
          <w:szCs w:val="24"/>
        </w:rPr>
        <w:tab/>
        <w:t>Because it cannot defend the record established in its own case, AEP Ohio attacks OCC Witness Jackson</w:t>
      </w:r>
      <w:r w:rsidR="00130F92">
        <w:rPr>
          <w:rFonts w:ascii="Times New Roman" w:hAnsi="Times New Roman" w:cs="Times New Roman"/>
          <w:sz w:val="24"/>
          <w:szCs w:val="24"/>
        </w:rPr>
        <w:t>’</w:t>
      </w:r>
      <w:r>
        <w:rPr>
          <w:rFonts w:ascii="Times New Roman" w:hAnsi="Times New Roman" w:cs="Times New Roman"/>
          <w:sz w:val="24"/>
          <w:szCs w:val="24"/>
        </w:rPr>
        <w:t xml:space="preserve">s credentials and characterizes her testimony as an </w:t>
      </w:r>
      <w:r w:rsidR="00130F92">
        <w:rPr>
          <w:rFonts w:ascii="Times New Roman" w:hAnsi="Times New Roman" w:cs="Times New Roman"/>
          <w:sz w:val="24"/>
          <w:szCs w:val="24"/>
        </w:rPr>
        <w:t>“</w:t>
      </w:r>
      <w:r>
        <w:rPr>
          <w:rFonts w:ascii="Times New Roman" w:hAnsi="Times New Roman" w:cs="Times New Roman"/>
          <w:sz w:val="24"/>
          <w:szCs w:val="24"/>
        </w:rPr>
        <w:t>academic approach.</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51"/>
      </w:r>
      <w:r w:rsidR="007614D1">
        <w:rPr>
          <w:rFonts w:ascii="Times New Roman" w:hAnsi="Times New Roman" w:cs="Times New Roman"/>
          <w:sz w:val="24"/>
          <w:szCs w:val="24"/>
        </w:rPr>
        <w:t xml:space="preserve">  AEP Ohio apparently believes that an engineer, a generation plant employee, a maintenance person, or someone who visited the PPA Units would be more qualified than OCC Witness Jackson.</w:t>
      </w:r>
      <w:r w:rsidR="007614D1">
        <w:rPr>
          <w:rStyle w:val="FootnoteReference"/>
          <w:rFonts w:ascii="Times New Roman" w:hAnsi="Times New Roman" w:cs="Times New Roman"/>
          <w:sz w:val="24"/>
          <w:szCs w:val="24"/>
        </w:rPr>
        <w:footnoteReference w:id="152"/>
      </w:r>
      <w:r w:rsidR="007614D1">
        <w:rPr>
          <w:rFonts w:ascii="Times New Roman" w:hAnsi="Times New Roman" w:cs="Times New Roman"/>
          <w:sz w:val="24"/>
          <w:szCs w:val="24"/>
        </w:rPr>
        <w:t xml:space="preserve">  But the ESP III Opinion and Order</w:t>
      </w:r>
      <w:r w:rsidR="00130F92">
        <w:rPr>
          <w:rFonts w:ascii="Times New Roman" w:hAnsi="Times New Roman" w:cs="Times New Roman"/>
          <w:sz w:val="24"/>
          <w:szCs w:val="24"/>
        </w:rPr>
        <w:t>’</w:t>
      </w:r>
      <w:r w:rsidR="007614D1">
        <w:rPr>
          <w:rFonts w:ascii="Times New Roman" w:hAnsi="Times New Roman" w:cs="Times New Roman"/>
          <w:sz w:val="24"/>
          <w:szCs w:val="24"/>
        </w:rPr>
        <w:t>s environmental compliance factor requires knowledge of a different type, which OCC Witness Jackson clearly has.  The factor is:</w:t>
      </w:r>
    </w:p>
    <w:p w:rsidR="007614D1" w:rsidRDefault="007614D1" w:rsidP="00E66D9C">
      <w:p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Description of how the generating plant is compliant with all </w:t>
      </w:r>
      <w:r w:rsidRPr="001316DA">
        <w:rPr>
          <w:rFonts w:ascii="Times New Roman" w:hAnsi="Times New Roman" w:cs="Times New Roman"/>
          <w:i/>
          <w:sz w:val="24"/>
          <w:szCs w:val="24"/>
        </w:rPr>
        <w:t>pertinent</w:t>
      </w:r>
      <w:r>
        <w:rPr>
          <w:rFonts w:ascii="Times New Roman" w:hAnsi="Times New Roman" w:cs="Times New Roman"/>
          <w:sz w:val="24"/>
          <w:szCs w:val="24"/>
        </w:rPr>
        <w:t xml:space="preserve"> </w:t>
      </w:r>
      <w:r w:rsidRPr="007614D1">
        <w:rPr>
          <w:rFonts w:ascii="Times New Roman" w:hAnsi="Times New Roman" w:cs="Times New Roman"/>
          <w:i/>
          <w:sz w:val="24"/>
          <w:szCs w:val="24"/>
        </w:rPr>
        <w:t>environmental regulations</w:t>
      </w:r>
      <w:r>
        <w:rPr>
          <w:rFonts w:ascii="Times New Roman" w:hAnsi="Times New Roman" w:cs="Times New Roman"/>
          <w:sz w:val="24"/>
          <w:szCs w:val="24"/>
        </w:rPr>
        <w:t xml:space="preserve"> and its plan for compliance with </w:t>
      </w:r>
      <w:r w:rsidRPr="001316DA">
        <w:rPr>
          <w:rFonts w:ascii="Times New Roman" w:hAnsi="Times New Roman" w:cs="Times New Roman"/>
          <w:i/>
          <w:sz w:val="24"/>
          <w:szCs w:val="24"/>
        </w:rPr>
        <w:t>pending</w:t>
      </w:r>
      <w:r>
        <w:rPr>
          <w:rFonts w:ascii="Times New Roman" w:hAnsi="Times New Roman" w:cs="Times New Roman"/>
          <w:sz w:val="24"/>
          <w:szCs w:val="24"/>
        </w:rPr>
        <w:t xml:space="preserve"> </w:t>
      </w:r>
      <w:r w:rsidRPr="007614D1">
        <w:rPr>
          <w:rFonts w:ascii="Times New Roman" w:hAnsi="Times New Roman" w:cs="Times New Roman"/>
          <w:i/>
          <w:sz w:val="24"/>
          <w:szCs w:val="24"/>
        </w:rPr>
        <w:t>environmental regulations</w:t>
      </w:r>
      <w:r w:rsidR="001316DA">
        <w:rPr>
          <w:rFonts w:ascii="Times New Roman" w:hAnsi="Times New Roman" w:cs="Times New Roman"/>
          <w:sz w:val="24"/>
          <w:szCs w:val="24"/>
        </w:rPr>
        <w:t>.</w:t>
      </w:r>
      <w:r w:rsidR="001316DA">
        <w:rPr>
          <w:rStyle w:val="FootnoteReference"/>
          <w:rFonts w:ascii="Times New Roman" w:hAnsi="Times New Roman" w:cs="Times New Roman"/>
          <w:sz w:val="24"/>
          <w:szCs w:val="24"/>
        </w:rPr>
        <w:footnoteReference w:id="153"/>
      </w:r>
    </w:p>
    <w:p w:rsidR="00281768" w:rsidRDefault="00281768" w:rsidP="007614D1">
      <w:pPr>
        <w:spacing w:after="0" w:line="240" w:lineRule="auto"/>
        <w:ind w:left="720"/>
        <w:rPr>
          <w:rFonts w:ascii="Times New Roman" w:hAnsi="Times New Roman" w:cs="Times New Roman"/>
          <w:sz w:val="24"/>
          <w:szCs w:val="24"/>
        </w:rPr>
      </w:pPr>
    </w:p>
    <w:p w:rsidR="001316DA" w:rsidRDefault="00F02704" w:rsidP="00281768">
      <w:pPr>
        <w:spacing w:after="0" w:line="480" w:lineRule="auto"/>
        <w:rPr>
          <w:rFonts w:ascii="Times New Roman" w:hAnsi="Times New Roman" w:cs="Times New Roman"/>
          <w:sz w:val="24"/>
          <w:szCs w:val="24"/>
        </w:rPr>
      </w:pPr>
      <w:r>
        <w:rPr>
          <w:rFonts w:ascii="Times New Roman" w:hAnsi="Times New Roman" w:cs="Times New Roman"/>
          <w:sz w:val="24"/>
          <w:szCs w:val="24"/>
        </w:rPr>
        <w:t>K</w:t>
      </w:r>
      <w:r w:rsidR="001316DA">
        <w:rPr>
          <w:rFonts w:ascii="Times New Roman" w:hAnsi="Times New Roman" w:cs="Times New Roman"/>
          <w:sz w:val="24"/>
          <w:szCs w:val="24"/>
        </w:rPr>
        <w:t xml:space="preserve">nowledge of operational details of a generating plant </w:t>
      </w:r>
      <w:r w:rsidR="001D5CF8">
        <w:rPr>
          <w:rFonts w:ascii="Times New Roman" w:hAnsi="Times New Roman" w:cs="Times New Roman"/>
          <w:sz w:val="24"/>
          <w:szCs w:val="24"/>
        </w:rPr>
        <w:t xml:space="preserve">is </w:t>
      </w:r>
      <w:r w:rsidR="001316DA">
        <w:rPr>
          <w:rFonts w:ascii="Times New Roman" w:hAnsi="Times New Roman" w:cs="Times New Roman"/>
          <w:sz w:val="24"/>
          <w:szCs w:val="24"/>
        </w:rPr>
        <w:t xml:space="preserve">germane, and OCC Witness Jackson has </w:t>
      </w:r>
      <w:r>
        <w:rPr>
          <w:rFonts w:ascii="Times New Roman" w:hAnsi="Times New Roman" w:cs="Times New Roman"/>
          <w:sz w:val="24"/>
          <w:szCs w:val="24"/>
        </w:rPr>
        <w:t>that knowledge.</w:t>
      </w:r>
      <w:r w:rsidR="001316DA">
        <w:rPr>
          <w:rFonts w:ascii="Times New Roman" w:hAnsi="Times New Roman" w:cs="Times New Roman"/>
          <w:sz w:val="24"/>
          <w:szCs w:val="24"/>
        </w:rPr>
        <w:t xml:space="preserve"> </w:t>
      </w:r>
      <w:r>
        <w:rPr>
          <w:rFonts w:ascii="Times New Roman" w:hAnsi="Times New Roman" w:cs="Times New Roman"/>
          <w:sz w:val="24"/>
          <w:szCs w:val="24"/>
        </w:rPr>
        <w:t xml:space="preserve"> But the </w:t>
      </w:r>
      <w:r w:rsidR="001316DA">
        <w:rPr>
          <w:rFonts w:ascii="Times New Roman" w:hAnsi="Times New Roman" w:cs="Times New Roman"/>
          <w:sz w:val="24"/>
          <w:szCs w:val="24"/>
        </w:rPr>
        <w:t xml:space="preserve">emphasis from the ESP III Opinion and Order is clearly on </w:t>
      </w:r>
      <w:r w:rsidR="001316DA" w:rsidRPr="00ED7685">
        <w:rPr>
          <w:rFonts w:ascii="Times New Roman" w:hAnsi="Times New Roman" w:cs="Times New Roman"/>
          <w:i/>
          <w:sz w:val="24"/>
          <w:szCs w:val="24"/>
        </w:rPr>
        <w:t>current and pending</w:t>
      </w:r>
      <w:r w:rsidR="001316DA">
        <w:rPr>
          <w:rFonts w:ascii="Times New Roman" w:hAnsi="Times New Roman" w:cs="Times New Roman"/>
          <w:sz w:val="24"/>
          <w:szCs w:val="24"/>
        </w:rPr>
        <w:t xml:space="preserve"> </w:t>
      </w:r>
      <w:r w:rsidR="001316DA">
        <w:rPr>
          <w:rFonts w:ascii="Times New Roman" w:hAnsi="Times New Roman" w:cs="Times New Roman"/>
          <w:i/>
          <w:sz w:val="24"/>
          <w:szCs w:val="24"/>
        </w:rPr>
        <w:t>environmental regulations.</w:t>
      </w:r>
    </w:p>
    <w:p w:rsidR="00ED7685" w:rsidRDefault="001316DA" w:rsidP="00281768">
      <w:pPr>
        <w:spacing w:after="0" w:line="480" w:lineRule="auto"/>
        <w:rPr>
          <w:rFonts w:ascii="Times New Roman" w:hAnsi="Times New Roman" w:cs="Times New Roman"/>
          <w:sz w:val="24"/>
          <w:szCs w:val="24"/>
        </w:rPr>
      </w:pPr>
      <w:r>
        <w:rPr>
          <w:rFonts w:ascii="Times New Roman" w:hAnsi="Times New Roman" w:cs="Times New Roman"/>
          <w:sz w:val="24"/>
          <w:szCs w:val="24"/>
        </w:rPr>
        <w:tab/>
        <w:t>OCC Witness Jackson has over a decade of experience analyzing federal and state regulations, policies, and environmental planning documents for a wide range of clients.</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In her current position, OCC Witness Jackson applies her experience to evaluate the impacts of policies and regulations on the electric sector, the costs impacts of electricity production options, and the environmental assumptions used by utilities in major regulatory filings.</w:t>
      </w:r>
      <w:r>
        <w:rPr>
          <w:rStyle w:val="FootnoteReference"/>
          <w:rFonts w:ascii="Times New Roman" w:hAnsi="Times New Roman" w:cs="Times New Roman"/>
          <w:sz w:val="24"/>
          <w:szCs w:val="24"/>
        </w:rPr>
        <w:footnoteReference w:id="155"/>
      </w:r>
      <w:r>
        <w:rPr>
          <w:rFonts w:ascii="Times New Roman" w:hAnsi="Times New Roman" w:cs="Times New Roman"/>
          <w:sz w:val="24"/>
          <w:szCs w:val="24"/>
        </w:rPr>
        <w:t xml:space="preserve">  Previously, OCC Witness Jackson analyzed the impacts of proposed federal, state, and local regulations, policies, and environmental compliance plans, focusing on air emissions and energy.</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OCC Witness Jackson received post-graduate education through a preeminent program – Master of Environmental Law and Policy from Vermont Law School.</w:t>
      </w:r>
      <w:r>
        <w:rPr>
          <w:rStyle w:val="FootnoteReference"/>
          <w:rFonts w:ascii="Times New Roman" w:hAnsi="Times New Roman" w:cs="Times New Roman"/>
          <w:sz w:val="24"/>
          <w:szCs w:val="24"/>
        </w:rPr>
        <w:footnoteReference w:id="157"/>
      </w:r>
      <w:r w:rsidR="00281768">
        <w:rPr>
          <w:rFonts w:ascii="Times New Roman" w:hAnsi="Times New Roman" w:cs="Times New Roman"/>
          <w:sz w:val="24"/>
          <w:szCs w:val="24"/>
        </w:rPr>
        <w:t xml:space="preserve">  She has </w:t>
      </w:r>
      <w:r w:rsidR="00F02704">
        <w:rPr>
          <w:rFonts w:ascii="Times New Roman" w:hAnsi="Times New Roman" w:cs="Times New Roman"/>
          <w:sz w:val="24"/>
          <w:szCs w:val="24"/>
        </w:rPr>
        <w:t xml:space="preserve">been </w:t>
      </w:r>
      <w:r w:rsidR="00281768">
        <w:rPr>
          <w:rFonts w:ascii="Times New Roman" w:hAnsi="Times New Roman" w:cs="Times New Roman"/>
          <w:sz w:val="24"/>
          <w:szCs w:val="24"/>
        </w:rPr>
        <w:t>published on environmental and energy related matters no less than 21 times.</w:t>
      </w:r>
      <w:r w:rsidR="00281768">
        <w:rPr>
          <w:rStyle w:val="FootnoteReference"/>
          <w:rFonts w:ascii="Times New Roman" w:hAnsi="Times New Roman" w:cs="Times New Roman"/>
          <w:sz w:val="24"/>
          <w:szCs w:val="24"/>
        </w:rPr>
        <w:footnoteReference w:id="158"/>
      </w:r>
      <w:r w:rsidR="00281768">
        <w:rPr>
          <w:rFonts w:ascii="Times New Roman" w:hAnsi="Times New Roman" w:cs="Times New Roman"/>
          <w:sz w:val="24"/>
          <w:szCs w:val="24"/>
        </w:rPr>
        <w:t xml:space="preserve">  Clearly, OCC Witness Jackson has the expertise, based on knowledge and experience, to opine meaningfully on matters related to current and pending environmental regulations facing coal-fired generation such as the PPA Units.</w:t>
      </w:r>
      <w:r w:rsidR="00281768">
        <w:rPr>
          <w:rStyle w:val="FootnoteReference"/>
          <w:rFonts w:ascii="Times New Roman" w:hAnsi="Times New Roman" w:cs="Times New Roman"/>
          <w:sz w:val="24"/>
          <w:szCs w:val="24"/>
        </w:rPr>
        <w:footnoteReference w:id="159"/>
      </w:r>
    </w:p>
    <w:p w:rsidR="00405534" w:rsidRPr="00E66D9C" w:rsidRDefault="00E66D9C" w:rsidP="00E66D9C">
      <w:pPr>
        <w:pStyle w:val="Heading3"/>
      </w:pPr>
      <w:bookmarkStart w:id="44" w:name="_Toc442712231"/>
      <w:bookmarkStart w:id="45" w:name="_Toc442713377"/>
      <w:r>
        <w:t>2.</w:t>
      </w:r>
      <w:r>
        <w:tab/>
      </w:r>
      <w:r w:rsidR="00405534" w:rsidRPr="00E66D9C">
        <w:t>AEP Ohio misleads about OCC Witness Jackson</w:t>
      </w:r>
      <w:r w:rsidR="00130F92">
        <w:t>’</w:t>
      </w:r>
      <w:r w:rsidR="00405534" w:rsidRPr="00E66D9C">
        <w:t>s testimony.</w:t>
      </w:r>
      <w:bookmarkEnd w:id="44"/>
      <w:bookmarkEnd w:id="45"/>
    </w:p>
    <w:p w:rsidR="00703D7F" w:rsidRDefault="00ED7685" w:rsidP="0028176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50F6">
        <w:rPr>
          <w:rFonts w:ascii="Times New Roman" w:hAnsi="Times New Roman" w:cs="Times New Roman"/>
          <w:sz w:val="24"/>
          <w:szCs w:val="24"/>
        </w:rPr>
        <w:t>Further, AEP Ohio</w:t>
      </w:r>
      <w:r w:rsidR="00130F92">
        <w:rPr>
          <w:rFonts w:ascii="Times New Roman" w:hAnsi="Times New Roman" w:cs="Times New Roman"/>
          <w:sz w:val="24"/>
          <w:szCs w:val="24"/>
        </w:rPr>
        <w:t>’</w:t>
      </w:r>
      <w:r w:rsidR="006450F6">
        <w:rPr>
          <w:rFonts w:ascii="Times New Roman" w:hAnsi="Times New Roman" w:cs="Times New Roman"/>
          <w:sz w:val="24"/>
          <w:szCs w:val="24"/>
        </w:rPr>
        <w:t>s criticism of OCC Witness Jackson</w:t>
      </w:r>
      <w:r w:rsidR="00130F92">
        <w:rPr>
          <w:rFonts w:ascii="Times New Roman" w:hAnsi="Times New Roman" w:cs="Times New Roman"/>
          <w:sz w:val="24"/>
          <w:szCs w:val="24"/>
        </w:rPr>
        <w:t>’</w:t>
      </w:r>
      <w:r w:rsidR="006450F6">
        <w:rPr>
          <w:rFonts w:ascii="Times New Roman" w:hAnsi="Times New Roman" w:cs="Times New Roman"/>
          <w:sz w:val="24"/>
          <w:szCs w:val="24"/>
        </w:rPr>
        <w:t xml:space="preserve">s </w:t>
      </w:r>
      <w:r w:rsidR="00130F92">
        <w:rPr>
          <w:rFonts w:ascii="Times New Roman" w:hAnsi="Times New Roman" w:cs="Times New Roman"/>
          <w:sz w:val="24"/>
          <w:szCs w:val="24"/>
        </w:rPr>
        <w:t>“</w:t>
      </w:r>
      <w:r w:rsidR="006450F6">
        <w:rPr>
          <w:rFonts w:ascii="Times New Roman" w:hAnsi="Times New Roman" w:cs="Times New Roman"/>
          <w:sz w:val="24"/>
          <w:szCs w:val="24"/>
        </w:rPr>
        <w:t>lack of specific knowledge of the PPA Units</w:t>
      </w:r>
      <w:r w:rsidR="00130F92">
        <w:rPr>
          <w:rFonts w:ascii="Times New Roman" w:hAnsi="Times New Roman" w:cs="Times New Roman"/>
          <w:sz w:val="24"/>
          <w:szCs w:val="24"/>
        </w:rPr>
        <w:t>”</w:t>
      </w:r>
      <w:r w:rsidR="006450F6">
        <w:rPr>
          <w:rFonts w:ascii="Times New Roman" w:hAnsi="Times New Roman" w:cs="Times New Roman"/>
          <w:sz w:val="24"/>
          <w:szCs w:val="24"/>
        </w:rPr>
        <w:t xml:space="preserve"> fails.</w:t>
      </w:r>
      <w:r w:rsidR="006450F6">
        <w:rPr>
          <w:rStyle w:val="FootnoteReference"/>
          <w:rFonts w:ascii="Times New Roman" w:hAnsi="Times New Roman" w:cs="Times New Roman"/>
          <w:sz w:val="24"/>
          <w:szCs w:val="24"/>
        </w:rPr>
        <w:footnoteReference w:id="160"/>
      </w:r>
      <w:r w:rsidR="006450F6">
        <w:rPr>
          <w:rFonts w:ascii="Times New Roman" w:hAnsi="Times New Roman" w:cs="Times New Roman"/>
          <w:sz w:val="24"/>
          <w:szCs w:val="24"/>
        </w:rPr>
        <w:t xml:space="preserve">  Though AEP Ohio asserts that OCC Witness Jackson</w:t>
      </w:r>
      <w:r w:rsidR="00130F92">
        <w:rPr>
          <w:rFonts w:ascii="Times New Roman" w:hAnsi="Times New Roman" w:cs="Times New Roman"/>
          <w:sz w:val="24"/>
          <w:szCs w:val="24"/>
        </w:rPr>
        <w:t>’</w:t>
      </w:r>
      <w:r w:rsidR="006450F6">
        <w:rPr>
          <w:rFonts w:ascii="Times New Roman" w:hAnsi="Times New Roman" w:cs="Times New Roman"/>
          <w:sz w:val="24"/>
          <w:szCs w:val="24"/>
        </w:rPr>
        <w:t>s concern that the PPA Units could need cooling towers for environmental compliance is not based on unit-specific knowledge, the exact opposite is true.</w:t>
      </w:r>
      <w:r w:rsidR="006450F6">
        <w:rPr>
          <w:rStyle w:val="FootnoteReference"/>
          <w:rFonts w:ascii="Times New Roman" w:hAnsi="Times New Roman" w:cs="Times New Roman"/>
          <w:sz w:val="24"/>
          <w:szCs w:val="24"/>
        </w:rPr>
        <w:footnoteReference w:id="161"/>
      </w:r>
      <w:r w:rsidR="006450F6">
        <w:rPr>
          <w:rFonts w:ascii="Times New Roman" w:hAnsi="Times New Roman" w:cs="Times New Roman"/>
          <w:sz w:val="24"/>
          <w:szCs w:val="24"/>
        </w:rPr>
        <w:t xml:space="preserve">  On the subject, OCC Witness Jackson testified specifically that </w:t>
      </w:r>
      <w:r w:rsidR="00130F92">
        <w:rPr>
          <w:rFonts w:ascii="Times New Roman" w:hAnsi="Times New Roman" w:cs="Times New Roman"/>
          <w:sz w:val="24"/>
          <w:szCs w:val="24"/>
        </w:rPr>
        <w:t>“</w:t>
      </w:r>
      <w:r w:rsidR="006450F6">
        <w:rPr>
          <w:rFonts w:ascii="Times New Roman" w:hAnsi="Times New Roman" w:cs="Times New Roman"/>
          <w:sz w:val="24"/>
          <w:szCs w:val="24"/>
        </w:rPr>
        <w:t>[t]he calculations I made are using plant-specific data that is publicly available.</w:t>
      </w:r>
      <w:r w:rsidR="00130F92">
        <w:rPr>
          <w:rFonts w:ascii="Times New Roman" w:hAnsi="Times New Roman" w:cs="Times New Roman"/>
          <w:sz w:val="24"/>
          <w:szCs w:val="24"/>
        </w:rPr>
        <w:t>”</w:t>
      </w:r>
      <w:r w:rsidR="006450F6">
        <w:rPr>
          <w:rStyle w:val="FootnoteReference"/>
          <w:rFonts w:ascii="Times New Roman" w:hAnsi="Times New Roman" w:cs="Times New Roman"/>
          <w:sz w:val="24"/>
          <w:szCs w:val="24"/>
        </w:rPr>
        <w:footnoteReference w:id="162"/>
      </w:r>
    </w:p>
    <w:p w:rsidR="00703D7F" w:rsidRDefault="00703D7F" w:rsidP="00281768">
      <w:pPr>
        <w:spacing w:after="0" w:line="480" w:lineRule="auto"/>
        <w:rPr>
          <w:rFonts w:ascii="Times New Roman" w:hAnsi="Times New Roman" w:cs="Times New Roman"/>
          <w:sz w:val="24"/>
          <w:szCs w:val="24"/>
        </w:rPr>
      </w:pPr>
      <w:r>
        <w:rPr>
          <w:rFonts w:ascii="Times New Roman" w:hAnsi="Times New Roman" w:cs="Times New Roman"/>
          <w:sz w:val="24"/>
          <w:szCs w:val="24"/>
        </w:rPr>
        <w:tab/>
        <w:t>AEP Ohio</w:t>
      </w:r>
      <w:r w:rsidR="00130F92">
        <w:rPr>
          <w:rFonts w:ascii="Times New Roman" w:hAnsi="Times New Roman" w:cs="Times New Roman"/>
          <w:sz w:val="24"/>
          <w:szCs w:val="24"/>
        </w:rPr>
        <w:t>’</w:t>
      </w:r>
      <w:r>
        <w:rPr>
          <w:rFonts w:ascii="Times New Roman" w:hAnsi="Times New Roman" w:cs="Times New Roman"/>
          <w:sz w:val="24"/>
          <w:szCs w:val="24"/>
        </w:rPr>
        <w:t>s criticism of OCC Witness Jackson</w:t>
      </w:r>
      <w:r w:rsidR="00130F92">
        <w:rPr>
          <w:rFonts w:ascii="Times New Roman" w:hAnsi="Times New Roman" w:cs="Times New Roman"/>
          <w:sz w:val="24"/>
          <w:szCs w:val="24"/>
        </w:rPr>
        <w:t>’</w:t>
      </w:r>
      <w:r>
        <w:rPr>
          <w:rFonts w:ascii="Times New Roman" w:hAnsi="Times New Roman" w:cs="Times New Roman"/>
          <w:sz w:val="24"/>
          <w:szCs w:val="24"/>
        </w:rPr>
        <w:t>s concerns regarding Zimmer Unit 1</w:t>
      </w:r>
      <w:r w:rsidR="008D617D">
        <w:rPr>
          <w:rFonts w:ascii="Times New Roman" w:hAnsi="Times New Roman" w:cs="Times New Roman"/>
          <w:sz w:val="24"/>
          <w:szCs w:val="24"/>
        </w:rPr>
        <w:t xml:space="preserve"> fails, too</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3"/>
      </w:r>
      <w:r>
        <w:rPr>
          <w:rFonts w:ascii="Times New Roman" w:hAnsi="Times New Roman" w:cs="Times New Roman"/>
          <w:sz w:val="24"/>
          <w:szCs w:val="24"/>
        </w:rPr>
        <w:t xml:space="preserve">  OCC Witness Jackson was not discussing </w:t>
      </w:r>
      <w:r w:rsidR="00130F92">
        <w:rPr>
          <w:rFonts w:ascii="Times New Roman" w:hAnsi="Times New Roman" w:cs="Times New Roman"/>
          <w:sz w:val="24"/>
          <w:szCs w:val="24"/>
        </w:rPr>
        <w:t>“</w:t>
      </w:r>
      <w:r>
        <w:rPr>
          <w:rFonts w:ascii="Times New Roman" w:hAnsi="Times New Roman" w:cs="Times New Roman"/>
          <w:sz w:val="24"/>
          <w:szCs w:val="24"/>
        </w:rPr>
        <w:t>changes needed at Zimmer to reduce SO2.</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64"/>
      </w:r>
      <w:r>
        <w:rPr>
          <w:rFonts w:ascii="Times New Roman" w:hAnsi="Times New Roman" w:cs="Times New Roman"/>
          <w:sz w:val="24"/>
          <w:szCs w:val="24"/>
        </w:rPr>
        <w:t xml:space="preserve">  Instead, she pointed out that Zimmer Unit 1 appears not </w:t>
      </w:r>
      <w:r w:rsidR="00130F92">
        <w:rPr>
          <w:rFonts w:ascii="Times New Roman" w:hAnsi="Times New Roman" w:cs="Times New Roman"/>
          <w:sz w:val="24"/>
          <w:szCs w:val="24"/>
        </w:rPr>
        <w:t>“</w:t>
      </w:r>
      <w:r>
        <w:rPr>
          <w:rFonts w:ascii="Times New Roman" w:hAnsi="Times New Roman" w:cs="Times New Roman"/>
          <w:sz w:val="24"/>
          <w:szCs w:val="24"/>
        </w:rPr>
        <w:t>to be performing well compared to what is achievable[, so] a nonattainment designation . . . will likely require additional capital expenditures[.]</w:t>
      </w:r>
      <w:r w:rsidR="00130F92">
        <w:rPr>
          <w:rFonts w:ascii="Times New Roman" w:hAnsi="Times New Roman" w:cs="Times New Roman"/>
          <w:sz w:val="24"/>
          <w:szCs w:val="24"/>
        </w:rPr>
        <w:t>”</w:t>
      </w:r>
      <w:r>
        <w:rPr>
          <w:rStyle w:val="FootnoteReference"/>
          <w:rFonts w:ascii="Times New Roman" w:hAnsi="Times New Roman" w:cs="Times New Roman"/>
          <w:sz w:val="24"/>
          <w:szCs w:val="24"/>
        </w:rPr>
        <w:footnoteReference w:id="165"/>
      </w:r>
      <w:r>
        <w:rPr>
          <w:rFonts w:ascii="Times New Roman" w:hAnsi="Times New Roman" w:cs="Times New Roman"/>
          <w:sz w:val="24"/>
          <w:szCs w:val="24"/>
        </w:rPr>
        <w:t xml:space="preserve">  She explained specifically at the hearing:</w:t>
      </w:r>
    </w:p>
    <w:p w:rsidR="006450F6" w:rsidRDefault="00703D7F" w:rsidP="00E66D9C">
      <w:p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I think this statement is referring to looking at the emission rates of sulfur dioxide that are reported in the clean air management database – Clean Air Markets database that is maintained by the EPA, and seeing that the SO2 rates at Zimmer are actually quite a bit higher than most units, including the other PPA Units . . . .</w:t>
      </w:r>
      <w:r>
        <w:rPr>
          <w:rStyle w:val="FootnoteReference"/>
          <w:rFonts w:ascii="Times New Roman" w:hAnsi="Times New Roman" w:cs="Times New Roman"/>
          <w:sz w:val="24"/>
          <w:szCs w:val="24"/>
        </w:rPr>
        <w:footnoteReference w:id="166"/>
      </w:r>
      <w:r w:rsidR="006450F6">
        <w:rPr>
          <w:rFonts w:ascii="Times New Roman" w:hAnsi="Times New Roman" w:cs="Times New Roman"/>
          <w:sz w:val="24"/>
          <w:szCs w:val="24"/>
        </w:rPr>
        <w:t xml:space="preserve">  </w:t>
      </w:r>
    </w:p>
    <w:p w:rsidR="00703D7F" w:rsidRDefault="00703D7F" w:rsidP="00703D7F">
      <w:pPr>
        <w:spacing w:after="0" w:line="240" w:lineRule="auto"/>
        <w:rPr>
          <w:rFonts w:ascii="Times New Roman" w:hAnsi="Times New Roman" w:cs="Times New Roman"/>
          <w:sz w:val="24"/>
          <w:szCs w:val="24"/>
        </w:rPr>
      </w:pPr>
    </w:p>
    <w:p w:rsidR="00703D7F" w:rsidRDefault="00703D7F" w:rsidP="00344561">
      <w:pPr>
        <w:spacing w:after="0" w:line="480" w:lineRule="auto"/>
        <w:rPr>
          <w:rFonts w:ascii="Times New Roman" w:hAnsi="Times New Roman" w:cs="Times New Roman"/>
          <w:sz w:val="24"/>
          <w:szCs w:val="24"/>
        </w:rPr>
      </w:pPr>
      <w:r>
        <w:rPr>
          <w:rFonts w:ascii="Times New Roman" w:hAnsi="Times New Roman" w:cs="Times New Roman"/>
          <w:sz w:val="24"/>
          <w:szCs w:val="24"/>
        </w:rPr>
        <w:t>Consistent with the ESP III Opinion and Order</w:t>
      </w:r>
      <w:r w:rsidR="00130F92">
        <w:rPr>
          <w:rFonts w:ascii="Times New Roman" w:hAnsi="Times New Roman" w:cs="Times New Roman"/>
          <w:sz w:val="24"/>
          <w:szCs w:val="24"/>
        </w:rPr>
        <w:t>’</w:t>
      </w:r>
      <w:r>
        <w:rPr>
          <w:rFonts w:ascii="Times New Roman" w:hAnsi="Times New Roman" w:cs="Times New Roman"/>
          <w:sz w:val="24"/>
          <w:szCs w:val="24"/>
        </w:rPr>
        <w:t>s environmental impact factor, OCC Witness Jackson was looking at the environmental effect of Zimmer Unit 1</w:t>
      </w:r>
      <w:r w:rsidR="00130F92">
        <w:rPr>
          <w:rFonts w:ascii="Times New Roman" w:hAnsi="Times New Roman" w:cs="Times New Roman"/>
          <w:sz w:val="24"/>
          <w:szCs w:val="24"/>
        </w:rPr>
        <w:t>’</w:t>
      </w:r>
      <w:r>
        <w:rPr>
          <w:rFonts w:ascii="Times New Roman" w:hAnsi="Times New Roman" w:cs="Times New Roman"/>
          <w:sz w:val="24"/>
          <w:szCs w:val="24"/>
        </w:rPr>
        <w:t xml:space="preserve">s operation, not the </w:t>
      </w:r>
      <w:r w:rsidR="00344561">
        <w:rPr>
          <w:rFonts w:ascii="Times New Roman" w:hAnsi="Times New Roman" w:cs="Times New Roman"/>
          <w:sz w:val="24"/>
          <w:szCs w:val="24"/>
        </w:rPr>
        <w:t xml:space="preserve">operation of its technology </w:t>
      </w:r>
      <w:r w:rsidR="00344561">
        <w:rPr>
          <w:rFonts w:ascii="Times New Roman" w:hAnsi="Times New Roman" w:cs="Times New Roman"/>
          <w:i/>
          <w:sz w:val="24"/>
          <w:szCs w:val="24"/>
        </w:rPr>
        <w:t>per se</w:t>
      </w:r>
      <w:r w:rsidR="00344561">
        <w:rPr>
          <w:rFonts w:ascii="Times New Roman" w:hAnsi="Times New Roman" w:cs="Times New Roman"/>
          <w:sz w:val="24"/>
          <w:szCs w:val="24"/>
        </w:rPr>
        <w:t>.</w:t>
      </w:r>
      <w:r w:rsidR="00344561">
        <w:rPr>
          <w:rStyle w:val="FootnoteReference"/>
          <w:rFonts w:ascii="Times New Roman" w:hAnsi="Times New Roman" w:cs="Times New Roman"/>
          <w:sz w:val="24"/>
          <w:szCs w:val="24"/>
        </w:rPr>
        <w:footnoteReference w:id="167"/>
      </w:r>
      <w:r w:rsidR="00344561">
        <w:rPr>
          <w:rFonts w:ascii="Times New Roman" w:hAnsi="Times New Roman" w:cs="Times New Roman"/>
          <w:sz w:val="24"/>
          <w:szCs w:val="24"/>
        </w:rPr>
        <w:t xml:space="preserve">  The purported changes that could be made to Zimmer Unit 1</w:t>
      </w:r>
      <w:r w:rsidR="00130F92">
        <w:rPr>
          <w:rFonts w:ascii="Times New Roman" w:hAnsi="Times New Roman" w:cs="Times New Roman"/>
          <w:sz w:val="24"/>
          <w:szCs w:val="24"/>
        </w:rPr>
        <w:t>’</w:t>
      </w:r>
      <w:r w:rsidR="00344561">
        <w:rPr>
          <w:rFonts w:ascii="Times New Roman" w:hAnsi="Times New Roman" w:cs="Times New Roman"/>
          <w:sz w:val="24"/>
          <w:szCs w:val="24"/>
        </w:rPr>
        <w:t>s operations addressed in AEP Ohio</w:t>
      </w:r>
      <w:r w:rsidR="00130F92">
        <w:rPr>
          <w:rFonts w:ascii="Times New Roman" w:hAnsi="Times New Roman" w:cs="Times New Roman"/>
          <w:sz w:val="24"/>
          <w:szCs w:val="24"/>
        </w:rPr>
        <w:t>’</w:t>
      </w:r>
      <w:r w:rsidR="00344561">
        <w:rPr>
          <w:rFonts w:ascii="Times New Roman" w:hAnsi="Times New Roman" w:cs="Times New Roman"/>
          <w:sz w:val="24"/>
          <w:szCs w:val="24"/>
        </w:rPr>
        <w:t>s initial brief serve only to confirm OCC Witness Jackson</w:t>
      </w:r>
      <w:r w:rsidR="00130F92">
        <w:rPr>
          <w:rFonts w:ascii="Times New Roman" w:hAnsi="Times New Roman" w:cs="Times New Roman"/>
          <w:sz w:val="24"/>
          <w:szCs w:val="24"/>
        </w:rPr>
        <w:t>’</w:t>
      </w:r>
      <w:r w:rsidR="00344561">
        <w:rPr>
          <w:rFonts w:ascii="Times New Roman" w:hAnsi="Times New Roman" w:cs="Times New Roman"/>
          <w:sz w:val="24"/>
          <w:szCs w:val="24"/>
        </w:rPr>
        <w:t xml:space="preserve">s ultimate point on the matter:  </w:t>
      </w:r>
      <w:r w:rsidR="00130F92">
        <w:rPr>
          <w:rFonts w:ascii="Times New Roman" w:hAnsi="Times New Roman" w:cs="Times New Roman"/>
          <w:sz w:val="24"/>
          <w:szCs w:val="24"/>
        </w:rPr>
        <w:t>“</w:t>
      </w:r>
      <w:r w:rsidR="00344561">
        <w:rPr>
          <w:rFonts w:ascii="Times New Roman" w:hAnsi="Times New Roman" w:cs="Times New Roman"/>
          <w:sz w:val="24"/>
          <w:szCs w:val="24"/>
        </w:rPr>
        <w:t>A nonattainment designation under the 1-hour SO2 standard will likely require additional capital expenditures at the Zimmer plant.</w:t>
      </w:r>
      <w:r w:rsidR="00130F92">
        <w:rPr>
          <w:rFonts w:ascii="Times New Roman" w:hAnsi="Times New Roman" w:cs="Times New Roman"/>
          <w:sz w:val="24"/>
          <w:szCs w:val="24"/>
        </w:rPr>
        <w:t>”</w:t>
      </w:r>
      <w:r w:rsidR="00344561">
        <w:rPr>
          <w:rStyle w:val="FootnoteReference"/>
          <w:rFonts w:ascii="Times New Roman" w:hAnsi="Times New Roman" w:cs="Times New Roman"/>
          <w:sz w:val="24"/>
          <w:szCs w:val="24"/>
        </w:rPr>
        <w:footnoteReference w:id="168"/>
      </w:r>
      <w:r>
        <w:rPr>
          <w:rFonts w:ascii="Times New Roman" w:hAnsi="Times New Roman" w:cs="Times New Roman"/>
          <w:sz w:val="24"/>
          <w:szCs w:val="24"/>
        </w:rPr>
        <w:t xml:space="preserve"> </w:t>
      </w:r>
    </w:p>
    <w:p w:rsidR="00C61028" w:rsidRDefault="00344561" w:rsidP="006450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Witness Jackson</w:t>
      </w:r>
      <w:r w:rsidR="00D00573">
        <w:rPr>
          <w:rFonts w:ascii="Times New Roman" w:hAnsi="Times New Roman" w:cs="Times New Roman"/>
          <w:sz w:val="24"/>
          <w:szCs w:val="24"/>
        </w:rPr>
        <w:t xml:space="preserve"> reached a </w:t>
      </w:r>
      <w:r w:rsidR="00C61028">
        <w:rPr>
          <w:rFonts w:ascii="Times New Roman" w:hAnsi="Times New Roman" w:cs="Times New Roman"/>
          <w:sz w:val="24"/>
          <w:szCs w:val="24"/>
        </w:rPr>
        <w:t>conclusion</w:t>
      </w:r>
      <w:r>
        <w:rPr>
          <w:rFonts w:ascii="Times New Roman" w:hAnsi="Times New Roman" w:cs="Times New Roman"/>
          <w:sz w:val="24"/>
          <w:szCs w:val="24"/>
        </w:rPr>
        <w:t xml:space="preserve"> that it seems very likely that additional NOx controls will be required at Clifty Creek Unit 6</w:t>
      </w:r>
      <w:r w:rsidR="00D00573">
        <w:rPr>
          <w:rFonts w:ascii="Times New Roman" w:hAnsi="Times New Roman" w:cs="Times New Roman"/>
          <w:sz w:val="24"/>
          <w:szCs w:val="24"/>
        </w:rPr>
        <w:t>.  AEP Ohio criticized that conclusion.  AEP Ohio’s points are</w:t>
      </w:r>
      <w:r>
        <w:rPr>
          <w:rFonts w:ascii="Times New Roman" w:hAnsi="Times New Roman" w:cs="Times New Roman"/>
          <w:sz w:val="24"/>
          <w:szCs w:val="24"/>
        </w:rPr>
        <w:t xml:space="preserve"> </w:t>
      </w:r>
      <w:r w:rsidR="00C61028">
        <w:rPr>
          <w:rFonts w:ascii="Times New Roman" w:hAnsi="Times New Roman" w:cs="Times New Roman"/>
          <w:sz w:val="24"/>
          <w:szCs w:val="24"/>
        </w:rPr>
        <w:t>misguided and misleading.</w:t>
      </w:r>
      <w:r w:rsidR="00C61028">
        <w:rPr>
          <w:rStyle w:val="FootnoteReference"/>
          <w:rFonts w:ascii="Times New Roman" w:hAnsi="Times New Roman" w:cs="Times New Roman"/>
          <w:sz w:val="24"/>
          <w:szCs w:val="24"/>
        </w:rPr>
        <w:footnoteReference w:id="169"/>
      </w:r>
      <w:r w:rsidR="00C61028">
        <w:rPr>
          <w:rFonts w:ascii="Times New Roman" w:hAnsi="Times New Roman" w:cs="Times New Roman"/>
          <w:sz w:val="24"/>
          <w:szCs w:val="24"/>
        </w:rPr>
        <w:t xml:space="preserve">  </w:t>
      </w:r>
      <w:r w:rsidR="00405534">
        <w:rPr>
          <w:rFonts w:ascii="Times New Roman" w:hAnsi="Times New Roman" w:cs="Times New Roman"/>
          <w:sz w:val="24"/>
          <w:szCs w:val="24"/>
        </w:rPr>
        <w:t>AEP Ohio calls</w:t>
      </w:r>
      <w:r w:rsidR="00C61028">
        <w:rPr>
          <w:rFonts w:ascii="Times New Roman" w:hAnsi="Times New Roman" w:cs="Times New Roman"/>
          <w:sz w:val="24"/>
          <w:szCs w:val="24"/>
        </w:rPr>
        <w:t xml:space="preserve"> </w:t>
      </w:r>
      <w:r w:rsidR="00D00573">
        <w:rPr>
          <w:rFonts w:ascii="Times New Roman" w:hAnsi="Times New Roman" w:cs="Times New Roman"/>
          <w:sz w:val="24"/>
          <w:szCs w:val="24"/>
        </w:rPr>
        <w:t>her conclusion</w:t>
      </w:r>
      <w:r w:rsidR="00C61028">
        <w:rPr>
          <w:rFonts w:ascii="Times New Roman" w:hAnsi="Times New Roman" w:cs="Times New Roman"/>
          <w:sz w:val="24"/>
          <w:szCs w:val="24"/>
        </w:rPr>
        <w:t xml:space="preserve"> </w:t>
      </w:r>
      <w:r w:rsidR="00130F92">
        <w:rPr>
          <w:rFonts w:ascii="Times New Roman" w:hAnsi="Times New Roman" w:cs="Times New Roman"/>
          <w:sz w:val="24"/>
          <w:szCs w:val="24"/>
        </w:rPr>
        <w:t>“</w:t>
      </w:r>
      <w:r w:rsidR="00C61028">
        <w:rPr>
          <w:rFonts w:ascii="Times New Roman" w:hAnsi="Times New Roman" w:cs="Times New Roman"/>
          <w:sz w:val="24"/>
          <w:szCs w:val="24"/>
        </w:rPr>
        <w:t>speculation</w:t>
      </w:r>
      <w:r w:rsidR="00130F92">
        <w:rPr>
          <w:rFonts w:ascii="Times New Roman" w:hAnsi="Times New Roman" w:cs="Times New Roman"/>
          <w:sz w:val="24"/>
          <w:szCs w:val="24"/>
        </w:rPr>
        <w:t>”</w:t>
      </w:r>
      <w:r w:rsidR="00C61028">
        <w:rPr>
          <w:rFonts w:ascii="Times New Roman" w:hAnsi="Times New Roman" w:cs="Times New Roman"/>
          <w:sz w:val="24"/>
          <w:szCs w:val="24"/>
        </w:rPr>
        <w:t xml:space="preserve"> because the OVEC report she relied </w:t>
      </w:r>
      <w:r w:rsidR="00D00573">
        <w:rPr>
          <w:rFonts w:ascii="Times New Roman" w:hAnsi="Times New Roman" w:cs="Times New Roman"/>
          <w:sz w:val="24"/>
          <w:szCs w:val="24"/>
        </w:rPr>
        <w:t>up</w:t>
      </w:r>
      <w:r w:rsidR="00C61028">
        <w:rPr>
          <w:rFonts w:ascii="Times New Roman" w:hAnsi="Times New Roman" w:cs="Times New Roman"/>
          <w:sz w:val="24"/>
          <w:szCs w:val="24"/>
        </w:rPr>
        <w:t xml:space="preserve">on </w:t>
      </w:r>
      <w:r w:rsidR="00D00573">
        <w:rPr>
          <w:rFonts w:ascii="Times New Roman" w:hAnsi="Times New Roman" w:cs="Times New Roman"/>
          <w:sz w:val="24"/>
          <w:szCs w:val="24"/>
        </w:rPr>
        <w:t xml:space="preserve">(according to AEP Ohio) </w:t>
      </w:r>
      <w:r w:rsidR="00C61028">
        <w:rPr>
          <w:rFonts w:ascii="Times New Roman" w:hAnsi="Times New Roman" w:cs="Times New Roman"/>
          <w:sz w:val="24"/>
          <w:szCs w:val="24"/>
        </w:rPr>
        <w:t>uses different words.</w:t>
      </w:r>
      <w:r w:rsidR="00C61028">
        <w:rPr>
          <w:rStyle w:val="FootnoteReference"/>
          <w:rFonts w:ascii="Times New Roman" w:hAnsi="Times New Roman" w:cs="Times New Roman"/>
          <w:sz w:val="24"/>
          <w:szCs w:val="24"/>
        </w:rPr>
        <w:footnoteReference w:id="170"/>
      </w:r>
      <w:r w:rsidR="00C61028">
        <w:rPr>
          <w:rFonts w:ascii="Times New Roman" w:hAnsi="Times New Roman" w:cs="Times New Roman"/>
          <w:sz w:val="24"/>
          <w:szCs w:val="24"/>
        </w:rPr>
        <w:t xml:space="preserve">  OCC Witness Jackson, however, made it very clear that the OVEC report was </w:t>
      </w:r>
      <w:r w:rsidR="00C61028" w:rsidRPr="00C61028">
        <w:rPr>
          <w:rFonts w:ascii="Times New Roman" w:hAnsi="Times New Roman" w:cs="Times New Roman"/>
          <w:i/>
          <w:sz w:val="24"/>
          <w:szCs w:val="24"/>
        </w:rPr>
        <w:t>not</w:t>
      </w:r>
      <w:r w:rsidR="00C61028">
        <w:rPr>
          <w:rFonts w:ascii="Times New Roman" w:hAnsi="Times New Roman" w:cs="Times New Roman"/>
          <w:sz w:val="24"/>
          <w:szCs w:val="24"/>
        </w:rPr>
        <w:t xml:space="preserve"> the sole source for her conclusion:</w:t>
      </w:r>
    </w:p>
    <w:p w:rsidR="00C61028" w:rsidRDefault="00C61028" w:rsidP="00E66D9C">
      <w:p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I would not say that</w:t>
      </w:r>
      <w:r w:rsidR="00130F92">
        <w:rPr>
          <w:rFonts w:ascii="Times New Roman" w:hAnsi="Times New Roman" w:cs="Times New Roman"/>
          <w:sz w:val="24"/>
          <w:szCs w:val="24"/>
        </w:rPr>
        <w:t>’</w:t>
      </w:r>
      <w:r>
        <w:rPr>
          <w:rFonts w:ascii="Times New Roman" w:hAnsi="Times New Roman" w:cs="Times New Roman"/>
          <w:sz w:val="24"/>
          <w:szCs w:val="24"/>
        </w:rPr>
        <w:t>s [the OVEC report] the only basis.  I would say that makes it fairly obvious that even the operators at the plants think it</w:t>
      </w:r>
      <w:r w:rsidR="00130F92">
        <w:rPr>
          <w:rFonts w:ascii="Times New Roman" w:hAnsi="Times New Roman" w:cs="Times New Roman"/>
          <w:sz w:val="24"/>
          <w:szCs w:val="24"/>
        </w:rPr>
        <w:t>’</w:t>
      </w:r>
      <w:r>
        <w:rPr>
          <w:rFonts w:ascii="Times New Roman" w:hAnsi="Times New Roman" w:cs="Times New Roman"/>
          <w:sz w:val="24"/>
          <w:szCs w:val="24"/>
        </w:rPr>
        <w:t>s necessary.  I reviewed the emission</w:t>
      </w:r>
      <w:r w:rsidR="00130F92">
        <w:rPr>
          <w:rFonts w:ascii="Times New Roman" w:hAnsi="Times New Roman" w:cs="Times New Roman"/>
          <w:sz w:val="24"/>
          <w:szCs w:val="24"/>
        </w:rPr>
        <w:t>’</w:t>
      </w:r>
      <w:r>
        <w:rPr>
          <w:rFonts w:ascii="Times New Roman" w:hAnsi="Times New Roman" w:cs="Times New Roman"/>
          <w:sz w:val="24"/>
          <w:szCs w:val="24"/>
        </w:rPr>
        <w:t>s data from Unit 6 and also what may be required based on current and upcoming regulatory obligations and feel that I agree that an SC</w:t>
      </w:r>
      <w:r w:rsidR="008D617D">
        <w:rPr>
          <w:rFonts w:ascii="Times New Roman" w:hAnsi="Times New Roman" w:cs="Times New Roman"/>
          <w:sz w:val="24"/>
          <w:szCs w:val="24"/>
        </w:rPr>
        <w:t>R</w:t>
      </w:r>
      <w:r>
        <w:rPr>
          <w:rFonts w:ascii="Times New Roman" w:hAnsi="Times New Roman" w:cs="Times New Roman"/>
          <w:sz w:val="24"/>
          <w:szCs w:val="24"/>
        </w:rPr>
        <w:t xml:space="preserve"> </w:t>
      </w:r>
      <w:r w:rsidR="008D617D">
        <w:rPr>
          <w:rFonts w:ascii="Times New Roman" w:hAnsi="Times New Roman" w:cs="Times New Roman"/>
          <w:sz w:val="24"/>
          <w:szCs w:val="24"/>
        </w:rPr>
        <w:t xml:space="preserve">[selective catalytic reduction] </w:t>
      </w:r>
      <w:r>
        <w:rPr>
          <w:rFonts w:ascii="Times New Roman" w:hAnsi="Times New Roman" w:cs="Times New Roman"/>
          <w:sz w:val="24"/>
          <w:szCs w:val="24"/>
        </w:rPr>
        <w:t>may be required on Unit 6.</w:t>
      </w:r>
    </w:p>
    <w:p w:rsidR="00C61028" w:rsidRDefault="00C61028" w:rsidP="00C61028">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w:t>
      </w:r>
    </w:p>
    <w:p w:rsidR="00C61028" w:rsidRDefault="00C61028" w:rsidP="00E66D9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Yes; very likely [that an SC may be required on Unit 6].</w:t>
      </w:r>
      <w:r>
        <w:rPr>
          <w:rStyle w:val="FootnoteReference"/>
          <w:rFonts w:ascii="Times New Roman" w:hAnsi="Times New Roman" w:cs="Times New Roman"/>
          <w:sz w:val="24"/>
          <w:szCs w:val="24"/>
        </w:rPr>
        <w:footnoteReference w:id="171"/>
      </w:r>
    </w:p>
    <w:p w:rsidR="001A4990" w:rsidRDefault="00C61028" w:rsidP="00082A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AEP Ohio</w:t>
      </w:r>
      <w:r w:rsidR="00D00573">
        <w:rPr>
          <w:rFonts w:ascii="Times New Roman" w:hAnsi="Times New Roman" w:cs="Times New Roman"/>
          <w:sz w:val="24"/>
          <w:szCs w:val="24"/>
        </w:rPr>
        <w:t xml:space="preserve"> also had</w:t>
      </w:r>
      <w:r>
        <w:rPr>
          <w:rFonts w:ascii="Times New Roman" w:hAnsi="Times New Roman" w:cs="Times New Roman"/>
          <w:sz w:val="24"/>
          <w:szCs w:val="24"/>
        </w:rPr>
        <w:t xml:space="preserve"> criticism of OCC Witness Jackson</w:t>
      </w:r>
      <w:r w:rsidR="00130F92">
        <w:rPr>
          <w:rFonts w:ascii="Times New Roman" w:hAnsi="Times New Roman" w:cs="Times New Roman"/>
          <w:sz w:val="24"/>
          <w:szCs w:val="24"/>
        </w:rPr>
        <w:t>’</w:t>
      </w:r>
      <w:r>
        <w:rPr>
          <w:rFonts w:ascii="Times New Roman" w:hAnsi="Times New Roman" w:cs="Times New Roman"/>
          <w:sz w:val="24"/>
          <w:szCs w:val="24"/>
        </w:rPr>
        <w:t xml:space="preserve">s </w:t>
      </w:r>
      <w:r w:rsidR="00D10CB3">
        <w:rPr>
          <w:rFonts w:ascii="Times New Roman" w:hAnsi="Times New Roman" w:cs="Times New Roman"/>
          <w:sz w:val="24"/>
          <w:szCs w:val="24"/>
        </w:rPr>
        <w:t xml:space="preserve">reliance on certain data regarding </w:t>
      </w:r>
      <w:r w:rsidR="006450F6">
        <w:rPr>
          <w:rFonts w:ascii="Times New Roman" w:hAnsi="Times New Roman" w:cs="Times New Roman"/>
          <w:sz w:val="24"/>
          <w:szCs w:val="24"/>
        </w:rPr>
        <w:t xml:space="preserve">ozone </w:t>
      </w:r>
      <w:r w:rsidR="00D10CB3">
        <w:rPr>
          <w:rFonts w:ascii="Times New Roman" w:hAnsi="Times New Roman" w:cs="Times New Roman"/>
          <w:sz w:val="24"/>
          <w:szCs w:val="24"/>
        </w:rPr>
        <w:t>non-attainment areas</w:t>
      </w:r>
      <w:r w:rsidR="00D00573">
        <w:rPr>
          <w:rFonts w:ascii="Times New Roman" w:hAnsi="Times New Roman" w:cs="Times New Roman"/>
          <w:sz w:val="24"/>
          <w:szCs w:val="24"/>
        </w:rPr>
        <w:t>.  AEP Ohio’s criticism</w:t>
      </w:r>
      <w:r w:rsidR="00D10CB3">
        <w:rPr>
          <w:rFonts w:ascii="Times New Roman" w:hAnsi="Times New Roman" w:cs="Times New Roman"/>
          <w:sz w:val="24"/>
          <w:szCs w:val="24"/>
        </w:rPr>
        <w:t xml:space="preserve"> is </w:t>
      </w:r>
      <w:r w:rsidR="00D00573">
        <w:rPr>
          <w:rFonts w:ascii="Times New Roman" w:hAnsi="Times New Roman" w:cs="Times New Roman"/>
          <w:sz w:val="24"/>
          <w:szCs w:val="24"/>
        </w:rPr>
        <w:t xml:space="preserve">again </w:t>
      </w:r>
      <w:r w:rsidR="00D10CB3">
        <w:rPr>
          <w:rFonts w:ascii="Times New Roman" w:hAnsi="Times New Roman" w:cs="Times New Roman"/>
          <w:sz w:val="24"/>
          <w:szCs w:val="24"/>
        </w:rPr>
        <w:t xml:space="preserve">misguided and misleading.  The data was not </w:t>
      </w:r>
      <w:r w:rsidR="00130F92">
        <w:rPr>
          <w:rFonts w:ascii="Times New Roman" w:hAnsi="Times New Roman" w:cs="Times New Roman"/>
          <w:sz w:val="24"/>
          <w:szCs w:val="24"/>
        </w:rPr>
        <w:t>“</w:t>
      </w:r>
      <w:r w:rsidR="00D10CB3">
        <w:rPr>
          <w:rFonts w:ascii="Times New Roman" w:hAnsi="Times New Roman" w:cs="Times New Roman"/>
          <w:sz w:val="24"/>
          <w:szCs w:val="24"/>
        </w:rPr>
        <w:t>outdated</w:t>
      </w:r>
      <w:r w:rsidR="00130F92">
        <w:rPr>
          <w:rFonts w:ascii="Times New Roman" w:hAnsi="Times New Roman" w:cs="Times New Roman"/>
          <w:sz w:val="24"/>
          <w:szCs w:val="24"/>
        </w:rPr>
        <w:t>”</w:t>
      </w:r>
      <w:r w:rsidR="00D10CB3">
        <w:rPr>
          <w:rFonts w:ascii="Times New Roman" w:hAnsi="Times New Roman" w:cs="Times New Roman"/>
          <w:sz w:val="24"/>
          <w:szCs w:val="24"/>
        </w:rPr>
        <w:t xml:space="preserve"> or in some way not </w:t>
      </w:r>
      <w:r w:rsidR="00130F92">
        <w:rPr>
          <w:rFonts w:ascii="Times New Roman" w:hAnsi="Times New Roman" w:cs="Times New Roman"/>
          <w:sz w:val="24"/>
          <w:szCs w:val="24"/>
        </w:rPr>
        <w:t>“</w:t>
      </w:r>
      <w:r w:rsidR="00D10CB3">
        <w:rPr>
          <w:rFonts w:ascii="Times New Roman" w:hAnsi="Times New Roman" w:cs="Times New Roman"/>
          <w:sz w:val="24"/>
          <w:szCs w:val="24"/>
        </w:rPr>
        <w:t>current.</w:t>
      </w:r>
      <w:r w:rsidR="00130F92">
        <w:rPr>
          <w:rFonts w:ascii="Times New Roman" w:hAnsi="Times New Roman" w:cs="Times New Roman"/>
          <w:sz w:val="24"/>
          <w:szCs w:val="24"/>
        </w:rPr>
        <w:t>”</w:t>
      </w:r>
      <w:r w:rsidR="00D10CB3">
        <w:rPr>
          <w:rStyle w:val="FootnoteReference"/>
          <w:rFonts w:ascii="Times New Roman" w:hAnsi="Times New Roman" w:cs="Times New Roman"/>
          <w:sz w:val="24"/>
          <w:szCs w:val="24"/>
        </w:rPr>
        <w:footnoteReference w:id="172"/>
      </w:r>
      <w:r w:rsidR="00D10CB3">
        <w:rPr>
          <w:rFonts w:ascii="Times New Roman" w:hAnsi="Times New Roman" w:cs="Times New Roman"/>
          <w:sz w:val="24"/>
          <w:szCs w:val="24"/>
        </w:rPr>
        <w:t xml:space="preserve">  As OCC Witness Jackson explained, the data she relied on regarding non-attainment areas </w:t>
      </w:r>
      <w:r w:rsidR="00130F92">
        <w:rPr>
          <w:rFonts w:ascii="Times New Roman" w:hAnsi="Times New Roman" w:cs="Times New Roman"/>
          <w:sz w:val="24"/>
          <w:szCs w:val="24"/>
        </w:rPr>
        <w:t>“</w:t>
      </w:r>
      <w:r w:rsidR="00D10CB3">
        <w:rPr>
          <w:rFonts w:ascii="Times New Roman" w:hAnsi="Times New Roman" w:cs="Times New Roman"/>
          <w:sz w:val="24"/>
          <w:szCs w:val="24"/>
        </w:rPr>
        <w:t>was released with the ozone standard as I reviewed it at the time of my testimony[.]</w:t>
      </w:r>
      <w:r w:rsidR="00130F92">
        <w:rPr>
          <w:rFonts w:ascii="Times New Roman" w:hAnsi="Times New Roman" w:cs="Times New Roman"/>
          <w:sz w:val="24"/>
          <w:szCs w:val="24"/>
        </w:rPr>
        <w:t>”</w:t>
      </w:r>
      <w:r w:rsidR="00D10CB3">
        <w:rPr>
          <w:rStyle w:val="FootnoteReference"/>
          <w:rFonts w:ascii="Times New Roman" w:hAnsi="Times New Roman" w:cs="Times New Roman"/>
          <w:sz w:val="24"/>
          <w:szCs w:val="24"/>
        </w:rPr>
        <w:footnoteReference w:id="173"/>
      </w:r>
      <w:r w:rsidR="00D10CB3">
        <w:rPr>
          <w:rFonts w:ascii="Times New Roman" w:hAnsi="Times New Roman" w:cs="Times New Roman"/>
          <w:sz w:val="24"/>
          <w:szCs w:val="24"/>
        </w:rPr>
        <w:t xml:space="preserve">  Read in context, the cross-examination to which AEP Ohio cites demonstrates simply that OCC Witness Jackson used the best, and only, available data to her at the time she analyzed matters of ozone non-attainment.</w:t>
      </w:r>
      <w:r w:rsidR="00D10CB3">
        <w:rPr>
          <w:rStyle w:val="FootnoteReference"/>
          <w:rFonts w:ascii="Times New Roman" w:hAnsi="Times New Roman" w:cs="Times New Roman"/>
          <w:sz w:val="24"/>
          <w:szCs w:val="24"/>
        </w:rPr>
        <w:footnoteReference w:id="174"/>
      </w:r>
      <w:r w:rsidR="00D10CB3">
        <w:rPr>
          <w:rFonts w:ascii="Times New Roman" w:hAnsi="Times New Roman" w:cs="Times New Roman"/>
          <w:sz w:val="24"/>
          <w:szCs w:val="24"/>
        </w:rPr>
        <w:t xml:space="preserve">  She did not consider, and could not have considered, data from the future not yet available.  For AEP Ohio to criticize OCC Witness Jackson for that serves only to confirm that it cannot criticize the substance of her testimony.</w:t>
      </w:r>
      <w:r w:rsidR="00D10CB3">
        <w:rPr>
          <w:rStyle w:val="FootnoteReference"/>
          <w:rFonts w:ascii="Times New Roman" w:hAnsi="Times New Roman" w:cs="Times New Roman"/>
          <w:sz w:val="24"/>
          <w:szCs w:val="24"/>
        </w:rPr>
        <w:footnoteReference w:id="175"/>
      </w:r>
      <w:r w:rsidR="00D10CB3">
        <w:rPr>
          <w:rFonts w:ascii="Times New Roman" w:hAnsi="Times New Roman" w:cs="Times New Roman"/>
          <w:sz w:val="24"/>
          <w:szCs w:val="24"/>
        </w:rPr>
        <w:t xml:space="preserve">  </w:t>
      </w:r>
    </w:p>
    <w:p w:rsidR="001F35BA" w:rsidRPr="00E66D9C" w:rsidRDefault="00E66D9C" w:rsidP="00E66D9C">
      <w:pPr>
        <w:pStyle w:val="Heading1"/>
      </w:pPr>
      <w:bookmarkStart w:id="46" w:name="_Toc442712232"/>
      <w:bookmarkStart w:id="47" w:name="_Toc442713378"/>
      <w:r>
        <w:t>III.</w:t>
      </w:r>
      <w:r>
        <w:tab/>
      </w:r>
      <w:r w:rsidR="001F35BA" w:rsidRPr="00E66D9C">
        <w:t>CONCLUSION</w:t>
      </w:r>
      <w:bookmarkEnd w:id="46"/>
      <w:bookmarkEnd w:id="47"/>
    </w:p>
    <w:p w:rsidR="001F35BA" w:rsidRDefault="001D6EF4" w:rsidP="001F35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AEP Ohio’s </w:t>
      </w:r>
      <w:r w:rsidR="001D5CF8">
        <w:rPr>
          <w:rFonts w:ascii="Times New Roman" w:hAnsi="Times New Roman" w:cs="Times New Roman"/>
          <w:sz w:val="24"/>
          <w:szCs w:val="24"/>
        </w:rPr>
        <w:t xml:space="preserve">Settlement </w:t>
      </w:r>
      <w:r>
        <w:rPr>
          <w:rFonts w:ascii="Times New Roman" w:hAnsi="Times New Roman" w:cs="Times New Roman"/>
          <w:sz w:val="24"/>
          <w:szCs w:val="24"/>
        </w:rPr>
        <w:t xml:space="preserve">and application would </w:t>
      </w:r>
      <w:r w:rsidR="00C2392A">
        <w:rPr>
          <w:rFonts w:ascii="Times New Roman" w:hAnsi="Times New Roman" w:cs="Times New Roman"/>
          <w:sz w:val="24"/>
          <w:szCs w:val="24"/>
        </w:rPr>
        <w:t>cost</w:t>
      </w:r>
      <w:r w:rsidR="00784CD3">
        <w:rPr>
          <w:rFonts w:ascii="Times New Roman" w:hAnsi="Times New Roman" w:cs="Times New Roman"/>
          <w:sz w:val="24"/>
          <w:szCs w:val="24"/>
        </w:rPr>
        <w:t xml:space="preserve"> Ohio’s retail customers</w:t>
      </w:r>
      <w:r w:rsidR="00A76012">
        <w:rPr>
          <w:rFonts w:ascii="Times New Roman" w:hAnsi="Times New Roman" w:cs="Times New Roman"/>
          <w:sz w:val="24"/>
          <w:szCs w:val="24"/>
        </w:rPr>
        <w:t xml:space="preserve"> a projected</w:t>
      </w:r>
      <w:r w:rsidR="00C2392A">
        <w:rPr>
          <w:rFonts w:ascii="Times New Roman" w:hAnsi="Times New Roman" w:cs="Times New Roman"/>
          <w:sz w:val="24"/>
          <w:szCs w:val="24"/>
        </w:rPr>
        <w:t xml:space="preserve"> $1.9 billion ($700 per customer) over the </w:t>
      </w:r>
      <w:r>
        <w:rPr>
          <w:rFonts w:ascii="Times New Roman" w:hAnsi="Times New Roman" w:cs="Times New Roman"/>
          <w:sz w:val="24"/>
          <w:szCs w:val="24"/>
        </w:rPr>
        <w:t>eight</w:t>
      </w:r>
      <w:r w:rsidR="00C2392A">
        <w:rPr>
          <w:rFonts w:ascii="Times New Roman" w:hAnsi="Times New Roman" w:cs="Times New Roman"/>
          <w:sz w:val="24"/>
          <w:szCs w:val="24"/>
        </w:rPr>
        <w:t xml:space="preserve">-year </w:t>
      </w:r>
      <w:r>
        <w:rPr>
          <w:rFonts w:ascii="Times New Roman" w:hAnsi="Times New Roman" w:cs="Times New Roman"/>
          <w:sz w:val="24"/>
          <w:szCs w:val="24"/>
        </w:rPr>
        <w:t xml:space="preserve">PPA </w:t>
      </w:r>
      <w:r w:rsidR="00C2392A">
        <w:rPr>
          <w:rFonts w:ascii="Times New Roman" w:hAnsi="Times New Roman" w:cs="Times New Roman"/>
          <w:sz w:val="24"/>
          <w:szCs w:val="24"/>
        </w:rPr>
        <w:t>term</w:t>
      </w:r>
      <w:r w:rsidR="00A76012">
        <w:rPr>
          <w:rFonts w:ascii="Times New Roman" w:hAnsi="Times New Roman" w:cs="Times New Roman"/>
          <w:sz w:val="24"/>
          <w:szCs w:val="24"/>
        </w:rPr>
        <w:t>.  The cost to Ohioans would be</w:t>
      </w:r>
      <w:r>
        <w:rPr>
          <w:rFonts w:ascii="Times New Roman" w:hAnsi="Times New Roman" w:cs="Times New Roman"/>
          <w:sz w:val="24"/>
          <w:szCs w:val="24"/>
        </w:rPr>
        <w:t xml:space="preserve"> “dramatically” more money (as OEG states) if federal officials require the power plants to bid into markets at their cost</w:t>
      </w:r>
      <w:r w:rsidR="00A76012">
        <w:rPr>
          <w:rFonts w:ascii="Times New Roman" w:hAnsi="Times New Roman" w:cs="Times New Roman"/>
          <w:sz w:val="24"/>
          <w:szCs w:val="24"/>
        </w:rPr>
        <w:t xml:space="preserve"> and the plants receive no revenue to offset the consumer subsidies under AEP Ohio’s proposed PPA</w:t>
      </w:r>
      <w:r w:rsidR="00784CD3">
        <w:rPr>
          <w:rFonts w:ascii="Times New Roman" w:hAnsi="Times New Roman" w:cs="Times New Roman"/>
          <w:sz w:val="24"/>
          <w:szCs w:val="24"/>
        </w:rPr>
        <w:t xml:space="preserve">.  </w:t>
      </w:r>
      <w:r w:rsidR="00A76012">
        <w:rPr>
          <w:rFonts w:ascii="Times New Roman" w:hAnsi="Times New Roman" w:cs="Times New Roman"/>
          <w:sz w:val="24"/>
          <w:szCs w:val="24"/>
        </w:rPr>
        <w:t>Additionally,</w:t>
      </w:r>
      <w:r>
        <w:rPr>
          <w:rFonts w:ascii="Times New Roman" w:hAnsi="Times New Roman" w:cs="Times New Roman"/>
          <w:sz w:val="24"/>
          <w:szCs w:val="24"/>
        </w:rPr>
        <w:t xml:space="preserve"> the settlement</w:t>
      </w:r>
      <w:r w:rsidR="00A76012">
        <w:rPr>
          <w:rFonts w:ascii="Times New Roman" w:hAnsi="Times New Roman" w:cs="Times New Roman"/>
          <w:sz w:val="24"/>
          <w:szCs w:val="24"/>
        </w:rPr>
        <w:t>’s re-regulatory proposal</w:t>
      </w:r>
      <w:r>
        <w:rPr>
          <w:rFonts w:ascii="Times New Roman" w:hAnsi="Times New Roman" w:cs="Times New Roman"/>
          <w:sz w:val="24"/>
          <w:szCs w:val="24"/>
        </w:rPr>
        <w:t xml:space="preserve"> would </w:t>
      </w:r>
      <w:r w:rsidR="00EF694A">
        <w:rPr>
          <w:rFonts w:ascii="Times New Roman" w:hAnsi="Times New Roman" w:cs="Times New Roman"/>
          <w:sz w:val="24"/>
          <w:szCs w:val="24"/>
        </w:rPr>
        <w:t>diverge from</w:t>
      </w:r>
      <w:r>
        <w:rPr>
          <w:rFonts w:ascii="Times New Roman" w:hAnsi="Times New Roman" w:cs="Times New Roman"/>
          <w:sz w:val="24"/>
          <w:szCs w:val="24"/>
        </w:rPr>
        <w:t xml:space="preserve"> Ohio</w:t>
      </w:r>
      <w:r w:rsidR="00A76012">
        <w:rPr>
          <w:rFonts w:ascii="Times New Roman" w:hAnsi="Times New Roman" w:cs="Times New Roman"/>
          <w:sz w:val="24"/>
          <w:szCs w:val="24"/>
        </w:rPr>
        <w:t>’s</w:t>
      </w:r>
      <w:r>
        <w:rPr>
          <w:rFonts w:ascii="Times New Roman" w:hAnsi="Times New Roman" w:cs="Times New Roman"/>
          <w:sz w:val="24"/>
          <w:szCs w:val="24"/>
        </w:rPr>
        <w:t xml:space="preserve"> </w:t>
      </w:r>
      <w:r w:rsidR="00A76012">
        <w:rPr>
          <w:rFonts w:ascii="Times New Roman" w:hAnsi="Times New Roman" w:cs="Times New Roman"/>
          <w:sz w:val="24"/>
          <w:szCs w:val="24"/>
        </w:rPr>
        <w:t>policy</w:t>
      </w:r>
      <w:r>
        <w:rPr>
          <w:rFonts w:ascii="Times New Roman" w:hAnsi="Times New Roman" w:cs="Times New Roman"/>
          <w:sz w:val="24"/>
          <w:szCs w:val="24"/>
        </w:rPr>
        <w:t xml:space="preserve"> for</w:t>
      </w:r>
      <w:r w:rsidR="00A76012">
        <w:rPr>
          <w:rFonts w:ascii="Times New Roman" w:hAnsi="Times New Roman" w:cs="Times New Roman"/>
          <w:sz w:val="24"/>
          <w:szCs w:val="24"/>
        </w:rPr>
        <w:t xml:space="preserve"> using</w:t>
      </w:r>
      <w:r>
        <w:rPr>
          <w:rFonts w:ascii="Times New Roman" w:hAnsi="Times New Roman" w:cs="Times New Roman"/>
          <w:sz w:val="24"/>
          <w:szCs w:val="24"/>
        </w:rPr>
        <w:t xml:space="preserve"> markets</w:t>
      </w:r>
      <w:r w:rsidR="00A76012">
        <w:rPr>
          <w:rFonts w:ascii="Times New Roman" w:hAnsi="Times New Roman" w:cs="Times New Roman"/>
          <w:sz w:val="24"/>
          <w:szCs w:val="24"/>
        </w:rPr>
        <w:t xml:space="preserve"> to determine electric generation prices (instead of government regulators imposing prices).</w:t>
      </w:r>
      <w:r>
        <w:rPr>
          <w:rFonts w:ascii="Times New Roman" w:hAnsi="Times New Roman" w:cs="Times New Roman"/>
          <w:sz w:val="24"/>
          <w:szCs w:val="24"/>
        </w:rPr>
        <w:t xml:space="preserve"> </w:t>
      </w:r>
      <w:r w:rsidR="00A76012">
        <w:rPr>
          <w:rFonts w:ascii="Times New Roman" w:hAnsi="Times New Roman" w:cs="Times New Roman"/>
          <w:sz w:val="24"/>
          <w:szCs w:val="24"/>
        </w:rPr>
        <w:t>The PUCO should take a stand for Ohio policy, markets and the consumer protection that state policy for markets provides to a million AEP Ohio consumers</w:t>
      </w:r>
      <w:r w:rsidR="001F35BA">
        <w:rPr>
          <w:rFonts w:ascii="Times New Roman" w:hAnsi="Times New Roman" w:cs="Times New Roman"/>
          <w:sz w:val="24"/>
          <w:szCs w:val="24"/>
        </w:rPr>
        <w:t>.</w:t>
      </w:r>
    </w:p>
    <w:p w:rsidR="00130F92" w:rsidRDefault="00130F92" w:rsidP="001F35BA">
      <w:pPr>
        <w:spacing w:after="0" w:line="480" w:lineRule="auto"/>
        <w:ind w:firstLine="720"/>
        <w:rPr>
          <w:rFonts w:ascii="Times New Roman" w:hAnsi="Times New Roman" w:cs="Times New Roman"/>
          <w:sz w:val="24"/>
          <w:szCs w:val="24"/>
        </w:rPr>
      </w:pP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Bruce J. Weston (0016973)</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OHIO CONSUMERS</w:t>
      </w:r>
      <w:r>
        <w:rPr>
          <w:rFonts w:ascii="Times New Roman" w:eastAsiaTheme="minorEastAsia" w:hAnsi="Times New Roman" w:cs="Times New Roman"/>
          <w:sz w:val="24"/>
        </w:rPr>
        <w:t>’</w:t>
      </w:r>
      <w:r w:rsidRPr="00BF2D87">
        <w:rPr>
          <w:rFonts w:ascii="Times New Roman" w:eastAsiaTheme="minorEastAsia" w:hAnsi="Times New Roman" w:cs="Times New Roman"/>
          <w:sz w:val="24"/>
        </w:rPr>
        <w:t xml:space="preserve"> COUNSEL</w:t>
      </w:r>
    </w:p>
    <w:p w:rsidR="00130F92"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p>
    <w:p w:rsidR="00130F92" w:rsidRPr="00130F92" w:rsidRDefault="00130F92" w:rsidP="00130F92">
      <w:pPr>
        <w:spacing w:after="0" w:line="240" w:lineRule="auto"/>
        <w:rPr>
          <w:rFonts w:ascii="Times New Roman" w:eastAsiaTheme="minorEastAsia" w:hAnsi="Times New Roman" w:cs="Times New Roman"/>
          <w:i/>
          <w:sz w:val="24"/>
          <w:u w:val="single"/>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i/>
          <w:sz w:val="24"/>
          <w:u w:val="single"/>
        </w:rPr>
        <w:t>/s/ William J. Michael</w:t>
      </w:r>
      <w:r>
        <w:rPr>
          <w:rFonts w:ascii="Times New Roman" w:eastAsiaTheme="minorEastAsia" w:hAnsi="Times New Roman" w:cs="Times New Roman"/>
          <w:i/>
          <w:sz w:val="24"/>
          <w:u w:val="single"/>
        </w:rPr>
        <w:tab/>
      </w:r>
      <w:r>
        <w:rPr>
          <w:rFonts w:ascii="Times New Roman" w:eastAsiaTheme="minorEastAsia" w:hAnsi="Times New Roman" w:cs="Times New Roman"/>
          <w:i/>
          <w:sz w:val="24"/>
          <w:u w:val="single"/>
        </w:rPr>
        <w:tab/>
      </w:r>
      <w:r>
        <w:rPr>
          <w:rFonts w:ascii="Times New Roman" w:eastAsiaTheme="minorEastAsia" w:hAnsi="Times New Roman" w:cs="Times New Roman"/>
          <w:i/>
          <w:sz w:val="24"/>
          <w:u w:val="single"/>
        </w:rPr>
        <w:tab/>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William J. Michael (0070921)</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Counsel of Record</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Jodi J. Bair (0062921)</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Kevin F. Moore (0089228)</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Assistant Consumers</w:t>
      </w:r>
      <w:r>
        <w:rPr>
          <w:rFonts w:ascii="Times New Roman" w:eastAsiaTheme="minorEastAsia" w:hAnsi="Times New Roman" w:cs="Times New Roman"/>
          <w:sz w:val="24"/>
        </w:rPr>
        <w:t>’</w:t>
      </w:r>
      <w:r w:rsidRPr="00BF2D87">
        <w:rPr>
          <w:rFonts w:ascii="Times New Roman" w:eastAsiaTheme="minorEastAsia" w:hAnsi="Times New Roman" w:cs="Times New Roman"/>
          <w:sz w:val="24"/>
        </w:rPr>
        <w:t xml:space="preserve"> Counsel</w:t>
      </w:r>
    </w:p>
    <w:p w:rsidR="00130F92" w:rsidRPr="00BF2D87" w:rsidRDefault="00130F92" w:rsidP="00130F92">
      <w:pPr>
        <w:spacing w:after="0" w:line="240" w:lineRule="auto"/>
        <w:rPr>
          <w:rFonts w:ascii="Times New Roman" w:eastAsiaTheme="minorEastAsia" w:hAnsi="Times New Roman" w:cs="Times New Roman"/>
          <w:sz w:val="24"/>
        </w:rPr>
      </w:pPr>
    </w:p>
    <w:p w:rsidR="00130F92" w:rsidRPr="00BF2D87" w:rsidRDefault="00130F92" w:rsidP="00130F92">
      <w:pPr>
        <w:spacing w:after="0" w:line="240" w:lineRule="auto"/>
        <w:rPr>
          <w:rFonts w:ascii="Times New Roman" w:eastAsiaTheme="minorEastAsia" w:hAnsi="Times New Roman" w:cs="Times New Roman"/>
          <w:b/>
          <w:sz w:val="24"/>
        </w:rPr>
      </w:pP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r>
      <w:r w:rsidRPr="00BF2D87">
        <w:rPr>
          <w:rFonts w:ascii="Times New Roman" w:eastAsiaTheme="minorEastAsia" w:hAnsi="Times New Roman" w:cs="Times New Roman"/>
          <w:b/>
          <w:sz w:val="24"/>
        </w:rPr>
        <w:tab/>
        <w:t>Office of the Ohio Consumers</w:t>
      </w:r>
      <w:r>
        <w:rPr>
          <w:rFonts w:ascii="Times New Roman" w:eastAsiaTheme="minorEastAsia" w:hAnsi="Times New Roman" w:cs="Times New Roman"/>
          <w:b/>
          <w:sz w:val="24"/>
        </w:rPr>
        <w:t>’</w:t>
      </w:r>
      <w:r w:rsidRPr="00BF2D87">
        <w:rPr>
          <w:rFonts w:ascii="Times New Roman" w:eastAsiaTheme="minorEastAsia" w:hAnsi="Times New Roman" w:cs="Times New Roman"/>
          <w:b/>
          <w:sz w:val="24"/>
        </w:rPr>
        <w:t xml:space="preserve"> Counsel</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10 W. Broad Street, Suite 1800</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Columbus, Ohio 43215-3485</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Telephone [Michael]: 614-466-1291</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Telephone [Bair]: 614-466-9559</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Telephone [Moore]: 614-466-2965</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hyperlink r:id="rId20" w:history="1">
        <w:r w:rsidRPr="00BF2D87">
          <w:rPr>
            <w:rFonts w:ascii="Times New Roman" w:eastAsiaTheme="minorEastAsia" w:hAnsi="Times New Roman" w:cs="Times New Roman"/>
            <w:color w:val="0000FF"/>
            <w:sz w:val="24"/>
            <w:u w:val="single"/>
          </w:rPr>
          <w:t>William.michael@occ.ohio.gov</w:t>
        </w:r>
      </w:hyperlink>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 accept service via email)</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hyperlink r:id="rId21" w:history="1">
        <w:r w:rsidRPr="00BF2D87">
          <w:rPr>
            <w:rFonts w:ascii="Times New Roman" w:eastAsiaTheme="minorEastAsia" w:hAnsi="Times New Roman" w:cs="Times New Roman"/>
            <w:color w:val="0000FF"/>
            <w:sz w:val="24"/>
            <w:u w:val="single"/>
          </w:rPr>
          <w:t>Jodi.bair@occ.ohio.gov</w:t>
        </w:r>
      </w:hyperlink>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 accept service via email)</w:t>
      </w:r>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hyperlink r:id="rId22" w:history="1">
        <w:r w:rsidRPr="00BF2D87">
          <w:rPr>
            <w:rFonts w:ascii="Times New Roman" w:eastAsiaTheme="minorEastAsia" w:hAnsi="Times New Roman" w:cs="Times New Roman"/>
            <w:color w:val="0000FF"/>
            <w:sz w:val="24"/>
            <w:u w:val="single"/>
          </w:rPr>
          <w:t>kevin.moore@occ.ohio.gov</w:t>
        </w:r>
      </w:hyperlink>
    </w:p>
    <w:p w:rsidR="00130F92" w:rsidRPr="00BF2D87" w:rsidRDefault="00130F92" w:rsidP="00130F92">
      <w:pPr>
        <w:spacing w:after="0" w:line="240" w:lineRule="auto"/>
        <w:rPr>
          <w:rFonts w:ascii="Times New Roman" w:eastAsiaTheme="minorEastAsia" w:hAnsi="Times New Roman" w:cs="Times New Roman"/>
          <w:sz w:val="24"/>
        </w:rPr>
      </w:pP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r>
      <w:r w:rsidRPr="00BF2D87">
        <w:rPr>
          <w:rFonts w:ascii="Times New Roman" w:eastAsiaTheme="minorEastAsia" w:hAnsi="Times New Roman" w:cs="Times New Roman"/>
          <w:sz w:val="24"/>
        </w:rPr>
        <w:tab/>
        <w:t>(will accept service via email)</w:t>
      </w:r>
    </w:p>
    <w:p w:rsidR="00B300F4" w:rsidRDefault="00B300F4" w:rsidP="00130F92">
      <w:pPr>
        <w:autoSpaceDE w:val="0"/>
        <w:autoSpaceDN w:val="0"/>
        <w:adjustRightInd w:val="0"/>
        <w:spacing w:after="0" w:line="240" w:lineRule="auto"/>
        <w:ind w:left="4320"/>
        <w:rPr>
          <w:rFonts w:ascii="Times New Roman" w:eastAsiaTheme="minorEastAsia" w:hAnsi="Times New Roman" w:cs="Times New Roman"/>
          <w:sz w:val="24"/>
          <w:szCs w:val="24"/>
        </w:rPr>
      </w:pP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Dane Stinson (0019101)</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Bricker &amp; Eckler LLP</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100 S. Third St.</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Columbus, OH 43215</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Phone:  (614) 227-2300</w:t>
      </w:r>
    </w:p>
    <w:p w:rsidR="00130F92" w:rsidRPr="00BF2D87" w:rsidRDefault="007E6ABF" w:rsidP="00130F92">
      <w:pPr>
        <w:autoSpaceDE w:val="0"/>
        <w:autoSpaceDN w:val="0"/>
        <w:adjustRightInd w:val="0"/>
        <w:spacing w:after="0" w:line="240" w:lineRule="auto"/>
        <w:ind w:left="4320"/>
        <w:rPr>
          <w:rFonts w:ascii="Times New Roman" w:eastAsiaTheme="minorEastAsia" w:hAnsi="Times New Roman" w:cs="Times New Roman"/>
          <w:color w:val="0000FF"/>
          <w:sz w:val="24"/>
          <w:szCs w:val="24"/>
          <w:u w:val="single"/>
        </w:rPr>
      </w:pPr>
      <w:hyperlink r:id="rId23" w:history="1">
        <w:r w:rsidR="00130F92" w:rsidRPr="00BF2D87">
          <w:rPr>
            <w:rFonts w:ascii="Times New Roman" w:eastAsiaTheme="minorEastAsia" w:hAnsi="Times New Roman" w:cs="Times New Roman"/>
            <w:color w:val="0000FF"/>
            <w:sz w:val="24"/>
            <w:szCs w:val="24"/>
            <w:u w:val="single"/>
          </w:rPr>
          <w:t>dstinson@bricker.com</w:t>
        </w:r>
      </w:hyperlink>
    </w:p>
    <w:p w:rsidR="00130F92" w:rsidRPr="00130F92"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130F92">
        <w:rPr>
          <w:rFonts w:ascii="Times New Roman" w:eastAsiaTheme="minorEastAsia" w:hAnsi="Times New Roman" w:cs="Times New Roman"/>
          <w:sz w:val="24"/>
          <w:szCs w:val="24"/>
        </w:rPr>
        <w:t>(will accept service via email)</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i/>
          <w:sz w:val="24"/>
          <w:szCs w:val="24"/>
        </w:rPr>
      </w:pPr>
      <w:r w:rsidRPr="00BF2D87">
        <w:rPr>
          <w:rFonts w:ascii="Times New Roman" w:eastAsiaTheme="minorEastAsia" w:hAnsi="Times New Roman" w:cs="Times New Roman"/>
          <w:i/>
          <w:sz w:val="24"/>
          <w:szCs w:val="24"/>
        </w:rPr>
        <w:t xml:space="preserve">Outside Counsel for the Office of </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i/>
          <w:sz w:val="24"/>
          <w:szCs w:val="24"/>
        </w:rPr>
        <w:t>The Ohio Consumers</w:t>
      </w:r>
      <w:r>
        <w:rPr>
          <w:rFonts w:ascii="Times New Roman" w:eastAsiaTheme="minorEastAsia" w:hAnsi="Times New Roman" w:cs="Times New Roman"/>
          <w:i/>
          <w:sz w:val="24"/>
          <w:szCs w:val="24"/>
        </w:rPr>
        <w:t>’</w:t>
      </w:r>
      <w:r w:rsidRPr="00BF2D87">
        <w:rPr>
          <w:rFonts w:ascii="Times New Roman" w:eastAsiaTheme="minorEastAsia" w:hAnsi="Times New Roman" w:cs="Times New Roman"/>
          <w:i/>
          <w:sz w:val="24"/>
          <w:szCs w:val="24"/>
        </w:rPr>
        <w:t xml:space="preserve"> Counsel</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p>
    <w:p w:rsidR="00F02391" w:rsidRDefault="00F02391">
      <w:pPr>
        <w:rPr>
          <w:rFonts w:ascii="Times New Roman" w:eastAsiaTheme="minorEastAsia" w:hAnsi="Times New Roman" w:cs="Times New Roman"/>
          <w:i/>
          <w:sz w:val="24"/>
          <w:szCs w:val="24"/>
          <w:u w:val="single"/>
        </w:rPr>
      </w:pPr>
      <w:r>
        <w:rPr>
          <w:rFonts w:ascii="Times New Roman" w:eastAsiaTheme="minorEastAsia" w:hAnsi="Times New Roman" w:cs="Times New Roman"/>
          <w:i/>
          <w:sz w:val="24"/>
          <w:szCs w:val="24"/>
          <w:u w:val="single"/>
        </w:rPr>
        <w:br w:type="page"/>
      </w:r>
    </w:p>
    <w:p w:rsidR="00130F92" w:rsidRPr="00130F92" w:rsidRDefault="00130F92" w:rsidP="00130F92">
      <w:pPr>
        <w:autoSpaceDE w:val="0"/>
        <w:autoSpaceDN w:val="0"/>
        <w:adjustRightInd w:val="0"/>
        <w:spacing w:after="0" w:line="240" w:lineRule="auto"/>
        <w:ind w:left="4320"/>
        <w:rPr>
          <w:rFonts w:ascii="Times New Roman" w:eastAsiaTheme="minorEastAsia" w:hAnsi="Times New Roman" w:cs="Times New Roman"/>
          <w:i/>
          <w:sz w:val="24"/>
          <w:szCs w:val="24"/>
          <w:u w:val="single"/>
        </w:rPr>
      </w:pPr>
      <w:r>
        <w:rPr>
          <w:rFonts w:ascii="Times New Roman" w:eastAsiaTheme="minorEastAsia" w:hAnsi="Times New Roman" w:cs="Times New Roman"/>
          <w:i/>
          <w:sz w:val="24"/>
          <w:szCs w:val="24"/>
          <w:u w:val="single"/>
        </w:rPr>
        <w:t>/s/ Michael R. Smalz</w:t>
      </w:r>
      <w:r>
        <w:rPr>
          <w:rFonts w:ascii="Times New Roman" w:eastAsiaTheme="minorEastAsia" w:hAnsi="Times New Roman" w:cs="Times New Roman"/>
          <w:i/>
          <w:sz w:val="24"/>
          <w:szCs w:val="24"/>
          <w:u w:val="single"/>
        </w:rPr>
        <w:tab/>
      </w:r>
      <w:r>
        <w:rPr>
          <w:rFonts w:ascii="Times New Roman" w:eastAsiaTheme="minorEastAsia" w:hAnsi="Times New Roman" w:cs="Times New Roman"/>
          <w:i/>
          <w:sz w:val="24"/>
          <w:szCs w:val="24"/>
          <w:u w:val="single"/>
        </w:rPr>
        <w:tab/>
      </w:r>
      <w:r>
        <w:rPr>
          <w:rFonts w:ascii="Times New Roman" w:eastAsiaTheme="minorEastAsia" w:hAnsi="Times New Roman" w:cs="Times New Roman"/>
          <w:i/>
          <w:sz w:val="24"/>
          <w:szCs w:val="24"/>
          <w:u w:val="single"/>
        </w:rPr>
        <w:tab/>
      </w:r>
    </w:p>
    <w:p w:rsidR="00130F92"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Michael R. Smalz</w:t>
      </w:r>
      <w:r>
        <w:rPr>
          <w:rFonts w:ascii="Times New Roman" w:eastAsiaTheme="minorEastAsia" w:hAnsi="Times New Roman" w:cs="Times New Roman"/>
          <w:sz w:val="24"/>
          <w:szCs w:val="24"/>
        </w:rPr>
        <w:t xml:space="preserve"> </w:t>
      </w:r>
      <w:r w:rsidRPr="00BF2D87">
        <w:rPr>
          <w:rFonts w:ascii="Times New Roman" w:eastAsiaTheme="minorEastAsia" w:hAnsi="Times New Roman" w:cs="Times New Roman"/>
          <w:sz w:val="24"/>
          <w:szCs w:val="24"/>
        </w:rPr>
        <w:t>(0041897)</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Counsel of Record</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Ohio Poverty Law Center</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555 Buttles Avenue</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Columbus, OH 3215-1137</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Telephone: (614) 824-2502</w:t>
      </w:r>
    </w:p>
    <w:p w:rsidR="00130F92" w:rsidRPr="00BF2D87" w:rsidRDefault="00130F92" w:rsidP="00130F92">
      <w:pPr>
        <w:autoSpaceDE w:val="0"/>
        <w:autoSpaceDN w:val="0"/>
        <w:adjustRightInd w:val="0"/>
        <w:spacing w:after="0" w:line="240" w:lineRule="auto"/>
        <w:ind w:left="4320"/>
        <w:rPr>
          <w:rFonts w:ascii="Times New Roman" w:eastAsiaTheme="minorEastAsia" w:hAnsi="Times New Roman" w:cs="Times New Roman"/>
          <w:sz w:val="24"/>
          <w:szCs w:val="24"/>
        </w:rPr>
      </w:pPr>
      <w:r w:rsidRPr="00BF2D87">
        <w:rPr>
          <w:rFonts w:ascii="Times New Roman" w:eastAsiaTheme="minorEastAsia" w:hAnsi="Times New Roman" w:cs="Times New Roman"/>
          <w:sz w:val="24"/>
          <w:szCs w:val="24"/>
        </w:rPr>
        <w:t xml:space="preserve">e-mail: </w:t>
      </w:r>
      <w:hyperlink r:id="rId24" w:history="1">
        <w:r w:rsidRPr="00BF2D87">
          <w:rPr>
            <w:rFonts w:ascii="Times New Roman" w:eastAsiaTheme="minorEastAsia" w:hAnsi="Times New Roman" w:cs="Times New Roman"/>
            <w:color w:val="0000FF"/>
            <w:sz w:val="24"/>
            <w:szCs w:val="24"/>
            <w:u w:val="single"/>
          </w:rPr>
          <w:t>msmalz@ohiopovertylaw.org</w:t>
        </w:r>
      </w:hyperlink>
    </w:p>
    <w:p w:rsidR="00130F92" w:rsidRPr="00BF2D87" w:rsidRDefault="00130F92" w:rsidP="00130F9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r>
      <w:r w:rsidRPr="00BF2D87">
        <w:rPr>
          <w:rFonts w:ascii="Times New Roman" w:eastAsiaTheme="minorEastAsia" w:hAnsi="Times New Roman" w:cs="Times New Roman"/>
          <w:sz w:val="24"/>
          <w:szCs w:val="24"/>
        </w:rPr>
        <w:tab/>
        <w:t>(willing to accept email service)</w:t>
      </w:r>
    </w:p>
    <w:p w:rsidR="00130F92" w:rsidRDefault="00130F92" w:rsidP="001F35BA">
      <w:pPr>
        <w:spacing w:after="0" w:line="480" w:lineRule="auto"/>
        <w:ind w:firstLine="720"/>
        <w:rPr>
          <w:rFonts w:ascii="Times New Roman" w:hAnsi="Times New Roman" w:cs="Times New Roman"/>
          <w:sz w:val="24"/>
          <w:szCs w:val="24"/>
        </w:rPr>
      </w:pPr>
    </w:p>
    <w:p w:rsidR="001A4990" w:rsidRDefault="001A4990" w:rsidP="001F35BA">
      <w:pPr>
        <w:spacing w:after="0" w:line="480" w:lineRule="auto"/>
        <w:ind w:firstLine="720"/>
        <w:rPr>
          <w:rFonts w:ascii="Times New Roman" w:hAnsi="Times New Roman" w:cs="Times New Roman"/>
          <w:sz w:val="24"/>
          <w:szCs w:val="24"/>
        </w:rPr>
        <w:sectPr w:rsidR="001A4990" w:rsidSect="00BF2D87">
          <w:footerReference w:type="default" r:id="rId25"/>
          <w:pgSz w:w="12240" w:h="15840"/>
          <w:pgMar w:top="1440" w:right="1800" w:bottom="1440" w:left="1800" w:header="720" w:footer="720" w:gutter="0"/>
          <w:pgNumType w:start="1"/>
          <w:cols w:space="720"/>
          <w:docGrid w:linePitch="360"/>
        </w:sectPr>
      </w:pPr>
    </w:p>
    <w:p w:rsidR="00EC3468" w:rsidRPr="00EC3468" w:rsidRDefault="00EC3468" w:rsidP="00EC3468">
      <w:pPr>
        <w:spacing w:after="0" w:line="480" w:lineRule="auto"/>
        <w:ind w:firstLine="720"/>
        <w:jc w:val="center"/>
        <w:rPr>
          <w:rFonts w:ascii="Times New Roman" w:eastAsiaTheme="minorEastAsia" w:hAnsi="Times New Roman" w:cs="Times New Roman"/>
          <w:b/>
          <w:sz w:val="24"/>
          <w:szCs w:val="24"/>
          <w:u w:val="single"/>
        </w:rPr>
      </w:pPr>
      <w:r w:rsidRPr="00EC3468">
        <w:rPr>
          <w:rFonts w:ascii="Times New Roman" w:eastAsiaTheme="minorEastAsia" w:hAnsi="Times New Roman" w:cs="Times New Roman"/>
          <w:b/>
          <w:sz w:val="24"/>
          <w:szCs w:val="24"/>
          <w:u w:val="single"/>
        </w:rPr>
        <w:t>CERTIFICATE OF SERVICE</w:t>
      </w:r>
    </w:p>
    <w:p w:rsidR="00EC3468" w:rsidRPr="00EC3468" w:rsidRDefault="00EC3468" w:rsidP="00EC3468">
      <w:pPr>
        <w:spacing w:after="0" w:line="480" w:lineRule="auto"/>
        <w:ind w:firstLine="720"/>
        <w:rPr>
          <w:rFonts w:ascii="Times New Roman" w:eastAsiaTheme="minorEastAsia" w:hAnsi="Times New Roman" w:cs="Times New Roman"/>
          <w:sz w:val="24"/>
          <w:szCs w:val="24"/>
        </w:rPr>
      </w:pPr>
      <w:r w:rsidRPr="00EC3468">
        <w:rPr>
          <w:rFonts w:ascii="Times New Roman" w:eastAsiaTheme="minorEastAsia" w:hAnsi="Times New Roman" w:cs="Times New Roman"/>
          <w:sz w:val="24"/>
          <w:szCs w:val="24"/>
        </w:rPr>
        <w:t xml:space="preserve">I hereby certify that a copy of this </w:t>
      </w:r>
      <w:r>
        <w:rPr>
          <w:rFonts w:ascii="Times New Roman" w:eastAsiaTheme="minorEastAsia" w:hAnsi="Times New Roman" w:cs="Times New Roman"/>
          <w:sz w:val="24"/>
          <w:szCs w:val="24"/>
        </w:rPr>
        <w:t>Reply</w:t>
      </w:r>
      <w:r w:rsidRPr="00EC3468">
        <w:rPr>
          <w:rFonts w:ascii="Times New Roman" w:eastAsiaTheme="minorEastAsia" w:hAnsi="Times New Roman" w:cs="Times New Roman"/>
          <w:sz w:val="24"/>
          <w:szCs w:val="24"/>
        </w:rPr>
        <w:t xml:space="preserve"> Brief was served on the persons stated below via electronic transmission, this </w:t>
      </w:r>
      <w:r>
        <w:rPr>
          <w:rFonts w:ascii="Times New Roman" w:eastAsiaTheme="minorEastAsia" w:hAnsi="Times New Roman" w:cs="Times New Roman"/>
          <w:sz w:val="24"/>
          <w:szCs w:val="24"/>
        </w:rPr>
        <w:t>8</w:t>
      </w:r>
      <w:r w:rsidRPr="00EC3468">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w:t>
      </w:r>
      <w:r w:rsidRPr="00EC3468">
        <w:rPr>
          <w:rFonts w:ascii="Times New Roman" w:eastAsiaTheme="minorEastAsia" w:hAnsi="Times New Roman" w:cs="Times New Roman"/>
          <w:sz w:val="24"/>
          <w:szCs w:val="24"/>
        </w:rPr>
        <w:t>day of February 2016.</w:t>
      </w:r>
    </w:p>
    <w:p w:rsidR="00EC3468" w:rsidRPr="00EC3468" w:rsidRDefault="00EC3468" w:rsidP="00EC3468">
      <w:pPr>
        <w:spacing w:after="0" w:line="240" w:lineRule="auto"/>
        <w:ind w:firstLine="720"/>
        <w:rPr>
          <w:rFonts w:ascii="Times New Roman" w:eastAsiaTheme="minorEastAsia" w:hAnsi="Times New Roman" w:cs="Times New Roman"/>
          <w:sz w:val="24"/>
          <w:szCs w:val="24"/>
        </w:rPr>
      </w:pP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u w:val="single"/>
        </w:rPr>
        <w:t xml:space="preserve">/s/ </w:t>
      </w:r>
      <w:r w:rsidRPr="00EC3468">
        <w:rPr>
          <w:rFonts w:ascii="Times New Roman" w:eastAsiaTheme="minorEastAsia" w:hAnsi="Times New Roman" w:cs="Times New Roman"/>
          <w:i/>
          <w:sz w:val="24"/>
          <w:szCs w:val="24"/>
          <w:u w:val="single"/>
        </w:rPr>
        <w:t>William J. Michael</w:t>
      </w:r>
      <w:r w:rsidRPr="00EC3468">
        <w:rPr>
          <w:rFonts w:ascii="Times New Roman" w:eastAsiaTheme="minorEastAsia" w:hAnsi="Times New Roman" w:cs="Times New Roman"/>
          <w:sz w:val="24"/>
          <w:szCs w:val="24"/>
        </w:rPr>
        <w:t>_______</w:t>
      </w:r>
    </w:p>
    <w:p w:rsidR="00EC3468" w:rsidRPr="00EC3468" w:rsidRDefault="00EC3468" w:rsidP="00EC3468">
      <w:pPr>
        <w:spacing w:after="0" w:line="240" w:lineRule="auto"/>
        <w:ind w:firstLine="720"/>
        <w:rPr>
          <w:rFonts w:ascii="Times New Roman" w:eastAsiaTheme="minorEastAsia" w:hAnsi="Times New Roman" w:cs="Times New Roman"/>
          <w:sz w:val="24"/>
          <w:szCs w:val="24"/>
        </w:rPr>
      </w:pP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t>William J. Michael</w:t>
      </w:r>
    </w:p>
    <w:p w:rsidR="00EC3468" w:rsidRPr="00EC3468" w:rsidRDefault="00EC3468" w:rsidP="00EC3468">
      <w:pPr>
        <w:spacing w:after="0" w:line="240" w:lineRule="auto"/>
        <w:ind w:firstLine="720"/>
        <w:rPr>
          <w:rFonts w:ascii="Times New Roman" w:eastAsiaTheme="minorEastAsia" w:hAnsi="Times New Roman" w:cs="Times New Roman"/>
          <w:sz w:val="24"/>
          <w:szCs w:val="24"/>
        </w:rPr>
      </w:pP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r>
      <w:r w:rsidRPr="00EC3468">
        <w:rPr>
          <w:rFonts w:ascii="Times New Roman" w:eastAsiaTheme="minorEastAsia" w:hAnsi="Times New Roman" w:cs="Times New Roman"/>
          <w:sz w:val="24"/>
          <w:szCs w:val="24"/>
        </w:rPr>
        <w:tab/>
        <w:t>Assistant Consumers</w:t>
      </w:r>
      <w:r w:rsidR="00130F92">
        <w:rPr>
          <w:rFonts w:ascii="Times New Roman" w:eastAsiaTheme="minorEastAsia" w:hAnsi="Times New Roman" w:cs="Times New Roman"/>
          <w:sz w:val="24"/>
          <w:szCs w:val="24"/>
        </w:rPr>
        <w:t>’</w:t>
      </w:r>
      <w:r w:rsidRPr="00EC3468">
        <w:rPr>
          <w:rFonts w:ascii="Times New Roman" w:eastAsiaTheme="minorEastAsia" w:hAnsi="Times New Roman" w:cs="Times New Roman"/>
          <w:sz w:val="24"/>
          <w:szCs w:val="24"/>
        </w:rPr>
        <w:t xml:space="preserve"> Counsel</w:t>
      </w:r>
    </w:p>
    <w:p w:rsidR="00EC3468" w:rsidRPr="00EC3468" w:rsidRDefault="00EC3468" w:rsidP="00EC3468">
      <w:pPr>
        <w:spacing w:after="0" w:line="480" w:lineRule="auto"/>
        <w:ind w:firstLine="720"/>
        <w:rPr>
          <w:rFonts w:ascii="Times New Roman" w:eastAsiaTheme="minorEastAsia"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8476"/>
      </w:tblGrid>
      <w:tr w:rsidR="00EC3468" w:rsidRPr="00EC3468" w:rsidTr="00D41C87">
        <w:tc>
          <w:tcPr>
            <w:tcW w:w="4428" w:type="dxa"/>
          </w:tcPr>
          <w:p w:rsidR="00EC3468" w:rsidRPr="00EC3468" w:rsidRDefault="00EC3468" w:rsidP="00EC3468">
            <w:pPr>
              <w:rPr>
                <w:rFonts w:ascii="Times New Roman" w:hAnsi="Times New Roman" w:cs="Times New Roman"/>
                <w:sz w:val="24"/>
                <w:szCs w:val="24"/>
              </w:rPr>
            </w:pPr>
          </w:p>
        </w:tc>
        <w:tc>
          <w:tcPr>
            <w:tcW w:w="4428" w:type="dxa"/>
          </w:tcPr>
          <w:p w:rsidR="00EC3468" w:rsidRPr="00EC3468" w:rsidRDefault="00EC3468" w:rsidP="00EC3468">
            <w:pPr>
              <w:jc w:val="center"/>
              <w:rPr>
                <w:rFonts w:ascii="Times New Roman" w:eastAsia="Times New Roman" w:hAnsi="Times New Roman" w:cs="Times New Roman"/>
                <w:b/>
                <w:sz w:val="24"/>
                <w:szCs w:val="24"/>
                <w:u w:val="single"/>
              </w:rPr>
            </w:pPr>
            <w:r w:rsidRPr="00EC3468">
              <w:rPr>
                <w:rFonts w:ascii="Times New Roman" w:eastAsia="Times New Roman" w:hAnsi="Times New Roman" w:cs="Times New Roman"/>
                <w:b/>
                <w:sz w:val="24"/>
                <w:szCs w:val="24"/>
                <w:u w:val="single"/>
              </w:rPr>
              <w:t>SERVICE LIST</w:t>
            </w:r>
          </w:p>
          <w:p w:rsidR="00EC3468" w:rsidRPr="00EC3468" w:rsidRDefault="00EC3468" w:rsidP="00EC3468">
            <w:pPr>
              <w:jc w:val="center"/>
              <w:rPr>
                <w:rFonts w:ascii="Times New Roman" w:hAnsi="Times New Roman" w:cs="Times New Roman"/>
                <w:b/>
                <w:sz w:val="24"/>
                <w:szCs w:val="24"/>
                <w:u w:val="single"/>
              </w:rPr>
            </w:pPr>
          </w:p>
          <w:tbl>
            <w:tblPr>
              <w:tblW w:w="0" w:type="auto"/>
              <w:tblLook w:val="01E0" w:firstRow="1" w:lastRow="1" w:firstColumn="1" w:lastColumn="1" w:noHBand="0" w:noVBand="0"/>
            </w:tblPr>
            <w:tblGrid>
              <w:gridCol w:w="4143"/>
              <w:gridCol w:w="4117"/>
            </w:tblGrid>
            <w:tr w:rsidR="00EC3468" w:rsidRPr="00EC3468" w:rsidTr="00D41C87">
              <w:tc>
                <w:tcPr>
                  <w:tcW w:w="4428" w:type="dxa"/>
                </w:tcPr>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26" w:history="1">
                    <w:r w:rsidR="00EC3468" w:rsidRPr="00EC3468">
                      <w:rPr>
                        <w:rFonts w:ascii="Times New Roman" w:eastAsia="Times New Roman" w:hAnsi="Times New Roman" w:cs="Times New Roman"/>
                        <w:color w:val="0000FF"/>
                        <w:sz w:val="24"/>
                        <w:szCs w:val="24"/>
                        <w:u w:val="single"/>
                      </w:rPr>
                      <w:t>Steven.beeler@puc.state.oh.us</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27" w:history="1">
                    <w:r w:rsidR="00EC3468" w:rsidRPr="00EC3468">
                      <w:rPr>
                        <w:rFonts w:ascii="Times New Roman" w:eastAsia="Times New Roman" w:hAnsi="Times New Roman" w:cs="Times New Roman"/>
                        <w:color w:val="0000FF"/>
                        <w:sz w:val="24"/>
                        <w:szCs w:val="24"/>
                        <w:u w:val="single"/>
                      </w:rPr>
                      <w:t>Werner.margard@puc.state.oh.us</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28" w:history="1">
                    <w:r w:rsidR="00EC3468" w:rsidRPr="00EC3468">
                      <w:rPr>
                        <w:rFonts w:ascii="Times New Roman" w:eastAsia="Times New Roman" w:hAnsi="Times New Roman" w:cs="Times New Roman"/>
                        <w:color w:val="0000FF"/>
                        <w:sz w:val="24"/>
                        <w:szCs w:val="24"/>
                        <w:u w:val="single"/>
                      </w:rPr>
                      <w:t>haydenm@firstenergycorp.com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29" w:history="1">
                    <w:r w:rsidR="00EC3468" w:rsidRPr="00EC3468">
                      <w:rPr>
                        <w:rFonts w:ascii="Times New Roman" w:eastAsia="Times New Roman" w:hAnsi="Times New Roman" w:cs="Times New Roman"/>
                        <w:color w:val="0000FF"/>
                        <w:sz w:val="24"/>
                        <w:szCs w:val="24"/>
                        <w:u w:val="single"/>
                      </w:rPr>
                      <w:t>jmcdermott@firstenergycorp.com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0" w:history="1">
                    <w:r w:rsidR="00EC3468" w:rsidRPr="00EC3468">
                      <w:rPr>
                        <w:rFonts w:ascii="Times New Roman" w:eastAsia="Times New Roman" w:hAnsi="Times New Roman" w:cs="Times New Roman"/>
                        <w:color w:val="0000FF"/>
                        <w:sz w:val="24"/>
                        <w:szCs w:val="24"/>
                        <w:u w:val="single"/>
                      </w:rPr>
                      <w:t>scasto@firstenergycorp.com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1" w:history="1">
                    <w:r w:rsidR="00EC3468" w:rsidRPr="00EC3468">
                      <w:rPr>
                        <w:rFonts w:ascii="Times New Roman" w:eastAsia="Times New Roman" w:hAnsi="Times New Roman" w:cs="Times New Roman"/>
                        <w:color w:val="0000FF"/>
                        <w:sz w:val="24"/>
                        <w:szCs w:val="24"/>
                        <w:u w:val="single"/>
                      </w:rPr>
                      <w:t>jlang@calfee.com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2" w:history="1">
                    <w:r w:rsidR="00EC3468" w:rsidRPr="00EC3468">
                      <w:rPr>
                        <w:rFonts w:ascii="Times New Roman" w:eastAsia="Times New Roman" w:hAnsi="Times New Roman" w:cs="Times New Roman"/>
                        <w:color w:val="0000FF"/>
                        <w:sz w:val="24"/>
                        <w:szCs w:val="24"/>
                        <w:u w:val="single"/>
                      </w:rPr>
                      <w:t>talexander@calfee.com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3" w:history="1">
                    <w:r w:rsidR="00EC3468" w:rsidRPr="00EC3468">
                      <w:rPr>
                        <w:rFonts w:ascii="Times New Roman" w:eastAsia="Times New Roman" w:hAnsi="Times New Roman" w:cs="Times New Roman"/>
                        <w:color w:val="0000FF"/>
                        <w:sz w:val="24"/>
                        <w:szCs w:val="24"/>
                        <w:u w:val="single"/>
                      </w:rPr>
                      <w:t>myurick@taftlaw.com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4" w:history="1">
                    <w:r w:rsidR="00EC3468" w:rsidRPr="00EC3468">
                      <w:rPr>
                        <w:rFonts w:ascii="Times New Roman" w:eastAsia="Times New Roman" w:hAnsi="Times New Roman" w:cs="Times New Roman"/>
                        <w:color w:val="0000FF"/>
                        <w:sz w:val="24"/>
                        <w:szCs w:val="24"/>
                        <w:u w:val="single"/>
                      </w:rPr>
                      <w:t>callwein@keglerbrown.com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5" w:history="1">
                    <w:r w:rsidR="00EC3468" w:rsidRPr="00EC3468">
                      <w:rPr>
                        <w:rFonts w:ascii="Times New Roman" w:eastAsia="Times New Roman" w:hAnsi="Times New Roman" w:cs="Times New Roman"/>
                        <w:color w:val="0000FF"/>
                        <w:sz w:val="24"/>
                        <w:szCs w:val="24"/>
                        <w:u w:val="single"/>
                      </w:rPr>
                      <w:t>tony.mendoza@sierraclub.org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6" w:history="1">
                    <w:r w:rsidR="00EC3468" w:rsidRPr="00EC3468">
                      <w:rPr>
                        <w:rFonts w:ascii="Times New Roman" w:eastAsia="Times New Roman" w:hAnsi="Times New Roman" w:cs="Times New Roman"/>
                        <w:color w:val="0000FF"/>
                        <w:sz w:val="24"/>
                        <w:szCs w:val="24"/>
                        <w:u w:val="single"/>
                      </w:rPr>
                      <w:t>tdougherty@theOEC.org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7" w:history="1">
                    <w:r w:rsidR="00EC3468" w:rsidRPr="00EC3468">
                      <w:rPr>
                        <w:rFonts w:ascii="Times New Roman" w:eastAsia="Times New Roman" w:hAnsi="Times New Roman" w:cs="Times New Roman"/>
                        <w:color w:val="0000FF"/>
                        <w:sz w:val="24"/>
                        <w:szCs w:val="24"/>
                        <w:u w:val="single"/>
                      </w:rPr>
                      <w:t>twilliams@snhslaw.com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8" w:history="1">
                    <w:r w:rsidR="00EC3468" w:rsidRPr="00EC3468">
                      <w:rPr>
                        <w:rFonts w:ascii="Times New Roman" w:eastAsia="Times New Roman" w:hAnsi="Times New Roman" w:cs="Times New Roman"/>
                        <w:color w:val="0000FF"/>
                        <w:sz w:val="24"/>
                        <w:szCs w:val="24"/>
                        <w:u w:val="single"/>
                      </w:rPr>
                      <w:t>jeffrey.mayes@monitoringanalytics.com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39" w:history="1">
                    <w:r w:rsidR="00EC3468" w:rsidRPr="00EC3468">
                      <w:rPr>
                        <w:rFonts w:ascii="Times New Roman" w:eastAsia="Times New Roman" w:hAnsi="Times New Roman" w:cs="Times New Roman"/>
                        <w:color w:val="0000FF"/>
                        <w:sz w:val="24"/>
                        <w:szCs w:val="24"/>
                        <w:u w:val="single"/>
                      </w:rPr>
                      <w:t>ricks@ohanet.org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40" w:history="1">
                    <w:r w:rsidR="00EC3468" w:rsidRPr="00EC3468">
                      <w:rPr>
                        <w:rFonts w:ascii="Times New Roman" w:eastAsia="Times New Roman" w:hAnsi="Times New Roman" w:cs="Times New Roman"/>
                        <w:color w:val="0000FF"/>
                        <w:sz w:val="24"/>
                        <w:szCs w:val="24"/>
                        <w:u w:val="single"/>
                      </w:rPr>
                      <w:t>tobrien@bricker.com</w:t>
                    </w:r>
                  </w:hyperlink>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FF"/>
                      <w:sz w:val="24"/>
                      <w:szCs w:val="24"/>
                    </w:rPr>
                  </w:pPr>
                  <w:r w:rsidRPr="00EC3468">
                    <w:rPr>
                      <w:rFonts w:ascii="Times New Roman" w:eastAsia="Times New Roman" w:hAnsi="Times New Roman" w:cs="Times New Roman"/>
                      <w:color w:val="0000FF"/>
                      <w:sz w:val="24"/>
                      <w:szCs w:val="24"/>
                    </w:rPr>
                    <w:t>mhpetricoff@vorys.com</w:t>
                  </w:r>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FF"/>
                      <w:sz w:val="24"/>
                      <w:szCs w:val="24"/>
                    </w:rPr>
                  </w:pPr>
                  <w:r w:rsidRPr="00EC3468">
                    <w:rPr>
                      <w:rFonts w:ascii="Times New Roman" w:eastAsia="Times New Roman" w:hAnsi="Times New Roman" w:cs="Times New Roman"/>
                      <w:color w:val="0000FF"/>
                      <w:sz w:val="24"/>
                      <w:szCs w:val="24"/>
                    </w:rPr>
                    <w:t>mjsettineri@vorys.com</w:t>
                  </w:r>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FF"/>
                      <w:sz w:val="24"/>
                      <w:szCs w:val="24"/>
                    </w:rPr>
                  </w:pPr>
                  <w:r w:rsidRPr="00EC3468">
                    <w:rPr>
                      <w:rFonts w:ascii="Times New Roman" w:eastAsia="Times New Roman" w:hAnsi="Times New Roman" w:cs="Times New Roman"/>
                      <w:color w:val="0000FF"/>
                      <w:sz w:val="24"/>
                      <w:szCs w:val="24"/>
                    </w:rPr>
                    <w:t>glpetrucci@vorys.com</w:t>
                  </w:r>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sz w:val="24"/>
                      <w:szCs w:val="24"/>
                    </w:rPr>
                  </w:pPr>
                  <w:hyperlink r:id="rId41" w:history="1">
                    <w:r w:rsidR="00EC3468" w:rsidRPr="00EC3468">
                      <w:rPr>
                        <w:rFonts w:ascii="Times New Roman" w:eastAsia="Times New Roman" w:hAnsi="Times New Roman" w:cs="Times New Roman"/>
                        <w:color w:val="0000FF"/>
                        <w:sz w:val="24"/>
                        <w:szCs w:val="24"/>
                        <w:u w:val="single"/>
                      </w:rPr>
                      <w:t>mdortch@kravitzllc.com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sz w:val="24"/>
                      <w:szCs w:val="24"/>
                    </w:rPr>
                  </w:pPr>
                  <w:hyperlink r:id="rId42" w:history="1">
                    <w:r w:rsidR="00EC3468" w:rsidRPr="00EC3468">
                      <w:rPr>
                        <w:rFonts w:ascii="Times New Roman" w:eastAsia="Times New Roman" w:hAnsi="Times New Roman" w:cs="Times New Roman"/>
                        <w:color w:val="0000FF"/>
                        <w:sz w:val="24"/>
                        <w:szCs w:val="24"/>
                        <w:u w:val="single"/>
                      </w:rPr>
                      <w:t>joliker@igsenergy.com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sz w:val="24"/>
                      <w:szCs w:val="24"/>
                    </w:rPr>
                  </w:pPr>
                  <w:hyperlink r:id="rId43" w:history="1">
                    <w:r w:rsidR="00EC3468" w:rsidRPr="00EC3468">
                      <w:rPr>
                        <w:rFonts w:ascii="Times New Roman" w:eastAsia="Times New Roman" w:hAnsi="Times New Roman" w:cs="Times New Roman"/>
                        <w:color w:val="0000FF"/>
                        <w:sz w:val="24"/>
                        <w:szCs w:val="24"/>
                        <w:u w:val="single"/>
                      </w:rPr>
                      <w:t>sechler@carpenterlipps.com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sz w:val="24"/>
                      <w:szCs w:val="24"/>
                    </w:rPr>
                  </w:pPr>
                  <w:hyperlink r:id="rId44" w:history="1">
                    <w:r w:rsidR="00EC3468" w:rsidRPr="00EC3468">
                      <w:rPr>
                        <w:rFonts w:ascii="Times New Roman" w:eastAsia="Times New Roman" w:hAnsi="Times New Roman" w:cs="Times New Roman"/>
                        <w:color w:val="0000FF"/>
                        <w:sz w:val="24"/>
                        <w:szCs w:val="24"/>
                        <w:u w:val="single"/>
                      </w:rPr>
                      <w:t>gpoulos@enernoc.com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sz w:val="24"/>
                      <w:szCs w:val="24"/>
                    </w:rPr>
                  </w:pPr>
                  <w:hyperlink r:id="rId45" w:history="1">
                    <w:r w:rsidR="00EC3468" w:rsidRPr="00EC3468">
                      <w:rPr>
                        <w:rFonts w:ascii="Times New Roman" w:eastAsia="Times New Roman" w:hAnsi="Times New Roman" w:cs="Times New Roman"/>
                        <w:color w:val="0000FF"/>
                        <w:sz w:val="24"/>
                        <w:szCs w:val="24"/>
                        <w:u w:val="single"/>
                      </w:rPr>
                      <w:t>sfisk@earthjustice.org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sz w:val="24"/>
                      <w:szCs w:val="24"/>
                    </w:rPr>
                  </w:pPr>
                  <w:hyperlink r:id="rId46" w:history="1">
                    <w:r w:rsidR="00EC3468" w:rsidRPr="00EC3468">
                      <w:rPr>
                        <w:rFonts w:ascii="Times New Roman" w:eastAsia="Times New Roman" w:hAnsi="Times New Roman" w:cs="Times New Roman"/>
                        <w:color w:val="0000FF"/>
                        <w:sz w:val="24"/>
                        <w:szCs w:val="24"/>
                        <w:u w:val="single"/>
                      </w:rPr>
                      <w:t>Kristin.henry@sierraclub.org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7" w:history="1">
                    <w:r w:rsidR="00EC3468" w:rsidRPr="00EC3468">
                      <w:rPr>
                        <w:rFonts w:ascii="Times New Roman" w:eastAsia="Times New Roman" w:hAnsi="Times New Roman" w:cs="Times New Roman"/>
                        <w:color w:val="0000FF"/>
                        <w:sz w:val="24"/>
                        <w:szCs w:val="24"/>
                        <w:u w:val="single"/>
                      </w:rPr>
                      <w:t>chris@envlaw.com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8" w:history="1">
                    <w:r w:rsidR="00EC3468" w:rsidRPr="00EC3468">
                      <w:rPr>
                        <w:rFonts w:ascii="Times New Roman" w:eastAsia="Times New Roman" w:hAnsi="Times New Roman" w:cs="Times New Roman"/>
                        <w:color w:val="0000FF"/>
                        <w:sz w:val="24"/>
                        <w:szCs w:val="24"/>
                        <w:u w:val="single"/>
                      </w:rPr>
                      <w:t>todonnell@dickinsonwright.com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49" w:history="1">
                    <w:r w:rsidR="00EC3468" w:rsidRPr="00EC3468">
                      <w:rPr>
                        <w:rFonts w:ascii="Times New Roman" w:eastAsia="Times New Roman" w:hAnsi="Times New Roman" w:cs="Times New Roman"/>
                        <w:color w:val="0000FF"/>
                        <w:sz w:val="24"/>
                        <w:szCs w:val="24"/>
                        <w:u w:val="single"/>
                      </w:rPr>
                      <w:t>rseiler@dickinsonwright.com</w:t>
                    </w:r>
                  </w:hyperlink>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tcPr>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0" w:history="1">
                    <w:r w:rsidR="00EC3468" w:rsidRPr="00EC3468">
                      <w:rPr>
                        <w:rFonts w:ascii="Times New Roman" w:eastAsia="Times New Roman" w:hAnsi="Times New Roman" w:cs="Times New Roman"/>
                        <w:color w:val="0000FF"/>
                        <w:sz w:val="24"/>
                        <w:szCs w:val="24"/>
                        <w:u w:val="single"/>
                      </w:rPr>
                      <w:t>stnourse@aep.com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1" w:history="1">
                    <w:r w:rsidR="00EC3468" w:rsidRPr="00EC3468">
                      <w:rPr>
                        <w:rFonts w:ascii="Times New Roman" w:eastAsia="Times New Roman" w:hAnsi="Times New Roman" w:cs="Times New Roman"/>
                        <w:color w:val="0000FF"/>
                        <w:sz w:val="24"/>
                        <w:szCs w:val="24"/>
                        <w:u w:val="single"/>
                      </w:rPr>
                      <w:t>mjsatterwhite@aep.com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52" w:history="1">
                    <w:r w:rsidR="00EC3468" w:rsidRPr="00EC3468">
                      <w:rPr>
                        <w:rFonts w:ascii="Times New Roman" w:eastAsia="Times New Roman" w:hAnsi="Times New Roman" w:cs="Times New Roman"/>
                        <w:color w:val="0000FF"/>
                        <w:sz w:val="24"/>
                        <w:szCs w:val="24"/>
                        <w:u w:val="single"/>
                      </w:rPr>
                      <w:t>msmckenzie@aep.com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53" w:history="1">
                    <w:r w:rsidR="00EC3468" w:rsidRPr="00EC3468">
                      <w:rPr>
                        <w:rFonts w:ascii="Times New Roman" w:eastAsia="Times New Roman" w:hAnsi="Times New Roman" w:cs="Times New Roman"/>
                        <w:color w:val="0000FF"/>
                        <w:sz w:val="24"/>
                        <w:szCs w:val="24"/>
                        <w:u w:val="single"/>
                      </w:rPr>
                      <w:t>dconway@porterwright.com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4" w:history="1">
                    <w:r w:rsidR="00EC3468" w:rsidRPr="00EC3468">
                      <w:rPr>
                        <w:rFonts w:ascii="Times New Roman" w:eastAsia="Times New Roman" w:hAnsi="Times New Roman" w:cs="Times New Roman"/>
                        <w:color w:val="0000FF"/>
                        <w:sz w:val="24"/>
                        <w:szCs w:val="24"/>
                        <w:u w:val="single"/>
                      </w:rPr>
                      <w:t>mkurtz@BKLlawfirm.com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5" w:history="1">
                    <w:r w:rsidR="00EC3468" w:rsidRPr="00EC3468">
                      <w:rPr>
                        <w:rFonts w:ascii="Times New Roman" w:eastAsia="Times New Roman" w:hAnsi="Times New Roman" w:cs="Times New Roman"/>
                        <w:color w:val="0000FF"/>
                        <w:sz w:val="24"/>
                        <w:szCs w:val="24"/>
                        <w:u w:val="single"/>
                      </w:rPr>
                      <w:t>kboehm@BKLlawfirm.com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6" w:history="1">
                    <w:r w:rsidR="00EC3468" w:rsidRPr="00EC3468">
                      <w:rPr>
                        <w:rFonts w:ascii="Times New Roman" w:eastAsia="Times New Roman" w:hAnsi="Times New Roman" w:cs="Times New Roman"/>
                        <w:color w:val="0000FF"/>
                        <w:sz w:val="24"/>
                        <w:szCs w:val="24"/>
                        <w:u w:val="single"/>
                      </w:rPr>
                      <w:t>jkylercohn@BKLlawfirm.com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7" w:history="1">
                    <w:r w:rsidR="00EC3468" w:rsidRPr="00EC3468">
                      <w:rPr>
                        <w:rFonts w:ascii="Times New Roman" w:eastAsia="Times New Roman" w:hAnsi="Times New Roman" w:cs="Times New Roman"/>
                        <w:color w:val="0000FF"/>
                        <w:sz w:val="24"/>
                        <w:szCs w:val="24"/>
                        <w:u w:val="single"/>
                      </w:rPr>
                      <w:t>sam@mwncmh.com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8" w:history="1">
                    <w:r w:rsidR="00EC3468" w:rsidRPr="00EC3468">
                      <w:rPr>
                        <w:rFonts w:ascii="Times New Roman" w:eastAsia="Times New Roman" w:hAnsi="Times New Roman" w:cs="Times New Roman"/>
                        <w:color w:val="0000FF"/>
                        <w:sz w:val="24"/>
                        <w:szCs w:val="24"/>
                        <w:u w:val="single"/>
                      </w:rPr>
                      <w:t>fdarr@mwncmh.com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59" w:history="1">
                    <w:r w:rsidR="00EC3468" w:rsidRPr="00EC3468">
                      <w:rPr>
                        <w:rFonts w:ascii="Times New Roman" w:eastAsia="Times New Roman" w:hAnsi="Times New Roman" w:cs="Times New Roman"/>
                        <w:color w:val="0000FF"/>
                        <w:sz w:val="24"/>
                        <w:szCs w:val="24"/>
                        <w:u w:val="single"/>
                      </w:rPr>
                      <w:t>mpritchard@mwncmh.com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0" w:history="1">
                    <w:r w:rsidR="00EC3468" w:rsidRPr="00EC3468">
                      <w:rPr>
                        <w:rFonts w:ascii="Times New Roman" w:eastAsia="Times New Roman" w:hAnsi="Times New Roman" w:cs="Times New Roman"/>
                        <w:color w:val="0000FF"/>
                        <w:sz w:val="24"/>
                        <w:szCs w:val="24"/>
                        <w:u w:val="single"/>
                      </w:rPr>
                      <w:t>Kurt.Helfrich@ThompsonHine.com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1" w:history="1">
                    <w:r w:rsidR="00EC3468" w:rsidRPr="00EC3468">
                      <w:rPr>
                        <w:rFonts w:ascii="Times New Roman" w:eastAsia="Times New Roman" w:hAnsi="Times New Roman" w:cs="Times New Roman"/>
                        <w:color w:val="0000FF"/>
                        <w:sz w:val="24"/>
                        <w:szCs w:val="24"/>
                        <w:u w:val="single"/>
                      </w:rPr>
                      <w:t>Scott.Campbell@ThompsonHine.com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2" w:history="1">
                    <w:r w:rsidR="00EC3468" w:rsidRPr="00EC3468">
                      <w:rPr>
                        <w:rFonts w:ascii="Times New Roman" w:eastAsia="Times New Roman" w:hAnsi="Times New Roman" w:cs="Times New Roman"/>
                        <w:color w:val="0000FF"/>
                        <w:sz w:val="24"/>
                        <w:szCs w:val="24"/>
                        <w:u w:val="single"/>
                      </w:rPr>
                      <w:t>Stephanie.Chmiel@ThompsonHine.com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3" w:history="1">
                    <w:r w:rsidR="00EC3468" w:rsidRPr="00EC3468">
                      <w:rPr>
                        <w:rFonts w:ascii="Times New Roman" w:eastAsia="Times New Roman" w:hAnsi="Times New Roman" w:cs="Times New Roman"/>
                        <w:color w:val="0000FF"/>
                        <w:sz w:val="24"/>
                        <w:szCs w:val="24"/>
                        <w:u w:val="single"/>
                      </w:rPr>
                      <w:t>lhawrot@spilmanlaw.com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4" w:history="1">
                    <w:r w:rsidR="00EC3468" w:rsidRPr="00EC3468">
                      <w:rPr>
                        <w:rFonts w:ascii="Times New Roman" w:eastAsia="Times New Roman" w:hAnsi="Times New Roman" w:cs="Times New Roman"/>
                        <w:color w:val="0000FF"/>
                        <w:sz w:val="24"/>
                        <w:szCs w:val="24"/>
                        <w:u w:val="single"/>
                      </w:rPr>
                      <w:t>dwilliamson@spilmanlaw.com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5" w:history="1">
                    <w:r w:rsidR="00EC3468" w:rsidRPr="00EC3468">
                      <w:rPr>
                        <w:rFonts w:ascii="Times New Roman" w:eastAsia="Times New Roman" w:hAnsi="Times New Roman" w:cs="Times New Roman"/>
                        <w:color w:val="0000FF"/>
                        <w:sz w:val="24"/>
                        <w:szCs w:val="24"/>
                        <w:u w:val="single"/>
                      </w:rPr>
                      <w:t>charris@spilmanlaw.com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6" w:history="1">
                    <w:r w:rsidR="00EC3468" w:rsidRPr="00EC3468">
                      <w:rPr>
                        <w:rFonts w:ascii="Times New Roman" w:eastAsia="Times New Roman" w:hAnsi="Times New Roman" w:cs="Times New Roman"/>
                        <w:color w:val="0000FF"/>
                        <w:sz w:val="24"/>
                        <w:szCs w:val="24"/>
                        <w:u w:val="single"/>
                      </w:rPr>
                      <w:t>Stephen.Chriss@walmart.com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67" w:history="1">
                    <w:r w:rsidR="00EC3468" w:rsidRPr="00EC3468">
                      <w:rPr>
                        <w:rFonts w:ascii="Times New Roman" w:eastAsia="Times New Roman" w:hAnsi="Times New Roman" w:cs="Times New Roman"/>
                        <w:color w:val="0000FF"/>
                        <w:sz w:val="24"/>
                        <w:szCs w:val="24"/>
                        <w:u w:val="single"/>
                      </w:rPr>
                      <w:t>Schmidt@sppgrp.com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68" w:history="1">
                    <w:r w:rsidR="00EC3468" w:rsidRPr="00EC3468">
                      <w:rPr>
                        <w:rFonts w:ascii="Times New Roman" w:eastAsia="Times New Roman" w:hAnsi="Times New Roman" w:cs="Times New Roman"/>
                        <w:color w:val="0000FF"/>
                        <w:sz w:val="24"/>
                        <w:szCs w:val="24"/>
                        <w:u w:val="single"/>
                      </w:rPr>
                      <w:t>Bojko@carpenterlipps.com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69" w:history="1">
                    <w:r w:rsidR="00EC3468" w:rsidRPr="00EC3468">
                      <w:rPr>
                        <w:rFonts w:ascii="Times New Roman" w:eastAsia="Times New Roman" w:hAnsi="Times New Roman" w:cs="Times New Roman"/>
                        <w:color w:val="0000FF"/>
                        <w:sz w:val="24"/>
                        <w:szCs w:val="24"/>
                        <w:u w:val="single"/>
                      </w:rPr>
                      <w:t>orourke@carpenterlipps.com</w:t>
                    </w:r>
                  </w:hyperlink>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FF"/>
                      <w:sz w:val="24"/>
                      <w:szCs w:val="24"/>
                    </w:rPr>
                  </w:pPr>
                  <w:r w:rsidRPr="00EC3468">
                    <w:rPr>
                      <w:rFonts w:ascii="Times New Roman" w:eastAsia="Times New Roman" w:hAnsi="Times New Roman" w:cs="Times New Roman"/>
                      <w:color w:val="0000FF"/>
                      <w:sz w:val="24"/>
                      <w:szCs w:val="24"/>
                    </w:rPr>
                    <w:t>mfleisher@elpc.org</w:t>
                  </w:r>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FF"/>
                      <w:sz w:val="24"/>
                      <w:szCs w:val="24"/>
                    </w:rPr>
                  </w:pPr>
                  <w:r w:rsidRPr="00EC3468">
                    <w:rPr>
                      <w:rFonts w:ascii="Times New Roman" w:eastAsia="Times New Roman" w:hAnsi="Times New Roman" w:cs="Times New Roman"/>
                      <w:color w:val="0000FF"/>
                      <w:sz w:val="24"/>
                      <w:szCs w:val="24"/>
                    </w:rPr>
                    <w:t>msmalz@ohiopovertylaw.org</w:t>
                  </w:r>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rPr>
                  </w:pPr>
                  <w:hyperlink r:id="rId70" w:history="1">
                    <w:r w:rsidR="00EC3468" w:rsidRPr="00EC3468">
                      <w:rPr>
                        <w:rFonts w:ascii="Times New Roman" w:eastAsia="Times New Roman" w:hAnsi="Times New Roman" w:cs="Times New Roman"/>
                        <w:color w:val="0000FF"/>
                        <w:sz w:val="24"/>
                        <w:szCs w:val="24"/>
                        <w:u w:val="single"/>
                      </w:rPr>
                      <w:t>cmooney@ohiopartners.org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rPr>
                  </w:pPr>
                  <w:hyperlink r:id="rId71" w:history="1">
                    <w:r w:rsidR="00EC3468" w:rsidRPr="00EC3468">
                      <w:rPr>
                        <w:rFonts w:ascii="Times New Roman" w:eastAsia="Times New Roman" w:hAnsi="Times New Roman" w:cs="Times New Roman"/>
                        <w:color w:val="0000FF"/>
                        <w:sz w:val="24"/>
                        <w:szCs w:val="24"/>
                        <w:u w:val="single"/>
                      </w:rPr>
                      <w:t>drinebolt@ohiopartners.org</w:t>
                    </w:r>
                  </w:hyperlink>
                </w:p>
                <w:p w:rsidR="00EC3468" w:rsidRPr="00EC3468" w:rsidRDefault="00EC3468" w:rsidP="00EC3468">
                  <w:pPr>
                    <w:autoSpaceDE w:val="0"/>
                    <w:autoSpaceDN w:val="0"/>
                    <w:adjustRightInd w:val="0"/>
                    <w:spacing w:after="0" w:line="240" w:lineRule="auto"/>
                    <w:rPr>
                      <w:rFonts w:ascii="Times New Roman" w:eastAsia="Times New Roman" w:hAnsi="Times New Roman" w:cs="Times New Roman"/>
                      <w:color w:val="0000FF"/>
                      <w:sz w:val="24"/>
                      <w:szCs w:val="24"/>
                    </w:rPr>
                  </w:pPr>
                  <w:r w:rsidRPr="00EC3468">
                    <w:rPr>
                      <w:rFonts w:ascii="Times New Roman" w:eastAsia="Times New Roman" w:hAnsi="Times New Roman" w:cs="Times New Roman"/>
                      <w:color w:val="0000FF"/>
                      <w:sz w:val="24"/>
                      <w:szCs w:val="24"/>
                    </w:rPr>
                    <w:t>ghull@eckertseamans.com</w:t>
                  </w:r>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rPr>
                  </w:pPr>
                  <w:hyperlink r:id="rId72" w:history="1">
                    <w:r w:rsidR="00EC3468" w:rsidRPr="00EC3468">
                      <w:rPr>
                        <w:rFonts w:ascii="Times New Roman" w:eastAsia="Times New Roman" w:hAnsi="Times New Roman" w:cs="Times New Roman"/>
                        <w:color w:val="0000FF"/>
                        <w:sz w:val="24"/>
                        <w:szCs w:val="24"/>
                        <w:u w:val="single"/>
                      </w:rPr>
                      <w:t>msoules@earthjustice.org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rPr>
                  </w:pPr>
                  <w:hyperlink r:id="rId73" w:history="1">
                    <w:r w:rsidR="00EC3468" w:rsidRPr="00EC3468">
                      <w:rPr>
                        <w:rFonts w:ascii="Times New Roman" w:eastAsia="Times New Roman" w:hAnsi="Times New Roman" w:cs="Times New Roman"/>
                        <w:color w:val="0000FF"/>
                        <w:sz w:val="24"/>
                        <w:szCs w:val="24"/>
                        <w:u w:val="single"/>
                      </w:rPr>
                      <w:t>jennifer.spinosi@directenergy.com</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FF"/>
                      <w:sz w:val="24"/>
                      <w:szCs w:val="24"/>
                      <w:u w:val="single"/>
                    </w:rPr>
                  </w:pPr>
                  <w:hyperlink r:id="rId74" w:history="1">
                    <w:r w:rsidR="00EC3468" w:rsidRPr="00EC3468">
                      <w:rPr>
                        <w:rFonts w:ascii="Times New Roman" w:eastAsia="Times New Roman" w:hAnsi="Times New Roman" w:cs="Times New Roman"/>
                        <w:color w:val="0000FF"/>
                        <w:sz w:val="24"/>
                        <w:szCs w:val="24"/>
                        <w:u w:val="single"/>
                      </w:rPr>
                      <w:t>laurie.williams@sierraclub.org</w:t>
                    </w:r>
                  </w:hyperlink>
                </w:p>
                <w:p w:rsidR="00EC3468" w:rsidRPr="00EC3468" w:rsidRDefault="007E6ABF" w:rsidP="00EC3468">
                  <w:pPr>
                    <w:autoSpaceDE w:val="0"/>
                    <w:autoSpaceDN w:val="0"/>
                    <w:adjustRightInd w:val="0"/>
                    <w:spacing w:after="0" w:line="240" w:lineRule="auto"/>
                    <w:rPr>
                      <w:rFonts w:ascii="Times New Roman" w:eastAsia="Times New Roman" w:hAnsi="Times New Roman" w:cs="Times New Roman"/>
                      <w:color w:val="000000"/>
                      <w:sz w:val="24"/>
                      <w:szCs w:val="24"/>
                    </w:rPr>
                  </w:pPr>
                  <w:hyperlink r:id="rId75" w:history="1">
                    <w:r w:rsidR="00EC3468" w:rsidRPr="00EC3468">
                      <w:rPr>
                        <w:rFonts w:ascii="Times New Roman" w:hAnsi="Times New Roman" w:cs="Times New Roman"/>
                        <w:color w:val="0000FF"/>
                        <w:sz w:val="24"/>
                        <w:szCs w:val="24"/>
                        <w:u w:val="single"/>
                      </w:rPr>
                      <w:t>evelyn.robinson@pjm.com</w:t>
                    </w:r>
                  </w:hyperlink>
                </w:p>
              </w:tc>
            </w:tr>
          </w:tbl>
          <w:p w:rsidR="00EC3468" w:rsidRPr="00EC3468" w:rsidRDefault="00EC3468" w:rsidP="00EC3468">
            <w:pPr>
              <w:autoSpaceDE w:val="0"/>
              <w:autoSpaceDN w:val="0"/>
              <w:adjustRightInd w:val="0"/>
              <w:rPr>
                <w:rFonts w:ascii="Times New Roman" w:eastAsia="Calibri" w:hAnsi="Times New Roman" w:cs="Times New Roman"/>
                <w:color w:val="000000"/>
                <w:sz w:val="24"/>
                <w:szCs w:val="24"/>
                <w:u w:val="single"/>
              </w:rPr>
            </w:pPr>
            <w:r w:rsidRPr="00EC3468">
              <w:rPr>
                <w:rFonts w:ascii="Times New Roman" w:eastAsia="Calibri" w:hAnsi="Times New Roman" w:cs="Times New Roman"/>
                <w:color w:val="000000"/>
                <w:sz w:val="24"/>
                <w:szCs w:val="24"/>
                <w:u w:val="single"/>
              </w:rPr>
              <w:t>Attorney Examiners:</w:t>
            </w:r>
          </w:p>
          <w:p w:rsidR="00EC3468" w:rsidRPr="00EC3468" w:rsidRDefault="00EC3468" w:rsidP="00EC3468">
            <w:pPr>
              <w:autoSpaceDE w:val="0"/>
              <w:autoSpaceDN w:val="0"/>
              <w:adjustRightInd w:val="0"/>
              <w:rPr>
                <w:rFonts w:ascii="Times New Roman" w:eastAsia="Calibri" w:hAnsi="Times New Roman" w:cs="Times New Roman"/>
                <w:color w:val="000000"/>
                <w:sz w:val="24"/>
                <w:szCs w:val="24"/>
                <w:u w:val="single"/>
              </w:rPr>
            </w:pPr>
            <w:r w:rsidRPr="00EC3468">
              <w:rPr>
                <w:rFonts w:ascii="Times New Roman" w:eastAsia="Calibri" w:hAnsi="Times New Roman" w:cs="Times New Roman"/>
                <w:color w:val="0000FF"/>
                <w:sz w:val="24"/>
                <w:szCs w:val="24"/>
                <w:u w:val="single"/>
              </w:rPr>
              <w:t>Sarah.parrot@puc.state.oh.us</w:t>
            </w:r>
          </w:p>
          <w:p w:rsidR="00EC3468" w:rsidRPr="00EC3468" w:rsidRDefault="00EC3468" w:rsidP="00EC3468">
            <w:pPr>
              <w:rPr>
                <w:rFonts w:ascii="Times New Roman" w:hAnsi="Times New Roman" w:cs="Times New Roman"/>
                <w:sz w:val="24"/>
                <w:szCs w:val="24"/>
              </w:rPr>
            </w:pPr>
            <w:r w:rsidRPr="00EC3468">
              <w:rPr>
                <w:rFonts w:ascii="Times New Roman" w:eastAsia="Calibri" w:hAnsi="Times New Roman" w:cs="Times New Roman"/>
                <w:color w:val="0000FF"/>
                <w:sz w:val="24"/>
                <w:szCs w:val="24"/>
                <w:u w:val="single"/>
              </w:rPr>
              <w:t>Greta.see@puc.state.oh.us</w:t>
            </w:r>
          </w:p>
        </w:tc>
      </w:tr>
    </w:tbl>
    <w:p w:rsidR="001A4990" w:rsidRPr="001F35BA" w:rsidRDefault="001A4990" w:rsidP="001F35BA">
      <w:pPr>
        <w:spacing w:after="0" w:line="480" w:lineRule="auto"/>
        <w:ind w:firstLine="720"/>
        <w:rPr>
          <w:rFonts w:ascii="Times New Roman" w:hAnsi="Times New Roman" w:cs="Times New Roman"/>
          <w:sz w:val="24"/>
          <w:szCs w:val="24"/>
        </w:rPr>
      </w:pPr>
    </w:p>
    <w:sectPr w:rsidR="001A4990" w:rsidRPr="001F35BA" w:rsidSect="00D41C87">
      <w:headerReference w:type="default" r:id="rId76"/>
      <w:footerReference w:type="default" r:id="rId77"/>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B10CB" w15:done="0"/>
  <w15:commentEx w15:paraId="282004E1" w15:done="0"/>
  <w15:commentEx w15:paraId="6F67EA00" w15:done="0"/>
  <w15:commentEx w15:paraId="00890009" w15:done="0"/>
  <w15:commentEx w15:paraId="22D2FA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D6" w:rsidRDefault="00AE6BD6" w:rsidP="00E332AB">
      <w:pPr>
        <w:spacing w:after="0" w:line="240" w:lineRule="auto"/>
      </w:pPr>
      <w:r>
        <w:separator/>
      </w:r>
    </w:p>
  </w:endnote>
  <w:endnote w:type="continuationSeparator" w:id="0">
    <w:p w:rsidR="00AE6BD6" w:rsidRDefault="00AE6BD6" w:rsidP="00E3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7" w:rsidRDefault="00DF7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7" w:rsidRDefault="00DF7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7" w:rsidRDefault="00DF74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89007"/>
      <w:docPartObj>
        <w:docPartGallery w:val="Page Numbers (Bottom of Page)"/>
        <w:docPartUnique/>
      </w:docPartObj>
    </w:sdtPr>
    <w:sdtEndPr>
      <w:rPr>
        <w:noProof/>
      </w:rPr>
    </w:sdtEndPr>
    <w:sdtContent>
      <w:p w:rsidR="00AE6BD6" w:rsidRDefault="00AE6BD6">
        <w:pPr>
          <w:pStyle w:val="Footer"/>
          <w:jc w:val="center"/>
        </w:pPr>
        <w:r>
          <w:fldChar w:fldCharType="begin"/>
        </w:r>
        <w:r>
          <w:instrText xml:space="preserve"> PAGE   \* MERGEFORMAT </w:instrText>
        </w:r>
        <w:r>
          <w:fldChar w:fldCharType="separate"/>
        </w:r>
        <w:r w:rsidR="007E6ABF">
          <w:rPr>
            <w:noProof/>
          </w:rPr>
          <w:t>i</w:t>
        </w:r>
        <w:r>
          <w:rPr>
            <w:noProof/>
          </w:rPr>
          <w:fldChar w:fldCharType="end"/>
        </w:r>
      </w:p>
    </w:sdtContent>
  </w:sdt>
  <w:p w:rsidR="00AE6BD6" w:rsidRDefault="00AE6B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08944"/>
      <w:docPartObj>
        <w:docPartGallery w:val="Page Numbers (Bottom of Page)"/>
        <w:docPartUnique/>
      </w:docPartObj>
    </w:sdtPr>
    <w:sdtEndPr>
      <w:rPr>
        <w:noProof/>
      </w:rPr>
    </w:sdtEndPr>
    <w:sdtContent>
      <w:p w:rsidR="00AE6BD6" w:rsidRDefault="00AE6BD6">
        <w:pPr>
          <w:pStyle w:val="Footer"/>
          <w:jc w:val="center"/>
        </w:pPr>
        <w:r w:rsidRPr="00EC3468">
          <w:rPr>
            <w:rFonts w:ascii="Times New Roman" w:hAnsi="Times New Roman" w:cs="Times New Roman"/>
            <w:sz w:val="20"/>
            <w:szCs w:val="20"/>
          </w:rPr>
          <w:fldChar w:fldCharType="begin"/>
        </w:r>
        <w:r w:rsidRPr="00EC3468">
          <w:rPr>
            <w:rFonts w:ascii="Times New Roman" w:hAnsi="Times New Roman" w:cs="Times New Roman"/>
            <w:sz w:val="20"/>
            <w:szCs w:val="20"/>
          </w:rPr>
          <w:instrText xml:space="preserve"> PAGE   \* MERGEFORMAT </w:instrText>
        </w:r>
        <w:r w:rsidRPr="00EC3468">
          <w:rPr>
            <w:rFonts w:ascii="Times New Roman" w:hAnsi="Times New Roman" w:cs="Times New Roman"/>
            <w:sz w:val="20"/>
            <w:szCs w:val="20"/>
          </w:rPr>
          <w:fldChar w:fldCharType="separate"/>
        </w:r>
        <w:r w:rsidR="00DF74E7">
          <w:rPr>
            <w:rFonts w:ascii="Times New Roman" w:hAnsi="Times New Roman" w:cs="Times New Roman"/>
            <w:noProof/>
            <w:sz w:val="20"/>
            <w:szCs w:val="20"/>
          </w:rPr>
          <w:t>46</w:t>
        </w:r>
        <w:r w:rsidRPr="00EC3468">
          <w:rPr>
            <w:rFonts w:ascii="Times New Roman" w:hAnsi="Times New Roman" w:cs="Times New Roman"/>
            <w:noProof/>
            <w:sz w:val="20"/>
            <w:szCs w:val="20"/>
          </w:rPr>
          <w:fldChar w:fldCharType="end"/>
        </w:r>
      </w:p>
    </w:sdtContent>
  </w:sdt>
  <w:p w:rsidR="00AE6BD6" w:rsidRDefault="00AE6B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21528"/>
      <w:docPartObj>
        <w:docPartGallery w:val="Page Numbers (Bottom of Page)"/>
        <w:docPartUnique/>
      </w:docPartObj>
    </w:sdtPr>
    <w:sdtEndPr>
      <w:rPr>
        <w:noProof/>
      </w:rPr>
    </w:sdtEndPr>
    <w:sdtContent>
      <w:p w:rsidR="00AE6BD6" w:rsidRDefault="00AE6BD6">
        <w:pPr>
          <w:pStyle w:val="Footer"/>
          <w:jc w:val="center"/>
        </w:pPr>
        <w:r>
          <w:fldChar w:fldCharType="begin"/>
        </w:r>
        <w:r>
          <w:instrText xml:space="preserve"> PAGE   \* MERGEFORMAT </w:instrText>
        </w:r>
        <w:r>
          <w:fldChar w:fldCharType="separate"/>
        </w:r>
        <w:r w:rsidR="00DF74E7">
          <w:rPr>
            <w:noProof/>
          </w:rPr>
          <w:t>47</w:t>
        </w:r>
        <w:r>
          <w:rPr>
            <w:noProof/>
          </w:rPr>
          <w:fldChar w:fldCharType="end"/>
        </w:r>
      </w:p>
    </w:sdtContent>
  </w:sdt>
  <w:p w:rsidR="00AE6BD6" w:rsidRDefault="00AE6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D6" w:rsidRDefault="00AE6BD6" w:rsidP="00E332AB">
      <w:pPr>
        <w:spacing w:after="0" w:line="240" w:lineRule="auto"/>
      </w:pPr>
      <w:r>
        <w:separator/>
      </w:r>
    </w:p>
  </w:footnote>
  <w:footnote w:type="continuationSeparator" w:id="0">
    <w:p w:rsidR="00AE6BD6" w:rsidRDefault="00AE6BD6" w:rsidP="00E332AB">
      <w:pPr>
        <w:spacing w:after="0" w:line="240" w:lineRule="auto"/>
      </w:pPr>
      <w:r>
        <w:continuationSeparator/>
      </w:r>
    </w:p>
  </w:footnote>
  <w:footnote w:id="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e.g., Tongren v. PUC</w:t>
      </w:r>
      <w:r w:rsidRPr="006C32CD">
        <w:rPr>
          <w:rFonts w:ascii="Times New Roman" w:hAnsi="Times New Roman" w:cs="Times New Roman"/>
        </w:rPr>
        <w:t xml:space="preserve">, 85 Ohio St. 3d 87 (1999); </w:t>
      </w:r>
      <w:r w:rsidRPr="006C32CD">
        <w:rPr>
          <w:rFonts w:ascii="Times New Roman" w:hAnsi="Times New Roman" w:cs="Times New Roman"/>
          <w:i/>
        </w:rPr>
        <w:t xml:space="preserve">see also </w:t>
      </w:r>
      <w:r w:rsidRPr="006C32CD">
        <w:rPr>
          <w:rFonts w:ascii="Times New Roman" w:hAnsi="Times New Roman" w:cs="Times New Roman"/>
        </w:rPr>
        <w:t>R.C. 4903.09.</w:t>
      </w:r>
    </w:p>
  </w:footnote>
  <w:footnote w:id="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In re Complaint of Residents of Struthers</w:t>
      </w:r>
      <w:r w:rsidRPr="006C32CD">
        <w:rPr>
          <w:rFonts w:ascii="Times New Roman" w:hAnsi="Times New Roman" w:cs="Times New Roman"/>
        </w:rPr>
        <w:t>, 45 Ohio St. 3d 227, 231 (1989).  Stated differently in an analogous context, when trial courts</w:t>
      </w:r>
      <w:r>
        <w:rPr>
          <w:rFonts w:ascii="Times New Roman" w:hAnsi="Times New Roman" w:cs="Times New Roman"/>
        </w:rPr>
        <w:t>’</w:t>
      </w:r>
      <w:r w:rsidRPr="006C32CD">
        <w:rPr>
          <w:rFonts w:ascii="Times New Roman" w:hAnsi="Times New Roman" w:cs="Times New Roman"/>
        </w:rPr>
        <w:t xml:space="preserve"> subject matter jurisdiction is challenged by way of a motion under Ohio Civil Rule 12(B)(1), appellate courts have explained that </w:t>
      </w:r>
      <w:r>
        <w:rPr>
          <w:rFonts w:ascii="Times New Roman" w:hAnsi="Times New Roman" w:cs="Times New Roman"/>
        </w:rPr>
        <w:t>“</w:t>
      </w:r>
      <w:r w:rsidRPr="006C32CD">
        <w:rPr>
          <w:rFonts w:ascii="Times New Roman" w:hAnsi="Times New Roman" w:cs="Times New Roman"/>
        </w:rPr>
        <w:t xml:space="preserve">the trial court </w:t>
      </w:r>
      <w:r w:rsidRPr="006C32CD">
        <w:rPr>
          <w:rFonts w:ascii="Times New Roman" w:hAnsi="Times New Roman" w:cs="Times New Roman"/>
          <w:i/>
        </w:rPr>
        <w:t xml:space="preserve">must decide </w:t>
      </w:r>
      <w:r w:rsidRPr="006C32CD">
        <w:rPr>
          <w:rFonts w:ascii="Times New Roman" w:hAnsi="Times New Roman" w:cs="Times New Roman"/>
        </w:rPr>
        <w:t>whether the plaintiff has alleged any cause of action which the court has the authority to decide.</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Westside Cellular v. Northern Ohio Cellular Tel. Co.</w:t>
      </w:r>
      <w:r w:rsidRPr="006C32CD">
        <w:rPr>
          <w:rFonts w:ascii="Times New Roman" w:hAnsi="Times New Roman" w:cs="Times New Roman"/>
        </w:rPr>
        <w:t xml:space="preserve">, 100 Ohio App. 3d 768, 770 (Cuyahoga 1995) (italics added). </w:t>
      </w:r>
    </w:p>
  </w:footnote>
  <w:footnote w:id="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Twain, Mark, </w:t>
      </w:r>
      <w:r>
        <w:rPr>
          <w:rFonts w:ascii="Times New Roman" w:hAnsi="Times New Roman" w:cs="Times New Roman"/>
        </w:rPr>
        <w:t>“</w:t>
      </w:r>
      <w:r w:rsidRPr="006C32CD">
        <w:rPr>
          <w:rFonts w:ascii="Times New Roman" w:hAnsi="Times New Roman" w:cs="Times New Roman"/>
        </w:rPr>
        <w:t>The Stolen White Elephant,</w:t>
      </w:r>
      <w:r>
        <w:rPr>
          <w:rFonts w:ascii="Times New Roman" w:hAnsi="Times New Roman" w:cs="Times New Roman"/>
        </w:rPr>
        <w:t>”</w:t>
      </w:r>
      <w:r w:rsidRPr="006C32CD">
        <w:rPr>
          <w:rFonts w:ascii="Times New Roman" w:hAnsi="Times New Roman" w:cs="Times New Roman"/>
        </w:rPr>
        <w:t xml:space="preserve"> (Osgood 1882).</w:t>
      </w:r>
    </w:p>
  </w:footnote>
  <w:footnote w:id="4">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i/>
        </w:rPr>
        <w:t>See In the Matter of the Complaint of Mark A. Whitt v. Nationwide Energy Partners, LLC</w:t>
      </w:r>
      <w:r>
        <w:rPr>
          <w:rFonts w:ascii="Times New Roman" w:hAnsi="Times New Roman" w:cs="Times New Roman"/>
        </w:rPr>
        <w:t>, Case No. 15-697-EL-CSS, Opinion and Order at p. 6, 8 (November 18, 2015).</w:t>
      </w:r>
    </w:p>
  </w:footnote>
  <w:footnote w:id="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134-36.  Conversely, the Ohio Energy Group explicitly asks the PUCO </w:t>
      </w:r>
      <w:r>
        <w:rPr>
          <w:rFonts w:ascii="Times New Roman" w:hAnsi="Times New Roman" w:cs="Times New Roman"/>
        </w:rPr>
        <w:t xml:space="preserve">to </w:t>
      </w:r>
      <w:r w:rsidRPr="006C32CD">
        <w:rPr>
          <w:rFonts w:ascii="Times New Roman" w:hAnsi="Times New Roman" w:cs="Times New Roman"/>
        </w:rPr>
        <w:t>make a finding that the PPA Rider</w:t>
      </w:r>
      <w:r>
        <w:rPr>
          <w:rFonts w:ascii="Times New Roman" w:hAnsi="Times New Roman" w:cs="Times New Roman"/>
        </w:rPr>
        <w:t>’</w:t>
      </w:r>
      <w:r w:rsidRPr="006C32CD">
        <w:rPr>
          <w:rFonts w:ascii="Times New Roman" w:hAnsi="Times New Roman" w:cs="Times New Roman"/>
        </w:rPr>
        <w:t xml:space="preserve">s costs are projected to be below-market in anticipation of federal challenges to it.  </w:t>
      </w:r>
      <w:r w:rsidRPr="006C32CD">
        <w:rPr>
          <w:rFonts w:ascii="Times New Roman" w:hAnsi="Times New Roman" w:cs="Times New Roman"/>
          <w:i/>
        </w:rPr>
        <w:t xml:space="preserve">See </w:t>
      </w:r>
      <w:r w:rsidRPr="006C32CD">
        <w:rPr>
          <w:rFonts w:ascii="Times New Roman" w:hAnsi="Times New Roman" w:cs="Times New Roman"/>
        </w:rPr>
        <w:t>Post-Hearing Brief of the Ohio Energy Group at 21-22.  In addition to confirming that the Signatory Parties are not of one mind, Ohio Energy Group</w:t>
      </w:r>
      <w:r>
        <w:rPr>
          <w:rFonts w:ascii="Times New Roman" w:hAnsi="Times New Roman" w:cs="Times New Roman"/>
        </w:rPr>
        <w:t>’</w:t>
      </w:r>
      <w:r w:rsidRPr="006C32CD">
        <w:rPr>
          <w:rFonts w:ascii="Times New Roman" w:hAnsi="Times New Roman" w:cs="Times New Roman"/>
        </w:rPr>
        <w:t xml:space="preserve">s request cannot be granted given the evidence before the PUCO.  </w:t>
      </w:r>
      <w:r w:rsidRPr="006C32CD">
        <w:rPr>
          <w:rFonts w:ascii="Times New Roman" w:hAnsi="Times New Roman" w:cs="Times New Roman"/>
          <w:i/>
        </w:rPr>
        <w:t xml:space="preserve">See, e.g., </w:t>
      </w:r>
      <w:r w:rsidRPr="006C32CD">
        <w:rPr>
          <w:rFonts w:ascii="Times New Roman" w:hAnsi="Times New Roman" w:cs="Times New Roman"/>
        </w:rPr>
        <w:t>Direct Testimony of James F. Wilson (OCC Exs. 15 and 34) filed September 11, 2015 and December 28, 2015, respectivel</w:t>
      </w:r>
      <w:r>
        <w:rPr>
          <w:rFonts w:ascii="Times New Roman" w:hAnsi="Times New Roman" w:cs="Times New Roman"/>
        </w:rPr>
        <w:t xml:space="preserve">y (projecting a multi-billion </w:t>
      </w:r>
      <w:r w:rsidRPr="006C32CD">
        <w:rPr>
          <w:rFonts w:ascii="Times New Roman" w:hAnsi="Times New Roman" w:cs="Times New Roman"/>
        </w:rPr>
        <w:t>dollar cost for the PPA Rider).</w:t>
      </w:r>
    </w:p>
  </w:footnote>
  <w:footnote w:id="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e.g., </w:t>
      </w:r>
      <w:r w:rsidRPr="006C32CD">
        <w:rPr>
          <w:rFonts w:ascii="Times New Roman" w:hAnsi="Times New Roman" w:cs="Times New Roman"/>
        </w:rPr>
        <w:t>Initial Post-Hearing Brief by The Office of the Ohio Consumers</w:t>
      </w:r>
      <w:r>
        <w:rPr>
          <w:rFonts w:ascii="Times New Roman" w:hAnsi="Times New Roman" w:cs="Times New Roman"/>
        </w:rPr>
        <w:t>’</w:t>
      </w:r>
      <w:r w:rsidRPr="006C32CD">
        <w:rPr>
          <w:rFonts w:ascii="Times New Roman" w:hAnsi="Times New Roman" w:cs="Times New Roman"/>
        </w:rPr>
        <w:t xml:space="preserve"> Counsel and Appalachian Peace and Justice Network at 16-24 (PUCO</w:t>
      </w:r>
      <w:r>
        <w:rPr>
          <w:rFonts w:ascii="Times New Roman" w:hAnsi="Times New Roman" w:cs="Times New Roman"/>
        </w:rPr>
        <w:t>’</w:t>
      </w:r>
      <w:r w:rsidRPr="006C32CD">
        <w:rPr>
          <w:rFonts w:ascii="Times New Roman" w:hAnsi="Times New Roman" w:cs="Times New Roman"/>
        </w:rPr>
        <w:t xml:space="preserve">s jurisdiction preempted); </w:t>
      </w:r>
      <w:r w:rsidRPr="006C32CD">
        <w:rPr>
          <w:rFonts w:ascii="Times New Roman" w:hAnsi="Times New Roman" w:cs="Times New Roman"/>
          <w:i/>
        </w:rPr>
        <w:t xml:space="preserve">id. </w:t>
      </w:r>
      <w:r w:rsidRPr="006C32CD">
        <w:rPr>
          <w:rFonts w:ascii="Times New Roman" w:hAnsi="Times New Roman" w:cs="Times New Roman"/>
        </w:rPr>
        <w:t>at 106-112 (AEP Ohio</w:t>
      </w:r>
      <w:r>
        <w:rPr>
          <w:rFonts w:ascii="Times New Roman" w:hAnsi="Times New Roman" w:cs="Times New Roman"/>
        </w:rPr>
        <w:t>’</w:t>
      </w:r>
      <w:r w:rsidRPr="006C32CD">
        <w:rPr>
          <w:rFonts w:ascii="Times New Roman" w:hAnsi="Times New Roman" w:cs="Times New Roman"/>
        </w:rPr>
        <w:t>s proposal will undermine competitive markets).</w:t>
      </w:r>
    </w:p>
  </w:footnote>
  <w:footnote w:id="7">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e.g., </w:t>
      </w:r>
      <w:r>
        <w:rPr>
          <w:rFonts w:ascii="Times New Roman" w:hAnsi="Times New Roman" w:cs="Times New Roman"/>
          <w:i/>
        </w:rPr>
        <w:t>id.</w:t>
      </w:r>
      <w:r w:rsidRPr="006C32CD">
        <w:rPr>
          <w:rFonts w:ascii="Times New Roman" w:hAnsi="Times New Roman" w:cs="Times New Roman"/>
        </w:rPr>
        <w:t xml:space="preserve"> at 16-24; Initial Brief of The Ohio Manufacturers</w:t>
      </w:r>
      <w:r>
        <w:rPr>
          <w:rFonts w:ascii="Times New Roman" w:hAnsi="Times New Roman" w:cs="Times New Roman"/>
        </w:rPr>
        <w:t>’</w:t>
      </w:r>
      <w:r w:rsidRPr="006C32CD">
        <w:rPr>
          <w:rFonts w:ascii="Times New Roman" w:hAnsi="Times New Roman" w:cs="Times New Roman"/>
        </w:rPr>
        <w:t xml:space="preserve"> Association Energy Group at 16-20.</w:t>
      </w:r>
    </w:p>
  </w:footnote>
  <w:footnote w:id="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Initial Post-Hearing Brief by The Office of the Ohio Consumers</w:t>
      </w:r>
      <w:r>
        <w:rPr>
          <w:rFonts w:ascii="Times New Roman" w:hAnsi="Times New Roman" w:cs="Times New Roman"/>
        </w:rPr>
        <w:t>’</w:t>
      </w:r>
      <w:r w:rsidRPr="006C32CD">
        <w:rPr>
          <w:rFonts w:ascii="Times New Roman" w:hAnsi="Times New Roman" w:cs="Times New Roman"/>
        </w:rPr>
        <w:t xml:space="preserve"> Counsel and Appalachian Peace and Justice Network at 16-17.</w:t>
      </w:r>
    </w:p>
  </w:footnote>
  <w:footnote w:id="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In re Complaint of Residents of Struthers</w:t>
      </w:r>
      <w:r w:rsidRPr="006C32CD">
        <w:rPr>
          <w:rFonts w:ascii="Times New Roman" w:hAnsi="Times New Roman" w:cs="Times New Roman"/>
        </w:rPr>
        <w:t>, 45 Ohio St. 3d 227, 231 (1989).  Stated differently in an analogous context, when trial courts</w:t>
      </w:r>
      <w:r>
        <w:rPr>
          <w:rFonts w:ascii="Times New Roman" w:hAnsi="Times New Roman" w:cs="Times New Roman"/>
        </w:rPr>
        <w:t>’</w:t>
      </w:r>
      <w:r w:rsidRPr="006C32CD">
        <w:rPr>
          <w:rFonts w:ascii="Times New Roman" w:hAnsi="Times New Roman" w:cs="Times New Roman"/>
        </w:rPr>
        <w:t xml:space="preserve"> subject matter jurisdiction is challenged by way of a motion under Ohio Civil Rule 12(B)(1), appellate courts have explained that </w:t>
      </w:r>
      <w:r>
        <w:rPr>
          <w:rFonts w:ascii="Times New Roman" w:hAnsi="Times New Roman" w:cs="Times New Roman"/>
        </w:rPr>
        <w:t>“</w:t>
      </w:r>
      <w:r w:rsidRPr="006C32CD">
        <w:rPr>
          <w:rFonts w:ascii="Times New Roman" w:hAnsi="Times New Roman" w:cs="Times New Roman"/>
        </w:rPr>
        <w:t xml:space="preserve">the trial court </w:t>
      </w:r>
      <w:r w:rsidRPr="006C32CD">
        <w:rPr>
          <w:rFonts w:ascii="Times New Roman" w:hAnsi="Times New Roman" w:cs="Times New Roman"/>
          <w:i/>
        </w:rPr>
        <w:t xml:space="preserve">must decide </w:t>
      </w:r>
      <w:r w:rsidRPr="006C32CD">
        <w:rPr>
          <w:rFonts w:ascii="Times New Roman" w:hAnsi="Times New Roman" w:cs="Times New Roman"/>
        </w:rPr>
        <w:t>whether the plaintiff has alleged any cause of action which the court has the authority to decide.</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Westside Cellular v. Northern Ohio Cellular Tel. Co.</w:t>
      </w:r>
      <w:r w:rsidRPr="006C32CD">
        <w:rPr>
          <w:rFonts w:ascii="Times New Roman" w:hAnsi="Times New Roman" w:cs="Times New Roman"/>
        </w:rPr>
        <w:t xml:space="preserve">, 100 Ohio App. 3d 768, 770 (Cuyahoga 1995) (italics added). </w:t>
      </w:r>
    </w:p>
  </w:footnote>
  <w:footnote w:id="1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e.g., </w:t>
      </w:r>
      <w:r w:rsidRPr="006C32CD">
        <w:rPr>
          <w:rFonts w:ascii="Times New Roman" w:hAnsi="Times New Roman" w:cs="Times New Roman"/>
        </w:rPr>
        <w:t>Initial Post-Hearing Brief by The Office of the Ohio Consumers</w:t>
      </w:r>
      <w:r>
        <w:rPr>
          <w:rFonts w:ascii="Times New Roman" w:hAnsi="Times New Roman" w:cs="Times New Roman"/>
        </w:rPr>
        <w:t>’</w:t>
      </w:r>
      <w:r w:rsidRPr="006C32CD">
        <w:rPr>
          <w:rFonts w:ascii="Times New Roman" w:hAnsi="Times New Roman" w:cs="Times New Roman"/>
        </w:rPr>
        <w:t xml:space="preserve"> Counsel and Appalachian Peace and Justice Network at 16-24; Initial Brief of The Ohio Manufacturers</w:t>
      </w:r>
      <w:r>
        <w:rPr>
          <w:rFonts w:ascii="Times New Roman" w:hAnsi="Times New Roman" w:cs="Times New Roman"/>
        </w:rPr>
        <w:t>’</w:t>
      </w:r>
      <w:r w:rsidRPr="006C32CD">
        <w:rPr>
          <w:rFonts w:ascii="Times New Roman" w:hAnsi="Times New Roman" w:cs="Times New Roman"/>
        </w:rPr>
        <w:t xml:space="preserve"> Association Energy Group at 16-20.</w:t>
      </w:r>
    </w:p>
  </w:footnote>
  <w:footnote w:id="1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133 (citing, e.g., IMM Ex. 3 at 2; OCC Ex. 12 at 8-16; OMAEG Ex. 29 at 6; OCC Ex. 11 at 3; RESA Ex. 1 at 3).  In doing so, AEP Ohio is itself recognizing what the Ohio Energy Group apparently cannot.  It asserts that the PUCO should make an express finding that there is no definitive evidence that approving the PPA Rider will distort PJM markets.  </w:t>
      </w:r>
      <w:r w:rsidRPr="006C32CD">
        <w:rPr>
          <w:rFonts w:ascii="Times New Roman" w:hAnsi="Times New Roman" w:cs="Times New Roman"/>
          <w:i/>
        </w:rPr>
        <w:t xml:space="preserve">See </w:t>
      </w:r>
      <w:r w:rsidRPr="006C32CD">
        <w:rPr>
          <w:rFonts w:ascii="Times New Roman" w:hAnsi="Times New Roman" w:cs="Times New Roman"/>
        </w:rPr>
        <w:t xml:space="preserve">Post-Hearing Brief of the Ohio Energy Group at 3.  There is an abundance of evidence that the PPA Rider will distort the PJM markets.  </w:t>
      </w:r>
      <w:r w:rsidRPr="006C32CD">
        <w:rPr>
          <w:rFonts w:ascii="Times New Roman" w:hAnsi="Times New Roman" w:cs="Times New Roman"/>
          <w:i/>
        </w:rPr>
        <w:t xml:space="preserve">See, e.g., </w:t>
      </w:r>
      <w:r w:rsidRPr="006C32CD">
        <w:rPr>
          <w:rFonts w:ascii="Times New Roman" w:hAnsi="Times New Roman" w:cs="Times New Roman"/>
        </w:rPr>
        <w:t xml:space="preserve">Direct Testimony of Ramteen Sioshansi (OCC Ex. 12) filed September 11, 2015; Direct Testimony of Joseph E. Bowring (IMM Ex. 2) filed December 28, 2015. </w:t>
      </w:r>
    </w:p>
  </w:footnote>
  <w:footnote w:id="1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Brief at 133; 135-37.</w:t>
      </w:r>
    </w:p>
  </w:footnote>
  <w:footnote w:id="1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Brief at 136.</w:t>
      </w:r>
    </w:p>
  </w:footnote>
  <w:footnote w:id="1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Pr>
          <w:rFonts w:ascii="Times New Roman" w:hAnsi="Times New Roman" w:cs="Times New Roman"/>
          <w:i/>
        </w:rPr>
        <w:t>Id.</w:t>
      </w:r>
      <w:r w:rsidRPr="006C32CD">
        <w:rPr>
          <w:rFonts w:ascii="Times New Roman" w:hAnsi="Times New Roman" w:cs="Times New Roman"/>
        </w:rPr>
        <w:t xml:space="preserve"> at 136-137.</w:t>
      </w:r>
    </w:p>
  </w:footnote>
  <w:footnote w:id="1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Hearing Transcript </w:t>
      </w:r>
      <w:r>
        <w:rPr>
          <w:rFonts w:ascii="Times New Roman" w:hAnsi="Times New Roman" w:cs="Times New Roman"/>
        </w:rPr>
        <w:t xml:space="preserve">at </w:t>
      </w:r>
      <w:r w:rsidRPr="006C32CD">
        <w:rPr>
          <w:rFonts w:ascii="Times New Roman" w:hAnsi="Times New Roman" w:cs="Times New Roman"/>
        </w:rPr>
        <w:t>Vol. XXII, p. 5546:1017.</w:t>
      </w:r>
    </w:p>
  </w:footnote>
  <w:footnote w:id="1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D011EA">
        <w:rPr>
          <w:rFonts w:ascii="Times New Roman" w:hAnsi="Times New Roman" w:cs="Times New Roman"/>
          <w:i/>
        </w:rPr>
        <w:t>See</w:t>
      </w:r>
      <w:r w:rsidRPr="006C32CD">
        <w:rPr>
          <w:rFonts w:ascii="Times New Roman" w:hAnsi="Times New Roman" w:cs="Times New Roman"/>
        </w:rPr>
        <w:t xml:space="preserve"> </w:t>
      </w:r>
      <w:r>
        <w:rPr>
          <w:rFonts w:ascii="Times New Roman" w:hAnsi="Times New Roman" w:cs="Times New Roman"/>
          <w:i/>
        </w:rPr>
        <w:t>id.</w:t>
      </w:r>
      <w:r w:rsidRPr="006C32CD">
        <w:rPr>
          <w:rFonts w:ascii="Times New Roman" w:hAnsi="Times New Roman" w:cs="Times New Roman"/>
        </w:rPr>
        <w:t xml:space="preserve"> </w:t>
      </w:r>
      <w:r>
        <w:rPr>
          <w:rFonts w:ascii="Times New Roman" w:hAnsi="Times New Roman" w:cs="Times New Roman"/>
        </w:rPr>
        <w:t xml:space="preserve">at </w:t>
      </w:r>
      <w:r w:rsidRPr="006C32CD">
        <w:rPr>
          <w:rFonts w:ascii="Times New Roman" w:hAnsi="Times New Roman" w:cs="Times New Roman"/>
        </w:rPr>
        <w:t>Vol. XXI, p. 5292:13-15.</w:t>
      </w:r>
    </w:p>
  </w:footnote>
  <w:footnote w:id="1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Pr>
          <w:rFonts w:ascii="Times New Roman" w:hAnsi="Times New Roman" w:cs="Times New Roman"/>
          <w:i/>
        </w:rPr>
        <w:t>Id.</w:t>
      </w:r>
      <w:r w:rsidRPr="006C32CD">
        <w:rPr>
          <w:rFonts w:ascii="Times New Roman" w:hAnsi="Times New Roman" w:cs="Times New Roman"/>
        </w:rPr>
        <w:t xml:space="preserve"> </w:t>
      </w:r>
      <w:r>
        <w:rPr>
          <w:rFonts w:ascii="Times New Roman" w:hAnsi="Times New Roman" w:cs="Times New Roman"/>
        </w:rPr>
        <w:t xml:space="preserve">at </w:t>
      </w:r>
      <w:r w:rsidRPr="006C32CD">
        <w:rPr>
          <w:rFonts w:ascii="Times New Roman" w:hAnsi="Times New Roman" w:cs="Times New Roman"/>
        </w:rPr>
        <w:t>Vol. XXI, p. 5292:22-5293:4.</w:t>
      </w:r>
    </w:p>
  </w:footnote>
  <w:footnote w:id="1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D011EA">
        <w:rPr>
          <w:rFonts w:ascii="Times New Roman" w:hAnsi="Times New Roman" w:cs="Times New Roman"/>
          <w:i/>
        </w:rPr>
        <w:t>See</w:t>
      </w:r>
      <w:r w:rsidRPr="006C32CD">
        <w:rPr>
          <w:rFonts w:ascii="Times New Roman" w:hAnsi="Times New Roman" w:cs="Times New Roman"/>
        </w:rPr>
        <w:t xml:space="preserve"> </w:t>
      </w:r>
      <w:r>
        <w:rPr>
          <w:rFonts w:ascii="Times New Roman" w:hAnsi="Times New Roman" w:cs="Times New Roman"/>
          <w:i/>
        </w:rPr>
        <w:t>id.</w:t>
      </w:r>
      <w:r w:rsidRPr="006C32CD">
        <w:rPr>
          <w:rFonts w:ascii="Times New Roman" w:hAnsi="Times New Roman" w:cs="Times New Roman"/>
        </w:rPr>
        <w:t xml:space="preserve"> </w:t>
      </w:r>
      <w:r>
        <w:rPr>
          <w:rFonts w:ascii="Times New Roman" w:hAnsi="Times New Roman" w:cs="Times New Roman"/>
        </w:rPr>
        <w:t xml:space="preserve">at </w:t>
      </w:r>
      <w:r w:rsidRPr="006C32CD">
        <w:rPr>
          <w:rFonts w:ascii="Times New Roman" w:hAnsi="Times New Roman" w:cs="Times New Roman"/>
        </w:rPr>
        <w:t>Vol. XXI, p. 5293:16-18.</w:t>
      </w:r>
    </w:p>
  </w:footnote>
  <w:footnote w:id="1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Pr>
          <w:rFonts w:ascii="Times New Roman" w:hAnsi="Times New Roman" w:cs="Times New Roman"/>
          <w:i/>
        </w:rPr>
        <w:t>Id.</w:t>
      </w:r>
      <w:r w:rsidRPr="006C32CD">
        <w:rPr>
          <w:rFonts w:ascii="Times New Roman" w:hAnsi="Times New Roman" w:cs="Times New Roman"/>
        </w:rPr>
        <w:t xml:space="preserve"> </w:t>
      </w:r>
      <w:r>
        <w:rPr>
          <w:rFonts w:ascii="Times New Roman" w:hAnsi="Times New Roman" w:cs="Times New Roman"/>
        </w:rPr>
        <w:t xml:space="preserve">at </w:t>
      </w:r>
      <w:r w:rsidRPr="006C32CD">
        <w:rPr>
          <w:rFonts w:ascii="Times New Roman" w:hAnsi="Times New Roman" w:cs="Times New Roman"/>
        </w:rPr>
        <w:t>Vol. XXI, p. 5293:19-24.</w:t>
      </w:r>
    </w:p>
  </w:footnote>
  <w:footnote w:id="2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Brief at 135-136 (citing Hearing Transcript at Vol. XXI, p. 5256).</w:t>
      </w:r>
    </w:p>
  </w:footnote>
  <w:footnote w:id="2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assertion that the PPA Rider in the Joint Stipulation is better than that originally proposed because its term is shorter is also misleading.  In what is perhaps a Freudian slip, and no doubt foreshadowing things to come, AEP Ohio in addressing the financial need factor of the ESP III Opinion and Order says that the PPA Rider will increase </w:t>
      </w:r>
      <w:r>
        <w:rPr>
          <w:rFonts w:ascii="Times New Roman" w:hAnsi="Times New Roman" w:cs="Times New Roman"/>
        </w:rPr>
        <w:t>“</w:t>
      </w:r>
      <w:r w:rsidRPr="006C32CD">
        <w:rPr>
          <w:rFonts w:ascii="Times New Roman" w:hAnsi="Times New Roman" w:cs="Times New Roman"/>
        </w:rPr>
        <w:t xml:space="preserve">the probability that these generating units will remain operating </w:t>
      </w:r>
      <w:r w:rsidRPr="00D011EA">
        <w:rPr>
          <w:rFonts w:ascii="Times New Roman" w:hAnsi="Times New Roman" w:cs="Times New Roman"/>
          <w:i/>
        </w:rPr>
        <w:t>through their useful lives</w:t>
      </w:r>
      <w:r w:rsidRPr="006C32CD">
        <w:rPr>
          <w:rFonts w:ascii="Times New Roman" w:hAnsi="Times New Roman" w:cs="Times New Roman"/>
        </w:rPr>
        <w:t xml:space="preserve"> . . . .</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34</w:t>
      </w:r>
      <w:r>
        <w:rPr>
          <w:rFonts w:ascii="Times New Roman" w:hAnsi="Times New Roman" w:cs="Times New Roman"/>
        </w:rPr>
        <w:t xml:space="preserve"> (italics added)</w:t>
      </w:r>
      <w:r w:rsidRPr="006C32CD">
        <w:rPr>
          <w:rFonts w:ascii="Times New Roman" w:hAnsi="Times New Roman" w:cs="Times New Roman"/>
        </w:rPr>
        <w:t>.</w:t>
      </w:r>
    </w:p>
  </w:footnote>
  <w:footnote w:id="2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Hearing Transcript at Vol. XXI, p. 5255:12-5256:18.</w:t>
      </w:r>
    </w:p>
  </w:footnote>
  <w:footnote w:id="2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Misleading is a theme in AEP Ohio</w:t>
      </w:r>
      <w:r>
        <w:rPr>
          <w:rFonts w:ascii="Times New Roman" w:hAnsi="Times New Roman" w:cs="Times New Roman"/>
        </w:rPr>
        <w:t>’</w:t>
      </w:r>
      <w:r w:rsidRPr="006C32CD">
        <w:rPr>
          <w:rFonts w:ascii="Times New Roman" w:hAnsi="Times New Roman" w:cs="Times New Roman"/>
        </w:rPr>
        <w:t xml:space="preserve">s initial brief.  It asserts that the reduced return on equity (profit) in the Joint Stipulation will </w:t>
      </w:r>
      <w:r>
        <w:rPr>
          <w:rFonts w:ascii="Times New Roman" w:hAnsi="Times New Roman" w:cs="Times New Roman"/>
        </w:rPr>
        <w:t>“</w:t>
      </w:r>
      <w:r w:rsidRPr="006C32CD">
        <w:rPr>
          <w:rFonts w:ascii="Times New Roman" w:hAnsi="Times New Roman" w:cs="Times New Roman"/>
        </w:rPr>
        <w:t>produce savings for customers of $86 million[.]</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36; </w:t>
      </w:r>
      <w:r w:rsidRPr="006C32CD">
        <w:rPr>
          <w:rFonts w:ascii="Times New Roman" w:hAnsi="Times New Roman" w:cs="Times New Roman"/>
          <w:i/>
        </w:rPr>
        <w:t xml:space="preserve">see also id. </w:t>
      </w:r>
      <w:r w:rsidRPr="006C32CD">
        <w:rPr>
          <w:rFonts w:ascii="Times New Roman" w:hAnsi="Times New Roman" w:cs="Times New Roman"/>
        </w:rPr>
        <w:t>at 100-101.</w:t>
      </w:r>
      <w:r>
        <w:rPr>
          <w:rFonts w:ascii="Times New Roman" w:hAnsi="Times New Roman" w:cs="Times New Roman"/>
        </w:rPr>
        <w:t xml:space="preserve">  In reality, reducing the return on equity (profit) simply means that consumers can keep more of their own money, not “save” it due to the reduction.</w:t>
      </w:r>
      <w:r w:rsidRPr="006C32CD">
        <w:rPr>
          <w:rFonts w:ascii="Times New Roman" w:hAnsi="Times New Roman" w:cs="Times New Roman"/>
        </w:rPr>
        <w:t xml:space="preserve">  </w:t>
      </w:r>
    </w:p>
  </w:footnote>
  <w:footnote w:id="24">
    <w:p w:rsidR="00AE6BD6" w:rsidRPr="006C32CD" w:rsidRDefault="00AE6BD6" w:rsidP="00F02391">
      <w:pPr>
        <w:pStyle w:val="FootnoteText"/>
        <w:spacing w:after="120"/>
        <w:rPr>
          <w:rFonts w:ascii="Times New Roman" w:hAnsi="Times New Roman" w:cs="Times New Roman"/>
        </w:rPr>
      </w:pPr>
      <w:r w:rsidRPr="006C32CD">
        <w:rPr>
          <w:rFonts w:ascii="Times New Roman" w:hAnsi="Times New Roman" w:cs="Times New Roman"/>
          <w:i/>
        </w:rPr>
        <w:t xml:space="preserve"> </w:t>
      </w:r>
      <w:r w:rsidRPr="006C32CD">
        <w:rPr>
          <w:rStyle w:val="FootnoteReference"/>
          <w:rFonts w:ascii="Times New Roman" w:hAnsi="Times New Roman" w:cs="Times New Roman"/>
        </w:rPr>
        <w:footnoteRef/>
      </w:r>
      <w:r w:rsidRPr="006C32CD">
        <w:rPr>
          <w:rFonts w:ascii="Times New Roman" w:hAnsi="Times New Roman" w:cs="Times New Roman"/>
          <w:i/>
        </w:rPr>
        <w:t xml:space="preserve"> Consumers</w:t>
      </w:r>
      <w:r>
        <w:rPr>
          <w:rFonts w:ascii="Times New Roman" w:hAnsi="Times New Roman" w:cs="Times New Roman"/>
          <w:i/>
        </w:rPr>
        <w:t>’</w:t>
      </w:r>
      <w:r w:rsidRPr="006C32CD">
        <w:rPr>
          <w:rFonts w:ascii="Times New Roman" w:hAnsi="Times New Roman" w:cs="Times New Roman"/>
          <w:i/>
        </w:rPr>
        <w:t xml:space="preserve"> Counsel v. Pub. Util. Comm.</w:t>
      </w:r>
      <w:r w:rsidRPr="006C32CD">
        <w:rPr>
          <w:rFonts w:ascii="Times New Roman" w:hAnsi="Times New Roman" w:cs="Times New Roman"/>
        </w:rPr>
        <w:t>, 64 Ohio St.3d 123, 126 (1992).  AEP Ohio</w:t>
      </w:r>
      <w:r>
        <w:rPr>
          <w:rFonts w:ascii="Times New Roman" w:hAnsi="Times New Roman" w:cs="Times New Roman"/>
        </w:rPr>
        <w:t>’</w:t>
      </w:r>
      <w:r w:rsidRPr="006C32CD">
        <w:rPr>
          <w:rFonts w:ascii="Times New Roman" w:hAnsi="Times New Roman" w:cs="Times New Roman"/>
        </w:rPr>
        <w:t>s assertion that the focus under the first prong is</w:t>
      </w:r>
      <w:r>
        <w:rPr>
          <w:rFonts w:ascii="Times New Roman" w:hAnsi="Times New Roman" w:cs="Times New Roman"/>
        </w:rPr>
        <w:t xml:space="preserve"> only on negotiating parties, not</w:t>
      </w:r>
      <w:r w:rsidRPr="006C32CD">
        <w:rPr>
          <w:rFonts w:ascii="Times New Roman" w:hAnsi="Times New Roman" w:cs="Times New Roman"/>
        </w:rPr>
        <w:t xml:space="preserve"> signatory parties, is wrong.  </w:t>
      </w:r>
      <w:r w:rsidRPr="006C32CD">
        <w:rPr>
          <w:rFonts w:ascii="Times New Roman" w:hAnsi="Times New Roman" w:cs="Times New Roman"/>
          <w:i/>
        </w:rPr>
        <w:t>See, e.g., In the Matter of the Application of The Dayton Power and Light Company for the Creation of a Rate Stabilization Surcharge Rider and Distribution Rate Increase</w:t>
      </w:r>
      <w:r w:rsidRPr="006C32CD">
        <w:rPr>
          <w:rFonts w:ascii="Times New Roman" w:hAnsi="Times New Roman" w:cs="Times New Roman"/>
        </w:rPr>
        <w:t xml:space="preserve">, 2005 PUC Lexis 694, *10-11 (Case No. 05-276-EL-AIR) (responding to argument that signatory parties lacked diversity of interests, PUCO noted that </w:t>
      </w:r>
      <w:r>
        <w:rPr>
          <w:rFonts w:ascii="Times New Roman" w:hAnsi="Times New Roman" w:cs="Times New Roman"/>
        </w:rPr>
        <w:t>“</w:t>
      </w:r>
      <w:r w:rsidRPr="006C32CD">
        <w:rPr>
          <w:rFonts w:ascii="Times New Roman" w:hAnsi="Times New Roman" w:cs="Times New Roman"/>
        </w:rPr>
        <w:t>the signatory parties do represent a diversity of interests</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In the Matter of the Application of Vectren Energy Delivery of Ohio, Inc. for Approval, Pursuant to Revised Code Section 4929.11, of a Tariff to Recover Conservation Expenses and Decoupling Revenues Pursuant to Automatic Adjustment Mechanisms and for Such Accounting Authority as May be Required to Defer Such Expenses and Revenues for Future Recovery Through Such Adjustment Mechanisms</w:t>
      </w:r>
      <w:r w:rsidRPr="006C32CD">
        <w:rPr>
          <w:rFonts w:ascii="Times New Roman" w:hAnsi="Times New Roman" w:cs="Times New Roman"/>
        </w:rPr>
        <w:t>, 2007 PUC Lexis 437,</w:t>
      </w:r>
      <w:r w:rsidRPr="006C32CD">
        <w:rPr>
          <w:rFonts w:ascii="Times New Roman" w:hAnsi="Times New Roman" w:cs="Times New Roman"/>
          <w:i/>
        </w:rPr>
        <w:t xml:space="preserve"> </w:t>
      </w:r>
      <w:r w:rsidRPr="006C32CD">
        <w:rPr>
          <w:rFonts w:ascii="Times New Roman" w:hAnsi="Times New Roman" w:cs="Times New Roman"/>
        </w:rPr>
        <w:t xml:space="preserve">*35-36 (Case No. 05-144-GA-UNC).    </w:t>
      </w:r>
    </w:p>
  </w:footnote>
  <w:footnote w:id="2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25-26.</w:t>
      </w:r>
    </w:p>
  </w:footnote>
  <w:footnote w:id="26">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See </w:t>
      </w:r>
      <w:r>
        <w:rPr>
          <w:rFonts w:ascii="Times New Roman" w:hAnsi="Times New Roman" w:cs="Times New Roman"/>
        </w:rPr>
        <w:t>Direct Testimony of Karl R. Rabago (ELPC Ex. 19) filed December 28, 2015 at 4.</w:t>
      </w:r>
    </w:p>
  </w:footnote>
  <w:footnote w:id="27">
    <w:p w:rsidR="00AE6BD6" w:rsidRPr="00E566F6" w:rsidRDefault="00AE6BD6" w:rsidP="00F02391">
      <w:pPr>
        <w:pStyle w:val="FootnoteText"/>
        <w:spacing w:after="120"/>
        <w:rPr>
          <w:rFonts w:ascii="Times New Roman" w:hAnsi="Times New Roman" w:cs="Times New Roman"/>
          <w:i/>
        </w:rPr>
      </w:pPr>
      <w:r>
        <w:rPr>
          <w:rStyle w:val="FootnoteReference"/>
        </w:rPr>
        <w:footnoteRef/>
      </w:r>
      <w:r>
        <w:t xml:space="preserve"> </w:t>
      </w:r>
      <w:r>
        <w:rPr>
          <w:rFonts w:ascii="Times New Roman" w:hAnsi="Times New Roman" w:cs="Times New Roman"/>
          <w:i/>
        </w:rPr>
        <w:t>See id.</w:t>
      </w:r>
    </w:p>
  </w:footnote>
  <w:footnote w:id="2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Post-Hearing Brief submitted on behalf of the Staff of the Public Utilities Commission of Ohio largely ignores the record.  It cites to the Hearing Transcript once.  Otherwise, it restates the Joint Stipulation</w:t>
      </w:r>
      <w:r>
        <w:rPr>
          <w:rFonts w:ascii="Times New Roman" w:hAnsi="Times New Roman" w:cs="Times New Roman"/>
        </w:rPr>
        <w:t>’</w:t>
      </w:r>
      <w:r w:rsidRPr="006C32CD">
        <w:rPr>
          <w:rFonts w:ascii="Times New Roman" w:hAnsi="Times New Roman" w:cs="Times New Roman"/>
        </w:rPr>
        <w:t>s provisions and AEP Ohio Witness William A. Allen</w:t>
      </w:r>
      <w:r>
        <w:rPr>
          <w:rFonts w:ascii="Times New Roman" w:hAnsi="Times New Roman" w:cs="Times New Roman"/>
        </w:rPr>
        <w:t>’</w:t>
      </w:r>
      <w:r w:rsidRPr="006C32CD">
        <w:rPr>
          <w:rFonts w:ascii="Times New Roman" w:hAnsi="Times New Roman" w:cs="Times New Roman"/>
        </w:rPr>
        <w:t>s Direct Testimony.  This is inexplicable given Staff</w:t>
      </w:r>
      <w:r>
        <w:rPr>
          <w:rFonts w:ascii="Times New Roman" w:hAnsi="Times New Roman" w:cs="Times New Roman"/>
        </w:rPr>
        <w:t>’</w:t>
      </w:r>
      <w:r w:rsidRPr="006C32CD">
        <w:rPr>
          <w:rFonts w:ascii="Times New Roman" w:hAnsi="Times New Roman" w:cs="Times New Roman"/>
        </w:rPr>
        <w:t xml:space="preserve">s acknowledgement that in connection with the first phase of this case, AEP Ohio responded to over 1,100 data requests, supplemented over 70, parties participated in a month of evidentiary hearings, and 37 witnesses testified at the hearing.  </w:t>
      </w:r>
      <w:r w:rsidRPr="006C32CD">
        <w:rPr>
          <w:rFonts w:ascii="Times New Roman" w:hAnsi="Times New Roman" w:cs="Times New Roman"/>
          <w:i/>
        </w:rPr>
        <w:t xml:space="preserve">See </w:t>
      </w:r>
      <w:r w:rsidRPr="006C32CD">
        <w:rPr>
          <w:rFonts w:ascii="Times New Roman" w:hAnsi="Times New Roman" w:cs="Times New Roman"/>
        </w:rPr>
        <w:t xml:space="preserve">Post-Hearing Brief submitted on behalf of the Staff of the Public Utilities Commission of Ohio at 6.  Of course, the record is even more voluminous given the data requests, witnesses, and evidentiary hearing regarding the Joint Stipulation.  Although Staff asserts that </w:t>
      </w:r>
      <w:r>
        <w:rPr>
          <w:rFonts w:ascii="Times New Roman" w:hAnsi="Times New Roman" w:cs="Times New Roman"/>
        </w:rPr>
        <w:t>“</w:t>
      </w:r>
      <w:r w:rsidRPr="006C32CD">
        <w:rPr>
          <w:rFonts w:ascii="Times New Roman" w:hAnsi="Times New Roman" w:cs="Times New Roman"/>
        </w:rPr>
        <w:t>the evidence of record supports and justifies a finding that [the Joint Stipulation</w:t>
      </w:r>
      <w:r>
        <w:rPr>
          <w:rFonts w:ascii="Times New Roman" w:hAnsi="Times New Roman" w:cs="Times New Roman"/>
        </w:rPr>
        <w:t>’</w:t>
      </w:r>
      <w:r w:rsidRPr="006C32CD">
        <w:rPr>
          <w:rFonts w:ascii="Times New Roman" w:hAnsi="Times New Roman" w:cs="Times New Roman"/>
        </w:rPr>
        <w:t>s] terms are just and reasonable[,]</w:t>
      </w:r>
      <w:r>
        <w:rPr>
          <w:rFonts w:ascii="Times New Roman" w:hAnsi="Times New Roman" w:cs="Times New Roman"/>
        </w:rPr>
        <w:t>”</w:t>
      </w:r>
      <w:r w:rsidRPr="006C32CD">
        <w:rPr>
          <w:rFonts w:ascii="Times New Roman" w:hAnsi="Times New Roman" w:cs="Times New Roman"/>
        </w:rPr>
        <w:t xml:space="preserve"> Staff does not analyze the record.  </w:t>
      </w:r>
      <w:r w:rsidRPr="006C32CD">
        <w:rPr>
          <w:rFonts w:ascii="Times New Roman" w:hAnsi="Times New Roman" w:cs="Times New Roman"/>
          <w:i/>
        </w:rPr>
        <w:t xml:space="preserve">See id. </w:t>
      </w:r>
      <w:r w:rsidRPr="006C32CD">
        <w:rPr>
          <w:rFonts w:ascii="Times New Roman" w:hAnsi="Times New Roman" w:cs="Times New Roman"/>
        </w:rPr>
        <w:t xml:space="preserve">at 4; </w:t>
      </w:r>
      <w:r w:rsidRPr="006C32CD">
        <w:rPr>
          <w:rFonts w:ascii="Times New Roman" w:hAnsi="Times New Roman" w:cs="Times New Roman"/>
          <w:i/>
        </w:rPr>
        <w:t xml:space="preserve">see also id. generally.  </w:t>
      </w:r>
      <w:r w:rsidRPr="006C32CD">
        <w:rPr>
          <w:rFonts w:ascii="Times New Roman" w:hAnsi="Times New Roman" w:cs="Times New Roman"/>
        </w:rPr>
        <w:t>This is brought into stark relief by Staff</w:t>
      </w:r>
      <w:r>
        <w:rPr>
          <w:rFonts w:ascii="Times New Roman" w:hAnsi="Times New Roman" w:cs="Times New Roman"/>
        </w:rPr>
        <w:t>’</w:t>
      </w:r>
      <w:r w:rsidRPr="006C32CD">
        <w:rPr>
          <w:rFonts w:ascii="Times New Roman" w:hAnsi="Times New Roman" w:cs="Times New Roman"/>
        </w:rPr>
        <w:t>s assertion that the Joint Stipulation</w:t>
      </w:r>
      <w:r>
        <w:rPr>
          <w:rFonts w:ascii="Times New Roman" w:hAnsi="Times New Roman" w:cs="Times New Roman"/>
        </w:rPr>
        <w:t>’</w:t>
      </w:r>
      <w:r w:rsidRPr="006C32CD">
        <w:rPr>
          <w:rFonts w:ascii="Times New Roman" w:hAnsi="Times New Roman" w:cs="Times New Roman"/>
        </w:rPr>
        <w:t xml:space="preserve">s benefits are </w:t>
      </w:r>
      <w:r>
        <w:rPr>
          <w:rFonts w:ascii="Times New Roman" w:hAnsi="Times New Roman" w:cs="Times New Roman"/>
        </w:rPr>
        <w:t>“</w:t>
      </w:r>
      <w:r w:rsidRPr="006C32CD">
        <w:rPr>
          <w:rFonts w:ascii="Times New Roman" w:hAnsi="Times New Roman" w:cs="Times New Roman"/>
        </w:rPr>
        <w:t>self-explanatory.</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 xml:space="preserve">at 11.  If they were self-explanatory, the more than 1,100 data requests, 40 witnesses, and 4 weeks of evidentiary hearing must have been, what, meaningless? </w:t>
      </w:r>
    </w:p>
  </w:footnote>
  <w:footnote w:id="2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Joint Initial Brief of Interstate Gas Supply, Inc., Direct Energy Services, LLC, and Direct Energy Business, LLC.</w:t>
      </w:r>
    </w:p>
  </w:footnote>
  <w:footnote w:id="30">
    <w:p w:rsidR="00AE6BD6" w:rsidRPr="00E21FB5"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5-9.</w:t>
      </w:r>
      <w:r>
        <w:rPr>
          <w:rFonts w:ascii="Times New Roman" w:hAnsi="Times New Roman" w:cs="Times New Roman"/>
        </w:rPr>
        <w:t xml:space="preserve">  The Retail Energy Supply Association, Constellation Newenergy, Inc., and Exelon Generation Company LLC explained that the “Competition Incentive” Rider and the Supplier Consolidated Billing Program are actually “discriminatory and unjust.”  </w:t>
      </w:r>
      <w:r>
        <w:rPr>
          <w:rFonts w:ascii="Times New Roman" w:hAnsi="Times New Roman" w:cs="Times New Roman"/>
          <w:i/>
        </w:rPr>
        <w:t xml:space="preserve">See </w:t>
      </w:r>
      <w:r>
        <w:rPr>
          <w:rFonts w:ascii="Times New Roman" w:hAnsi="Times New Roman" w:cs="Times New Roman"/>
        </w:rPr>
        <w:t xml:space="preserve">Initial Brief of Retail Energy Supply Association, Constellation Newenergy, Inc., and Exelon Generation Company LLC at 56-57.  The Ohio Manufacturers’ Association Energy Group explained that “[a]ll costs associated with [the Supplier Consolidated Billing Program] should be borne by the beneficiaries of the program, not spread, in part, across all customer classes.”  </w:t>
      </w:r>
      <w:r>
        <w:rPr>
          <w:rFonts w:ascii="Times New Roman" w:hAnsi="Times New Roman" w:cs="Times New Roman"/>
          <w:i/>
        </w:rPr>
        <w:t xml:space="preserve">See </w:t>
      </w:r>
      <w:r>
        <w:rPr>
          <w:rFonts w:ascii="Times New Roman" w:hAnsi="Times New Roman" w:cs="Times New Roman"/>
        </w:rPr>
        <w:t>Initial Brief of The Ohio Manufacturers’ Association Energy Group at 55.</w:t>
      </w:r>
    </w:p>
  </w:footnote>
  <w:footnote w:id="3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Post-Hearing Brief of the Mid-Atlantic Renewable Energy Coalition.</w:t>
      </w:r>
    </w:p>
  </w:footnote>
  <w:footnote w:id="32">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p>
  </w:footnote>
  <w:footnote w:id="3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Post-Hearing Brief of the Ohio Energy Group.</w:t>
      </w:r>
    </w:p>
  </w:footnote>
  <w:footnote w:id="3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7-11.</w:t>
      </w:r>
      <w:r>
        <w:rPr>
          <w:rFonts w:ascii="Times New Roman" w:hAnsi="Times New Roman" w:cs="Times New Roman"/>
        </w:rPr>
        <w:t xml:space="preserve">  As the Ohio Manufacturers’ Association Energy Group pointed out, “there is no logical reason for why AEP-Ohio proposes to broaden IRP-tariff eligibility and increase the credits provided to a narrow class of beneficiaries” other than obtaining signatures on the Joint Stipulation.  </w:t>
      </w:r>
      <w:r>
        <w:rPr>
          <w:rFonts w:ascii="Times New Roman" w:hAnsi="Times New Roman" w:cs="Times New Roman"/>
          <w:i/>
        </w:rPr>
        <w:t xml:space="preserve">See </w:t>
      </w:r>
      <w:r>
        <w:rPr>
          <w:rFonts w:ascii="Times New Roman" w:hAnsi="Times New Roman" w:cs="Times New Roman"/>
        </w:rPr>
        <w:t xml:space="preserve">Initial Brief of The Ohio Manufacturers’ Association Energy Group at 58-61.  </w:t>
      </w:r>
    </w:p>
  </w:footnote>
  <w:footnote w:id="3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Buckeye Power, Inc.</w:t>
      </w:r>
      <w:r>
        <w:rPr>
          <w:rFonts w:ascii="Times New Roman" w:hAnsi="Times New Roman" w:cs="Times New Roman"/>
        </w:rPr>
        <w:t>’</w:t>
      </w:r>
      <w:r w:rsidRPr="006C32CD">
        <w:rPr>
          <w:rFonts w:ascii="Times New Roman" w:hAnsi="Times New Roman" w:cs="Times New Roman"/>
        </w:rPr>
        <w:t>s Post-Hearing Brief at 20-22.</w:t>
      </w:r>
    </w:p>
  </w:footnote>
  <w:footnote w:id="3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Direct Testimony of Karl R. Rebago (ELPC Ex. 19) filed December 28, 2015 at 4:7-8.</w:t>
      </w:r>
    </w:p>
  </w:footnote>
  <w:footnote w:id="3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In the Matter of the Application of Columbus Southern Power Company and Ohio Power Company for Authority to Recover Costs Associated with the Ultimate Construction and Operation of an Integrated Gasification Combined Cycle Electric Generation Facility</w:t>
      </w:r>
      <w:r w:rsidRPr="006C32CD">
        <w:rPr>
          <w:rFonts w:ascii="Times New Roman" w:hAnsi="Times New Roman" w:cs="Times New Roman"/>
        </w:rPr>
        <w:t>, Case No. 05-376-EL-UNC, Order on Remand at 12 (Feb. 11, 2015).</w:t>
      </w:r>
    </w:p>
  </w:footnote>
  <w:footnote w:id="3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Direct Testimony of Michael P. Haugh (OCC Ex. 33) filed December 28, 2015 at 5. </w:t>
      </w:r>
    </w:p>
  </w:footnote>
  <w:footnote w:id="39">
    <w:p w:rsidR="00AE6BD6" w:rsidRDefault="00AE6BD6" w:rsidP="00F02391">
      <w:pPr>
        <w:pStyle w:val="FootnoteText"/>
        <w:spacing w:after="120"/>
      </w:pPr>
      <w:r>
        <w:rPr>
          <w:rStyle w:val="FootnoteReference"/>
        </w:rPr>
        <w:footnoteRef/>
      </w:r>
      <w:r>
        <w:t xml:space="preserve"> </w:t>
      </w:r>
      <w:r>
        <w:rPr>
          <w:rFonts w:ascii="Times New Roman" w:hAnsi="Times New Roman" w:cs="Times New Roman"/>
        </w:rPr>
        <w:t>Sierra Club has 12, Direct Energy 6, IGS 6, OPAE 1, and Buckeye Power, Inc. 1.</w:t>
      </w:r>
    </w:p>
  </w:footnote>
  <w:footnote w:id="40">
    <w:p w:rsidR="003E3AD8" w:rsidRPr="003E3AD8" w:rsidRDefault="003E3AD8" w:rsidP="00F02391">
      <w:pPr>
        <w:pStyle w:val="FootnoteText"/>
        <w:spacing w:after="120"/>
        <w:rPr>
          <w:rFonts w:ascii="Times New Roman" w:hAnsi="Times New Roman" w:cs="Times New Roman"/>
        </w:rPr>
      </w:pPr>
      <w:r w:rsidRPr="003E3AD8">
        <w:rPr>
          <w:rStyle w:val="FootnoteReference"/>
          <w:rFonts w:ascii="Times New Roman" w:hAnsi="Times New Roman" w:cs="Times New Roman"/>
        </w:rPr>
        <w:footnoteRef/>
      </w:r>
      <w:r w:rsidRPr="003E3AD8">
        <w:rPr>
          <w:rFonts w:ascii="Times New Roman" w:hAnsi="Times New Roman" w:cs="Times New Roman"/>
        </w:rPr>
        <w:t xml:space="preserve"> OCC/APJN Brief at 37 </w:t>
      </w:r>
      <w:r w:rsidRPr="003E3AD8">
        <w:rPr>
          <w:rFonts w:ascii="Times New Roman" w:hAnsi="Times New Roman" w:cs="Times New Roman"/>
          <w:i/>
        </w:rPr>
        <w:t>et seq</w:t>
      </w:r>
      <w:r>
        <w:rPr>
          <w:rFonts w:ascii="Times New Roman" w:hAnsi="Times New Roman" w:cs="Times New Roman"/>
        </w:rPr>
        <w:t>.</w:t>
      </w:r>
      <w:r w:rsidRPr="003E3AD8">
        <w:rPr>
          <w:rFonts w:ascii="Times New Roman" w:hAnsi="Times New Roman" w:cs="Times New Roman"/>
        </w:rPr>
        <w:t xml:space="preserve"> </w:t>
      </w:r>
    </w:p>
  </w:footnote>
  <w:footnote w:id="41">
    <w:p w:rsidR="003E3AD8" w:rsidRPr="003E3AD8" w:rsidRDefault="003E3AD8" w:rsidP="00F02391">
      <w:pPr>
        <w:pStyle w:val="FootnoteText"/>
        <w:spacing w:after="120"/>
        <w:rPr>
          <w:rFonts w:ascii="Times New Roman" w:hAnsi="Times New Roman" w:cs="Times New Roman"/>
        </w:rPr>
      </w:pPr>
      <w:r w:rsidRPr="003E3AD8">
        <w:rPr>
          <w:rStyle w:val="FootnoteReference"/>
          <w:rFonts w:ascii="Times New Roman" w:hAnsi="Times New Roman" w:cs="Times New Roman"/>
        </w:rPr>
        <w:footnoteRef/>
      </w:r>
      <w:r w:rsidRPr="003E3AD8">
        <w:rPr>
          <w:rFonts w:ascii="Times New Roman" w:hAnsi="Times New Roman" w:cs="Times New Roman"/>
        </w:rPr>
        <w:t xml:space="preserve"> </w:t>
      </w:r>
      <w:r w:rsidRPr="003E3AD8">
        <w:rPr>
          <w:rFonts w:ascii="Times New Roman" w:hAnsi="Times New Roman" w:cs="Times New Roman"/>
          <w:i/>
        </w:rPr>
        <w:t xml:space="preserve">See </w:t>
      </w:r>
      <w:r w:rsidRPr="003E3AD8">
        <w:rPr>
          <w:rFonts w:ascii="Times New Roman" w:hAnsi="Times New Roman" w:cs="Times New Roman"/>
        </w:rPr>
        <w:t>P3/EPSA Exhibit 11, admitted at Hearing Transcript Vol. XX, p. 5313.</w:t>
      </w:r>
    </w:p>
  </w:footnote>
  <w:footnote w:id="42">
    <w:p w:rsidR="00AE6BD6" w:rsidRDefault="00AE6BD6" w:rsidP="00F02391">
      <w:pPr>
        <w:pStyle w:val="FootnoteText"/>
        <w:spacing w:after="120"/>
      </w:pPr>
      <w:r>
        <w:rPr>
          <w:rStyle w:val="FootnoteReference"/>
        </w:rPr>
        <w:footnoteRef/>
      </w:r>
      <w:r>
        <w:t xml:space="preserve"> </w:t>
      </w:r>
      <w:r>
        <w:rPr>
          <w:rFonts w:ascii="Times New Roman" w:hAnsi="Times New Roman" w:cs="Times New Roman"/>
        </w:rPr>
        <w:t xml:space="preserve">Hearing </w:t>
      </w:r>
      <w:r w:rsidRPr="00E566F6">
        <w:rPr>
          <w:rFonts w:ascii="Times New Roman" w:hAnsi="Times New Roman" w:cs="Times New Roman"/>
        </w:rPr>
        <w:t xml:space="preserve">Transcript </w:t>
      </w:r>
      <w:r>
        <w:rPr>
          <w:rFonts w:ascii="Times New Roman" w:hAnsi="Times New Roman" w:cs="Times New Roman"/>
        </w:rPr>
        <w:t xml:space="preserve">at Vol. </w:t>
      </w:r>
      <w:r w:rsidRPr="00E566F6">
        <w:rPr>
          <w:rFonts w:ascii="Times New Roman" w:hAnsi="Times New Roman" w:cs="Times New Roman"/>
        </w:rPr>
        <w:t>XVI</w:t>
      </w:r>
      <w:r>
        <w:rPr>
          <w:rFonts w:ascii="Times New Roman" w:hAnsi="Times New Roman" w:cs="Times New Roman"/>
        </w:rPr>
        <w:t>, p.</w:t>
      </w:r>
      <w:r w:rsidRPr="00E566F6">
        <w:rPr>
          <w:rFonts w:ascii="Times New Roman" w:hAnsi="Times New Roman" w:cs="Times New Roman"/>
        </w:rPr>
        <w:t xml:space="preserve"> 3915</w:t>
      </w:r>
      <w:r>
        <w:rPr>
          <w:rFonts w:ascii="Times New Roman" w:hAnsi="Times New Roman" w:cs="Times New Roman"/>
        </w:rPr>
        <w:t>:17-22.</w:t>
      </w:r>
    </w:p>
  </w:footnote>
  <w:footnote w:id="43">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PUCO has recognized as much.  It rejected AEP Ohio’s efforts to have customer-funded renewables in connection with AEP Ohio’s Turning Point project.  </w:t>
      </w:r>
      <w:r>
        <w:rPr>
          <w:rFonts w:ascii="Times New Roman" w:hAnsi="Times New Roman" w:cs="Times New Roman"/>
          <w:i/>
        </w:rPr>
        <w:t>See In the Matter of the Long-Term Forecast Report of Ohio Power Company and Related Matters; In the Matter of the Long-Term Forecast Report of Columbus Southern Power Company and Related Matters</w:t>
      </w:r>
      <w:r>
        <w:rPr>
          <w:rFonts w:ascii="Times New Roman" w:hAnsi="Times New Roman" w:cs="Times New Roman"/>
        </w:rPr>
        <w:t>, 2013 Ohio PUC Lexis 3 (Case No. 10-501-EL-FOR) (January 9, 2013).</w:t>
      </w:r>
    </w:p>
  </w:footnote>
  <w:footnote w:id="44">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See </w:t>
      </w:r>
      <w:r>
        <w:rPr>
          <w:rFonts w:ascii="Times New Roman" w:hAnsi="Times New Roman" w:cs="Times New Roman"/>
        </w:rPr>
        <w:t>Supplemental Direct Testimony of James F. Wilson (OCC Ex. 34) filed December 28, 2015 at 11:3-5.</w:t>
      </w:r>
    </w:p>
  </w:footnote>
  <w:footnote w:id="45">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See </w:t>
      </w:r>
      <w:r>
        <w:rPr>
          <w:rFonts w:ascii="Times New Roman" w:hAnsi="Times New Roman" w:cs="Times New Roman"/>
        </w:rPr>
        <w:t>Direct Testimony of Robert F. Fortney (OCC Ex. 32) filed December 28, 2015.</w:t>
      </w:r>
    </w:p>
  </w:footnote>
  <w:footnote w:id="4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In addition to OCC and Appalachian Peace and Justice Network making the same point in their initial brief, other parties did, too.  </w:t>
      </w:r>
      <w:r w:rsidRPr="006C32CD">
        <w:rPr>
          <w:rFonts w:ascii="Times New Roman" w:hAnsi="Times New Roman" w:cs="Times New Roman"/>
          <w:i/>
        </w:rPr>
        <w:t xml:space="preserve">See, e.g., </w:t>
      </w:r>
      <w:r w:rsidRPr="006C32CD">
        <w:rPr>
          <w:rFonts w:ascii="Times New Roman" w:hAnsi="Times New Roman" w:cs="Times New Roman"/>
        </w:rPr>
        <w:t>Initial Brief of The Ohio Manufacturers</w:t>
      </w:r>
      <w:r>
        <w:rPr>
          <w:rFonts w:ascii="Times New Roman" w:hAnsi="Times New Roman" w:cs="Times New Roman"/>
        </w:rPr>
        <w:t>’</w:t>
      </w:r>
      <w:r w:rsidRPr="006C32CD">
        <w:rPr>
          <w:rFonts w:ascii="Times New Roman" w:hAnsi="Times New Roman" w:cs="Times New Roman"/>
        </w:rPr>
        <w:t xml:space="preserve"> Association Energy Group at 22-23 (</w:t>
      </w:r>
      <w:r>
        <w:rPr>
          <w:rFonts w:ascii="Times New Roman" w:hAnsi="Times New Roman" w:cs="Times New Roman"/>
        </w:rPr>
        <w:t>“</w:t>
      </w:r>
      <w:r w:rsidRPr="006C32CD">
        <w:rPr>
          <w:rFonts w:ascii="Times New Roman" w:hAnsi="Times New Roman" w:cs="Times New Roman"/>
        </w:rPr>
        <w:t xml:space="preserve">The balkanized nature of the Stipulation makes it virtually impossible to know the </w:t>
      </w:r>
      <w:r>
        <w:rPr>
          <w:rFonts w:ascii="Times New Roman" w:hAnsi="Times New Roman" w:cs="Times New Roman"/>
        </w:rPr>
        <w:t>‘</w:t>
      </w:r>
      <w:r w:rsidRPr="006C32CD">
        <w:rPr>
          <w:rFonts w:ascii="Times New Roman" w:hAnsi="Times New Roman" w:cs="Times New Roman"/>
        </w:rPr>
        <w:t>package</w:t>
      </w:r>
      <w:r>
        <w:rPr>
          <w:rFonts w:ascii="Times New Roman" w:hAnsi="Times New Roman" w:cs="Times New Roman"/>
        </w:rPr>
        <w:t>’</w:t>
      </w:r>
      <w:r w:rsidRPr="006C32CD">
        <w:rPr>
          <w:rFonts w:ascii="Times New Roman" w:hAnsi="Times New Roman" w:cs="Times New Roman"/>
        </w:rPr>
        <w:t xml:space="preserve"> of purported benefits that the Signatories are requesting for approval.</w:t>
      </w:r>
      <w:r>
        <w:rPr>
          <w:rFonts w:ascii="Times New Roman" w:hAnsi="Times New Roman" w:cs="Times New Roman"/>
        </w:rPr>
        <w:t>”</w:t>
      </w:r>
      <w:r w:rsidRPr="006C32CD">
        <w:rPr>
          <w:rFonts w:ascii="Times New Roman" w:hAnsi="Times New Roman" w:cs="Times New Roman"/>
        </w:rPr>
        <w:t>)</w:t>
      </w:r>
    </w:p>
  </w:footnote>
  <w:footnote w:id="47">
    <w:p w:rsidR="00AE6BD6" w:rsidRDefault="00AE6BD6" w:rsidP="00F02391">
      <w:pPr>
        <w:pStyle w:val="FootnoteText"/>
        <w:spacing w:after="120"/>
      </w:pPr>
      <w:r>
        <w:rPr>
          <w:rStyle w:val="FootnoteReference"/>
        </w:rPr>
        <w:footnoteRef/>
      </w:r>
      <w:r>
        <w:t xml:space="preserve"> </w:t>
      </w:r>
      <w:r>
        <w:rPr>
          <w:rFonts w:ascii="Times New Roman" w:hAnsi="Times New Roman" w:cs="Times New Roman"/>
        </w:rPr>
        <w:t xml:space="preserve">Hearing </w:t>
      </w:r>
      <w:r w:rsidRPr="006D2492">
        <w:rPr>
          <w:rFonts w:ascii="Times New Roman" w:hAnsi="Times New Roman" w:cs="Times New Roman"/>
        </w:rPr>
        <w:t xml:space="preserve">Transcript </w:t>
      </w:r>
      <w:r>
        <w:rPr>
          <w:rFonts w:ascii="Times New Roman" w:hAnsi="Times New Roman" w:cs="Times New Roman"/>
        </w:rPr>
        <w:t xml:space="preserve">at Vol. </w:t>
      </w:r>
      <w:r w:rsidRPr="006D2492">
        <w:rPr>
          <w:rFonts w:ascii="Times New Roman" w:hAnsi="Times New Roman" w:cs="Times New Roman"/>
        </w:rPr>
        <w:t>XVI</w:t>
      </w:r>
      <w:r>
        <w:rPr>
          <w:rFonts w:ascii="Times New Roman" w:hAnsi="Times New Roman" w:cs="Times New Roman"/>
        </w:rPr>
        <w:t>, p.</w:t>
      </w:r>
      <w:r w:rsidRPr="006D2492">
        <w:rPr>
          <w:rFonts w:ascii="Times New Roman" w:hAnsi="Times New Roman" w:cs="Times New Roman"/>
        </w:rPr>
        <w:t xml:space="preserve"> 3915</w:t>
      </w:r>
      <w:r>
        <w:rPr>
          <w:rFonts w:ascii="Times New Roman" w:hAnsi="Times New Roman" w:cs="Times New Roman"/>
        </w:rPr>
        <w:t>:17-22</w:t>
      </w:r>
      <w:r w:rsidRPr="006D2492">
        <w:rPr>
          <w:rFonts w:ascii="Times New Roman" w:hAnsi="Times New Roman" w:cs="Times New Roman"/>
        </w:rPr>
        <w:t>.</w:t>
      </w:r>
    </w:p>
  </w:footnote>
  <w:footnote w:id="48">
    <w:p w:rsidR="00AE6BD6" w:rsidRDefault="00AE6BD6" w:rsidP="00F02391">
      <w:pPr>
        <w:pStyle w:val="FootnoteText"/>
        <w:spacing w:after="120"/>
      </w:pPr>
      <w:r>
        <w:rPr>
          <w:rStyle w:val="FootnoteReference"/>
        </w:rPr>
        <w:footnoteRef/>
      </w:r>
      <w:r>
        <w:t xml:space="preserve"> </w:t>
      </w:r>
      <w:r>
        <w:rPr>
          <w:rFonts w:ascii="Times New Roman" w:hAnsi="Times New Roman" w:cs="Times New Roman"/>
          <w:i/>
        </w:rPr>
        <w:t xml:space="preserve">See </w:t>
      </w:r>
      <w:r>
        <w:rPr>
          <w:rFonts w:ascii="Times New Roman" w:hAnsi="Times New Roman" w:cs="Times New Roman"/>
        </w:rPr>
        <w:t>Supplemen</w:t>
      </w:r>
      <w:r w:rsidR="00F02391">
        <w:rPr>
          <w:rFonts w:ascii="Times New Roman" w:hAnsi="Times New Roman" w:cs="Times New Roman"/>
        </w:rPr>
        <w:t>t</w:t>
      </w:r>
      <w:r>
        <w:rPr>
          <w:rFonts w:ascii="Times New Roman" w:hAnsi="Times New Roman" w:cs="Times New Roman"/>
        </w:rPr>
        <w:t>al Direct Testimony of James F. Wilson (OCC Ex. 34) filed December 28, 2015 at 11:3-5.</w:t>
      </w:r>
    </w:p>
  </w:footnote>
  <w:footnote w:id="4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recognizes the importance of clarity and the high risk of litigation in its absence.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18 (asserting that subsection (B)(2)((b)-(c) of the ESP statute are inferior to the PPA as an option for ensuring generation in Ohio because </w:t>
      </w:r>
      <w:r>
        <w:rPr>
          <w:rFonts w:ascii="Times New Roman" w:hAnsi="Times New Roman" w:cs="Times New Roman"/>
        </w:rPr>
        <w:t>“</w:t>
      </w:r>
      <w:r w:rsidRPr="006C32CD">
        <w:rPr>
          <w:rFonts w:ascii="Times New Roman" w:hAnsi="Times New Roman" w:cs="Times New Roman"/>
        </w:rPr>
        <w:t>those provisions contain so many vague, untested concepts that would cause litigation and delay</w:t>
      </w:r>
      <w:r>
        <w:rPr>
          <w:rFonts w:ascii="Times New Roman" w:hAnsi="Times New Roman" w:cs="Times New Roman"/>
        </w:rPr>
        <w:t>”</w:t>
      </w:r>
      <w:r w:rsidRPr="006C32CD">
        <w:rPr>
          <w:rFonts w:ascii="Times New Roman" w:hAnsi="Times New Roman" w:cs="Times New Roman"/>
        </w:rPr>
        <w:t xml:space="preserve">).   </w:t>
      </w:r>
    </w:p>
  </w:footnote>
  <w:footnote w:id="5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Relatedly, AEP Ohio asserts that passing up the opportunity to approve the PPA Rider will subject Ohio consumers to volatility.  </w:t>
      </w:r>
      <w:r w:rsidRPr="006C32CD">
        <w:rPr>
          <w:rFonts w:ascii="Times New Roman" w:hAnsi="Times New Roman" w:cs="Times New Roman"/>
          <w:i/>
        </w:rPr>
        <w:t xml:space="preserve">See </w:t>
      </w:r>
      <w:r w:rsidRPr="006C32CD">
        <w:rPr>
          <w:rFonts w:ascii="Times New Roman" w:hAnsi="Times New Roman" w:cs="Times New Roman"/>
        </w:rPr>
        <w:t>AEP Ohio Brief at 17.  As OCC pointed out, given all the forecasts, true-ups, and over and under collection adjustments and yearly/quarterly reconciliations, it is more likely that AEP Ohio</w:t>
      </w:r>
      <w:r>
        <w:rPr>
          <w:rFonts w:ascii="Times New Roman" w:hAnsi="Times New Roman" w:cs="Times New Roman"/>
        </w:rPr>
        <w:t>’</w:t>
      </w:r>
      <w:r w:rsidRPr="006C32CD">
        <w:rPr>
          <w:rFonts w:ascii="Times New Roman" w:hAnsi="Times New Roman" w:cs="Times New Roman"/>
        </w:rPr>
        <w:t xml:space="preserve">s PPA Rider will increase rate volatility.  </w:t>
      </w:r>
      <w:r w:rsidRPr="006C32CD">
        <w:rPr>
          <w:rFonts w:ascii="Times New Roman" w:hAnsi="Times New Roman" w:cs="Times New Roman"/>
          <w:i/>
        </w:rPr>
        <w:t xml:space="preserve">See </w:t>
      </w:r>
      <w:r w:rsidRPr="006C32CD">
        <w:rPr>
          <w:rFonts w:ascii="Times New Roman" w:hAnsi="Times New Roman" w:cs="Times New Roman"/>
        </w:rPr>
        <w:t>OCC</w:t>
      </w:r>
      <w:r>
        <w:rPr>
          <w:rFonts w:ascii="Times New Roman" w:hAnsi="Times New Roman" w:cs="Times New Roman"/>
        </w:rPr>
        <w:t>’</w:t>
      </w:r>
      <w:r w:rsidRPr="006C32CD">
        <w:rPr>
          <w:rFonts w:ascii="Times New Roman" w:hAnsi="Times New Roman" w:cs="Times New Roman"/>
        </w:rPr>
        <w:t>s Initial Brief at 21 and notes 82-87.</w:t>
      </w:r>
    </w:p>
  </w:footnote>
  <w:footnote w:id="5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Pr>
          <w:rFonts w:ascii="Times New Roman" w:hAnsi="Times New Roman" w:cs="Times New Roman"/>
        </w:rPr>
        <w:t xml:space="preserve">AEP </w:t>
      </w:r>
      <w:r w:rsidRPr="006C32CD">
        <w:rPr>
          <w:rFonts w:ascii="Times New Roman" w:hAnsi="Times New Roman" w:cs="Times New Roman"/>
        </w:rPr>
        <w:t>ESP III</w:t>
      </w:r>
      <w:r>
        <w:rPr>
          <w:rFonts w:ascii="Times New Roman" w:hAnsi="Times New Roman" w:cs="Times New Roman"/>
        </w:rPr>
        <w:t xml:space="preserve">, Case No, 13-2385-EL-SSO, </w:t>
      </w:r>
      <w:r w:rsidRPr="006C32CD">
        <w:rPr>
          <w:rFonts w:ascii="Times New Roman" w:hAnsi="Times New Roman" w:cs="Times New Roman"/>
        </w:rPr>
        <w:t>Opinion and Order</w:t>
      </w:r>
      <w:r>
        <w:rPr>
          <w:rFonts w:ascii="Times New Roman" w:hAnsi="Times New Roman" w:cs="Times New Roman"/>
        </w:rPr>
        <w:t xml:space="preserve"> at 25 ( </w:t>
      </w:r>
      <w:r w:rsidRPr="006C32CD">
        <w:rPr>
          <w:rFonts w:ascii="Times New Roman" w:hAnsi="Times New Roman" w:cs="Times New Roman"/>
        </w:rPr>
        <w:t>first factor</w:t>
      </w:r>
      <w:r>
        <w:rPr>
          <w:rFonts w:ascii="Times New Roman" w:hAnsi="Times New Roman" w:cs="Times New Roman"/>
        </w:rPr>
        <w:t>)</w:t>
      </w:r>
      <w:r w:rsidRPr="006C32CD">
        <w:rPr>
          <w:rFonts w:ascii="Times New Roman" w:hAnsi="Times New Roman" w:cs="Times New Roman"/>
        </w:rPr>
        <w:t>.  During the evidentiary hearing in the first phase of this case, AEP Ohio</w:t>
      </w:r>
      <w:r>
        <w:rPr>
          <w:rFonts w:ascii="Times New Roman" w:hAnsi="Times New Roman" w:cs="Times New Roman"/>
        </w:rPr>
        <w:t>’</w:t>
      </w:r>
      <w:r w:rsidRPr="006C32CD">
        <w:rPr>
          <w:rFonts w:ascii="Times New Roman" w:hAnsi="Times New Roman" w:cs="Times New Roman"/>
        </w:rPr>
        <w:t>s President was presented with multiple investor presentations showing how much AEP</w:t>
      </w:r>
      <w:r>
        <w:rPr>
          <w:rFonts w:ascii="Times New Roman" w:hAnsi="Times New Roman" w:cs="Times New Roman"/>
        </w:rPr>
        <w:t>’</w:t>
      </w:r>
      <w:r w:rsidRPr="006C32CD">
        <w:rPr>
          <w:rFonts w:ascii="Times New Roman" w:hAnsi="Times New Roman" w:cs="Times New Roman"/>
        </w:rPr>
        <w:t xml:space="preserve">s assets increased in value and that the PPA Units are </w:t>
      </w:r>
      <w:r>
        <w:rPr>
          <w:rFonts w:ascii="Times New Roman" w:hAnsi="Times New Roman" w:cs="Times New Roman"/>
        </w:rPr>
        <w:t>“</w:t>
      </w:r>
      <w:r w:rsidRPr="006C32CD">
        <w:rPr>
          <w:rFonts w:ascii="Times New Roman" w:hAnsi="Times New Roman" w:cs="Times New Roman"/>
        </w:rPr>
        <w:t>well-positioned from a cost and operational perspective to participate in the competitive market[.]</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OCC</w:t>
      </w:r>
      <w:r>
        <w:rPr>
          <w:rFonts w:ascii="Times New Roman" w:hAnsi="Times New Roman" w:cs="Times New Roman"/>
        </w:rPr>
        <w:t>’</w:t>
      </w:r>
      <w:r w:rsidRPr="006C32CD">
        <w:rPr>
          <w:rFonts w:ascii="Times New Roman" w:hAnsi="Times New Roman" w:cs="Times New Roman"/>
        </w:rPr>
        <w:t xml:space="preserve">s Brief at 71-72.  During cross-examination at the hearing and in its initial brief, AEP Ohio relied on an investor presentation to call into question the testimony of Dynegy Witness Ellis.  </w:t>
      </w:r>
      <w:r w:rsidRPr="006C32CD">
        <w:rPr>
          <w:rFonts w:ascii="Times New Roman" w:hAnsi="Times New Roman" w:cs="Times New Roman"/>
          <w:i/>
        </w:rPr>
        <w:t xml:space="preserve">See </w:t>
      </w:r>
      <w:r w:rsidRPr="006C32CD">
        <w:rPr>
          <w:rFonts w:ascii="Times New Roman" w:hAnsi="Times New Roman" w:cs="Times New Roman"/>
        </w:rPr>
        <w:t>AEP Ohio Brief at 93-94.  It appears that OCC and AEP Ohio are in accord that the PUCO should give great weight to what companies say in their investor presentations.</w:t>
      </w:r>
    </w:p>
  </w:footnote>
  <w:footnote w:id="5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ESP III Opinion and Order</w:t>
      </w:r>
      <w:r>
        <w:rPr>
          <w:rFonts w:ascii="Times New Roman" w:hAnsi="Times New Roman" w:cs="Times New Roman"/>
        </w:rPr>
        <w:t>’</w:t>
      </w:r>
      <w:r w:rsidRPr="006C32CD">
        <w:rPr>
          <w:rFonts w:ascii="Times New Roman" w:hAnsi="Times New Roman" w:cs="Times New Roman"/>
        </w:rPr>
        <w:t xml:space="preserve">s </w:t>
      </w:r>
      <w:r>
        <w:rPr>
          <w:rFonts w:ascii="Times New Roman" w:hAnsi="Times New Roman" w:cs="Times New Roman"/>
        </w:rPr>
        <w:t>at 25 (</w:t>
      </w:r>
      <w:r w:rsidRPr="006C32CD">
        <w:rPr>
          <w:rFonts w:ascii="Times New Roman" w:hAnsi="Times New Roman" w:cs="Times New Roman"/>
        </w:rPr>
        <w:t>second factor</w:t>
      </w:r>
      <w:r>
        <w:rPr>
          <w:rFonts w:ascii="Times New Roman" w:hAnsi="Times New Roman" w:cs="Times New Roman"/>
        </w:rPr>
        <w:t>)</w:t>
      </w:r>
      <w:r w:rsidRPr="006C32CD">
        <w:rPr>
          <w:rFonts w:ascii="Times New Roman" w:hAnsi="Times New Roman" w:cs="Times New Roman"/>
        </w:rPr>
        <w:t>.</w:t>
      </w:r>
    </w:p>
  </w:footnote>
  <w:footnote w:id="53">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See, e.g., </w:t>
      </w:r>
      <w:r>
        <w:rPr>
          <w:rFonts w:ascii="Times New Roman" w:hAnsi="Times New Roman" w:cs="Times New Roman"/>
        </w:rPr>
        <w:t>Brief for Amicus Curiae PJM Interconnection, L.L.C. at 9-12.</w:t>
      </w:r>
    </w:p>
  </w:footnote>
  <w:footnote w:id="54">
    <w:p w:rsidR="00AE6BD6" w:rsidRPr="002D4570"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asserts that the PPA Rider will help transform it into the </w:t>
      </w:r>
      <w:r>
        <w:rPr>
          <w:rFonts w:ascii="Times New Roman" w:hAnsi="Times New Roman" w:cs="Times New Roman"/>
        </w:rPr>
        <w:t>“</w:t>
      </w:r>
      <w:r w:rsidRPr="006C32CD">
        <w:rPr>
          <w:rFonts w:ascii="Times New Roman" w:hAnsi="Times New Roman" w:cs="Times New Roman"/>
        </w:rPr>
        <w:t>utility of the future.</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7.  Such assertion is contrary to the evidence.  The PPA Rider will subsidize older, inefficient, coal-fired generation in a state already dominated by coal.</w:t>
      </w:r>
      <w:r>
        <w:rPr>
          <w:rFonts w:ascii="Times New Roman" w:hAnsi="Times New Roman" w:cs="Times New Roman"/>
        </w:rPr>
        <w:t xml:space="preserve">  </w:t>
      </w:r>
      <w:r>
        <w:rPr>
          <w:rFonts w:ascii="Times New Roman" w:hAnsi="Times New Roman" w:cs="Times New Roman"/>
          <w:i/>
        </w:rPr>
        <w:t xml:space="preserve">See </w:t>
      </w:r>
      <w:r>
        <w:rPr>
          <w:rFonts w:ascii="Times New Roman" w:hAnsi="Times New Roman" w:cs="Times New Roman"/>
        </w:rPr>
        <w:t>OCC Initial Brief at 78.</w:t>
      </w:r>
    </w:p>
  </w:footnote>
  <w:footnote w:id="5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ESP III Opinion and Order</w:t>
      </w:r>
      <w:r>
        <w:rPr>
          <w:rFonts w:ascii="Times New Roman" w:hAnsi="Times New Roman" w:cs="Times New Roman"/>
        </w:rPr>
        <w:t xml:space="preserve"> at 25</w:t>
      </w:r>
      <w:r w:rsidRPr="006C32CD">
        <w:rPr>
          <w:rFonts w:ascii="Times New Roman" w:hAnsi="Times New Roman" w:cs="Times New Roman"/>
        </w:rPr>
        <w:t xml:space="preserve"> </w:t>
      </w:r>
      <w:r>
        <w:rPr>
          <w:rFonts w:ascii="Times New Roman" w:hAnsi="Times New Roman" w:cs="Times New Roman"/>
        </w:rPr>
        <w:t>(</w:t>
      </w:r>
      <w:r w:rsidRPr="006C32CD">
        <w:rPr>
          <w:rFonts w:ascii="Times New Roman" w:hAnsi="Times New Roman" w:cs="Times New Roman"/>
        </w:rPr>
        <w:t>third factor</w:t>
      </w:r>
      <w:r>
        <w:rPr>
          <w:rFonts w:ascii="Times New Roman" w:hAnsi="Times New Roman" w:cs="Times New Roman"/>
        </w:rPr>
        <w:t>)</w:t>
      </w:r>
      <w:r w:rsidRPr="006C32CD">
        <w:rPr>
          <w:rFonts w:ascii="Times New Roman" w:hAnsi="Times New Roman" w:cs="Times New Roman"/>
        </w:rPr>
        <w:t>.</w:t>
      </w:r>
    </w:p>
  </w:footnote>
  <w:footnote w:id="5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ESP III Opinion and Order</w:t>
      </w:r>
      <w:r>
        <w:rPr>
          <w:rFonts w:ascii="Times New Roman" w:hAnsi="Times New Roman" w:cs="Times New Roman"/>
        </w:rPr>
        <w:t xml:space="preserve"> at 25</w:t>
      </w:r>
      <w:r w:rsidRPr="006C32CD">
        <w:rPr>
          <w:rFonts w:ascii="Times New Roman" w:hAnsi="Times New Roman" w:cs="Times New Roman"/>
        </w:rPr>
        <w:t xml:space="preserve"> </w:t>
      </w:r>
      <w:r>
        <w:rPr>
          <w:rFonts w:ascii="Times New Roman" w:hAnsi="Times New Roman" w:cs="Times New Roman"/>
        </w:rPr>
        <w:t>(</w:t>
      </w:r>
      <w:r w:rsidRPr="006C32CD">
        <w:rPr>
          <w:rFonts w:ascii="Times New Roman" w:hAnsi="Times New Roman" w:cs="Times New Roman"/>
        </w:rPr>
        <w:t>fourth factor</w:t>
      </w:r>
      <w:r>
        <w:rPr>
          <w:rFonts w:ascii="Times New Roman" w:hAnsi="Times New Roman" w:cs="Times New Roman"/>
        </w:rPr>
        <w:t>)</w:t>
      </w:r>
      <w:r w:rsidRPr="006C32CD">
        <w:rPr>
          <w:rFonts w:ascii="Times New Roman" w:hAnsi="Times New Roman" w:cs="Times New Roman"/>
        </w:rPr>
        <w:t>.</w:t>
      </w:r>
    </w:p>
  </w:footnote>
  <w:footnote w:id="5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ESP III Opinion and Order</w:t>
      </w:r>
      <w:r w:rsidR="00F02391">
        <w:rPr>
          <w:rFonts w:ascii="Times New Roman" w:hAnsi="Times New Roman" w:cs="Times New Roman"/>
        </w:rPr>
        <w:t xml:space="preserve"> </w:t>
      </w:r>
      <w:r>
        <w:rPr>
          <w:rFonts w:ascii="Times New Roman" w:hAnsi="Times New Roman" w:cs="Times New Roman"/>
        </w:rPr>
        <w:t>at 25-26</w:t>
      </w:r>
      <w:r w:rsidRPr="006C32CD">
        <w:rPr>
          <w:rFonts w:ascii="Times New Roman" w:hAnsi="Times New Roman" w:cs="Times New Roman"/>
        </w:rPr>
        <w:t xml:space="preserve"> </w:t>
      </w:r>
      <w:r>
        <w:rPr>
          <w:rFonts w:ascii="Times New Roman" w:hAnsi="Times New Roman" w:cs="Times New Roman"/>
        </w:rPr>
        <w:t>(“</w:t>
      </w:r>
      <w:r w:rsidRPr="006C32CD">
        <w:rPr>
          <w:rFonts w:ascii="Times New Roman" w:hAnsi="Times New Roman" w:cs="Times New Roman"/>
        </w:rPr>
        <w:t>additional requirements</w:t>
      </w:r>
      <w:r>
        <w:rPr>
          <w:rFonts w:ascii="Times New Roman" w:hAnsi="Times New Roman" w:cs="Times New Roman"/>
        </w:rPr>
        <w:t>”).</w:t>
      </w:r>
    </w:p>
  </w:footnote>
  <w:footnote w:id="5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In addition to OCC and Appalachian Peace and Justice Network making the same point in their initial brief, other parties did, too.  </w:t>
      </w:r>
      <w:r w:rsidRPr="006C32CD">
        <w:rPr>
          <w:rFonts w:ascii="Times New Roman" w:hAnsi="Times New Roman" w:cs="Times New Roman"/>
          <w:i/>
        </w:rPr>
        <w:t xml:space="preserve">See, e.g., </w:t>
      </w:r>
      <w:r w:rsidRPr="006C32CD">
        <w:rPr>
          <w:rFonts w:ascii="Times New Roman" w:hAnsi="Times New Roman" w:cs="Times New Roman"/>
        </w:rPr>
        <w:t>Initial Brief of The Ohio Manufacturers</w:t>
      </w:r>
      <w:r>
        <w:rPr>
          <w:rFonts w:ascii="Times New Roman" w:hAnsi="Times New Roman" w:cs="Times New Roman"/>
        </w:rPr>
        <w:t>’</w:t>
      </w:r>
      <w:r w:rsidRPr="006C32CD">
        <w:rPr>
          <w:rFonts w:ascii="Times New Roman" w:hAnsi="Times New Roman" w:cs="Times New Roman"/>
        </w:rPr>
        <w:t xml:space="preserve"> Association Energy Group at 22-23 (</w:t>
      </w:r>
      <w:r>
        <w:rPr>
          <w:rFonts w:ascii="Times New Roman" w:hAnsi="Times New Roman" w:cs="Times New Roman"/>
        </w:rPr>
        <w:t>“</w:t>
      </w:r>
      <w:r w:rsidRPr="006C32CD">
        <w:rPr>
          <w:rFonts w:ascii="Times New Roman" w:hAnsi="Times New Roman" w:cs="Times New Roman"/>
        </w:rPr>
        <w:t xml:space="preserve">The balkanized nature of the Stipulation makes it virtually impossible to know the </w:t>
      </w:r>
      <w:r>
        <w:rPr>
          <w:rFonts w:ascii="Times New Roman" w:hAnsi="Times New Roman" w:cs="Times New Roman"/>
        </w:rPr>
        <w:t>‘</w:t>
      </w:r>
      <w:r w:rsidRPr="006C32CD">
        <w:rPr>
          <w:rFonts w:ascii="Times New Roman" w:hAnsi="Times New Roman" w:cs="Times New Roman"/>
        </w:rPr>
        <w:t>package</w:t>
      </w:r>
      <w:r>
        <w:rPr>
          <w:rFonts w:ascii="Times New Roman" w:hAnsi="Times New Roman" w:cs="Times New Roman"/>
        </w:rPr>
        <w:t>’</w:t>
      </w:r>
      <w:r w:rsidRPr="006C32CD">
        <w:rPr>
          <w:rFonts w:ascii="Times New Roman" w:hAnsi="Times New Roman" w:cs="Times New Roman"/>
        </w:rPr>
        <w:t xml:space="preserve"> of purported benefits that the Signatories are requesting for approval.</w:t>
      </w:r>
      <w:r>
        <w:rPr>
          <w:rFonts w:ascii="Times New Roman" w:hAnsi="Times New Roman" w:cs="Times New Roman"/>
        </w:rPr>
        <w:t>”</w:t>
      </w:r>
      <w:r w:rsidRPr="006C32CD">
        <w:rPr>
          <w:rFonts w:ascii="Times New Roman" w:hAnsi="Times New Roman" w:cs="Times New Roman"/>
        </w:rPr>
        <w:t>)</w:t>
      </w:r>
    </w:p>
  </w:footnote>
  <w:footnote w:id="5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Brief at 85-86.</w:t>
      </w:r>
    </w:p>
  </w:footnote>
  <w:footnote w:id="6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Supplemental Testimony of James F. Wilson (OCC Ex. 34) filed December 28, 2015 at 11:14-16.</w:t>
      </w:r>
    </w:p>
  </w:footnote>
  <w:footnote w:id="6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Id.</w:t>
      </w:r>
      <w:r w:rsidRPr="006C32CD">
        <w:rPr>
          <w:rFonts w:ascii="Times New Roman" w:hAnsi="Times New Roman" w:cs="Times New Roman"/>
        </w:rPr>
        <w:t xml:space="preserve"> at 11:117-12:2 (italics added).</w:t>
      </w:r>
    </w:p>
  </w:footnote>
  <w:footnote w:id="6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87.</w:t>
      </w:r>
    </w:p>
  </w:footnote>
  <w:footnote w:id="6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Hearing Transcript at Vol. XV, p. 3815:6-10.</w:t>
      </w:r>
    </w:p>
  </w:footnote>
  <w:footnote w:id="6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p. 3814:4-17.</w:t>
      </w:r>
    </w:p>
  </w:footnote>
  <w:footnote w:id="65">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r w:rsidRPr="006C32CD">
        <w:rPr>
          <w:rFonts w:ascii="Times New Roman" w:hAnsi="Times New Roman" w:cs="Times New Roman"/>
        </w:rPr>
        <w:t xml:space="preserve"> at 3814:2-19.  Importantly, OCC Witness Wilson checked the prices from these other sources in connection with his analysis.  </w:t>
      </w:r>
      <w:r w:rsidRPr="006C32CD">
        <w:rPr>
          <w:rFonts w:ascii="Times New Roman" w:hAnsi="Times New Roman" w:cs="Times New Roman"/>
          <w:i/>
        </w:rPr>
        <w:t xml:space="preserve">See id. </w:t>
      </w:r>
      <w:r w:rsidRPr="006C32CD">
        <w:rPr>
          <w:rFonts w:ascii="Times New Roman" w:hAnsi="Times New Roman" w:cs="Times New Roman"/>
        </w:rPr>
        <w:t xml:space="preserve">at 3815:6-10.  He found them to be </w:t>
      </w:r>
      <w:r>
        <w:rPr>
          <w:rFonts w:ascii="Times New Roman" w:hAnsi="Times New Roman" w:cs="Times New Roman"/>
        </w:rPr>
        <w:t>“</w:t>
      </w:r>
      <w:r w:rsidRPr="006C32CD">
        <w:rPr>
          <w:rFonts w:ascii="Times New Roman" w:hAnsi="Times New Roman" w:cs="Times New Roman"/>
        </w:rPr>
        <w:t>very close.</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See id.</w:t>
      </w:r>
    </w:p>
  </w:footnote>
  <w:footnote w:id="6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w:t>
      </w:r>
      <w:r>
        <w:rPr>
          <w:rFonts w:ascii="Times New Roman" w:hAnsi="Times New Roman" w:cs="Times New Roman"/>
        </w:rPr>
        <w:t xml:space="preserve">Ohio </w:t>
      </w:r>
      <w:r w:rsidRPr="006C32CD">
        <w:rPr>
          <w:rFonts w:ascii="Times New Roman" w:hAnsi="Times New Roman" w:cs="Times New Roman"/>
        </w:rPr>
        <w:t xml:space="preserve">Brief at 86 </w:t>
      </w:r>
      <w:r>
        <w:rPr>
          <w:rFonts w:ascii="Times New Roman" w:hAnsi="Times New Roman" w:cs="Times New Roman"/>
        </w:rPr>
        <w:t>(</w:t>
      </w:r>
      <w:r w:rsidRPr="006C32CD">
        <w:rPr>
          <w:rFonts w:ascii="Times New Roman" w:hAnsi="Times New Roman" w:cs="Times New Roman"/>
        </w:rPr>
        <w:t>citing AEP Ohio Ex. 50 at 3</w:t>
      </w:r>
      <w:r>
        <w:rPr>
          <w:rFonts w:ascii="Times New Roman" w:hAnsi="Times New Roman" w:cs="Times New Roman"/>
        </w:rPr>
        <w:t>)</w:t>
      </w:r>
      <w:r w:rsidRPr="006C32CD">
        <w:rPr>
          <w:rFonts w:ascii="Times New Roman" w:hAnsi="Times New Roman" w:cs="Times New Roman"/>
        </w:rPr>
        <w:t>.</w:t>
      </w:r>
    </w:p>
  </w:footnote>
  <w:footnote w:id="6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Supplemental Testimony of James F. Wilson (OCC Ex. 34) filed December 28, 2015 at 12:9-12 (emphasis in original).</w:t>
      </w:r>
    </w:p>
  </w:footnote>
  <w:footnote w:id="6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Id.</w:t>
      </w:r>
      <w:r w:rsidRPr="006C32CD">
        <w:rPr>
          <w:rFonts w:ascii="Times New Roman" w:hAnsi="Times New Roman" w:cs="Times New Roman"/>
        </w:rPr>
        <w:t xml:space="preserve"> at 12:12-14.</w:t>
      </w:r>
    </w:p>
  </w:footnote>
  <w:footnote w:id="6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85.</w:t>
      </w:r>
    </w:p>
  </w:footnote>
  <w:footnote w:id="7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Supplemental Testimony of James F. Wilson (OCC Ex. 34) filed December 28, 2015 at 12:16-18.</w:t>
      </w:r>
    </w:p>
  </w:footnote>
  <w:footnote w:id="7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87-88.</w:t>
      </w:r>
    </w:p>
  </w:footnote>
  <w:footnote w:id="7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Compare id. </w:t>
      </w:r>
      <w:r w:rsidRPr="006C32CD">
        <w:rPr>
          <w:rFonts w:ascii="Times New Roman" w:hAnsi="Times New Roman" w:cs="Times New Roman"/>
        </w:rPr>
        <w:t xml:space="preserve">(no mention of storage) </w:t>
      </w:r>
      <w:r w:rsidRPr="006C32CD">
        <w:rPr>
          <w:rFonts w:ascii="Times New Roman" w:hAnsi="Times New Roman" w:cs="Times New Roman"/>
          <w:i/>
        </w:rPr>
        <w:t xml:space="preserve">with </w:t>
      </w:r>
      <w:r w:rsidRPr="006C32CD">
        <w:rPr>
          <w:rFonts w:ascii="Times New Roman" w:hAnsi="Times New Roman" w:cs="Times New Roman"/>
        </w:rPr>
        <w:t xml:space="preserve">Rebuttal Testimony of Karl R. Bletzacker (AEP Ohio Ex. 50) filed October 27, 2015 at 4-5 (asserted </w:t>
      </w:r>
      <w:r>
        <w:rPr>
          <w:rFonts w:ascii="Times New Roman" w:hAnsi="Times New Roman" w:cs="Times New Roman"/>
        </w:rPr>
        <w:t>“</w:t>
      </w:r>
      <w:r w:rsidRPr="006C32CD">
        <w:rPr>
          <w:rFonts w:ascii="Times New Roman" w:hAnsi="Times New Roman" w:cs="Times New Roman"/>
        </w:rPr>
        <w:t>tethering</w:t>
      </w:r>
      <w:r>
        <w:rPr>
          <w:rFonts w:ascii="Times New Roman" w:hAnsi="Times New Roman" w:cs="Times New Roman"/>
        </w:rPr>
        <w:t>”</w:t>
      </w:r>
      <w:r w:rsidRPr="006C32CD">
        <w:rPr>
          <w:rFonts w:ascii="Times New Roman" w:hAnsi="Times New Roman" w:cs="Times New Roman"/>
        </w:rPr>
        <w:t xml:space="preserve"> is </w:t>
      </w:r>
      <w:r>
        <w:rPr>
          <w:rFonts w:ascii="Times New Roman" w:hAnsi="Times New Roman" w:cs="Times New Roman"/>
        </w:rPr>
        <w:t>“</w:t>
      </w:r>
      <w:r w:rsidRPr="006C32CD">
        <w:rPr>
          <w:rFonts w:ascii="Times New Roman" w:hAnsi="Times New Roman" w:cs="Times New Roman"/>
        </w:rPr>
        <w:t>primarily due to the ability to purchase and store spot market natural gas and to sell at cost-based seasonal spreads.</w:t>
      </w:r>
      <w:r>
        <w:rPr>
          <w:rFonts w:ascii="Times New Roman" w:hAnsi="Times New Roman" w:cs="Times New Roman"/>
        </w:rPr>
        <w:t>”</w:t>
      </w:r>
      <w:r w:rsidRPr="006C32CD">
        <w:rPr>
          <w:rFonts w:ascii="Times New Roman" w:hAnsi="Times New Roman" w:cs="Times New Roman"/>
        </w:rPr>
        <w:t>)</w:t>
      </w:r>
    </w:p>
  </w:footnote>
  <w:footnote w:id="7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Supplemental Testimony of James F. Wilson (OCC Ex. 34) filed December 28, 2015 at 14:14-22.</w:t>
      </w:r>
    </w:p>
  </w:footnote>
  <w:footnote w:id="74">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75">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7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7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Brief at 89.</w:t>
      </w:r>
    </w:p>
  </w:footnote>
  <w:footnote w:id="7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Supplemental Testimony of James F. Wilson (OCC Ex. 34) filed December 28, 2015 at 13:9-11.</w:t>
      </w:r>
    </w:p>
  </w:footnote>
  <w:footnote w:id="7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Id.</w:t>
      </w:r>
      <w:r w:rsidRPr="006C32CD">
        <w:rPr>
          <w:rFonts w:ascii="Times New Roman" w:hAnsi="Times New Roman" w:cs="Times New Roman"/>
        </w:rPr>
        <w:t xml:space="preserve"> at 13:14-16.</w:t>
      </w:r>
    </w:p>
  </w:footnote>
  <w:footnote w:id="8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Id.</w:t>
      </w:r>
      <w:r w:rsidRPr="006C32CD">
        <w:rPr>
          <w:rFonts w:ascii="Times New Roman" w:hAnsi="Times New Roman" w:cs="Times New Roman"/>
        </w:rPr>
        <w:t xml:space="preserve"> at 13:17-10.</w:t>
      </w:r>
    </w:p>
  </w:footnote>
  <w:footnote w:id="8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90.</w:t>
      </w:r>
    </w:p>
  </w:footnote>
  <w:footnote w:id="8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James F. Wilson (OCC Ex. 15) filed September 11, 2015 at 54:4-12.</w:t>
      </w:r>
    </w:p>
  </w:footnote>
  <w:footnote w:id="8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51:4-52:5.</w:t>
      </w:r>
    </w:p>
  </w:footnote>
  <w:footnote w:id="8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Hearing Transcript at Vol. XV, p. 3817:23-3818:3.</w:t>
      </w:r>
    </w:p>
  </w:footnote>
  <w:footnote w:id="8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Pr>
          <w:rFonts w:ascii="Times New Roman" w:hAnsi="Times New Roman" w:cs="Times New Roman"/>
          <w:i/>
        </w:rPr>
        <w:t xml:space="preserve">id. </w:t>
      </w:r>
      <w:r>
        <w:rPr>
          <w:rFonts w:ascii="Times New Roman" w:hAnsi="Times New Roman" w:cs="Times New Roman"/>
        </w:rPr>
        <w:t>at</w:t>
      </w:r>
      <w:r w:rsidRPr="006C32CD">
        <w:rPr>
          <w:rFonts w:ascii="Times New Roman" w:hAnsi="Times New Roman" w:cs="Times New Roman"/>
        </w:rPr>
        <w:t xml:space="preserve"> p. 3819:10-19.</w:t>
      </w:r>
    </w:p>
  </w:footnote>
  <w:footnote w:id="8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Pr>
          <w:rFonts w:ascii="Times New Roman" w:hAnsi="Times New Roman" w:cs="Times New Roman"/>
          <w:i/>
        </w:rPr>
        <w:t xml:space="preserve">id. </w:t>
      </w:r>
      <w:r>
        <w:rPr>
          <w:rFonts w:ascii="Times New Roman" w:hAnsi="Times New Roman" w:cs="Times New Roman"/>
        </w:rPr>
        <w:t xml:space="preserve">at </w:t>
      </w:r>
      <w:r w:rsidRPr="006C32CD">
        <w:rPr>
          <w:rFonts w:ascii="Times New Roman" w:hAnsi="Times New Roman" w:cs="Times New Roman"/>
        </w:rPr>
        <w:t>p. 3819:4-9 (</w:t>
      </w:r>
      <w:r>
        <w:rPr>
          <w:rFonts w:ascii="Times New Roman" w:hAnsi="Times New Roman" w:cs="Times New Roman"/>
        </w:rPr>
        <w:t>“</w:t>
      </w:r>
      <w:r w:rsidRPr="006C32CD">
        <w:rPr>
          <w:rFonts w:ascii="Times New Roman" w:hAnsi="Times New Roman" w:cs="Times New Roman"/>
        </w:rPr>
        <w:t>There aren</w:t>
      </w:r>
      <w:r>
        <w:rPr>
          <w:rFonts w:ascii="Times New Roman" w:hAnsi="Times New Roman" w:cs="Times New Roman"/>
        </w:rPr>
        <w:t>’</w:t>
      </w:r>
      <w:r w:rsidRPr="006C32CD">
        <w:rPr>
          <w:rFonts w:ascii="Times New Roman" w:hAnsi="Times New Roman" w:cs="Times New Roman"/>
        </w:rPr>
        <w:t>t forward prices for those months [November 2020 through December 2024] for AD Hub day-ahead.</w:t>
      </w:r>
      <w:r>
        <w:rPr>
          <w:rFonts w:ascii="Times New Roman" w:hAnsi="Times New Roman" w:cs="Times New Roman"/>
        </w:rPr>
        <w:t>”</w:t>
      </w:r>
      <w:r w:rsidRPr="006C32CD">
        <w:rPr>
          <w:rFonts w:ascii="Times New Roman" w:hAnsi="Times New Roman" w:cs="Times New Roman"/>
        </w:rPr>
        <w:t>)</w:t>
      </w:r>
    </w:p>
  </w:footnote>
  <w:footnote w:id="8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3E3AD8">
        <w:rPr>
          <w:rFonts w:ascii="Times New Roman" w:hAnsi="Times New Roman" w:cs="Times New Roman"/>
          <w:i/>
        </w:rPr>
        <w:t xml:space="preserve">See </w:t>
      </w:r>
      <w:r w:rsidR="003E3AD8" w:rsidRPr="003E3AD8">
        <w:rPr>
          <w:rFonts w:ascii="Times New Roman" w:hAnsi="Times New Roman" w:cs="Times New Roman"/>
        </w:rPr>
        <w:t>Redacted Public Version of Hearing</w:t>
      </w:r>
      <w:r w:rsidRPr="003E3AD8">
        <w:rPr>
          <w:rFonts w:ascii="Times New Roman" w:hAnsi="Times New Roman" w:cs="Times New Roman"/>
        </w:rPr>
        <w:t xml:space="preserve"> Transcript at Vol. XXII, p. 5521:12-19.</w:t>
      </w:r>
    </w:p>
  </w:footnote>
  <w:footnote w:id="8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90-91.</w:t>
      </w:r>
    </w:p>
  </w:footnote>
  <w:footnote w:id="89">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90">
    <w:p w:rsidR="00AE6BD6" w:rsidRPr="006C32CD" w:rsidRDefault="00AE6BD6" w:rsidP="00F02391">
      <w:pPr>
        <w:pStyle w:val="FootnoteText"/>
        <w:spacing w:after="120"/>
        <w:rPr>
          <w:rFonts w:ascii="Times New Roman" w:hAnsi="Times New Roman" w:cs="Times New Roman"/>
          <w:i/>
        </w:rPr>
      </w:pPr>
      <w:r w:rsidRPr="003E3AD8">
        <w:rPr>
          <w:rStyle w:val="FootnoteReference"/>
          <w:rFonts w:ascii="Times New Roman" w:hAnsi="Times New Roman" w:cs="Times New Roman"/>
        </w:rPr>
        <w:footnoteRef/>
      </w:r>
      <w:r w:rsidRPr="003E3AD8">
        <w:rPr>
          <w:rFonts w:ascii="Times New Roman" w:hAnsi="Times New Roman" w:cs="Times New Roman"/>
        </w:rPr>
        <w:t xml:space="preserve"> </w:t>
      </w:r>
      <w:r w:rsidRPr="003E3AD8">
        <w:rPr>
          <w:rFonts w:ascii="Times New Roman" w:hAnsi="Times New Roman" w:cs="Times New Roman"/>
          <w:i/>
        </w:rPr>
        <w:t xml:space="preserve">See </w:t>
      </w:r>
      <w:r w:rsidR="003E3AD8" w:rsidRPr="003E3AD8">
        <w:rPr>
          <w:rFonts w:ascii="Times New Roman" w:hAnsi="Times New Roman" w:cs="Times New Roman"/>
        </w:rPr>
        <w:t xml:space="preserve">Redacted Public Version of </w:t>
      </w:r>
      <w:r w:rsidRPr="003E3AD8">
        <w:rPr>
          <w:rFonts w:ascii="Times New Roman" w:hAnsi="Times New Roman" w:cs="Times New Roman"/>
        </w:rPr>
        <w:t>Hearing Transcript at Vol. XXII, p. 5521:12-19.</w:t>
      </w:r>
    </w:p>
  </w:footnote>
  <w:footnote w:id="91">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Post-Hearing Brief of the Ohio Energy Group at 20.</w:t>
      </w:r>
    </w:p>
  </w:footnote>
  <w:footnote w:id="92">
    <w:p w:rsidR="00AE6BD6" w:rsidRDefault="00AE6BD6" w:rsidP="00F02391">
      <w:pPr>
        <w:pStyle w:val="FootnoteText"/>
        <w:spacing w:after="120"/>
      </w:pPr>
      <w:r>
        <w:rPr>
          <w:rStyle w:val="FootnoteReference"/>
        </w:rPr>
        <w:footnoteRef/>
      </w:r>
      <w:r>
        <w:t xml:space="preserve"> </w:t>
      </w:r>
      <w:r>
        <w:rPr>
          <w:rFonts w:ascii="Times New Roman" w:hAnsi="Times New Roman" w:cs="Times New Roman"/>
        </w:rPr>
        <w:t>Brief for Amicus Curiae PJM Interconnection, L.L.C. at 4-7.</w:t>
      </w:r>
    </w:p>
  </w:footnote>
  <w:footnote w:id="9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152-53; </w:t>
      </w:r>
      <w:r w:rsidRPr="006C32CD">
        <w:rPr>
          <w:rFonts w:ascii="Times New Roman" w:hAnsi="Times New Roman" w:cs="Times New Roman"/>
          <w:i/>
        </w:rPr>
        <w:t xml:space="preserve">see also </w:t>
      </w:r>
      <w:r w:rsidRPr="006C32CD">
        <w:rPr>
          <w:rFonts w:ascii="Times New Roman" w:hAnsi="Times New Roman" w:cs="Times New Roman"/>
        </w:rPr>
        <w:t xml:space="preserve">Direct Testimony of Robert B. Fortney (OCC Ex. 32) filed December 28, 2015 at 3:11-5:3.  </w:t>
      </w:r>
    </w:p>
  </w:footnote>
  <w:footnote w:id="9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Direct Testimony of Robert B. Fortney (OCC Ex. 32) filed December 28, 2015 at 3:18-21.  </w:t>
      </w:r>
    </w:p>
  </w:footnote>
  <w:footnote w:id="9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Id. </w:t>
      </w:r>
      <w:r w:rsidRPr="006C32CD">
        <w:rPr>
          <w:rFonts w:ascii="Times New Roman" w:hAnsi="Times New Roman" w:cs="Times New Roman"/>
        </w:rPr>
        <w:t xml:space="preserve">at 3:21-22.  </w:t>
      </w:r>
    </w:p>
  </w:footnote>
  <w:footnote w:id="96">
    <w:p w:rsidR="00AE6BD6" w:rsidRPr="006C32CD" w:rsidRDefault="00AE6BD6" w:rsidP="00F02391">
      <w:pPr>
        <w:spacing w:after="120" w:line="240" w:lineRule="auto"/>
        <w:rPr>
          <w:rFonts w:ascii="Times New Roman" w:hAnsi="Times New Roman" w:cs="Times New Roman"/>
          <w:sz w:val="20"/>
          <w:szCs w:val="20"/>
        </w:rPr>
      </w:pPr>
      <w:r w:rsidRPr="006C32CD">
        <w:rPr>
          <w:rStyle w:val="FootnoteReference"/>
          <w:rFonts w:ascii="Times New Roman" w:hAnsi="Times New Roman" w:cs="Times New Roman"/>
          <w:sz w:val="20"/>
          <w:szCs w:val="20"/>
        </w:rPr>
        <w:footnoteRef/>
      </w:r>
      <w:r w:rsidRPr="006C32CD">
        <w:rPr>
          <w:rFonts w:ascii="Times New Roman" w:hAnsi="Times New Roman" w:cs="Times New Roman"/>
          <w:sz w:val="20"/>
          <w:szCs w:val="20"/>
        </w:rPr>
        <w:t xml:space="preserve"> </w:t>
      </w:r>
      <w:r w:rsidRPr="006C32CD">
        <w:rPr>
          <w:rFonts w:ascii="Times New Roman" w:hAnsi="Times New Roman" w:cs="Times New Roman"/>
          <w:i/>
          <w:sz w:val="20"/>
          <w:szCs w:val="20"/>
        </w:rPr>
        <w:t xml:space="preserve">Id. </w:t>
      </w:r>
      <w:r w:rsidRPr="006C32CD">
        <w:rPr>
          <w:rFonts w:ascii="Times New Roman" w:hAnsi="Times New Roman" w:cs="Times New Roman"/>
          <w:sz w:val="20"/>
          <w:szCs w:val="20"/>
        </w:rPr>
        <w:t>at 4:20-5:3.</w:t>
      </w:r>
    </w:p>
  </w:footnote>
  <w:footnote w:id="9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153.  </w:t>
      </w:r>
    </w:p>
  </w:footnote>
  <w:footnote w:id="9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r>
        <w:rPr>
          <w:rFonts w:ascii="Times New Roman" w:hAnsi="Times New Roman" w:cs="Times New Roman"/>
          <w:i/>
        </w:rPr>
        <w:t xml:space="preserve"> </w:t>
      </w:r>
      <w:r>
        <w:rPr>
          <w:rFonts w:ascii="Times New Roman" w:hAnsi="Times New Roman" w:cs="Times New Roman"/>
        </w:rPr>
        <w:t xml:space="preserve">(discussing </w:t>
      </w:r>
      <w:r w:rsidRPr="00E566F6">
        <w:rPr>
          <w:rFonts w:ascii="Times New Roman" w:hAnsi="Times New Roman" w:cs="Times New Roman"/>
        </w:rPr>
        <w:t>“Memorandum Contra Ohio Power Company’s Application for Rehearing and Request for Clarification by the Office of the Ohio Consumers’ Counsel” filed April 6, 2015 in Case No.13-2385-EL-SSO).</w:t>
      </w:r>
      <w:r w:rsidRPr="006C32CD">
        <w:rPr>
          <w:rFonts w:ascii="Times New Roman" w:hAnsi="Times New Roman" w:cs="Times New Roman"/>
          <w:i/>
        </w:rPr>
        <w:t xml:space="preserve">  </w:t>
      </w:r>
    </w:p>
  </w:footnote>
  <w:footnote w:id="9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ESP III, OCC Mem. Contra AEP Ohio AFR filed April 6, 2015 at 28.</w:t>
      </w:r>
    </w:p>
  </w:footnote>
  <w:footnote w:id="10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Direct Testimony of Robert B. Fortney (OCC Ex. 32) filed December 28, 2015 at 3:21-22.  </w:t>
      </w:r>
    </w:p>
  </w:footnote>
  <w:footnote w:id="10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ESP III at Second Order on Rehearing at 12 (May 28, 2015).  </w:t>
      </w:r>
    </w:p>
  </w:footnote>
  <w:footnote w:id="10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p>
  </w:footnote>
  <w:footnote w:id="10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153-54.  </w:t>
      </w:r>
    </w:p>
  </w:footnote>
  <w:footnote w:id="10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Direct Testimony of Robert B. Fortney (OCC Ex. 32) filed December 28, 2015 at 2:1-12.  </w:t>
      </w:r>
    </w:p>
  </w:footnote>
  <w:footnote w:id="10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154.  </w:t>
      </w:r>
    </w:p>
  </w:footnote>
  <w:footnote w:id="10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e.g., </w:t>
      </w:r>
      <w:r w:rsidRPr="006C32CD">
        <w:rPr>
          <w:rFonts w:ascii="Times New Roman" w:hAnsi="Times New Roman" w:cs="Times New Roman"/>
        </w:rPr>
        <w:t xml:space="preserve">Hearing Transcript at Vol. XXI, p. 5378:9-11.  </w:t>
      </w:r>
    </w:p>
  </w:footnote>
  <w:footnote w:id="10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E566F6">
        <w:rPr>
          <w:rFonts w:ascii="Times New Roman" w:hAnsi="Times New Roman" w:cs="Times New Roman"/>
          <w:i/>
        </w:rPr>
        <w:t xml:space="preserve">See </w:t>
      </w:r>
      <w:r w:rsidRPr="00E566F6">
        <w:rPr>
          <w:rFonts w:ascii="Times New Roman" w:hAnsi="Times New Roman" w:cs="Times New Roman"/>
        </w:rPr>
        <w:t>Confidential Direct Testimony of Robert B. Fortney (OCC Ex. 33) filed December 28, 2015 at 5:13-6:5.</w:t>
      </w:r>
      <w:r w:rsidRPr="006C32CD">
        <w:rPr>
          <w:rFonts w:ascii="Times New Roman" w:hAnsi="Times New Roman" w:cs="Times New Roman"/>
        </w:rPr>
        <w:t xml:space="preserve">   </w:t>
      </w:r>
    </w:p>
  </w:footnote>
  <w:footnote w:id="108">
    <w:p w:rsidR="00AE6BD6" w:rsidRPr="006C32CD" w:rsidRDefault="00AE6BD6" w:rsidP="00F02391">
      <w:pPr>
        <w:spacing w:after="120" w:line="240" w:lineRule="auto"/>
        <w:rPr>
          <w:rFonts w:ascii="Times New Roman" w:hAnsi="Times New Roman" w:cs="Times New Roman"/>
          <w:sz w:val="20"/>
          <w:szCs w:val="20"/>
        </w:rPr>
      </w:pPr>
      <w:r w:rsidRPr="006C32CD">
        <w:rPr>
          <w:rStyle w:val="FootnoteReference"/>
          <w:rFonts w:ascii="Times New Roman" w:hAnsi="Times New Roman" w:cs="Times New Roman"/>
          <w:sz w:val="20"/>
          <w:szCs w:val="20"/>
        </w:rPr>
        <w:footnoteRef/>
      </w:r>
      <w:r w:rsidRPr="006C32CD">
        <w:rPr>
          <w:rFonts w:ascii="Times New Roman" w:hAnsi="Times New Roman" w:cs="Times New Roman"/>
          <w:sz w:val="20"/>
          <w:szCs w:val="20"/>
        </w:rPr>
        <w:t xml:space="preserve"> </w:t>
      </w:r>
      <w:r w:rsidRPr="006C32CD">
        <w:rPr>
          <w:rFonts w:ascii="Times New Roman" w:hAnsi="Times New Roman" w:cs="Times New Roman"/>
          <w:i/>
          <w:sz w:val="20"/>
          <w:szCs w:val="20"/>
        </w:rPr>
        <w:t xml:space="preserve">Compare </w:t>
      </w:r>
      <w:r w:rsidRPr="006C32CD">
        <w:rPr>
          <w:rFonts w:ascii="Times New Roman" w:hAnsi="Times New Roman" w:cs="Times New Roman"/>
          <w:sz w:val="20"/>
          <w:szCs w:val="20"/>
        </w:rPr>
        <w:t xml:space="preserve">Hearing Transcript at Vol. XXI, p. 5378:9-11 (recommending energy allocation) </w:t>
      </w:r>
      <w:r w:rsidRPr="006C32CD">
        <w:rPr>
          <w:rFonts w:ascii="Times New Roman" w:hAnsi="Times New Roman" w:cs="Times New Roman"/>
          <w:i/>
          <w:sz w:val="20"/>
          <w:szCs w:val="20"/>
        </w:rPr>
        <w:t xml:space="preserve">with id. </w:t>
      </w:r>
      <w:r w:rsidRPr="006C32CD">
        <w:rPr>
          <w:rFonts w:ascii="Times New Roman" w:hAnsi="Times New Roman" w:cs="Times New Roman"/>
          <w:sz w:val="20"/>
          <w:szCs w:val="20"/>
        </w:rPr>
        <w:t>at 5380:18-5382:9 (no analysis regarding allocation based on combination of demand and energy).</w:t>
      </w:r>
    </w:p>
  </w:footnote>
  <w:footnote w:id="10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27, n. 6.  </w:t>
      </w:r>
    </w:p>
  </w:footnote>
  <w:footnote w:id="11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Hearing Transcript at </w:t>
      </w:r>
      <w:r>
        <w:rPr>
          <w:rFonts w:ascii="Times New Roman" w:hAnsi="Times New Roman" w:cs="Times New Roman"/>
        </w:rPr>
        <w:t xml:space="preserve">Vol. </w:t>
      </w:r>
      <w:r w:rsidRPr="006C32CD">
        <w:rPr>
          <w:rFonts w:ascii="Times New Roman" w:hAnsi="Times New Roman" w:cs="Times New Roman"/>
        </w:rPr>
        <w:t xml:space="preserve">XXII, p. 5624:14.  </w:t>
      </w:r>
    </w:p>
  </w:footnote>
  <w:footnote w:id="11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Dr. Noah C. Dormady (OCC Ex. 10) filed September 11, 2015 at 1:7-2:15 (describing Dr. Dormady</w:t>
      </w:r>
      <w:r>
        <w:rPr>
          <w:rFonts w:ascii="Times New Roman" w:hAnsi="Times New Roman" w:cs="Times New Roman"/>
        </w:rPr>
        <w:t>’</w:t>
      </w:r>
      <w:r w:rsidRPr="006C32CD">
        <w:rPr>
          <w:rFonts w:ascii="Times New Roman" w:hAnsi="Times New Roman" w:cs="Times New Roman"/>
        </w:rPr>
        <w:t xml:space="preserve">s credentials and real-world experience consulting on economic impacts of environmental and energy policies).  </w:t>
      </w:r>
    </w:p>
  </w:footnote>
  <w:footnote w:id="11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r w:rsidRPr="006C32CD">
        <w:rPr>
          <w:rFonts w:ascii="Times New Roman" w:hAnsi="Times New Roman" w:cs="Times New Roman"/>
        </w:rPr>
        <w:t xml:space="preserve">; </w:t>
      </w:r>
      <w:r w:rsidRPr="006C32CD">
        <w:rPr>
          <w:rFonts w:ascii="Times New Roman" w:hAnsi="Times New Roman" w:cs="Times New Roman"/>
          <w:i/>
        </w:rPr>
        <w:t xml:space="preserve">see also </w:t>
      </w:r>
      <w:r w:rsidRPr="006C32CD">
        <w:rPr>
          <w:rFonts w:ascii="Times New Roman" w:hAnsi="Times New Roman" w:cs="Times New Roman"/>
        </w:rPr>
        <w:t xml:space="preserve">Direct Testimony of Dr. Noah C. Dormady (OCC Ex. 36) filed December 28, 2015.      </w:t>
      </w:r>
    </w:p>
  </w:footnote>
  <w:footnote w:id="11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55-56.  </w:t>
      </w:r>
    </w:p>
  </w:footnote>
  <w:footnote w:id="11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Dr. Noah C. Dormady (OCC Ex. 10) filed September 11, 2015.</w:t>
      </w:r>
    </w:p>
  </w:footnote>
  <w:footnote w:id="11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e.g., </w:t>
      </w:r>
      <w:r w:rsidRPr="006C32CD">
        <w:rPr>
          <w:rFonts w:ascii="Times New Roman" w:hAnsi="Times New Roman" w:cs="Times New Roman"/>
        </w:rPr>
        <w:t xml:space="preserve">R.C. 4928.143(C)(1); </w:t>
      </w:r>
      <w:r w:rsidRPr="006C32CD">
        <w:rPr>
          <w:rFonts w:ascii="Times New Roman" w:hAnsi="Times New Roman" w:cs="Times New Roman"/>
          <w:i/>
        </w:rPr>
        <w:t>In the Matter of the Application of The Ohio Bell Telephone Company for Authority to Amend Certain of its Intrastate Tariffs to Increase and Adjust its Rates and Charges and to Change its Regulations</w:t>
      </w:r>
      <w:r w:rsidRPr="006C32CD">
        <w:rPr>
          <w:rFonts w:ascii="Times New Roman" w:hAnsi="Times New Roman" w:cs="Times New Roman"/>
        </w:rPr>
        <w:t xml:space="preserve">, 1985 Ohio PUC Lexis 7, 91 (PUCO Case No. 84-1435-TP-AIR); </w:t>
      </w:r>
      <w:r w:rsidRPr="006C32CD">
        <w:rPr>
          <w:rFonts w:ascii="Times New Roman" w:hAnsi="Times New Roman" w:cs="Times New Roman"/>
          <w:i/>
        </w:rPr>
        <w:t>In the Matter of the Application of the Ottoville Mutual Telephone Company for Authority to Increase its Rates and Charges and to Revise its Tariffs on an Emergency and Temporary Basis Pursuant to Section 4909.16 Revised Code</w:t>
      </w:r>
      <w:r w:rsidRPr="006C32CD">
        <w:rPr>
          <w:rFonts w:ascii="Times New Roman" w:hAnsi="Times New Roman" w:cs="Times New Roman"/>
        </w:rPr>
        <w:t>, 1973 Ohio PUC Lexis 3, 4 (PUCO Case No. 73-356-Y) (</w:t>
      </w:r>
      <w:r>
        <w:rPr>
          <w:rFonts w:ascii="Times New Roman" w:hAnsi="Times New Roman" w:cs="Times New Roman"/>
        </w:rPr>
        <w:t>“</w:t>
      </w:r>
      <w:r w:rsidRPr="006C32CD">
        <w:rPr>
          <w:rFonts w:ascii="Times New Roman" w:hAnsi="Times New Roman" w:cs="Times New Roman"/>
        </w:rPr>
        <w:t>Although the applicant must shoulder the burden of proof in every application proceeding before the Commission, this burden takes on an added dimension in the context of an emergency rate case.</w:t>
      </w:r>
      <w:r>
        <w:rPr>
          <w:rFonts w:ascii="Times New Roman" w:hAnsi="Times New Roman" w:cs="Times New Roman"/>
        </w:rPr>
        <w:t>”</w:t>
      </w:r>
      <w:r w:rsidRPr="006C32CD">
        <w:rPr>
          <w:rFonts w:ascii="Times New Roman" w:hAnsi="Times New Roman" w:cs="Times New Roman"/>
        </w:rPr>
        <w:t xml:space="preserve">).  </w:t>
      </w:r>
    </w:p>
  </w:footnote>
  <w:footnote w:id="11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As OCC Witness Dorm</w:t>
      </w:r>
      <w:r>
        <w:rPr>
          <w:rFonts w:ascii="Times New Roman" w:hAnsi="Times New Roman" w:cs="Times New Roman"/>
        </w:rPr>
        <w:t>a</w:t>
      </w:r>
      <w:r w:rsidRPr="006C32CD">
        <w:rPr>
          <w:rFonts w:ascii="Times New Roman" w:hAnsi="Times New Roman" w:cs="Times New Roman"/>
        </w:rPr>
        <w:t xml:space="preserve">dy said, such impact could be negative – or positive.  </w:t>
      </w:r>
      <w:r w:rsidRPr="006C32CD">
        <w:rPr>
          <w:rFonts w:ascii="Times New Roman" w:hAnsi="Times New Roman" w:cs="Times New Roman"/>
          <w:i/>
        </w:rPr>
        <w:t xml:space="preserve">See </w:t>
      </w:r>
      <w:r w:rsidRPr="006C32CD">
        <w:rPr>
          <w:rFonts w:ascii="Times New Roman" w:hAnsi="Times New Roman" w:cs="Times New Roman"/>
        </w:rPr>
        <w:t xml:space="preserve">Hearing Transcript at Vol. IX, p. 2329:6-15.  </w:t>
      </w:r>
    </w:p>
  </w:footnote>
  <w:footnote w:id="11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Direct Testimony of James E. Wilson (OCC Ex. 15) filed September 11, 2015 at p. 13; Direct Testimony of James F. Wilson (OCC Ex. 34) filed December 28, 2015 at 7 (if Joint Stipulation approved).  </w:t>
      </w:r>
    </w:p>
  </w:footnote>
  <w:footnote w:id="11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ESP III Opinion and Order at 25 (italics added).</w:t>
      </w:r>
    </w:p>
  </w:footnote>
  <w:footnote w:id="119">
    <w:p w:rsidR="00AE6BD6" w:rsidRPr="00514D38"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154-55 (Competition Incentive Rider, converting Conesville Units 5 and 6, and renewable energy proposals).  It should come as no surprise that some parties advocate now, in this proceeding, that AEP Ohio proposals that will be made in the future should be approved.  </w:t>
      </w:r>
      <w:r w:rsidRPr="006C32CD">
        <w:rPr>
          <w:rFonts w:ascii="Times New Roman" w:hAnsi="Times New Roman" w:cs="Times New Roman"/>
          <w:i/>
        </w:rPr>
        <w:t xml:space="preserve">See, e.g., </w:t>
      </w:r>
      <w:r w:rsidRPr="006C32CD">
        <w:rPr>
          <w:rFonts w:ascii="Times New Roman" w:hAnsi="Times New Roman" w:cs="Times New Roman"/>
        </w:rPr>
        <w:t>Post-Hearing Brief of the Ohio Energy Group at 8-11.  Further, AEP Ohio</w:t>
      </w:r>
      <w:r>
        <w:rPr>
          <w:rFonts w:ascii="Times New Roman" w:hAnsi="Times New Roman" w:cs="Times New Roman"/>
        </w:rPr>
        <w:t>’</w:t>
      </w:r>
      <w:r w:rsidRPr="006C32CD">
        <w:rPr>
          <w:rFonts w:ascii="Times New Roman" w:hAnsi="Times New Roman" w:cs="Times New Roman"/>
        </w:rPr>
        <w:t xml:space="preserve">s invitation to the PUCO to </w:t>
      </w:r>
      <w:r>
        <w:rPr>
          <w:rFonts w:ascii="Times New Roman" w:hAnsi="Times New Roman" w:cs="Times New Roman"/>
        </w:rPr>
        <w:t>“</w:t>
      </w:r>
      <w:r w:rsidRPr="006C32CD">
        <w:rPr>
          <w:rFonts w:ascii="Times New Roman" w:hAnsi="Times New Roman" w:cs="Times New Roman"/>
        </w:rPr>
        <w:t>punt</w:t>
      </w:r>
      <w:r>
        <w:rPr>
          <w:rFonts w:ascii="Times New Roman" w:hAnsi="Times New Roman" w:cs="Times New Roman"/>
        </w:rPr>
        <w:t>”</w:t>
      </w:r>
      <w:r w:rsidRPr="006C32CD">
        <w:rPr>
          <w:rFonts w:ascii="Times New Roman" w:hAnsi="Times New Roman" w:cs="Times New Roman"/>
        </w:rPr>
        <w:t xml:space="preserve"> on the vast majority of the Joint Stipulation</w:t>
      </w:r>
      <w:r>
        <w:rPr>
          <w:rFonts w:ascii="Times New Roman" w:hAnsi="Times New Roman" w:cs="Times New Roman"/>
        </w:rPr>
        <w:t>’</w:t>
      </w:r>
      <w:r w:rsidRPr="006C32CD">
        <w:rPr>
          <w:rFonts w:ascii="Times New Roman" w:hAnsi="Times New Roman" w:cs="Times New Roman"/>
        </w:rPr>
        <w:t>s provisions because they can be addressed in a future proceeding should be declined.  The potential cost for denying a provision subject to a future filing is so high that, in reality, the PUCO will have a hard time doing it.  For example, if the PUCO denies AEP Ohio</w:t>
      </w:r>
      <w:r>
        <w:rPr>
          <w:rFonts w:ascii="Times New Roman" w:hAnsi="Times New Roman" w:cs="Times New Roman"/>
        </w:rPr>
        <w:t>’</w:t>
      </w:r>
      <w:r w:rsidRPr="006C32CD">
        <w:rPr>
          <w:rFonts w:ascii="Times New Roman" w:hAnsi="Times New Roman" w:cs="Times New Roman"/>
        </w:rPr>
        <w:t xml:space="preserve">s request to include in its extended ESP any of the provisions and features specified in Section III.C of the Joint Stipulation, any adversely affected Signatory Party agrees to work in good faith with AEP Ohio to develop new provisions.  </w:t>
      </w:r>
      <w:r w:rsidRPr="006C32CD">
        <w:rPr>
          <w:rFonts w:ascii="Times New Roman" w:hAnsi="Times New Roman" w:cs="Times New Roman"/>
          <w:i/>
        </w:rPr>
        <w:t xml:space="preserve">See </w:t>
      </w:r>
      <w:r w:rsidRPr="006C32CD">
        <w:rPr>
          <w:rFonts w:ascii="Times New Roman" w:hAnsi="Times New Roman" w:cs="Times New Roman"/>
        </w:rPr>
        <w:t xml:space="preserve">Joint Ex. 1 at 37I.  If such Signatory Parties are unable to reach agreement, each of those Signatory Parties may petition the PUCO for appropriate relief.  </w:t>
      </w:r>
      <w:r w:rsidRPr="006C32CD">
        <w:rPr>
          <w:rFonts w:ascii="Times New Roman" w:hAnsi="Times New Roman" w:cs="Times New Roman"/>
          <w:i/>
        </w:rPr>
        <w:t xml:space="preserve">See id. </w:t>
      </w:r>
      <w:r w:rsidRPr="006C32CD">
        <w:rPr>
          <w:rFonts w:ascii="Times New Roman" w:hAnsi="Times New Roman" w:cs="Times New Roman"/>
        </w:rPr>
        <w:t xml:space="preserve"> Such relief is proposed to be </w:t>
      </w:r>
      <w:r>
        <w:rPr>
          <w:rFonts w:ascii="Times New Roman" w:hAnsi="Times New Roman" w:cs="Times New Roman"/>
        </w:rPr>
        <w:t>“</w:t>
      </w:r>
      <w:r w:rsidRPr="006C32CD">
        <w:rPr>
          <w:rFonts w:ascii="Times New Roman" w:hAnsi="Times New Roman" w:cs="Times New Roman"/>
        </w:rPr>
        <w:t>limited to the equivalent value of the specific provision that is not included in the Company</w:t>
      </w:r>
      <w:r>
        <w:rPr>
          <w:rFonts w:ascii="Times New Roman" w:hAnsi="Times New Roman" w:cs="Times New Roman"/>
        </w:rPr>
        <w:t>’</w:t>
      </w:r>
      <w:r w:rsidRPr="006C32CD">
        <w:rPr>
          <w:rFonts w:ascii="Times New Roman" w:hAnsi="Times New Roman" w:cs="Times New Roman"/>
        </w:rPr>
        <w:t>s extended ESP.</w:t>
      </w:r>
      <w:r>
        <w:rPr>
          <w:rFonts w:ascii="Times New Roman" w:hAnsi="Times New Roman" w:cs="Times New Roman"/>
        </w:rPr>
        <w:t>”</w:t>
      </w:r>
      <w:r w:rsidRPr="006C32CD">
        <w:rPr>
          <w:rFonts w:ascii="Times New Roman" w:hAnsi="Times New Roman" w:cs="Times New Roman"/>
        </w:rPr>
        <w:t xml:space="preserve">  </w:t>
      </w:r>
      <w:r>
        <w:rPr>
          <w:rFonts w:ascii="Times New Roman" w:hAnsi="Times New Roman" w:cs="Times New Roman"/>
          <w:i/>
        </w:rPr>
        <w:t xml:space="preserve">See id.  </w:t>
      </w:r>
      <w:r>
        <w:rPr>
          <w:rFonts w:ascii="Times New Roman" w:hAnsi="Times New Roman" w:cs="Times New Roman"/>
        </w:rPr>
        <w:t>Accordingly, OCC Witness Dormady’s testimony (as others’) should be considered here.</w:t>
      </w:r>
    </w:p>
  </w:footnote>
  <w:footnote w:id="12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Direct Testimony of Dr. Noah C. Dormady (OCC Ex. 36) filed December 28, 2015 at 18.  </w:t>
      </w:r>
    </w:p>
  </w:footnote>
  <w:footnote w:id="12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 xml:space="preserve">at 8-13 (Competition Incentive Rider); </w:t>
      </w:r>
      <w:r w:rsidRPr="006C32CD">
        <w:rPr>
          <w:rFonts w:ascii="Times New Roman" w:hAnsi="Times New Roman" w:cs="Times New Roman"/>
          <w:i/>
        </w:rPr>
        <w:t xml:space="preserve">id. </w:t>
      </w:r>
      <w:r w:rsidRPr="006C32CD">
        <w:rPr>
          <w:rFonts w:ascii="Times New Roman" w:hAnsi="Times New Roman" w:cs="Times New Roman"/>
        </w:rPr>
        <w:t xml:space="preserve">at 5-7 (converting Conesville Units 5 and 6); </w:t>
      </w:r>
      <w:r w:rsidRPr="006C32CD">
        <w:rPr>
          <w:rFonts w:ascii="Times New Roman" w:hAnsi="Times New Roman" w:cs="Times New Roman"/>
          <w:i/>
        </w:rPr>
        <w:t xml:space="preserve">id. </w:t>
      </w:r>
      <w:r w:rsidRPr="006C32CD">
        <w:rPr>
          <w:rFonts w:ascii="Times New Roman" w:hAnsi="Times New Roman" w:cs="Times New Roman"/>
        </w:rPr>
        <w:t>at 16-17 (renewable energy proposals).</w:t>
      </w:r>
    </w:p>
  </w:footnote>
  <w:footnote w:id="12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Dr. Daniel J. Duann (OCC Ex. 8) filed September 11, 2015 at p. 4:2-10.</w:t>
      </w:r>
    </w:p>
  </w:footnote>
  <w:footnote w:id="12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37.</w:t>
      </w:r>
    </w:p>
  </w:footnote>
  <w:footnote w:id="12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Dr. Daniel J. Duann (OCC Ex. 8) filed September 11, 2015 at p. 4:2-10.</w:t>
      </w:r>
    </w:p>
  </w:footnote>
  <w:footnote w:id="12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37.</w:t>
      </w:r>
    </w:p>
  </w:footnote>
  <w:footnote w:id="126">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12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Dr. Daniel J. Duann (OCC Ex. 8) filed September 11, 2015 at p. 7:5-13.</w:t>
      </w:r>
    </w:p>
  </w:footnote>
  <w:footnote w:id="12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R.C. 4928.143(C)</w:t>
      </w:r>
    </w:p>
  </w:footnote>
  <w:footnote w:id="12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Brief at 131. </w:t>
      </w:r>
    </w:p>
  </w:footnote>
  <w:footnote w:id="130">
    <w:p w:rsidR="00AE6BD6" w:rsidRPr="00E566F6" w:rsidRDefault="00AE6BD6" w:rsidP="00F02391">
      <w:pPr>
        <w:pStyle w:val="FootnoteText"/>
        <w:spacing w:after="1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Ohio Supreme Court has clarified that when the PUCO is making its determination under the MRO versus ESP test, only the price determined under R.C. 4928.143(B)(1) and the nine specific cost factors listed in R.C. 4928.143(B)(2)(a)-(i) should be considered.  </w:t>
      </w:r>
      <w:r>
        <w:rPr>
          <w:rFonts w:ascii="Times New Roman" w:hAnsi="Times New Roman" w:cs="Times New Roman"/>
          <w:i/>
        </w:rPr>
        <w:t>See In re Application of Columbus S. Power Co.</w:t>
      </w:r>
      <w:r>
        <w:rPr>
          <w:rFonts w:ascii="Times New Roman" w:hAnsi="Times New Roman" w:cs="Times New Roman"/>
        </w:rPr>
        <w:t>, 128 Ohio St. 3d 512 (2011).</w:t>
      </w:r>
    </w:p>
  </w:footnote>
  <w:footnote w:id="13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Ohio Brief at 132.</w:t>
      </w:r>
    </w:p>
  </w:footnote>
  <w:footnote w:id="13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Joint Ex. 1; </w:t>
      </w:r>
      <w:r w:rsidRPr="006C32CD">
        <w:rPr>
          <w:rFonts w:ascii="Times New Roman" w:hAnsi="Times New Roman" w:cs="Times New Roman"/>
          <w:i/>
        </w:rPr>
        <w:t xml:space="preserve">see also </w:t>
      </w:r>
      <w:r w:rsidRPr="006C32CD">
        <w:rPr>
          <w:rFonts w:ascii="Times New Roman" w:hAnsi="Times New Roman" w:cs="Times New Roman"/>
        </w:rPr>
        <w:t>OCC Initial Brief at 32-36; AEP Ohio Brief at 9 (</w:t>
      </w:r>
      <w:r>
        <w:rPr>
          <w:rFonts w:ascii="Times New Roman" w:hAnsi="Times New Roman" w:cs="Times New Roman"/>
        </w:rPr>
        <w:t>“</w:t>
      </w:r>
      <w:r w:rsidRPr="006C32CD">
        <w:rPr>
          <w:rFonts w:ascii="Times New Roman" w:hAnsi="Times New Roman" w:cs="Times New Roman"/>
        </w:rPr>
        <w:t xml:space="preserve">AEP Ohio only committed to </w:t>
      </w:r>
      <w:r w:rsidRPr="006C32CD">
        <w:rPr>
          <w:rFonts w:ascii="Times New Roman" w:hAnsi="Times New Roman" w:cs="Times New Roman"/>
          <w:i/>
        </w:rPr>
        <w:t xml:space="preserve">propose </w:t>
      </w:r>
      <w:r w:rsidRPr="006C32CD">
        <w:rPr>
          <w:rFonts w:ascii="Times New Roman" w:hAnsi="Times New Roman" w:cs="Times New Roman"/>
        </w:rPr>
        <w:t xml:space="preserve">various terms in its ESP III </w:t>
      </w:r>
      <w:r>
        <w:rPr>
          <w:rFonts w:ascii="Times New Roman" w:hAnsi="Times New Roman" w:cs="Times New Roman"/>
        </w:rPr>
        <w:t>extension</w:t>
      </w:r>
      <w:r w:rsidRPr="006C32CD">
        <w:rPr>
          <w:rFonts w:ascii="Times New Roman" w:hAnsi="Times New Roman" w:cs="Times New Roman"/>
        </w:rPr>
        <w:t>.</w:t>
      </w:r>
      <w:r>
        <w:rPr>
          <w:rFonts w:ascii="Times New Roman" w:hAnsi="Times New Roman" w:cs="Times New Roman"/>
        </w:rPr>
        <w:t>”</w:t>
      </w:r>
      <w:r w:rsidRPr="006C32CD">
        <w:rPr>
          <w:rFonts w:ascii="Times New Roman" w:hAnsi="Times New Roman" w:cs="Times New Roman"/>
        </w:rPr>
        <w:t>)</w:t>
      </w:r>
      <w:r>
        <w:rPr>
          <w:rFonts w:ascii="Times New Roman" w:hAnsi="Times New Roman" w:cs="Times New Roman"/>
        </w:rPr>
        <w:t xml:space="preserve"> (italics in original).</w:t>
      </w:r>
    </w:p>
  </w:footnote>
  <w:footnote w:id="13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Brief at 132 (</w:t>
      </w:r>
      <w:r>
        <w:rPr>
          <w:rFonts w:ascii="Times New Roman" w:hAnsi="Times New Roman" w:cs="Times New Roman"/>
        </w:rPr>
        <w:t>“</w:t>
      </w:r>
      <w:r w:rsidRPr="006C32CD">
        <w:rPr>
          <w:rFonts w:ascii="Times New Roman" w:hAnsi="Times New Roman" w:cs="Times New Roman"/>
        </w:rPr>
        <w:t>That position[referring to Hixon</w:t>
      </w:r>
      <w:r>
        <w:rPr>
          <w:rFonts w:ascii="Times New Roman" w:hAnsi="Times New Roman" w:cs="Times New Roman"/>
        </w:rPr>
        <w:t>’</w:t>
      </w:r>
      <w:r w:rsidRPr="006C32CD">
        <w:rPr>
          <w:rFonts w:ascii="Times New Roman" w:hAnsi="Times New Roman" w:cs="Times New Roman"/>
        </w:rPr>
        <w:t>s testimony], of course, disregards the PPA Rider</w:t>
      </w:r>
      <w:r>
        <w:rPr>
          <w:rFonts w:ascii="Times New Roman" w:hAnsi="Times New Roman" w:cs="Times New Roman"/>
        </w:rPr>
        <w:t>’</w:t>
      </w:r>
      <w:r w:rsidRPr="006C32CD">
        <w:rPr>
          <w:rFonts w:ascii="Times New Roman" w:hAnsi="Times New Roman" w:cs="Times New Roman"/>
        </w:rPr>
        <w:t>s substantial benefits, which the Commission must consider both in deciding whether to approve the rider and in considering the rider</w:t>
      </w:r>
      <w:r>
        <w:rPr>
          <w:rFonts w:ascii="Times New Roman" w:hAnsi="Times New Roman" w:cs="Times New Roman"/>
        </w:rPr>
        <w:t>’</w:t>
      </w:r>
      <w:r w:rsidRPr="006C32CD">
        <w:rPr>
          <w:rFonts w:ascii="Times New Roman" w:hAnsi="Times New Roman" w:cs="Times New Roman"/>
        </w:rPr>
        <w:t>s impact on the MRO test</w:t>
      </w:r>
      <w:r>
        <w:rPr>
          <w:rFonts w:ascii="Times New Roman" w:hAnsi="Times New Roman" w:cs="Times New Roman"/>
        </w:rPr>
        <w:t>”</w:t>
      </w:r>
      <w:r w:rsidRPr="006C32CD">
        <w:rPr>
          <w:rFonts w:ascii="Times New Roman" w:hAnsi="Times New Roman" w:cs="Times New Roman"/>
        </w:rPr>
        <w:t>).</w:t>
      </w:r>
    </w:p>
  </w:footnote>
  <w:footnote w:id="134">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OCC Brief at 33, eighth bullet point.</w:t>
      </w:r>
    </w:p>
  </w:footnote>
  <w:footnote w:id="13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r w:rsidRPr="006C32CD">
        <w:rPr>
          <w:rFonts w:ascii="Times New Roman" w:hAnsi="Times New Roman" w:cs="Times New Roman"/>
        </w:rPr>
        <w:t xml:space="preserve"> at 32, second bullet point.</w:t>
      </w:r>
    </w:p>
  </w:footnote>
  <w:footnote w:id="13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33, third bullet point.</w:t>
      </w:r>
    </w:p>
  </w:footnote>
  <w:footnote w:id="13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r w:rsidRPr="006C32CD">
        <w:rPr>
          <w:rFonts w:ascii="Times New Roman" w:hAnsi="Times New Roman" w:cs="Times New Roman"/>
        </w:rPr>
        <w:t xml:space="preserve"> at 33, fifth bullet point.</w:t>
      </w:r>
    </w:p>
  </w:footnote>
  <w:footnote w:id="13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AEP </w:t>
      </w:r>
      <w:r>
        <w:rPr>
          <w:rFonts w:ascii="Times New Roman" w:hAnsi="Times New Roman" w:cs="Times New Roman"/>
        </w:rPr>
        <w:t xml:space="preserve">Ohio </w:t>
      </w:r>
      <w:r w:rsidRPr="006C32CD">
        <w:rPr>
          <w:rFonts w:ascii="Times New Roman" w:hAnsi="Times New Roman" w:cs="Times New Roman"/>
        </w:rPr>
        <w:t>Brief 27.</w:t>
      </w:r>
    </w:p>
  </w:footnote>
  <w:footnote w:id="13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Direct Testimony of Michael P. Haugh (OCC Ex. </w:t>
      </w:r>
      <w:r>
        <w:rPr>
          <w:rFonts w:ascii="Times New Roman" w:hAnsi="Times New Roman" w:cs="Times New Roman"/>
        </w:rPr>
        <w:t>33</w:t>
      </w:r>
      <w:r w:rsidRPr="006C32CD">
        <w:rPr>
          <w:rFonts w:ascii="Times New Roman" w:hAnsi="Times New Roman" w:cs="Times New Roman"/>
        </w:rPr>
        <w:t>) filed on December 28, 2015 at p.7:5-8.</w:t>
      </w:r>
    </w:p>
  </w:footnote>
  <w:footnote w:id="14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Id.</w:t>
      </w:r>
      <w:r w:rsidRPr="006C32CD">
        <w:rPr>
          <w:rFonts w:ascii="Times New Roman" w:hAnsi="Times New Roman" w:cs="Times New Roman"/>
        </w:rPr>
        <w:t xml:space="preserve"> p. 7:8-11.</w:t>
      </w:r>
    </w:p>
  </w:footnote>
  <w:footnote w:id="14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Hearing Transcript at Vol. p. 5428:18-22.</w:t>
      </w:r>
    </w:p>
  </w:footnote>
  <w:footnote w:id="14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w:t>
      </w:r>
      <w:r>
        <w:rPr>
          <w:rFonts w:ascii="Times New Roman" w:hAnsi="Times New Roman" w:cs="Times New Roman"/>
        </w:rPr>
        <w:t xml:space="preserve">Ohio </w:t>
      </w:r>
      <w:r w:rsidRPr="006C32CD">
        <w:rPr>
          <w:rFonts w:ascii="Times New Roman" w:hAnsi="Times New Roman" w:cs="Times New Roman"/>
        </w:rPr>
        <w:t>Brief at 27.</w:t>
      </w:r>
    </w:p>
  </w:footnote>
  <w:footnote w:id="14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Hearing Transcript at Vol. XXI.</w:t>
      </w:r>
      <w:r>
        <w:rPr>
          <w:rFonts w:ascii="Times New Roman" w:hAnsi="Times New Roman" w:cs="Times New Roman"/>
        </w:rPr>
        <w:t>,</w:t>
      </w:r>
      <w:r w:rsidRPr="006C32CD">
        <w:rPr>
          <w:rFonts w:ascii="Times New Roman" w:hAnsi="Times New Roman" w:cs="Times New Roman"/>
        </w:rPr>
        <w:t xml:space="preserve"> p.5436:4.</w:t>
      </w:r>
    </w:p>
  </w:footnote>
  <w:footnote w:id="14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OCC Brief at 37, Joint Ex. 1 at 2 and fn. 1.</w:t>
      </w:r>
    </w:p>
  </w:footnote>
  <w:footnote w:id="14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Id</w:t>
      </w:r>
      <w:r w:rsidRPr="006C32CD">
        <w:rPr>
          <w:rFonts w:ascii="Times New Roman" w:hAnsi="Times New Roman" w:cs="Times New Roman"/>
        </w:rPr>
        <w:t>. at 39, Join Ex. 1 at p. 34 and fn. 15.</w:t>
      </w:r>
    </w:p>
  </w:footnote>
  <w:footnote w:id="14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OCC Brief at 39, Joint Ex. 1 at p. 37 and fn. 17.</w:t>
      </w:r>
    </w:p>
  </w:footnote>
  <w:footnote w:id="14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Direct Testimony of Michael Haugh (OCC Ex. 33) filed December 28, 2015 at 7-8.  Though AEP Ohio asserts that the Signatory Parties </w:t>
      </w:r>
      <w:r>
        <w:rPr>
          <w:rFonts w:ascii="Times New Roman" w:hAnsi="Times New Roman" w:cs="Times New Roman"/>
        </w:rPr>
        <w:t>“</w:t>
      </w:r>
      <w:r w:rsidRPr="006C32CD">
        <w:rPr>
          <w:rFonts w:ascii="Times New Roman" w:hAnsi="Times New Roman" w:cs="Times New Roman"/>
        </w:rPr>
        <w:t>ultimately reached agreement on the Stipulation[]</w:t>
      </w:r>
      <w:r>
        <w:rPr>
          <w:rFonts w:ascii="Times New Roman" w:hAnsi="Times New Roman" w:cs="Times New Roman"/>
        </w:rPr>
        <w:t>”</w:t>
      </w:r>
      <w:r w:rsidRPr="006C32CD">
        <w:rPr>
          <w:rFonts w:ascii="Times New Roman" w:hAnsi="Times New Roman" w:cs="Times New Roman"/>
        </w:rPr>
        <w:t xml:space="preserve"> that is in fact not accurate in light of the footnotes.  </w:t>
      </w:r>
      <w:r w:rsidRPr="006C32CD">
        <w:rPr>
          <w:rFonts w:ascii="Times New Roman" w:hAnsi="Times New Roman" w:cs="Times New Roman"/>
          <w:i/>
        </w:rPr>
        <w:t xml:space="preserve">See </w:t>
      </w:r>
      <w:r w:rsidRPr="006C32CD">
        <w:rPr>
          <w:rFonts w:ascii="Times New Roman" w:hAnsi="Times New Roman" w:cs="Times New Roman"/>
        </w:rPr>
        <w:t>AEP Ohio Brief at 4.  Buckeye Power, Inc.</w:t>
      </w:r>
      <w:r>
        <w:rPr>
          <w:rFonts w:ascii="Times New Roman" w:hAnsi="Times New Roman" w:cs="Times New Roman"/>
        </w:rPr>
        <w:t>’</w:t>
      </w:r>
      <w:r w:rsidRPr="006C32CD">
        <w:rPr>
          <w:rFonts w:ascii="Times New Roman" w:hAnsi="Times New Roman" w:cs="Times New Roman"/>
        </w:rPr>
        <w:t xml:space="preserve">s initial brief confirms that the Signatory Parties did </w:t>
      </w:r>
      <w:r w:rsidRPr="006C32CD">
        <w:rPr>
          <w:rFonts w:ascii="Times New Roman" w:hAnsi="Times New Roman" w:cs="Times New Roman"/>
          <w:i/>
        </w:rPr>
        <w:t xml:space="preserve">not </w:t>
      </w:r>
      <w:r w:rsidRPr="006C32CD">
        <w:rPr>
          <w:rFonts w:ascii="Times New Roman" w:hAnsi="Times New Roman" w:cs="Times New Roman"/>
        </w:rPr>
        <w:t xml:space="preserve">reach agreement on the Joint Stipulation.  </w:t>
      </w:r>
      <w:r w:rsidRPr="006C32CD">
        <w:rPr>
          <w:rFonts w:ascii="Times New Roman" w:hAnsi="Times New Roman" w:cs="Times New Roman"/>
          <w:i/>
        </w:rPr>
        <w:t xml:space="preserve">See </w:t>
      </w:r>
      <w:r w:rsidRPr="006C32CD">
        <w:rPr>
          <w:rFonts w:ascii="Times New Roman" w:hAnsi="Times New Roman" w:cs="Times New Roman"/>
        </w:rPr>
        <w:t>Buckeye Power, Inc.</w:t>
      </w:r>
      <w:r>
        <w:rPr>
          <w:rFonts w:ascii="Times New Roman" w:hAnsi="Times New Roman" w:cs="Times New Roman"/>
        </w:rPr>
        <w:t>’</w:t>
      </w:r>
      <w:r w:rsidRPr="006C32CD">
        <w:rPr>
          <w:rFonts w:ascii="Times New Roman" w:hAnsi="Times New Roman" w:cs="Times New Roman"/>
        </w:rPr>
        <w:t>s Post-Hearing Brief at 20-22.</w:t>
      </w:r>
      <w:r>
        <w:rPr>
          <w:rFonts w:ascii="Times New Roman" w:hAnsi="Times New Roman" w:cs="Times New Roman"/>
        </w:rPr>
        <w:t xml:space="preserve">  The agreement is, in reality, more of an agreement to disagree.</w:t>
      </w:r>
    </w:p>
  </w:footnote>
  <w:footnote w:id="14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49.</w:t>
      </w:r>
    </w:p>
  </w:footnote>
  <w:footnote w:id="14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OCC Brief at 81-83.</w:t>
      </w:r>
    </w:p>
  </w:footnote>
  <w:footnote w:id="150">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15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49-50.</w:t>
      </w:r>
    </w:p>
  </w:footnote>
  <w:footnote w:id="15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49 (criticizing OCC Witness Jackson for not being an engineer, never having worked in a generation plant, never maintained a generation plant, and never visiting the PPA Units).</w:t>
      </w:r>
    </w:p>
  </w:footnote>
  <w:footnote w:id="15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ESP III Opinion and Order at 25 (italics added).</w:t>
      </w:r>
    </w:p>
  </w:footnote>
  <w:footnote w:id="15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Sarah E. Jackson (OCC Ex. 13) filed September 11, 2015 at 1-2.</w:t>
      </w:r>
    </w:p>
  </w:footnote>
  <w:footnote w:id="15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1.</w:t>
      </w:r>
    </w:p>
  </w:footnote>
  <w:footnote w:id="156">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15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2.</w:t>
      </w:r>
    </w:p>
  </w:footnote>
  <w:footnote w:id="15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Exhibit SEJ-1, pp. 2-3.</w:t>
      </w:r>
    </w:p>
  </w:footnote>
  <w:footnote w:id="15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The AEP Ohio in its initial brief attacks OCC Witness Jackson</w:t>
      </w:r>
      <w:r>
        <w:rPr>
          <w:rFonts w:ascii="Times New Roman" w:hAnsi="Times New Roman" w:cs="Times New Roman"/>
        </w:rPr>
        <w:t>’</w:t>
      </w:r>
      <w:r w:rsidRPr="006C32CD">
        <w:rPr>
          <w:rFonts w:ascii="Times New Roman" w:hAnsi="Times New Roman" w:cs="Times New Roman"/>
        </w:rPr>
        <w:t xml:space="preserve">s knowledge and experience, it is noteworthy that they did not seek to prevent her from testifying.  Indeed, it cites her as authority for its position on certain matters.  </w:t>
      </w:r>
      <w:r w:rsidRPr="006C32CD">
        <w:rPr>
          <w:rFonts w:ascii="Times New Roman" w:hAnsi="Times New Roman" w:cs="Times New Roman"/>
          <w:i/>
        </w:rPr>
        <w:t xml:space="preserve">See </w:t>
      </w:r>
      <w:r w:rsidRPr="006C32CD">
        <w:rPr>
          <w:rFonts w:ascii="Times New Roman" w:hAnsi="Times New Roman" w:cs="Times New Roman"/>
        </w:rPr>
        <w:t xml:space="preserve">AEP Ohio Brief at 48.   </w:t>
      </w:r>
    </w:p>
  </w:footnote>
  <w:footnote w:id="16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49.</w:t>
      </w:r>
    </w:p>
  </w:footnote>
  <w:footnote w:id="16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16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Hearing Transcript at Vol. XIV, p. 3561:19-24; </w:t>
      </w:r>
      <w:r w:rsidRPr="006C32CD">
        <w:rPr>
          <w:rFonts w:ascii="Times New Roman" w:hAnsi="Times New Roman" w:cs="Times New Roman"/>
          <w:i/>
        </w:rPr>
        <w:t xml:space="preserve">see also id. </w:t>
      </w:r>
      <w:r w:rsidRPr="006C32CD">
        <w:rPr>
          <w:rFonts w:ascii="Times New Roman" w:hAnsi="Times New Roman" w:cs="Times New Roman"/>
        </w:rPr>
        <w:t>at p. 3561:25-3562:2 (data plant-specific to PPA Units).</w:t>
      </w:r>
    </w:p>
  </w:footnote>
  <w:footnote w:id="16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50.</w:t>
      </w:r>
    </w:p>
  </w:footnote>
  <w:footnote w:id="164">
    <w:p w:rsidR="00AE6BD6" w:rsidRPr="006C32CD" w:rsidRDefault="00AE6BD6" w:rsidP="00F02391">
      <w:pPr>
        <w:pStyle w:val="FootnoteText"/>
        <w:spacing w:after="120"/>
        <w:rPr>
          <w:rFonts w:ascii="Times New Roman" w:hAnsi="Times New Roman" w:cs="Times New Roman"/>
          <w:i/>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See id.</w:t>
      </w:r>
    </w:p>
  </w:footnote>
  <w:footnote w:id="16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Sarah E. Jackson (OCC Ex. 13) filed September 11, 2015 at 21:5-10.</w:t>
      </w:r>
    </w:p>
  </w:footnote>
  <w:footnote w:id="166">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Hearing Transcript at Vol. XIV, p. 3566:4-10.</w:t>
      </w:r>
    </w:p>
  </w:footnote>
  <w:footnote w:id="167">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12-15.</w:t>
      </w:r>
    </w:p>
  </w:footnote>
  <w:footnote w:id="168">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Direct Testimony of Sarah E. Jackson (OCC Ex. 13) filed September 11, 2015 at 21:9-10.</w:t>
      </w:r>
    </w:p>
  </w:footnote>
  <w:footnote w:id="169">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50-51.  </w:t>
      </w:r>
      <w:r>
        <w:rPr>
          <w:rFonts w:ascii="Times New Roman" w:hAnsi="Times New Roman" w:cs="Times New Roman"/>
        </w:rPr>
        <w:t xml:space="preserve">In yet </w:t>
      </w:r>
      <w:r w:rsidRPr="006C32CD">
        <w:rPr>
          <w:rFonts w:ascii="Times New Roman" w:hAnsi="Times New Roman" w:cs="Times New Roman"/>
        </w:rPr>
        <w:t>another example of misleading, AEP Ohio asserts that the Joint Stipulation</w:t>
      </w:r>
      <w:r>
        <w:rPr>
          <w:rFonts w:ascii="Times New Roman" w:hAnsi="Times New Roman" w:cs="Times New Roman"/>
        </w:rPr>
        <w:t>’</w:t>
      </w:r>
      <w:r w:rsidRPr="006C32CD">
        <w:rPr>
          <w:rFonts w:ascii="Times New Roman" w:hAnsi="Times New Roman" w:cs="Times New Roman"/>
        </w:rPr>
        <w:t xml:space="preserve">s severability provision </w:t>
      </w:r>
      <w:r>
        <w:rPr>
          <w:rFonts w:ascii="Times New Roman" w:hAnsi="Times New Roman" w:cs="Times New Roman"/>
        </w:rPr>
        <w:t>“</w:t>
      </w:r>
      <w:r w:rsidRPr="006C32CD">
        <w:rPr>
          <w:rFonts w:ascii="Times New Roman" w:hAnsi="Times New Roman" w:cs="Times New Roman"/>
        </w:rPr>
        <w:t>will ensure that ESP III will continue in an orderly fashion in the unlikely event that a court invalidates the PPA Rider.</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AEP Ohio Brief at 72.  But AEP Ohio Witness Allen confirmed that, were the provision invoked, </w:t>
      </w:r>
      <w:r>
        <w:rPr>
          <w:rFonts w:ascii="Times New Roman" w:hAnsi="Times New Roman" w:cs="Times New Roman"/>
        </w:rPr>
        <w:t>“</w:t>
      </w:r>
      <w:r w:rsidRPr="006C32CD">
        <w:rPr>
          <w:rFonts w:ascii="Times New Roman" w:hAnsi="Times New Roman" w:cs="Times New Roman"/>
        </w:rPr>
        <w:t>debate</w:t>
      </w:r>
      <w:r>
        <w:rPr>
          <w:rFonts w:ascii="Times New Roman" w:hAnsi="Times New Roman" w:cs="Times New Roman"/>
        </w:rPr>
        <w:t>”</w:t>
      </w:r>
      <w:r w:rsidRPr="006C32CD">
        <w:rPr>
          <w:rFonts w:ascii="Times New Roman" w:hAnsi="Times New Roman" w:cs="Times New Roman"/>
        </w:rPr>
        <w:t xml:space="preserve"> about the Joint Stipulation</w:t>
      </w:r>
      <w:r>
        <w:rPr>
          <w:rFonts w:ascii="Times New Roman" w:hAnsi="Times New Roman" w:cs="Times New Roman"/>
        </w:rPr>
        <w:t>’</w:t>
      </w:r>
      <w:r w:rsidRPr="006C32CD">
        <w:rPr>
          <w:rFonts w:ascii="Times New Roman" w:hAnsi="Times New Roman" w:cs="Times New Roman"/>
        </w:rPr>
        <w:t xml:space="preserve">s meaning would be required.  </w:t>
      </w:r>
      <w:r w:rsidRPr="006C32CD">
        <w:rPr>
          <w:rFonts w:ascii="Times New Roman" w:hAnsi="Times New Roman" w:cs="Times New Roman"/>
          <w:i/>
        </w:rPr>
        <w:t xml:space="preserve">See </w:t>
      </w:r>
      <w:r w:rsidRPr="006C32CD">
        <w:rPr>
          <w:rFonts w:ascii="Times New Roman" w:hAnsi="Times New Roman" w:cs="Times New Roman"/>
        </w:rPr>
        <w:t>Hearing Transcript at Vol. XIX, p. 4719:7-4720:1.</w:t>
      </w:r>
    </w:p>
  </w:footnote>
  <w:footnote w:id="170">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50-51.</w:t>
      </w:r>
      <w:r w:rsidRPr="006C32CD">
        <w:rPr>
          <w:rFonts w:ascii="Times New Roman" w:hAnsi="Times New Roman" w:cs="Times New Roman"/>
          <w:i/>
        </w:rPr>
        <w:t xml:space="preserve">  </w:t>
      </w:r>
      <w:r w:rsidRPr="006C32CD">
        <w:rPr>
          <w:rFonts w:ascii="Times New Roman" w:hAnsi="Times New Roman" w:cs="Times New Roman"/>
        </w:rPr>
        <w:t xml:space="preserve">  </w:t>
      </w:r>
    </w:p>
  </w:footnote>
  <w:footnote w:id="171">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Hearing Transcript at Vol. XIV, p. 3569:3-12.</w:t>
      </w:r>
    </w:p>
  </w:footnote>
  <w:footnote w:id="172">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AEP Ohio Brief at 51.</w:t>
      </w:r>
    </w:p>
  </w:footnote>
  <w:footnote w:id="173">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Hearing Transcript at Vol. XIV, p. 3582:19-24.</w:t>
      </w:r>
    </w:p>
  </w:footnote>
  <w:footnote w:id="174">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w:t>
      </w:r>
      <w:r w:rsidRPr="006C32CD">
        <w:rPr>
          <w:rFonts w:ascii="Times New Roman" w:hAnsi="Times New Roman" w:cs="Times New Roman"/>
          <w:i/>
        </w:rPr>
        <w:t xml:space="preserve">See id. </w:t>
      </w:r>
      <w:r w:rsidRPr="006C32CD">
        <w:rPr>
          <w:rFonts w:ascii="Times New Roman" w:hAnsi="Times New Roman" w:cs="Times New Roman"/>
        </w:rPr>
        <w:t>at pp. 3580:18-3582:24.</w:t>
      </w:r>
    </w:p>
  </w:footnote>
  <w:footnote w:id="175">
    <w:p w:rsidR="00AE6BD6" w:rsidRPr="006C32CD" w:rsidRDefault="00AE6BD6" w:rsidP="00F02391">
      <w:pPr>
        <w:pStyle w:val="FootnoteText"/>
        <w:spacing w:after="120"/>
        <w:rPr>
          <w:rFonts w:ascii="Times New Roman" w:hAnsi="Times New Roman" w:cs="Times New Roman"/>
        </w:rPr>
      </w:pPr>
      <w:r w:rsidRPr="006C32CD">
        <w:rPr>
          <w:rStyle w:val="FootnoteReference"/>
          <w:rFonts w:ascii="Times New Roman" w:hAnsi="Times New Roman" w:cs="Times New Roman"/>
        </w:rPr>
        <w:footnoteRef/>
      </w:r>
      <w:r w:rsidRPr="006C32CD">
        <w:rPr>
          <w:rFonts w:ascii="Times New Roman" w:hAnsi="Times New Roman" w:cs="Times New Roman"/>
        </w:rPr>
        <w:t xml:space="preserve"> It also confirms AEP Ohio</w:t>
      </w:r>
      <w:r>
        <w:rPr>
          <w:rFonts w:ascii="Times New Roman" w:hAnsi="Times New Roman" w:cs="Times New Roman"/>
        </w:rPr>
        <w:t>’</w:t>
      </w:r>
      <w:r w:rsidRPr="006C32CD">
        <w:rPr>
          <w:rFonts w:ascii="Times New Roman" w:hAnsi="Times New Roman" w:cs="Times New Roman"/>
        </w:rPr>
        <w:t xml:space="preserve">s hypocrisy.  On the one hand, when it suits it, AEP Ohio defends its use of the 2013 Fundamentals Forecast instead of the more recent 2015 Fundamentals Forecast because </w:t>
      </w:r>
      <w:r>
        <w:rPr>
          <w:rFonts w:ascii="Times New Roman" w:hAnsi="Times New Roman" w:cs="Times New Roman"/>
        </w:rPr>
        <w:t>“</w:t>
      </w:r>
      <w:r w:rsidRPr="006C32CD">
        <w:rPr>
          <w:rFonts w:ascii="Times New Roman" w:hAnsi="Times New Roman" w:cs="Times New Roman"/>
        </w:rPr>
        <w:t>what you have to do in a regulatory proceeding you have to get a snapshot you have to stop at some point.</w:t>
      </w:r>
      <w:r>
        <w:rPr>
          <w:rFonts w:ascii="Times New Roman" w:hAnsi="Times New Roman" w:cs="Times New Roman"/>
        </w:rPr>
        <w:t>”</w:t>
      </w:r>
      <w:r w:rsidRPr="006C32CD">
        <w:rPr>
          <w:rFonts w:ascii="Times New Roman" w:hAnsi="Times New Roman" w:cs="Times New Roman"/>
        </w:rPr>
        <w:t xml:space="preserve">  </w:t>
      </w:r>
      <w:r w:rsidRPr="006C32CD">
        <w:rPr>
          <w:rFonts w:ascii="Times New Roman" w:hAnsi="Times New Roman" w:cs="Times New Roman"/>
          <w:i/>
        </w:rPr>
        <w:t xml:space="preserve">See </w:t>
      </w:r>
      <w:r w:rsidRPr="006C32CD">
        <w:rPr>
          <w:rFonts w:ascii="Times New Roman" w:hAnsi="Times New Roman" w:cs="Times New Roman"/>
        </w:rPr>
        <w:t xml:space="preserve">Hearing Transcript at Vol. XVIII, p. 4667.  </w:t>
      </w:r>
      <w:r>
        <w:rPr>
          <w:rFonts w:ascii="Times New Roman" w:hAnsi="Times New Roman" w:cs="Times New Roman"/>
        </w:rPr>
        <w:t>“</w:t>
      </w:r>
      <w:r w:rsidRPr="006C32CD">
        <w:rPr>
          <w:rFonts w:ascii="Times New Roman" w:hAnsi="Times New Roman" w:cs="Times New Roman"/>
        </w:rPr>
        <w:t>It is appropriate to rely upon information that is available when an application is filed, and it is accepted practice in regulatory proceedings to do so.</w:t>
      </w:r>
      <w:r>
        <w:rPr>
          <w:rFonts w:ascii="Times New Roman" w:hAnsi="Times New Roman" w:cs="Times New Roman"/>
        </w:rPr>
        <w:t>”</w:t>
      </w:r>
      <w:r w:rsidRPr="006C32CD">
        <w:rPr>
          <w:rFonts w:ascii="Times New Roman" w:hAnsi="Times New Roman" w:cs="Times New Roman"/>
        </w:rPr>
        <w:t xml:space="preserve">  AEP Ohio Brief at 81.  But then on the other hand, when it does not suit it, AEP Ohio criticizes others (here, OCC Witness Jackson) that use </w:t>
      </w:r>
      <w:r>
        <w:rPr>
          <w:rFonts w:ascii="Times New Roman" w:hAnsi="Times New Roman" w:cs="Times New Roman"/>
        </w:rPr>
        <w:t>“</w:t>
      </w:r>
      <w:r w:rsidRPr="006C32CD">
        <w:rPr>
          <w:rFonts w:ascii="Times New Roman" w:hAnsi="Times New Roman" w:cs="Times New Roman"/>
        </w:rPr>
        <w:t>information available when an application is filed.</w:t>
      </w:r>
      <w:r>
        <w:rPr>
          <w:rFonts w:ascii="Times New Roman" w:hAnsi="Times New Roman" w:cs="Times New Roman"/>
        </w:rPr>
        <w:t>”</w:t>
      </w:r>
      <w:r w:rsidRPr="006C32CD">
        <w:rPr>
          <w:rFonts w:ascii="Times New Roman" w:hAnsi="Times New Roman" w:cs="Times New Roman"/>
        </w:rPr>
        <w:t xml:space="preserve">  AEP Ohio</w:t>
      </w:r>
      <w:r>
        <w:rPr>
          <w:rFonts w:ascii="Times New Roman" w:hAnsi="Times New Roman" w:cs="Times New Roman"/>
        </w:rPr>
        <w:t>’</w:t>
      </w:r>
      <w:r w:rsidRPr="006C32CD">
        <w:rPr>
          <w:rFonts w:ascii="Times New Roman" w:hAnsi="Times New Roman" w:cs="Times New Roman"/>
        </w:rPr>
        <w:t xml:space="preserve">s hypocrisy is heightened because, unlike when AEP Ohio ran its model to forecast the PPA Rider in connection with the first phase of this proceeding, the 2015 Fundamentals Forecast </w:t>
      </w:r>
      <w:r w:rsidRPr="006C32CD">
        <w:rPr>
          <w:rFonts w:ascii="Times New Roman" w:hAnsi="Times New Roman" w:cs="Times New Roman"/>
          <w:i/>
        </w:rPr>
        <w:t xml:space="preserve">was </w:t>
      </w:r>
      <w:r w:rsidRPr="006C32CD">
        <w:rPr>
          <w:rFonts w:ascii="Times New Roman" w:hAnsi="Times New Roman" w:cs="Times New Roman"/>
        </w:rPr>
        <w:t xml:space="preserve">complete before AEP Ohio Witness Allen prepared AEP Ohio Ex. 52, WAA-2.  </w:t>
      </w:r>
      <w:r w:rsidRPr="006C32CD">
        <w:rPr>
          <w:rFonts w:ascii="Times New Roman" w:hAnsi="Times New Roman" w:cs="Times New Roman"/>
          <w:i/>
        </w:rPr>
        <w:t xml:space="preserve">See id. </w:t>
      </w:r>
      <w:r w:rsidRPr="006C32CD">
        <w:rPr>
          <w:rFonts w:ascii="Times New Roman" w:hAnsi="Times New Roman" w:cs="Times New Roman"/>
        </w:rPr>
        <w:t xml:space="preserve">at Vol. XIX, p. 4665:21-4667:22.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7" w:rsidRDefault="00DF7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7" w:rsidRDefault="00DF74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4E7" w:rsidRDefault="00DF74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D6" w:rsidRDefault="00AE6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AD5"/>
    <w:multiLevelType w:val="hybridMultilevel"/>
    <w:tmpl w:val="9098BD54"/>
    <w:lvl w:ilvl="0" w:tplc="215C10C4">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CA20505"/>
    <w:multiLevelType w:val="hybridMultilevel"/>
    <w:tmpl w:val="63D8B846"/>
    <w:lvl w:ilvl="0" w:tplc="BC6877FC">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442709"/>
    <w:multiLevelType w:val="hybridMultilevel"/>
    <w:tmpl w:val="32EE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470FE"/>
    <w:multiLevelType w:val="hybridMultilevel"/>
    <w:tmpl w:val="5BCAB30A"/>
    <w:lvl w:ilvl="0" w:tplc="EF32E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F15202"/>
    <w:multiLevelType w:val="hybridMultilevel"/>
    <w:tmpl w:val="6B609E06"/>
    <w:lvl w:ilvl="0" w:tplc="49DCC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85B89"/>
    <w:multiLevelType w:val="hybridMultilevel"/>
    <w:tmpl w:val="A58EC762"/>
    <w:lvl w:ilvl="0" w:tplc="E5FEB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C1CFD"/>
    <w:multiLevelType w:val="hybridMultilevel"/>
    <w:tmpl w:val="E87A1730"/>
    <w:lvl w:ilvl="0" w:tplc="BC0A3FC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1D95F77"/>
    <w:multiLevelType w:val="hybridMultilevel"/>
    <w:tmpl w:val="394C9760"/>
    <w:lvl w:ilvl="0" w:tplc="C3FAEA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C640A"/>
    <w:multiLevelType w:val="hybridMultilevel"/>
    <w:tmpl w:val="35B607B0"/>
    <w:lvl w:ilvl="0" w:tplc="96E69FE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291D27"/>
    <w:multiLevelType w:val="hybridMultilevel"/>
    <w:tmpl w:val="728A98F6"/>
    <w:lvl w:ilvl="0" w:tplc="A524CB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E0AA0"/>
    <w:multiLevelType w:val="hybridMultilevel"/>
    <w:tmpl w:val="27E03484"/>
    <w:lvl w:ilvl="0" w:tplc="2108884A">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6D2C062A"/>
    <w:multiLevelType w:val="hybridMultilevel"/>
    <w:tmpl w:val="6D143824"/>
    <w:lvl w:ilvl="0" w:tplc="3EA22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5476A8"/>
    <w:multiLevelType w:val="hybridMultilevel"/>
    <w:tmpl w:val="BD1208D6"/>
    <w:lvl w:ilvl="0" w:tplc="8C0C2BCC">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E73761A"/>
    <w:multiLevelType w:val="hybridMultilevel"/>
    <w:tmpl w:val="B7305966"/>
    <w:lvl w:ilvl="0" w:tplc="8814C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936AFE"/>
    <w:multiLevelType w:val="hybridMultilevel"/>
    <w:tmpl w:val="B96E61AC"/>
    <w:lvl w:ilvl="0" w:tplc="491293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7CD70CFC"/>
    <w:multiLevelType w:val="hybridMultilevel"/>
    <w:tmpl w:val="DFDC9D58"/>
    <w:lvl w:ilvl="0" w:tplc="33D2876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5"/>
  </w:num>
  <w:num w:numId="3">
    <w:abstractNumId w:val="8"/>
  </w:num>
  <w:num w:numId="4">
    <w:abstractNumId w:val="2"/>
  </w:num>
  <w:num w:numId="5">
    <w:abstractNumId w:val="5"/>
  </w:num>
  <w:num w:numId="6">
    <w:abstractNumId w:val="7"/>
  </w:num>
  <w:num w:numId="7">
    <w:abstractNumId w:val="3"/>
  </w:num>
  <w:num w:numId="8">
    <w:abstractNumId w:val="11"/>
  </w:num>
  <w:num w:numId="9">
    <w:abstractNumId w:val="13"/>
  </w:num>
  <w:num w:numId="10">
    <w:abstractNumId w:val="1"/>
  </w:num>
  <w:num w:numId="11">
    <w:abstractNumId w:val="4"/>
  </w:num>
  <w:num w:numId="12">
    <w:abstractNumId w:val="14"/>
  </w:num>
  <w:num w:numId="13">
    <w:abstractNumId w:val="10"/>
  </w:num>
  <w:num w:numId="14">
    <w:abstractNumId w:val="12"/>
  </w:num>
  <w:num w:numId="15">
    <w:abstractNumId w:val="0"/>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w15:presenceInfo w15:providerId="None" w15:userId="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B8"/>
    <w:rsid w:val="00001F78"/>
    <w:rsid w:val="00004966"/>
    <w:rsid w:val="000165A6"/>
    <w:rsid w:val="00020EDD"/>
    <w:rsid w:val="000267B5"/>
    <w:rsid w:val="00030821"/>
    <w:rsid w:val="00034E0E"/>
    <w:rsid w:val="00036244"/>
    <w:rsid w:val="0004203B"/>
    <w:rsid w:val="00042C17"/>
    <w:rsid w:val="0006625D"/>
    <w:rsid w:val="000667C3"/>
    <w:rsid w:val="000719A1"/>
    <w:rsid w:val="000746CE"/>
    <w:rsid w:val="00076BDF"/>
    <w:rsid w:val="00082AC2"/>
    <w:rsid w:val="00084E25"/>
    <w:rsid w:val="0009198D"/>
    <w:rsid w:val="0009429A"/>
    <w:rsid w:val="000A4D11"/>
    <w:rsid w:val="000A5E88"/>
    <w:rsid w:val="000B2EA3"/>
    <w:rsid w:val="000B7E62"/>
    <w:rsid w:val="000D7B6B"/>
    <w:rsid w:val="000F1D72"/>
    <w:rsid w:val="00120D37"/>
    <w:rsid w:val="001274AD"/>
    <w:rsid w:val="00130F92"/>
    <w:rsid w:val="001316DA"/>
    <w:rsid w:val="001406C7"/>
    <w:rsid w:val="00146AD0"/>
    <w:rsid w:val="001474BB"/>
    <w:rsid w:val="00154C95"/>
    <w:rsid w:val="001553A2"/>
    <w:rsid w:val="0015589B"/>
    <w:rsid w:val="00180A08"/>
    <w:rsid w:val="00180CFC"/>
    <w:rsid w:val="0018120C"/>
    <w:rsid w:val="00185721"/>
    <w:rsid w:val="00185FF8"/>
    <w:rsid w:val="001A4990"/>
    <w:rsid w:val="001A6735"/>
    <w:rsid w:val="001D1007"/>
    <w:rsid w:val="001D5986"/>
    <w:rsid w:val="001D5CF8"/>
    <w:rsid w:val="001D6EF4"/>
    <w:rsid w:val="001E26F1"/>
    <w:rsid w:val="001F0238"/>
    <w:rsid w:val="001F2963"/>
    <w:rsid w:val="001F35BA"/>
    <w:rsid w:val="001F4C84"/>
    <w:rsid w:val="00201D86"/>
    <w:rsid w:val="00202855"/>
    <w:rsid w:val="0020679B"/>
    <w:rsid w:val="002109A7"/>
    <w:rsid w:val="0021373E"/>
    <w:rsid w:val="002202DF"/>
    <w:rsid w:val="00223C6F"/>
    <w:rsid w:val="00236CD6"/>
    <w:rsid w:val="0024011D"/>
    <w:rsid w:val="002517D8"/>
    <w:rsid w:val="00262114"/>
    <w:rsid w:val="0027747E"/>
    <w:rsid w:val="002815AF"/>
    <w:rsid w:val="00281768"/>
    <w:rsid w:val="002946EE"/>
    <w:rsid w:val="002A668C"/>
    <w:rsid w:val="002B1995"/>
    <w:rsid w:val="002C130C"/>
    <w:rsid w:val="002C35B7"/>
    <w:rsid w:val="002D4570"/>
    <w:rsid w:val="002D4D54"/>
    <w:rsid w:val="002E6682"/>
    <w:rsid w:val="002F22B4"/>
    <w:rsid w:val="002F33FA"/>
    <w:rsid w:val="00312F10"/>
    <w:rsid w:val="003153E0"/>
    <w:rsid w:val="00334895"/>
    <w:rsid w:val="00334DF7"/>
    <w:rsid w:val="00335380"/>
    <w:rsid w:val="00344561"/>
    <w:rsid w:val="00363853"/>
    <w:rsid w:val="00367C26"/>
    <w:rsid w:val="00384E68"/>
    <w:rsid w:val="003A3EEB"/>
    <w:rsid w:val="003B20EF"/>
    <w:rsid w:val="003B752B"/>
    <w:rsid w:val="003D10E0"/>
    <w:rsid w:val="003E3AD8"/>
    <w:rsid w:val="003F0848"/>
    <w:rsid w:val="003F247B"/>
    <w:rsid w:val="00405534"/>
    <w:rsid w:val="00410960"/>
    <w:rsid w:val="00412488"/>
    <w:rsid w:val="00424363"/>
    <w:rsid w:val="00461061"/>
    <w:rsid w:val="00476F0E"/>
    <w:rsid w:val="004801EA"/>
    <w:rsid w:val="004C2BB3"/>
    <w:rsid w:val="004D53E4"/>
    <w:rsid w:val="004E449B"/>
    <w:rsid w:val="004E4AA7"/>
    <w:rsid w:val="004F7B17"/>
    <w:rsid w:val="00500221"/>
    <w:rsid w:val="00504DE4"/>
    <w:rsid w:val="00505663"/>
    <w:rsid w:val="00513A55"/>
    <w:rsid w:val="00514D38"/>
    <w:rsid w:val="0051609F"/>
    <w:rsid w:val="00517444"/>
    <w:rsid w:val="00535809"/>
    <w:rsid w:val="005416E6"/>
    <w:rsid w:val="00554568"/>
    <w:rsid w:val="00555ACD"/>
    <w:rsid w:val="00570B4B"/>
    <w:rsid w:val="0058131E"/>
    <w:rsid w:val="0059342E"/>
    <w:rsid w:val="00593C19"/>
    <w:rsid w:val="005A0D49"/>
    <w:rsid w:val="005B0F5C"/>
    <w:rsid w:val="005C0FD6"/>
    <w:rsid w:val="005E2FF4"/>
    <w:rsid w:val="005E3892"/>
    <w:rsid w:val="005F2836"/>
    <w:rsid w:val="00601196"/>
    <w:rsid w:val="00603DAD"/>
    <w:rsid w:val="0060543C"/>
    <w:rsid w:val="00627E0F"/>
    <w:rsid w:val="00633982"/>
    <w:rsid w:val="00636835"/>
    <w:rsid w:val="006450F6"/>
    <w:rsid w:val="006543E2"/>
    <w:rsid w:val="00664792"/>
    <w:rsid w:val="00665619"/>
    <w:rsid w:val="0066696A"/>
    <w:rsid w:val="00673745"/>
    <w:rsid w:val="00675A56"/>
    <w:rsid w:val="006777D2"/>
    <w:rsid w:val="006816E9"/>
    <w:rsid w:val="00681944"/>
    <w:rsid w:val="006B7C83"/>
    <w:rsid w:val="006B7CF1"/>
    <w:rsid w:val="006C1816"/>
    <w:rsid w:val="006C32CD"/>
    <w:rsid w:val="006C51C1"/>
    <w:rsid w:val="006C68F8"/>
    <w:rsid w:val="006D3515"/>
    <w:rsid w:val="006F1B99"/>
    <w:rsid w:val="006F3F3B"/>
    <w:rsid w:val="00702194"/>
    <w:rsid w:val="00702314"/>
    <w:rsid w:val="00703D7F"/>
    <w:rsid w:val="007062C1"/>
    <w:rsid w:val="00706839"/>
    <w:rsid w:val="0071401C"/>
    <w:rsid w:val="00716AF2"/>
    <w:rsid w:val="00716E0A"/>
    <w:rsid w:val="00727817"/>
    <w:rsid w:val="00744542"/>
    <w:rsid w:val="00750BE2"/>
    <w:rsid w:val="00755E33"/>
    <w:rsid w:val="007563F7"/>
    <w:rsid w:val="007614D1"/>
    <w:rsid w:val="007667C7"/>
    <w:rsid w:val="0076714B"/>
    <w:rsid w:val="007720A4"/>
    <w:rsid w:val="00772EAD"/>
    <w:rsid w:val="00784CD3"/>
    <w:rsid w:val="007856A8"/>
    <w:rsid w:val="00793BFE"/>
    <w:rsid w:val="00794C5E"/>
    <w:rsid w:val="007A5D54"/>
    <w:rsid w:val="007A5E57"/>
    <w:rsid w:val="007B32C7"/>
    <w:rsid w:val="007C371C"/>
    <w:rsid w:val="007D1774"/>
    <w:rsid w:val="007D71ED"/>
    <w:rsid w:val="007E43B3"/>
    <w:rsid w:val="007E6ABF"/>
    <w:rsid w:val="007F712E"/>
    <w:rsid w:val="00817CE0"/>
    <w:rsid w:val="00824B85"/>
    <w:rsid w:val="008334FD"/>
    <w:rsid w:val="00836AE8"/>
    <w:rsid w:val="00836C20"/>
    <w:rsid w:val="00842665"/>
    <w:rsid w:val="00850281"/>
    <w:rsid w:val="00854170"/>
    <w:rsid w:val="008612A2"/>
    <w:rsid w:val="00861AB8"/>
    <w:rsid w:val="00861E7D"/>
    <w:rsid w:val="00870161"/>
    <w:rsid w:val="00881CE6"/>
    <w:rsid w:val="00881DC2"/>
    <w:rsid w:val="00892435"/>
    <w:rsid w:val="00892AD3"/>
    <w:rsid w:val="008A7E95"/>
    <w:rsid w:val="008B573F"/>
    <w:rsid w:val="008C3540"/>
    <w:rsid w:val="008D1EF2"/>
    <w:rsid w:val="008D617D"/>
    <w:rsid w:val="008E5FF3"/>
    <w:rsid w:val="008E6E51"/>
    <w:rsid w:val="008F49BA"/>
    <w:rsid w:val="00901849"/>
    <w:rsid w:val="0090280A"/>
    <w:rsid w:val="009057FB"/>
    <w:rsid w:val="00907C18"/>
    <w:rsid w:val="0091034F"/>
    <w:rsid w:val="00920AB8"/>
    <w:rsid w:val="00931581"/>
    <w:rsid w:val="0093584E"/>
    <w:rsid w:val="00962D97"/>
    <w:rsid w:val="0096429B"/>
    <w:rsid w:val="0098507F"/>
    <w:rsid w:val="009900ED"/>
    <w:rsid w:val="00995B22"/>
    <w:rsid w:val="0099644D"/>
    <w:rsid w:val="00996DA8"/>
    <w:rsid w:val="009A7796"/>
    <w:rsid w:val="009A7E28"/>
    <w:rsid w:val="009B3D05"/>
    <w:rsid w:val="009D3AEF"/>
    <w:rsid w:val="009E0434"/>
    <w:rsid w:val="00A04595"/>
    <w:rsid w:val="00A04597"/>
    <w:rsid w:val="00A077C5"/>
    <w:rsid w:val="00A437BE"/>
    <w:rsid w:val="00A619AE"/>
    <w:rsid w:val="00A76012"/>
    <w:rsid w:val="00A83A21"/>
    <w:rsid w:val="00A84043"/>
    <w:rsid w:val="00A8601E"/>
    <w:rsid w:val="00A873E9"/>
    <w:rsid w:val="00AB165D"/>
    <w:rsid w:val="00AC3063"/>
    <w:rsid w:val="00AC3BFC"/>
    <w:rsid w:val="00AC6C94"/>
    <w:rsid w:val="00AE6BD6"/>
    <w:rsid w:val="00AF6759"/>
    <w:rsid w:val="00AF74B9"/>
    <w:rsid w:val="00B06342"/>
    <w:rsid w:val="00B12A18"/>
    <w:rsid w:val="00B16A11"/>
    <w:rsid w:val="00B2241D"/>
    <w:rsid w:val="00B23946"/>
    <w:rsid w:val="00B300F4"/>
    <w:rsid w:val="00B34753"/>
    <w:rsid w:val="00B56728"/>
    <w:rsid w:val="00B600EE"/>
    <w:rsid w:val="00B660D1"/>
    <w:rsid w:val="00B81EAD"/>
    <w:rsid w:val="00B92611"/>
    <w:rsid w:val="00B96D5C"/>
    <w:rsid w:val="00BA0917"/>
    <w:rsid w:val="00BA5F01"/>
    <w:rsid w:val="00BB625F"/>
    <w:rsid w:val="00BF2D87"/>
    <w:rsid w:val="00BF455B"/>
    <w:rsid w:val="00BF528E"/>
    <w:rsid w:val="00C011AC"/>
    <w:rsid w:val="00C032DE"/>
    <w:rsid w:val="00C04934"/>
    <w:rsid w:val="00C06648"/>
    <w:rsid w:val="00C16570"/>
    <w:rsid w:val="00C2392A"/>
    <w:rsid w:val="00C3668F"/>
    <w:rsid w:val="00C37D22"/>
    <w:rsid w:val="00C51321"/>
    <w:rsid w:val="00C52165"/>
    <w:rsid w:val="00C5591A"/>
    <w:rsid w:val="00C57C75"/>
    <w:rsid w:val="00C61028"/>
    <w:rsid w:val="00C725A5"/>
    <w:rsid w:val="00C7631B"/>
    <w:rsid w:val="00C77050"/>
    <w:rsid w:val="00C827FB"/>
    <w:rsid w:val="00C90FF1"/>
    <w:rsid w:val="00C9547A"/>
    <w:rsid w:val="00C95CC0"/>
    <w:rsid w:val="00CA5BBA"/>
    <w:rsid w:val="00CA5CA4"/>
    <w:rsid w:val="00CB6FBB"/>
    <w:rsid w:val="00CD5DFC"/>
    <w:rsid w:val="00CE67FB"/>
    <w:rsid w:val="00CE75C9"/>
    <w:rsid w:val="00CE7C9F"/>
    <w:rsid w:val="00CF3DBA"/>
    <w:rsid w:val="00D00573"/>
    <w:rsid w:val="00D011EA"/>
    <w:rsid w:val="00D04B37"/>
    <w:rsid w:val="00D05FF2"/>
    <w:rsid w:val="00D1038B"/>
    <w:rsid w:val="00D10CB3"/>
    <w:rsid w:val="00D1536C"/>
    <w:rsid w:val="00D17899"/>
    <w:rsid w:val="00D21B59"/>
    <w:rsid w:val="00D31629"/>
    <w:rsid w:val="00D37B75"/>
    <w:rsid w:val="00D41C87"/>
    <w:rsid w:val="00D54F12"/>
    <w:rsid w:val="00D649FC"/>
    <w:rsid w:val="00D66BA2"/>
    <w:rsid w:val="00D722EE"/>
    <w:rsid w:val="00D93990"/>
    <w:rsid w:val="00D9633A"/>
    <w:rsid w:val="00DB483E"/>
    <w:rsid w:val="00DC0B0F"/>
    <w:rsid w:val="00DC775D"/>
    <w:rsid w:val="00DD5710"/>
    <w:rsid w:val="00DE0998"/>
    <w:rsid w:val="00DE5B8B"/>
    <w:rsid w:val="00DF301D"/>
    <w:rsid w:val="00DF74E7"/>
    <w:rsid w:val="00E01613"/>
    <w:rsid w:val="00E136E8"/>
    <w:rsid w:val="00E14BD9"/>
    <w:rsid w:val="00E21FB5"/>
    <w:rsid w:val="00E268F4"/>
    <w:rsid w:val="00E312B8"/>
    <w:rsid w:val="00E316A5"/>
    <w:rsid w:val="00E332AB"/>
    <w:rsid w:val="00E348D6"/>
    <w:rsid w:val="00E50022"/>
    <w:rsid w:val="00E529CC"/>
    <w:rsid w:val="00E566F6"/>
    <w:rsid w:val="00E64E2D"/>
    <w:rsid w:val="00E66D9C"/>
    <w:rsid w:val="00E718F0"/>
    <w:rsid w:val="00E7265C"/>
    <w:rsid w:val="00E85060"/>
    <w:rsid w:val="00E95195"/>
    <w:rsid w:val="00EA047A"/>
    <w:rsid w:val="00EA2048"/>
    <w:rsid w:val="00EA6534"/>
    <w:rsid w:val="00EC3468"/>
    <w:rsid w:val="00EC3E00"/>
    <w:rsid w:val="00ED3489"/>
    <w:rsid w:val="00ED374E"/>
    <w:rsid w:val="00ED7685"/>
    <w:rsid w:val="00EE31A0"/>
    <w:rsid w:val="00EE4892"/>
    <w:rsid w:val="00EE680F"/>
    <w:rsid w:val="00EE7FDD"/>
    <w:rsid w:val="00EF0D38"/>
    <w:rsid w:val="00EF1413"/>
    <w:rsid w:val="00EF182E"/>
    <w:rsid w:val="00EF694A"/>
    <w:rsid w:val="00F02391"/>
    <w:rsid w:val="00F02704"/>
    <w:rsid w:val="00F158B6"/>
    <w:rsid w:val="00F25C93"/>
    <w:rsid w:val="00F30307"/>
    <w:rsid w:val="00F4343C"/>
    <w:rsid w:val="00F444AC"/>
    <w:rsid w:val="00F4723D"/>
    <w:rsid w:val="00F511EB"/>
    <w:rsid w:val="00F57D4B"/>
    <w:rsid w:val="00F73271"/>
    <w:rsid w:val="00F812D7"/>
    <w:rsid w:val="00F85F20"/>
    <w:rsid w:val="00F97208"/>
    <w:rsid w:val="00FA1E96"/>
    <w:rsid w:val="00FA68B8"/>
    <w:rsid w:val="00FB2B8B"/>
    <w:rsid w:val="00FD6666"/>
    <w:rsid w:val="00FD7250"/>
    <w:rsid w:val="00FE2789"/>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87"/>
  </w:style>
  <w:style w:type="paragraph" w:styleId="Heading1">
    <w:name w:val="heading 1"/>
    <w:basedOn w:val="Normal"/>
    <w:next w:val="Normal"/>
    <w:link w:val="Heading1Char"/>
    <w:uiPriority w:val="9"/>
    <w:qFormat/>
    <w:rsid w:val="00BF2D87"/>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
    <w:unhideWhenUsed/>
    <w:qFormat/>
    <w:rsid w:val="00BF2D87"/>
    <w:pPr>
      <w:keepNext/>
      <w:keepLines/>
      <w:spacing w:after="240" w:line="240" w:lineRule="auto"/>
      <w:ind w:left="144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E66D9C"/>
    <w:pPr>
      <w:keepNext/>
      <w:keepLines/>
      <w:spacing w:after="240" w:line="240" w:lineRule="auto"/>
      <w:ind w:left="2160" w:hanging="720"/>
      <w:outlineLvl w:val="2"/>
    </w:pPr>
    <w:rPr>
      <w:rFonts w:ascii="Times New Roman Bold" w:eastAsiaTheme="majorEastAsia" w:hAnsi="Times New Roman Bold" w:cstheme="majorBidi"/>
      <w:b/>
      <w:bCs/>
      <w:sz w:val="24"/>
    </w:rPr>
  </w:style>
  <w:style w:type="paragraph" w:styleId="Heading4">
    <w:name w:val="heading 4"/>
    <w:basedOn w:val="Normal"/>
    <w:next w:val="Normal"/>
    <w:link w:val="Heading4Char"/>
    <w:uiPriority w:val="9"/>
    <w:unhideWhenUsed/>
    <w:qFormat/>
    <w:rsid w:val="00E66D9C"/>
    <w:pPr>
      <w:keepNext/>
      <w:keepLines/>
      <w:spacing w:after="240" w:line="240" w:lineRule="auto"/>
      <w:ind w:left="2880" w:hanging="720"/>
      <w:outlineLvl w:val="3"/>
    </w:pPr>
    <w:rPr>
      <w:rFonts w:ascii="Times New Roman Bold" w:eastAsiaTheme="majorEastAsia" w:hAnsi="Times New Roman Bold" w:cstheme="majorBidi"/>
      <w:b/>
      <w:bCs/>
      <w:iCs/>
      <w:sz w:val="24"/>
    </w:rPr>
  </w:style>
  <w:style w:type="paragraph" w:styleId="Heading5">
    <w:name w:val="heading 5"/>
    <w:basedOn w:val="Normal"/>
    <w:next w:val="Normal"/>
    <w:link w:val="Heading5Char"/>
    <w:uiPriority w:val="9"/>
    <w:unhideWhenUsed/>
    <w:qFormat/>
    <w:rsid w:val="00EF694A"/>
    <w:pPr>
      <w:keepNext/>
      <w:keepLines/>
      <w:spacing w:after="240"/>
      <w:ind w:left="3600" w:hanging="720"/>
      <w:outlineLvl w:val="4"/>
    </w:pPr>
    <w:rPr>
      <w:rFonts w:ascii="Times New Roman Bold" w:eastAsiaTheme="majorEastAsia" w:hAnsi="Times New Roman Bold"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fn"/>
    <w:basedOn w:val="Normal"/>
    <w:link w:val="FootnoteTextChar"/>
    <w:uiPriority w:val="99"/>
    <w:unhideWhenUsed/>
    <w:rsid w:val="00BA0917"/>
    <w:pPr>
      <w:spacing w:after="0" w:line="240" w:lineRule="auto"/>
    </w:pPr>
    <w:rPr>
      <w:rFonts w:eastAsiaTheme="minorEastAsia"/>
      <w:sz w:val="20"/>
      <w:szCs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fn Char"/>
    <w:basedOn w:val="DefaultParagraphFont"/>
    <w:link w:val="FootnoteText"/>
    <w:uiPriority w:val="99"/>
    <w:rsid w:val="00BA0917"/>
    <w:rPr>
      <w:rFonts w:eastAsiaTheme="minorEastAsia"/>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basedOn w:val="DefaultParagraphFont"/>
    <w:uiPriority w:val="99"/>
    <w:unhideWhenUsed/>
    <w:rsid w:val="00E332AB"/>
    <w:rPr>
      <w:vertAlign w:val="superscript"/>
    </w:rPr>
  </w:style>
  <w:style w:type="paragraph" w:styleId="ListParagraph">
    <w:name w:val="List Paragraph"/>
    <w:basedOn w:val="Normal"/>
    <w:uiPriority w:val="34"/>
    <w:qFormat/>
    <w:rsid w:val="00201D86"/>
    <w:pPr>
      <w:ind w:left="720"/>
      <w:contextualSpacing/>
    </w:pPr>
  </w:style>
  <w:style w:type="paragraph" w:styleId="Header">
    <w:name w:val="header"/>
    <w:basedOn w:val="Normal"/>
    <w:link w:val="HeaderChar"/>
    <w:uiPriority w:val="99"/>
    <w:unhideWhenUsed/>
    <w:rsid w:val="00BF2D8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BF2D87"/>
    <w:rPr>
      <w:rFonts w:eastAsiaTheme="minorEastAsia"/>
    </w:rPr>
  </w:style>
  <w:style w:type="paragraph" w:styleId="Footer">
    <w:name w:val="footer"/>
    <w:basedOn w:val="Normal"/>
    <w:link w:val="FooterChar"/>
    <w:uiPriority w:val="99"/>
    <w:unhideWhenUsed/>
    <w:rsid w:val="00BF2D8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F2D87"/>
    <w:rPr>
      <w:rFonts w:eastAsiaTheme="minorEastAsia"/>
    </w:rPr>
  </w:style>
  <w:style w:type="character" w:customStyle="1" w:styleId="Heading1Char">
    <w:name w:val="Heading 1 Char"/>
    <w:basedOn w:val="DefaultParagraphFont"/>
    <w:link w:val="Heading1"/>
    <w:uiPriority w:val="9"/>
    <w:rsid w:val="00BF2D87"/>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BF2D87"/>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E66D9C"/>
    <w:rPr>
      <w:rFonts w:ascii="Times New Roman Bold" w:eastAsiaTheme="majorEastAsia" w:hAnsi="Times New Roman Bold" w:cstheme="majorBidi"/>
      <w:b/>
      <w:bCs/>
      <w:sz w:val="24"/>
    </w:rPr>
  </w:style>
  <w:style w:type="character" w:customStyle="1" w:styleId="Heading4Char">
    <w:name w:val="Heading 4 Char"/>
    <w:basedOn w:val="DefaultParagraphFont"/>
    <w:link w:val="Heading4"/>
    <w:uiPriority w:val="9"/>
    <w:rsid w:val="00E66D9C"/>
    <w:rPr>
      <w:rFonts w:ascii="Times New Roman Bold" w:eastAsiaTheme="majorEastAsia" w:hAnsi="Times New Roman Bold" w:cstheme="majorBidi"/>
      <w:b/>
      <w:bCs/>
      <w:iCs/>
      <w:sz w:val="24"/>
    </w:rPr>
  </w:style>
  <w:style w:type="table" w:styleId="TableGrid">
    <w:name w:val="Table Grid"/>
    <w:basedOn w:val="TableNormal"/>
    <w:uiPriority w:val="59"/>
    <w:rsid w:val="00EC34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C87"/>
    <w:rPr>
      <w:color w:val="0000FF" w:themeColor="hyperlink"/>
      <w:u w:val="single"/>
    </w:rPr>
  </w:style>
  <w:style w:type="paragraph" w:styleId="TOC1">
    <w:name w:val="toc 1"/>
    <w:basedOn w:val="Normal"/>
    <w:next w:val="Normal"/>
    <w:autoRedefine/>
    <w:uiPriority w:val="39"/>
    <w:unhideWhenUsed/>
    <w:rsid w:val="00D41C87"/>
    <w:pPr>
      <w:tabs>
        <w:tab w:val="left" w:pos="720"/>
        <w:tab w:val="decimal" w:leader="dot" w:pos="8640"/>
      </w:tabs>
      <w:spacing w:after="12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rsid w:val="00D41C87"/>
    <w:pPr>
      <w:tabs>
        <w:tab w:val="left" w:pos="720"/>
        <w:tab w:val="left" w:pos="1440"/>
        <w:tab w:val="decimal" w:leader="dot" w:pos="8640"/>
      </w:tabs>
      <w:spacing w:after="12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D41C87"/>
    <w:pPr>
      <w:tabs>
        <w:tab w:val="left" w:pos="720"/>
        <w:tab w:val="left" w:pos="1440"/>
        <w:tab w:val="decimal" w:leader="dot" w:pos="8640"/>
      </w:tabs>
      <w:spacing w:after="12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D41C87"/>
    <w:pPr>
      <w:tabs>
        <w:tab w:val="left" w:pos="720"/>
        <w:tab w:val="left" w:pos="1440"/>
        <w:tab w:val="left" w:pos="2160"/>
        <w:tab w:val="decimal" w:leader="dot" w:pos="8640"/>
      </w:tabs>
      <w:spacing w:after="120" w:line="240" w:lineRule="auto"/>
      <w:ind w:left="2880" w:hanging="720"/>
    </w:pPr>
    <w:rPr>
      <w:rFonts w:ascii="Times New Roman" w:hAnsi="Times New Roman"/>
      <w:sz w:val="24"/>
    </w:rPr>
  </w:style>
  <w:style w:type="paragraph" w:styleId="Revision">
    <w:name w:val="Revision"/>
    <w:hidden/>
    <w:uiPriority w:val="99"/>
    <w:semiHidden/>
    <w:rsid w:val="00B2241D"/>
    <w:pPr>
      <w:spacing w:after="0" w:line="240" w:lineRule="auto"/>
    </w:pPr>
  </w:style>
  <w:style w:type="paragraph" w:styleId="BalloonText">
    <w:name w:val="Balloon Text"/>
    <w:basedOn w:val="Normal"/>
    <w:link w:val="BalloonTextChar"/>
    <w:uiPriority w:val="99"/>
    <w:semiHidden/>
    <w:unhideWhenUsed/>
    <w:rsid w:val="00B22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1D"/>
    <w:rPr>
      <w:rFonts w:ascii="Segoe UI" w:hAnsi="Segoe UI" w:cs="Segoe UI"/>
      <w:sz w:val="18"/>
      <w:szCs w:val="18"/>
    </w:rPr>
  </w:style>
  <w:style w:type="character" w:styleId="CommentReference">
    <w:name w:val="annotation reference"/>
    <w:basedOn w:val="DefaultParagraphFont"/>
    <w:uiPriority w:val="99"/>
    <w:semiHidden/>
    <w:unhideWhenUsed/>
    <w:rsid w:val="007D71ED"/>
    <w:rPr>
      <w:sz w:val="16"/>
      <w:szCs w:val="16"/>
    </w:rPr>
  </w:style>
  <w:style w:type="paragraph" w:styleId="CommentText">
    <w:name w:val="annotation text"/>
    <w:basedOn w:val="Normal"/>
    <w:link w:val="CommentTextChar"/>
    <w:uiPriority w:val="99"/>
    <w:semiHidden/>
    <w:unhideWhenUsed/>
    <w:rsid w:val="007D71ED"/>
    <w:pPr>
      <w:spacing w:line="240" w:lineRule="auto"/>
    </w:pPr>
    <w:rPr>
      <w:sz w:val="20"/>
      <w:szCs w:val="20"/>
    </w:rPr>
  </w:style>
  <w:style w:type="character" w:customStyle="1" w:styleId="CommentTextChar">
    <w:name w:val="Comment Text Char"/>
    <w:basedOn w:val="DefaultParagraphFont"/>
    <w:link w:val="CommentText"/>
    <w:uiPriority w:val="99"/>
    <w:semiHidden/>
    <w:rsid w:val="007D71ED"/>
    <w:rPr>
      <w:sz w:val="20"/>
      <w:szCs w:val="20"/>
    </w:rPr>
  </w:style>
  <w:style w:type="paragraph" w:styleId="CommentSubject">
    <w:name w:val="annotation subject"/>
    <w:basedOn w:val="CommentText"/>
    <w:next w:val="CommentText"/>
    <w:link w:val="CommentSubjectChar"/>
    <w:uiPriority w:val="99"/>
    <w:semiHidden/>
    <w:unhideWhenUsed/>
    <w:rsid w:val="007D71ED"/>
    <w:rPr>
      <w:b/>
      <w:bCs/>
    </w:rPr>
  </w:style>
  <w:style w:type="character" w:customStyle="1" w:styleId="CommentSubjectChar">
    <w:name w:val="Comment Subject Char"/>
    <w:basedOn w:val="CommentTextChar"/>
    <w:link w:val="CommentSubject"/>
    <w:uiPriority w:val="99"/>
    <w:semiHidden/>
    <w:rsid w:val="007D71ED"/>
    <w:rPr>
      <w:b/>
      <w:bCs/>
      <w:sz w:val="20"/>
      <w:szCs w:val="20"/>
    </w:rPr>
  </w:style>
  <w:style w:type="character" w:customStyle="1" w:styleId="Heading5Char">
    <w:name w:val="Heading 5 Char"/>
    <w:basedOn w:val="DefaultParagraphFont"/>
    <w:link w:val="Heading5"/>
    <w:uiPriority w:val="9"/>
    <w:rsid w:val="00EF694A"/>
    <w:rPr>
      <w:rFonts w:ascii="Times New Roman Bold" w:eastAsiaTheme="majorEastAsia" w:hAnsi="Times New Roman Bold" w:cstheme="majorBidi"/>
      <w:b/>
      <w:sz w:val="24"/>
    </w:rPr>
  </w:style>
  <w:style w:type="paragraph" w:styleId="TOC5">
    <w:name w:val="toc 5"/>
    <w:basedOn w:val="Normal"/>
    <w:next w:val="Normal"/>
    <w:autoRedefine/>
    <w:uiPriority w:val="39"/>
    <w:unhideWhenUsed/>
    <w:rsid w:val="005F2836"/>
    <w:pPr>
      <w:spacing w:after="120" w:line="240" w:lineRule="auto"/>
      <w:ind w:left="3600" w:hanging="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87"/>
  </w:style>
  <w:style w:type="paragraph" w:styleId="Heading1">
    <w:name w:val="heading 1"/>
    <w:basedOn w:val="Normal"/>
    <w:next w:val="Normal"/>
    <w:link w:val="Heading1Char"/>
    <w:uiPriority w:val="9"/>
    <w:qFormat/>
    <w:rsid w:val="00BF2D87"/>
    <w:pPr>
      <w:keepNext/>
      <w:keepLines/>
      <w:spacing w:after="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
    <w:unhideWhenUsed/>
    <w:qFormat/>
    <w:rsid w:val="00BF2D87"/>
    <w:pPr>
      <w:keepNext/>
      <w:keepLines/>
      <w:spacing w:after="240" w:line="240" w:lineRule="auto"/>
      <w:ind w:left="1440" w:hanging="720"/>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E66D9C"/>
    <w:pPr>
      <w:keepNext/>
      <w:keepLines/>
      <w:spacing w:after="240" w:line="240" w:lineRule="auto"/>
      <w:ind w:left="2160" w:hanging="720"/>
      <w:outlineLvl w:val="2"/>
    </w:pPr>
    <w:rPr>
      <w:rFonts w:ascii="Times New Roman Bold" w:eastAsiaTheme="majorEastAsia" w:hAnsi="Times New Roman Bold" w:cstheme="majorBidi"/>
      <w:b/>
      <w:bCs/>
      <w:sz w:val="24"/>
    </w:rPr>
  </w:style>
  <w:style w:type="paragraph" w:styleId="Heading4">
    <w:name w:val="heading 4"/>
    <w:basedOn w:val="Normal"/>
    <w:next w:val="Normal"/>
    <w:link w:val="Heading4Char"/>
    <w:uiPriority w:val="9"/>
    <w:unhideWhenUsed/>
    <w:qFormat/>
    <w:rsid w:val="00E66D9C"/>
    <w:pPr>
      <w:keepNext/>
      <w:keepLines/>
      <w:spacing w:after="240" w:line="240" w:lineRule="auto"/>
      <w:ind w:left="2880" w:hanging="720"/>
      <w:outlineLvl w:val="3"/>
    </w:pPr>
    <w:rPr>
      <w:rFonts w:ascii="Times New Roman Bold" w:eastAsiaTheme="majorEastAsia" w:hAnsi="Times New Roman Bold" w:cstheme="majorBidi"/>
      <w:b/>
      <w:bCs/>
      <w:iCs/>
      <w:sz w:val="24"/>
    </w:rPr>
  </w:style>
  <w:style w:type="paragraph" w:styleId="Heading5">
    <w:name w:val="heading 5"/>
    <w:basedOn w:val="Normal"/>
    <w:next w:val="Normal"/>
    <w:link w:val="Heading5Char"/>
    <w:uiPriority w:val="9"/>
    <w:unhideWhenUsed/>
    <w:qFormat/>
    <w:rsid w:val="00EF694A"/>
    <w:pPr>
      <w:keepNext/>
      <w:keepLines/>
      <w:spacing w:after="240"/>
      <w:ind w:left="3600" w:hanging="720"/>
      <w:outlineLvl w:val="4"/>
    </w:pPr>
    <w:rPr>
      <w:rFonts w:ascii="Times New Roman Bold" w:eastAsiaTheme="majorEastAsia" w:hAnsi="Times New Roman Bold"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fn"/>
    <w:basedOn w:val="Normal"/>
    <w:link w:val="FootnoteTextChar"/>
    <w:uiPriority w:val="99"/>
    <w:unhideWhenUsed/>
    <w:rsid w:val="00BA0917"/>
    <w:pPr>
      <w:spacing w:after="0" w:line="240" w:lineRule="auto"/>
    </w:pPr>
    <w:rPr>
      <w:rFonts w:eastAsiaTheme="minorEastAsia"/>
      <w:sz w:val="20"/>
      <w:szCs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fn Char"/>
    <w:basedOn w:val="DefaultParagraphFont"/>
    <w:link w:val="FootnoteText"/>
    <w:uiPriority w:val="99"/>
    <w:rsid w:val="00BA0917"/>
    <w:rPr>
      <w:rFonts w:eastAsiaTheme="minorEastAsia"/>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basedOn w:val="DefaultParagraphFont"/>
    <w:uiPriority w:val="99"/>
    <w:unhideWhenUsed/>
    <w:rsid w:val="00E332AB"/>
    <w:rPr>
      <w:vertAlign w:val="superscript"/>
    </w:rPr>
  </w:style>
  <w:style w:type="paragraph" w:styleId="ListParagraph">
    <w:name w:val="List Paragraph"/>
    <w:basedOn w:val="Normal"/>
    <w:uiPriority w:val="34"/>
    <w:qFormat/>
    <w:rsid w:val="00201D86"/>
    <w:pPr>
      <w:ind w:left="720"/>
      <w:contextualSpacing/>
    </w:pPr>
  </w:style>
  <w:style w:type="paragraph" w:styleId="Header">
    <w:name w:val="header"/>
    <w:basedOn w:val="Normal"/>
    <w:link w:val="HeaderChar"/>
    <w:uiPriority w:val="99"/>
    <w:unhideWhenUsed/>
    <w:rsid w:val="00BF2D8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BF2D87"/>
    <w:rPr>
      <w:rFonts w:eastAsiaTheme="minorEastAsia"/>
    </w:rPr>
  </w:style>
  <w:style w:type="paragraph" w:styleId="Footer">
    <w:name w:val="footer"/>
    <w:basedOn w:val="Normal"/>
    <w:link w:val="FooterChar"/>
    <w:uiPriority w:val="99"/>
    <w:unhideWhenUsed/>
    <w:rsid w:val="00BF2D8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F2D87"/>
    <w:rPr>
      <w:rFonts w:eastAsiaTheme="minorEastAsia"/>
    </w:rPr>
  </w:style>
  <w:style w:type="character" w:customStyle="1" w:styleId="Heading1Char">
    <w:name w:val="Heading 1 Char"/>
    <w:basedOn w:val="DefaultParagraphFont"/>
    <w:link w:val="Heading1"/>
    <w:uiPriority w:val="9"/>
    <w:rsid w:val="00BF2D87"/>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BF2D87"/>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rsid w:val="00E66D9C"/>
    <w:rPr>
      <w:rFonts w:ascii="Times New Roman Bold" w:eastAsiaTheme="majorEastAsia" w:hAnsi="Times New Roman Bold" w:cstheme="majorBidi"/>
      <w:b/>
      <w:bCs/>
      <w:sz w:val="24"/>
    </w:rPr>
  </w:style>
  <w:style w:type="character" w:customStyle="1" w:styleId="Heading4Char">
    <w:name w:val="Heading 4 Char"/>
    <w:basedOn w:val="DefaultParagraphFont"/>
    <w:link w:val="Heading4"/>
    <w:uiPriority w:val="9"/>
    <w:rsid w:val="00E66D9C"/>
    <w:rPr>
      <w:rFonts w:ascii="Times New Roman Bold" w:eastAsiaTheme="majorEastAsia" w:hAnsi="Times New Roman Bold" w:cstheme="majorBidi"/>
      <w:b/>
      <w:bCs/>
      <w:iCs/>
      <w:sz w:val="24"/>
    </w:rPr>
  </w:style>
  <w:style w:type="table" w:styleId="TableGrid">
    <w:name w:val="Table Grid"/>
    <w:basedOn w:val="TableNormal"/>
    <w:uiPriority w:val="59"/>
    <w:rsid w:val="00EC34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C87"/>
    <w:rPr>
      <w:color w:val="0000FF" w:themeColor="hyperlink"/>
      <w:u w:val="single"/>
    </w:rPr>
  </w:style>
  <w:style w:type="paragraph" w:styleId="TOC1">
    <w:name w:val="toc 1"/>
    <w:basedOn w:val="Normal"/>
    <w:next w:val="Normal"/>
    <w:autoRedefine/>
    <w:uiPriority w:val="39"/>
    <w:unhideWhenUsed/>
    <w:rsid w:val="00D41C87"/>
    <w:pPr>
      <w:tabs>
        <w:tab w:val="left" w:pos="720"/>
        <w:tab w:val="decimal" w:leader="dot" w:pos="8640"/>
      </w:tabs>
      <w:spacing w:after="12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rsid w:val="00D41C87"/>
    <w:pPr>
      <w:tabs>
        <w:tab w:val="left" w:pos="720"/>
        <w:tab w:val="left" w:pos="1440"/>
        <w:tab w:val="decimal" w:leader="dot" w:pos="8640"/>
      </w:tabs>
      <w:spacing w:after="120" w:line="240" w:lineRule="auto"/>
      <w:ind w:left="1440" w:hanging="720"/>
    </w:pPr>
    <w:rPr>
      <w:rFonts w:ascii="Times New Roman" w:hAnsi="Times New Roman"/>
      <w:sz w:val="24"/>
    </w:rPr>
  </w:style>
  <w:style w:type="paragraph" w:styleId="TOC3">
    <w:name w:val="toc 3"/>
    <w:basedOn w:val="Normal"/>
    <w:next w:val="Normal"/>
    <w:autoRedefine/>
    <w:uiPriority w:val="39"/>
    <w:unhideWhenUsed/>
    <w:rsid w:val="00D41C87"/>
    <w:pPr>
      <w:tabs>
        <w:tab w:val="left" w:pos="720"/>
        <w:tab w:val="left" w:pos="1440"/>
        <w:tab w:val="decimal" w:leader="dot" w:pos="8640"/>
      </w:tabs>
      <w:spacing w:after="12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D41C87"/>
    <w:pPr>
      <w:tabs>
        <w:tab w:val="left" w:pos="720"/>
        <w:tab w:val="left" w:pos="1440"/>
        <w:tab w:val="left" w:pos="2160"/>
        <w:tab w:val="decimal" w:leader="dot" w:pos="8640"/>
      </w:tabs>
      <w:spacing w:after="120" w:line="240" w:lineRule="auto"/>
      <w:ind w:left="2880" w:hanging="720"/>
    </w:pPr>
    <w:rPr>
      <w:rFonts w:ascii="Times New Roman" w:hAnsi="Times New Roman"/>
      <w:sz w:val="24"/>
    </w:rPr>
  </w:style>
  <w:style w:type="paragraph" w:styleId="Revision">
    <w:name w:val="Revision"/>
    <w:hidden/>
    <w:uiPriority w:val="99"/>
    <w:semiHidden/>
    <w:rsid w:val="00B2241D"/>
    <w:pPr>
      <w:spacing w:after="0" w:line="240" w:lineRule="auto"/>
    </w:pPr>
  </w:style>
  <w:style w:type="paragraph" w:styleId="BalloonText">
    <w:name w:val="Balloon Text"/>
    <w:basedOn w:val="Normal"/>
    <w:link w:val="BalloonTextChar"/>
    <w:uiPriority w:val="99"/>
    <w:semiHidden/>
    <w:unhideWhenUsed/>
    <w:rsid w:val="00B22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1D"/>
    <w:rPr>
      <w:rFonts w:ascii="Segoe UI" w:hAnsi="Segoe UI" w:cs="Segoe UI"/>
      <w:sz w:val="18"/>
      <w:szCs w:val="18"/>
    </w:rPr>
  </w:style>
  <w:style w:type="character" w:styleId="CommentReference">
    <w:name w:val="annotation reference"/>
    <w:basedOn w:val="DefaultParagraphFont"/>
    <w:uiPriority w:val="99"/>
    <w:semiHidden/>
    <w:unhideWhenUsed/>
    <w:rsid w:val="007D71ED"/>
    <w:rPr>
      <w:sz w:val="16"/>
      <w:szCs w:val="16"/>
    </w:rPr>
  </w:style>
  <w:style w:type="paragraph" w:styleId="CommentText">
    <w:name w:val="annotation text"/>
    <w:basedOn w:val="Normal"/>
    <w:link w:val="CommentTextChar"/>
    <w:uiPriority w:val="99"/>
    <w:semiHidden/>
    <w:unhideWhenUsed/>
    <w:rsid w:val="007D71ED"/>
    <w:pPr>
      <w:spacing w:line="240" w:lineRule="auto"/>
    </w:pPr>
    <w:rPr>
      <w:sz w:val="20"/>
      <w:szCs w:val="20"/>
    </w:rPr>
  </w:style>
  <w:style w:type="character" w:customStyle="1" w:styleId="CommentTextChar">
    <w:name w:val="Comment Text Char"/>
    <w:basedOn w:val="DefaultParagraphFont"/>
    <w:link w:val="CommentText"/>
    <w:uiPriority w:val="99"/>
    <w:semiHidden/>
    <w:rsid w:val="007D71ED"/>
    <w:rPr>
      <w:sz w:val="20"/>
      <w:szCs w:val="20"/>
    </w:rPr>
  </w:style>
  <w:style w:type="paragraph" w:styleId="CommentSubject">
    <w:name w:val="annotation subject"/>
    <w:basedOn w:val="CommentText"/>
    <w:next w:val="CommentText"/>
    <w:link w:val="CommentSubjectChar"/>
    <w:uiPriority w:val="99"/>
    <w:semiHidden/>
    <w:unhideWhenUsed/>
    <w:rsid w:val="007D71ED"/>
    <w:rPr>
      <w:b/>
      <w:bCs/>
    </w:rPr>
  </w:style>
  <w:style w:type="character" w:customStyle="1" w:styleId="CommentSubjectChar">
    <w:name w:val="Comment Subject Char"/>
    <w:basedOn w:val="CommentTextChar"/>
    <w:link w:val="CommentSubject"/>
    <w:uiPriority w:val="99"/>
    <w:semiHidden/>
    <w:rsid w:val="007D71ED"/>
    <w:rPr>
      <w:b/>
      <w:bCs/>
      <w:sz w:val="20"/>
      <w:szCs w:val="20"/>
    </w:rPr>
  </w:style>
  <w:style w:type="character" w:customStyle="1" w:styleId="Heading5Char">
    <w:name w:val="Heading 5 Char"/>
    <w:basedOn w:val="DefaultParagraphFont"/>
    <w:link w:val="Heading5"/>
    <w:uiPriority w:val="9"/>
    <w:rsid w:val="00EF694A"/>
    <w:rPr>
      <w:rFonts w:ascii="Times New Roman Bold" w:eastAsiaTheme="majorEastAsia" w:hAnsi="Times New Roman Bold" w:cstheme="majorBidi"/>
      <w:b/>
      <w:sz w:val="24"/>
    </w:rPr>
  </w:style>
  <w:style w:type="paragraph" w:styleId="TOC5">
    <w:name w:val="toc 5"/>
    <w:basedOn w:val="Normal"/>
    <w:next w:val="Normal"/>
    <w:autoRedefine/>
    <w:uiPriority w:val="39"/>
    <w:unhideWhenUsed/>
    <w:rsid w:val="005F2836"/>
    <w:pPr>
      <w:spacing w:after="120" w:line="240" w:lineRule="auto"/>
      <w:ind w:left="3600" w:hanging="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69329">
      <w:bodyDiv w:val="1"/>
      <w:marLeft w:val="0"/>
      <w:marRight w:val="0"/>
      <w:marTop w:val="0"/>
      <w:marBottom w:val="0"/>
      <w:divBdr>
        <w:top w:val="none" w:sz="0" w:space="0" w:color="auto"/>
        <w:left w:val="none" w:sz="0" w:space="0" w:color="auto"/>
        <w:bottom w:val="none" w:sz="0" w:space="0" w:color="auto"/>
        <w:right w:val="none" w:sz="0" w:space="0" w:color="auto"/>
      </w:divBdr>
    </w:div>
    <w:div w:id="7438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Steven.beeler@puc.state.oh.us" TargetMode="External"/><Relationship Id="rId39" Type="http://schemas.openxmlformats.org/officeDocument/2006/relationships/hyperlink" Target="mailto:ricks@ohanet.org" TargetMode="External"/><Relationship Id="rId21" Type="http://schemas.openxmlformats.org/officeDocument/2006/relationships/hyperlink" Target="mailto:Jodi.bair@occ.ohio.gov" TargetMode="External"/><Relationship Id="rId34" Type="http://schemas.openxmlformats.org/officeDocument/2006/relationships/hyperlink" Target="mailto:callwein@keglerbrown.com" TargetMode="External"/><Relationship Id="rId42" Type="http://schemas.openxmlformats.org/officeDocument/2006/relationships/hyperlink" Target="mailto:joliker@igsenergy.com" TargetMode="External"/><Relationship Id="rId47" Type="http://schemas.openxmlformats.org/officeDocument/2006/relationships/hyperlink" Target="mailto:chris@envlaw.com" TargetMode="External"/><Relationship Id="rId50" Type="http://schemas.openxmlformats.org/officeDocument/2006/relationships/hyperlink" Target="mailto:stnourse@aep.com" TargetMode="External"/><Relationship Id="rId55" Type="http://schemas.openxmlformats.org/officeDocument/2006/relationships/hyperlink" Target="mailto:kboehm@BKLlawfirm.com" TargetMode="External"/><Relationship Id="rId63" Type="http://schemas.openxmlformats.org/officeDocument/2006/relationships/hyperlink" Target="mailto:lhawrot@spilmanlaw.com" TargetMode="External"/><Relationship Id="rId68" Type="http://schemas.openxmlformats.org/officeDocument/2006/relationships/hyperlink" Target="mailto:Bojko@carpenterlipps.com"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mailto:drinebolt@ohiopartners.org"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mailto:jmcdermott@firstenergycorp.com" TargetMode="External"/><Relationship Id="rId11" Type="http://schemas.openxmlformats.org/officeDocument/2006/relationships/hyperlink" Target="mailto:dstinson@bricker.com" TargetMode="External"/><Relationship Id="rId24" Type="http://schemas.openxmlformats.org/officeDocument/2006/relationships/hyperlink" Target="mailto:msmalz@ohiopovertylaw.org" TargetMode="External"/><Relationship Id="rId32" Type="http://schemas.openxmlformats.org/officeDocument/2006/relationships/hyperlink" Target="mailto:talexander@calfee.com" TargetMode="External"/><Relationship Id="rId37" Type="http://schemas.openxmlformats.org/officeDocument/2006/relationships/hyperlink" Target="mailto:twilliams@snhslaw.com" TargetMode="External"/><Relationship Id="rId40" Type="http://schemas.openxmlformats.org/officeDocument/2006/relationships/hyperlink" Target="mailto:tobrien@bricker.com" TargetMode="External"/><Relationship Id="rId45" Type="http://schemas.openxmlformats.org/officeDocument/2006/relationships/hyperlink" Target="mailto:sfisk@earthjustice.org" TargetMode="External"/><Relationship Id="rId53" Type="http://schemas.openxmlformats.org/officeDocument/2006/relationships/hyperlink" Target="mailto:dconway@porterwright.com" TargetMode="External"/><Relationship Id="rId58" Type="http://schemas.openxmlformats.org/officeDocument/2006/relationships/hyperlink" Target="mailto:fdarr@mwncmh.com" TargetMode="External"/><Relationship Id="rId66" Type="http://schemas.openxmlformats.org/officeDocument/2006/relationships/hyperlink" Target="mailto:Stephen.Chriss@walmart.com" TargetMode="External"/><Relationship Id="rId74" Type="http://schemas.openxmlformats.org/officeDocument/2006/relationships/hyperlink" Target="mailto:laurie.williams@sierraclub.org"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Scott.Campbell@ThompsonHine.com" TargetMode="External"/><Relationship Id="rId82" Type="http://schemas.microsoft.com/office/2011/relationships/commentsExtended" Target="commentsExtended.xml"/><Relationship Id="rId10" Type="http://schemas.openxmlformats.org/officeDocument/2006/relationships/hyperlink" Target="mailto:kevin.moore@occ.ohio.gov" TargetMode="External"/><Relationship Id="rId19" Type="http://schemas.openxmlformats.org/officeDocument/2006/relationships/footer" Target="footer4.xml"/><Relationship Id="rId31" Type="http://schemas.openxmlformats.org/officeDocument/2006/relationships/hyperlink" Target="mailto:jlang@calfee.com" TargetMode="External"/><Relationship Id="rId44" Type="http://schemas.openxmlformats.org/officeDocument/2006/relationships/hyperlink" Target="mailto:gpoulos@enernoc.com" TargetMode="External"/><Relationship Id="rId52" Type="http://schemas.openxmlformats.org/officeDocument/2006/relationships/hyperlink" Target="mailto:msmckenzie@aep.com" TargetMode="External"/><Relationship Id="rId60" Type="http://schemas.openxmlformats.org/officeDocument/2006/relationships/hyperlink" Target="mailto:Kurt.Helfrich@ThompsonHine.com" TargetMode="External"/><Relationship Id="rId65" Type="http://schemas.openxmlformats.org/officeDocument/2006/relationships/hyperlink" Target="mailto:charris@spilmanlaw.com" TargetMode="External"/><Relationship Id="rId73" Type="http://schemas.openxmlformats.org/officeDocument/2006/relationships/hyperlink" Target="mailto:jennifer.spinosi@directenergy.co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di.bair@occ.ohio.gov" TargetMode="External"/><Relationship Id="rId14" Type="http://schemas.openxmlformats.org/officeDocument/2006/relationships/header" Target="header2.xml"/><Relationship Id="rId22" Type="http://schemas.openxmlformats.org/officeDocument/2006/relationships/hyperlink" Target="mailto:kevin.moore@occ.ohio.gov" TargetMode="External"/><Relationship Id="rId27" Type="http://schemas.openxmlformats.org/officeDocument/2006/relationships/hyperlink" Target="mailto:Werner.margard@puc.state.oh.us" TargetMode="External"/><Relationship Id="rId30" Type="http://schemas.openxmlformats.org/officeDocument/2006/relationships/hyperlink" Target="mailto:scasto@firstenergycorp.com" TargetMode="External"/><Relationship Id="rId35" Type="http://schemas.openxmlformats.org/officeDocument/2006/relationships/hyperlink" Target="mailto:tony.mendoza@sierraclub.org" TargetMode="External"/><Relationship Id="rId43" Type="http://schemas.openxmlformats.org/officeDocument/2006/relationships/hyperlink" Target="mailto:sechler@carpenterlipps.com" TargetMode="External"/><Relationship Id="rId48" Type="http://schemas.openxmlformats.org/officeDocument/2006/relationships/hyperlink" Target="mailto:todonnell@dickinsonwright.com" TargetMode="External"/><Relationship Id="rId56" Type="http://schemas.openxmlformats.org/officeDocument/2006/relationships/hyperlink" Target="mailto:jkylercohn@BKLlawfirm.com" TargetMode="External"/><Relationship Id="rId64" Type="http://schemas.openxmlformats.org/officeDocument/2006/relationships/hyperlink" Target="mailto:dwilliamson@spilmanlaw.com" TargetMode="External"/><Relationship Id="rId69" Type="http://schemas.openxmlformats.org/officeDocument/2006/relationships/hyperlink" Target="mailto:orourke@carpenterlipps.com" TargetMode="External"/><Relationship Id="rId77" Type="http://schemas.openxmlformats.org/officeDocument/2006/relationships/footer" Target="footer6.xml"/><Relationship Id="rId8" Type="http://schemas.openxmlformats.org/officeDocument/2006/relationships/hyperlink" Target="mailto:William.michael@occ.ohio.gov" TargetMode="External"/><Relationship Id="rId51" Type="http://schemas.openxmlformats.org/officeDocument/2006/relationships/hyperlink" Target="mailto:mjsatterwhite@aep.com" TargetMode="External"/><Relationship Id="rId72" Type="http://schemas.openxmlformats.org/officeDocument/2006/relationships/hyperlink" Target="mailto:msoules@earthjustice.org" TargetMode="External"/><Relationship Id="rId3" Type="http://schemas.microsoft.com/office/2007/relationships/stylesWithEffects" Target="stylesWithEffects.xml"/><Relationship Id="rId12" Type="http://schemas.openxmlformats.org/officeDocument/2006/relationships/hyperlink" Target="mailto:msmalz@ohiopovertylaw.org"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mailto:myurick@taftlaw.com" TargetMode="External"/><Relationship Id="rId38" Type="http://schemas.openxmlformats.org/officeDocument/2006/relationships/hyperlink" Target="mailto:jeffrey.mayes@monitoringanalytics.com" TargetMode="External"/><Relationship Id="rId46" Type="http://schemas.openxmlformats.org/officeDocument/2006/relationships/hyperlink" Target="mailto:Kristin.henry@sierraclub.org" TargetMode="External"/><Relationship Id="rId59" Type="http://schemas.openxmlformats.org/officeDocument/2006/relationships/hyperlink" Target="mailto:mpritchard@mwncmh.com" TargetMode="External"/><Relationship Id="rId67" Type="http://schemas.openxmlformats.org/officeDocument/2006/relationships/hyperlink" Target="mailto:Schmidt@sppgrp.com" TargetMode="External"/><Relationship Id="rId20" Type="http://schemas.openxmlformats.org/officeDocument/2006/relationships/hyperlink" Target="mailto:William.michael@occ.ohio.gov" TargetMode="External"/><Relationship Id="rId41" Type="http://schemas.openxmlformats.org/officeDocument/2006/relationships/hyperlink" Target="mailto:mdortch@kravitzllc.com" TargetMode="External"/><Relationship Id="rId54" Type="http://schemas.openxmlformats.org/officeDocument/2006/relationships/hyperlink" Target="mailto:mkurtz@BKLlawfirm.com" TargetMode="External"/><Relationship Id="rId62" Type="http://schemas.openxmlformats.org/officeDocument/2006/relationships/hyperlink" Target="mailto:Stephanie.Chmiel@ThompsonHine.com" TargetMode="External"/><Relationship Id="rId70" Type="http://schemas.openxmlformats.org/officeDocument/2006/relationships/hyperlink" Target="mailto:cmooney@ohiopartners.org" TargetMode="External"/><Relationship Id="rId75" Type="http://schemas.openxmlformats.org/officeDocument/2006/relationships/hyperlink" Target="mailto:evelyn.robinson@pjm.com" TargetMode="External"/><Relationship Id="rId83"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dstinson@bricker.com" TargetMode="External"/><Relationship Id="rId28" Type="http://schemas.openxmlformats.org/officeDocument/2006/relationships/hyperlink" Target="mailto:haydenm@firstenergycorp.com" TargetMode="External"/><Relationship Id="rId36" Type="http://schemas.openxmlformats.org/officeDocument/2006/relationships/hyperlink" Target="mailto:tdougherty@theOEC.org" TargetMode="External"/><Relationship Id="rId49" Type="http://schemas.openxmlformats.org/officeDocument/2006/relationships/hyperlink" Target="mailto:rseiler@dickinsonwright.com" TargetMode="External"/><Relationship Id="rId57" Type="http://schemas.openxmlformats.org/officeDocument/2006/relationships/hyperlink" Target="mailto:sam@mwncm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11129</Words>
  <Characters>60108</Characters>
  <Application>Microsoft Office Word</Application>
  <DocSecurity>0</DocSecurity>
  <Lines>1173</Lines>
  <Paragraphs>353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71660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2016-01-10T16:33:00Z</cp:lastPrinted>
  <dcterms:created xsi:type="dcterms:W3CDTF">2016-02-08T21:57:00Z</dcterms:created>
  <dcterms:modified xsi:type="dcterms:W3CDTF">2016-02-08T21:57:00Z</dcterms:modified>
  <cp:category> </cp:category>
  <cp:contentStatus> </cp:contentStatus>
</cp:coreProperties>
</file>