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D5" w:rsidRPr="00A955F3" w:rsidRDefault="002215D5" w:rsidP="002215D5">
      <w:pPr>
        <w:pStyle w:val="NoSpacing"/>
        <w:jc w:val="center"/>
        <w:outlineLvl w:val="0"/>
        <w:rPr>
          <w:rFonts w:ascii="Times New Roman" w:hAnsi="Times New Roman"/>
          <w:b/>
          <w:color w:val="auto"/>
          <w:sz w:val="26"/>
          <w:szCs w:val="26"/>
        </w:rPr>
      </w:pPr>
      <w:r w:rsidRPr="00A955F3">
        <w:rPr>
          <w:rFonts w:ascii="Times New Roman" w:hAnsi="Times New Roman"/>
          <w:b/>
          <w:color w:val="auto"/>
          <w:sz w:val="26"/>
          <w:szCs w:val="26"/>
        </w:rPr>
        <w:t>Before the</w:t>
      </w:r>
    </w:p>
    <w:p w:rsidR="002215D5" w:rsidRPr="00A955F3" w:rsidRDefault="002215D5" w:rsidP="002215D5">
      <w:pPr>
        <w:pStyle w:val="NoSpacing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955F3">
        <w:rPr>
          <w:rFonts w:ascii="Times New Roman" w:hAnsi="Times New Roman"/>
          <w:b/>
          <w:color w:val="auto"/>
          <w:sz w:val="26"/>
          <w:szCs w:val="26"/>
        </w:rPr>
        <w:t>Federal Communications Commission</w:t>
      </w:r>
    </w:p>
    <w:p w:rsidR="002215D5" w:rsidRDefault="002215D5" w:rsidP="002215D5">
      <w:pPr>
        <w:pStyle w:val="NoSpacing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955F3">
        <w:rPr>
          <w:rFonts w:ascii="Times New Roman" w:hAnsi="Times New Roman"/>
          <w:b/>
          <w:color w:val="auto"/>
          <w:sz w:val="26"/>
          <w:szCs w:val="26"/>
        </w:rPr>
        <w:t>Washington, D.C.  20554</w:t>
      </w:r>
    </w:p>
    <w:p w:rsidR="00A955F3" w:rsidRPr="00A955F3" w:rsidRDefault="00A955F3" w:rsidP="002215D5">
      <w:pPr>
        <w:pStyle w:val="NoSpacing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303"/>
        <w:gridCol w:w="5076"/>
      </w:tblGrid>
      <w:tr w:rsidR="00A955F3" w:rsidTr="00A955F3">
        <w:tc>
          <w:tcPr>
            <w:tcW w:w="4773" w:type="dxa"/>
          </w:tcPr>
          <w:p w:rsidR="00A955F3" w:rsidRDefault="00A955F3" w:rsidP="002215D5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955F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In the Matter of</w:t>
            </w:r>
          </w:p>
          <w:p w:rsidR="00A955F3" w:rsidRDefault="00A955F3" w:rsidP="002215D5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955F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Rural Call Completion</w:t>
            </w:r>
          </w:p>
        </w:tc>
        <w:tc>
          <w:tcPr>
            <w:tcW w:w="303" w:type="dxa"/>
          </w:tcPr>
          <w:p w:rsidR="00A955F3" w:rsidRDefault="00A955F3" w:rsidP="002215D5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  <w:p w:rsidR="00A955F3" w:rsidRDefault="00A955F3" w:rsidP="002215D5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  <w:tc>
          <w:tcPr>
            <w:tcW w:w="5076" w:type="dxa"/>
          </w:tcPr>
          <w:p w:rsidR="00A955F3" w:rsidRDefault="00A955F3" w:rsidP="002215D5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955F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WC Docket No. 13-39</w:t>
            </w:r>
          </w:p>
        </w:tc>
      </w:tr>
    </w:tbl>
    <w:p w:rsidR="00A955F3" w:rsidRDefault="00A955F3" w:rsidP="00A955F3">
      <w:pPr>
        <w:tabs>
          <w:tab w:val="left" w:pos="9900"/>
        </w:tabs>
        <w:spacing w:after="24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  <w:u w:val="single"/>
        </w:rPr>
        <w:tab/>
      </w:r>
    </w:p>
    <w:p w:rsidR="00A955F3" w:rsidRDefault="00A955F3" w:rsidP="00A955F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REPLY COMMENTS</w:t>
      </w:r>
    </w:p>
    <w:p w:rsidR="00A955F3" w:rsidRDefault="00A955F3" w:rsidP="00A955F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SUBMITTED ON BEHALF OF</w:t>
      </w:r>
    </w:p>
    <w:p w:rsidR="00A955F3" w:rsidRDefault="00A955F3" w:rsidP="00A955F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THE PUBLIC UTILITIES COMMISSION OF OHIO</w:t>
      </w:r>
    </w:p>
    <w:p w:rsidR="00A955F3" w:rsidRDefault="00A955F3" w:rsidP="00A955F3">
      <w:pPr>
        <w:tabs>
          <w:tab w:val="left" w:pos="9900"/>
        </w:tabs>
        <w:spacing w:after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  <w:u w:val="single"/>
        </w:rPr>
        <w:tab/>
      </w:r>
    </w:p>
    <w:p w:rsidR="00A955F3" w:rsidRPr="00A955F3" w:rsidRDefault="00A955F3" w:rsidP="00A955F3">
      <w:pPr>
        <w:tabs>
          <w:tab w:val="left" w:pos="9900"/>
        </w:tabs>
        <w:spacing w:after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</w:p>
    <w:p w:rsidR="002215D5" w:rsidRPr="00A955F3" w:rsidRDefault="002215D5" w:rsidP="00A955F3">
      <w:pPr>
        <w:spacing w:after="0" w:line="480" w:lineRule="auto"/>
        <w:rPr>
          <w:rFonts w:ascii="Times New Roman" w:hAnsi="Times New Roman"/>
          <w:color w:val="auto"/>
          <w:sz w:val="26"/>
          <w:szCs w:val="26"/>
        </w:rPr>
      </w:pPr>
      <w:r w:rsidRPr="00A955F3">
        <w:rPr>
          <w:rFonts w:ascii="Times New Roman" w:hAnsi="Times New Roman"/>
          <w:color w:val="auto"/>
          <w:sz w:val="26"/>
          <w:szCs w:val="26"/>
        </w:rPr>
        <w:tab/>
        <w:t xml:space="preserve">The Public Utilities Commission of Ohio (Ohio Commission) </w:t>
      </w:r>
      <w:r w:rsidR="00A955F3">
        <w:rPr>
          <w:rFonts w:ascii="Times New Roman" w:hAnsi="Times New Roman"/>
          <w:color w:val="auto"/>
          <w:sz w:val="26"/>
          <w:szCs w:val="26"/>
        </w:rPr>
        <w:t>applauds</w:t>
      </w:r>
      <w:r w:rsidR="00A955F3" w:rsidRPr="00A955F3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A955F3">
        <w:rPr>
          <w:rFonts w:ascii="Times New Roman" w:hAnsi="Times New Roman"/>
          <w:color w:val="auto"/>
          <w:sz w:val="26"/>
          <w:szCs w:val="26"/>
        </w:rPr>
        <w:t xml:space="preserve">the efforts of the Federal Communications Commission (FCC) to address </w:t>
      </w:r>
      <w:r w:rsidR="00A955F3">
        <w:rPr>
          <w:rFonts w:ascii="Times New Roman" w:hAnsi="Times New Roman"/>
          <w:color w:val="auto"/>
          <w:sz w:val="26"/>
          <w:szCs w:val="26"/>
        </w:rPr>
        <w:t>with the myriad of issues regarding</w:t>
      </w:r>
      <w:r w:rsidRPr="00A955F3">
        <w:rPr>
          <w:rFonts w:ascii="Times New Roman" w:hAnsi="Times New Roman"/>
          <w:color w:val="auto"/>
          <w:sz w:val="26"/>
          <w:szCs w:val="26"/>
        </w:rPr>
        <w:t xml:space="preserve"> rural call completion</w:t>
      </w:r>
      <w:r w:rsidR="00A955F3">
        <w:rPr>
          <w:rFonts w:ascii="Times New Roman" w:hAnsi="Times New Roman"/>
          <w:color w:val="auto"/>
          <w:sz w:val="26"/>
          <w:szCs w:val="26"/>
        </w:rPr>
        <w:t xml:space="preserve">.  In this vein, the Ohio Commission </w:t>
      </w:r>
      <w:r w:rsidRPr="00A955F3">
        <w:rPr>
          <w:rFonts w:ascii="Times New Roman" w:hAnsi="Times New Roman"/>
          <w:color w:val="auto"/>
          <w:sz w:val="26"/>
          <w:szCs w:val="26"/>
        </w:rPr>
        <w:t xml:space="preserve">respectfully submits these reply comments in support of </w:t>
      </w:r>
      <w:r w:rsidR="0013246A" w:rsidRPr="00A955F3">
        <w:rPr>
          <w:rFonts w:ascii="Times New Roman" w:hAnsi="Times New Roman"/>
          <w:color w:val="auto"/>
          <w:sz w:val="26"/>
          <w:szCs w:val="26"/>
        </w:rPr>
        <w:t xml:space="preserve">the </w:t>
      </w:r>
      <w:r w:rsidRPr="00A955F3">
        <w:rPr>
          <w:rFonts w:ascii="Times New Roman" w:hAnsi="Times New Roman"/>
          <w:color w:val="auto"/>
          <w:sz w:val="26"/>
          <w:szCs w:val="26"/>
        </w:rPr>
        <w:t>initial comments filed in this pro</w:t>
      </w:r>
      <w:r w:rsidR="00FE1441">
        <w:rPr>
          <w:rFonts w:ascii="Times New Roman" w:hAnsi="Times New Roman"/>
          <w:color w:val="auto"/>
          <w:sz w:val="26"/>
          <w:szCs w:val="26"/>
        </w:rPr>
        <w:softHyphen/>
      </w:r>
      <w:r w:rsidRPr="00A955F3">
        <w:rPr>
          <w:rFonts w:ascii="Times New Roman" w:hAnsi="Times New Roman"/>
          <w:color w:val="auto"/>
          <w:sz w:val="26"/>
          <w:szCs w:val="26"/>
        </w:rPr>
        <w:t xml:space="preserve">ceeding by the National Association of Regulatory </w:t>
      </w:r>
      <w:r w:rsidR="00A955F3">
        <w:rPr>
          <w:rFonts w:ascii="Times New Roman" w:hAnsi="Times New Roman"/>
          <w:color w:val="auto"/>
          <w:sz w:val="26"/>
          <w:szCs w:val="26"/>
        </w:rPr>
        <w:t>U</w:t>
      </w:r>
      <w:r w:rsidR="00A955F3" w:rsidRPr="00A955F3">
        <w:rPr>
          <w:rFonts w:ascii="Times New Roman" w:hAnsi="Times New Roman"/>
          <w:color w:val="auto"/>
          <w:sz w:val="26"/>
          <w:szCs w:val="26"/>
        </w:rPr>
        <w:t xml:space="preserve">tility </w:t>
      </w:r>
      <w:r w:rsidRPr="00A955F3">
        <w:rPr>
          <w:rFonts w:ascii="Times New Roman" w:hAnsi="Times New Roman"/>
          <w:color w:val="auto"/>
          <w:sz w:val="26"/>
          <w:szCs w:val="26"/>
        </w:rPr>
        <w:t>Commissioners, the Missouri Public Service Commission and the Oregon Public Utilities Commission</w:t>
      </w:r>
      <w:r w:rsidR="00FE1441" w:rsidRPr="00A955F3">
        <w:rPr>
          <w:rFonts w:ascii="Times New Roman" w:hAnsi="Times New Roman"/>
          <w:color w:val="auto"/>
          <w:sz w:val="26"/>
          <w:szCs w:val="26"/>
        </w:rPr>
        <w:t xml:space="preserve">.  </w:t>
      </w:r>
      <w:r w:rsidRPr="00A955F3">
        <w:rPr>
          <w:rFonts w:ascii="Times New Roman" w:hAnsi="Times New Roman"/>
          <w:color w:val="auto"/>
          <w:sz w:val="26"/>
          <w:szCs w:val="26"/>
        </w:rPr>
        <w:t>The Ohio Commis</w:t>
      </w:r>
      <w:r w:rsidR="00FE1441">
        <w:rPr>
          <w:rFonts w:ascii="Times New Roman" w:hAnsi="Times New Roman"/>
          <w:color w:val="auto"/>
          <w:sz w:val="26"/>
          <w:szCs w:val="26"/>
        </w:rPr>
        <w:softHyphen/>
      </w:r>
      <w:r w:rsidRPr="00A955F3">
        <w:rPr>
          <w:rFonts w:ascii="Times New Roman" w:hAnsi="Times New Roman"/>
          <w:color w:val="auto"/>
          <w:sz w:val="26"/>
          <w:szCs w:val="26"/>
        </w:rPr>
        <w:t xml:space="preserve">sion </w:t>
      </w:r>
      <w:r w:rsidR="00A955F3">
        <w:rPr>
          <w:rFonts w:ascii="Times New Roman" w:hAnsi="Times New Roman"/>
          <w:color w:val="auto"/>
          <w:sz w:val="26"/>
          <w:szCs w:val="26"/>
        </w:rPr>
        <w:t>supports</w:t>
      </w:r>
      <w:r w:rsidR="0013246A" w:rsidRPr="00A955F3">
        <w:rPr>
          <w:rFonts w:ascii="Times New Roman" w:hAnsi="Times New Roman"/>
          <w:color w:val="auto"/>
          <w:sz w:val="26"/>
          <w:szCs w:val="26"/>
        </w:rPr>
        <w:t xml:space="preserve"> these comments and appreciates the FCC’s studied consideration of the</w:t>
      </w:r>
      <w:r w:rsidR="00A955F3">
        <w:rPr>
          <w:rFonts w:ascii="Times New Roman" w:hAnsi="Times New Roman"/>
          <w:color w:val="auto"/>
          <w:sz w:val="26"/>
          <w:szCs w:val="26"/>
        </w:rPr>
        <w:t>se</w:t>
      </w:r>
      <w:r w:rsidR="0013246A" w:rsidRPr="00A955F3">
        <w:rPr>
          <w:rFonts w:ascii="Times New Roman" w:hAnsi="Times New Roman"/>
          <w:color w:val="auto"/>
          <w:sz w:val="26"/>
          <w:szCs w:val="26"/>
        </w:rPr>
        <w:t xml:space="preserve"> comments as it </w:t>
      </w:r>
      <w:r w:rsidR="00A955F3">
        <w:rPr>
          <w:rFonts w:ascii="Times New Roman" w:hAnsi="Times New Roman"/>
          <w:color w:val="auto"/>
          <w:sz w:val="26"/>
          <w:szCs w:val="26"/>
        </w:rPr>
        <w:t>deliberates how best to address</w:t>
      </w:r>
      <w:r w:rsidR="0013246A" w:rsidRPr="00A955F3">
        <w:rPr>
          <w:rFonts w:ascii="Times New Roman" w:hAnsi="Times New Roman"/>
          <w:color w:val="auto"/>
          <w:sz w:val="26"/>
          <w:szCs w:val="26"/>
        </w:rPr>
        <w:t xml:space="preserve"> rural call completion</w:t>
      </w:r>
      <w:r w:rsidR="00AE4705" w:rsidRPr="00A955F3">
        <w:rPr>
          <w:rFonts w:ascii="Times New Roman" w:hAnsi="Times New Roman"/>
          <w:color w:val="auto"/>
          <w:sz w:val="26"/>
          <w:szCs w:val="26"/>
        </w:rPr>
        <w:t xml:space="preserve"> issues</w:t>
      </w:r>
      <w:r w:rsidR="0013246A" w:rsidRPr="00A955F3">
        <w:rPr>
          <w:rFonts w:ascii="Times New Roman" w:hAnsi="Times New Roman"/>
          <w:color w:val="auto"/>
          <w:sz w:val="26"/>
          <w:szCs w:val="26"/>
        </w:rPr>
        <w:t>.</w:t>
      </w:r>
    </w:p>
    <w:p w:rsidR="0013246A" w:rsidRPr="00A955F3" w:rsidRDefault="0013246A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color w:val="000000"/>
          <w:sz w:val="26"/>
          <w:szCs w:val="26"/>
          <w:lang w:bidi="ar-SA"/>
        </w:rPr>
      </w:pPr>
      <w:bookmarkStart w:id="0" w:name="_GoBack"/>
      <w:bookmarkEnd w:id="0"/>
      <w:r w:rsidRPr="00A955F3">
        <w:rPr>
          <w:rFonts w:ascii="Times New Roman" w:eastAsiaTheme="minorHAnsi" w:hAnsi="Times New Roman"/>
          <w:color w:val="000000"/>
          <w:sz w:val="26"/>
          <w:szCs w:val="26"/>
          <w:lang w:bidi="ar-SA"/>
        </w:rPr>
        <w:t>Respectfully submitted,</w:t>
      </w:r>
    </w:p>
    <w:p w:rsidR="0013246A" w:rsidRPr="00A955F3" w:rsidRDefault="0013246A" w:rsidP="001324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lang w:bidi="ar-SA"/>
        </w:rPr>
      </w:pPr>
    </w:p>
    <w:p w:rsidR="0013246A" w:rsidRPr="00562F15" w:rsidRDefault="0013246A" w:rsidP="00562F15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Viner Hand ITC" w:eastAsiaTheme="minorHAnsi" w:hAnsi="Viner Hand ITC"/>
          <w:i/>
          <w:iCs/>
          <w:color w:val="000000"/>
          <w:sz w:val="32"/>
          <w:szCs w:val="32"/>
          <w:u w:val="single"/>
          <w:lang w:bidi="ar-SA"/>
        </w:rPr>
      </w:pPr>
      <w:r w:rsidRPr="00562F15">
        <w:rPr>
          <w:rFonts w:ascii="Viner Hand ITC" w:eastAsiaTheme="minorHAnsi" w:hAnsi="Viner Hand ITC"/>
          <w:i/>
          <w:iCs/>
          <w:color w:val="000000"/>
          <w:sz w:val="32"/>
          <w:szCs w:val="32"/>
          <w:u w:val="single"/>
          <w:lang w:bidi="ar-SA"/>
        </w:rPr>
        <w:t>/s/William L. Wright</w:t>
      </w:r>
      <w:r w:rsidR="00562F15" w:rsidRPr="00562F15">
        <w:rPr>
          <w:rFonts w:ascii="Viner Hand ITC" w:eastAsiaTheme="minorHAnsi" w:hAnsi="Viner Hand ITC"/>
          <w:i/>
          <w:iCs/>
          <w:color w:val="000000"/>
          <w:sz w:val="32"/>
          <w:szCs w:val="32"/>
          <w:u w:val="single"/>
          <w:lang w:bidi="ar-SA"/>
        </w:rPr>
        <w:tab/>
      </w:r>
    </w:p>
    <w:p w:rsidR="0013246A" w:rsidRPr="00A955F3" w:rsidRDefault="0013246A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b/>
          <w:bCs/>
          <w:color w:val="000000"/>
          <w:sz w:val="26"/>
          <w:szCs w:val="26"/>
          <w:lang w:bidi="ar-SA"/>
        </w:rPr>
      </w:pPr>
      <w:r w:rsidRPr="00A955F3">
        <w:rPr>
          <w:rFonts w:ascii="Times New Roman" w:eastAsiaTheme="minorHAnsi" w:hAnsi="Times New Roman"/>
          <w:b/>
          <w:bCs/>
          <w:color w:val="000000"/>
          <w:sz w:val="26"/>
          <w:szCs w:val="26"/>
          <w:lang w:bidi="ar-SA"/>
        </w:rPr>
        <w:t>William L. Wright</w:t>
      </w:r>
    </w:p>
    <w:p w:rsidR="0013246A" w:rsidRPr="00A955F3" w:rsidRDefault="0013246A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color w:val="000000"/>
          <w:sz w:val="26"/>
          <w:szCs w:val="26"/>
          <w:lang w:bidi="ar-SA"/>
        </w:rPr>
      </w:pPr>
      <w:r w:rsidRPr="00A955F3">
        <w:rPr>
          <w:rFonts w:ascii="Times New Roman" w:eastAsiaTheme="minorHAnsi" w:hAnsi="Times New Roman"/>
          <w:color w:val="000000"/>
          <w:sz w:val="26"/>
          <w:szCs w:val="26"/>
          <w:lang w:bidi="ar-SA"/>
        </w:rPr>
        <w:t>180 East Broad Street, 6th Floor</w:t>
      </w:r>
    </w:p>
    <w:p w:rsidR="0013246A" w:rsidRPr="00A955F3" w:rsidRDefault="0013246A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color w:val="000000"/>
          <w:sz w:val="26"/>
          <w:szCs w:val="26"/>
          <w:lang w:bidi="ar-SA"/>
        </w:rPr>
      </w:pPr>
      <w:r w:rsidRPr="00A955F3">
        <w:rPr>
          <w:rFonts w:ascii="Times New Roman" w:eastAsiaTheme="minorHAnsi" w:hAnsi="Times New Roman"/>
          <w:color w:val="000000"/>
          <w:sz w:val="26"/>
          <w:szCs w:val="26"/>
          <w:lang w:bidi="ar-SA"/>
        </w:rPr>
        <w:t>Columbus, OH 43215-3793</w:t>
      </w:r>
    </w:p>
    <w:p w:rsidR="0013246A" w:rsidRPr="00A955F3" w:rsidRDefault="0013246A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color w:val="000000"/>
          <w:sz w:val="26"/>
          <w:szCs w:val="26"/>
          <w:lang w:bidi="ar-SA"/>
        </w:rPr>
      </w:pPr>
      <w:r w:rsidRPr="00A955F3">
        <w:rPr>
          <w:rFonts w:ascii="Times New Roman" w:eastAsiaTheme="minorHAnsi" w:hAnsi="Times New Roman"/>
          <w:color w:val="000000"/>
          <w:sz w:val="26"/>
          <w:szCs w:val="26"/>
          <w:lang w:bidi="ar-SA"/>
        </w:rPr>
        <w:t>614.466.4397 (telephone)</w:t>
      </w:r>
    </w:p>
    <w:p w:rsidR="0013246A" w:rsidRPr="00A955F3" w:rsidRDefault="0013246A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color w:val="000000"/>
          <w:sz w:val="26"/>
          <w:szCs w:val="26"/>
          <w:lang w:bidi="ar-SA"/>
        </w:rPr>
      </w:pPr>
      <w:r w:rsidRPr="00A955F3">
        <w:rPr>
          <w:rFonts w:ascii="Times New Roman" w:eastAsiaTheme="minorHAnsi" w:hAnsi="Times New Roman"/>
          <w:color w:val="000000"/>
          <w:sz w:val="26"/>
          <w:szCs w:val="26"/>
          <w:lang w:bidi="ar-SA"/>
        </w:rPr>
        <w:t>614.644.8764 (fax)</w:t>
      </w:r>
    </w:p>
    <w:p w:rsidR="0013246A" w:rsidRDefault="00562F15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color w:val="auto"/>
          <w:sz w:val="26"/>
          <w:szCs w:val="26"/>
          <w:lang w:bidi="ar-SA"/>
        </w:rPr>
      </w:pPr>
      <w:hyperlink r:id="rId8" w:history="1">
        <w:r w:rsidR="00A955F3" w:rsidRPr="00DB4164">
          <w:rPr>
            <w:rStyle w:val="Hyperlink"/>
            <w:rFonts w:ascii="Times New Roman" w:eastAsiaTheme="minorHAnsi" w:hAnsi="Times New Roman"/>
            <w:sz w:val="26"/>
            <w:szCs w:val="26"/>
            <w:lang w:bidi="ar-SA"/>
          </w:rPr>
          <w:t>william.wright@puc.state.oh.us</w:t>
        </w:r>
      </w:hyperlink>
    </w:p>
    <w:p w:rsidR="00A955F3" w:rsidRDefault="00A955F3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b/>
          <w:bCs/>
          <w:color w:val="000000"/>
          <w:sz w:val="26"/>
          <w:szCs w:val="26"/>
          <w:lang w:bidi="ar-SA"/>
        </w:rPr>
      </w:pPr>
    </w:p>
    <w:p w:rsidR="0013246A" w:rsidRPr="00A955F3" w:rsidRDefault="0013246A" w:rsidP="00BD21A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b/>
          <w:bCs/>
          <w:color w:val="000000"/>
          <w:sz w:val="26"/>
          <w:szCs w:val="26"/>
          <w:lang w:bidi="ar-SA"/>
        </w:rPr>
      </w:pPr>
      <w:r w:rsidRPr="00A955F3">
        <w:rPr>
          <w:rFonts w:ascii="Times New Roman" w:eastAsiaTheme="minorHAnsi" w:hAnsi="Times New Roman"/>
          <w:b/>
          <w:bCs/>
          <w:color w:val="000000"/>
          <w:sz w:val="26"/>
          <w:szCs w:val="26"/>
          <w:lang w:bidi="ar-SA"/>
        </w:rPr>
        <w:t>On behalf of</w:t>
      </w:r>
    </w:p>
    <w:p w:rsidR="0013246A" w:rsidRPr="00A955F3" w:rsidRDefault="0013246A" w:rsidP="00BD21A7">
      <w:pPr>
        <w:ind w:left="4320" w:firstLine="720"/>
        <w:rPr>
          <w:rFonts w:ascii="Times New Roman" w:eastAsiaTheme="minorHAnsi" w:hAnsi="Times New Roman"/>
          <w:b/>
          <w:bCs/>
          <w:color w:val="000000"/>
          <w:sz w:val="26"/>
          <w:szCs w:val="26"/>
          <w:lang w:bidi="ar-SA"/>
        </w:rPr>
      </w:pPr>
      <w:r w:rsidRPr="00A955F3">
        <w:rPr>
          <w:rFonts w:ascii="Times New Roman" w:eastAsiaTheme="minorHAnsi" w:hAnsi="Times New Roman"/>
          <w:b/>
          <w:bCs/>
          <w:color w:val="000000"/>
          <w:sz w:val="26"/>
          <w:szCs w:val="26"/>
          <w:lang w:bidi="ar-SA"/>
        </w:rPr>
        <w:t>The Public Utilities Commission of Ohio</w:t>
      </w:r>
    </w:p>
    <w:p w:rsidR="00BD21A7" w:rsidRPr="00A955F3" w:rsidRDefault="00BD21A7" w:rsidP="00BD21A7">
      <w:pPr>
        <w:rPr>
          <w:rFonts w:ascii="Times New Roman" w:hAnsi="Times New Roman"/>
          <w:color w:val="auto"/>
          <w:sz w:val="26"/>
          <w:szCs w:val="26"/>
        </w:rPr>
      </w:pPr>
      <w:r w:rsidRPr="00A955F3">
        <w:rPr>
          <w:rFonts w:ascii="Times New Roman" w:hAnsi="Times New Roman"/>
          <w:color w:val="auto"/>
          <w:sz w:val="26"/>
          <w:szCs w:val="26"/>
        </w:rPr>
        <w:t>Dated:  February 1</w:t>
      </w:r>
      <w:r w:rsidR="00562F15">
        <w:rPr>
          <w:rFonts w:ascii="Times New Roman" w:hAnsi="Times New Roman"/>
          <w:color w:val="auto"/>
          <w:sz w:val="26"/>
          <w:szCs w:val="26"/>
        </w:rPr>
        <w:t>8</w:t>
      </w:r>
      <w:r w:rsidRPr="00A955F3">
        <w:rPr>
          <w:rFonts w:ascii="Times New Roman" w:hAnsi="Times New Roman"/>
          <w:color w:val="auto"/>
          <w:sz w:val="26"/>
          <w:szCs w:val="26"/>
        </w:rPr>
        <w:t>, 2014</w:t>
      </w:r>
    </w:p>
    <w:sectPr w:rsidR="00BD21A7" w:rsidRPr="00A955F3" w:rsidSect="00A955F3">
      <w:headerReference w:type="default" r:id="rId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43" w:rsidRDefault="00A80F43" w:rsidP="00BA2447">
      <w:pPr>
        <w:spacing w:after="0" w:line="240" w:lineRule="auto"/>
      </w:pPr>
      <w:r>
        <w:separator/>
      </w:r>
    </w:p>
  </w:endnote>
  <w:endnote w:type="continuationSeparator" w:id="0">
    <w:p w:rsidR="00A80F43" w:rsidRDefault="00A80F43" w:rsidP="00BA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43" w:rsidRDefault="00A80F43" w:rsidP="00BA2447">
      <w:pPr>
        <w:spacing w:after="0" w:line="240" w:lineRule="auto"/>
      </w:pPr>
      <w:r>
        <w:separator/>
      </w:r>
    </w:p>
  </w:footnote>
  <w:footnote w:type="continuationSeparator" w:id="0">
    <w:p w:rsidR="00A80F43" w:rsidRDefault="00A80F43" w:rsidP="00BA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47" w:rsidRPr="001B60FB" w:rsidRDefault="00BA2447" w:rsidP="00BA2447">
    <w:pPr>
      <w:pStyle w:val="Header"/>
      <w:jc w:val="center"/>
      <w:rPr>
        <w:rFonts w:ascii="Arial" w:hAnsi="Arial" w:cs="Arial"/>
        <w:b/>
        <w:color w:val="FF0000"/>
        <w:sz w:val="20"/>
        <w:szCs w:val="20"/>
      </w:rPr>
    </w:pPr>
    <w:r w:rsidRPr="001B60FB">
      <w:rPr>
        <w:rFonts w:ascii="Arial" w:hAnsi="Arial" w:cs="Arial"/>
        <w:b/>
        <w:color w:val="FF0000"/>
        <w:sz w:val="20"/>
        <w:szCs w:val="20"/>
      </w:rPr>
      <w:t xml:space="preserve">DRAFT - </w:t>
    </w:r>
    <w:r>
      <w:rPr>
        <w:rFonts w:ascii="Arial" w:hAnsi="Arial" w:cs="Arial"/>
        <w:b/>
        <w:color w:val="FF0000"/>
        <w:sz w:val="20"/>
        <w:szCs w:val="20"/>
      </w:rPr>
      <w:fldChar w:fldCharType="begin"/>
    </w:r>
    <w:r>
      <w:rPr>
        <w:rFonts w:ascii="Arial" w:hAnsi="Arial" w:cs="Arial"/>
        <w:b/>
        <w:color w:val="FF0000"/>
        <w:sz w:val="20"/>
        <w:szCs w:val="20"/>
      </w:rPr>
      <w:instrText xml:space="preserve"> DATE \@ "M/d/yyyy h:mm am/pm" </w:instrText>
    </w:r>
    <w:r>
      <w:rPr>
        <w:rFonts w:ascii="Arial" w:hAnsi="Arial" w:cs="Arial"/>
        <w:b/>
        <w:color w:val="FF0000"/>
        <w:sz w:val="20"/>
        <w:szCs w:val="20"/>
      </w:rPr>
      <w:fldChar w:fldCharType="separate"/>
    </w:r>
    <w:r w:rsidR="00562F15">
      <w:rPr>
        <w:rFonts w:ascii="Arial" w:hAnsi="Arial" w:cs="Arial"/>
        <w:b/>
        <w:noProof/>
        <w:color w:val="FF0000"/>
        <w:sz w:val="20"/>
        <w:szCs w:val="20"/>
      </w:rPr>
      <w:t>2/18/2014 7:40 AM</w:t>
    </w:r>
    <w:r>
      <w:rPr>
        <w:rFonts w:ascii="Arial" w:hAnsi="Arial" w:cs="Arial"/>
        <w:b/>
        <w:color w:val="FF0000"/>
        <w:sz w:val="20"/>
        <w:szCs w:val="20"/>
      </w:rPr>
      <w:fldChar w:fldCharType="end"/>
    </w:r>
    <w:r>
      <w:rPr>
        <w:rFonts w:ascii="Arial" w:hAnsi="Arial" w:cs="Arial"/>
        <w:b/>
        <w:color w:val="FF0000"/>
        <w:sz w:val="20"/>
        <w:szCs w:val="20"/>
      </w:rPr>
      <w:t xml:space="preserve"> - </w:t>
    </w:r>
    <w:r w:rsidR="00A955F3" w:rsidRPr="00A955F3">
      <w:rPr>
        <w:rFonts w:ascii="Arial" w:hAnsi="Arial" w:cs="Arial"/>
        <w:b/>
        <w:color w:val="FF0000"/>
        <w:sz w:val="20"/>
        <w:szCs w:val="20"/>
      </w:rPr>
      <w:fldChar w:fldCharType="begin"/>
    </w:r>
    <w:r w:rsidR="00A955F3" w:rsidRPr="00A955F3">
      <w:rPr>
        <w:rFonts w:ascii="Arial" w:hAnsi="Arial" w:cs="Arial"/>
        <w:b/>
        <w:color w:val="FF0000"/>
        <w:sz w:val="20"/>
        <w:szCs w:val="20"/>
      </w:rPr>
      <w:instrText xml:space="preserve"> FILENAME  \* Lower \p  \* MERGEFORMAT </w:instrText>
    </w:r>
    <w:r w:rsidR="00A955F3" w:rsidRPr="00A955F3">
      <w:rPr>
        <w:rFonts w:ascii="Arial" w:hAnsi="Arial" w:cs="Arial"/>
        <w:b/>
        <w:color w:val="FF0000"/>
        <w:sz w:val="20"/>
        <w:szCs w:val="20"/>
      </w:rPr>
      <w:fldChar w:fldCharType="separate"/>
    </w:r>
    <w:r w:rsidR="00562F15">
      <w:rPr>
        <w:rFonts w:ascii="Arial" w:hAnsi="Arial" w:cs="Arial"/>
        <w:b/>
        <w:noProof/>
        <w:color w:val="FF0000"/>
        <w:sz w:val="20"/>
        <w:szCs w:val="20"/>
      </w:rPr>
      <w:t>\\puc\shares\departments\attorney general\attorneys\wright\fcc\13-39\reply comments 021814.docx</w:t>
    </w:r>
    <w:r w:rsidR="00A955F3" w:rsidRPr="00A955F3">
      <w:rPr>
        <w:rFonts w:ascii="Arial" w:hAnsi="Arial" w:cs="Arial"/>
        <w:b/>
        <w:noProof/>
        <w:color w:val="FF0000"/>
        <w:sz w:val="20"/>
        <w:szCs w:val="20"/>
      </w:rPr>
      <w:fldChar w:fldCharType="end"/>
    </w:r>
    <w:r w:rsidR="00A955F3" w:rsidRPr="00A955F3">
      <w:rPr>
        <w:rFonts w:ascii="Arial" w:hAnsi="Arial" w:cs="Arial"/>
        <w:b/>
        <w:color w:val="FF0000"/>
        <w:sz w:val="20"/>
        <w:szCs w:val="20"/>
      </w:rPr>
      <w:t xml:space="preserve"> </w:t>
    </w:r>
    <w:r w:rsidRPr="001B60FB">
      <w:rPr>
        <w:rFonts w:ascii="Arial" w:hAnsi="Arial" w:cs="Arial"/>
        <w:b/>
        <w:color w:val="FF0000"/>
        <w:sz w:val="20"/>
        <w:szCs w:val="20"/>
      </w:rPr>
      <w:t xml:space="preserve"> </w:t>
    </w:r>
  </w:p>
  <w:p w:rsidR="00BA2447" w:rsidRPr="00BA2447" w:rsidRDefault="00BA2447" w:rsidP="00BA2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D5"/>
    <w:rsid w:val="0013246A"/>
    <w:rsid w:val="002215D5"/>
    <w:rsid w:val="002D2C5F"/>
    <w:rsid w:val="00431317"/>
    <w:rsid w:val="00562F15"/>
    <w:rsid w:val="00593B4A"/>
    <w:rsid w:val="00961D93"/>
    <w:rsid w:val="009E3A8D"/>
    <w:rsid w:val="00A80F43"/>
    <w:rsid w:val="00A955F3"/>
    <w:rsid w:val="00AE4705"/>
    <w:rsid w:val="00BA2447"/>
    <w:rsid w:val="00BD21A7"/>
    <w:rsid w:val="00D94398"/>
    <w:rsid w:val="00F35823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D5"/>
    <w:pPr>
      <w:spacing w:line="288" w:lineRule="auto"/>
    </w:pPr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215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24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447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447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47"/>
    <w:rPr>
      <w:rFonts w:ascii="Segoe UI" w:eastAsia="Times New Roman" w:hAnsi="Segoe UI" w:cs="Segoe UI"/>
      <w:color w:val="5A5A5A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A9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D5"/>
    <w:pPr>
      <w:spacing w:line="288" w:lineRule="auto"/>
    </w:pPr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215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24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447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447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47"/>
    <w:rPr>
      <w:rFonts w:ascii="Segoe UI" w:eastAsia="Times New Roman" w:hAnsi="Segoe UI" w:cs="Segoe UI"/>
      <w:color w:val="5A5A5A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A9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wright@puc.state.oh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EED4-F90E-466B-A0D8-627FCFEF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Well, Jason</dc:creator>
  <cp:lastModifiedBy>Keeton, Kim</cp:lastModifiedBy>
  <cp:revision>3</cp:revision>
  <cp:lastPrinted>2014-02-05T16:08:00Z</cp:lastPrinted>
  <dcterms:created xsi:type="dcterms:W3CDTF">2014-02-18T12:38:00Z</dcterms:created>
  <dcterms:modified xsi:type="dcterms:W3CDTF">2014-02-18T12:40:00Z</dcterms:modified>
</cp:coreProperties>
</file>