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42" w:rsidRDefault="00CF2942" w:rsidP="00CF294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F2942" w:rsidRDefault="00CF2942" w:rsidP="00CF2942">
      <w:pPr>
        <w:pStyle w:val="HTMLPreformatted"/>
        <w:jc w:val="center"/>
        <w:rPr>
          <w:rFonts w:ascii="Times New Roman" w:hAnsi="Times New Roman"/>
          <w:sz w:val="24"/>
        </w:rPr>
      </w:pPr>
      <w:r>
        <w:rPr>
          <w:rFonts w:ascii="Times New Roman" w:hAnsi="Times New Roman"/>
          <w:b/>
          <w:bCs/>
          <w:sz w:val="24"/>
        </w:rPr>
        <w:t>THE PUBLIC UTILITIES COMMISSION OF OHIO</w:t>
      </w:r>
    </w:p>
    <w:p w:rsidR="00CF2942" w:rsidRDefault="00CF2942" w:rsidP="00CF294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CF2942" w:rsidTr="00CF2942">
        <w:trPr>
          <w:trHeight w:val="807"/>
        </w:trPr>
        <w:tc>
          <w:tcPr>
            <w:tcW w:w="4332" w:type="dxa"/>
          </w:tcPr>
          <w:p w:rsidR="00CF2942" w:rsidRDefault="00CF2942">
            <w:pPr>
              <w:autoSpaceDE w:val="0"/>
              <w:autoSpaceDN w:val="0"/>
              <w:adjustRightInd w:val="0"/>
              <w:rPr>
                <w:szCs w:val="24"/>
              </w:rPr>
            </w:pPr>
            <w:r>
              <w:rPr>
                <w:szCs w:val="24"/>
              </w:rPr>
              <w:t>In the Matter of the Application of Duke</w:t>
            </w:r>
          </w:p>
          <w:p w:rsidR="00CF2942" w:rsidRDefault="00CF2942">
            <w:pPr>
              <w:autoSpaceDE w:val="0"/>
              <w:autoSpaceDN w:val="0"/>
              <w:adjustRightInd w:val="0"/>
              <w:rPr>
                <w:szCs w:val="24"/>
              </w:rPr>
            </w:pPr>
            <w:r>
              <w:rPr>
                <w:szCs w:val="24"/>
              </w:rPr>
              <w:t>Energy Ohio for Authority to Establish a</w:t>
            </w:r>
          </w:p>
          <w:p w:rsidR="00CF2942" w:rsidRDefault="00CF2942">
            <w:pPr>
              <w:autoSpaceDE w:val="0"/>
              <w:autoSpaceDN w:val="0"/>
              <w:adjustRightInd w:val="0"/>
              <w:rPr>
                <w:szCs w:val="24"/>
              </w:rPr>
            </w:pPr>
            <w:r>
              <w:rPr>
                <w:szCs w:val="24"/>
              </w:rPr>
              <w:t>Standard Service Offer Pursuant to Section 4928.143, Revised Code, in the Form of an Electric Security Plan, Accounting Modifications and Tariffs for Generation Service.</w:t>
            </w:r>
          </w:p>
          <w:p w:rsidR="00CF2942" w:rsidRDefault="00CF2942">
            <w:pPr>
              <w:autoSpaceDE w:val="0"/>
              <w:autoSpaceDN w:val="0"/>
              <w:adjustRightInd w:val="0"/>
              <w:rPr>
                <w:szCs w:val="24"/>
              </w:rPr>
            </w:pPr>
          </w:p>
          <w:p w:rsidR="00CF2942" w:rsidRDefault="00CF2942">
            <w:pPr>
              <w:autoSpaceDE w:val="0"/>
              <w:autoSpaceDN w:val="0"/>
              <w:adjustRightInd w:val="0"/>
              <w:rPr>
                <w:szCs w:val="24"/>
              </w:rPr>
            </w:pPr>
            <w:r>
              <w:rPr>
                <w:szCs w:val="24"/>
              </w:rPr>
              <w:t>In the Matter of the Application of Duke</w:t>
            </w:r>
          </w:p>
          <w:p w:rsidR="00CF2942" w:rsidRDefault="00CF2942">
            <w:pPr>
              <w:autoSpaceDE w:val="0"/>
              <w:autoSpaceDN w:val="0"/>
              <w:adjustRightInd w:val="0"/>
              <w:rPr>
                <w:szCs w:val="24"/>
              </w:rPr>
            </w:pPr>
            <w:r>
              <w:rPr>
                <w:szCs w:val="24"/>
              </w:rPr>
              <w:t>Energy Ohio for Authority to Amend its</w:t>
            </w:r>
          </w:p>
          <w:p w:rsidR="00CF2942" w:rsidRDefault="00CF2942">
            <w:pPr>
              <w:rPr>
                <w:szCs w:val="24"/>
              </w:rPr>
            </w:pPr>
            <w:r>
              <w:rPr>
                <w:szCs w:val="24"/>
              </w:rPr>
              <w:t xml:space="preserve">Certified Supplier Tariff, P.U.C.O. </w:t>
            </w:r>
          </w:p>
          <w:p w:rsidR="00CF2942" w:rsidRDefault="00CF2942">
            <w:pPr>
              <w:rPr>
                <w:szCs w:val="24"/>
              </w:rPr>
            </w:pPr>
            <w:r>
              <w:rPr>
                <w:szCs w:val="24"/>
              </w:rPr>
              <w:t xml:space="preserve">No. 20. </w:t>
            </w:r>
          </w:p>
        </w:tc>
        <w:tc>
          <w:tcPr>
            <w:tcW w:w="360" w:type="dxa"/>
          </w:tcPr>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p w:rsidR="00CF2942" w:rsidRDefault="00CF2942">
            <w:pPr>
              <w:pStyle w:val="HTMLPreformatted"/>
              <w:rPr>
                <w:rFonts w:ascii="Times New Roman" w:hAnsi="Times New Roman"/>
                <w:sz w:val="24"/>
              </w:rPr>
            </w:pPr>
            <w:r>
              <w:rPr>
                <w:rFonts w:ascii="Times New Roman" w:hAnsi="Times New Roman"/>
                <w:sz w:val="24"/>
              </w:rPr>
              <w:t>)</w:t>
            </w:r>
          </w:p>
        </w:tc>
        <w:tc>
          <w:tcPr>
            <w:tcW w:w="4400" w:type="dxa"/>
          </w:tcPr>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r>
              <w:rPr>
                <w:rFonts w:ascii="Times New Roman" w:hAnsi="Times New Roman"/>
                <w:sz w:val="24"/>
              </w:rPr>
              <w:t>Case No. 14-841-EL-SSO</w:t>
            </w: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p>
          <w:p w:rsidR="00CF2942" w:rsidRDefault="00CF2942">
            <w:pPr>
              <w:pStyle w:val="HTMLPreformatted"/>
              <w:rPr>
                <w:rFonts w:ascii="Times New Roman" w:hAnsi="Times New Roman"/>
                <w:sz w:val="24"/>
              </w:rPr>
            </w:pPr>
            <w:r>
              <w:rPr>
                <w:rFonts w:ascii="Times New Roman" w:hAnsi="Times New Roman"/>
                <w:sz w:val="24"/>
              </w:rPr>
              <w:t>Case No. 14-842-EL-ATA</w:t>
            </w:r>
          </w:p>
        </w:tc>
      </w:tr>
    </w:tbl>
    <w:p w:rsidR="00CF2942" w:rsidRDefault="00CF2942">
      <w:pPr>
        <w:pBdr>
          <w:bottom w:val="single" w:sz="12" w:space="1" w:color="auto"/>
        </w:pBdr>
      </w:pPr>
    </w:p>
    <w:p w:rsidR="00CF2942" w:rsidRDefault="00CF2942"/>
    <w:p w:rsidR="009D6BA6" w:rsidRDefault="00CF2942" w:rsidP="00CF2942">
      <w:pPr>
        <w:jc w:val="center"/>
        <w:rPr>
          <w:b/>
        </w:rPr>
      </w:pPr>
      <w:r w:rsidRPr="009D6BA6">
        <w:rPr>
          <w:b/>
        </w:rPr>
        <w:t xml:space="preserve">MEMORANDUM CONTRA </w:t>
      </w:r>
      <w:r w:rsidR="00547B72">
        <w:rPr>
          <w:b/>
        </w:rPr>
        <w:t xml:space="preserve">OEG’S </w:t>
      </w:r>
      <w:r w:rsidRPr="009D6BA6">
        <w:rPr>
          <w:b/>
        </w:rPr>
        <w:t xml:space="preserve">MOTION TO ESTABLISH </w:t>
      </w:r>
    </w:p>
    <w:p w:rsidR="00CF2942" w:rsidRDefault="00CF2942" w:rsidP="00CF2942">
      <w:pPr>
        <w:jc w:val="center"/>
        <w:rPr>
          <w:b/>
        </w:rPr>
      </w:pPr>
      <w:r w:rsidRPr="009D6BA6">
        <w:rPr>
          <w:b/>
        </w:rPr>
        <w:t>PROTECTIVE AGREEMENT</w:t>
      </w:r>
    </w:p>
    <w:p w:rsidR="00011E4A" w:rsidRDefault="00011E4A" w:rsidP="00CF2942">
      <w:pPr>
        <w:jc w:val="center"/>
        <w:rPr>
          <w:b/>
        </w:rPr>
      </w:pPr>
      <w:r>
        <w:rPr>
          <w:b/>
        </w:rPr>
        <w:t xml:space="preserve">BY </w:t>
      </w:r>
    </w:p>
    <w:p w:rsidR="00011E4A" w:rsidRPr="009D6BA6" w:rsidRDefault="00011E4A" w:rsidP="00CF2942">
      <w:pPr>
        <w:jc w:val="center"/>
        <w:rPr>
          <w:b/>
        </w:rPr>
      </w:pPr>
      <w:r>
        <w:rPr>
          <w:b/>
        </w:rPr>
        <w:t>OFFICE OF THE OHIO CONSUMERS’ COUNSEL</w:t>
      </w:r>
    </w:p>
    <w:p w:rsidR="00CF2942" w:rsidRDefault="00CF2942">
      <w:pPr>
        <w:pBdr>
          <w:bottom w:val="single" w:sz="12" w:space="1" w:color="auto"/>
        </w:pBdr>
      </w:pPr>
    </w:p>
    <w:p w:rsidR="00CF2942" w:rsidRPr="00CF2942" w:rsidRDefault="00CF2942" w:rsidP="00CF2942"/>
    <w:p w:rsidR="000B4AA9" w:rsidRDefault="00CF2942" w:rsidP="009D6BA6">
      <w:pPr>
        <w:spacing w:line="480" w:lineRule="auto"/>
      </w:pPr>
      <w:r>
        <w:tab/>
        <w:t xml:space="preserve">The Office of the </w:t>
      </w:r>
      <w:r w:rsidR="004509C6">
        <w:t xml:space="preserve">Ohio </w:t>
      </w:r>
      <w:r>
        <w:t>Consumers’ Counsel</w:t>
      </w:r>
      <w:r w:rsidR="004509C6">
        <w:t xml:space="preserve"> (“OCC”)--as a state agency that is differently situated than other parties--</w:t>
      </w:r>
      <w:r>
        <w:t>files this Memorandum Contra the</w:t>
      </w:r>
      <w:r w:rsidR="004509C6">
        <w:t xml:space="preserve"> motion of the</w:t>
      </w:r>
      <w:r>
        <w:t xml:space="preserve"> Ohio Energy Group </w:t>
      </w:r>
      <w:r w:rsidR="00954E56">
        <w:t xml:space="preserve">(“OEG”) </w:t>
      </w:r>
      <w:r>
        <w:t xml:space="preserve">to </w:t>
      </w:r>
      <w:r w:rsidR="004509C6">
        <w:t>e</w:t>
      </w:r>
      <w:r>
        <w:t xml:space="preserve">stablish a </w:t>
      </w:r>
      <w:r w:rsidR="004509C6">
        <w:t>p</w:t>
      </w:r>
      <w:r>
        <w:t xml:space="preserve">rotective </w:t>
      </w:r>
      <w:r w:rsidR="004509C6">
        <w:t>a</w:t>
      </w:r>
      <w:r>
        <w:t>greement</w:t>
      </w:r>
      <w:r w:rsidR="004509C6">
        <w:t xml:space="preserve">. </w:t>
      </w:r>
      <w:r>
        <w:t xml:space="preserve"> </w:t>
      </w:r>
      <w:r w:rsidR="00954E56">
        <w:t xml:space="preserve">OCC </w:t>
      </w:r>
      <w:r w:rsidR="004509C6">
        <w:t xml:space="preserve">files to </w:t>
      </w:r>
      <w:r>
        <w:t>preserve</w:t>
      </w:r>
      <w:r w:rsidR="004509C6">
        <w:t xml:space="preserve"> its unique obligations to the Ohio public</w:t>
      </w:r>
      <w:r w:rsidR="006831D6">
        <w:t xml:space="preserve"> regarding </w:t>
      </w:r>
      <w:r w:rsidR="00FF35A1">
        <w:t xml:space="preserve">its </w:t>
      </w:r>
      <w:r w:rsidR="006831D6">
        <w:t>record</w:t>
      </w:r>
      <w:r w:rsidR="00FF35A1">
        <w:t>s and regarding transparency in Ohioans</w:t>
      </w:r>
      <w:r w:rsidR="008A0E3E">
        <w:t>’</w:t>
      </w:r>
      <w:r w:rsidR="00FF35A1">
        <w:t xml:space="preserve"> </w:t>
      </w:r>
      <w:r w:rsidR="008A0E3E">
        <w:t xml:space="preserve">government. </w:t>
      </w:r>
      <w:r w:rsidR="00F14077">
        <w:t xml:space="preserve"> </w:t>
      </w:r>
      <w:r w:rsidR="008A0E3E">
        <w:t>And OCC files</w:t>
      </w:r>
      <w:r w:rsidR="00FF35A1">
        <w:t xml:space="preserve"> </w:t>
      </w:r>
      <w:r w:rsidR="008A0E3E">
        <w:t>to preserve for purposes of administrative efficiency the protective agreement that was painstakingly negotiated years ago by Duke and OCC to serve</w:t>
      </w:r>
      <w:r w:rsidR="000B4AA9">
        <w:t xml:space="preserve"> as the ongoing template and to avoid continual time-wasting re-negotiations.</w:t>
      </w:r>
      <w:r w:rsidR="00F14077">
        <w:t xml:space="preserve">  T</w:t>
      </w:r>
      <w:r w:rsidR="00CE5B1D">
        <w:t>hat protective agreement resulted in part from a PUCO order that was needed to resolve differences between Duke and OCC.</w:t>
      </w:r>
    </w:p>
    <w:p w:rsidR="008B6AA5" w:rsidRDefault="00954E56" w:rsidP="003E79BC">
      <w:pPr>
        <w:spacing w:line="480" w:lineRule="auto"/>
        <w:ind w:firstLine="720"/>
        <w:sectPr w:rsidR="008B6AA5" w:rsidSect="007A586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pPr>
      <w:r>
        <w:t>Ohio Energy Group’s motion, th</w:t>
      </w:r>
      <w:r w:rsidR="001D2321">
        <w:t xml:space="preserve">ough well intended, </w:t>
      </w:r>
      <w:r w:rsidR="000B4AA9">
        <w:t xml:space="preserve">might </w:t>
      </w:r>
      <w:r w:rsidR="001D2321">
        <w:t xml:space="preserve">leave the impression with the PUCO that a one-size-fits-all </w:t>
      </w:r>
      <w:r w:rsidR="000B4AA9">
        <w:t>p</w:t>
      </w:r>
      <w:r w:rsidR="001D2321">
        <w:t xml:space="preserve">rotective agreement should be ordered to allow parties to review alleged protective materials.  </w:t>
      </w:r>
      <w:r w:rsidR="00705C56">
        <w:t xml:space="preserve">This would not be appropriate. </w:t>
      </w:r>
    </w:p>
    <w:p w:rsidR="00AC29DF" w:rsidRDefault="00FF6353" w:rsidP="009D6BA6">
      <w:pPr>
        <w:spacing w:line="480" w:lineRule="auto"/>
      </w:pPr>
      <w:r>
        <w:lastRenderedPageBreak/>
        <w:tab/>
      </w:r>
      <w:r w:rsidR="00B76753">
        <w:t xml:space="preserve">OCC </w:t>
      </w:r>
      <w:r w:rsidR="008108D5">
        <w:t xml:space="preserve">strongly </w:t>
      </w:r>
      <w:r w:rsidR="00B76753">
        <w:t xml:space="preserve">agrees that Duke’s proposed terms are so </w:t>
      </w:r>
      <w:r w:rsidR="0030430D">
        <w:t>onerous</w:t>
      </w:r>
      <w:r w:rsidR="003E79BC">
        <w:t xml:space="preserve"> and </w:t>
      </w:r>
      <w:r w:rsidR="00B76753">
        <w:t>unreasonable</w:t>
      </w:r>
      <w:r w:rsidR="009157C7">
        <w:t xml:space="preserve"> </w:t>
      </w:r>
      <w:r w:rsidR="0030430D">
        <w:t>(</w:t>
      </w:r>
      <w:r w:rsidR="009157C7">
        <w:t>and in certain respects far-fetched</w:t>
      </w:r>
      <w:r w:rsidR="0030430D">
        <w:t>)</w:t>
      </w:r>
      <w:r w:rsidR="00B76753">
        <w:t xml:space="preserve"> that parties cannot sign</w:t>
      </w:r>
      <w:r w:rsidR="0030430D">
        <w:t>.</w:t>
      </w:r>
      <w:r w:rsidR="00B76753">
        <w:t xml:space="preserve"> </w:t>
      </w:r>
      <w:r w:rsidR="0030430D">
        <w:t>But it must also be said that</w:t>
      </w:r>
      <w:r w:rsidR="00B76753">
        <w:t xml:space="preserve">, </w:t>
      </w:r>
      <w:r w:rsidR="00954E56">
        <w:t>OEG’s proposed</w:t>
      </w:r>
      <w:r w:rsidR="0030430D">
        <w:t xml:space="preserve"> solution, for a</w:t>
      </w:r>
      <w:r w:rsidR="00954E56">
        <w:t xml:space="preserve"> protective agreement</w:t>
      </w:r>
      <w:r w:rsidR="0030430D">
        <w:t>,</w:t>
      </w:r>
      <w:r w:rsidR="00954E56">
        <w:t xml:space="preserve"> does not work for OCC</w:t>
      </w:r>
      <w:r w:rsidR="00B76753">
        <w:t xml:space="preserve">.  This is because </w:t>
      </w:r>
      <w:r w:rsidR="00954E56">
        <w:t xml:space="preserve">OCC’s </w:t>
      </w:r>
      <w:r w:rsidR="00B76753">
        <w:t xml:space="preserve">unique </w:t>
      </w:r>
      <w:r w:rsidR="00954E56">
        <w:t>status as a state agency</w:t>
      </w:r>
      <w:r w:rsidR="00B76753">
        <w:t xml:space="preserve"> requires a protective agreement that acknowledges its duties and responsibilities</w:t>
      </w:r>
      <w:r w:rsidR="0030430D">
        <w:t xml:space="preserve"> regarding records and transparency</w:t>
      </w:r>
      <w:r w:rsidR="00B76753">
        <w:t xml:space="preserve"> under Ohio </w:t>
      </w:r>
      <w:r w:rsidR="002654E0">
        <w:t>l</w:t>
      </w:r>
      <w:r w:rsidR="00B76753">
        <w:t xml:space="preserve">aw.  Thus, OCC </w:t>
      </w:r>
      <w:r w:rsidR="00705C56">
        <w:t xml:space="preserve">requests that the PUCO </w:t>
      </w:r>
      <w:r w:rsidR="00B76753">
        <w:t xml:space="preserve">establish a </w:t>
      </w:r>
      <w:r w:rsidR="002654E0">
        <w:t xml:space="preserve">separate </w:t>
      </w:r>
      <w:r w:rsidR="00B76753">
        <w:t>Protective Agreement</w:t>
      </w:r>
      <w:r w:rsidR="00AC29DF">
        <w:t xml:space="preserve"> for </w:t>
      </w:r>
      <w:r w:rsidR="00705C56">
        <w:t>OCC</w:t>
      </w:r>
      <w:r w:rsidR="00B76753">
        <w:t xml:space="preserve"> to obtain alleged confidential information from Duke.  </w:t>
      </w:r>
      <w:r w:rsidR="00AC29DF">
        <w:t>OCC has attached</w:t>
      </w:r>
      <w:r w:rsidR="00AB0A08">
        <w:t xml:space="preserve"> as Exhibit 1</w:t>
      </w:r>
      <w:r w:rsidR="00F01579">
        <w:t>, a</w:t>
      </w:r>
      <w:r w:rsidR="00AC29DF">
        <w:t xml:space="preserve"> satisfactory protective agreement for </w:t>
      </w:r>
      <w:r w:rsidR="00AB0A08">
        <w:t>the PUCO to adopt that pertains to OCC’s unique needs as a public agency</w:t>
      </w:r>
      <w:r w:rsidR="003E79BC">
        <w:t xml:space="preserve"> and </w:t>
      </w:r>
      <w:r w:rsidR="008A6F51">
        <w:t>that reflects the prior agreements Duke and OCC reached after negotiating terms to the smallest detail</w:t>
      </w:r>
      <w:r w:rsidR="00AC29DF">
        <w:t xml:space="preserve">. </w:t>
      </w:r>
      <w:r w:rsidR="00A77C1E">
        <w:t xml:space="preserve"> </w:t>
      </w:r>
    </w:p>
    <w:p w:rsidR="009203ED" w:rsidRDefault="00AB0A08" w:rsidP="009D6BA6">
      <w:pPr>
        <w:spacing w:line="480" w:lineRule="auto"/>
        <w:rPr>
          <w:szCs w:val="24"/>
        </w:rPr>
      </w:pPr>
      <w:r>
        <w:tab/>
        <w:t xml:space="preserve">Exhibit 1 is an OCC tailored protective </w:t>
      </w:r>
      <w:r w:rsidR="00AC29DF">
        <w:t>agreement that OCC presented to Duke on June 2, 2014</w:t>
      </w:r>
      <w:r>
        <w:t>.</w:t>
      </w:r>
      <w:r w:rsidR="00A77C1E">
        <w:t xml:space="preserve">  The draft agreement is essentially what Duke and OCC have cooperatively signed for the better part of a decade, without needing to impose upon the PUCO for a result.</w:t>
      </w:r>
      <w:r w:rsidR="00AC29DF">
        <w:t xml:space="preserve">  </w:t>
      </w:r>
      <w:r w:rsidR="002174F7">
        <w:t xml:space="preserve"> </w:t>
      </w:r>
      <w:r w:rsidR="002174F7">
        <w:rPr>
          <w:szCs w:val="24"/>
        </w:rPr>
        <w:t xml:space="preserve">Duke </w:t>
      </w:r>
      <w:r w:rsidR="00F77F83">
        <w:rPr>
          <w:szCs w:val="24"/>
        </w:rPr>
        <w:t xml:space="preserve">has now </w:t>
      </w:r>
      <w:r w:rsidR="00A77C1E">
        <w:rPr>
          <w:szCs w:val="24"/>
        </w:rPr>
        <w:t xml:space="preserve">declined </w:t>
      </w:r>
      <w:r w:rsidR="00F77F83">
        <w:rPr>
          <w:szCs w:val="24"/>
        </w:rPr>
        <w:t>to sign that agreement.</w:t>
      </w:r>
      <w:r w:rsidR="00A77C1E">
        <w:rPr>
          <w:szCs w:val="24"/>
        </w:rPr>
        <w:t xml:space="preserve"> </w:t>
      </w:r>
      <w:r w:rsidR="00F77F83">
        <w:rPr>
          <w:szCs w:val="24"/>
        </w:rPr>
        <w:t xml:space="preserve">  Duke informed that it </w:t>
      </w:r>
      <w:r w:rsidR="002174F7">
        <w:rPr>
          <w:szCs w:val="24"/>
        </w:rPr>
        <w:t>prefer</w:t>
      </w:r>
      <w:r w:rsidR="00F77F83">
        <w:rPr>
          <w:szCs w:val="24"/>
        </w:rPr>
        <w:t>s</w:t>
      </w:r>
      <w:r w:rsidR="002174F7">
        <w:rPr>
          <w:szCs w:val="24"/>
        </w:rPr>
        <w:t xml:space="preserve"> to use a </w:t>
      </w:r>
      <w:r w:rsidR="00F77F83">
        <w:rPr>
          <w:szCs w:val="24"/>
        </w:rPr>
        <w:t xml:space="preserve">new </w:t>
      </w:r>
      <w:r w:rsidR="002174F7">
        <w:rPr>
          <w:szCs w:val="24"/>
        </w:rPr>
        <w:t xml:space="preserve">confidentiality agreement that </w:t>
      </w:r>
      <w:r w:rsidR="00705C56">
        <w:rPr>
          <w:szCs w:val="24"/>
        </w:rPr>
        <w:t>it</w:t>
      </w:r>
      <w:r w:rsidR="002174F7">
        <w:rPr>
          <w:szCs w:val="24"/>
        </w:rPr>
        <w:t xml:space="preserve"> had drafted.</w:t>
      </w:r>
      <w:r w:rsidR="002174F7">
        <w:rPr>
          <w:rStyle w:val="FootnoteReference"/>
          <w:szCs w:val="24"/>
        </w:rPr>
        <w:footnoteReference w:id="1"/>
      </w:r>
      <w:r w:rsidR="002174F7">
        <w:rPr>
          <w:szCs w:val="24"/>
        </w:rPr>
        <w:t xml:space="preserve">  On June 10, Duke sent OCC its proposed confidentiality agreement.</w:t>
      </w:r>
      <w:r w:rsidR="002174F7">
        <w:rPr>
          <w:rStyle w:val="FootnoteReference"/>
          <w:szCs w:val="24"/>
        </w:rPr>
        <w:footnoteReference w:id="2"/>
      </w:r>
      <w:r w:rsidR="002174F7">
        <w:rPr>
          <w:szCs w:val="24"/>
        </w:rPr>
        <w:t xml:space="preserve">  Later that day, OCC advised Duke that it could not sign the protective agreement.</w:t>
      </w:r>
      <w:r w:rsidR="002174F7">
        <w:rPr>
          <w:rStyle w:val="FootnoteReference"/>
          <w:szCs w:val="24"/>
        </w:rPr>
        <w:footnoteReference w:id="3"/>
      </w:r>
      <w:r w:rsidR="002174F7">
        <w:rPr>
          <w:szCs w:val="24"/>
        </w:rPr>
        <w:t xml:space="preserve">  Duke responded that its document is the document being sent to parties that request access to </w:t>
      </w:r>
      <w:r>
        <w:rPr>
          <w:szCs w:val="24"/>
        </w:rPr>
        <w:t>its</w:t>
      </w:r>
      <w:r w:rsidR="002174F7">
        <w:rPr>
          <w:szCs w:val="24"/>
        </w:rPr>
        <w:t xml:space="preserve"> confidential information.  Duke offered to discuss specific provisions that OCC considered objectionable, other than those relating to damages in event of breach.</w:t>
      </w:r>
      <w:r w:rsidR="002174F7">
        <w:rPr>
          <w:rStyle w:val="FootnoteReference"/>
          <w:szCs w:val="24"/>
        </w:rPr>
        <w:footnoteReference w:id="4"/>
      </w:r>
      <w:r w:rsidR="002174F7">
        <w:rPr>
          <w:szCs w:val="24"/>
        </w:rPr>
        <w:t xml:space="preserve">  OCC </w:t>
      </w:r>
      <w:r w:rsidR="00F77F83">
        <w:rPr>
          <w:szCs w:val="24"/>
        </w:rPr>
        <w:t>again asks Duke, though this pleading, to use the template that Duke and OCC resolved over the years</w:t>
      </w:r>
      <w:r w:rsidR="009203ED">
        <w:rPr>
          <w:szCs w:val="24"/>
        </w:rPr>
        <w:t xml:space="preserve">.  </w:t>
      </w:r>
    </w:p>
    <w:p w:rsidR="00954E56" w:rsidRDefault="00AC29DF" w:rsidP="009D6BA6">
      <w:pPr>
        <w:spacing w:line="480" w:lineRule="auto"/>
        <w:ind w:firstLine="720"/>
        <w:rPr>
          <w:bCs/>
          <w:szCs w:val="24"/>
        </w:rPr>
      </w:pPr>
      <w:r>
        <w:rPr>
          <w:szCs w:val="24"/>
        </w:rPr>
        <w:t xml:space="preserve">Exhibit 1, </w:t>
      </w:r>
      <w:r w:rsidR="009203ED">
        <w:rPr>
          <w:szCs w:val="24"/>
        </w:rPr>
        <w:t xml:space="preserve">OCC’s proposed </w:t>
      </w:r>
      <w:r w:rsidR="00FF6353" w:rsidRPr="00FF6353">
        <w:rPr>
          <w:bCs/>
          <w:szCs w:val="24"/>
        </w:rPr>
        <w:t>protective agreement</w:t>
      </w:r>
      <w:r>
        <w:rPr>
          <w:bCs/>
          <w:szCs w:val="24"/>
        </w:rPr>
        <w:t xml:space="preserve">, </w:t>
      </w:r>
      <w:r w:rsidR="00FF6353" w:rsidRPr="00FF6353">
        <w:rPr>
          <w:bCs/>
          <w:szCs w:val="24"/>
        </w:rPr>
        <w:t xml:space="preserve">is designed to </w:t>
      </w:r>
      <w:r w:rsidR="00F77F83">
        <w:rPr>
          <w:bCs/>
          <w:szCs w:val="24"/>
        </w:rPr>
        <w:t>address</w:t>
      </w:r>
      <w:r w:rsidR="00F77F83" w:rsidRPr="00FF6353">
        <w:rPr>
          <w:bCs/>
          <w:szCs w:val="24"/>
        </w:rPr>
        <w:t xml:space="preserve"> </w:t>
      </w:r>
      <w:r w:rsidR="00FF6353" w:rsidRPr="00FF6353">
        <w:rPr>
          <w:bCs/>
          <w:szCs w:val="24"/>
        </w:rPr>
        <w:t>the legal requirements placed on the OCC as a public agency</w:t>
      </w:r>
      <w:r w:rsidR="00853E11">
        <w:rPr>
          <w:bCs/>
          <w:szCs w:val="24"/>
        </w:rPr>
        <w:t xml:space="preserve"> and designed to address a rational, fair basis for document protection</w:t>
      </w:r>
      <w:r w:rsidR="00FF6353" w:rsidRPr="00FF6353">
        <w:rPr>
          <w:bCs/>
          <w:szCs w:val="24"/>
        </w:rPr>
        <w:t xml:space="preserve">. </w:t>
      </w:r>
      <w:r w:rsidR="00FF6353" w:rsidRPr="0045181E">
        <w:rPr>
          <w:b/>
          <w:bCs/>
          <w:szCs w:val="24"/>
        </w:rPr>
        <w:t xml:space="preserve"> </w:t>
      </w:r>
      <w:r w:rsidR="00FF6353" w:rsidRPr="00FF6353">
        <w:rPr>
          <w:bCs/>
          <w:szCs w:val="24"/>
        </w:rPr>
        <w:t xml:space="preserve">First, the OCC has proposed a protective agreement recognizing that public records requests could be directed to </w:t>
      </w:r>
      <w:r>
        <w:rPr>
          <w:bCs/>
          <w:szCs w:val="24"/>
        </w:rPr>
        <w:t>it</w:t>
      </w:r>
      <w:r w:rsidR="00AB0A08">
        <w:rPr>
          <w:bCs/>
          <w:szCs w:val="24"/>
        </w:rPr>
        <w:t xml:space="preserve"> </w:t>
      </w:r>
      <w:r w:rsidR="00FF6353" w:rsidRPr="00FF6353">
        <w:rPr>
          <w:bCs/>
          <w:szCs w:val="24"/>
        </w:rPr>
        <w:t xml:space="preserve">regarding information provided by </w:t>
      </w:r>
      <w:r w:rsidR="002654E0">
        <w:rPr>
          <w:bCs/>
          <w:szCs w:val="24"/>
        </w:rPr>
        <w:t>Duke i</w:t>
      </w:r>
      <w:r w:rsidR="00FF6353" w:rsidRPr="00FF6353">
        <w:rPr>
          <w:bCs/>
          <w:szCs w:val="24"/>
        </w:rPr>
        <w:t>n this case.</w:t>
      </w:r>
      <w:r w:rsidR="001E6486">
        <w:rPr>
          <w:rStyle w:val="FootnoteReference"/>
          <w:bCs/>
          <w:szCs w:val="24"/>
        </w:rPr>
        <w:footnoteReference w:id="5"/>
      </w:r>
      <w:r w:rsidR="00FF6353" w:rsidRPr="00FF6353">
        <w:rPr>
          <w:bCs/>
          <w:szCs w:val="24"/>
        </w:rPr>
        <w:t xml:space="preserve">  The OCC is the only party to this case that is public in nature, and the protective agreement with</w:t>
      </w:r>
      <w:r>
        <w:rPr>
          <w:bCs/>
          <w:szCs w:val="24"/>
        </w:rPr>
        <w:t xml:space="preserve"> </w:t>
      </w:r>
      <w:r w:rsidR="00AB0A08">
        <w:rPr>
          <w:bCs/>
          <w:szCs w:val="24"/>
        </w:rPr>
        <w:t>it</w:t>
      </w:r>
      <w:r w:rsidR="00FF6353" w:rsidRPr="00FF6353">
        <w:rPr>
          <w:bCs/>
          <w:szCs w:val="24"/>
        </w:rPr>
        <w:t xml:space="preserve"> must recognize this situation.</w:t>
      </w:r>
      <w:r w:rsidR="009203ED">
        <w:t xml:space="preserve">  </w:t>
      </w:r>
      <w:r w:rsidR="00FF6353" w:rsidRPr="00FF6353">
        <w:rPr>
          <w:bCs/>
          <w:szCs w:val="24"/>
        </w:rPr>
        <w:t xml:space="preserve">Second, the protective agreement also </w:t>
      </w:r>
      <w:r w:rsidR="00DA0353">
        <w:rPr>
          <w:bCs/>
          <w:szCs w:val="24"/>
        </w:rPr>
        <w:t>addresses</w:t>
      </w:r>
      <w:r w:rsidR="00DA0353" w:rsidRPr="00FF6353">
        <w:rPr>
          <w:bCs/>
          <w:szCs w:val="24"/>
        </w:rPr>
        <w:t xml:space="preserve"> </w:t>
      </w:r>
      <w:r w:rsidR="00FF6353" w:rsidRPr="00FF6353">
        <w:rPr>
          <w:bCs/>
          <w:szCs w:val="24"/>
        </w:rPr>
        <w:t>the OCC’s legal obligation to comply with records retention requirements that have been approved by the Ohio Department of Administrative Services.</w:t>
      </w:r>
      <w:r w:rsidR="001E6486">
        <w:rPr>
          <w:rStyle w:val="FootnoteReference"/>
          <w:bCs/>
          <w:szCs w:val="24"/>
        </w:rPr>
        <w:footnoteReference w:id="6"/>
      </w:r>
      <w:r w:rsidR="00FF6353" w:rsidRPr="00FF6353">
        <w:rPr>
          <w:bCs/>
          <w:szCs w:val="24"/>
        </w:rPr>
        <w:t xml:space="preserve">  Third,</w:t>
      </w:r>
      <w:r w:rsidR="00DA0353">
        <w:rPr>
          <w:bCs/>
          <w:szCs w:val="24"/>
        </w:rPr>
        <w:t xml:space="preserve"> the prior OCC-Duke protective agreement recognize</w:t>
      </w:r>
      <w:r w:rsidR="003E79BC">
        <w:rPr>
          <w:bCs/>
          <w:szCs w:val="24"/>
        </w:rPr>
        <w:t>s</w:t>
      </w:r>
      <w:r w:rsidR="00DA0353">
        <w:rPr>
          <w:bCs/>
          <w:szCs w:val="24"/>
        </w:rPr>
        <w:t xml:space="preserve"> OCC’s need, as a public agency, to have transparency in the proceedings of government that affect Ohioans.</w:t>
      </w:r>
      <w:r w:rsidR="003D1710">
        <w:rPr>
          <w:bCs/>
          <w:szCs w:val="24"/>
        </w:rPr>
        <w:t xml:space="preserve">  Fourth,</w:t>
      </w:r>
      <w:r w:rsidR="00FF6353" w:rsidRPr="00FF6353">
        <w:rPr>
          <w:bCs/>
          <w:szCs w:val="24"/>
        </w:rPr>
        <w:t xml:space="preserve"> the protective agreement</w:t>
      </w:r>
      <w:r w:rsidR="003D1710">
        <w:rPr>
          <w:bCs/>
          <w:szCs w:val="24"/>
        </w:rPr>
        <w:t xml:space="preserve"> we propose</w:t>
      </w:r>
      <w:r w:rsidR="00FF6353" w:rsidRPr="00FF6353">
        <w:rPr>
          <w:bCs/>
          <w:szCs w:val="24"/>
        </w:rPr>
        <w:t xml:space="preserve"> is not mutual</w:t>
      </w:r>
      <w:r w:rsidR="003D1710">
        <w:rPr>
          <w:bCs/>
          <w:szCs w:val="24"/>
        </w:rPr>
        <w:t>, as Duke proposes</w:t>
      </w:r>
      <w:r w:rsidR="003D1710" w:rsidRPr="00FF6353">
        <w:rPr>
          <w:bCs/>
          <w:szCs w:val="24"/>
        </w:rPr>
        <w:t xml:space="preserve"> </w:t>
      </w:r>
      <w:r w:rsidR="00FF6353" w:rsidRPr="00FF6353">
        <w:rPr>
          <w:bCs/>
          <w:szCs w:val="24"/>
        </w:rPr>
        <w:t xml:space="preserve">-- owing to the difference between the obligations of public entities such as the OCC and private entities such as </w:t>
      </w:r>
      <w:r>
        <w:rPr>
          <w:bCs/>
          <w:szCs w:val="24"/>
        </w:rPr>
        <w:t>Duke.</w:t>
      </w:r>
      <w:r w:rsidR="00FF6353">
        <w:rPr>
          <w:bCs/>
          <w:szCs w:val="24"/>
        </w:rPr>
        <w:t xml:space="preserve">  </w:t>
      </w:r>
    </w:p>
    <w:p w:rsidR="00AB0A08" w:rsidRDefault="00FF6353" w:rsidP="00FF6353">
      <w:pPr>
        <w:pStyle w:val="FootnoteText"/>
        <w:spacing w:line="480" w:lineRule="auto"/>
        <w:ind w:firstLine="720"/>
        <w:rPr>
          <w:rFonts w:ascii="Times New Roman" w:hAnsi="Times New Roman" w:cs="Times New Roman"/>
          <w:sz w:val="24"/>
          <w:szCs w:val="24"/>
        </w:rPr>
      </w:pPr>
      <w:r w:rsidRPr="0045181E">
        <w:rPr>
          <w:rFonts w:ascii="Times New Roman" w:hAnsi="Times New Roman" w:cs="Times New Roman"/>
          <w:sz w:val="24"/>
          <w:szCs w:val="24"/>
        </w:rPr>
        <w:t>The protective agreement offered by the OCC had its beginnings in 2003 after extensive research and consultation with the Attorney General’s office</w:t>
      </w:r>
      <w:r w:rsidR="00AC29DF">
        <w:rPr>
          <w:rFonts w:ascii="Times New Roman" w:hAnsi="Times New Roman" w:cs="Times New Roman"/>
          <w:sz w:val="24"/>
          <w:szCs w:val="24"/>
        </w:rPr>
        <w:t>.  V</w:t>
      </w:r>
      <w:r w:rsidRPr="0045181E">
        <w:rPr>
          <w:rFonts w:ascii="Times New Roman" w:hAnsi="Times New Roman" w:cs="Times New Roman"/>
          <w:sz w:val="24"/>
          <w:szCs w:val="24"/>
        </w:rPr>
        <w:t xml:space="preserve">ersions of agreements that recognize the public nature of the OCC have been used in various cases before the Commission.  Parties executing similar agreements with the OCC include FirstEnergy, </w:t>
      </w:r>
      <w:r w:rsidR="002654E0">
        <w:rPr>
          <w:rFonts w:ascii="Times New Roman" w:hAnsi="Times New Roman" w:cs="Times New Roman"/>
          <w:sz w:val="24"/>
          <w:szCs w:val="24"/>
        </w:rPr>
        <w:t xml:space="preserve">AEP Ohio, </w:t>
      </w:r>
      <w:r w:rsidRPr="0045181E">
        <w:rPr>
          <w:rFonts w:ascii="Times New Roman" w:hAnsi="Times New Roman" w:cs="Times New Roman"/>
          <w:sz w:val="24"/>
          <w:szCs w:val="24"/>
        </w:rPr>
        <w:t>SBC Ohio</w:t>
      </w:r>
      <w:r w:rsidR="002654E0">
        <w:rPr>
          <w:rFonts w:ascii="Times New Roman" w:hAnsi="Times New Roman" w:cs="Times New Roman"/>
          <w:sz w:val="24"/>
          <w:szCs w:val="24"/>
        </w:rPr>
        <w:t>,</w:t>
      </w:r>
      <w:r w:rsidR="00AB0A08">
        <w:rPr>
          <w:rFonts w:ascii="Times New Roman" w:hAnsi="Times New Roman" w:cs="Times New Roman"/>
          <w:sz w:val="24"/>
          <w:szCs w:val="24"/>
        </w:rPr>
        <w:t xml:space="preserve"> Dayton Power &amp; Light</w:t>
      </w:r>
      <w:r w:rsidR="00F01579">
        <w:rPr>
          <w:rFonts w:ascii="Times New Roman" w:hAnsi="Times New Roman" w:cs="Times New Roman"/>
          <w:sz w:val="24"/>
          <w:szCs w:val="24"/>
        </w:rPr>
        <w:t xml:space="preserve">, </w:t>
      </w:r>
      <w:r w:rsidR="00F01579" w:rsidRPr="0045181E">
        <w:rPr>
          <w:rFonts w:ascii="Times New Roman" w:hAnsi="Times New Roman" w:cs="Times New Roman"/>
          <w:sz w:val="24"/>
          <w:szCs w:val="24"/>
        </w:rPr>
        <w:t>and</w:t>
      </w:r>
      <w:r w:rsidRPr="0045181E">
        <w:rPr>
          <w:rFonts w:ascii="Times New Roman" w:hAnsi="Times New Roman" w:cs="Times New Roman"/>
          <w:sz w:val="24"/>
          <w:szCs w:val="24"/>
        </w:rPr>
        <w:t xml:space="preserve"> Columbia Gas. </w:t>
      </w:r>
      <w:r w:rsidR="00743DD0">
        <w:rPr>
          <w:rFonts w:ascii="Times New Roman" w:hAnsi="Times New Roman" w:cs="Times New Roman"/>
          <w:sz w:val="24"/>
          <w:szCs w:val="24"/>
        </w:rPr>
        <w:t xml:space="preserve"> We appreciate the administrative efficiency and fairness of the various and similar protective agreements that we have achieved with others.</w:t>
      </w:r>
    </w:p>
    <w:p w:rsidR="005775ED" w:rsidRDefault="00FF6353" w:rsidP="00FF6353">
      <w:pPr>
        <w:pStyle w:val="FootnoteText"/>
        <w:spacing w:line="480" w:lineRule="auto"/>
        <w:ind w:firstLine="720"/>
        <w:rPr>
          <w:rFonts w:ascii="Times New Roman" w:hAnsi="Times New Roman" w:cs="Times New Roman"/>
          <w:sz w:val="24"/>
          <w:szCs w:val="24"/>
        </w:rPr>
      </w:pPr>
      <w:r w:rsidRPr="0045181E">
        <w:rPr>
          <w:rFonts w:ascii="Times New Roman" w:hAnsi="Times New Roman" w:cs="Times New Roman"/>
          <w:sz w:val="24"/>
          <w:szCs w:val="24"/>
        </w:rPr>
        <w:t>CG&amp;E</w:t>
      </w:r>
      <w:r w:rsidR="002654E0">
        <w:rPr>
          <w:rFonts w:ascii="Times New Roman" w:hAnsi="Times New Roman" w:cs="Times New Roman"/>
          <w:sz w:val="24"/>
          <w:szCs w:val="24"/>
        </w:rPr>
        <w:t>, Duke Energy Ohio’s predecessor</w:t>
      </w:r>
      <w:r w:rsidR="00CE5B1D">
        <w:rPr>
          <w:rFonts w:ascii="Times New Roman" w:hAnsi="Times New Roman" w:cs="Times New Roman"/>
          <w:sz w:val="24"/>
          <w:szCs w:val="24"/>
        </w:rPr>
        <w:t>,</w:t>
      </w:r>
      <w:r w:rsidR="002654E0">
        <w:rPr>
          <w:rFonts w:ascii="Times New Roman" w:hAnsi="Times New Roman" w:cs="Times New Roman"/>
          <w:sz w:val="24"/>
          <w:szCs w:val="24"/>
        </w:rPr>
        <w:t xml:space="preserve"> </w:t>
      </w:r>
      <w:r w:rsidRPr="0045181E">
        <w:rPr>
          <w:rFonts w:ascii="Times New Roman" w:hAnsi="Times New Roman" w:cs="Times New Roman"/>
          <w:sz w:val="24"/>
          <w:szCs w:val="24"/>
        </w:rPr>
        <w:t xml:space="preserve">was compelled by the </w:t>
      </w:r>
      <w:r w:rsidR="002654E0">
        <w:rPr>
          <w:rFonts w:ascii="Times New Roman" w:hAnsi="Times New Roman" w:cs="Times New Roman"/>
          <w:sz w:val="24"/>
          <w:szCs w:val="24"/>
        </w:rPr>
        <w:t>PUCO</w:t>
      </w:r>
      <w:r w:rsidRPr="0045181E">
        <w:rPr>
          <w:rFonts w:ascii="Times New Roman" w:hAnsi="Times New Roman" w:cs="Times New Roman"/>
          <w:sz w:val="24"/>
          <w:szCs w:val="24"/>
        </w:rPr>
        <w:t xml:space="preserve"> to execute a protective agreement proposed by the OCC in a post</w:t>
      </w:r>
      <w:r w:rsidR="00CE5B1D">
        <w:rPr>
          <w:rFonts w:ascii="Times New Roman" w:hAnsi="Times New Roman" w:cs="Times New Roman"/>
          <w:sz w:val="24"/>
          <w:szCs w:val="24"/>
        </w:rPr>
        <w:t>-</w:t>
      </w:r>
      <w:r w:rsidRPr="0045181E">
        <w:rPr>
          <w:rFonts w:ascii="Times New Roman" w:hAnsi="Times New Roman" w:cs="Times New Roman"/>
          <w:sz w:val="24"/>
          <w:szCs w:val="24"/>
        </w:rPr>
        <w:t>market development service case.  See</w:t>
      </w:r>
      <w:r w:rsidRPr="0045181E">
        <w:rPr>
          <w:rFonts w:ascii="Times New Roman" w:hAnsi="Times New Roman" w:cs="Times New Roman"/>
          <w:i/>
          <w:sz w:val="24"/>
          <w:szCs w:val="24"/>
        </w:rPr>
        <w:t xml:space="preserve"> In re CG&amp;E Post-MDP Service</w:t>
      </w:r>
      <w:r w:rsidRPr="0045181E">
        <w:rPr>
          <w:rFonts w:ascii="Times New Roman" w:hAnsi="Times New Roman" w:cs="Times New Roman"/>
          <w:sz w:val="24"/>
          <w:szCs w:val="24"/>
        </w:rPr>
        <w:t>, Case No. 03-93-EL-UNC et al., Entry at 4, ¶(9) (May 13, 2004)</w:t>
      </w:r>
      <w:r w:rsidR="00EE0D68">
        <w:rPr>
          <w:rFonts w:ascii="Times New Roman" w:hAnsi="Times New Roman" w:cs="Times New Roman"/>
          <w:sz w:val="24"/>
          <w:szCs w:val="24"/>
        </w:rPr>
        <w:t>.</w:t>
      </w:r>
      <w:r w:rsidRPr="0045181E">
        <w:rPr>
          <w:rFonts w:ascii="Times New Roman" w:hAnsi="Times New Roman" w:cs="Times New Roman"/>
          <w:sz w:val="24"/>
          <w:szCs w:val="24"/>
        </w:rPr>
        <w:t xml:space="preserve"> </w:t>
      </w:r>
      <w:r w:rsidR="00EE0D68">
        <w:rPr>
          <w:rFonts w:ascii="Times New Roman" w:hAnsi="Times New Roman" w:cs="Times New Roman"/>
          <w:sz w:val="24"/>
          <w:szCs w:val="24"/>
        </w:rPr>
        <w:t xml:space="preserve"> In that case, </w:t>
      </w:r>
      <w:r w:rsidR="006A0E27">
        <w:rPr>
          <w:rFonts w:ascii="Times New Roman" w:hAnsi="Times New Roman" w:cs="Times New Roman"/>
          <w:sz w:val="24"/>
          <w:szCs w:val="24"/>
        </w:rPr>
        <w:t xml:space="preserve">Attorney Examiner Kingery found OCC’s proposed protective agreement to be a </w:t>
      </w:r>
      <w:r w:rsidRPr="0045181E">
        <w:rPr>
          <w:rFonts w:ascii="Times New Roman" w:hAnsi="Times New Roman" w:cs="Times New Roman"/>
          <w:sz w:val="24"/>
          <w:szCs w:val="24"/>
        </w:rPr>
        <w:t>“reasonable and appropriate method for protecting the CG&amp;E information</w:t>
      </w:r>
      <w:r w:rsidR="00EE0D68">
        <w:rPr>
          <w:rFonts w:ascii="Times New Roman" w:hAnsi="Times New Roman" w:cs="Times New Roman"/>
          <w:sz w:val="24"/>
          <w:szCs w:val="24"/>
        </w:rPr>
        <w:t>.”</w:t>
      </w:r>
      <w:r w:rsidRPr="0045181E">
        <w:rPr>
          <w:rFonts w:ascii="Times New Roman" w:hAnsi="Times New Roman" w:cs="Times New Roman"/>
          <w:sz w:val="24"/>
          <w:szCs w:val="24"/>
        </w:rPr>
        <w:t xml:space="preserve"> </w:t>
      </w:r>
    </w:p>
    <w:p w:rsidR="006A0E27" w:rsidRDefault="002654E0" w:rsidP="00FF6353">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AEP Ohio was also compelled by the PUCO to execute a substantially similar protective agreement proposed by OCC.</w:t>
      </w:r>
      <w:r w:rsidR="006A0E27">
        <w:rPr>
          <w:rFonts w:ascii="Times New Roman" w:hAnsi="Times New Roman" w:cs="Times New Roman"/>
          <w:sz w:val="24"/>
          <w:szCs w:val="24"/>
        </w:rPr>
        <w:t xml:space="preserve">  </w:t>
      </w:r>
      <w:r w:rsidR="006A0E27" w:rsidRPr="006A0E27">
        <w:rPr>
          <w:rFonts w:ascii="Times New Roman" w:hAnsi="Times New Roman" w:cs="Times New Roman"/>
          <w:i/>
          <w:sz w:val="24"/>
          <w:szCs w:val="24"/>
        </w:rPr>
        <w:t>In re: Columbus Southern Power Company</w:t>
      </w:r>
      <w:r w:rsidR="006A0E27">
        <w:rPr>
          <w:rFonts w:ascii="Times New Roman" w:hAnsi="Times New Roman" w:cs="Times New Roman"/>
          <w:sz w:val="24"/>
          <w:szCs w:val="24"/>
        </w:rPr>
        <w:t xml:space="preserve">, Case No. 05-376-EL-UNC, Entry at ¶7 (July 21, 2005); see also </w:t>
      </w:r>
      <w:r w:rsidR="006A0E27" w:rsidRPr="00AC29DF">
        <w:rPr>
          <w:rFonts w:ascii="Times New Roman" w:hAnsi="Times New Roman" w:cs="Times New Roman"/>
          <w:i/>
          <w:sz w:val="24"/>
          <w:szCs w:val="24"/>
        </w:rPr>
        <w:t>In re: Embarq</w:t>
      </w:r>
      <w:r w:rsidR="006A0E27">
        <w:rPr>
          <w:rFonts w:ascii="Times New Roman" w:hAnsi="Times New Roman" w:cs="Times New Roman"/>
          <w:sz w:val="24"/>
          <w:szCs w:val="24"/>
        </w:rPr>
        <w:t>, Case No. 07-760-TP-BLS, Entry at ¶7 (Aug. 10, 2007)</w:t>
      </w:r>
      <w:r w:rsidR="005775ED">
        <w:rPr>
          <w:rFonts w:ascii="Times New Roman" w:hAnsi="Times New Roman" w:cs="Times New Roman"/>
          <w:sz w:val="24"/>
          <w:szCs w:val="24"/>
        </w:rPr>
        <w:t xml:space="preserve">.  AEP was </w:t>
      </w:r>
      <w:r w:rsidR="006A0E27">
        <w:rPr>
          <w:rFonts w:ascii="Times New Roman" w:hAnsi="Times New Roman" w:cs="Times New Roman"/>
          <w:sz w:val="24"/>
          <w:szCs w:val="24"/>
        </w:rPr>
        <w:t>requir</w:t>
      </w:r>
      <w:r w:rsidR="005775ED">
        <w:rPr>
          <w:rFonts w:ascii="Times New Roman" w:hAnsi="Times New Roman" w:cs="Times New Roman"/>
          <w:sz w:val="24"/>
          <w:szCs w:val="24"/>
        </w:rPr>
        <w:t>ed</w:t>
      </w:r>
      <w:r w:rsidR="003E79BC">
        <w:rPr>
          <w:rFonts w:ascii="Times New Roman" w:hAnsi="Times New Roman" w:cs="Times New Roman"/>
          <w:sz w:val="24"/>
          <w:szCs w:val="24"/>
        </w:rPr>
        <w:t xml:space="preserve"> </w:t>
      </w:r>
      <w:r w:rsidR="006A0E27">
        <w:rPr>
          <w:rFonts w:ascii="Times New Roman" w:hAnsi="Times New Roman" w:cs="Times New Roman"/>
          <w:sz w:val="24"/>
          <w:szCs w:val="24"/>
        </w:rPr>
        <w:t xml:space="preserve">to accept protective agreement provisions related to OCC’s responsibilities re: public records matters. </w:t>
      </w:r>
      <w:r>
        <w:rPr>
          <w:rFonts w:ascii="Times New Roman" w:hAnsi="Times New Roman" w:cs="Times New Roman"/>
          <w:sz w:val="24"/>
          <w:szCs w:val="24"/>
        </w:rPr>
        <w:t xml:space="preserve">  </w:t>
      </w:r>
      <w:r w:rsidR="00FF6353" w:rsidRPr="0045181E">
        <w:rPr>
          <w:rFonts w:ascii="Times New Roman" w:hAnsi="Times New Roman" w:cs="Times New Roman"/>
          <w:sz w:val="24"/>
          <w:szCs w:val="24"/>
        </w:rPr>
        <w:t xml:space="preserve"> </w:t>
      </w:r>
    </w:p>
    <w:p w:rsidR="00176686" w:rsidRDefault="006A0E27" w:rsidP="00FF6353">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FF6353" w:rsidRPr="0045181E">
        <w:rPr>
          <w:rFonts w:ascii="Times New Roman" w:hAnsi="Times New Roman" w:cs="Times New Roman"/>
          <w:sz w:val="24"/>
          <w:szCs w:val="24"/>
        </w:rPr>
        <w:t xml:space="preserve"> OCC and </w:t>
      </w:r>
      <w:r w:rsidR="002654E0">
        <w:rPr>
          <w:rFonts w:ascii="Times New Roman" w:hAnsi="Times New Roman" w:cs="Times New Roman"/>
          <w:sz w:val="24"/>
          <w:szCs w:val="24"/>
        </w:rPr>
        <w:t xml:space="preserve">Duke </w:t>
      </w:r>
      <w:r w:rsidR="00FF6353" w:rsidRPr="0045181E">
        <w:rPr>
          <w:rFonts w:ascii="Times New Roman" w:hAnsi="Times New Roman" w:cs="Times New Roman"/>
          <w:sz w:val="24"/>
          <w:szCs w:val="24"/>
        </w:rPr>
        <w:t xml:space="preserve">have executed protective agreements </w:t>
      </w:r>
      <w:r w:rsidR="003E79BC">
        <w:rPr>
          <w:rFonts w:ascii="Times New Roman" w:hAnsi="Times New Roman" w:cs="Times New Roman"/>
          <w:sz w:val="24"/>
          <w:szCs w:val="24"/>
        </w:rPr>
        <w:t xml:space="preserve">on </w:t>
      </w:r>
      <w:r w:rsidR="00860540">
        <w:rPr>
          <w:rFonts w:ascii="Times New Roman" w:hAnsi="Times New Roman" w:cs="Times New Roman"/>
          <w:sz w:val="24"/>
          <w:szCs w:val="24"/>
        </w:rPr>
        <w:t xml:space="preserve">many </w:t>
      </w:r>
      <w:r w:rsidR="00FF6353" w:rsidRPr="0045181E">
        <w:rPr>
          <w:rFonts w:ascii="Times New Roman" w:hAnsi="Times New Roman" w:cs="Times New Roman"/>
          <w:sz w:val="24"/>
          <w:szCs w:val="24"/>
        </w:rPr>
        <w:t>occasion</w:t>
      </w:r>
      <w:r w:rsidR="00860540">
        <w:rPr>
          <w:rFonts w:ascii="Times New Roman" w:hAnsi="Times New Roman" w:cs="Times New Roman"/>
          <w:sz w:val="24"/>
          <w:szCs w:val="24"/>
        </w:rPr>
        <w:t>s</w:t>
      </w:r>
      <w:r w:rsidR="00A82262">
        <w:rPr>
          <w:rFonts w:ascii="Times New Roman" w:hAnsi="Times New Roman" w:cs="Times New Roman"/>
          <w:sz w:val="24"/>
          <w:szCs w:val="24"/>
        </w:rPr>
        <w:t>. The agreements typically</w:t>
      </w:r>
      <w:r w:rsidR="00FF6353" w:rsidRPr="0045181E">
        <w:rPr>
          <w:rFonts w:ascii="Times New Roman" w:hAnsi="Times New Roman" w:cs="Times New Roman"/>
          <w:sz w:val="24"/>
          <w:szCs w:val="24"/>
        </w:rPr>
        <w:t xml:space="preserve"> contain the </w:t>
      </w:r>
      <w:r>
        <w:rPr>
          <w:rFonts w:ascii="Times New Roman" w:hAnsi="Times New Roman" w:cs="Times New Roman"/>
          <w:sz w:val="24"/>
          <w:szCs w:val="24"/>
        </w:rPr>
        <w:t xml:space="preserve">same </w:t>
      </w:r>
      <w:r w:rsidR="00FF6353" w:rsidRPr="0045181E">
        <w:rPr>
          <w:rFonts w:ascii="Times New Roman" w:hAnsi="Times New Roman" w:cs="Times New Roman"/>
          <w:sz w:val="24"/>
          <w:szCs w:val="24"/>
        </w:rPr>
        <w:t xml:space="preserve">protections offered by the OCC in </w:t>
      </w:r>
      <w:r w:rsidR="002654E0">
        <w:rPr>
          <w:rFonts w:ascii="Times New Roman" w:hAnsi="Times New Roman" w:cs="Times New Roman"/>
          <w:sz w:val="24"/>
          <w:szCs w:val="24"/>
        </w:rPr>
        <w:t>the attached protective agreement</w:t>
      </w:r>
      <w:r w:rsidR="00FF6353" w:rsidRPr="0045181E">
        <w:rPr>
          <w:rFonts w:ascii="Times New Roman" w:hAnsi="Times New Roman" w:cs="Times New Roman"/>
          <w:sz w:val="24"/>
          <w:szCs w:val="24"/>
        </w:rPr>
        <w:t>.</w:t>
      </w:r>
      <w:r w:rsidR="002654E0">
        <w:rPr>
          <w:rStyle w:val="FootnoteReference"/>
          <w:rFonts w:ascii="Times New Roman" w:hAnsi="Times New Roman" w:cs="Times New Roman"/>
          <w:sz w:val="24"/>
          <w:szCs w:val="24"/>
        </w:rPr>
        <w:footnoteReference w:id="7"/>
      </w:r>
      <w:r w:rsidR="00FF6353" w:rsidRPr="0045181E">
        <w:rPr>
          <w:rFonts w:ascii="Times New Roman" w:hAnsi="Times New Roman" w:cs="Times New Roman"/>
          <w:sz w:val="24"/>
          <w:szCs w:val="24"/>
        </w:rPr>
        <w:t xml:space="preserve">  </w:t>
      </w:r>
    </w:p>
    <w:p w:rsidR="00FF6353" w:rsidRPr="0045181E" w:rsidRDefault="00FF6353" w:rsidP="00FF6353">
      <w:pPr>
        <w:pStyle w:val="FootnoteText"/>
        <w:spacing w:line="480" w:lineRule="auto"/>
        <w:ind w:firstLine="720"/>
        <w:rPr>
          <w:rFonts w:ascii="Times New Roman" w:hAnsi="Times New Roman" w:cs="Times New Roman"/>
          <w:sz w:val="24"/>
          <w:szCs w:val="24"/>
        </w:rPr>
      </w:pPr>
      <w:r w:rsidRPr="0045181E">
        <w:rPr>
          <w:rFonts w:ascii="Times New Roman" w:hAnsi="Times New Roman" w:cs="Times New Roman"/>
          <w:bCs/>
          <w:sz w:val="24"/>
          <w:szCs w:val="24"/>
        </w:rPr>
        <w:t>The OCC’s proposed protective agreement has been applied</w:t>
      </w:r>
      <w:r w:rsidR="002654E0">
        <w:rPr>
          <w:rFonts w:ascii="Times New Roman" w:hAnsi="Times New Roman" w:cs="Times New Roman"/>
          <w:bCs/>
          <w:sz w:val="24"/>
          <w:szCs w:val="24"/>
        </w:rPr>
        <w:t xml:space="preserve"> as well</w:t>
      </w:r>
      <w:r w:rsidRPr="0045181E">
        <w:rPr>
          <w:rFonts w:ascii="Times New Roman" w:hAnsi="Times New Roman" w:cs="Times New Roman"/>
          <w:bCs/>
          <w:sz w:val="24"/>
          <w:szCs w:val="24"/>
        </w:rPr>
        <w:t xml:space="preserve"> in cases that involve the proposed merger of telephone companies </w:t>
      </w:r>
      <w:r w:rsidR="00AC29DF">
        <w:rPr>
          <w:rFonts w:ascii="Times New Roman" w:hAnsi="Times New Roman" w:cs="Times New Roman"/>
          <w:bCs/>
          <w:sz w:val="24"/>
          <w:szCs w:val="24"/>
        </w:rPr>
        <w:t xml:space="preserve">where  there were </w:t>
      </w:r>
      <w:r w:rsidRPr="0045181E">
        <w:rPr>
          <w:rFonts w:ascii="Times New Roman" w:hAnsi="Times New Roman" w:cs="Times New Roman"/>
          <w:bCs/>
          <w:sz w:val="24"/>
          <w:szCs w:val="24"/>
        </w:rPr>
        <w:t>documents deemed to be highly confidential by the utilities</w:t>
      </w:r>
      <w:r w:rsidR="00AC29DF">
        <w:rPr>
          <w:rFonts w:ascii="Times New Roman" w:hAnsi="Times New Roman" w:cs="Times New Roman"/>
          <w:bCs/>
          <w:sz w:val="24"/>
          <w:szCs w:val="24"/>
        </w:rPr>
        <w:t>.</w:t>
      </w:r>
      <w:r w:rsidRPr="0045181E">
        <w:rPr>
          <w:rFonts w:ascii="Times New Roman" w:hAnsi="Times New Roman" w:cs="Times New Roman"/>
          <w:sz w:val="24"/>
          <w:szCs w:val="24"/>
        </w:rPr>
        <w:t xml:space="preserve"> See </w:t>
      </w:r>
      <w:r w:rsidRPr="0045181E">
        <w:rPr>
          <w:rFonts w:ascii="Times New Roman" w:hAnsi="Times New Roman" w:cs="Times New Roman"/>
          <w:i/>
          <w:sz w:val="24"/>
          <w:szCs w:val="24"/>
        </w:rPr>
        <w:t>In re SBC/AT&amp;T Merger</w:t>
      </w:r>
      <w:r w:rsidRPr="0045181E">
        <w:rPr>
          <w:rFonts w:ascii="Times New Roman" w:hAnsi="Times New Roman" w:cs="Times New Roman"/>
          <w:sz w:val="24"/>
          <w:szCs w:val="24"/>
        </w:rPr>
        <w:t xml:space="preserve">, Case No. 05-269-TP-ACO; also </w:t>
      </w:r>
      <w:r w:rsidRPr="0045181E">
        <w:rPr>
          <w:rFonts w:ascii="Times New Roman" w:hAnsi="Times New Roman" w:cs="Times New Roman"/>
          <w:i/>
          <w:sz w:val="24"/>
          <w:szCs w:val="24"/>
        </w:rPr>
        <w:t>In re Verizon/MCI Merger</w:t>
      </w:r>
      <w:r w:rsidRPr="0045181E">
        <w:rPr>
          <w:rFonts w:ascii="Times New Roman" w:hAnsi="Times New Roman" w:cs="Times New Roman"/>
          <w:sz w:val="24"/>
          <w:szCs w:val="24"/>
        </w:rPr>
        <w:t>, Case No. 05-497-TP-ACO.</w:t>
      </w:r>
    </w:p>
    <w:p w:rsidR="00FF6353" w:rsidRDefault="00FF6353" w:rsidP="00FF6353">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OCC is willing to execute </w:t>
      </w:r>
      <w:r w:rsidR="00AC29DF">
        <w:rPr>
          <w:rFonts w:ascii="Times New Roman" w:hAnsi="Times New Roman" w:cs="Times New Roman"/>
          <w:sz w:val="24"/>
          <w:szCs w:val="24"/>
        </w:rPr>
        <w:t>its</w:t>
      </w:r>
      <w:r>
        <w:rPr>
          <w:rFonts w:ascii="Times New Roman" w:hAnsi="Times New Roman" w:cs="Times New Roman"/>
          <w:sz w:val="24"/>
          <w:szCs w:val="24"/>
        </w:rPr>
        <w:t xml:space="preserve"> attached</w:t>
      </w:r>
      <w:r w:rsidR="00583D39">
        <w:rPr>
          <w:rFonts w:ascii="Times New Roman" w:hAnsi="Times New Roman" w:cs="Times New Roman"/>
          <w:sz w:val="24"/>
          <w:szCs w:val="24"/>
        </w:rPr>
        <w:t xml:space="preserve"> and time-honored</w:t>
      </w:r>
      <w:r>
        <w:rPr>
          <w:rFonts w:ascii="Times New Roman" w:hAnsi="Times New Roman" w:cs="Times New Roman"/>
          <w:sz w:val="24"/>
          <w:szCs w:val="24"/>
        </w:rPr>
        <w:t xml:space="preserve"> protective agreement that recognizes the legal responsibilities of the OCC as a public office</w:t>
      </w:r>
      <w:r w:rsidR="00A93B5A">
        <w:rPr>
          <w:rFonts w:ascii="Times New Roman" w:hAnsi="Times New Roman" w:cs="Times New Roman"/>
          <w:sz w:val="24"/>
          <w:szCs w:val="24"/>
        </w:rPr>
        <w:t xml:space="preserve"> (that Duke has recognized for years in agreements)</w:t>
      </w:r>
      <w:r>
        <w:rPr>
          <w:rFonts w:ascii="Times New Roman" w:hAnsi="Times New Roman" w:cs="Times New Roman"/>
          <w:sz w:val="24"/>
          <w:szCs w:val="24"/>
        </w:rPr>
        <w:t xml:space="preserve">.  </w:t>
      </w:r>
      <w:r w:rsidRPr="0045181E">
        <w:rPr>
          <w:rFonts w:ascii="Times New Roman" w:hAnsi="Times New Roman" w:cs="Times New Roman"/>
          <w:sz w:val="24"/>
          <w:szCs w:val="24"/>
        </w:rPr>
        <w:t xml:space="preserve">The OCC will treat the </w:t>
      </w:r>
      <w:r w:rsidR="002654E0">
        <w:rPr>
          <w:rFonts w:ascii="Times New Roman" w:hAnsi="Times New Roman" w:cs="Times New Roman"/>
          <w:sz w:val="24"/>
          <w:szCs w:val="24"/>
        </w:rPr>
        <w:t xml:space="preserve">utility’s </w:t>
      </w:r>
      <w:r w:rsidRPr="0045181E">
        <w:rPr>
          <w:rFonts w:ascii="Times New Roman" w:hAnsi="Times New Roman" w:cs="Times New Roman"/>
          <w:sz w:val="24"/>
          <w:szCs w:val="24"/>
        </w:rPr>
        <w:t xml:space="preserve">documents with the appropriate care under the protective agreement that </w:t>
      </w:r>
      <w:r w:rsidR="00AB0A08">
        <w:rPr>
          <w:rFonts w:ascii="Times New Roman" w:hAnsi="Times New Roman" w:cs="Times New Roman"/>
          <w:sz w:val="24"/>
          <w:szCs w:val="24"/>
        </w:rPr>
        <w:t xml:space="preserve">Duke </w:t>
      </w:r>
      <w:r w:rsidRPr="0045181E">
        <w:rPr>
          <w:rFonts w:ascii="Times New Roman" w:hAnsi="Times New Roman" w:cs="Times New Roman"/>
          <w:sz w:val="24"/>
          <w:szCs w:val="24"/>
        </w:rPr>
        <w:t>should have executed</w:t>
      </w:r>
      <w:r w:rsidR="00AB0A08">
        <w:rPr>
          <w:rFonts w:ascii="Times New Roman" w:hAnsi="Times New Roman" w:cs="Times New Roman"/>
          <w:sz w:val="24"/>
          <w:szCs w:val="24"/>
        </w:rPr>
        <w:t>, but instead rejected this time</w:t>
      </w:r>
      <w:r w:rsidRPr="0045181E">
        <w:rPr>
          <w:rFonts w:ascii="Times New Roman" w:hAnsi="Times New Roman" w:cs="Times New Roman"/>
          <w:sz w:val="24"/>
          <w:szCs w:val="24"/>
        </w:rPr>
        <w:t xml:space="preserve">.  There is nothing in the present case that is more compelling or distinctive that warrants treatment different than that which has satisfied numerous other </w:t>
      </w:r>
      <w:smartTag w:uri="urn:schemas-microsoft-com:office:smarttags" w:element="place">
        <w:smartTag w:uri="urn:schemas-microsoft-com:office:smarttags" w:element="State">
          <w:r w:rsidRPr="0045181E">
            <w:rPr>
              <w:rFonts w:ascii="Times New Roman" w:hAnsi="Times New Roman" w:cs="Times New Roman"/>
              <w:sz w:val="24"/>
              <w:szCs w:val="24"/>
            </w:rPr>
            <w:t>Ohio</w:t>
          </w:r>
        </w:smartTag>
      </w:smartTag>
      <w:r w:rsidRPr="0045181E">
        <w:rPr>
          <w:rFonts w:ascii="Times New Roman" w:hAnsi="Times New Roman" w:cs="Times New Roman"/>
          <w:sz w:val="24"/>
          <w:szCs w:val="24"/>
        </w:rPr>
        <w:t xml:space="preserve"> utilities.</w:t>
      </w:r>
    </w:p>
    <w:p w:rsidR="00433D19" w:rsidRDefault="006A0E27" w:rsidP="00F01579">
      <w:pPr>
        <w:spacing w:line="480" w:lineRule="auto"/>
        <w:ind w:firstLine="720"/>
        <w:rPr>
          <w:szCs w:val="24"/>
        </w:rPr>
      </w:pPr>
      <w:r w:rsidRPr="00433D19">
        <w:rPr>
          <w:szCs w:val="24"/>
        </w:rPr>
        <w:t xml:space="preserve">And yet, Duke has </w:t>
      </w:r>
      <w:r w:rsidR="00433D19" w:rsidRPr="00433D19">
        <w:rPr>
          <w:szCs w:val="24"/>
        </w:rPr>
        <w:t xml:space="preserve">insisted upon </w:t>
      </w:r>
      <w:r w:rsidRPr="00433D19">
        <w:rPr>
          <w:szCs w:val="24"/>
        </w:rPr>
        <w:t xml:space="preserve">an alternative protective agreement </w:t>
      </w:r>
      <w:r w:rsidR="00AB0A08">
        <w:rPr>
          <w:szCs w:val="24"/>
        </w:rPr>
        <w:t xml:space="preserve">(unlike other Ohio utilities) </w:t>
      </w:r>
      <w:r w:rsidRPr="00433D19">
        <w:rPr>
          <w:szCs w:val="24"/>
        </w:rPr>
        <w:t xml:space="preserve">that </w:t>
      </w:r>
      <w:r w:rsidR="00433D19">
        <w:rPr>
          <w:szCs w:val="24"/>
        </w:rPr>
        <w:t>contains provision</w:t>
      </w:r>
      <w:r w:rsidR="00F01579">
        <w:rPr>
          <w:szCs w:val="24"/>
        </w:rPr>
        <w:t>s</w:t>
      </w:r>
      <w:r w:rsidR="00433D19">
        <w:rPr>
          <w:szCs w:val="24"/>
        </w:rPr>
        <w:t xml:space="preserve"> that </w:t>
      </w:r>
      <w:r w:rsidR="00F01579">
        <w:rPr>
          <w:szCs w:val="24"/>
        </w:rPr>
        <w:t xml:space="preserve">are </w:t>
      </w:r>
      <w:r w:rsidR="00F01579" w:rsidRPr="00433D19">
        <w:rPr>
          <w:szCs w:val="24"/>
        </w:rPr>
        <w:t>unlawful</w:t>
      </w:r>
      <w:r w:rsidR="00433D19">
        <w:rPr>
          <w:szCs w:val="24"/>
        </w:rPr>
        <w:t>.  Duke’s protective agreement</w:t>
      </w:r>
      <w:r w:rsidR="00BD7342">
        <w:rPr>
          <w:szCs w:val="24"/>
        </w:rPr>
        <w:t xml:space="preserve"> would</w:t>
      </w:r>
      <w:r w:rsidR="00433D19">
        <w:rPr>
          <w:szCs w:val="24"/>
        </w:rPr>
        <w:t xml:space="preserve"> </w:t>
      </w:r>
      <w:r w:rsidR="00433D19" w:rsidRPr="00433D19">
        <w:rPr>
          <w:szCs w:val="24"/>
        </w:rPr>
        <w:t xml:space="preserve">violate Ohio Public Records Laws and Ohio law with respect to records retention.  </w:t>
      </w:r>
      <w:r w:rsidR="00AB0A08">
        <w:rPr>
          <w:szCs w:val="24"/>
        </w:rPr>
        <w:t xml:space="preserve">Moreover, its provisions are unreasonable and harmful to the OCC.  </w:t>
      </w:r>
    </w:p>
    <w:p w:rsidR="00433D19" w:rsidRDefault="00433D19" w:rsidP="00F01579">
      <w:pPr>
        <w:pStyle w:val="Default"/>
        <w:spacing w:line="480" w:lineRule="auto"/>
        <w:ind w:firstLine="720"/>
        <w:rPr>
          <w:color w:val="auto"/>
        </w:rPr>
      </w:pPr>
      <w:r w:rsidRPr="00433D19">
        <w:t>Specifically, in ¶</w:t>
      </w:r>
      <w:r w:rsidR="00F01579" w:rsidRPr="00433D19">
        <w:t>6 (</w:t>
      </w:r>
      <w:r w:rsidRPr="00433D19">
        <w:t xml:space="preserve">b) </w:t>
      </w:r>
      <w:r>
        <w:t xml:space="preserve">of Duke’s proposed protective agreement (attached hereto as Exhibit </w:t>
      </w:r>
      <w:r w:rsidR="00AB0A08">
        <w:t>2</w:t>
      </w:r>
      <w:r>
        <w:t xml:space="preserve">), </w:t>
      </w:r>
      <w:r w:rsidR="00F01579">
        <w:t>Duke sets</w:t>
      </w:r>
      <w:r>
        <w:t xml:space="preserve"> out a process that violates Ohio Public Records Law (R.C.    149.43)</w:t>
      </w:r>
      <w:r w:rsidR="008B6AA5">
        <w:t xml:space="preserve">.  </w:t>
      </w:r>
      <w:r w:rsidR="00F01579">
        <w:t>In</w:t>
      </w:r>
      <w:r>
        <w:t xml:space="preserve"> that section Duke requires that if OCC receives a subpoena or a public records request, </w:t>
      </w:r>
      <w:r w:rsidR="00F01579">
        <w:t>OCC “</w:t>
      </w:r>
      <w:r>
        <w:rPr>
          <w:color w:val="auto"/>
        </w:rPr>
        <w:t xml:space="preserve">may furnish that portion (and only that portion) of the Confidential Information or Highly Confidential Information that, in the written opinion of its counsel (reasonably acceptable to Duke Energy Ohio), the Recipient is legally compelled to disclose. </w:t>
      </w:r>
      <w:r w:rsidR="008B6AA5">
        <w:rPr>
          <w:color w:val="auto"/>
        </w:rPr>
        <w:t xml:space="preserve"> </w:t>
      </w:r>
      <w:r>
        <w:rPr>
          <w:color w:val="auto"/>
        </w:rPr>
        <w:t>In addition, the Recipient shall use reasonable efforts to obtain reliable assurances that confidential treatment will be accorded any Confidential Information or Highly Confidential Information so disclosed.”</w:t>
      </w:r>
      <w:r w:rsidR="00854387">
        <w:rPr>
          <w:rStyle w:val="FootnoteReference"/>
          <w:color w:val="auto"/>
        </w:rPr>
        <w:footnoteReference w:id="8"/>
      </w:r>
      <w:r>
        <w:rPr>
          <w:color w:val="auto"/>
        </w:rPr>
        <w:t xml:space="preserve">   </w:t>
      </w:r>
      <w:r w:rsidR="00FE7111">
        <w:rPr>
          <w:color w:val="auto"/>
        </w:rPr>
        <w:t xml:space="preserve">But </w:t>
      </w:r>
      <w:r w:rsidR="00F01579">
        <w:rPr>
          <w:color w:val="auto"/>
        </w:rPr>
        <w:t xml:space="preserve">the </w:t>
      </w:r>
      <w:r w:rsidR="00F01579" w:rsidRPr="00F80206">
        <w:rPr>
          <w:color w:val="auto"/>
        </w:rPr>
        <w:t>Public</w:t>
      </w:r>
      <w:r w:rsidRPr="00F80206">
        <w:rPr>
          <w:color w:val="auto"/>
        </w:rPr>
        <w:t xml:space="preserve"> Records Laws of Ohio require </w:t>
      </w:r>
      <w:r w:rsidR="003E79BC" w:rsidRPr="00F80206">
        <w:rPr>
          <w:color w:val="auto"/>
        </w:rPr>
        <w:t xml:space="preserve">a public agency such as OCC to </w:t>
      </w:r>
      <w:r w:rsidR="000B0677" w:rsidRPr="00F80206">
        <w:rPr>
          <w:color w:val="auto"/>
        </w:rPr>
        <w:t>allow the public to inspect and copy</w:t>
      </w:r>
      <w:r w:rsidR="002D14D9" w:rsidRPr="00F80206">
        <w:rPr>
          <w:color w:val="auto"/>
        </w:rPr>
        <w:t xml:space="preserve"> all records unless those records fall within one of the enumerated exceptions to R.C. 149.43.  The duty to determine whether the OCC is legally compelled to disclose the information lies with OCC, not with Duke.  It cannot be subject to</w:t>
      </w:r>
      <w:r w:rsidR="00F80206">
        <w:rPr>
          <w:color w:val="auto"/>
        </w:rPr>
        <w:t xml:space="preserve"> </w:t>
      </w:r>
      <w:r w:rsidR="002D14D9" w:rsidRPr="00F80206">
        <w:rPr>
          <w:color w:val="auto"/>
        </w:rPr>
        <w:t xml:space="preserve"> Duke’s approval.</w:t>
      </w:r>
      <w:r w:rsidR="002D14D9" w:rsidRPr="00F80206">
        <w:rPr>
          <w:rStyle w:val="FootnoteReference"/>
          <w:color w:val="auto"/>
        </w:rPr>
        <w:footnoteReference w:id="9"/>
      </w:r>
      <w:r w:rsidR="002D14D9" w:rsidRPr="00F80206">
        <w:rPr>
          <w:color w:val="auto"/>
        </w:rPr>
        <w:t xml:space="preserve">  Additionally, OCC cannot engage in efforts to control the disclosure of information obtained by a third party under a public records request.  </w:t>
      </w:r>
    </w:p>
    <w:p w:rsidR="00433D19" w:rsidRDefault="005470D5" w:rsidP="00F01579">
      <w:pPr>
        <w:pStyle w:val="Default"/>
        <w:spacing w:line="480" w:lineRule="auto"/>
        <w:ind w:firstLine="720"/>
        <w:rPr>
          <w:color w:val="auto"/>
        </w:rPr>
      </w:pPr>
      <w:r>
        <w:rPr>
          <w:color w:val="auto"/>
        </w:rPr>
        <w:t>Additionally, Duke’s proposed protective agreement violates</w:t>
      </w:r>
      <w:r w:rsidR="00433D19">
        <w:rPr>
          <w:color w:val="auto"/>
        </w:rPr>
        <w:t xml:space="preserve"> Ohio law regarding records retention</w:t>
      </w:r>
      <w:r>
        <w:rPr>
          <w:color w:val="auto"/>
        </w:rPr>
        <w:t xml:space="preserve">, </w:t>
      </w:r>
      <w:r w:rsidR="00433D19">
        <w:rPr>
          <w:color w:val="auto"/>
        </w:rPr>
        <w:t>R.C. 149.351</w:t>
      </w:r>
      <w:r>
        <w:rPr>
          <w:color w:val="auto"/>
        </w:rPr>
        <w:t>.  Pa</w:t>
      </w:r>
      <w:r w:rsidR="00433D19">
        <w:rPr>
          <w:color w:val="auto"/>
        </w:rPr>
        <w:t>ragraph 8</w:t>
      </w:r>
      <w:r>
        <w:rPr>
          <w:color w:val="auto"/>
        </w:rPr>
        <w:t xml:space="preserve"> of Duke’s proposed protective agreement states that </w:t>
      </w:r>
      <w:r w:rsidR="00433D19">
        <w:rPr>
          <w:color w:val="auto"/>
        </w:rPr>
        <w:t>Duke can require the return or destruction of records provided under the terms of the proposed agreement.</w:t>
      </w:r>
      <w:r w:rsidR="001E6486">
        <w:rPr>
          <w:rStyle w:val="FootnoteReference"/>
          <w:color w:val="auto"/>
        </w:rPr>
        <w:footnoteReference w:id="10"/>
      </w:r>
      <w:r>
        <w:rPr>
          <w:color w:val="auto"/>
        </w:rPr>
        <w:t xml:space="preserve">  In contrast</w:t>
      </w:r>
      <w:r w:rsidR="00F01579">
        <w:rPr>
          <w:color w:val="auto"/>
        </w:rPr>
        <w:t xml:space="preserve">, </w:t>
      </w:r>
      <w:r>
        <w:rPr>
          <w:color w:val="auto"/>
        </w:rPr>
        <w:t xml:space="preserve">R.C. 149.351 states that records of a public office shall not be removed or destroyed except as provided by law or under the rules adopted by the records commission.  </w:t>
      </w:r>
    </w:p>
    <w:p w:rsidR="00AB0A08" w:rsidRDefault="009203ED" w:rsidP="00F01579">
      <w:pPr>
        <w:pStyle w:val="Default"/>
        <w:spacing w:line="480" w:lineRule="auto"/>
        <w:ind w:firstLine="720"/>
        <w:rPr>
          <w:color w:val="auto"/>
        </w:rPr>
      </w:pPr>
      <w:r>
        <w:rPr>
          <w:color w:val="auto"/>
        </w:rPr>
        <w:t xml:space="preserve">Duke’s proposed protective agreement is </w:t>
      </w:r>
      <w:r w:rsidR="00AB0A08">
        <w:rPr>
          <w:color w:val="auto"/>
        </w:rPr>
        <w:t xml:space="preserve">also </w:t>
      </w:r>
      <w:r>
        <w:rPr>
          <w:color w:val="auto"/>
        </w:rPr>
        <w:t>unreasonable</w:t>
      </w:r>
      <w:r w:rsidR="00AB0A08">
        <w:rPr>
          <w:color w:val="auto"/>
        </w:rPr>
        <w:t xml:space="preserve"> and will harm OCC</w:t>
      </w:r>
      <w:r>
        <w:rPr>
          <w:color w:val="auto"/>
        </w:rPr>
        <w:t>.  As OEG has noted,</w:t>
      </w:r>
      <w:r w:rsidR="00705C56">
        <w:rPr>
          <w:rStyle w:val="FootnoteReference"/>
          <w:color w:val="auto"/>
        </w:rPr>
        <w:footnoteReference w:id="11"/>
      </w:r>
      <w:r>
        <w:rPr>
          <w:color w:val="auto"/>
        </w:rPr>
        <w:t xml:space="preserve"> </w:t>
      </w:r>
      <w:r w:rsidR="00705C56">
        <w:rPr>
          <w:color w:val="auto"/>
        </w:rPr>
        <w:t xml:space="preserve">section 7(a) of </w:t>
      </w:r>
      <w:r>
        <w:rPr>
          <w:color w:val="auto"/>
        </w:rPr>
        <w:t xml:space="preserve">Duke’s proposed protective agreement contains a damages provision that subjects parties to the greater of actual damages or $1 million.  </w:t>
      </w:r>
      <w:r w:rsidR="00705C56">
        <w:rPr>
          <w:color w:val="auto"/>
        </w:rPr>
        <w:t xml:space="preserve">Such a provision is on its face arbitrary, unreasonable, and unprecedented.  </w:t>
      </w:r>
    </w:p>
    <w:p w:rsidR="00AB0A08" w:rsidRDefault="00854387" w:rsidP="00F01579">
      <w:pPr>
        <w:pStyle w:val="Default"/>
        <w:spacing w:line="480" w:lineRule="auto"/>
        <w:ind w:firstLine="720"/>
        <w:rPr>
          <w:color w:val="auto"/>
        </w:rPr>
      </w:pPr>
      <w:r>
        <w:rPr>
          <w:color w:val="auto"/>
        </w:rPr>
        <w:t xml:space="preserve">Section 2 of Duke’s </w:t>
      </w:r>
      <w:r w:rsidR="00705C56">
        <w:rPr>
          <w:color w:val="auto"/>
        </w:rPr>
        <w:t>protective agreement requires OCC to acknowledge that the information provided subject to the terms of the agreement is “confidential” and that any disclosure will injure Duke.</w:t>
      </w:r>
      <w:r w:rsidR="001E6486">
        <w:rPr>
          <w:rStyle w:val="FootnoteReference"/>
          <w:color w:val="auto"/>
        </w:rPr>
        <w:footnoteReference w:id="12"/>
      </w:r>
      <w:r w:rsidR="00705C56">
        <w:rPr>
          <w:color w:val="auto"/>
        </w:rPr>
        <w:t xml:space="preserve">  As noted by OEG, this is different from most protective agreements under which parties agree to protect alleged confidential information, and yet maintain their rights to challenge the characterization of the information as “confidential.”  </w:t>
      </w:r>
    </w:p>
    <w:p w:rsidR="00AB0A08" w:rsidRDefault="000543F1" w:rsidP="00F01579">
      <w:pPr>
        <w:pStyle w:val="Default"/>
        <w:spacing w:line="480" w:lineRule="auto"/>
        <w:ind w:firstLine="720"/>
        <w:rPr>
          <w:color w:val="auto"/>
        </w:rPr>
      </w:pPr>
      <w:r>
        <w:rPr>
          <w:color w:val="auto"/>
        </w:rPr>
        <w:t>Section</w:t>
      </w:r>
      <w:r w:rsidR="00556F95">
        <w:rPr>
          <w:color w:val="auto"/>
        </w:rPr>
        <w:t>s</w:t>
      </w:r>
      <w:r>
        <w:rPr>
          <w:color w:val="auto"/>
        </w:rPr>
        <w:t xml:space="preserve"> 4 and 6 of Duke’s proposed confidentia</w:t>
      </w:r>
      <w:r w:rsidR="00556F95">
        <w:rPr>
          <w:color w:val="auto"/>
        </w:rPr>
        <w:t xml:space="preserve">l agreement unreasonably limit </w:t>
      </w:r>
      <w:r>
        <w:rPr>
          <w:color w:val="auto"/>
        </w:rPr>
        <w:t>OCC’s use of the information.</w:t>
      </w:r>
      <w:r w:rsidR="001E6486">
        <w:rPr>
          <w:rStyle w:val="FootnoteReference"/>
          <w:color w:val="auto"/>
        </w:rPr>
        <w:footnoteReference w:id="13"/>
      </w:r>
      <w:r>
        <w:rPr>
          <w:color w:val="auto"/>
        </w:rPr>
        <w:t xml:space="preserve">  Under Duke’s protective agreement OCC would have to obtain written permission from Duke to discuss the confidential information with other intervenors who have already signed a confidentiality agreement.  </w:t>
      </w:r>
      <w:r w:rsidR="00AC29DF">
        <w:rPr>
          <w:color w:val="auto"/>
        </w:rPr>
        <w:t xml:space="preserve">OCC agrees with </w:t>
      </w:r>
      <w:r>
        <w:rPr>
          <w:color w:val="auto"/>
        </w:rPr>
        <w:t>OEG</w:t>
      </w:r>
      <w:r>
        <w:rPr>
          <w:rStyle w:val="FootnoteReference"/>
          <w:color w:val="auto"/>
        </w:rPr>
        <w:footnoteReference w:id="14"/>
      </w:r>
      <w:r w:rsidR="00AC29DF">
        <w:rPr>
          <w:color w:val="auto"/>
        </w:rPr>
        <w:t xml:space="preserve"> that</w:t>
      </w:r>
      <w:r>
        <w:rPr>
          <w:color w:val="auto"/>
        </w:rPr>
        <w:t xml:space="preserve"> this is an unreasonable and restrictive provision that will interfere with trial preparation efforts.  </w:t>
      </w:r>
    </w:p>
    <w:p w:rsidR="00AB0A08" w:rsidRDefault="000543F1" w:rsidP="00F01579">
      <w:pPr>
        <w:pStyle w:val="Default"/>
        <w:spacing w:line="480" w:lineRule="auto"/>
        <w:ind w:firstLine="720"/>
        <w:rPr>
          <w:color w:val="auto"/>
        </w:rPr>
      </w:pPr>
      <w:r>
        <w:rPr>
          <w:color w:val="auto"/>
        </w:rPr>
        <w:t xml:space="preserve">Section 3 of </w:t>
      </w:r>
      <w:r w:rsidR="00854387">
        <w:rPr>
          <w:color w:val="auto"/>
        </w:rPr>
        <w:t xml:space="preserve">Duke’s </w:t>
      </w:r>
      <w:r>
        <w:rPr>
          <w:color w:val="auto"/>
        </w:rPr>
        <w:t>protective agreement mandates that the information be maintained by OCC</w:t>
      </w:r>
      <w:r w:rsidR="00AC29DF">
        <w:rPr>
          <w:color w:val="auto"/>
        </w:rPr>
        <w:t xml:space="preserve"> </w:t>
      </w:r>
      <w:r>
        <w:rPr>
          <w:color w:val="auto"/>
        </w:rPr>
        <w:t>“in separate identifiable files, with access to such files restricted to person whom disclosure is permitted …”</w:t>
      </w:r>
      <w:r w:rsidR="00447207">
        <w:rPr>
          <w:rStyle w:val="FootnoteReference"/>
          <w:color w:val="auto"/>
        </w:rPr>
        <w:footnoteReference w:id="15"/>
      </w:r>
      <w:r>
        <w:rPr>
          <w:color w:val="auto"/>
        </w:rPr>
        <w:t xml:space="preserve"> </w:t>
      </w:r>
      <w:r w:rsidR="006C1078">
        <w:rPr>
          <w:color w:val="auto"/>
        </w:rPr>
        <w:t xml:space="preserve"> </w:t>
      </w:r>
      <w:r>
        <w:rPr>
          <w:color w:val="auto"/>
        </w:rPr>
        <w:t>Such treatment is not workable</w:t>
      </w:r>
      <w:r w:rsidR="00AC29DF">
        <w:rPr>
          <w:color w:val="auto"/>
        </w:rPr>
        <w:t xml:space="preserve"> and is unnecessary.</w:t>
      </w:r>
      <w:r w:rsidR="00447207">
        <w:rPr>
          <w:rStyle w:val="FootnoteReference"/>
          <w:color w:val="auto"/>
        </w:rPr>
        <w:footnoteReference w:id="16"/>
      </w:r>
      <w:r w:rsidR="00AC29DF">
        <w:rPr>
          <w:color w:val="auto"/>
        </w:rPr>
        <w:t xml:space="preserve"> </w:t>
      </w:r>
    </w:p>
    <w:p w:rsidR="00433D19" w:rsidRDefault="00AC29DF" w:rsidP="00F01579">
      <w:pPr>
        <w:pStyle w:val="Default"/>
        <w:spacing w:line="480" w:lineRule="auto"/>
        <w:ind w:firstLine="720"/>
        <w:rPr>
          <w:color w:val="auto"/>
        </w:rPr>
      </w:pPr>
      <w:r>
        <w:rPr>
          <w:color w:val="auto"/>
        </w:rPr>
        <w:t xml:space="preserve"> </w:t>
      </w:r>
      <w:r w:rsidR="000543F1">
        <w:rPr>
          <w:color w:val="auto"/>
        </w:rPr>
        <w:t>Other provisions that</w:t>
      </w:r>
      <w:r>
        <w:rPr>
          <w:color w:val="auto"/>
        </w:rPr>
        <w:t xml:space="preserve"> OCC insists upon, for its own protection,</w:t>
      </w:r>
      <w:r w:rsidR="000543F1">
        <w:rPr>
          <w:color w:val="auto"/>
        </w:rPr>
        <w:t xml:space="preserve"> are missing from Duke’s protective agreement</w:t>
      </w:r>
      <w:r>
        <w:rPr>
          <w:color w:val="auto"/>
        </w:rPr>
        <w:t>.  These provisions</w:t>
      </w:r>
      <w:r w:rsidR="000543F1">
        <w:rPr>
          <w:color w:val="auto"/>
        </w:rPr>
        <w:t xml:space="preserve"> include providing indemnification of OCC in regard to a public records request</w:t>
      </w:r>
      <w:r w:rsidR="00447207">
        <w:rPr>
          <w:rStyle w:val="FootnoteReference"/>
          <w:color w:val="auto"/>
        </w:rPr>
        <w:footnoteReference w:id="17"/>
      </w:r>
      <w:r w:rsidR="000543F1">
        <w:rPr>
          <w:color w:val="auto"/>
        </w:rPr>
        <w:t xml:space="preserve"> and provisions specifying that</w:t>
      </w:r>
      <w:r w:rsidR="00433D19">
        <w:rPr>
          <w:color w:val="auto"/>
        </w:rPr>
        <w:t xml:space="preserve"> OCC does not waive sovereign immunity</w:t>
      </w:r>
      <w:r w:rsidR="000543F1">
        <w:rPr>
          <w:color w:val="auto"/>
        </w:rPr>
        <w:t>.</w:t>
      </w:r>
      <w:r w:rsidR="00447207">
        <w:rPr>
          <w:rStyle w:val="FootnoteReference"/>
          <w:color w:val="auto"/>
        </w:rPr>
        <w:footnoteReference w:id="18"/>
      </w:r>
      <w:r w:rsidR="000543F1">
        <w:rPr>
          <w:color w:val="auto"/>
        </w:rPr>
        <w:t xml:space="preserve">  </w:t>
      </w:r>
    </w:p>
    <w:p w:rsidR="00556F95" w:rsidRDefault="00FE7111" w:rsidP="00F01579">
      <w:pPr>
        <w:pStyle w:val="Default"/>
        <w:spacing w:line="480" w:lineRule="auto"/>
        <w:ind w:firstLine="720"/>
        <w:rPr>
          <w:color w:val="auto"/>
        </w:rPr>
      </w:pPr>
      <w:r>
        <w:rPr>
          <w:color w:val="auto"/>
        </w:rPr>
        <w:t xml:space="preserve">For these reasons OCC urges the PUCO to require party-specific protective agreements that are reasonable, lawful, and do not present harm to either party to the protective agreement.  In this regard OCC proposes Exhibit 1 as an agreement that works for it, and presents a balanced approach to this discovery issue.  </w:t>
      </w:r>
    </w:p>
    <w:p w:rsidR="00FE7111" w:rsidRDefault="00FE7111" w:rsidP="00F01579">
      <w:pPr>
        <w:pStyle w:val="Default"/>
        <w:spacing w:line="480" w:lineRule="auto"/>
        <w:ind w:firstLine="720"/>
        <w:rPr>
          <w:color w:val="auto"/>
        </w:rPr>
      </w:pPr>
      <w:r>
        <w:rPr>
          <w:color w:val="auto"/>
        </w:rPr>
        <w:t xml:space="preserve">It protects the needs of the utility and the needs of OCC.  It will allow for </w:t>
      </w:r>
      <w:r w:rsidR="005C33E9">
        <w:rPr>
          <w:color w:val="auto"/>
        </w:rPr>
        <w:t xml:space="preserve">OCC to have reasonable access to the data and will protect Duke.  It is a protective agreement that has been used with many utilities in many cases.  It was a protective agreement, in fact, that Duke signed in its last two cases.  It should be adopted by the PUCO as a means for OCC to obtain alleged protective information, in lieu of Duke’s unlawful, unreasonable, and harmful protective agreement.  </w:t>
      </w:r>
    </w:p>
    <w:p w:rsidR="00F01579" w:rsidRPr="00F01579" w:rsidRDefault="005C33E9" w:rsidP="00447207">
      <w:pPr>
        <w:pStyle w:val="Default"/>
        <w:spacing w:line="480" w:lineRule="auto"/>
        <w:ind w:firstLine="360"/>
      </w:pPr>
      <w:r>
        <w:rPr>
          <w:color w:val="auto"/>
        </w:rPr>
        <w:tab/>
      </w:r>
      <w:r>
        <w:rPr>
          <w:color w:val="auto"/>
        </w:rPr>
        <w:tab/>
      </w:r>
      <w:r>
        <w:rPr>
          <w:color w:val="auto"/>
        </w:rPr>
        <w:tab/>
      </w:r>
      <w:r>
        <w:rPr>
          <w:color w:val="auto"/>
        </w:rPr>
        <w:tab/>
      </w:r>
      <w:r>
        <w:rPr>
          <w:color w:val="auto"/>
        </w:rPr>
        <w:tab/>
      </w:r>
      <w:r>
        <w:rPr>
          <w:color w:val="auto"/>
        </w:rPr>
        <w:tab/>
      </w:r>
      <w:r w:rsidR="00F01579">
        <w:t>R</w:t>
      </w:r>
      <w:r w:rsidR="00F01579" w:rsidRPr="00F01579">
        <w:t>espectfully submitted,</w:t>
      </w:r>
    </w:p>
    <w:p w:rsidR="00F01579" w:rsidRPr="00F01579" w:rsidRDefault="00F01579" w:rsidP="00F01579">
      <w:pPr>
        <w:tabs>
          <w:tab w:val="left" w:pos="4320"/>
        </w:tabs>
        <w:spacing w:before="240"/>
        <w:rPr>
          <w:szCs w:val="24"/>
        </w:rPr>
      </w:pPr>
      <w:r w:rsidRPr="00F01579">
        <w:rPr>
          <w:szCs w:val="24"/>
        </w:rPr>
        <w:tab/>
        <w:t>BRUCE J. WESTON</w:t>
      </w:r>
    </w:p>
    <w:p w:rsidR="00F01579" w:rsidRPr="00F01579" w:rsidRDefault="00F01579" w:rsidP="00F01579">
      <w:pPr>
        <w:tabs>
          <w:tab w:val="left" w:pos="4320"/>
        </w:tabs>
        <w:rPr>
          <w:szCs w:val="24"/>
        </w:rPr>
      </w:pPr>
      <w:r w:rsidRPr="00F01579">
        <w:rPr>
          <w:szCs w:val="24"/>
        </w:rPr>
        <w:tab/>
        <w:t>OHIO CONSUMERS’ COUNSEL</w:t>
      </w:r>
    </w:p>
    <w:p w:rsidR="00F01579" w:rsidRPr="00F01579" w:rsidRDefault="00F01579" w:rsidP="00F01579">
      <w:pPr>
        <w:tabs>
          <w:tab w:val="left" w:pos="4320"/>
        </w:tabs>
        <w:rPr>
          <w:szCs w:val="24"/>
        </w:rPr>
      </w:pPr>
      <w:r w:rsidRPr="00F01579">
        <w:rPr>
          <w:szCs w:val="24"/>
        </w:rPr>
        <w:tab/>
      </w:r>
    </w:p>
    <w:p w:rsidR="00F01579" w:rsidRPr="00F01579" w:rsidRDefault="00F01579" w:rsidP="00F01579">
      <w:pPr>
        <w:tabs>
          <w:tab w:val="left" w:pos="4320"/>
        </w:tabs>
        <w:ind w:left="720"/>
        <w:rPr>
          <w:szCs w:val="24"/>
        </w:rPr>
      </w:pPr>
      <w:r w:rsidRPr="00F01579">
        <w:rPr>
          <w:szCs w:val="24"/>
        </w:rPr>
        <w:tab/>
      </w:r>
      <w:r w:rsidRPr="00F01579">
        <w:rPr>
          <w:i/>
          <w:szCs w:val="24"/>
          <w:u w:val="single"/>
        </w:rPr>
        <w:t>/s/ Maureen R. Grady</w:t>
      </w:r>
      <w:r w:rsidRPr="00F01579">
        <w:rPr>
          <w:szCs w:val="24"/>
        </w:rPr>
        <w:t>____________</w:t>
      </w:r>
    </w:p>
    <w:p w:rsidR="00F01579" w:rsidRPr="00F01579" w:rsidRDefault="00F01579" w:rsidP="00F01579">
      <w:pPr>
        <w:tabs>
          <w:tab w:val="left" w:pos="4320"/>
        </w:tabs>
        <w:ind w:left="720"/>
        <w:rPr>
          <w:szCs w:val="24"/>
        </w:rPr>
      </w:pPr>
      <w:r w:rsidRPr="00F01579">
        <w:rPr>
          <w:i/>
          <w:szCs w:val="24"/>
        </w:rPr>
        <w:tab/>
      </w:r>
      <w:r w:rsidRPr="00F01579">
        <w:rPr>
          <w:szCs w:val="24"/>
        </w:rPr>
        <w:t>Maureen R. Grady, Counsel of Record</w:t>
      </w:r>
    </w:p>
    <w:p w:rsidR="00F01579" w:rsidRPr="00F01579" w:rsidRDefault="00F01579" w:rsidP="00F01579">
      <w:pPr>
        <w:tabs>
          <w:tab w:val="left" w:pos="4320"/>
        </w:tabs>
        <w:rPr>
          <w:szCs w:val="24"/>
        </w:rPr>
      </w:pPr>
      <w:r w:rsidRPr="00F01579">
        <w:rPr>
          <w:szCs w:val="24"/>
        </w:rPr>
        <w:tab/>
        <w:t>Joseph P. Serio</w:t>
      </w:r>
    </w:p>
    <w:p w:rsidR="00F01579" w:rsidRPr="00F01579" w:rsidRDefault="00F01579" w:rsidP="00F01579">
      <w:pPr>
        <w:tabs>
          <w:tab w:val="left" w:pos="4320"/>
        </w:tabs>
        <w:rPr>
          <w:szCs w:val="24"/>
        </w:rPr>
      </w:pPr>
      <w:r w:rsidRPr="00F01579">
        <w:rPr>
          <w:szCs w:val="24"/>
        </w:rPr>
        <w:tab/>
        <w:t>Edmund “Tad” Berger</w:t>
      </w:r>
    </w:p>
    <w:p w:rsidR="00F01579" w:rsidRPr="00F01579" w:rsidRDefault="00F01579" w:rsidP="00F01579">
      <w:pPr>
        <w:tabs>
          <w:tab w:val="left" w:pos="4320"/>
        </w:tabs>
        <w:rPr>
          <w:szCs w:val="24"/>
        </w:rPr>
      </w:pPr>
      <w:r w:rsidRPr="00F01579">
        <w:rPr>
          <w:szCs w:val="24"/>
        </w:rPr>
        <w:tab/>
        <w:t>Assistant Consumers’ Counsel</w:t>
      </w:r>
    </w:p>
    <w:p w:rsidR="00F01579" w:rsidRPr="00F01579" w:rsidRDefault="00F01579" w:rsidP="00F01579">
      <w:pPr>
        <w:keepNext/>
        <w:ind w:left="3240" w:right="-648" w:firstLine="720"/>
        <w:outlineLvl w:val="0"/>
        <w:rPr>
          <w:b/>
          <w:szCs w:val="24"/>
        </w:rPr>
      </w:pPr>
      <w:r w:rsidRPr="00F01579">
        <w:rPr>
          <w:b/>
          <w:szCs w:val="24"/>
        </w:rPr>
        <w:tab/>
      </w:r>
    </w:p>
    <w:p w:rsidR="00F01579" w:rsidRPr="00F01579" w:rsidRDefault="00F01579" w:rsidP="00F01579">
      <w:pPr>
        <w:keepNext/>
        <w:ind w:left="3240" w:right="-648" w:firstLine="720"/>
        <w:outlineLvl w:val="0"/>
        <w:rPr>
          <w:b/>
          <w:szCs w:val="24"/>
        </w:rPr>
      </w:pPr>
      <w:r w:rsidRPr="00F01579">
        <w:rPr>
          <w:b/>
          <w:szCs w:val="24"/>
        </w:rPr>
        <w:tab/>
        <w:t>Office of the Ohio Consumers’ Counsel</w:t>
      </w:r>
    </w:p>
    <w:p w:rsidR="00F01579" w:rsidRPr="00F01579" w:rsidRDefault="00F01579" w:rsidP="00F01579">
      <w:pPr>
        <w:keepNext/>
        <w:ind w:left="3240" w:right="-648" w:firstLine="720"/>
        <w:outlineLvl w:val="0"/>
        <w:rPr>
          <w:szCs w:val="24"/>
        </w:rPr>
      </w:pPr>
      <w:r w:rsidRPr="00F01579">
        <w:rPr>
          <w:szCs w:val="24"/>
        </w:rPr>
        <w:tab/>
        <w:t>10 West Broad Street, Suite 1800</w:t>
      </w:r>
    </w:p>
    <w:p w:rsidR="00F01579" w:rsidRPr="00F01579" w:rsidRDefault="00F01579" w:rsidP="00F01579">
      <w:pPr>
        <w:keepNext/>
        <w:ind w:left="3240" w:right="-648" w:firstLine="720"/>
        <w:outlineLvl w:val="0"/>
        <w:rPr>
          <w:szCs w:val="24"/>
        </w:rPr>
      </w:pPr>
      <w:r w:rsidRPr="00F01579">
        <w:rPr>
          <w:szCs w:val="24"/>
        </w:rPr>
        <w:tab/>
      </w:r>
      <w:smartTag w:uri="urn:schemas-microsoft-com:office:smarttags" w:element="place">
        <w:smartTag w:uri="urn:schemas-microsoft-com:office:smarttags" w:element="City">
          <w:r w:rsidRPr="00F01579">
            <w:rPr>
              <w:szCs w:val="24"/>
            </w:rPr>
            <w:t>Columbus</w:t>
          </w:r>
        </w:smartTag>
        <w:r w:rsidRPr="00F01579">
          <w:rPr>
            <w:szCs w:val="24"/>
          </w:rPr>
          <w:t xml:space="preserve">, </w:t>
        </w:r>
        <w:smartTag w:uri="urn:schemas-microsoft-com:office:smarttags" w:element="State">
          <w:r w:rsidRPr="00F01579">
            <w:rPr>
              <w:szCs w:val="24"/>
            </w:rPr>
            <w:t>Ohio</w:t>
          </w:r>
        </w:smartTag>
        <w:r w:rsidRPr="00F01579">
          <w:rPr>
            <w:szCs w:val="24"/>
          </w:rPr>
          <w:t xml:space="preserve"> </w:t>
        </w:r>
        <w:smartTag w:uri="urn:schemas-microsoft-com:office:smarttags" w:element="PostalCode">
          <w:r w:rsidRPr="00F01579">
            <w:rPr>
              <w:szCs w:val="24"/>
            </w:rPr>
            <w:t>43215-3485</w:t>
          </w:r>
        </w:smartTag>
      </w:smartTag>
    </w:p>
    <w:p w:rsidR="00F01579" w:rsidRPr="00F01579" w:rsidRDefault="00F01579" w:rsidP="00F01579">
      <w:pPr>
        <w:autoSpaceDE w:val="0"/>
        <w:autoSpaceDN w:val="0"/>
        <w:adjustRightInd w:val="0"/>
        <w:ind w:left="3600" w:firstLine="720"/>
        <w:rPr>
          <w:szCs w:val="24"/>
        </w:rPr>
      </w:pPr>
      <w:r w:rsidRPr="00F01579">
        <w:rPr>
          <w:szCs w:val="24"/>
        </w:rPr>
        <w:t>Telephone [Grady Direct] - (614) 466-9567</w:t>
      </w:r>
    </w:p>
    <w:p w:rsidR="00F01579" w:rsidRPr="00F01579" w:rsidRDefault="00F01579" w:rsidP="00F01579">
      <w:pPr>
        <w:autoSpaceDE w:val="0"/>
        <w:autoSpaceDN w:val="0"/>
        <w:adjustRightInd w:val="0"/>
        <w:ind w:left="3600" w:firstLine="720"/>
        <w:rPr>
          <w:szCs w:val="24"/>
        </w:rPr>
      </w:pPr>
      <w:r w:rsidRPr="00F01579">
        <w:rPr>
          <w:szCs w:val="24"/>
        </w:rPr>
        <w:t>Telephone [Serio Direct] - (614) 466-9565</w:t>
      </w:r>
    </w:p>
    <w:p w:rsidR="00F01579" w:rsidRPr="00F01579" w:rsidRDefault="00F01579" w:rsidP="00F01579">
      <w:pPr>
        <w:autoSpaceDE w:val="0"/>
        <w:autoSpaceDN w:val="0"/>
        <w:adjustRightInd w:val="0"/>
        <w:ind w:left="3600" w:firstLine="720"/>
        <w:rPr>
          <w:szCs w:val="24"/>
        </w:rPr>
      </w:pPr>
      <w:r w:rsidRPr="00F01579">
        <w:rPr>
          <w:szCs w:val="24"/>
        </w:rPr>
        <w:t>Telephone [Berger Direct] - (614) 466-1292</w:t>
      </w:r>
    </w:p>
    <w:p w:rsidR="00F01579" w:rsidRPr="00F01579" w:rsidRDefault="00602B47" w:rsidP="00F01579">
      <w:pPr>
        <w:autoSpaceDE w:val="0"/>
        <w:autoSpaceDN w:val="0"/>
        <w:adjustRightInd w:val="0"/>
        <w:ind w:left="3600" w:firstLine="720"/>
        <w:rPr>
          <w:szCs w:val="24"/>
        </w:rPr>
      </w:pPr>
      <w:hyperlink r:id="rId14" w:history="1">
        <w:r w:rsidR="00F01579" w:rsidRPr="00F01579">
          <w:rPr>
            <w:color w:val="0000FF"/>
            <w:szCs w:val="24"/>
            <w:u w:val="single"/>
          </w:rPr>
          <w:t>Maureen.grady@occ.ohio.gov</w:t>
        </w:r>
      </w:hyperlink>
    </w:p>
    <w:p w:rsidR="00F01579" w:rsidRPr="00F01579" w:rsidRDefault="00602B47" w:rsidP="00F01579">
      <w:pPr>
        <w:autoSpaceDE w:val="0"/>
        <w:autoSpaceDN w:val="0"/>
        <w:adjustRightInd w:val="0"/>
        <w:ind w:left="3600" w:firstLine="720"/>
        <w:rPr>
          <w:szCs w:val="24"/>
        </w:rPr>
      </w:pPr>
      <w:hyperlink r:id="rId15" w:history="1">
        <w:r w:rsidR="00F01579" w:rsidRPr="00F01579">
          <w:rPr>
            <w:color w:val="0000FF"/>
            <w:szCs w:val="24"/>
            <w:u w:val="single"/>
          </w:rPr>
          <w:t>Joseph.serio@occ.ohio.gov</w:t>
        </w:r>
      </w:hyperlink>
    </w:p>
    <w:p w:rsidR="00F01579" w:rsidRPr="00F01579" w:rsidRDefault="00602B47" w:rsidP="00F01579">
      <w:pPr>
        <w:autoSpaceDE w:val="0"/>
        <w:autoSpaceDN w:val="0"/>
        <w:adjustRightInd w:val="0"/>
        <w:ind w:left="3600" w:firstLine="720"/>
        <w:rPr>
          <w:szCs w:val="24"/>
        </w:rPr>
      </w:pPr>
      <w:hyperlink r:id="rId16" w:history="1">
        <w:r w:rsidR="00F01579" w:rsidRPr="00F01579">
          <w:rPr>
            <w:color w:val="0000FF"/>
            <w:szCs w:val="24"/>
            <w:u w:val="single"/>
          </w:rPr>
          <w:t>Edmund.berger@occ.ohio.gov</w:t>
        </w:r>
      </w:hyperlink>
    </w:p>
    <w:p w:rsidR="00F01579" w:rsidRPr="00F01579" w:rsidRDefault="00F01579" w:rsidP="00F01579">
      <w:pPr>
        <w:jc w:val="center"/>
        <w:rPr>
          <w:b/>
          <w:bCs/>
          <w:u w:val="single"/>
        </w:rPr>
      </w:pPr>
      <w:r w:rsidRPr="00F01579">
        <w:br w:type="page"/>
      </w:r>
      <w:r w:rsidRPr="00F01579">
        <w:rPr>
          <w:b/>
          <w:bCs/>
          <w:u w:val="single"/>
        </w:rPr>
        <w:t>CERTIFICATE OF SERVICE</w:t>
      </w:r>
    </w:p>
    <w:p w:rsidR="00F01579" w:rsidRPr="00F01579" w:rsidRDefault="00F01579" w:rsidP="00F01579">
      <w:pPr>
        <w:spacing w:line="480" w:lineRule="atLeast"/>
      </w:pPr>
      <w:r w:rsidRPr="00F01579">
        <w:tab/>
        <w:t xml:space="preserve">I hereby certify that a copy of this </w:t>
      </w:r>
      <w:r w:rsidR="00854387" w:rsidRPr="00854387">
        <w:rPr>
          <w:i/>
        </w:rPr>
        <w:t xml:space="preserve">Memorandum Contra Motion </w:t>
      </w:r>
      <w:r w:rsidR="008B6AA5" w:rsidRPr="00854387">
        <w:rPr>
          <w:i/>
        </w:rPr>
        <w:t>to</w:t>
      </w:r>
      <w:r w:rsidR="00854387" w:rsidRPr="00854387">
        <w:rPr>
          <w:i/>
        </w:rPr>
        <w:t xml:space="preserve"> Establish Protective Agreement</w:t>
      </w:r>
      <w:r w:rsidR="00854387">
        <w:rPr>
          <w:i/>
        </w:rPr>
        <w:t xml:space="preserve"> </w:t>
      </w:r>
      <w:r w:rsidRPr="00F01579">
        <w:t xml:space="preserve">was served on the persons stated below </w:t>
      </w:r>
      <w:r w:rsidRPr="00F01579">
        <w:rPr>
          <w:i/>
        </w:rPr>
        <w:t>via</w:t>
      </w:r>
      <w:r w:rsidRPr="00F01579">
        <w:t xml:space="preserve"> electronic transmission, this </w:t>
      </w:r>
      <w:r>
        <w:t>18</w:t>
      </w:r>
      <w:r w:rsidRPr="00F01579">
        <w:rPr>
          <w:vertAlign w:val="superscript"/>
        </w:rPr>
        <w:t>th</w:t>
      </w:r>
      <w:r w:rsidRPr="00F01579">
        <w:t xml:space="preserve"> day of June, 2014.</w:t>
      </w:r>
    </w:p>
    <w:p w:rsidR="00F01579" w:rsidRPr="00F01579" w:rsidRDefault="00F01579" w:rsidP="00F01579">
      <w:pPr>
        <w:spacing w:line="480" w:lineRule="atLeast"/>
      </w:pPr>
    </w:p>
    <w:p w:rsidR="00F01579" w:rsidRPr="00F01579" w:rsidRDefault="00F01579" w:rsidP="00F01579">
      <w:pPr>
        <w:tabs>
          <w:tab w:val="left" w:pos="4320"/>
        </w:tabs>
      </w:pPr>
      <w:r w:rsidRPr="00F01579">
        <w:tab/>
      </w:r>
      <w:r w:rsidRPr="00F01579">
        <w:rPr>
          <w:i/>
          <w:u w:val="single"/>
        </w:rPr>
        <w:t>/s/ Maureen R. Grady</w:t>
      </w:r>
      <w:r w:rsidRPr="00F01579">
        <w:t>________________</w:t>
      </w:r>
    </w:p>
    <w:p w:rsidR="00F01579" w:rsidRPr="00F01579" w:rsidRDefault="00F01579" w:rsidP="00F01579">
      <w:pPr>
        <w:tabs>
          <w:tab w:val="left" w:pos="4320"/>
        </w:tabs>
      </w:pPr>
      <w:r w:rsidRPr="00F01579">
        <w:tab/>
        <w:t>Maureen R. Grady</w:t>
      </w:r>
    </w:p>
    <w:p w:rsidR="00F01579" w:rsidRPr="00F01579" w:rsidRDefault="00F01579" w:rsidP="00F01579">
      <w:pPr>
        <w:tabs>
          <w:tab w:val="left" w:pos="4320"/>
        </w:tabs>
      </w:pPr>
      <w:r w:rsidRPr="00F01579">
        <w:tab/>
        <w:t>Assistant Consumers’ Counsel</w:t>
      </w:r>
    </w:p>
    <w:p w:rsidR="00FF6353" w:rsidRDefault="00FF6353" w:rsidP="00433D19">
      <w:pPr>
        <w:tabs>
          <w:tab w:val="left" w:pos="1354"/>
        </w:tabs>
        <w:spacing w:line="480" w:lineRule="auto"/>
      </w:pPr>
    </w:p>
    <w:p w:rsidR="00F01579" w:rsidRPr="00F01579" w:rsidRDefault="00F01579" w:rsidP="00F01579">
      <w:pPr>
        <w:tabs>
          <w:tab w:val="left" w:pos="1354"/>
        </w:tabs>
        <w:spacing w:line="480" w:lineRule="auto"/>
        <w:jc w:val="center"/>
        <w:rPr>
          <w:b/>
        </w:rPr>
      </w:pPr>
      <w:r w:rsidRPr="00F01579">
        <w:rPr>
          <w:b/>
        </w:rPr>
        <w:t>SERVICE LIST</w:t>
      </w:r>
    </w:p>
    <w:p w:rsidR="00F01579" w:rsidRPr="00454DE9" w:rsidRDefault="00F01579" w:rsidP="00F01579">
      <w:pPr>
        <w:jc w:val="both"/>
        <w:rPr>
          <w:b/>
          <w:bCs/>
          <w:szCs w:val="24"/>
        </w:rPr>
      </w:pPr>
    </w:p>
    <w:tbl>
      <w:tblPr>
        <w:tblW w:w="0" w:type="auto"/>
        <w:tblLook w:val="01E0" w:firstRow="1" w:lastRow="1" w:firstColumn="1" w:lastColumn="1" w:noHBand="0" w:noVBand="0"/>
      </w:tblPr>
      <w:tblGrid>
        <w:gridCol w:w="4428"/>
        <w:gridCol w:w="4428"/>
      </w:tblGrid>
      <w:tr w:rsidR="00F01579" w:rsidRPr="00454DE9" w:rsidTr="00034379">
        <w:tc>
          <w:tcPr>
            <w:tcW w:w="4428" w:type="dxa"/>
            <w:shd w:val="clear" w:color="auto" w:fill="auto"/>
          </w:tcPr>
          <w:p w:rsidR="00F01579" w:rsidRPr="00454DE9" w:rsidRDefault="00602B47" w:rsidP="00034379">
            <w:pPr>
              <w:autoSpaceDE w:val="0"/>
              <w:autoSpaceDN w:val="0"/>
              <w:adjustRightInd w:val="0"/>
              <w:rPr>
                <w:szCs w:val="24"/>
              </w:rPr>
            </w:pPr>
            <w:hyperlink r:id="rId17" w:history="1">
              <w:r w:rsidR="00F01579" w:rsidRPr="00454DE9">
                <w:rPr>
                  <w:rStyle w:val="Hyperlink"/>
                  <w:szCs w:val="24"/>
                </w:rPr>
                <w:t>Steven.beeler@puc.state.oh.us</w:t>
              </w:r>
            </w:hyperlink>
          </w:p>
          <w:p w:rsidR="00F01579" w:rsidRPr="00454DE9" w:rsidRDefault="00602B47" w:rsidP="00034379">
            <w:pPr>
              <w:autoSpaceDE w:val="0"/>
              <w:autoSpaceDN w:val="0"/>
              <w:adjustRightInd w:val="0"/>
              <w:rPr>
                <w:szCs w:val="24"/>
              </w:rPr>
            </w:pPr>
            <w:hyperlink r:id="rId18" w:history="1">
              <w:r w:rsidR="00F01579" w:rsidRPr="00454DE9">
                <w:rPr>
                  <w:rStyle w:val="Hyperlink"/>
                  <w:szCs w:val="24"/>
                </w:rPr>
                <w:t>Thomas.lindgren@puc.state.oh.us</w:t>
              </w:r>
            </w:hyperlink>
          </w:p>
          <w:p w:rsidR="00F01579" w:rsidRPr="00454DE9" w:rsidRDefault="00602B47" w:rsidP="00034379">
            <w:pPr>
              <w:autoSpaceDE w:val="0"/>
              <w:autoSpaceDN w:val="0"/>
              <w:adjustRightInd w:val="0"/>
              <w:rPr>
                <w:szCs w:val="24"/>
              </w:rPr>
            </w:pPr>
            <w:hyperlink r:id="rId19" w:history="1">
              <w:r w:rsidR="00F01579" w:rsidRPr="00454DE9">
                <w:rPr>
                  <w:rStyle w:val="Hyperlink"/>
                  <w:szCs w:val="24"/>
                </w:rPr>
                <w:t>Ryan.orourke@puc.state.oh.us</w:t>
              </w:r>
            </w:hyperlink>
          </w:p>
          <w:p w:rsidR="00F01579" w:rsidRPr="00454DE9" w:rsidRDefault="00602B47" w:rsidP="00034379">
            <w:pPr>
              <w:autoSpaceDE w:val="0"/>
              <w:autoSpaceDN w:val="0"/>
              <w:adjustRightInd w:val="0"/>
              <w:rPr>
                <w:szCs w:val="24"/>
              </w:rPr>
            </w:pPr>
            <w:hyperlink r:id="rId20" w:history="1">
              <w:r w:rsidR="00F01579" w:rsidRPr="00454DE9">
                <w:rPr>
                  <w:color w:val="0000FF"/>
                  <w:szCs w:val="24"/>
                  <w:u w:val="single"/>
                </w:rPr>
                <w:t>dboehm@BKLlawfirm.com</w:t>
              </w:r>
            </w:hyperlink>
          </w:p>
          <w:p w:rsidR="00F01579" w:rsidRPr="00454DE9" w:rsidRDefault="00602B47" w:rsidP="00034379">
            <w:pPr>
              <w:autoSpaceDE w:val="0"/>
              <w:autoSpaceDN w:val="0"/>
              <w:adjustRightInd w:val="0"/>
              <w:rPr>
                <w:szCs w:val="24"/>
              </w:rPr>
            </w:pPr>
            <w:hyperlink r:id="rId21" w:history="1">
              <w:r w:rsidR="00F01579" w:rsidRPr="00454DE9">
                <w:rPr>
                  <w:color w:val="0000FF"/>
                  <w:szCs w:val="24"/>
                  <w:u w:val="single"/>
                </w:rPr>
                <w:t>mkurtz@BKLlawfirm.com</w:t>
              </w:r>
            </w:hyperlink>
          </w:p>
          <w:p w:rsidR="00F01579" w:rsidRPr="00454DE9" w:rsidRDefault="00602B47" w:rsidP="00034379">
            <w:pPr>
              <w:autoSpaceDE w:val="0"/>
              <w:autoSpaceDN w:val="0"/>
              <w:adjustRightInd w:val="0"/>
              <w:rPr>
                <w:szCs w:val="24"/>
              </w:rPr>
            </w:pPr>
            <w:hyperlink r:id="rId22" w:history="1">
              <w:r w:rsidR="00F01579" w:rsidRPr="00454DE9">
                <w:rPr>
                  <w:color w:val="0000FF"/>
                  <w:szCs w:val="24"/>
                  <w:u w:val="single"/>
                </w:rPr>
                <w:t>jkylercohn@BKLlawfirm.com</w:t>
              </w:r>
            </w:hyperlink>
          </w:p>
          <w:p w:rsidR="00F01579" w:rsidRPr="00454DE9" w:rsidRDefault="00602B47" w:rsidP="00034379">
            <w:pPr>
              <w:autoSpaceDE w:val="0"/>
              <w:autoSpaceDN w:val="0"/>
              <w:adjustRightInd w:val="0"/>
              <w:rPr>
                <w:color w:val="0000FF"/>
                <w:szCs w:val="24"/>
                <w:u w:val="single"/>
              </w:rPr>
            </w:pPr>
            <w:hyperlink r:id="rId23" w:history="1">
              <w:r w:rsidR="00F01579" w:rsidRPr="00454DE9">
                <w:rPr>
                  <w:color w:val="0000FF"/>
                  <w:szCs w:val="24"/>
                  <w:u w:val="single"/>
                </w:rPr>
                <w:t>Schmidt@sppgrp.com</w:t>
              </w:r>
            </w:hyperlink>
          </w:p>
          <w:p w:rsidR="00F01579" w:rsidRPr="00454DE9" w:rsidRDefault="00602B47" w:rsidP="00034379">
            <w:pPr>
              <w:autoSpaceDE w:val="0"/>
              <w:autoSpaceDN w:val="0"/>
              <w:adjustRightInd w:val="0"/>
              <w:rPr>
                <w:color w:val="0000FF"/>
                <w:szCs w:val="24"/>
                <w:u w:val="single"/>
              </w:rPr>
            </w:pPr>
            <w:hyperlink r:id="rId24" w:history="1">
              <w:r w:rsidR="00F01579" w:rsidRPr="00454DE9">
                <w:rPr>
                  <w:rStyle w:val="Hyperlink"/>
                  <w:szCs w:val="24"/>
                </w:rPr>
                <w:t>Judi.sobecki@aes.com</w:t>
              </w:r>
            </w:hyperlink>
          </w:p>
          <w:p w:rsidR="00F01579" w:rsidRPr="00454DE9" w:rsidRDefault="00602B47" w:rsidP="00034379">
            <w:pPr>
              <w:autoSpaceDE w:val="0"/>
              <w:autoSpaceDN w:val="0"/>
              <w:adjustRightInd w:val="0"/>
              <w:rPr>
                <w:szCs w:val="24"/>
              </w:rPr>
            </w:pPr>
            <w:hyperlink r:id="rId25" w:history="1">
              <w:r w:rsidR="00F01579" w:rsidRPr="00454DE9">
                <w:rPr>
                  <w:rStyle w:val="Hyperlink"/>
                  <w:szCs w:val="24"/>
                </w:rPr>
                <w:t>Bojko@carpenterlipps.com</w:t>
              </w:r>
            </w:hyperlink>
          </w:p>
          <w:p w:rsidR="00F01579" w:rsidRPr="00454DE9" w:rsidRDefault="00602B47" w:rsidP="00034379">
            <w:pPr>
              <w:autoSpaceDE w:val="0"/>
              <w:autoSpaceDN w:val="0"/>
              <w:adjustRightInd w:val="0"/>
              <w:rPr>
                <w:szCs w:val="24"/>
              </w:rPr>
            </w:pPr>
            <w:hyperlink r:id="rId26" w:history="1">
              <w:r w:rsidR="00F01579" w:rsidRPr="00454DE9">
                <w:rPr>
                  <w:rStyle w:val="Hyperlink"/>
                  <w:szCs w:val="24"/>
                </w:rPr>
                <w:t>mohler@carpenterlipps.com</w:t>
              </w:r>
            </w:hyperlink>
          </w:p>
          <w:p w:rsidR="00F01579" w:rsidRPr="00E50830" w:rsidRDefault="00602B47" w:rsidP="00034379">
            <w:pPr>
              <w:autoSpaceDE w:val="0"/>
              <w:autoSpaceDN w:val="0"/>
              <w:adjustRightInd w:val="0"/>
              <w:rPr>
                <w:color w:val="0000FF"/>
                <w:szCs w:val="24"/>
              </w:rPr>
            </w:pPr>
            <w:hyperlink r:id="rId27" w:history="1">
              <w:r w:rsidR="00F01579" w:rsidRPr="00E50830">
                <w:rPr>
                  <w:rStyle w:val="Hyperlink"/>
                  <w:szCs w:val="24"/>
                </w:rPr>
                <w:t>cmooney@ohiopartners.org</w:t>
              </w:r>
            </w:hyperlink>
          </w:p>
          <w:p w:rsidR="00F01579" w:rsidRPr="00454DE9" w:rsidRDefault="00F01579" w:rsidP="00034379">
            <w:pPr>
              <w:autoSpaceDE w:val="0"/>
              <w:autoSpaceDN w:val="0"/>
              <w:adjustRightInd w:val="0"/>
              <w:rPr>
                <w:szCs w:val="24"/>
              </w:rPr>
            </w:pPr>
          </w:p>
          <w:p w:rsidR="00F01579" w:rsidRPr="00454DE9" w:rsidRDefault="00F01579" w:rsidP="00034379">
            <w:pPr>
              <w:autoSpaceDE w:val="0"/>
              <w:autoSpaceDN w:val="0"/>
              <w:adjustRightInd w:val="0"/>
              <w:rPr>
                <w:bCs/>
                <w:szCs w:val="24"/>
              </w:rPr>
            </w:pPr>
          </w:p>
          <w:p w:rsidR="00F01579" w:rsidRPr="00454DE9" w:rsidRDefault="00F01579" w:rsidP="00034379">
            <w:pPr>
              <w:autoSpaceDE w:val="0"/>
              <w:autoSpaceDN w:val="0"/>
              <w:adjustRightInd w:val="0"/>
              <w:rPr>
                <w:bCs/>
                <w:szCs w:val="24"/>
              </w:rPr>
            </w:pPr>
            <w:r w:rsidRPr="00454DE9">
              <w:rPr>
                <w:bCs/>
                <w:szCs w:val="24"/>
              </w:rPr>
              <w:t>Attorney Examiner:</w:t>
            </w:r>
          </w:p>
          <w:p w:rsidR="00F01579" w:rsidRPr="00454DE9" w:rsidRDefault="00F01579" w:rsidP="00034379">
            <w:pPr>
              <w:autoSpaceDE w:val="0"/>
              <w:autoSpaceDN w:val="0"/>
              <w:adjustRightInd w:val="0"/>
              <w:rPr>
                <w:bCs/>
                <w:szCs w:val="24"/>
              </w:rPr>
            </w:pPr>
          </w:p>
          <w:p w:rsidR="00F01579" w:rsidRPr="00454DE9" w:rsidRDefault="00602B47" w:rsidP="00034379">
            <w:pPr>
              <w:autoSpaceDE w:val="0"/>
              <w:autoSpaceDN w:val="0"/>
              <w:adjustRightInd w:val="0"/>
              <w:rPr>
                <w:bCs/>
                <w:szCs w:val="24"/>
              </w:rPr>
            </w:pPr>
            <w:hyperlink r:id="rId28" w:history="1">
              <w:r w:rsidR="00F01579" w:rsidRPr="00454DE9">
                <w:rPr>
                  <w:rStyle w:val="Hyperlink"/>
                  <w:bCs/>
                  <w:szCs w:val="24"/>
                </w:rPr>
                <w:t>Christine.pirik@puc.state.oh.us</w:t>
              </w:r>
            </w:hyperlink>
          </w:p>
          <w:p w:rsidR="00F01579" w:rsidRPr="00454DE9" w:rsidRDefault="00F01579" w:rsidP="00034379">
            <w:pPr>
              <w:autoSpaceDE w:val="0"/>
              <w:autoSpaceDN w:val="0"/>
              <w:adjustRightInd w:val="0"/>
              <w:rPr>
                <w:bCs/>
                <w:szCs w:val="24"/>
              </w:rPr>
            </w:pPr>
          </w:p>
        </w:tc>
        <w:tc>
          <w:tcPr>
            <w:tcW w:w="4428" w:type="dxa"/>
            <w:shd w:val="clear" w:color="auto" w:fill="auto"/>
          </w:tcPr>
          <w:p w:rsidR="00F01579" w:rsidRPr="00454DE9" w:rsidRDefault="00602B47" w:rsidP="00034379">
            <w:pPr>
              <w:jc w:val="both"/>
              <w:rPr>
                <w:szCs w:val="24"/>
              </w:rPr>
            </w:pPr>
            <w:hyperlink r:id="rId29" w:history="1">
              <w:r w:rsidR="00F01579" w:rsidRPr="00454DE9">
                <w:rPr>
                  <w:color w:val="0000FF"/>
                  <w:szCs w:val="24"/>
                  <w:u w:val="single"/>
                </w:rPr>
                <w:t>Amy.Spiller@duke-energy.com</w:t>
              </w:r>
            </w:hyperlink>
          </w:p>
          <w:p w:rsidR="00F01579" w:rsidRPr="00454DE9" w:rsidRDefault="00602B47" w:rsidP="00034379">
            <w:pPr>
              <w:jc w:val="both"/>
              <w:rPr>
                <w:szCs w:val="24"/>
              </w:rPr>
            </w:pPr>
            <w:hyperlink r:id="rId30" w:history="1">
              <w:r w:rsidR="00F01579" w:rsidRPr="00454DE9">
                <w:rPr>
                  <w:color w:val="0000FF"/>
                  <w:szCs w:val="24"/>
                  <w:u w:val="single"/>
                </w:rPr>
                <w:t>Elizabeth.watts@duke-energy.com</w:t>
              </w:r>
            </w:hyperlink>
          </w:p>
          <w:p w:rsidR="00F01579" w:rsidRPr="00454DE9" w:rsidRDefault="00602B47" w:rsidP="00034379">
            <w:pPr>
              <w:jc w:val="both"/>
              <w:rPr>
                <w:color w:val="0000FF"/>
                <w:szCs w:val="24"/>
                <w:u w:val="single"/>
              </w:rPr>
            </w:pPr>
            <w:hyperlink r:id="rId31" w:history="1">
              <w:r w:rsidR="00F01579" w:rsidRPr="00454DE9">
                <w:rPr>
                  <w:color w:val="0000FF"/>
                  <w:szCs w:val="24"/>
                  <w:u w:val="single"/>
                </w:rPr>
                <w:t>Rocco.dascenzo@duke-energy.com</w:t>
              </w:r>
            </w:hyperlink>
          </w:p>
          <w:p w:rsidR="00F01579" w:rsidRPr="00454DE9" w:rsidRDefault="00602B47" w:rsidP="00034379">
            <w:pPr>
              <w:jc w:val="both"/>
              <w:rPr>
                <w:szCs w:val="24"/>
              </w:rPr>
            </w:pPr>
            <w:hyperlink r:id="rId32" w:history="1">
              <w:r w:rsidR="00F01579" w:rsidRPr="00454DE9">
                <w:rPr>
                  <w:rStyle w:val="Hyperlink"/>
                  <w:szCs w:val="24"/>
                </w:rPr>
                <w:t>Jeanne.Kingery@duke-energy.com</w:t>
              </w:r>
            </w:hyperlink>
          </w:p>
          <w:p w:rsidR="00F01579" w:rsidRPr="00454DE9" w:rsidRDefault="00602B47" w:rsidP="00034379">
            <w:pPr>
              <w:rPr>
                <w:bCs/>
                <w:szCs w:val="24"/>
              </w:rPr>
            </w:pPr>
            <w:hyperlink r:id="rId33" w:history="1">
              <w:r w:rsidR="00F01579" w:rsidRPr="00454DE9">
                <w:rPr>
                  <w:bCs/>
                  <w:color w:val="0000FF"/>
                  <w:szCs w:val="24"/>
                  <w:u w:val="single"/>
                </w:rPr>
                <w:t>haydenm@firstenergycorp.com</w:t>
              </w:r>
            </w:hyperlink>
          </w:p>
          <w:p w:rsidR="00F01579" w:rsidRPr="00454DE9" w:rsidRDefault="00602B47" w:rsidP="00034379">
            <w:pPr>
              <w:rPr>
                <w:bCs/>
                <w:szCs w:val="24"/>
              </w:rPr>
            </w:pPr>
            <w:hyperlink r:id="rId34" w:history="1">
              <w:r w:rsidR="00F01579" w:rsidRPr="00454DE9">
                <w:rPr>
                  <w:bCs/>
                  <w:color w:val="0000FF"/>
                  <w:szCs w:val="24"/>
                  <w:u w:val="single"/>
                </w:rPr>
                <w:t>jmcdermott@firstenergycorp.com</w:t>
              </w:r>
            </w:hyperlink>
          </w:p>
          <w:p w:rsidR="00F01579" w:rsidRPr="00454DE9" w:rsidRDefault="00602B47" w:rsidP="00034379">
            <w:pPr>
              <w:rPr>
                <w:bCs/>
                <w:szCs w:val="24"/>
              </w:rPr>
            </w:pPr>
            <w:hyperlink r:id="rId35" w:history="1">
              <w:r w:rsidR="00F01579" w:rsidRPr="00454DE9">
                <w:rPr>
                  <w:bCs/>
                  <w:color w:val="0000FF"/>
                  <w:szCs w:val="24"/>
                  <w:u w:val="single"/>
                </w:rPr>
                <w:t>scasto@firstenergycorp.com</w:t>
              </w:r>
            </w:hyperlink>
          </w:p>
          <w:p w:rsidR="00F01579" w:rsidRPr="00454DE9" w:rsidRDefault="00602B47" w:rsidP="00034379">
            <w:pPr>
              <w:rPr>
                <w:szCs w:val="24"/>
              </w:rPr>
            </w:pPr>
            <w:hyperlink r:id="rId36" w:history="1">
              <w:r w:rsidR="00F01579" w:rsidRPr="00454DE9">
                <w:rPr>
                  <w:rStyle w:val="Hyperlink"/>
                  <w:szCs w:val="24"/>
                </w:rPr>
                <w:t>joliker@igsenergy.com</w:t>
              </w:r>
            </w:hyperlink>
          </w:p>
          <w:p w:rsidR="00F01579" w:rsidRPr="00454DE9" w:rsidRDefault="00602B47" w:rsidP="00034379">
            <w:pPr>
              <w:rPr>
                <w:szCs w:val="24"/>
              </w:rPr>
            </w:pPr>
            <w:hyperlink r:id="rId37" w:history="1">
              <w:r w:rsidR="00F01579" w:rsidRPr="00454DE9">
                <w:rPr>
                  <w:rStyle w:val="Hyperlink"/>
                  <w:szCs w:val="24"/>
                </w:rPr>
                <w:t>mswhite@igsenergy.com</w:t>
              </w:r>
            </w:hyperlink>
          </w:p>
          <w:p w:rsidR="00F01579" w:rsidRPr="00454DE9" w:rsidRDefault="00602B47" w:rsidP="00034379">
            <w:pPr>
              <w:rPr>
                <w:color w:val="0000FF"/>
                <w:szCs w:val="24"/>
              </w:rPr>
            </w:pPr>
            <w:hyperlink r:id="rId38" w:history="1">
              <w:r w:rsidR="00F01579" w:rsidRPr="00454DE9">
                <w:rPr>
                  <w:rStyle w:val="Hyperlink"/>
                  <w:szCs w:val="24"/>
                </w:rPr>
                <w:t>joseph.clark@directenergy.com</w:t>
              </w:r>
            </w:hyperlink>
          </w:p>
          <w:p w:rsidR="00F01579" w:rsidRPr="00454DE9" w:rsidRDefault="00602B47" w:rsidP="00034379">
            <w:pPr>
              <w:autoSpaceDE w:val="0"/>
              <w:autoSpaceDN w:val="0"/>
              <w:adjustRightInd w:val="0"/>
              <w:rPr>
                <w:szCs w:val="24"/>
              </w:rPr>
            </w:pPr>
            <w:hyperlink r:id="rId39" w:history="1">
              <w:r w:rsidR="00F01579" w:rsidRPr="00454DE9">
                <w:rPr>
                  <w:rStyle w:val="Hyperlink"/>
                  <w:szCs w:val="24"/>
                </w:rPr>
                <w:t>sam@mwncmh.com</w:t>
              </w:r>
            </w:hyperlink>
          </w:p>
          <w:p w:rsidR="00F01579" w:rsidRPr="00454DE9" w:rsidRDefault="00602B47" w:rsidP="00034379">
            <w:pPr>
              <w:autoSpaceDE w:val="0"/>
              <w:autoSpaceDN w:val="0"/>
              <w:adjustRightInd w:val="0"/>
              <w:rPr>
                <w:szCs w:val="24"/>
              </w:rPr>
            </w:pPr>
            <w:hyperlink r:id="rId40" w:history="1">
              <w:r w:rsidR="00F01579" w:rsidRPr="00454DE9">
                <w:rPr>
                  <w:rStyle w:val="Hyperlink"/>
                  <w:szCs w:val="24"/>
                </w:rPr>
                <w:t>fdarr@mwncmh.com</w:t>
              </w:r>
            </w:hyperlink>
          </w:p>
          <w:p w:rsidR="00F01579" w:rsidRPr="00454DE9" w:rsidRDefault="00602B47" w:rsidP="00034379">
            <w:pPr>
              <w:jc w:val="both"/>
              <w:rPr>
                <w:szCs w:val="24"/>
              </w:rPr>
            </w:pPr>
            <w:hyperlink r:id="rId41" w:history="1">
              <w:r w:rsidR="00F01579" w:rsidRPr="00454DE9">
                <w:rPr>
                  <w:rStyle w:val="Hyperlink"/>
                  <w:szCs w:val="24"/>
                </w:rPr>
                <w:t>mpritchard@mwncmh.com</w:t>
              </w:r>
            </w:hyperlink>
          </w:p>
          <w:p w:rsidR="00F01579" w:rsidRPr="00454DE9" w:rsidRDefault="00F01579" w:rsidP="00034379">
            <w:pPr>
              <w:jc w:val="both"/>
              <w:rPr>
                <w:szCs w:val="24"/>
              </w:rPr>
            </w:pPr>
          </w:p>
          <w:p w:rsidR="00F01579" w:rsidRPr="00454DE9" w:rsidRDefault="00F01579" w:rsidP="00034379">
            <w:pPr>
              <w:jc w:val="both"/>
              <w:rPr>
                <w:bCs/>
                <w:szCs w:val="24"/>
              </w:rPr>
            </w:pPr>
          </w:p>
        </w:tc>
      </w:tr>
    </w:tbl>
    <w:p w:rsidR="00F01579" w:rsidRPr="00FF6353" w:rsidRDefault="00F01579" w:rsidP="00433D19">
      <w:pPr>
        <w:tabs>
          <w:tab w:val="left" w:pos="1354"/>
        </w:tabs>
        <w:spacing w:line="480" w:lineRule="auto"/>
      </w:pPr>
    </w:p>
    <w:sectPr w:rsidR="00F01579" w:rsidRPr="00FF6353" w:rsidSect="007A5863">
      <w:footerReference w:type="default" r:id="rId4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63" w:rsidRDefault="008D2263" w:rsidP="002654E0">
      <w:r>
        <w:separator/>
      </w:r>
    </w:p>
  </w:endnote>
  <w:endnote w:type="continuationSeparator" w:id="0">
    <w:p w:rsidR="008D2263" w:rsidRDefault="008D2263" w:rsidP="0026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0" w:rsidRDefault="00AD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A5" w:rsidRDefault="008B6AA5">
    <w:pPr>
      <w:pStyle w:val="Footer"/>
      <w:jc w:val="center"/>
    </w:pPr>
  </w:p>
  <w:p w:rsidR="008B6AA5" w:rsidRDefault="008B6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0" w:rsidRDefault="00AD2E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29433"/>
      <w:docPartObj>
        <w:docPartGallery w:val="Page Numbers (Bottom of Page)"/>
        <w:docPartUnique/>
      </w:docPartObj>
    </w:sdtPr>
    <w:sdtEndPr>
      <w:rPr>
        <w:noProof/>
      </w:rPr>
    </w:sdtEndPr>
    <w:sdtContent>
      <w:p w:rsidR="008B6AA5" w:rsidRDefault="008B6AA5">
        <w:pPr>
          <w:pStyle w:val="Footer"/>
          <w:jc w:val="center"/>
        </w:pPr>
        <w:r>
          <w:fldChar w:fldCharType="begin"/>
        </w:r>
        <w:r>
          <w:instrText xml:space="preserve"> PAGE   \* MERGEFORMAT </w:instrText>
        </w:r>
        <w:r>
          <w:fldChar w:fldCharType="separate"/>
        </w:r>
        <w:r w:rsidR="00400945">
          <w:rPr>
            <w:noProof/>
          </w:rPr>
          <w:t>7</w:t>
        </w:r>
        <w:r>
          <w:rPr>
            <w:noProof/>
          </w:rPr>
          <w:fldChar w:fldCharType="end"/>
        </w:r>
      </w:p>
    </w:sdtContent>
  </w:sdt>
  <w:p w:rsidR="008B6AA5" w:rsidRDefault="008B6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63" w:rsidRDefault="008D2263" w:rsidP="002654E0">
      <w:r>
        <w:separator/>
      </w:r>
    </w:p>
  </w:footnote>
  <w:footnote w:type="continuationSeparator" w:id="0">
    <w:p w:rsidR="008D2263" w:rsidRDefault="008D2263" w:rsidP="002654E0">
      <w:r>
        <w:continuationSeparator/>
      </w:r>
    </w:p>
  </w:footnote>
  <w:footnote w:id="1">
    <w:p w:rsidR="002174F7" w:rsidRPr="00F14077" w:rsidRDefault="002174F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w:t>
      </w:r>
      <w:r w:rsidR="00556F95" w:rsidRPr="00F14077">
        <w:rPr>
          <w:rFonts w:ascii="Times New Roman" w:hAnsi="Times New Roman" w:cs="Times New Roman"/>
        </w:rPr>
        <w:t>See Attachment A</w:t>
      </w:r>
      <w:r w:rsidR="00F14077" w:rsidRPr="00F14077">
        <w:rPr>
          <w:rFonts w:ascii="Times New Roman" w:hAnsi="Times New Roman" w:cs="Times New Roman"/>
        </w:rPr>
        <w:t>.</w:t>
      </w:r>
    </w:p>
  </w:footnote>
  <w:footnote w:id="2">
    <w:p w:rsidR="002174F7" w:rsidRPr="00F14077" w:rsidRDefault="002174F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See Exhibit </w:t>
      </w:r>
      <w:r w:rsidR="00556F95" w:rsidRPr="00F14077">
        <w:rPr>
          <w:rFonts w:ascii="Times New Roman" w:hAnsi="Times New Roman" w:cs="Times New Roman"/>
        </w:rPr>
        <w:t>2</w:t>
      </w:r>
      <w:r w:rsidRPr="00F14077">
        <w:rPr>
          <w:rFonts w:ascii="Times New Roman" w:hAnsi="Times New Roman" w:cs="Times New Roman"/>
        </w:rPr>
        <w:t xml:space="preserve">.  </w:t>
      </w:r>
    </w:p>
  </w:footnote>
  <w:footnote w:id="3">
    <w:p w:rsidR="002174F7" w:rsidRPr="00F14077" w:rsidRDefault="002174F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w:t>
      </w:r>
      <w:r w:rsidR="00556F95" w:rsidRPr="00F14077">
        <w:rPr>
          <w:rFonts w:ascii="Times New Roman" w:hAnsi="Times New Roman" w:cs="Times New Roman"/>
        </w:rPr>
        <w:t>See Attachment A</w:t>
      </w:r>
      <w:r w:rsidR="00F14077" w:rsidRPr="00F14077">
        <w:rPr>
          <w:rFonts w:ascii="Times New Roman" w:hAnsi="Times New Roman" w:cs="Times New Roman"/>
        </w:rPr>
        <w:t>.</w:t>
      </w:r>
    </w:p>
  </w:footnote>
  <w:footnote w:id="4">
    <w:p w:rsidR="002174F7" w:rsidRPr="00F14077" w:rsidRDefault="002174F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w:t>
      </w:r>
      <w:r w:rsidR="00556F95" w:rsidRPr="00F14077">
        <w:rPr>
          <w:rFonts w:ascii="Times New Roman" w:hAnsi="Times New Roman" w:cs="Times New Roman"/>
        </w:rPr>
        <w:t xml:space="preserve">Id. </w:t>
      </w:r>
    </w:p>
  </w:footnote>
  <w:footnote w:id="5">
    <w:p w:rsidR="001E6486" w:rsidRPr="00F14077" w:rsidRDefault="001E648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1  at ¶¶13, 14.   </w:t>
      </w:r>
    </w:p>
  </w:footnote>
  <w:footnote w:id="6">
    <w:p w:rsidR="001E6486" w:rsidRPr="00F14077" w:rsidRDefault="001E648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1 at ¶16.  </w:t>
      </w:r>
    </w:p>
  </w:footnote>
  <w:footnote w:id="7">
    <w:p w:rsidR="002654E0" w:rsidRPr="00F14077" w:rsidRDefault="002654E0"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See e.g. </w:t>
      </w:r>
      <w:r w:rsidRPr="00F14077">
        <w:rPr>
          <w:rFonts w:ascii="Times New Roman" w:hAnsi="Times New Roman" w:cs="Times New Roman"/>
          <w:i/>
        </w:rPr>
        <w:t xml:space="preserve">In the Matter of the </w:t>
      </w:r>
      <w:r w:rsidR="006C1078" w:rsidRPr="00F14077">
        <w:rPr>
          <w:rFonts w:ascii="Times New Roman" w:hAnsi="Times New Roman" w:cs="Times New Roman"/>
          <w:i/>
        </w:rPr>
        <w:t>Application of Duke Energy Ohio, Inc., for an Increase in its Natural Gas Distribution Rates</w:t>
      </w:r>
      <w:r w:rsidR="006C1078" w:rsidRPr="00F14077">
        <w:rPr>
          <w:rFonts w:ascii="Times New Roman" w:hAnsi="Times New Roman" w:cs="Times New Roman"/>
        </w:rPr>
        <w:t xml:space="preserve">, Case No. 12-1645-GA-AIR et al.; </w:t>
      </w:r>
      <w:r w:rsidR="006C1078" w:rsidRPr="00F14077">
        <w:rPr>
          <w:rFonts w:ascii="Times New Roman" w:hAnsi="Times New Roman" w:cs="Times New Roman"/>
          <w:i/>
        </w:rPr>
        <w:t>In the Matter of the Application of Duke Energy Ohio, Inc., for the Establishment of a Charge Pursuant to Section 4909.18, Revised Code</w:t>
      </w:r>
      <w:r w:rsidR="006C1078" w:rsidRPr="00F14077">
        <w:rPr>
          <w:rFonts w:ascii="Times New Roman" w:hAnsi="Times New Roman" w:cs="Times New Roman"/>
        </w:rPr>
        <w:t xml:space="preserve">, Case No. 12-2400-EL-UNC, et al.  </w:t>
      </w:r>
    </w:p>
  </w:footnote>
  <w:footnote w:id="8">
    <w:p w:rsidR="00854387" w:rsidRPr="00F14077" w:rsidRDefault="0085438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2 at </w:t>
      </w:r>
      <w:r w:rsidR="001E6486" w:rsidRPr="00F14077">
        <w:rPr>
          <w:rFonts w:ascii="Times New Roman" w:hAnsi="Times New Roman" w:cs="Times New Roman"/>
        </w:rPr>
        <w:t>¶6(b).</w:t>
      </w:r>
    </w:p>
  </w:footnote>
  <w:footnote w:id="9">
    <w:p w:rsidR="002D14D9" w:rsidRPr="00F14077" w:rsidRDefault="002D14D9"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In Exhibit 1, see ¶13, which outlines a process whereby OCC notifies Duke that a public records request has been made.  Duke then has five business days to seek to prevent disclosure of the materials in question.  If Duke then seeks protection, OCC agrees to protect the materials pending an order of the Court.  </w:t>
      </w:r>
    </w:p>
  </w:footnote>
  <w:footnote w:id="10">
    <w:p w:rsidR="001E6486" w:rsidRPr="00F14077" w:rsidRDefault="001E648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2 at ¶8.  </w:t>
      </w:r>
    </w:p>
  </w:footnote>
  <w:footnote w:id="11">
    <w:p w:rsidR="00705C56" w:rsidRPr="00F14077" w:rsidRDefault="00705C5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See OEG Motion at 4.  </w:t>
      </w:r>
    </w:p>
  </w:footnote>
  <w:footnote w:id="12">
    <w:p w:rsidR="001E6486" w:rsidRPr="00F14077" w:rsidRDefault="001E648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2 at ¶2.  </w:t>
      </w:r>
    </w:p>
  </w:footnote>
  <w:footnote w:id="13">
    <w:p w:rsidR="001E6486" w:rsidRPr="00F14077" w:rsidRDefault="001E6486"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2 at </w:t>
      </w:r>
      <w:r w:rsidR="00447207" w:rsidRPr="00F14077">
        <w:rPr>
          <w:rFonts w:ascii="Times New Roman" w:hAnsi="Times New Roman" w:cs="Times New Roman"/>
        </w:rPr>
        <w:t xml:space="preserve">¶¶4,6.  </w:t>
      </w:r>
    </w:p>
  </w:footnote>
  <w:footnote w:id="14">
    <w:p w:rsidR="000543F1" w:rsidRPr="00F14077" w:rsidRDefault="000543F1"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w:t>
      </w:r>
      <w:r w:rsidR="006C1078" w:rsidRPr="00F14077">
        <w:rPr>
          <w:rFonts w:ascii="Times New Roman" w:hAnsi="Times New Roman" w:cs="Times New Roman"/>
        </w:rPr>
        <w:t xml:space="preserve">OEG Motion at </w:t>
      </w:r>
      <w:r w:rsidR="00854387" w:rsidRPr="00F14077">
        <w:rPr>
          <w:rFonts w:ascii="Times New Roman" w:hAnsi="Times New Roman" w:cs="Times New Roman"/>
        </w:rPr>
        <w:t xml:space="preserve">3.  </w:t>
      </w:r>
    </w:p>
  </w:footnote>
  <w:footnote w:id="15">
    <w:p w:rsidR="00447207" w:rsidRPr="00F14077" w:rsidRDefault="0044720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2 at ¶3.</w:t>
      </w:r>
    </w:p>
  </w:footnote>
  <w:footnote w:id="16">
    <w:p w:rsidR="00447207" w:rsidRPr="00F14077" w:rsidRDefault="0044720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See for example Exhibit 1, ¶6.  </w:t>
      </w:r>
    </w:p>
  </w:footnote>
  <w:footnote w:id="17">
    <w:p w:rsidR="00447207" w:rsidRPr="00F14077" w:rsidRDefault="0044720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1 at ¶14.</w:t>
      </w:r>
    </w:p>
  </w:footnote>
  <w:footnote w:id="18">
    <w:p w:rsidR="00447207" w:rsidRPr="00F14077" w:rsidRDefault="00447207" w:rsidP="00F14077">
      <w:pPr>
        <w:pStyle w:val="FootnoteText"/>
        <w:spacing w:after="120"/>
        <w:rPr>
          <w:rFonts w:ascii="Times New Roman" w:hAnsi="Times New Roman" w:cs="Times New Roman"/>
        </w:rPr>
      </w:pPr>
      <w:r w:rsidRPr="00F14077">
        <w:rPr>
          <w:rStyle w:val="FootnoteReference"/>
          <w:rFonts w:ascii="Times New Roman" w:hAnsi="Times New Roman" w:cs="Times New Roman"/>
        </w:rPr>
        <w:footnoteRef/>
      </w:r>
      <w:r w:rsidRPr="00F14077">
        <w:rPr>
          <w:rFonts w:ascii="Times New Roman" w:hAnsi="Times New Roman" w:cs="Times New Roman"/>
        </w:rPr>
        <w:t xml:space="preserve"> Exhibit 1 at ¶19</w:t>
      </w:r>
      <w:r w:rsidR="00400945">
        <w:rPr>
          <w:rFonts w:ascii="Times New Roman" w:hAnsi="Times New Roman" w:cs="Times New Roman"/>
        </w:rPr>
        <w:t>.</w:t>
      </w:r>
      <w:r w:rsidRPr="00F1407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0" w:rsidRDefault="00AD2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0" w:rsidRDefault="00AD2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0" w:rsidRDefault="00AD2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5B47"/>
    <w:multiLevelType w:val="hybridMultilevel"/>
    <w:tmpl w:val="2E6423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F239DD"/>
    <w:multiLevelType w:val="hybridMultilevel"/>
    <w:tmpl w:val="A1023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42"/>
    <w:rsid w:val="00007F30"/>
    <w:rsid w:val="00011E4A"/>
    <w:rsid w:val="000543F1"/>
    <w:rsid w:val="000B0677"/>
    <w:rsid w:val="000B4AA9"/>
    <w:rsid w:val="000C2495"/>
    <w:rsid w:val="00123A4C"/>
    <w:rsid w:val="00130C37"/>
    <w:rsid w:val="00142125"/>
    <w:rsid w:val="00176686"/>
    <w:rsid w:val="00177849"/>
    <w:rsid w:val="001975B9"/>
    <w:rsid w:val="001D2321"/>
    <w:rsid w:val="001E6486"/>
    <w:rsid w:val="002174F7"/>
    <w:rsid w:val="00256FAE"/>
    <w:rsid w:val="002654E0"/>
    <w:rsid w:val="002D14D9"/>
    <w:rsid w:val="0030430D"/>
    <w:rsid w:val="003D1710"/>
    <w:rsid w:val="003E79BC"/>
    <w:rsid w:val="00400945"/>
    <w:rsid w:val="00433D19"/>
    <w:rsid w:val="00447207"/>
    <w:rsid w:val="004509C6"/>
    <w:rsid w:val="004E7572"/>
    <w:rsid w:val="005470D5"/>
    <w:rsid w:val="00547B72"/>
    <w:rsid w:val="00556F95"/>
    <w:rsid w:val="005775ED"/>
    <w:rsid w:val="00583D39"/>
    <w:rsid w:val="005C33E9"/>
    <w:rsid w:val="005F4D12"/>
    <w:rsid w:val="00602B47"/>
    <w:rsid w:val="006831D6"/>
    <w:rsid w:val="006A0E27"/>
    <w:rsid w:val="006C1078"/>
    <w:rsid w:val="00705C56"/>
    <w:rsid w:val="00743DD0"/>
    <w:rsid w:val="00762A40"/>
    <w:rsid w:val="007A5863"/>
    <w:rsid w:val="00807392"/>
    <w:rsid w:val="008108D5"/>
    <w:rsid w:val="00853E11"/>
    <w:rsid w:val="00854387"/>
    <w:rsid w:val="00860540"/>
    <w:rsid w:val="008A0E3E"/>
    <w:rsid w:val="008A6F51"/>
    <w:rsid w:val="008B6AA5"/>
    <w:rsid w:val="008D2263"/>
    <w:rsid w:val="008F7534"/>
    <w:rsid w:val="009157C7"/>
    <w:rsid w:val="009203ED"/>
    <w:rsid w:val="00954E56"/>
    <w:rsid w:val="009D6BA6"/>
    <w:rsid w:val="00A77C1E"/>
    <w:rsid w:val="00A82262"/>
    <w:rsid w:val="00A93B5A"/>
    <w:rsid w:val="00AB0A08"/>
    <w:rsid w:val="00AC29DF"/>
    <w:rsid w:val="00AC5EB6"/>
    <w:rsid w:val="00AD2E70"/>
    <w:rsid w:val="00B53436"/>
    <w:rsid w:val="00B76753"/>
    <w:rsid w:val="00BD7342"/>
    <w:rsid w:val="00C263F2"/>
    <w:rsid w:val="00CA70DF"/>
    <w:rsid w:val="00CE5B1D"/>
    <w:rsid w:val="00CF2942"/>
    <w:rsid w:val="00DA0353"/>
    <w:rsid w:val="00ED1CEC"/>
    <w:rsid w:val="00EE0D68"/>
    <w:rsid w:val="00F01579"/>
    <w:rsid w:val="00F14077"/>
    <w:rsid w:val="00F77F83"/>
    <w:rsid w:val="00F80206"/>
    <w:rsid w:val="00FE7111"/>
    <w:rsid w:val="00FF35A1"/>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42"/>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F2942"/>
    <w:rPr>
      <w:rFonts w:ascii="Courier New" w:eastAsia="Courier New" w:hAnsi="Courier New" w:cs="Courier New"/>
      <w:sz w:val="20"/>
      <w:szCs w:val="20"/>
    </w:rPr>
  </w:style>
  <w:style w:type="paragraph" w:styleId="FootnoteText">
    <w:name w:val="footnote text"/>
    <w:basedOn w:val="Normal"/>
    <w:link w:val="FootnoteTextChar"/>
    <w:semiHidden/>
    <w:rsid w:val="00FF6353"/>
    <w:rPr>
      <w:rFonts w:ascii="Arial" w:hAnsi="Arial" w:cs="Arial"/>
      <w:sz w:val="20"/>
    </w:rPr>
  </w:style>
  <w:style w:type="character" w:customStyle="1" w:styleId="FootnoteTextChar">
    <w:name w:val="Footnote Text Char"/>
    <w:basedOn w:val="DefaultParagraphFont"/>
    <w:link w:val="FootnoteText"/>
    <w:semiHidden/>
    <w:rsid w:val="00FF6353"/>
    <w:rPr>
      <w:rFonts w:ascii="Arial" w:eastAsia="Times New Roman" w:hAnsi="Arial" w:cs="Arial"/>
      <w:sz w:val="20"/>
      <w:szCs w:val="20"/>
    </w:rPr>
  </w:style>
  <w:style w:type="character" w:styleId="FootnoteReference">
    <w:name w:val="footnote reference"/>
    <w:basedOn w:val="DefaultParagraphFont"/>
    <w:uiPriority w:val="99"/>
    <w:semiHidden/>
    <w:unhideWhenUsed/>
    <w:rsid w:val="002654E0"/>
    <w:rPr>
      <w:vertAlign w:val="superscript"/>
    </w:rPr>
  </w:style>
  <w:style w:type="paragraph" w:styleId="ListParagraph">
    <w:name w:val="List Paragraph"/>
    <w:basedOn w:val="Normal"/>
    <w:uiPriority w:val="34"/>
    <w:qFormat/>
    <w:rsid w:val="00433D19"/>
    <w:pPr>
      <w:ind w:left="720"/>
    </w:pPr>
    <w:rPr>
      <w:rFonts w:ascii="Calibri" w:eastAsiaTheme="minorHAnsi" w:hAnsi="Calibri"/>
      <w:sz w:val="22"/>
      <w:szCs w:val="22"/>
    </w:rPr>
  </w:style>
  <w:style w:type="paragraph" w:customStyle="1" w:styleId="Default">
    <w:name w:val="Default"/>
    <w:basedOn w:val="Normal"/>
    <w:rsid w:val="00433D19"/>
    <w:pPr>
      <w:autoSpaceDE w:val="0"/>
      <w:autoSpaceDN w:val="0"/>
    </w:pPr>
    <w:rPr>
      <w:rFonts w:eastAsiaTheme="minorHAnsi"/>
      <w:color w:val="000000"/>
      <w:szCs w:val="24"/>
    </w:rPr>
  </w:style>
  <w:style w:type="character" w:styleId="Hyperlink">
    <w:name w:val="Hyperlink"/>
    <w:basedOn w:val="DefaultParagraphFont"/>
    <w:uiPriority w:val="99"/>
    <w:unhideWhenUsed/>
    <w:rsid w:val="00F01579"/>
    <w:rPr>
      <w:color w:val="0000FF" w:themeColor="hyperlink"/>
      <w:u w:val="single"/>
    </w:rPr>
  </w:style>
  <w:style w:type="paragraph" w:styleId="BalloonText">
    <w:name w:val="Balloon Text"/>
    <w:basedOn w:val="Normal"/>
    <w:link w:val="BalloonTextChar"/>
    <w:uiPriority w:val="99"/>
    <w:semiHidden/>
    <w:unhideWhenUsed/>
    <w:rsid w:val="004509C6"/>
    <w:rPr>
      <w:rFonts w:ascii="Tahoma" w:hAnsi="Tahoma" w:cs="Tahoma"/>
      <w:sz w:val="16"/>
      <w:szCs w:val="16"/>
    </w:rPr>
  </w:style>
  <w:style w:type="character" w:customStyle="1" w:styleId="BalloonTextChar">
    <w:name w:val="Balloon Text Char"/>
    <w:basedOn w:val="DefaultParagraphFont"/>
    <w:link w:val="BalloonText"/>
    <w:uiPriority w:val="99"/>
    <w:semiHidden/>
    <w:rsid w:val="004509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6F51"/>
    <w:rPr>
      <w:sz w:val="16"/>
      <w:szCs w:val="16"/>
    </w:rPr>
  </w:style>
  <w:style w:type="paragraph" w:styleId="CommentText">
    <w:name w:val="annotation text"/>
    <w:basedOn w:val="Normal"/>
    <w:link w:val="CommentTextChar"/>
    <w:uiPriority w:val="99"/>
    <w:semiHidden/>
    <w:unhideWhenUsed/>
    <w:rsid w:val="008A6F51"/>
    <w:rPr>
      <w:sz w:val="20"/>
    </w:rPr>
  </w:style>
  <w:style w:type="character" w:customStyle="1" w:styleId="CommentTextChar">
    <w:name w:val="Comment Text Char"/>
    <w:basedOn w:val="DefaultParagraphFont"/>
    <w:link w:val="CommentText"/>
    <w:uiPriority w:val="99"/>
    <w:semiHidden/>
    <w:rsid w:val="008A6F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F51"/>
    <w:rPr>
      <w:b/>
      <w:bCs/>
    </w:rPr>
  </w:style>
  <w:style w:type="character" w:customStyle="1" w:styleId="CommentSubjectChar">
    <w:name w:val="Comment Subject Char"/>
    <w:basedOn w:val="CommentTextChar"/>
    <w:link w:val="CommentSubject"/>
    <w:uiPriority w:val="99"/>
    <w:semiHidden/>
    <w:rsid w:val="008A6F5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C2495"/>
    <w:pPr>
      <w:tabs>
        <w:tab w:val="center" w:pos="4680"/>
        <w:tab w:val="right" w:pos="9360"/>
      </w:tabs>
    </w:pPr>
  </w:style>
  <w:style w:type="character" w:customStyle="1" w:styleId="HeaderChar">
    <w:name w:val="Header Char"/>
    <w:basedOn w:val="DefaultParagraphFont"/>
    <w:link w:val="Header"/>
    <w:uiPriority w:val="99"/>
    <w:rsid w:val="000C24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2495"/>
    <w:pPr>
      <w:tabs>
        <w:tab w:val="center" w:pos="4680"/>
        <w:tab w:val="right" w:pos="9360"/>
      </w:tabs>
    </w:pPr>
  </w:style>
  <w:style w:type="character" w:customStyle="1" w:styleId="FooterChar">
    <w:name w:val="Footer Char"/>
    <w:basedOn w:val="DefaultParagraphFont"/>
    <w:link w:val="Footer"/>
    <w:uiPriority w:val="99"/>
    <w:rsid w:val="000C24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42"/>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F2942"/>
    <w:rPr>
      <w:rFonts w:ascii="Courier New" w:eastAsia="Courier New" w:hAnsi="Courier New" w:cs="Courier New"/>
      <w:sz w:val="20"/>
      <w:szCs w:val="20"/>
    </w:rPr>
  </w:style>
  <w:style w:type="paragraph" w:styleId="FootnoteText">
    <w:name w:val="footnote text"/>
    <w:basedOn w:val="Normal"/>
    <w:link w:val="FootnoteTextChar"/>
    <w:semiHidden/>
    <w:rsid w:val="00FF6353"/>
    <w:rPr>
      <w:rFonts w:ascii="Arial" w:hAnsi="Arial" w:cs="Arial"/>
      <w:sz w:val="20"/>
    </w:rPr>
  </w:style>
  <w:style w:type="character" w:customStyle="1" w:styleId="FootnoteTextChar">
    <w:name w:val="Footnote Text Char"/>
    <w:basedOn w:val="DefaultParagraphFont"/>
    <w:link w:val="FootnoteText"/>
    <w:semiHidden/>
    <w:rsid w:val="00FF6353"/>
    <w:rPr>
      <w:rFonts w:ascii="Arial" w:eastAsia="Times New Roman" w:hAnsi="Arial" w:cs="Arial"/>
      <w:sz w:val="20"/>
      <w:szCs w:val="20"/>
    </w:rPr>
  </w:style>
  <w:style w:type="character" w:styleId="FootnoteReference">
    <w:name w:val="footnote reference"/>
    <w:basedOn w:val="DefaultParagraphFont"/>
    <w:uiPriority w:val="99"/>
    <w:semiHidden/>
    <w:unhideWhenUsed/>
    <w:rsid w:val="002654E0"/>
    <w:rPr>
      <w:vertAlign w:val="superscript"/>
    </w:rPr>
  </w:style>
  <w:style w:type="paragraph" w:styleId="ListParagraph">
    <w:name w:val="List Paragraph"/>
    <w:basedOn w:val="Normal"/>
    <w:uiPriority w:val="34"/>
    <w:qFormat/>
    <w:rsid w:val="00433D19"/>
    <w:pPr>
      <w:ind w:left="720"/>
    </w:pPr>
    <w:rPr>
      <w:rFonts w:ascii="Calibri" w:eastAsiaTheme="minorHAnsi" w:hAnsi="Calibri"/>
      <w:sz w:val="22"/>
      <w:szCs w:val="22"/>
    </w:rPr>
  </w:style>
  <w:style w:type="paragraph" w:customStyle="1" w:styleId="Default">
    <w:name w:val="Default"/>
    <w:basedOn w:val="Normal"/>
    <w:rsid w:val="00433D19"/>
    <w:pPr>
      <w:autoSpaceDE w:val="0"/>
      <w:autoSpaceDN w:val="0"/>
    </w:pPr>
    <w:rPr>
      <w:rFonts w:eastAsiaTheme="minorHAnsi"/>
      <w:color w:val="000000"/>
      <w:szCs w:val="24"/>
    </w:rPr>
  </w:style>
  <w:style w:type="character" w:styleId="Hyperlink">
    <w:name w:val="Hyperlink"/>
    <w:basedOn w:val="DefaultParagraphFont"/>
    <w:uiPriority w:val="99"/>
    <w:unhideWhenUsed/>
    <w:rsid w:val="00F01579"/>
    <w:rPr>
      <w:color w:val="0000FF" w:themeColor="hyperlink"/>
      <w:u w:val="single"/>
    </w:rPr>
  </w:style>
  <w:style w:type="paragraph" w:styleId="BalloonText">
    <w:name w:val="Balloon Text"/>
    <w:basedOn w:val="Normal"/>
    <w:link w:val="BalloonTextChar"/>
    <w:uiPriority w:val="99"/>
    <w:semiHidden/>
    <w:unhideWhenUsed/>
    <w:rsid w:val="004509C6"/>
    <w:rPr>
      <w:rFonts w:ascii="Tahoma" w:hAnsi="Tahoma" w:cs="Tahoma"/>
      <w:sz w:val="16"/>
      <w:szCs w:val="16"/>
    </w:rPr>
  </w:style>
  <w:style w:type="character" w:customStyle="1" w:styleId="BalloonTextChar">
    <w:name w:val="Balloon Text Char"/>
    <w:basedOn w:val="DefaultParagraphFont"/>
    <w:link w:val="BalloonText"/>
    <w:uiPriority w:val="99"/>
    <w:semiHidden/>
    <w:rsid w:val="004509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6F51"/>
    <w:rPr>
      <w:sz w:val="16"/>
      <w:szCs w:val="16"/>
    </w:rPr>
  </w:style>
  <w:style w:type="paragraph" w:styleId="CommentText">
    <w:name w:val="annotation text"/>
    <w:basedOn w:val="Normal"/>
    <w:link w:val="CommentTextChar"/>
    <w:uiPriority w:val="99"/>
    <w:semiHidden/>
    <w:unhideWhenUsed/>
    <w:rsid w:val="008A6F51"/>
    <w:rPr>
      <w:sz w:val="20"/>
    </w:rPr>
  </w:style>
  <w:style w:type="character" w:customStyle="1" w:styleId="CommentTextChar">
    <w:name w:val="Comment Text Char"/>
    <w:basedOn w:val="DefaultParagraphFont"/>
    <w:link w:val="CommentText"/>
    <w:uiPriority w:val="99"/>
    <w:semiHidden/>
    <w:rsid w:val="008A6F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F51"/>
    <w:rPr>
      <w:b/>
      <w:bCs/>
    </w:rPr>
  </w:style>
  <w:style w:type="character" w:customStyle="1" w:styleId="CommentSubjectChar">
    <w:name w:val="Comment Subject Char"/>
    <w:basedOn w:val="CommentTextChar"/>
    <w:link w:val="CommentSubject"/>
    <w:uiPriority w:val="99"/>
    <w:semiHidden/>
    <w:rsid w:val="008A6F5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C2495"/>
    <w:pPr>
      <w:tabs>
        <w:tab w:val="center" w:pos="4680"/>
        <w:tab w:val="right" w:pos="9360"/>
      </w:tabs>
    </w:pPr>
  </w:style>
  <w:style w:type="character" w:customStyle="1" w:styleId="HeaderChar">
    <w:name w:val="Header Char"/>
    <w:basedOn w:val="DefaultParagraphFont"/>
    <w:link w:val="Header"/>
    <w:uiPriority w:val="99"/>
    <w:rsid w:val="000C24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2495"/>
    <w:pPr>
      <w:tabs>
        <w:tab w:val="center" w:pos="4680"/>
        <w:tab w:val="right" w:pos="9360"/>
      </w:tabs>
    </w:pPr>
  </w:style>
  <w:style w:type="character" w:customStyle="1" w:styleId="FooterChar">
    <w:name w:val="Footer Char"/>
    <w:basedOn w:val="DefaultParagraphFont"/>
    <w:link w:val="Footer"/>
    <w:uiPriority w:val="99"/>
    <w:rsid w:val="000C24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6135">
      <w:bodyDiv w:val="1"/>
      <w:marLeft w:val="0"/>
      <w:marRight w:val="0"/>
      <w:marTop w:val="0"/>
      <w:marBottom w:val="0"/>
      <w:divBdr>
        <w:top w:val="none" w:sz="0" w:space="0" w:color="auto"/>
        <w:left w:val="none" w:sz="0" w:space="0" w:color="auto"/>
        <w:bottom w:val="none" w:sz="0" w:space="0" w:color="auto"/>
        <w:right w:val="none" w:sz="0" w:space="0" w:color="auto"/>
      </w:divBdr>
    </w:div>
    <w:div w:id="16628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homas.lindgren@puc.state.oh.us" TargetMode="External"/><Relationship Id="rId26" Type="http://schemas.openxmlformats.org/officeDocument/2006/relationships/hyperlink" Target="mailto:mohler@carpenterlipps.com" TargetMode="External"/><Relationship Id="rId39" Type="http://schemas.openxmlformats.org/officeDocument/2006/relationships/hyperlink" Target="mailto:sam@mwncmh.com" TargetMode="External"/><Relationship Id="rId3" Type="http://schemas.microsoft.com/office/2007/relationships/stylesWithEffects" Target="stylesWithEffects.xml"/><Relationship Id="rId21" Type="http://schemas.openxmlformats.org/officeDocument/2006/relationships/hyperlink" Target="mailto:mkurtz@BKLlawfirm.com" TargetMode="External"/><Relationship Id="rId34" Type="http://schemas.openxmlformats.org/officeDocument/2006/relationships/hyperlink" Target="mailto:jmcdermott@firstenergycorp.com"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even.beeler@puc.state.oh.us" TargetMode="External"/><Relationship Id="rId25" Type="http://schemas.openxmlformats.org/officeDocument/2006/relationships/hyperlink" Target="mailto:Bojko@carpenterlipps.com" TargetMode="External"/><Relationship Id="rId33" Type="http://schemas.openxmlformats.org/officeDocument/2006/relationships/hyperlink" Target="mailto:haydenm@firstenergycorp.com" TargetMode="External"/><Relationship Id="rId38" Type="http://schemas.openxmlformats.org/officeDocument/2006/relationships/hyperlink" Target="mailto:joseph.clark@directenergy.com" TargetMode="External"/><Relationship Id="rId2" Type="http://schemas.openxmlformats.org/officeDocument/2006/relationships/styles" Target="styles.xml"/><Relationship Id="rId16" Type="http://schemas.openxmlformats.org/officeDocument/2006/relationships/hyperlink" Target="mailto:Edmund.berger@occ.ohio.gov" TargetMode="External"/><Relationship Id="rId20" Type="http://schemas.openxmlformats.org/officeDocument/2006/relationships/hyperlink" Target="mailto:dboehm@BKLlawfirm.com" TargetMode="External"/><Relationship Id="rId29" Type="http://schemas.openxmlformats.org/officeDocument/2006/relationships/hyperlink" Target="mailto:Amy.Spiller@duke-energy.com" TargetMode="External"/><Relationship Id="rId41" Type="http://schemas.openxmlformats.org/officeDocument/2006/relationships/hyperlink" Target="mailto:mpritchard@mwncm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udi.sobecki@aes.com" TargetMode="External"/><Relationship Id="rId32" Type="http://schemas.openxmlformats.org/officeDocument/2006/relationships/hyperlink" Target="mailto:Jeanne.Kingery@duke-energy.com" TargetMode="External"/><Relationship Id="rId37" Type="http://schemas.openxmlformats.org/officeDocument/2006/relationships/hyperlink" Target="mailto:mswhite@igsenergy.com" TargetMode="External"/><Relationship Id="rId40" Type="http://schemas.openxmlformats.org/officeDocument/2006/relationships/hyperlink" Target="mailto:fdarr@mwncmh.com" TargetMode="External"/><Relationship Id="rId5" Type="http://schemas.openxmlformats.org/officeDocument/2006/relationships/webSettings" Target="webSettings.xml"/><Relationship Id="rId15" Type="http://schemas.openxmlformats.org/officeDocument/2006/relationships/hyperlink" Target="mailto:Joseph.serio@occ.ohio.gov" TargetMode="External"/><Relationship Id="rId23" Type="http://schemas.openxmlformats.org/officeDocument/2006/relationships/hyperlink" Target="mailto:Schmidt@sppgrp.com" TargetMode="External"/><Relationship Id="rId28" Type="http://schemas.openxmlformats.org/officeDocument/2006/relationships/hyperlink" Target="mailto:Christine.pirik@puc.state.oh.us" TargetMode="External"/><Relationship Id="rId36" Type="http://schemas.openxmlformats.org/officeDocument/2006/relationships/hyperlink" Target="mailto:joliker@igsenergy.com" TargetMode="External"/><Relationship Id="rId10" Type="http://schemas.openxmlformats.org/officeDocument/2006/relationships/footer" Target="footer1.xml"/><Relationship Id="rId19" Type="http://schemas.openxmlformats.org/officeDocument/2006/relationships/hyperlink" Target="mailto:Ryan.orourke@puc.state.oh.us" TargetMode="External"/><Relationship Id="rId31" Type="http://schemas.openxmlformats.org/officeDocument/2006/relationships/hyperlink" Target="mailto:Rocco.dascenzo@duke-energy.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ureen.grady@occ.ohio.gov" TargetMode="External"/><Relationship Id="rId22" Type="http://schemas.openxmlformats.org/officeDocument/2006/relationships/hyperlink" Target="mailto:jkylercohn@BKLlawfirm.com" TargetMode="External"/><Relationship Id="rId27" Type="http://schemas.openxmlformats.org/officeDocument/2006/relationships/hyperlink" Target="mailto:cmooney@ohiopartners.org" TargetMode="External"/><Relationship Id="rId30" Type="http://schemas.openxmlformats.org/officeDocument/2006/relationships/hyperlink" Target="mailto:Elizabeth.watts@duke-energy.com" TargetMode="External"/><Relationship Id="rId35" Type="http://schemas.openxmlformats.org/officeDocument/2006/relationships/hyperlink" Target="mailto:scasto@firstenergycorp.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10917</Characters>
  <Application>Microsoft Office Word</Application>
  <DocSecurity>0</DocSecurity>
  <Lines>246</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2014-06-18T20:48:00Z</cp:lastPrinted>
  <dcterms:created xsi:type="dcterms:W3CDTF">2014-06-18T21:00:00Z</dcterms:created>
  <dcterms:modified xsi:type="dcterms:W3CDTF">2014-06-18T21:00:00Z</dcterms:modified>
  <cp:category> </cp:category>
  <cp:contentStatus> </cp:contentStatus>
</cp:coreProperties>
</file>