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C2" w:rsidRDefault="00B90FC2" w:rsidP="00B90FC2">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B90FC2" w:rsidRDefault="00B90FC2" w:rsidP="00B90FC2">
      <w:pPr>
        <w:pStyle w:val="HTMLPreformatted"/>
        <w:jc w:val="center"/>
        <w:rPr>
          <w:rFonts w:ascii="Times New Roman" w:hAnsi="Times New Roman"/>
          <w:sz w:val="24"/>
        </w:rPr>
      </w:pPr>
      <w:r>
        <w:rPr>
          <w:rFonts w:ascii="Times New Roman" w:hAnsi="Times New Roman"/>
          <w:b/>
          <w:bCs/>
          <w:sz w:val="24"/>
        </w:rPr>
        <w:t>THE PUBLIC UTILITIES COMMISSION OF OHIO</w:t>
      </w:r>
    </w:p>
    <w:p w:rsidR="00B90FC2" w:rsidRDefault="00B90FC2" w:rsidP="00B90FC2">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B90FC2" w:rsidTr="009C47D5">
        <w:trPr>
          <w:trHeight w:val="807"/>
        </w:trPr>
        <w:tc>
          <w:tcPr>
            <w:tcW w:w="4332" w:type="dxa"/>
            <w:hideMark/>
          </w:tcPr>
          <w:p w:rsidR="00B90FC2" w:rsidRPr="00DF2887" w:rsidRDefault="00B90FC2" w:rsidP="00031C2C">
            <w:pPr>
              <w:pStyle w:val="HTMLPreformatted"/>
              <w:rPr>
                <w:rFonts w:ascii="Times New Roman" w:hAnsi="Times New Roman" w:cs="Times New Roman"/>
                <w:sz w:val="24"/>
                <w:szCs w:val="24"/>
              </w:rPr>
            </w:pPr>
            <w:r>
              <w:rPr>
                <w:rFonts w:ascii="Times New Roman" w:hAnsi="Times New Roman" w:cs="Times New Roman"/>
                <w:sz w:val="24"/>
                <w:szCs w:val="24"/>
              </w:rPr>
              <w:t xml:space="preserve">In the Matter of the Application of Duke Energy Ohio, Inc. for </w:t>
            </w:r>
            <w:r w:rsidR="00031C2C">
              <w:rPr>
                <w:rFonts w:ascii="Times New Roman" w:hAnsi="Times New Roman" w:cs="Times New Roman"/>
                <w:sz w:val="24"/>
                <w:szCs w:val="24"/>
              </w:rPr>
              <w:t>A</w:t>
            </w:r>
            <w:r>
              <w:rPr>
                <w:rFonts w:ascii="Times New Roman" w:hAnsi="Times New Roman" w:cs="Times New Roman"/>
                <w:sz w:val="24"/>
                <w:szCs w:val="24"/>
              </w:rPr>
              <w:t>pproval of Certain Accounting Authority.</w:t>
            </w:r>
          </w:p>
        </w:tc>
        <w:tc>
          <w:tcPr>
            <w:tcW w:w="360" w:type="dxa"/>
            <w:hideMark/>
          </w:tcPr>
          <w:p w:rsidR="00B90FC2" w:rsidRPr="00DF2887" w:rsidRDefault="00B90FC2" w:rsidP="009C47D5">
            <w:pPr>
              <w:pStyle w:val="HTMLPreformatted"/>
              <w:rPr>
                <w:rFonts w:ascii="Times New Roman" w:hAnsi="Times New Roman"/>
                <w:sz w:val="22"/>
              </w:rPr>
            </w:pPr>
            <w:r w:rsidRPr="00DF2887">
              <w:rPr>
                <w:rFonts w:ascii="Times New Roman" w:hAnsi="Times New Roman"/>
                <w:sz w:val="22"/>
              </w:rPr>
              <w:t>)</w:t>
            </w:r>
          </w:p>
          <w:p w:rsidR="00B90FC2" w:rsidRPr="00DF2887" w:rsidRDefault="00B90FC2" w:rsidP="009C47D5">
            <w:pPr>
              <w:pStyle w:val="HTMLPreformatted"/>
              <w:rPr>
                <w:rFonts w:ascii="Times New Roman" w:hAnsi="Times New Roman"/>
                <w:sz w:val="22"/>
              </w:rPr>
            </w:pPr>
            <w:r w:rsidRPr="00DF2887">
              <w:rPr>
                <w:rFonts w:ascii="Times New Roman" w:hAnsi="Times New Roman"/>
                <w:sz w:val="22"/>
              </w:rPr>
              <w:t>)</w:t>
            </w:r>
          </w:p>
          <w:p w:rsidR="00B90FC2" w:rsidRPr="00DF2887" w:rsidRDefault="00B90FC2" w:rsidP="009C47D5">
            <w:pPr>
              <w:pStyle w:val="HTMLPreformatted"/>
              <w:rPr>
                <w:rFonts w:ascii="Times New Roman" w:hAnsi="Times New Roman"/>
                <w:sz w:val="22"/>
              </w:rPr>
            </w:pPr>
            <w:r w:rsidRPr="00DF2887">
              <w:rPr>
                <w:rFonts w:ascii="Times New Roman" w:hAnsi="Times New Roman"/>
                <w:sz w:val="22"/>
              </w:rPr>
              <w:t>)</w:t>
            </w:r>
          </w:p>
        </w:tc>
        <w:tc>
          <w:tcPr>
            <w:tcW w:w="4400" w:type="dxa"/>
          </w:tcPr>
          <w:p w:rsidR="00B90FC2" w:rsidRDefault="00B90FC2" w:rsidP="009C47D5">
            <w:pPr>
              <w:pStyle w:val="HTMLPreformatted"/>
              <w:rPr>
                <w:rFonts w:ascii="Times New Roman" w:hAnsi="Times New Roman"/>
                <w:sz w:val="24"/>
              </w:rPr>
            </w:pPr>
          </w:p>
          <w:p w:rsidR="00B90FC2" w:rsidRDefault="00B90FC2" w:rsidP="009C47D5">
            <w:pPr>
              <w:pStyle w:val="HTMLPreformatted"/>
              <w:rPr>
                <w:rFonts w:ascii="Times New Roman" w:hAnsi="Times New Roman"/>
                <w:sz w:val="24"/>
              </w:rPr>
            </w:pPr>
            <w:r>
              <w:rPr>
                <w:rFonts w:ascii="Times New Roman" w:hAnsi="Times New Roman"/>
                <w:sz w:val="24"/>
              </w:rPr>
              <w:t>Case No. 15-0855-EL-AAM</w:t>
            </w:r>
          </w:p>
          <w:p w:rsidR="00B90FC2" w:rsidRDefault="00B90FC2" w:rsidP="009C47D5">
            <w:pPr>
              <w:pStyle w:val="HTMLPreformatted"/>
              <w:rPr>
                <w:rFonts w:ascii="Times New Roman" w:hAnsi="Times New Roman"/>
                <w:sz w:val="24"/>
              </w:rPr>
            </w:pPr>
          </w:p>
        </w:tc>
      </w:tr>
    </w:tbl>
    <w:p w:rsidR="00B90FC2" w:rsidRDefault="00B90FC2" w:rsidP="00B90FC2">
      <w:pPr>
        <w:pStyle w:val="HTMLPreformatted"/>
        <w:rPr>
          <w:rFonts w:ascii="Times New Roman" w:hAnsi="Times New Roman"/>
          <w:sz w:val="24"/>
        </w:rPr>
      </w:pPr>
      <w:r>
        <w:rPr>
          <w:rFonts w:ascii="Times New Roman" w:hAnsi="Times New Roman"/>
          <w:sz w:val="24"/>
        </w:rPr>
        <w:tab/>
      </w:r>
    </w:p>
    <w:p w:rsidR="00B90FC2" w:rsidRDefault="00B90FC2" w:rsidP="00B90FC2">
      <w:pPr>
        <w:pStyle w:val="HTMLPreformatted"/>
        <w:pBdr>
          <w:top w:val="single" w:sz="12" w:space="1" w:color="auto"/>
        </w:pBdr>
        <w:rPr>
          <w:rFonts w:ascii="Times New Roman" w:hAnsi="Times New Roman"/>
          <w:sz w:val="24"/>
        </w:rPr>
      </w:pPr>
    </w:p>
    <w:p w:rsidR="00B90FC2" w:rsidRDefault="00B90FC2" w:rsidP="00B90FC2">
      <w:pPr>
        <w:jc w:val="center"/>
        <w:rPr>
          <w:b/>
          <w:bCs/>
        </w:rPr>
      </w:pPr>
      <w:r>
        <w:rPr>
          <w:b/>
          <w:bCs/>
        </w:rPr>
        <w:t>MOTION TO INTERVENE</w:t>
      </w:r>
    </w:p>
    <w:p w:rsidR="00B90FC2" w:rsidRDefault="00B90FC2" w:rsidP="00B90FC2">
      <w:pPr>
        <w:jc w:val="center"/>
        <w:rPr>
          <w:b/>
          <w:bCs/>
        </w:rPr>
      </w:pPr>
      <w:r>
        <w:rPr>
          <w:b/>
          <w:bCs/>
        </w:rPr>
        <w:t xml:space="preserve">AND </w:t>
      </w:r>
    </w:p>
    <w:p w:rsidR="00B90FC2" w:rsidRDefault="00B90FC2" w:rsidP="00B90FC2">
      <w:pPr>
        <w:jc w:val="center"/>
        <w:rPr>
          <w:b/>
          <w:bCs/>
        </w:rPr>
      </w:pPr>
      <w:r>
        <w:rPr>
          <w:b/>
          <w:bCs/>
        </w:rPr>
        <w:t>INITIAL COMMENTS</w:t>
      </w:r>
    </w:p>
    <w:p w:rsidR="00B90FC2" w:rsidRDefault="00B90FC2" w:rsidP="00B90FC2">
      <w:pPr>
        <w:jc w:val="center"/>
        <w:rPr>
          <w:b/>
          <w:bCs/>
        </w:rPr>
      </w:pPr>
      <w:r>
        <w:rPr>
          <w:b/>
          <w:bCs/>
        </w:rPr>
        <w:t>BY</w:t>
      </w:r>
    </w:p>
    <w:p w:rsidR="00B90FC2" w:rsidRDefault="00B90FC2" w:rsidP="00B90FC2">
      <w:pPr>
        <w:jc w:val="center"/>
        <w:rPr>
          <w:b/>
          <w:bCs/>
        </w:rPr>
      </w:pPr>
      <w:r>
        <w:rPr>
          <w:b/>
          <w:bCs/>
        </w:rPr>
        <w:t>THE OFFICE OF THE OHIO CONSUMERS’ COUNSEL</w:t>
      </w:r>
    </w:p>
    <w:p w:rsidR="00B90FC2" w:rsidRDefault="00B90FC2" w:rsidP="00B90FC2">
      <w:pPr>
        <w:pBdr>
          <w:bottom w:val="single" w:sz="12" w:space="1" w:color="auto"/>
        </w:pBdr>
        <w:tabs>
          <w:tab w:val="left" w:pos="4320"/>
        </w:tabs>
      </w:pPr>
    </w:p>
    <w:p w:rsidR="00B90FC2" w:rsidRDefault="00B90FC2" w:rsidP="00B90FC2">
      <w:pPr>
        <w:tabs>
          <w:tab w:val="left" w:pos="4320"/>
        </w:tabs>
      </w:pPr>
    </w:p>
    <w:p w:rsidR="00B90FC2" w:rsidRDefault="00B90FC2" w:rsidP="00E259F0">
      <w:pPr>
        <w:pStyle w:val="HTMLPreformatted"/>
        <w:jc w:val="center"/>
        <w:rPr>
          <w:rFonts w:ascii="Times New Roman" w:hAnsi="Times New Roman"/>
          <w:b/>
          <w:bCs/>
          <w:sz w:val="24"/>
        </w:rPr>
      </w:pPr>
    </w:p>
    <w:p w:rsidR="00B90FC2" w:rsidRDefault="00B90FC2" w:rsidP="00E259F0">
      <w:pPr>
        <w:pStyle w:val="HTMLPreformatted"/>
        <w:jc w:val="center"/>
        <w:rPr>
          <w:rFonts w:ascii="Times New Roman" w:hAnsi="Times New Roman"/>
          <w:b/>
          <w:bCs/>
          <w:sz w:val="24"/>
        </w:rPr>
      </w:pPr>
    </w:p>
    <w:p w:rsidR="00B90FC2" w:rsidRDefault="00B90FC2" w:rsidP="00E259F0">
      <w:pPr>
        <w:pStyle w:val="HTMLPreformatted"/>
        <w:jc w:val="center"/>
        <w:rPr>
          <w:rFonts w:ascii="Times New Roman" w:hAnsi="Times New Roman"/>
          <w:b/>
          <w:bCs/>
          <w:sz w:val="24"/>
        </w:rPr>
      </w:pPr>
    </w:p>
    <w:p w:rsidR="00B90FC2" w:rsidRDefault="00B90FC2" w:rsidP="00E259F0">
      <w:pPr>
        <w:pStyle w:val="HTMLPreformatted"/>
        <w:jc w:val="center"/>
        <w:rPr>
          <w:rFonts w:ascii="Times New Roman" w:hAnsi="Times New Roman"/>
          <w:b/>
          <w:bCs/>
          <w:sz w:val="24"/>
        </w:rPr>
      </w:pPr>
    </w:p>
    <w:p w:rsidR="00B90FC2" w:rsidRDefault="00B90FC2" w:rsidP="00E259F0">
      <w:pPr>
        <w:pStyle w:val="HTMLPreformatted"/>
        <w:jc w:val="center"/>
        <w:rPr>
          <w:rFonts w:ascii="Times New Roman" w:hAnsi="Times New Roman"/>
          <w:b/>
          <w:bCs/>
          <w:sz w:val="24"/>
        </w:rPr>
      </w:pPr>
    </w:p>
    <w:p w:rsidR="00B90FC2" w:rsidRDefault="00B90FC2" w:rsidP="00E259F0">
      <w:pPr>
        <w:pStyle w:val="HTMLPreformatted"/>
        <w:jc w:val="center"/>
        <w:rPr>
          <w:rFonts w:ascii="Times New Roman" w:hAnsi="Times New Roman"/>
          <w:b/>
          <w:bCs/>
          <w:sz w:val="24"/>
        </w:rPr>
      </w:pPr>
    </w:p>
    <w:p w:rsidR="00B90FC2" w:rsidRDefault="00B90FC2" w:rsidP="00E259F0">
      <w:pPr>
        <w:pStyle w:val="HTMLPreformatted"/>
        <w:jc w:val="center"/>
        <w:rPr>
          <w:rFonts w:ascii="Times New Roman" w:hAnsi="Times New Roman"/>
          <w:b/>
          <w:bCs/>
          <w:sz w:val="24"/>
        </w:rPr>
      </w:pPr>
    </w:p>
    <w:p w:rsidR="00B90FC2" w:rsidRDefault="00B90FC2" w:rsidP="00E259F0">
      <w:pPr>
        <w:pStyle w:val="HTMLPreformatted"/>
        <w:jc w:val="center"/>
        <w:rPr>
          <w:rFonts w:ascii="Times New Roman" w:hAnsi="Times New Roman"/>
          <w:b/>
          <w:bCs/>
          <w:sz w:val="24"/>
        </w:rPr>
      </w:pPr>
    </w:p>
    <w:p w:rsidR="00B90FC2" w:rsidRDefault="00B90FC2" w:rsidP="00E259F0">
      <w:pPr>
        <w:pStyle w:val="HTMLPreformatted"/>
        <w:jc w:val="center"/>
        <w:rPr>
          <w:rFonts w:ascii="Times New Roman" w:hAnsi="Times New Roman"/>
          <w:b/>
          <w:bCs/>
          <w:sz w:val="24"/>
        </w:rPr>
      </w:pPr>
    </w:p>
    <w:p w:rsidR="00B90FC2" w:rsidRDefault="00B90FC2" w:rsidP="00E259F0">
      <w:pPr>
        <w:pStyle w:val="HTMLPreformatted"/>
        <w:jc w:val="center"/>
        <w:rPr>
          <w:rFonts w:ascii="Times New Roman" w:hAnsi="Times New Roman"/>
          <w:b/>
          <w:bCs/>
          <w:sz w:val="24"/>
        </w:rPr>
      </w:pPr>
    </w:p>
    <w:p w:rsidR="00B90FC2" w:rsidRDefault="00B90FC2" w:rsidP="00E259F0">
      <w:pPr>
        <w:pStyle w:val="HTMLPreformatted"/>
        <w:jc w:val="center"/>
        <w:rPr>
          <w:rFonts w:ascii="Times New Roman" w:hAnsi="Times New Roman"/>
          <w:b/>
          <w:bCs/>
          <w:sz w:val="24"/>
        </w:rPr>
      </w:pPr>
    </w:p>
    <w:p w:rsidR="00B90FC2" w:rsidRDefault="00B90FC2" w:rsidP="00E259F0">
      <w:pPr>
        <w:pStyle w:val="HTMLPreformatted"/>
        <w:jc w:val="center"/>
        <w:rPr>
          <w:rFonts w:ascii="Times New Roman" w:hAnsi="Times New Roman"/>
          <w:b/>
          <w:bCs/>
          <w:sz w:val="24"/>
        </w:rPr>
      </w:pPr>
    </w:p>
    <w:p w:rsidR="00B90FC2" w:rsidRDefault="00B90FC2" w:rsidP="00E259F0">
      <w:pPr>
        <w:pStyle w:val="HTMLPreformatted"/>
        <w:jc w:val="center"/>
        <w:rPr>
          <w:rFonts w:ascii="Times New Roman" w:hAnsi="Times New Roman"/>
          <w:b/>
          <w:bCs/>
          <w:sz w:val="24"/>
        </w:rPr>
      </w:pPr>
    </w:p>
    <w:p w:rsidR="00B90FC2" w:rsidRDefault="00B90FC2" w:rsidP="00E259F0">
      <w:pPr>
        <w:pStyle w:val="HTMLPreformatted"/>
        <w:jc w:val="center"/>
        <w:rPr>
          <w:rFonts w:ascii="Times New Roman" w:hAnsi="Times New Roman"/>
          <w:b/>
          <w:bCs/>
          <w:sz w:val="24"/>
        </w:rPr>
      </w:pPr>
    </w:p>
    <w:p w:rsidR="00B90FC2" w:rsidRDefault="00B90FC2" w:rsidP="00E259F0">
      <w:pPr>
        <w:pStyle w:val="HTMLPreformatted"/>
        <w:jc w:val="center"/>
        <w:rPr>
          <w:rFonts w:ascii="Times New Roman" w:hAnsi="Times New Roman"/>
          <w:b/>
          <w:bCs/>
          <w:sz w:val="24"/>
        </w:rPr>
      </w:pPr>
    </w:p>
    <w:p w:rsidR="00B90FC2" w:rsidRDefault="00B90FC2" w:rsidP="00E259F0">
      <w:pPr>
        <w:pStyle w:val="HTMLPreformatted"/>
        <w:jc w:val="center"/>
        <w:rPr>
          <w:rFonts w:ascii="Times New Roman" w:hAnsi="Times New Roman"/>
          <w:b/>
          <w:bCs/>
          <w:sz w:val="24"/>
        </w:rPr>
      </w:pPr>
    </w:p>
    <w:p w:rsidR="00B90FC2" w:rsidRDefault="00B90FC2" w:rsidP="00B90FC2">
      <w:pPr>
        <w:pStyle w:val="Footer"/>
        <w:tabs>
          <w:tab w:val="left" w:pos="4320"/>
        </w:tabs>
        <w:spacing w:before="240"/>
        <w:rPr>
          <w:sz w:val="24"/>
          <w:szCs w:val="24"/>
        </w:rPr>
      </w:pPr>
      <w:r>
        <w:rPr>
          <w:sz w:val="24"/>
          <w:szCs w:val="24"/>
        </w:rPr>
        <w:tab/>
        <w:t>BRUCE J. WESTON</w:t>
      </w:r>
    </w:p>
    <w:p w:rsidR="00B90FC2" w:rsidRDefault="00B90FC2" w:rsidP="00B90FC2">
      <w:pPr>
        <w:tabs>
          <w:tab w:val="left" w:pos="4320"/>
        </w:tabs>
        <w:rPr>
          <w:szCs w:val="24"/>
        </w:rPr>
      </w:pPr>
      <w:r>
        <w:rPr>
          <w:szCs w:val="24"/>
        </w:rPr>
        <w:tab/>
        <w:t>OHIO CONSUMERS’ COUNSEL</w:t>
      </w:r>
    </w:p>
    <w:p w:rsidR="00B90FC2" w:rsidRDefault="00B90FC2" w:rsidP="00B90FC2">
      <w:pPr>
        <w:tabs>
          <w:tab w:val="left" w:pos="4320"/>
        </w:tabs>
        <w:rPr>
          <w:szCs w:val="24"/>
        </w:rPr>
      </w:pPr>
      <w:r>
        <w:rPr>
          <w:szCs w:val="24"/>
        </w:rPr>
        <w:tab/>
      </w:r>
    </w:p>
    <w:p w:rsidR="00B90FC2" w:rsidRDefault="00B90FC2" w:rsidP="00B90FC2">
      <w:pPr>
        <w:tabs>
          <w:tab w:val="left" w:pos="4320"/>
        </w:tabs>
        <w:rPr>
          <w:szCs w:val="24"/>
        </w:rPr>
      </w:pPr>
      <w:r>
        <w:rPr>
          <w:szCs w:val="24"/>
        </w:rPr>
        <w:tab/>
        <w:t>Jodi Bair, (0062921) Counsel of Record</w:t>
      </w:r>
    </w:p>
    <w:p w:rsidR="00B90FC2" w:rsidRDefault="00B90FC2" w:rsidP="00B90FC2">
      <w:pPr>
        <w:tabs>
          <w:tab w:val="left" w:pos="4320"/>
        </w:tabs>
        <w:rPr>
          <w:szCs w:val="24"/>
        </w:rPr>
      </w:pPr>
      <w:r>
        <w:rPr>
          <w:szCs w:val="24"/>
        </w:rPr>
        <w:tab/>
        <w:t>Assistant Consumers’ Counsel</w:t>
      </w:r>
    </w:p>
    <w:p w:rsidR="00B90FC2" w:rsidRDefault="00B90FC2" w:rsidP="00B90FC2">
      <w:r>
        <w:tab/>
      </w:r>
      <w:r>
        <w:tab/>
      </w:r>
      <w:r>
        <w:tab/>
      </w:r>
      <w:r>
        <w:tab/>
      </w:r>
      <w:r>
        <w:tab/>
      </w:r>
      <w:r>
        <w:tab/>
      </w:r>
    </w:p>
    <w:p w:rsidR="00B90FC2" w:rsidRDefault="00B90FC2" w:rsidP="00B90FC2">
      <w:pPr>
        <w:ind w:left="3600" w:firstLine="720"/>
        <w:rPr>
          <w:b/>
        </w:rPr>
      </w:pPr>
      <w:r>
        <w:rPr>
          <w:b/>
        </w:rPr>
        <w:t>Office of the Ohio Consumers’ Counsel</w:t>
      </w:r>
    </w:p>
    <w:p w:rsidR="00B90FC2" w:rsidRDefault="00B90FC2" w:rsidP="00B90FC2">
      <w:pPr>
        <w:ind w:left="4320"/>
      </w:pPr>
      <w:r>
        <w:t>10 West Broad Street, Suite 1800</w:t>
      </w:r>
    </w:p>
    <w:p w:rsidR="00B90FC2" w:rsidRDefault="00B90FC2" w:rsidP="00B90FC2">
      <w:pPr>
        <w:ind w:left="4320"/>
      </w:pPr>
      <w:r>
        <w:t>Columbus, Ohio 43215-3485</w:t>
      </w:r>
    </w:p>
    <w:p w:rsidR="00B90FC2" w:rsidRDefault="00B90FC2" w:rsidP="00B90FC2">
      <w:pPr>
        <w:autoSpaceDE w:val="0"/>
        <w:autoSpaceDN w:val="0"/>
        <w:adjustRightInd w:val="0"/>
        <w:ind w:left="3600" w:firstLine="720"/>
        <w:rPr>
          <w:szCs w:val="24"/>
        </w:rPr>
      </w:pPr>
      <w:r>
        <w:rPr>
          <w:szCs w:val="24"/>
        </w:rPr>
        <w:t>Telephone:  (Direct Bair) (614) 466-9559</w:t>
      </w:r>
    </w:p>
    <w:p w:rsidR="00B90FC2" w:rsidRDefault="00DE071B" w:rsidP="00B90FC2">
      <w:pPr>
        <w:autoSpaceDE w:val="0"/>
        <w:autoSpaceDN w:val="0"/>
        <w:adjustRightInd w:val="0"/>
        <w:ind w:left="3600" w:firstLine="720"/>
        <w:rPr>
          <w:rStyle w:val="Hyperlink"/>
          <w:szCs w:val="24"/>
        </w:rPr>
      </w:pPr>
      <w:hyperlink r:id="rId8" w:history="1">
        <w:r w:rsidR="00B90FC2" w:rsidRPr="00981169">
          <w:rPr>
            <w:rStyle w:val="Hyperlink"/>
            <w:szCs w:val="24"/>
          </w:rPr>
          <w:t>Jodi.bair@occ.ohio.gov</w:t>
        </w:r>
      </w:hyperlink>
    </w:p>
    <w:p w:rsidR="00B90FC2" w:rsidRPr="00C73D71" w:rsidRDefault="00B90FC2" w:rsidP="00B90FC2">
      <w:pPr>
        <w:autoSpaceDE w:val="0"/>
        <w:autoSpaceDN w:val="0"/>
        <w:adjustRightInd w:val="0"/>
        <w:rPr>
          <w:szCs w:val="24"/>
        </w:rPr>
      </w:pPr>
      <w:r>
        <w:rPr>
          <w:rStyle w:val="Hyperlink"/>
          <w:color w:val="auto"/>
          <w:szCs w:val="24"/>
          <w:u w:val="none"/>
        </w:rPr>
        <w:t xml:space="preserve">June </w:t>
      </w:r>
      <w:r w:rsidR="00164A93">
        <w:rPr>
          <w:rStyle w:val="Hyperlink"/>
          <w:color w:val="auto"/>
          <w:szCs w:val="24"/>
          <w:u w:val="none"/>
        </w:rPr>
        <w:t>10</w:t>
      </w:r>
      <w:r w:rsidR="003F2558">
        <w:rPr>
          <w:rStyle w:val="Hyperlink"/>
          <w:color w:val="auto"/>
          <w:szCs w:val="24"/>
          <w:u w:val="none"/>
        </w:rPr>
        <w:t xml:space="preserve">, </w:t>
      </w:r>
      <w:r>
        <w:rPr>
          <w:rStyle w:val="Hyperlink"/>
          <w:color w:val="auto"/>
          <w:szCs w:val="24"/>
          <w:u w:val="none"/>
        </w:rPr>
        <w:t>2015</w:t>
      </w:r>
      <w:r>
        <w:rPr>
          <w:rStyle w:val="Hyperlink"/>
          <w:color w:val="auto"/>
          <w:szCs w:val="24"/>
          <w:u w:val="none"/>
        </w:rPr>
        <w:tab/>
      </w:r>
      <w:r>
        <w:rPr>
          <w:rStyle w:val="Hyperlink"/>
          <w:color w:val="auto"/>
          <w:szCs w:val="24"/>
          <w:u w:val="none"/>
        </w:rPr>
        <w:tab/>
      </w:r>
      <w:r>
        <w:rPr>
          <w:rStyle w:val="Hyperlink"/>
          <w:color w:val="auto"/>
          <w:szCs w:val="24"/>
          <w:u w:val="none"/>
        </w:rPr>
        <w:tab/>
      </w:r>
      <w:r>
        <w:rPr>
          <w:rStyle w:val="Hyperlink"/>
          <w:color w:val="auto"/>
          <w:szCs w:val="24"/>
          <w:u w:val="none"/>
        </w:rPr>
        <w:tab/>
      </w:r>
      <w:r w:rsidR="00164A93">
        <w:rPr>
          <w:rStyle w:val="Hyperlink"/>
          <w:color w:val="auto"/>
          <w:szCs w:val="24"/>
          <w:u w:val="none"/>
        </w:rPr>
        <w:tab/>
      </w:r>
      <w:r w:rsidRPr="000D39A6">
        <w:rPr>
          <w:rStyle w:val="Hyperlink"/>
          <w:color w:val="auto"/>
          <w:szCs w:val="24"/>
          <w:u w:val="none"/>
        </w:rPr>
        <w:t>(will accept service via email)</w:t>
      </w:r>
    </w:p>
    <w:p w:rsidR="00B90FC2" w:rsidRDefault="00B90FC2" w:rsidP="00E259F0">
      <w:pPr>
        <w:pStyle w:val="HTMLPreformatted"/>
        <w:jc w:val="center"/>
        <w:rPr>
          <w:rFonts w:ascii="Times New Roman" w:hAnsi="Times New Roman"/>
          <w:b/>
          <w:bCs/>
          <w:sz w:val="24"/>
        </w:rPr>
        <w:sectPr w:rsidR="00B90FC2" w:rsidSect="00EC518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docGrid w:linePitch="360"/>
        </w:sectPr>
      </w:pPr>
    </w:p>
    <w:p w:rsidR="00E259F0" w:rsidRDefault="00E259F0" w:rsidP="00E259F0">
      <w:pPr>
        <w:pStyle w:val="HTMLPreformatted"/>
        <w:jc w:val="center"/>
        <w:rPr>
          <w:rFonts w:ascii="Times New Roman" w:hAnsi="Times New Roman"/>
          <w:b/>
          <w:bCs/>
          <w:sz w:val="24"/>
        </w:rPr>
      </w:pPr>
      <w:r>
        <w:rPr>
          <w:rFonts w:ascii="Times New Roman" w:hAnsi="Times New Roman"/>
          <w:b/>
          <w:bCs/>
          <w:sz w:val="24"/>
        </w:rPr>
        <w:lastRenderedPageBreak/>
        <w:t>BEFORE</w:t>
      </w:r>
    </w:p>
    <w:p w:rsidR="00E259F0" w:rsidRDefault="00E259F0" w:rsidP="00E259F0">
      <w:pPr>
        <w:pStyle w:val="HTMLPreformatted"/>
        <w:jc w:val="center"/>
        <w:rPr>
          <w:rFonts w:ascii="Times New Roman" w:hAnsi="Times New Roman"/>
          <w:sz w:val="24"/>
        </w:rPr>
      </w:pPr>
      <w:r>
        <w:rPr>
          <w:rFonts w:ascii="Times New Roman" w:hAnsi="Times New Roman"/>
          <w:b/>
          <w:bCs/>
          <w:sz w:val="24"/>
        </w:rPr>
        <w:t>THE PUBLIC UTILITIES COMMISSION OF OHIO</w:t>
      </w:r>
    </w:p>
    <w:p w:rsidR="00E259F0" w:rsidRDefault="00E259F0" w:rsidP="00E259F0">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E259F0" w:rsidTr="00DA5627">
        <w:trPr>
          <w:trHeight w:val="807"/>
        </w:trPr>
        <w:tc>
          <w:tcPr>
            <w:tcW w:w="4332" w:type="dxa"/>
            <w:hideMark/>
          </w:tcPr>
          <w:p w:rsidR="00E259F0" w:rsidRPr="00DF2887" w:rsidRDefault="00E259F0" w:rsidP="00C73D71">
            <w:pPr>
              <w:pStyle w:val="HTMLPreformatted"/>
              <w:rPr>
                <w:rFonts w:ascii="Times New Roman" w:hAnsi="Times New Roman" w:cs="Times New Roman"/>
                <w:sz w:val="24"/>
                <w:szCs w:val="24"/>
              </w:rPr>
            </w:pPr>
            <w:r>
              <w:rPr>
                <w:rFonts w:ascii="Times New Roman" w:hAnsi="Times New Roman" w:cs="Times New Roman"/>
                <w:sz w:val="24"/>
                <w:szCs w:val="24"/>
              </w:rPr>
              <w:t xml:space="preserve">In the Matter of the Application of </w:t>
            </w:r>
            <w:r w:rsidR="00E03E07">
              <w:rPr>
                <w:rFonts w:ascii="Times New Roman" w:hAnsi="Times New Roman" w:cs="Times New Roman"/>
                <w:sz w:val="24"/>
                <w:szCs w:val="24"/>
              </w:rPr>
              <w:t>Duke Energy Ohio, Inc. for A</w:t>
            </w:r>
            <w:r w:rsidR="00B54139">
              <w:rPr>
                <w:rFonts w:ascii="Times New Roman" w:hAnsi="Times New Roman" w:cs="Times New Roman"/>
                <w:sz w:val="24"/>
                <w:szCs w:val="24"/>
              </w:rPr>
              <w:t>pproval of Certain Accounting Authority.</w:t>
            </w:r>
          </w:p>
        </w:tc>
        <w:tc>
          <w:tcPr>
            <w:tcW w:w="360" w:type="dxa"/>
            <w:hideMark/>
          </w:tcPr>
          <w:p w:rsidR="00E259F0" w:rsidRPr="00DF2887" w:rsidRDefault="00E259F0" w:rsidP="00DA5627">
            <w:pPr>
              <w:pStyle w:val="HTMLPreformatted"/>
              <w:rPr>
                <w:rFonts w:ascii="Times New Roman" w:hAnsi="Times New Roman"/>
                <w:sz w:val="22"/>
              </w:rPr>
            </w:pPr>
            <w:r w:rsidRPr="00DF2887">
              <w:rPr>
                <w:rFonts w:ascii="Times New Roman" w:hAnsi="Times New Roman"/>
                <w:sz w:val="22"/>
              </w:rPr>
              <w:t>)</w:t>
            </w:r>
          </w:p>
          <w:p w:rsidR="00E259F0" w:rsidRPr="00DF2887" w:rsidRDefault="00E259F0" w:rsidP="00DA5627">
            <w:pPr>
              <w:pStyle w:val="HTMLPreformatted"/>
              <w:rPr>
                <w:rFonts w:ascii="Times New Roman" w:hAnsi="Times New Roman"/>
                <w:sz w:val="22"/>
              </w:rPr>
            </w:pPr>
            <w:r w:rsidRPr="00DF2887">
              <w:rPr>
                <w:rFonts w:ascii="Times New Roman" w:hAnsi="Times New Roman"/>
                <w:sz w:val="22"/>
              </w:rPr>
              <w:t>)</w:t>
            </w:r>
          </w:p>
          <w:p w:rsidR="00E259F0" w:rsidRPr="00DF2887" w:rsidRDefault="00E259F0" w:rsidP="00C73D71">
            <w:pPr>
              <w:pStyle w:val="HTMLPreformatted"/>
              <w:rPr>
                <w:rFonts w:ascii="Times New Roman" w:hAnsi="Times New Roman"/>
                <w:sz w:val="22"/>
              </w:rPr>
            </w:pPr>
            <w:r w:rsidRPr="00DF2887">
              <w:rPr>
                <w:rFonts w:ascii="Times New Roman" w:hAnsi="Times New Roman"/>
                <w:sz w:val="22"/>
              </w:rPr>
              <w:t>)</w:t>
            </w:r>
          </w:p>
        </w:tc>
        <w:tc>
          <w:tcPr>
            <w:tcW w:w="4400" w:type="dxa"/>
          </w:tcPr>
          <w:p w:rsidR="00E259F0" w:rsidRDefault="00E259F0" w:rsidP="00DA5627">
            <w:pPr>
              <w:pStyle w:val="HTMLPreformatted"/>
              <w:rPr>
                <w:rFonts w:ascii="Times New Roman" w:hAnsi="Times New Roman"/>
                <w:sz w:val="24"/>
              </w:rPr>
            </w:pPr>
          </w:p>
          <w:p w:rsidR="00E259F0" w:rsidRDefault="00E259F0" w:rsidP="00DA5627">
            <w:pPr>
              <w:pStyle w:val="HTMLPreformatted"/>
              <w:rPr>
                <w:rFonts w:ascii="Times New Roman" w:hAnsi="Times New Roman"/>
                <w:sz w:val="24"/>
              </w:rPr>
            </w:pPr>
            <w:r>
              <w:rPr>
                <w:rFonts w:ascii="Times New Roman" w:hAnsi="Times New Roman"/>
                <w:sz w:val="24"/>
              </w:rPr>
              <w:t>Case No. 1</w:t>
            </w:r>
            <w:r w:rsidR="00B54139">
              <w:rPr>
                <w:rFonts w:ascii="Times New Roman" w:hAnsi="Times New Roman"/>
                <w:sz w:val="24"/>
              </w:rPr>
              <w:t>5-</w:t>
            </w:r>
            <w:r>
              <w:rPr>
                <w:rFonts w:ascii="Times New Roman" w:hAnsi="Times New Roman"/>
                <w:sz w:val="24"/>
              </w:rPr>
              <w:t>0</w:t>
            </w:r>
            <w:r w:rsidR="00B54139">
              <w:rPr>
                <w:rFonts w:ascii="Times New Roman" w:hAnsi="Times New Roman"/>
                <w:sz w:val="24"/>
              </w:rPr>
              <w:t>855</w:t>
            </w:r>
            <w:r>
              <w:rPr>
                <w:rFonts w:ascii="Times New Roman" w:hAnsi="Times New Roman"/>
                <w:sz w:val="24"/>
              </w:rPr>
              <w:t>-EL-</w:t>
            </w:r>
            <w:r w:rsidR="00B54139">
              <w:rPr>
                <w:rFonts w:ascii="Times New Roman" w:hAnsi="Times New Roman"/>
                <w:sz w:val="24"/>
              </w:rPr>
              <w:t>AAM</w:t>
            </w:r>
          </w:p>
          <w:p w:rsidR="00E259F0" w:rsidRDefault="00E259F0" w:rsidP="00DA5627">
            <w:pPr>
              <w:pStyle w:val="HTMLPreformatted"/>
              <w:rPr>
                <w:rFonts w:ascii="Times New Roman" w:hAnsi="Times New Roman"/>
                <w:sz w:val="24"/>
              </w:rPr>
            </w:pPr>
          </w:p>
        </w:tc>
      </w:tr>
    </w:tbl>
    <w:p w:rsidR="00E259F0" w:rsidRDefault="00E259F0" w:rsidP="00E259F0">
      <w:pPr>
        <w:pStyle w:val="HTMLPreformatted"/>
        <w:rPr>
          <w:rFonts w:ascii="Times New Roman" w:hAnsi="Times New Roman"/>
          <w:sz w:val="24"/>
        </w:rPr>
      </w:pPr>
      <w:r>
        <w:rPr>
          <w:rFonts w:ascii="Times New Roman" w:hAnsi="Times New Roman"/>
          <w:sz w:val="24"/>
        </w:rPr>
        <w:tab/>
      </w:r>
    </w:p>
    <w:p w:rsidR="00E259F0" w:rsidRDefault="00E259F0" w:rsidP="00E259F0">
      <w:pPr>
        <w:pStyle w:val="HTMLPreformatted"/>
        <w:pBdr>
          <w:top w:val="single" w:sz="12" w:space="1" w:color="auto"/>
        </w:pBdr>
        <w:rPr>
          <w:rFonts w:ascii="Times New Roman" w:hAnsi="Times New Roman"/>
          <w:sz w:val="24"/>
        </w:rPr>
      </w:pPr>
    </w:p>
    <w:p w:rsidR="00E259F0" w:rsidRDefault="00E259F0" w:rsidP="00E259F0">
      <w:pPr>
        <w:jc w:val="center"/>
        <w:rPr>
          <w:b/>
          <w:bCs/>
        </w:rPr>
      </w:pPr>
      <w:r>
        <w:rPr>
          <w:b/>
          <w:bCs/>
        </w:rPr>
        <w:t>MOTION TO INTERVENE</w:t>
      </w:r>
    </w:p>
    <w:p w:rsidR="00E259F0" w:rsidRDefault="00E259F0" w:rsidP="00E259F0">
      <w:pPr>
        <w:jc w:val="center"/>
        <w:rPr>
          <w:b/>
          <w:bCs/>
        </w:rPr>
      </w:pPr>
      <w:r>
        <w:rPr>
          <w:b/>
          <w:bCs/>
        </w:rPr>
        <w:t xml:space="preserve">AND </w:t>
      </w:r>
    </w:p>
    <w:p w:rsidR="00E259F0" w:rsidRDefault="00E259F0" w:rsidP="00E259F0">
      <w:pPr>
        <w:jc w:val="center"/>
        <w:rPr>
          <w:b/>
          <w:bCs/>
        </w:rPr>
      </w:pPr>
      <w:r>
        <w:rPr>
          <w:b/>
          <w:bCs/>
        </w:rPr>
        <w:t>INITIAL COMMENTS</w:t>
      </w:r>
    </w:p>
    <w:p w:rsidR="00E259F0" w:rsidRDefault="00E259F0" w:rsidP="00E259F0">
      <w:pPr>
        <w:jc w:val="center"/>
        <w:rPr>
          <w:b/>
          <w:bCs/>
        </w:rPr>
      </w:pPr>
      <w:r>
        <w:rPr>
          <w:b/>
          <w:bCs/>
        </w:rPr>
        <w:t>BY</w:t>
      </w:r>
    </w:p>
    <w:p w:rsidR="00E259F0" w:rsidRDefault="00E259F0" w:rsidP="00E259F0">
      <w:pPr>
        <w:jc w:val="center"/>
        <w:rPr>
          <w:b/>
          <w:bCs/>
        </w:rPr>
      </w:pPr>
      <w:r>
        <w:rPr>
          <w:b/>
          <w:bCs/>
        </w:rPr>
        <w:t>THE OFFICE OF THE OHIO CONSUMERS’ COUNSEL</w:t>
      </w:r>
    </w:p>
    <w:p w:rsidR="00E259F0" w:rsidRDefault="00E259F0" w:rsidP="00E259F0">
      <w:pPr>
        <w:pBdr>
          <w:bottom w:val="single" w:sz="12" w:space="1" w:color="auto"/>
        </w:pBdr>
        <w:tabs>
          <w:tab w:val="left" w:pos="4320"/>
        </w:tabs>
      </w:pPr>
    </w:p>
    <w:p w:rsidR="00E259F0" w:rsidRDefault="00E259F0" w:rsidP="00E259F0">
      <w:pPr>
        <w:tabs>
          <w:tab w:val="left" w:pos="4320"/>
        </w:tabs>
      </w:pPr>
    </w:p>
    <w:p w:rsidR="00E259F0" w:rsidRDefault="00E259F0" w:rsidP="00E259F0">
      <w:pPr>
        <w:pStyle w:val="BodyTextIndent3"/>
        <w:widowControl w:val="0"/>
        <w:spacing w:line="480" w:lineRule="auto"/>
        <w:ind w:right="-312"/>
      </w:pPr>
      <w:r>
        <w:t>The Office of the Ohio Consumers’ Counsel (“OCC”) moves to intervene</w:t>
      </w:r>
      <w:r>
        <w:rPr>
          <w:rStyle w:val="FootnoteReference"/>
        </w:rPr>
        <w:footnoteReference w:id="1"/>
      </w:r>
      <w:r>
        <w:t xml:space="preserve"> in this case where </w:t>
      </w:r>
      <w:r w:rsidR="00B54139">
        <w:t>Duke Energy of Ohio, Inc. (“Duke</w:t>
      </w:r>
      <w:r>
        <w:t xml:space="preserve">” or “the Utility”) filed seeking </w:t>
      </w:r>
      <w:r w:rsidR="00B54139">
        <w:t>authority to defer expenses that its</w:t>
      </w:r>
      <w:r>
        <w:t xml:space="preserve"> approximately </w:t>
      </w:r>
      <w:r w:rsidR="00732374">
        <w:t>6</w:t>
      </w:r>
      <w:r w:rsidR="00E3347D">
        <w:t>15</w:t>
      </w:r>
      <w:r>
        <w:t xml:space="preserve">,000 residential utility customers </w:t>
      </w:r>
      <w:r w:rsidR="00B54139">
        <w:t>may have to pay</w:t>
      </w:r>
      <w:r>
        <w:t xml:space="preserve">. </w:t>
      </w:r>
    </w:p>
    <w:p w:rsidR="00E259F0" w:rsidRDefault="00B54139" w:rsidP="00E259F0">
      <w:pPr>
        <w:autoSpaceDE w:val="0"/>
        <w:autoSpaceDN w:val="0"/>
        <w:adjustRightInd w:val="0"/>
        <w:spacing w:line="480" w:lineRule="auto"/>
        <w:ind w:firstLine="720"/>
        <w:rPr>
          <w:szCs w:val="24"/>
        </w:rPr>
      </w:pPr>
      <w:r>
        <w:rPr>
          <w:szCs w:val="24"/>
        </w:rPr>
        <w:t>Duke</w:t>
      </w:r>
      <w:r w:rsidR="00E259F0">
        <w:rPr>
          <w:szCs w:val="24"/>
        </w:rPr>
        <w:t xml:space="preserve"> proposes to defer bill modification expenses of $</w:t>
      </w:r>
      <w:r>
        <w:rPr>
          <w:szCs w:val="24"/>
        </w:rPr>
        <w:t>922,848</w:t>
      </w:r>
      <w:r w:rsidR="00E259F0">
        <w:rPr>
          <w:szCs w:val="24"/>
        </w:rPr>
        <w:t>.</w:t>
      </w:r>
      <w:r w:rsidR="00E259F0">
        <w:rPr>
          <w:rStyle w:val="FootnoteReference"/>
          <w:szCs w:val="24"/>
        </w:rPr>
        <w:footnoteReference w:id="2"/>
      </w:r>
      <w:r>
        <w:rPr>
          <w:szCs w:val="24"/>
        </w:rPr>
        <w:t xml:space="preserve"> The Utility states that it must make bill format changes including provisions for the placement of supplier logos, include price-to-compare messages referencing the “Energy Choice Ohio” website</w:t>
      </w:r>
      <w:r w:rsidR="000704D4">
        <w:rPr>
          <w:szCs w:val="24"/>
        </w:rPr>
        <w:t>,</w:t>
      </w:r>
      <w:r>
        <w:rPr>
          <w:szCs w:val="24"/>
        </w:rPr>
        <w:t xml:space="preserve"> and refer to charges as “delivery” of “supply” as required by the Public Utilities Commission of Ohio (“PUCO”)</w:t>
      </w:r>
      <w:r w:rsidR="00E259F0">
        <w:rPr>
          <w:szCs w:val="24"/>
        </w:rPr>
        <w:t>.</w:t>
      </w:r>
      <w:r w:rsidR="0086565A">
        <w:rPr>
          <w:rStyle w:val="FootnoteReference"/>
          <w:szCs w:val="24"/>
        </w:rPr>
        <w:footnoteReference w:id="3"/>
      </w:r>
      <w:r w:rsidR="00E259F0">
        <w:rPr>
          <w:szCs w:val="24"/>
        </w:rPr>
        <w:t xml:space="preserve">   </w:t>
      </w:r>
    </w:p>
    <w:p w:rsidR="00E259F0" w:rsidRDefault="00E259F0" w:rsidP="00E259F0">
      <w:pPr>
        <w:autoSpaceDE w:val="0"/>
        <w:autoSpaceDN w:val="0"/>
        <w:adjustRightInd w:val="0"/>
        <w:spacing w:line="480" w:lineRule="auto"/>
        <w:ind w:firstLine="720"/>
        <w:rPr>
          <w:szCs w:val="24"/>
        </w:rPr>
      </w:pPr>
      <w:r>
        <w:rPr>
          <w:szCs w:val="24"/>
        </w:rPr>
        <w:t xml:space="preserve">The </w:t>
      </w:r>
      <w:r w:rsidR="000704D4">
        <w:rPr>
          <w:szCs w:val="24"/>
        </w:rPr>
        <w:t>deferral</w:t>
      </w:r>
      <w:r>
        <w:rPr>
          <w:szCs w:val="24"/>
        </w:rPr>
        <w:t xml:space="preserve">, as proposed by the Utility, may </w:t>
      </w:r>
      <w:r w:rsidR="00025FCE">
        <w:rPr>
          <w:szCs w:val="24"/>
        </w:rPr>
        <w:t>r</w:t>
      </w:r>
      <w:r>
        <w:rPr>
          <w:szCs w:val="24"/>
        </w:rPr>
        <w:t xml:space="preserve">esult in increased costs to all customers. </w:t>
      </w:r>
      <w:r>
        <w:t xml:space="preserve">The reasons the PUCO should grant OCC’s Motion are further set forth in the attached Memorandum in Support, which includes initial comments on </w:t>
      </w:r>
      <w:r w:rsidR="000704D4">
        <w:t>Duke’s</w:t>
      </w:r>
      <w:r>
        <w:t xml:space="preserve"> Application.</w:t>
      </w:r>
    </w:p>
    <w:p w:rsidR="00C73D71" w:rsidRDefault="00C73D71">
      <w:pPr>
        <w:spacing w:after="200" w:line="276" w:lineRule="auto"/>
        <w:rPr>
          <w:szCs w:val="24"/>
        </w:rPr>
      </w:pPr>
      <w:r>
        <w:rPr>
          <w:szCs w:val="24"/>
        </w:rPr>
        <w:br w:type="page"/>
      </w:r>
    </w:p>
    <w:p w:rsidR="00E259F0" w:rsidRDefault="00E259F0" w:rsidP="00E259F0">
      <w:pPr>
        <w:autoSpaceDE w:val="0"/>
        <w:autoSpaceDN w:val="0"/>
        <w:adjustRightInd w:val="0"/>
        <w:spacing w:line="480" w:lineRule="auto"/>
        <w:ind w:left="4320"/>
      </w:pPr>
      <w:r>
        <w:rPr>
          <w:szCs w:val="24"/>
        </w:rPr>
        <w:t>Respectfully submitted,</w:t>
      </w:r>
    </w:p>
    <w:p w:rsidR="00E259F0" w:rsidRDefault="00E259F0" w:rsidP="00E259F0">
      <w:pPr>
        <w:pStyle w:val="Footer"/>
        <w:tabs>
          <w:tab w:val="left" w:pos="4320"/>
        </w:tabs>
        <w:spacing w:before="240"/>
        <w:rPr>
          <w:sz w:val="24"/>
          <w:szCs w:val="24"/>
        </w:rPr>
      </w:pPr>
      <w:r>
        <w:rPr>
          <w:sz w:val="24"/>
          <w:szCs w:val="24"/>
        </w:rPr>
        <w:tab/>
        <w:t>BRUCE J. WESTON</w:t>
      </w:r>
    </w:p>
    <w:p w:rsidR="00E259F0" w:rsidRDefault="00E259F0" w:rsidP="00E259F0">
      <w:pPr>
        <w:tabs>
          <w:tab w:val="left" w:pos="4320"/>
        </w:tabs>
        <w:rPr>
          <w:szCs w:val="24"/>
        </w:rPr>
      </w:pPr>
      <w:r>
        <w:rPr>
          <w:szCs w:val="24"/>
        </w:rPr>
        <w:tab/>
        <w:t>OHIO CONSUMERS’ COUNSEL</w:t>
      </w:r>
    </w:p>
    <w:p w:rsidR="00E259F0" w:rsidRDefault="00E259F0" w:rsidP="00E259F0">
      <w:pPr>
        <w:tabs>
          <w:tab w:val="left" w:pos="4320"/>
        </w:tabs>
        <w:rPr>
          <w:szCs w:val="24"/>
        </w:rPr>
      </w:pPr>
      <w:r>
        <w:rPr>
          <w:szCs w:val="24"/>
        </w:rPr>
        <w:tab/>
      </w:r>
    </w:p>
    <w:p w:rsidR="00E259F0" w:rsidRDefault="00E259F0" w:rsidP="00E259F0">
      <w:pPr>
        <w:tabs>
          <w:tab w:val="left" w:pos="4320"/>
        </w:tabs>
        <w:rPr>
          <w:szCs w:val="24"/>
        </w:rPr>
      </w:pPr>
      <w:r>
        <w:rPr>
          <w:szCs w:val="24"/>
        </w:rPr>
        <w:tab/>
      </w:r>
      <w:r>
        <w:rPr>
          <w:i/>
          <w:szCs w:val="24"/>
          <w:u w:val="single"/>
        </w:rPr>
        <w:t xml:space="preserve">/s/ </w:t>
      </w:r>
      <w:r w:rsidR="000704D4">
        <w:rPr>
          <w:i/>
          <w:szCs w:val="24"/>
          <w:u w:val="single"/>
        </w:rPr>
        <w:t>Jodi Bair</w:t>
      </w:r>
      <w:r>
        <w:rPr>
          <w:szCs w:val="24"/>
        </w:rPr>
        <w:t>____________________</w:t>
      </w:r>
    </w:p>
    <w:p w:rsidR="00E259F0" w:rsidRDefault="00E259F0" w:rsidP="00E259F0">
      <w:pPr>
        <w:tabs>
          <w:tab w:val="left" w:pos="4320"/>
        </w:tabs>
        <w:rPr>
          <w:szCs w:val="24"/>
        </w:rPr>
      </w:pPr>
      <w:r>
        <w:rPr>
          <w:szCs w:val="24"/>
        </w:rPr>
        <w:tab/>
      </w:r>
      <w:r w:rsidR="000704D4">
        <w:rPr>
          <w:szCs w:val="24"/>
        </w:rPr>
        <w:t>Jodi Bair</w:t>
      </w:r>
      <w:r>
        <w:rPr>
          <w:szCs w:val="24"/>
        </w:rPr>
        <w:t>, (00</w:t>
      </w:r>
      <w:r w:rsidR="000704D4">
        <w:rPr>
          <w:szCs w:val="24"/>
        </w:rPr>
        <w:t>62921</w:t>
      </w:r>
      <w:r>
        <w:rPr>
          <w:szCs w:val="24"/>
        </w:rPr>
        <w:t>) Counsel of Record</w:t>
      </w:r>
    </w:p>
    <w:p w:rsidR="00E259F0" w:rsidRDefault="00E259F0" w:rsidP="00E259F0">
      <w:pPr>
        <w:tabs>
          <w:tab w:val="left" w:pos="4320"/>
        </w:tabs>
        <w:rPr>
          <w:szCs w:val="24"/>
        </w:rPr>
      </w:pPr>
      <w:r>
        <w:rPr>
          <w:szCs w:val="24"/>
        </w:rPr>
        <w:tab/>
        <w:t>Assistant Consumers’ Counsel</w:t>
      </w:r>
    </w:p>
    <w:p w:rsidR="00E259F0" w:rsidRDefault="00E259F0" w:rsidP="00E259F0">
      <w:r>
        <w:tab/>
      </w:r>
      <w:r>
        <w:tab/>
      </w:r>
      <w:r>
        <w:tab/>
      </w:r>
      <w:r>
        <w:tab/>
      </w:r>
      <w:r>
        <w:tab/>
      </w:r>
      <w:r>
        <w:tab/>
      </w:r>
    </w:p>
    <w:p w:rsidR="00E259F0" w:rsidRDefault="00E259F0" w:rsidP="00E259F0">
      <w:pPr>
        <w:ind w:left="3600" w:firstLine="720"/>
        <w:rPr>
          <w:b/>
        </w:rPr>
      </w:pPr>
      <w:r>
        <w:rPr>
          <w:b/>
        </w:rPr>
        <w:t>Office of the Ohio Consumers’ Counsel</w:t>
      </w:r>
    </w:p>
    <w:p w:rsidR="00E259F0" w:rsidRDefault="00E259F0" w:rsidP="00E259F0">
      <w:pPr>
        <w:ind w:left="4320"/>
      </w:pPr>
      <w:r>
        <w:t>10 West Broad Street, Suite 1800</w:t>
      </w:r>
    </w:p>
    <w:p w:rsidR="00E259F0" w:rsidRDefault="00E259F0" w:rsidP="00E259F0">
      <w:pPr>
        <w:ind w:left="4320"/>
      </w:pPr>
      <w:r>
        <w:t>Columbus, Ohio 43215-3485</w:t>
      </w:r>
    </w:p>
    <w:p w:rsidR="00E259F0" w:rsidRDefault="00E259F0" w:rsidP="00E259F0">
      <w:pPr>
        <w:autoSpaceDE w:val="0"/>
        <w:autoSpaceDN w:val="0"/>
        <w:adjustRightInd w:val="0"/>
        <w:ind w:left="3600" w:firstLine="720"/>
        <w:rPr>
          <w:szCs w:val="24"/>
        </w:rPr>
      </w:pPr>
      <w:r>
        <w:rPr>
          <w:szCs w:val="24"/>
        </w:rPr>
        <w:t>Telephone</w:t>
      </w:r>
      <w:r w:rsidR="00C73D71">
        <w:rPr>
          <w:szCs w:val="24"/>
        </w:rPr>
        <w:t xml:space="preserve">:  </w:t>
      </w:r>
      <w:r w:rsidR="004C5CEC">
        <w:rPr>
          <w:szCs w:val="24"/>
        </w:rPr>
        <w:t xml:space="preserve">(Direct </w:t>
      </w:r>
      <w:r w:rsidR="00C73D71">
        <w:rPr>
          <w:szCs w:val="24"/>
        </w:rPr>
        <w:t>Bair</w:t>
      </w:r>
      <w:r w:rsidR="004C5CEC">
        <w:rPr>
          <w:szCs w:val="24"/>
        </w:rPr>
        <w:t>)</w:t>
      </w:r>
      <w:r>
        <w:rPr>
          <w:szCs w:val="24"/>
        </w:rPr>
        <w:t xml:space="preserve"> (614) 466-9</w:t>
      </w:r>
      <w:r w:rsidR="00C73D71">
        <w:rPr>
          <w:szCs w:val="24"/>
        </w:rPr>
        <w:t>559</w:t>
      </w:r>
    </w:p>
    <w:p w:rsidR="00E259F0" w:rsidRDefault="00DE071B" w:rsidP="00E259F0">
      <w:pPr>
        <w:autoSpaceDE w:val="0"/>
        <w:autoSpaceDN w:val="0"/>
        <w:adjustRightInd w:val="0"/>
        <w:ind w:left="3600" w:firstLine="720"/>
        <w:rPr>
          <w:rStyle w:val="Hyperlink"/>
          <w:szCs w:val="24"/>
        </w:rPr>
      </w:pPr>
      <w:hyperlink r:id="rId15" w:history="1">
        <w:r w:rsidR="000704D4" w:rsidRPr="00981169">
          <w:rPr>
            <w:rStyle w:val="Hyperlink"/>
            <w:szCs w:val="24"/>
          </w:rPr>
          <w:t>Jodi.bair@occ.ohio.gov</w:t>
        </w:r>
      </w:hyperlink>
    </w:p>
    <w:p w:rsidR="00C73D71" w:rsidRPr="000D39A6" w:rsidRDefault="00C73D71" w:rsidP="00E259F0">
      <w:pPr>
        <w:autoSpaceDE w:val="0"/>
        <w:autoSpaceDN w:val="0"/>
        <w:adjustRightInd w:val="0"/>
        <w:ind w:left="3600" w:firstLine="720"/>
        <w:rPr>
          <w:szCs w:val="24"/>
        </w:rPr>
      </w:pPr>
      <w:r w:rsidRPr="000D39A6">
        <w:rPr>
          <w:rStyle w:val="Hyperlink"/>
          <w:color w:val="auto"/>
          <w:szCs w:val="24"/>
          <w:u w:val="none"/>
        </w:rPr>
        <w:t>(will accept service via email)</w:t>
      </w:r>
    </w:p>
    <w:p w:rsidR="00E259F0" w:rsidRDefault="00E259F0" w:rsidP="00E259F0">
      <w:pPr>
        <w:autoSpaceDE w:val="0"/>
        <w:autoSpaceDN w:val="0"/>
        <w:adjustRightInd w:val="0"/>
        <w:ind w:left="3600" w:firstLine="720"/>
        <w:rPr>
          <w:szCs w:val="24"/>
        </w:rPr>
      </w:pPr>
    </w:p>
    <w:p w:rsidR="00E259F0" w:rsidRDefault="00E259F0" w:rsidP="00E259F0">
      <w:pPr>
        <w:autoSpaceDE w:val="0"/>
        <w:autoSpaceDN w:val="0"/>
        <w:adjustRightInd w:val="0"/>
        <w:ind w:left="3600" w:firstLine="720"/>
        <w:rPr>
          <w:szCs w:val="24"/>
        </w:rPr>
      </w:pPr>
    </w:p>
    <w:p w:rsidR="00E259F0" w:rsidRDefault="00E259F0" w:rsidP="00E259F0">
      <w:pPr>
        <w:autoSpaceDE w:val="0"/>
        <w:autoSpaceDN w:val="0"/>
        <w:adjustRightInd w:val="0"/>
        <w:ind w:left="3600" w:firstLine="720"/>
        <w:rPr>
          <w:szCs w:val="24"/>
        </w:rPr>
      </w:pPr>
    </w:p>
    <w:p w:rsidR="00B90FC2" w:rsidRDefault="00B90FC2" w:rsidP="00E259F0">
      <w:pPr>
        <w:pStyle w:val="HTMLPreformatted"/>
        <w:jc w:val="center"/>
        <w:rPr>
          <w:rFonts w:ascii="Times New Roman" w:hAnsi="Times New Roman"/>
          <w:b/>
          <w:bCs/>
          <w:sz w:val="24"/>
        </w:rPr>
        <w:sectPr w:rsidR="00B90FC2" w:rsidSect="00EC5186">
          <w:pgSz w:w="12240" w:h="15840"/>
          <w:pgMar w:top="1440" w:right="1800" w:bottom="1440" w:left="1800" w:header="720" w:footer="720" w:gutter="0"/>
          <w:pgNumType w:start="1"/>
          <w:cols w:space="720"/>
          <w:docGrid w:linePitch="360"/>
        </w:sectPr>
      </w:pPr>
    </w:p>
    <w:p w:rsidR="00C73D71" w:rsidRDefault="00B90FC2" w:rsidP="00B90FC2">
      <w:pPr>
        <w:pStyle w:val="HTMLPreformatted"/>
        <w:jc w:val="center"/>
        <w:rPr>
          <w:rFonts w:ascii="Times New Roman" w:hAnsi="Times New Roman"/>
          <w:b/>
          <w:bCs/>
          <w:sz w:val="24"/>
        </w:rPr>
      </w:pPr>
      <w:r>
        <w:rPr>
          <w:rFonts w:ascii="Times New Roman" w:hAnsi="Times New Roman"/>
          <w:b/>
          <w:bCs/>
          <w:sz w:val="24"/>
        </w:rPr>
        <w:t>TABLE OF CONTENTS</w:t>
      </w:r>
    </w:p>
    <w:p w:rsidR="00B90FC2" w:rsidRDefault="00B90FC2" w:rsidP="00B90FC2">
      <w:pPr>
        <w:pStyle w:val="HTMLPreformatted"/>
        <w:jc w:val="center"/>
        <w:rPr>
          <w:rFonts w:ascii="Times New Roman" w:hAnsi="Times New Roman"/>
          <w:b/>
          <w:bCs/>
          <w:sz w:val="24"/>
        </w:rPr>
      </w:pPr>
    </w:p>
    <w:p w:rsidR="00B90FC2" w:rsidRDefault="00B90FC2" w:rsidP="00B90FC2">
      <w:pPr>
        <w:pStyle w:val="HTMLPreformatted"/>
        <w:jc w:val="center"/>
        <w:rPr>
          <w:rFonts w:ascii="Times New Roman" w:hAnsi="Times New Roman"/>
          <w:b/>
          <w:bCs/>
          <w:sz w:val="24"/>
        </w:rPr>
      </w:pPr>
    </w:p>
    <w:p w:rsidR="00B90FC2" w:rsidRDefault="00B90FC2" w:rsidP="00B90FC2">
      <w:pPr>
        <w:pStyle w:val="HTMLPreformatted"/>
        <w:jc w:val="center"/>
        <w:rPr>
          <w:rFonts w:ascii="Times New Roman" w:hAnsi="Times New Roman"/>
          <w:b/>
          <w:bCs/>
          <w:sz w:val="24"/>
        </w:rPr>
      </w:pP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t xml:space="preserve">    </w:t>
      </w:r>
      <w:r w:rsidR="00BC2E96">
        <w:rPr>
          <w:rFonts w:ascii="Times New Roman" w:hAnsi="Times New Roman"/>
          <w:b/>
          <w:bCs/>
          <w:sz w:val="24"/>
        </w:rPr>
        <w:t xml:space="preserve">      </w:t>
      </w:r>
      <w:r>
        <w:rPr>
          <w:rFonts w:ascii="Times New Roman" w:hAnsi="Times New Roman"/>
          <w:b/>
          <w:bCs/>
          <w:sz w:val="24"/>
        </w:rPr>
        <w:t>PAGE</w:t>
      </w:r>
    </w:p>
    <w:p w:rsidR="00B90FC2" w:rsidRDefault="00B90FC2" w:rsidP="00B90FC2">
      <w:pPr>
        <w:pStyle w:val="HTMLPreformatted"/>
        <w:jc w:val="center"/>
        <w:rPr>
          <w:rFonts w:ascii="Times New Roman" w:hAnsi="Times New Roman"/>
          <w:b/>
          <w:bCs/>
          <w:sz w:val="24"/>
        </w:rPr>
      </w:pPr>
    </w:p>
    <w:p w:rsidR="00031C2C" w:rsidRDefault="00031C2C">
      <w:pPr>
        <w:pStyle w:val="TOC1"/>
        <w:rPr>
          <w:rFonts w:asciiTheme="minorHAnsi" w:eastAsiaTheme="minorEastAsia" w:hAnsiTheme="minorHAnsi" w:cstheme="minorBidi"/>
          <w:caps w:val="0"/>
          <w:noProof/>
          <w:sz w:val="22"/>
          <w:szCs w:val="22"/>
        </w:rPr>
      </w:pPr>
      <w:r>
        <w:rPr>
          <w:b/>
          <w:bCs/>
          <w:caps w:val="0"/>
        </w:rPr>
        <w:fldChar w:fldCharType="begin"/>
      </w:r>
      <w:r>
        <w:rPr>
          <w:b/>
          <w:bCs/>
          <w:caps w:val="0"/>
        </w:rPr>
        <w:instrText xml:space="preserve"> TOC \o "1-1" \h \z \u </w:instrText>
      </w:r>
      <w:r>
        <w:rPr>
          <w:b/>
          <w:bCs/>
          <w:caps w:val="0"/>
        </w:rPr>
        <w:fldChar w:fldCharType="separate"/>
      </w:r>
      <w:hyperlink w:anchor="_Toc421716322" w:history="1">
        <w:r w:rsidRPr="00FF0602">
          <w:rPr>
            <w:rStyle w:val="Hyperlink"/>
            <w:noProof/>
          </w:rPr>
          <w:t>I.</w:t>
        </w:r>
        <w:r>
          <w:rPr>
            <w:rFonts w:asciiTheme="minorHAnsi" w:eastAsiaTheme="minorEastAsia" w:hAnsiTheme="minorHAnsi" w:cstheme="minorBidi"/>
            <w:caps w:val="0"/>
            <w:noProof/>
            <w:sz w:val="22"/>
            <w:szCs w:val="22"/>
          </w:rPr>
          <w:tab/>
        </w:r>
        <w:r w:rsidRPr="00FF0602">
          <w:rPr>
            <w:rStyle w:val="Hyperlink"/>
            <w:noProof/>
          </w:rPr>
          <w:t>BACKGROUND</w:t>
        </w:r>
        <w:r>
          <w:rPr>
            <w:noProof/>
            <w:webHidden/>
          </w:rPr>
          <w:tab/>
        </w:r>
        <w:r>
          <w:rPr>
            <w:noProof/>
            <w:webHidden/>
          </w:rPr>
          <w:fldChar w:fldCharType="begin"/>
        </w:r>
        <w:r>
          <w:rPr>
            <w:noProof/>
            <w:webHidden/>
          </w:rPr>
          <w:instrText xml:space="preserve"> PAGEREF _Toc421716322 \h </w:instrText>
        </w:r>
        <w:r>
          <w:rPr>
            <w:noProof/>
            <w:webHidden/>
          </w:rPr>
        </w:r>
        <w:r>
          <w:rPr>
            <w:noProof/>
            <w:webHidden/>
          </w:rPr>
          <w:fldChar w:fldCharType="separate"/>
        </w:r>
        <w:r w:rsidR="000C6019">
          <w:rPr>
            <w:noProof/>
            <w:webHidden/>
          </w:rPr>
          <w:t>1</w:t>
        </w:r>
        <w:r>
          <w:rPr>
            <w:noProof/>
            <w:webHidden/>
          </w:rPr>
          <w:fldChar w:fldCharType="end"/>
        </w:r>
      </w:hyperlink>
    </w:p>
    <w:p w:rsidR="00031C2C" w:rsidRDefault="00DE071B">
      <w:pPr>
        <w:pStyle w:val="TOC1"/>
        <w:rPr>
          <w:rFonts w:asciiTheme="minorHAnsi" w:eastAsiaTheme="minorEastAsia" w:hAnsiTheme="minorHAnsi" w:cstheme="minorBidi"/>
          <w:caps w:val="0"/>
          <w:noProof/>
          <w:sz w:val="22"/>
          <w:szCs w:val="22"/>
        </w:rPr>
      </w:pPr>
      <w:hyperlink w:anchor="_Toc421716323" w:history="1">
        <w:r w:rsidR="00031C2C" w:rsidRPr="00FF0602">
          <w:rPr>
            <w:rStyle w:val="Hyperlink"/>
            <w:noProof/>
          </w:rPr>
          <w:t>ii.</w:t>
        </w:r>
        <w:r w:rsidR="00031C2C">
          <w:rPr>
            <w:rFonts w:asciiTheme="minorHAnsi" w:eastAsiaTheme="minorEastAsia" w:hAnsiTheme="minorHAnsi" w:cstheme="minorBidi"/>
            <w:caps w:val="0"/>
            <w:noProof/>
            <w:sz w:val="22"/>
            <w:szCs w:val="22"/>
          </w:rPr>
          <w:tab/>
        </w:r>
        <w:r w:rsidR="00031C2C" w:rsidRPr="00FF0602">
          <w:rPr>
            <w:rStyle w:val="Hyperlink"/>
            <w:noProof/>
          </w:rPr>
          <w:t>MEMORANDUM IN SUPPORT OF MOTION TO INTERVENE</w:t>
        </w:r>
        <w:r w:rsidR="00031C2C">
          <w:rPr>
            <w:noProof/>
            <w:webHidden/>
          </w:rPr>
          <w:tab/>
        </w:r>
        <w:r w:rsidR="00031C2C">
          <w:rPr>
            <w:noProof/>
            <w:webHidden/>
          </w:rPr>
          <w:fldChar w:fldCharType="begin"/>
        </w:r>
        <w:r w:rsidR="00031C2C">
          <w:rPr>
            <w:noProof/>
            <w:webHidden/>
          </w:rPr>
          <w:instrText xml:space="preserve"> PAGEREF _Toc421716323 \h </w:instrText>
        </w:r>
        <w:r w:rsidR="00031C2C">
          <w:rPr>
            <w:noProof/>
            <w:webHidden/>
          </w:rPr>
        </w:r>
        <w:r w:rsidR="00031C2C">
          <w:rPr>
            <w:noProof/>
            <w:webHidden/>
          </w:rPr>
          <w:fldChar w:fldCharType="separate"/>
        </w:r>
        <w:r w:rsidR="000C6019">
          <w:rPr>
            <w:noProof/>
            <w:webHidden/>
          </w:rPr>
          <w:t>3</w:t>
        </w:r>
        <w:r w:rsidR="00031C2C">
          <w:rPr>
            <w:noProof/>
            <w:webHidden/>
          </w:rPr>
          <w:fldChar w:fldCharType="end"/>
        </w:r>
      </w:hyperlink>
    </w:p>
    <w:p w:rsidR="00031C2C" w:rsidRDefault="00DE071B">
      <w:pPr>
        <w:pStyle w:val="TOC1"/>
        <w:rPr>
          <w:rFonts w:asciiTheme="minorHAnsi" w:eastAsiaTheme="minorEastAsia" w:hAnsiTheme="minorHAnsi" w:cstheme="minorBidi"/>
          <w:caps w:val="0"/>
          <w:noProof/>
          <w:sz w:val="22"/>
          <w:szCs w:val="22"/>
        </w:rPr>
      </w:pPr>
      <w:hyperlink w:anchor="_Toc421716324" w:history="1">
        <w:r w:rsidR="00031C2C" w:rsidRPr="00FF0602">
          <w:rPr>
            <w:rStyle w:val="Hyperlink"/>
            <w:noProof/>
          </w:rPr>
          <w:t>iii.</w:t>
        </w:r>
        <w:r w:rsidR="00031C2C">
          <w:rPr>
            <w:rFonts w:asciiTheme="minorHAnsi" w:eastAsiaTheme="minorEastAsia" w:hAnsiTheme="minorHAnsi" w:cstheme="minorBidi"/>
            <w:caps w:val="0"/>
            <w:noProof/>
            <w:sz w:val="22"/>
            <w:szCs w:val="22"/>
          </w:rPr>
          <w:tab/>
        </w:r>
        <w:r w:rsidR="00031C2C" w:rsidRPr="00FF0602">
          <w:rPr>
            <w:rStyle w:val="Hyperlink"/>
            <w:noProof/>
          </w:rPr>
          <w:t>INITIAL COMMENTS</w:t>
        </w:r>
        <w:r w:rsidR="00031C2C">
          <w:rPr>
            <w:noProof/>
            <w:webHidden/>
          </w:rPr>
          <w:tab/>
        </w:r>
        <w:r w:rsidR="00031C2C">
          <w:rPr>
            <w:noProof/>
            <w:webHidden/>
          </w:rPr>
          <w:fldChar w:fldCharType="begin"/>
        </w:r>
        <w:r w:rsidR="00031C2C">
          <w:rPr>
            <w:noProof/>
            <w:webHidden/>
          </w:rPr>
          <w:instrText xml:space="preserve"> PAGEREF _Toc421716324 \h </w:instrText>
        </w:r>
        <w:r w:rsidR="00031C2C">
          <w:rPr>
            <w:noProof/>
            <w:webHidden/>
          </w:rPr>
        </w:r>
        <w:r w:rsidR="00031C2C">
          <w:rPr>
            <w:noProof/>
            <w:webHidden/>
          </w:rPr>
          <w:fldChar w:fldCharType="separate"/>
        </w:r>
        <w:r w:rsidR="000C6019">
          <w:rPr>
            <w:noProof/>
            <w:webHidden/>
          </w:rPr>
          <w:t>5</w:t>
        </w:r>
        <w:r w:rsidR="00031C2C">
          <w:rPr>
            <w:noProof/>
            <w:webHidden/>
          </w:rPr>
          <w:fldChar w:fldCharType="end"/>
        </w:r>
      </w:hyperlink>
    </w:p>
    <w:p w:rsidR="00031C2C" w:rsidRDefault="00DE071B">
      <w:pPr>
        <w:pStyle w:val="TOC1"/>
        <w:rPr>
          <w:rFonts w:asciiTheme="minorHAnsi" w:eastAsiaTheme="minorEastAsia" w:hAnsiTheme="minorHAnsi" w:cstheme="minorBidi"/>
          <w:caps w:val="0"/>
          <w:noProof/>
          <w:sz w:val="22"/>
          <w:szCs w:val="22"/>
        </w:rPr>
      </w:pPr>
      <w:hyperlink w:anchor="_Toc421716325" w:history="1">
        <w:r w:rsidR="00031C2C" w:rsidRPr="00FF0602">
          <w:rPr>
            <w:rStyle w:val="Hyperlink"/>
            <w:noProof/>
          </w:rPr>
          <w:t>IV.</w:t>
        </w:r>
        <w:r w:rsidR="00031C2C">
          <w:rPr>
            <w:rFonts w:asciiTheme="minorHAnsi" w:eastAsiaTheme="minorEastAsia" w:hAnsiTheme="minorHAnsi" w:cstheme="minorBidi"/>
            <w:caps w:val="0"/>
            <w:noProof/>
            <w:sz w:val="22"/>
            <w:szCs w:val="22"/>
          </w:rPr>
          <w:tab/>
        </w:r>
        <w:r w:rsidR="00031C2C" w:rsidRPr="00FF0602">
          <w:rPr>
            <w:rStyle w:val="Hyperlink"/>
            <w:noProof/>
          </w:rPr>
          <w:t>CONCLUSION</w:t>
        </w:r>
        <w:r w:rsidR="00031C2C">
          <w:rPr>
            <w:noProof/>
            <w:webHidden/>
          </w:rPr>
          <w:tab/>
        </w:r>
        <w:r w:rsidR="00031C2C">
          <w:rPr>
            <w:noProof/>
            <w:webHidden/>
          </w:rPr>
          <w:fldChar w:fldCharType="begin"/>
        </w:r>
        <w:r w:rsidR="00031C2C">
          <w:rPr>
            <w:noProof/>
            <w:webHidden/>
          </w:rPr>
          <w:instrText xml:space="preserve"> PAGEREF _Toc421716325 \h </w:instrText>
        </w:r>
        <w:r w:rsidR="00031C2C">
          <w:rPr>
            <w:noProof/>
            <w:webHidden/>
          </w:rPr>
        </w:r>
        <w:r w:rsidR="00031C2C">
          <w:rPr>
            <w:noProof/>
            <w:webHidden/>
          </w:rPr>
          <w:fldChar w:fldCharType="separate"/>
        </w:r>
        <w:r w:rsidR="000C6019">
          <w:rPr>
            <w:noProof/>
            <w:webHidden/>
          </w:rPr>
          <w:t>8</w:t>
        </w:r>
        <w:r w:rsidR="00031C2C">
          <w:rPr>
            <w:noProof/>
            <w:webHidden/>
          </w:rPr>
          <w:fldChar w:fldCharType="end"/>
        </w:r>
      </w:hyperlink>
    </w:p>
    <w:p w:rsidR="00B90FC2" w:rsidRDefault="00031C2C" w:rsidP="00B90FC2">
      <w:pPr>
        <w:pStyle w:val="HTMLPreformatted"/>
        <w:jc w:val="center"/>
        <w:rPr>
          <w:rFonts w:ascii="Times New Roman" w:hAnsi="Times New Roman"/>
          <w:b/>
          <w:bCs/>
          <w:sz w:val="24"/>
        </w:rPr>
      </w:pPr>
      <w:r>
        <w:rPr>
          <w:rFonts w:ascii="Times New Roman" w:eastAsia="Times New Roman" w:hAnsi="Times New Roman" w:cs="Times New Roman"/>
          <w:b/>
          <w:bCs/>
          <w:caps/>
          <w:sz w:val="24"/>
        </w:rPr>
        <w:fldChar w:fldCharType="end"/>
      </w:r>
    </w:p>
    <w:p w:rsidR="00B90FC2" w:rsidRDefault="00B90FC2" w:rsidP="00B90FC2">
      <w:pPr>
        <w:pStyle w:val="HTMLPreformatted"/>
        <w:jc w:val="center"/>
        <w:rPr>
          <w:rFonts w:ascii="Times New Roman" w:hAnsi="Times New Roman"/>
          <w:b/>
          <w:bCs/>
          <w:sz w:val="24"/>
        </w:rPr>
        <w:sectPr w:rsidR="00B90FC2" w:rsidSect="00B90FC2">
          <w:headerReference w:type="default" r:id="rId16"/>
          <w:footerReference w:type="default" r:id="rId17"/>
          <w:pgSz w:w="12240" w:h="15840"/>
          <w:pgMar w:top="1440" w:right="1800" w:bottom="1440" w:left="1800" w:header="720" w:footer="720" w:gutter="0"/>
          <w:pgNumType w:fmt="lowerRoman" w:start="1"/>
          <w:cols w:space="720"/>
          <w:docGrid w:linePitch="360"/>
        </w:sectPr>
      </w:pPr>
    </w:p>
    <w:p w:rsidR="00E259F0" w:rsidRDefault="00E259F0" w:rsidP="00E259F0">
      <w:pPr>
        <w:pStyle w:val="HTMLPreformatted"/>
        <w:jc w:val="center"/>
        <w:rPr>
          <w:rFonts w:ascii="Times New Roman" w:hAnsi="Times New Roman"/>
          <w:b/>
          <w:bCs/>
          <w:sz w:val="24"/>
        </w:rPr>
      </w:pPr>
      <w:r>
        <w:rPr>
          <w:rFonts w:ascii="Times New Roman" w:hAnsi="Times New Roman"/>
          <w:b/>
          <w:bCs/>
          <w:sz w:val="24"/>
        </w:rPr>
        <w:t>BEFORE</w:t>
      </w:r>
    </w:p>
    <w:p w:rsidR="00E259F0" w:rsidRDefault="00E259F0" w:rsidP="00E259F0">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E259F0" w:rsidRDefault="00E259F0" w:rsidP="00E259F0">
      <w:pPr>
        <w:pStyle w:val="HTMLPreformatted"/>
        <w:jc w:val="center"/>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E259F0" w:rsidTr="00DA5627">
        <w:trPr>
          <w:trHeight w:val="807"/>
        </w:trPr>
        <w:tc>
          <w:tcPr>
            <w:tcW w:w="4332" w:type="dxa"/>
            <w:hideMark/>
          </w:tcPr>
          <w:p w:rsidR="00E259F0" w:rsidRPr="00DF2887" w:rsidRDefault="00E259F0" w:rsidP="00C73D71">
            <w:pPr>
              <w:pStyle w:val="HTMLPreformatted"/>
              <w:rPr>
                <w:rFonts w:ascii="Times New Roman" w:hAnsi="Times New Roman" w:cs="Times New Roman"/>
                <w:sz w:val="24"/>
                <w:szCs w:val="24"/>
              </w:rPr>
            </w:pPr>
            <w:r>
              <w:rPr>
                <w:rFonts w:ascii="Times New Roman" w:hAnsi="Times New Roman" w:cs="Times New Roman"/>
                <w:sz w:val="24"/>
                <w:szCs w:val="24"/>
              </w:rPr>
              <w:t xml:space="preserve">In the Matter of the Application of </w:t>
            </w:r>
            <w:r w:rsidR="00EB2F8F">
              <w:rPr>
                <w:rFonts w:ascii="Times New Roman" w:hAnsi="Times New Roman" w:cs="Times New Roman"/>
                <w:sz w:val="24"/>
                <w:szCs w:val="24"/>
              </w:rPr>
              <w:t>Duke E</w:t>
            </w:r>
            <w:r w:rsidR="00241C8A">
              <w:rPr>
                <w:rFonts w:ascii="Times New Roman" w:hAnsi="Times New Roman" w:cs="Times New Roman"/>
                <w:sz w:val="24"/>
                <w:szCs w:val="24"/>
              </w:rPr>
              <w:t>nergy Ohio, Inc., for Approval of Certain Accounting Authority.</w:t>
            </w:r>
          </w:p>
        </w:tc>
        <w:tc>
          <w:tcPr>
            <w:tcW w:w="360" w:type="dxa"/>
            <w:hideMark/>
          </w:tcPr>
          <w:p w:rsidR="00E259F0" w:rsidRPr="00DF2887" w:rsidRDefault="00E259F0" w:rsidP="00DA5627">
            <w:pPr>
              <w:pStyle w:val="HTMLPreformatted"/>
              <w:rPr>
                <w:rFonts w:ascii="Times New Roman" w:hAnsi="Times New Roman"/>
                <w:sz w:val="22"/>
              </w:rPr>
            </w:pPr>
            <w:r w:rsidRPr="00DF2887">
              <w:rPr>
                <w:rFonts w:ascii="Times New Roman" w:hAnsi="Times New Roman"/>
                <w:sz w:val="22"/>
              </w:rPr>
              <w:t>)</w:t>
            </w:r>
          </w:p>
          <w:p w:rsidR="00E259F0" w:rsidRPr="00DF2887" w:rsidRDefault="00E259F0" w:rsidP="00DA5627">
            <w:pPr>
              <w:pStyle w:val="HTMLPreformatted"/>
              <w:rPr>
                <w:rFonts w:ascii="Times New Roman" w:hAnsi="Times New Roman"/>
                <w:sz w:val="22"/>
              </w:rPr>
            </w:pPr>
            <w:r w:rsidRPr="00DF2887">
              <w:rPr>
                <w:rFonts w:ascii="Times New Roman" w:hAnsi="Times New Roman"/>
                <w:sz w:val="22"/>
              </w:rPr>
              <w:t>)</w:t>
            </w:r>
          </w:p>
          <w:p w:rsidR="00E259F0" w:rsidRPr="00DF2887" w:rsidRDefault="00E259F0" w:rsidP="00C73D71">
            <w:pPr>
              <w:pStyle w:val="HTMLPreformatted"/>
              <w:rPr>
                <w:rFonts w:ascii="Times New Roman" w:hAnsi="Times New Roman"/>
                <w:sz w:val="22"/>
              </w:rPr>
            </w:pPr>
            <w:r w:rsidRPr="00DF2887">
              <w:rPr>
                <w:rFonts w:ascii="Times New Roman" w:hAnsi="Times New Roman"/>
                <w:sz w:val="22"/>
              </w:rPr>
              <w:t>)</w:t>
            </w:r>
          </w:p>
        </w:tc>
        <w:tc>
          <w:tcPr>
            <w:tcW w:w="4400" w:type="dxa"/>
          </w:tcPr>
          <w:p w:rsidR="00E259F0" w:rsidRDefault="00E259F0" w:rsidP="00DA5627">
            <w:pPr>
              <w:pStyle w:val="HTMLPreformatted"/>
              <w:rPr>
                <w:rFonts w:ascii="Times New Roman" w:hAnsi="Times New Roman"/>
                <w:sz w:val="24"/>
              </w:rPr>
            </w:pPr>
          </w:p>
          <w:p w:rsidR="00E259F0" w:rsidRDefault="00E259F0" w:rsidP="00C73D71">
            <w:pPr>
              <w:pStyle w:val="HTMLPreformatted"/>
              <w:rPr>
                <w:rFonts w:ascii="Times New Roman" w:hAnsi="Times New Roman"/>
                <w:sz w:val="24"/>
              </w:rPr>
            </w:pPr>
            <w:r>
              <w:rPr>
                <w:rFonts w:ascii="Times New Roman" w:hAnsi="Times New Roman"/>
                <w:sz w:val="24"/>
              </w:rPr>
              <w:t>Case No. 1</w:t>
            </w:r>
            <w:r w:rsidR="00241C8A">
              <w:rPr>
                <w:rFonts w:ascii="Times New Roman" w:hAnsi="Times New Roman"/>
                <w:sz w:val="24"/>
              </w:rPr>
              <w:t>5</w:t>
            </w:r>
            <w:r>
              <w:rPr>
                <w:rFonts w:ascii="Times New Roman" w:hAnsi="Times New Roman"/>
                <w:sz w:val="24"/>
              </w:rPr>
              <w:t>-0</w:t>
            </w:r>
            <w:r w:rsidR="00241C8A">
              <w:rPr>
                <w:rFonts w:ascii="Times New Roman" w:hAnsi="Times New Roman"/>
                <w:sz w:val="24"/>
              </w:rPr>
              <w:t>855</w:t>
            </w:r>
            <w:r>
              <w:rPr>
                <w:rFonts w:ascii="Times New Roman" w:hAnsi="Times New Roman"/>
                <w:sz w:val="24"/>
              </w:rPr>
              <w:t>-EL-</w:t>
            </w:r>
            <w:r w:rsidR="00241C8A">
              <w:rPr>
                <w:rFonts w:ascii="Times New Roman" w:hAnsi="Times New Roman"/>
                <w:sz w:val="24"/>
              </w:rPr>
              <w:t>AAM</w:t>
            </w:r>
          </w:p>
        </w:tc>
      </w:tr>
    </w:tbl>
    <w:p w:rsidR="00E259F0" w:rsidRDefault="00E259F0" w:rsidP="00E259F0">
      <w:pPr>
        <w:pBdr>
          <w:bottom w:val="single" w:sz="12" w:space="1" w:color="auto"/>
        </w:pBdr>
        <w:jc w:val="center"/>
        <w:rPr>
          <w:b/>
        </w:rPr>
      </w:pPr>
    </w:p>
    <w:p w:rsidR="00E259F0" w:rsidRDefault="00E259F0" w:rsidP="00E259F0">
      <w:pPr>
        <w:rPr>
          <w:b/>
        </w:rPr>
      </w:pPr>
    </w:p>
    <w:p w:rsidR="00E259F0" w:rsidRDefault="00E259F0" w:rsidP="00E259F0">
      <w:pPr>
        <w:jc w:val="center"/>
        <w:rPr>
          <w:b/>
        </w:rPr>
      </w:pPr>
      <w:r>
        <w:rPr>
          <w:b/>
        </w:rPr>
        <w:t>MEMORANDUM IN SUPPORT OF MOTION TO INTERVENE</w:t>
      </w:r>
    </w:p>
    <w:p w:rsidR="00E259F0" w:rsidRDefault="00E259F0" w:rsidP="00E259F0">
      <w:pPr>
        <w:jc w:val="center"/>
        <w:rPr>
          <w:b/>
        </w:rPr>
      </w:pPr>
      <w:r>
        <w:rPr>
          <w:b/>
        </w:rPr>
        <w:t>AND</w:t>
      </w:r>
    </w:p>
    <w:p w:rsidR="00E259F0" w:rsidRDefault="00E259F0" w:rsidP="00E259F0">
      <w:pPr>
        <w:pBdr>
          <w:bottom w:val="single" w:sz="12" w:space="1" w:color="auto"/>
        </w:pBdr>
        <w:jc w:val="center"/>
        <w:rPr>
          <w:b/>
        </w:rPr>
      </w:pPr>
      <w:r>
        <w:rPr>
          <w:b/>
        </w:rPr>
        <w:t>INITIAL COMMENTS</w:t>
      </w:r>
      <w:r>
        <w:rPr>
          <w:b/>
        </w:rPr>
        <w:br/>
      </w:r>
    </w:p>
    <w:p w:rsidR="00E259F0" w:rsidRDefault="00E259F0" w:rsidP="00E259F0">
      <w:pPr>
        <w:pStyle w:val="BodyTextIndent"/>
        <w:spacing w:line="240" w:lineRule="auto"/>
        <w:ind w:firstLine="0"/>
        <w:rPr>
          <w:b/>
          <w:bCs/>
        </w:rPr>
      </w:pPr>
    </w:p>
    <w:p w:rsidR="00E259F0" w:rsidRDefault="00E259F0" w:rsidP="00E259F0">
      <w:pPr>
        <w:pStyle w:val="Heading1"/>
      </w:pPr>
      <w:bookmarkStart w:id="1" w:name="_Toc407797646"/>
      <w:bookmarkStart w:id="2" w:name="_Toc421715346"/>
      <w:bookmarkStart w:id="3" w:name="_Toc421716322"/>
      <w:r>
        <w:t>I.</w:t>
      </w:r>
      <w:r>
        <w:tab/>
        <w:t>BACKGROUND</w:t>
      </w:r>
      <w:bookmarkEnd w:id="1"/>
      <w:bookmarkEnd w:id="2"/>
      <w:bookmarkEnd w:id="3"/>
    </w:p>
    <w:p w:rsidR="00E259F0" w:rsidRDefault="00E259F0" w:rsidP="00E259F0">
      <w:pPr>
        <w:pStyle w:val="BodyTextIndent3"/>
        <w:widowControl w:val="0"/>
        <w:spacing w:line="480" w:lineRule="auto"/>
      </w:pPr>
      <w:r>
        <w:t xml:space="preserve">On December 12, 2012, the Public Utilities Commission of Ohio (“PUCO”) opened an investigation into the vitality of Ohio’s competitive retail electric service market. The PUCO presented a series of questions to stakeholders about market design and corporate separation </w:t>
      </w:r>
      <w:r w:rsidR="005317D7">
        <w:t>and requested comment on</w:t>
      </w:r>
      <w:r>
        <w:t xml:space="preserve"> the</w:t>
      </w:r>
      <w:r w:rsidR="00203A80">
        <w:t>ir</w:t>
      </w:r>
      <w:r>
        <w:t xml:space="preserve"> impact </w:t>
      </w:r>
      <w:r w:rsidR="00203A80">
        <w:t xml:space="preserve">on </w:t>
      </w:r>
      <w:r>
        <w:t xml:space="preserve">the </w:t>
      </w:r>
      <w:r w:rsidR="005317D7">
        <w:t>competitive</w:t>
      </w:r>
      <w:r>
        <w:t xml:space="preserve"> market.</w:t>
      </w:r>
      <w:r>
        <w:rPr>
          <w:rStyle w:val="FootnoteReference"/>
        </w:rPr>
        <w:footnoteReference w:id="4"/>
      </w:r>
      <w:r w:rsidR="00EB2F8F">
        <w:t xml:space="preserve"> On March 26</w:t>
      </w:r>
      <w:r>
        <w:t>, 2014, the PUCO adopted, in part, the recommendations in the Staff’s Market Development Work Plan. The PUCO issued its final Entry on Rehearing on May 21, 2014</w:t>
      </w:r>
      <w:r w:rsidR="00203A80">
        <w:t xml:space="preserve">. There it </w:t>
      </w:r>
      <w:r>
        <w:t>direct</w:t>
      </w:r>
      <w:r w:rsidR="00203A80">
        <w:t>ed</w:t>
      </w:r>
      <w:r>
        <w:t xml:space="preserve"> electric distribution utilities to file applications, within six months, to revise their consolidated bill formats</w:t>
      </w:r>
      <w:r w:rsidR="00203A80">
        <w:t xml:space="preserve"> to</w:t>
      </w:r>
      <w:r w:rsidR="00E3347D">
        <w:t xml:space="preserve"> </w:t>
      </w:r>
      <w:r w:rsidR="00203A80">
        <w:t>conform</w:t>
      </w:r>
      <w:r>
        <w:t xml:space="preserve"> with the law (R.C. 4928.02, 4928.07, 4928.10), and the PUCO’s findings in the PUCO Investigation Case.</w:t>
      </w:r>
      <w:r w:rsidR="0086565A">
        <w:rPr>
          <w:rStyle w:val="FootnoteReference"/>
        </w:rPr>
        <w:footnoteReference w:id="5"/>
      </w:r>
    </w:p>
    <w:p w:rsidR="00164A93" w:rsidRDefault="00E259F0" w:rsidP="00E3347D">
      <w:pPr>
        <w:autoSpaceDE w:val="0"/>
        <w:autoSpaceDN w:val="0"/>
        <w:adjustRightInd w:val="0"/>
        <w:spacing w:line="480" w:lineRule="auto"/>
        <w:ind w:firstLine="720"/>
        <w:sectPr w:rsidR="00164A93" w:rsidSect="00DB5DCB">
          <w:headerReference w:type="default" r:id="rId18"/>
          <w:footerReference w:type="default" r:id="rId19"/>
          <w:pgSz w:w="12240" w:h="15840"/>
          <w:pgMar w:top="1440" w:right="1800" w:bottom="1440" w:left="1800" w:header="720" w:footer="720" w:gutter="0"/>
          <w:pgNumType w:start="1"/>
          <w:cols w:space="720"/>
          <w:docGrid w:linePitch="360"/>
        </w:sectPr>
      </w:pPr>
      <w:r>
        <w:t xml:space="preserve">On November 21, 2014, </w:t>
      </w:r>
      <w:r w:rsidR="00210540">
        <w:t>D</w:t>
      </w:r>
      <w:r w:rsidR="00231A54">
        <w:t>uke</w:t>
      </w:r>
      <w:r>
        <w:t xml:space="preserve"> filed an Application requesting approval of proposed changes to its customer bills</w:t>
      </w:r>
      <w:r w:rsidR="00025FCE">
        <w:t xml:space="preserve">. It advised </w:t>
      </w:r>
      <w:r w:rsidR="00231A54">
        <w:t xml:space="preserve">that costs to implement the billing </w:t>
      </w:r>
    </w:p>
    <w:p w:rsidR="007511A7" w:rsidRDefault="00231A54" w:rsidP="00164A93">
      <w:pPr>
        <w:autoSpaceDE w:val="0"/>
        <w:autoSpaceDN w:val="0"/>
        <w:adjustRightInd w:val="0"/>
        <w:spacing w:line="480" w:lineRule="auto"/>
      </w:pPr>
      <w:r>
        <w:t>changes would be approximately $1.1 million.</w:t>
      </w:r>
      <w:r>
        <w:rPr>
          <w:rStyle w:val="FootnoteReference"/>
        </w:rPr>
        <w:footnoteReference w:id="6"/>
      </w:r>
      <w:r w:rsidR="00210540">
        <w:t xml:space="preserve"> Duke also file</w:t>
      </w:r>
      <w:r w:rsidR="00E03E07">
        <w:t xml:space="preserve">d an </w:t>
      </w:r>
      <w:r w:rsidR="0086565A">
        <w:t>A</w:t>
      </w:r>
      <w:r w:rsidR="00E03E07">
        <w:t xml:space="preserve">mended </w:t>
      </w:r>
      <w:r w:rsidR="0086565A">
        <w:t>A</w:t>
      </w:r>
      <w:r w:rsidR="007511A7">
        <w:t>pplication on January</w:t>
      </w:r>
      <w:r w:rsidR="00210540">
        <w:t xml:space="preserve"> 20, 2015.</w:t>
      </w:r>
      <w:r w:rsidR="00E259F0">
        <w:t xml:space="preserve"> </w:t>
      </w:r>
      <w:r>
        <w:t>OCC filed a motion to intervene, a memorandum in support</w:t>
      </w:r>
      <w:r>
        <w:rPr>
          <w:szCs w:val="24"/>
        </w:rPr>
        <w:t xml:space="preserve">, and comments regarding Duke’s </w:t>
      </w:r>
      <w:r w:rsidR="0086565A">
        <w:rPr>
          <w:szCs w:val="24"/>
        </w:rPr>
        <w:t>A</w:t>
      </w:r>
      <w:r>
        <w:rPr>
          <w:szCs w:val="24"/>
        </w:rPr>
        <w:t xml:space="preserve">pplication. Duke subsequently filed a memorandum contra OCC’s motion to intervene and reply comments, noting that it withdrew its request for cost recovery or deferral authority when it filed an </w:t>
      </w:r>
      <w:r w:rsidR="001D5D82">
        <w:rPr>
          <w:szCs w:val="24"/>
        </w:rPr>
        <w:t>A</w:t>
      </w:r>
      <w:r>
        <w:rPr>
          <w:szCs w:val="24"/>
        </w:rPr>
        <w:t xml:space="preserve">mended </w:t>
      </w:r>
      <w:r w:rsidR="001D5D82">
        <w:rPr>
          <w:szCs w:val="24"/>
        </w:rPr>
        <w:t>A</w:t>
      </w:r>
      <w:r>
        <w:rPr>
          <w:szCs w:val="24"/>
        </w:rPr>
        <w:t>pplication.</w:t>
      </w:r>
      <w:r w:rsidR="00EB2F8F">
        <w:rPr>
          <w:rStyle w:val="FootnoteReference"/>
          <w:szCs w:val="24"/>
        </w:rPr>
        <w:footnoteReference w:id="7"/>
      </w:r>
      <w:r>
        <w:rPr>
          <w:szCs w:val="24"/>
        </w:rPr>
        <w:t xml:space="preserve"> </w:t>
      </w:r>
      <w:r w:rsidR="00210540">
        <w:rPr>
          <w:szCs w:val="24"/>
        </w:rPr>
        <w:t>On Feb</w:t>
      </w:r>
      <w:r w:rsidR="00732374">
        <w:rPr>
          <w:szCs w:val="24"/>
        </w:rPr>
        <w:t>ruary</w:t>
      </w:r>
      <w:r w:rsidR="00210540">
        <w:rPr>
          <w:szCs w:val="24"/>
        </w:rPr>
        <w:t xml:space="preserve"> 25, 2015, the PUCO granted OC</w:t>
      </w:r>
      <w:r w:rsidR="007511A7">
        <w:rPr>
          <w:szCs w:val="24"/>
        </w:rPr>
        <w:t>C’s motion to intervene and approv</w:t>
      </w:r>
      <w:r w:rsidR="00210540">
        <w:rPr>
          <w:szCs w:val="24"/>
        </w:rPr>
        <w:t>ed the Utility’s revised bill format. Duke initiated this case, requesting authority to defer approximately $922,848</w:t>
      </w:r>
      <w:r w:rsidR="007511A7">
        <w:rPr>
          <w:szCs w:val="24"/>
        </w:rPr>
        <w:t xml:space="preserve">. </w:t>
      </w:r>
      <w:r w:rsidR="00E259F0">
        <w:t>These proposed changes may impose more costs on D</w:t>
      </w:r>
      <w:r w:rsidR="007511A7">
        <w:t>uke’s approximately 6</w:t>
      </w:r>
      <w:r w:rsidR="00E3347D">
        <w:t>15</w:t>
      </w:r>
      <w:r w:rsidR="00E259F0">
        <w:t>,000 residential customers</w:t>
      </w:r>
      <w:r w:rsidR="0086565A">
        <w:t xml:space="preserve"> -- </w:t>
      </w:r>
      <w:r w:rsidR="00E259F0">
        <w:t xml:space="preserve">costs that are more appropriately borne by competitive retail electric suppliers. </w:t>
      </w:r>
    </w:p>
    <w:p w:rsidR="009122AF" w:rsidRDefault="00E259F0" w:rsidP="007511A7">
      <w:pPr>
        <w:autoSpaceDE w:val="0"/>
        <w:autoSpaceDN w:val="0"/>
        <w:adjustRightInd w:val="0"/>
        <w:spacing w:line="480" w:lineRule="auto"/>
        <w:ind w:firstLine="720"/>
      </w:pPr>
      <w:r>
        <w:t>The OCC respectfully requests that the PUCO g</w:t>
      </w:r>
      <w:r w:rsidR="007511A7">
        <w:t>rant it intervention and deny Duke</w:t>
      </w:r>
      <w:r>
        <w:t xml:space="preserve">’s request for authority to defer any additional charges. In the alternative, if the PUCO wishes to review the costs associated with </w:t>
      </w:r>
      <w:r w:rsidR="007511A7">
        <w:t>Duke’s</w:t>
      </w:r>
      <w:r>
        <w:t xml:space="preserve"> proposed bill format changes, the PUCO must</w:t>
      </w:r>
      <w:r w:rsidR="007511A7">
        <w:t xml:space="preserve"> require that the Utility </w:t>
      </w:r>
      <w:r w:rsidR="00E5096C">
        <w:t>provide</w:t>
      </w:r>
      <w:r w:rsidR="00654F05">
        <w:t xml:space="preserve"> suppo</w:t>
      </w:r>
      <w:r w:rsidR="00413819">
        <w:t>r</w:t>
      </w:r>
      <w:r w:rsidR="00654F05">
        <w:t>ting documents that show wh</w:t>
      </w:r>
      <w:r w:rsidR="00413819">
        <w:t>at makes up the $922,848 in exp</w:t>
      </w:r>
      <w:r w:rsidR="00654F05">
        <w:t xml:space="preserve">enses </w:t>
      </w:r>
      <w:r w:rsidR="00E5096C">
        <w:t xml:space="preserve">and demonstrate that these billing costs are </w:t>
      </w:r>
      <w:r w:rsidR="0086565A">
        <w:t xml:space="preserve">just and reasonable and </w:t>
      </w:r>
      <w:r w:rsidR="00E5096C">
        <w:t xml:space="preserve">not </w:t>
      </w:r>
      <w:r w:rsidR="00025FCE">
        <w:t xml:space="preserve">collected </w:t>
      </w:r>
      <w:r w:rsidR="00E5096C">
        <w:t>under current rates</w:t>
      </w:r>
      <w:r w:rsidR="00654F05">
        <w:t>.</w:t>
      </w:r>
      <w:r w:rsidR="00F315CB">
        <w:rPr>
          <w:rStyle w:val="FootnoteReference"/>
        </w:rPr>
        <w:footnoteReference w:id="8"/>
      </w:r>
      <w:r w:rsidR="00654F05">
        <w:t xml:space="preserve"> </w:t>
      </w:r>
    </w:p>
    <w:p w:rsidR="00E259F0" w:rsidRDefault="00654F05" w:rsidP="007511A7">
      <w:pPr>
        <w:autoSpaceDE w:val="0"/>
        <w:autoSpaceDN w:val="0"/>
        <w:adjustRightInd w:val="0"/>
        <w:spacing w:line="480" w:lineRule="auto"/>
        <w:ind w:firstLine="720"/>
      </w:pPr>
      <w:r>
        <w:t xml:space="preserve">The </w:t>
      </w:r>
      <w:r w:rsidR="0086565A">
        <w:t>A</w:t>
      </w:r>
      <w:r w:rsidR="00966DB7">
        <w:t>pplication that D</w:t>
      </w:r>
      <w:r>
        <w:t xml:space="preserve">uke filed requesting </w:t>
      </w:r>
      <w:r w:rsidR="00966DB7">
        <w:t>nearly a million dollar deferral consists</w:t>
      </w:r>
      <w:r>
        <w:t xml:space="preserve"> of a little more than </w:t>
      </w:r>
      <w:r w:rsidR="00E5096C">
        <w:t>three</w:t>
      </w:r>
      <w:r>
        <w:t xml:space="preserve"> pages with no breakdown or detail o</w:t>
      </w:r>
      <w:r w:rsidR="00966DB7">
        <w:t>f</w:t>
      </w:r>
      <w:r>
        <w:t xml:space="preserve"> any numbers. </w:t>
      </w:r>
      <w:r w:rsidR="00966DB7">
        <w:t xml:space="preserve">If the PUCO chooses to further investigate the costs that Duke wishes to defer, OCC requests that it </w:t>
      </w:r>
      <w:r w:rsidR="00E259F0">
        <w:t xml:space="preserve">establish a procedural schedule that allows for parties to intervene, conduct discovery, file testimony, and proceed to an evidentiary hearing.  </w:t>
      </w:r>
    </w:p>
    <w:p w:rsidR="00E259F0" w:rsidRDefault="00E259F0" w:rsidP="00E259F0">
      <w:pPr>
        <w:pStyle w:val="BodyTextIndent3"/>
        <w:widowControl w:val="0"/>
        <w:spacing w:line="240" w:lineRule="auto"/>
      </w:pPr>
    </w:p>
    <w:p w:rsidR="00E259F0" w:rsidRDefault="00E259F0" w:rsidP="00E259F0">
      <w:pPr>
        <w:pStyle w:val="Heading1"/>
      </w:pPr>
      <w:bookmarkStart w:id="4" w:name="_Toc407797647"/>
      <w:bookmarkStart w:id="5" w:name="_Toc421715347"/>
      <w:bookmarkStart w:id="6" w:name="_Toc421716323"/>
      <w:r>
        <w:t>ii.</w:t>
      </w:r>
      <w:r>
        <w:tab/>
        <w:t>MEMORANDUM IN SUPPORT OF MOTION TO INTERVENE</w:t>
      </w:r>
      <w:bookmarkEnd w:id="4"/>
      <w:bookmarkEnd w:id="5"/>
      <w:bookmarkEnd w:id="6"/>
    </w:p>
    <w:p w:rsidR="00E259F0" w:rsidRDefault="00E259F0" w:rsidP="00E259F0">
      <w:pPr>
        <w:pStyle w:val="BodyTextIndent3"/>
        <w:widowControl w:val="0"/>
        <w:spacing w:line="480" w:lineRule="auto"/>
        <w:ind w:right="-24"/>
      </w:pPr>
      <w:r>
        <w:t xml:space="preserve">R.C. 4903.221 provides, in part, that any person “who may be adversely affected” by a PUCO proceeding is entitled to seek intervention in that </w:t>
      </w:r>
      <w:r w:rsidR="00706252">
        <w:t>proceeding. The interests of Duke</w:t>
      </w:r>
      <w:r>
        <w:t>’s residential customers</w:t>
      </w:r>
      <w:r>
        <w:rPr>
          <w:rStyle w:val="FootnoteReference"/>
        </w:rPr>
        <w:footnoteReference w:id="9"/>
      </w:r>
      <w:r>
        <w:t xml:space="preserve"> may be “adversely affected” by this case, especially if the customers were unrepresented in a proceeding where the Utility has requested </w:t>
      </w:r>
      <w:r w:rsidR="009D374C">
        <w:t xml:space="preserve">approval for a deferral of expenses related </w:t>
      </w:r>
      <w:r>
        <w:t>to the way it bills customers for electric service. The proposal</w:t>
      </w:r>
      <w:r w:rsidR="009D374C">
        <w:t xml:space="preserve"> to defer $922,848</w:t>
      </w:r>
      <w:r>
        <w:t xml:space="preserve"> could adversely affect customers who have to decipher and pay electric utility bills. Thus, this element of the intervention standard in R.C. 4903.221 is satisfied.</w:t>
      </w:r>
    </w:p>
    <w:p w:rsidR="00E259F0" w:rsidRDefault="00E259F0" w:rsidP="00E259F0">
      <w:pPr>
        <w:spacing w:line="480" w:lineRule="auto"/>
        <w:ind w:firstLine="720"/>
        <w:rPr>
          <w:szCs w:val="24"/>
        </w:rPr>
      </w:pPr>
      <w:r>
        <w:rPr>
          <w:szCs w:val="24"/>
        </w:rPr>
        <w:t>R.C. 4903.221(B) requires the PUCO to consider the following criteria in ruling on motions to intervene:</w:t>
      </w:r>
    </w:p>
    <w:p w:rsidR="00E259F0" w:rsidRDefault="00E259F0" w:rsidP="00E259F0">
      <w:pPr>
        <w:ind w:left="2160" w:right="720" w:hanging="720"/>
        <w:rPr>
          <w:szCs w:val="24"/>
        </w:rPr>
      </w:pPr>
      <w:r>
        <w:rPr>
          <w:szCs w:val="24"/>
        </w:rPr>
        <w:t>(1)</w:t>
      </w:r>
      <w:r>
        <w:rPr>
          <w:szCs w:val="24"/>
        </w:rPr>
        <w:tab/>
        <w:t>The nature and extent of the prospective intervenor’s interest,</w:t>
      </w:r>
    </w:p>
    <w:p w:rsidR="00E259F0" w:rsidRDefault="00E259F0" w:rsidP="00E259F0">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E259F0" w:rsidRDefault="00E259F0" w:rsidP="00E259F0">
      <w:pPr>
        <w:spacing w:before="240"/>
        <w:ind w:left="2160" w:right="720" w:hanging="720"/>
        <w:rPr>
          <w:szCs w:val="24"/>
        </w:rPr>
      </w:pPr>
      <w:r>
        <w:rPr>
          <w:szCs w:val="24"/>
        </w:rPr>
        <w:t>(3)</w:t>
      </w:r>
      <w:r>
        <w:rPr>
          <w:szCs w:val="24"/>
        </w:rPr>
        <w:tab/>
        <w:t>Whether the intervention by the prospective intervenor will unduly prolong or delay the proceeding, and</w:t>
      </w:r>
    </w:p>
    <w:p w:rsidR="00E259F0" w:rsidRDefault="00E259F0" w:rsidP="00E259F0">
      <w:pPr>
        <w:pStyle w:val="BodyTextIndent2"/>
        <w:ind w:left="2160" w:right="720" w:hanging="720"/>
        <w:rPr>
          <w:szCs w:val="24"/>
        </w:rPr>
      </w:pPr>
      <w:r>
        <w:rPr>
          <w:szCs w:val="24"/>
        </w:rPr>
        <w:t>(4)</w:t>
      </w:r>
      <w:r>
        <w:rPr>
          <w:szCs w:val="24"/>
        </w:rPr>
        <w:tab/>
        <w:t>Whether the prospective intervenor will significantly contribute to the full development and equitable resolution of the factual issues.</w:t>
      </w:r>
    </w:p>
    <w:p w:rsidR="00E259F0" w:rsidRDefault="00E259F0" w:rsidP="00E259F0">
      <w:pPr>
        <w:pStyle w:val="BodyTextIndent3"/>
        <w:spacing w:line="480" w:lineRule="auto"/>
        <w:rPr>
          <w:szCs w:val="24"/>
        </w:rPr>
      </w:pPr>
      <w:r>
        <w:t>First, the nature and extent of OCC’s interest is representing the residential customers o</w:t>
      </w:r>
      <w:r>
        <w:rPr>
          <w:szCs w:val="24"/>
        </w:rPr>
        <w:t xml:space="preserve">f the </w:t>
      </w:r>
      <w:r w:rsidR="005317D7">
        <w:rPr>
          <w:szCs w:val="24"/>
        </w:rPr>
        <w:t>Utility</w:t>
      </w:r>
      <w:r w:rsidR="00706252">
        <w:rPr>
          <w:szCs w:val="24"/>
        </w:rPr>
        <w:t xml:space="preserve"> in this case involving Duke</w:t>
      </w:r>
      <w:r>
        <w:rPr>
          <w:szCs w:val="24"/>
        </w:rPr>
        <w:t xml:space="preserve">’s request </w:t>
      </w:r>
      <w:r w:rsidR="00706252">
        <w:rPr>
          <w:szCs w:val="24"/>
        </w:rPr>
        <w:t>for a deferral</w:t>
      </w:r>
      <w:r w:rsidR="009D374C">
        <w:rPr>
          <w:szCs w:val="24"/>
        </w:rPr>
        <w:t xml:space="preserve"> that</w:t>
      </w:r>
      <w:r w:rsidR="00706252">
        <w:rPr>
          <w:szCs w:val="24"/>
        </w:rPr>
        <w:t xml:space="preserve"> may be c</w:t>
      </w:r>
      <w:r w:rsidR="00732374">
        <w:rPr>
          <w:szCs w:val="24"/>
        </w:rPr>
        <w:t>harged to Duke’s approximately 6</w:t>
      </w:r>
      <w:r w:rsidR="00EB2F8F">
        <w:rPr>
          <w:szCs w:val="24"/>
        </w:rPr>
        <w:t>15</w:t>
      </w:r>
      <w:r w:rsidR="00706252">
        <w:rPr>
          <w:szCs w:val="24"/>
        </w:rPr>
        <w:t xml:space="preserve">,000 </w:t>
      </w:r>
      <w:r w:rsidR="00732374">
        <w:rPr>
          <w:szCs w:val="24"/>
        </w:rPr>
        <w:t xml:space="preserve">residential </w:t>
      </w:r>
      <w:r w:rsidR="00706252">
        <w:rPr>
          <w:szCs w:val="24"/>
        </w:rPr>
        <w:t>customers.</w:t>
      </w:r>
      <w:r>
        <w:rPr>
          <w:szCs w:val="24"/>
        </w:rPr>
        <w:t xml:space="preserve"> This interest is different than that of any other party and particularly different than that of the Utility whose advocacy includes the financial interest of stockholders.</w:t>
      </w:r>
    </w:p>
    <w:p w:rsidR="00E259F0" w:rsidRDefault="00E259F0" w:rsidP="00E259F0">
      <w:pPr>
        <w:pStyle w:val="Footer"/>
        <w:tabs>
          <w:tab w:val="left" w:pos="720"/>
        </w:tabs>
        <w:spacing w:line="480" w:lineRule="auto"/>
        <w:ind w:firstLine="720"/>
        <w:rPr>
          <w:sz w:val="24"/>
          <w:szCs w:val="24"/>
        </w:rPr>
      </w:pPr>
      <w:r>
        <w:rPr>
          <w:sz w:val="24"/>
          <w:szCs w:val="24"/>
        </w:rPr>
        <w:t xml:space="preserve">Second, OCC’s advocacy for residential customers will include advancing the position that customers’ </w:t>
      </w:r>
      <w:r w:rsidR="009D374C">
        <w:rPr>
          <w:sz w:val="24"/>
          <w:szCs w:val="24"/>
        </w:rPr>
        <w:t>should not be at risk for paying a deferral that is not substantiated and shown to be just and reasonable and incremental to what billing expenses are presently included in base rates.</w:t>
      </w:r>
      <w:r>
        <w:rPr>
          <w:sz w:val="24"/>
          <w:szCs w:val="24"/>
        </w:rPr>
        <w:t xml:space="preserve"> OCC’s position is therefore directly related to the merits of this case that is pending before the PUCO, the authority with regulatory control of public utilities’ rates and service quality in Ohio. </w:t>
      </w:r>
    </w:p>
    <w:p w:rsidR="00E259F0" w:rsidRDefault="00E259F0" w:rsidP="00E259F0">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E259F0" w:rsidRDefault="00E259F0" w:rsidP="00E259F0">
      <w:pPr>
        <w:pStyle w:val="Footer"/>
        <w:tabs>
          <w:tab w:val="left" w:pos="720"/>
        </w:tabs>
        <w:spacing w:line="480" w:lineRule="auto"/>
        <w:ind w:firstLine="720"/>
        <w:rPr>
          <w:sz w:val="24"/>
          <w:szCs w:val="24"/>
        </w:rPr>
      </w:pPr>
      <w:r>
        <w:rPr>
          <w:sz w:val="24"/>
          <w:szCs w:val="24"/>
        </w:rPr>
        <w:t xml:space="preserve">Fourth, OCC’s intervention will significantly contribute to the full development and equitable resolution of the factual issues. OCC will obtain and develop information that the PUCO should consider for equitably and lawfully deciding the case in the public interest. </w:t>
      </w:r>
    </w:p>
    <w:p w:rsidR="00E259F0" w:rsidRDefault="00E259F0" w:rsidP="00E259F0">
      <w:pPr>
        <w:pStyle w:val="Footer"/>
        <w:tabs>
          <w:tab w:val="left" w:pos="720"/>
        </w:tabs>
        <w:spacing w:line="480" w:lineRule="auto"/>
        <w:ind w:firstLine="720"/>
        <w:rPr>
          <w:sz w:val="24"/>
          <w:szCs w:val="24"/>
        </w:rPr>
      </w:pPr>
      <w:r>
        <w:rPr>
          <w:sz w:val="24"/>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customers, OCC has a very real and substantial interest in this case where </w:t>
      </w:r>
      <w:r w:rsidR="005317D7">
        <w:rPr>
          <w:sz w:val="24"/>
          <w:szCs w:val="24"/>
        </w:rPr>
        <w:t>Duke</w:t>
      </w:r>
      <w:r>
        <w:rPr>
          <w:sz w:val="24"/>
          <w:szCs w:val="24"/>
        </w:rPr>
        <w:t xml:space="preserve"> has requested </w:t>
      </w:r>
      <w:r w:rsidR="00EB2F8F">
        <w:rPr>
          <w:sz w:val="24"/>
          <w:szCs w:val="24"/>
        </w:rPr>
        <w:t>a deferral that may be paid by its residential customers</w:t>
      </w:r>
      <w:r>
        <w:rPr>
          <w:sz w:val="24"/>
          <w:szCs w:val="24"/>
        </w:rPr>
        <w:t xml:space="preserve">.  </w:t>
      </w:r>
    </w:p>
    <w:p w:rsidR="00E144EB" w:rsidRDefault="00E144EB">
      <w:pPr>
        <w:spacing w:after="200" w:line="276" w:lineRule="auto"/>
        <w:rPr>
          <w:szCs w:val="24"/>
        </w:rPr>
      </w:pPr>
      <w:r>
        <w:rPr>
          <w:szCs w:val="24"/>
        </w:rPr>
        <w:br w:type="page"/>
      </w:r>
    </w:p>
    <w:p w:rsidR="00E259F0" w:rsidRDefault="00E259F0" w:rsidP="00E259F0">
      <w:pPr>
        <w:pStyle w:val="BodyTextIndent3"/>
        <w:widowControl w:val="0"/>
        <w:spacing w:line="480" w:lineRule="auto"/>
        <w:ind w:right="-24"/>
        <w:rPr>
          <w:szCs w:val="24"/>
        </w:rPr>
      </w:pPr>
      <w:r>
        <w:rPr>
          <w:szCs w:val="24"/>
        </w:rPr>
        <w:t>In addition, OCC meets the criteria of Ohio Adm. Code 4901-1-11(B)(1)-(4). These criteria mirror the statutory criteria in R.C. 4903.221(B) that OCC already has addressed and that OCC satisfies.</w:t>
      </w:r>
    </w:p>
    <w:p w:rsidR="00E259F0" w:rsidRDefault="00E259F0" w:rsidP="00E259F0">
      <w:pPr>
        <w:pStyle w:val="BodyTextIndent3"/>
        <w:widowControl w:val="0"/>
        <w:spacing w:line="480" w:lineRule="auto"/>
        <w:ind w:right="-24"/>
        <w:rPr>
          <w:szCs w:val="24"/>
        </w:rPr>
      </w:pPr>
      <w:r>
        <w:rPr>
          <w:szCs w:val="24"/>
        </w:rPr>
        <w:t xml:space="preserve">Ohio Adm. Code 4901-1-11(B)(5) states that the </w:t>
      </w:r>
      <w:r w:rsidR="00E2356B">
        <w:rPr>
          <w:szCs w:val="24"/>
        </w:rPr>
        <w:t>PUCO</w:t>
      </w:r>
      <w:r>
        <w:rPr>
          <w:szCs w:val="24"/>
        </w:rPr>
        <w:t xml:space="preserve">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E259F0" w:rsidRDefault="00E259F0" w:rsidP="00E259F0">
      <w:pPr>
        <w:pStyle w:val="WW-BodyTextIndent3"/>
        <w:widowControl w:val="0"/>
        <w:spacing w:line="480" w:lineRule="auto"/>
        <w:ind w:right="-24"/>
        <w:rPr>
          <w:szCs w:val="24"/>
        </w:rPr>
      </w:pPr>
      <w:r>
        <w:rPr>
          <w:szCs w:val="24"/>
        </w:rPr>
        <w:t>Moreover, the Supreme Court of Ohio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10"/>
      </w:r>
      <w:r>
        <w:rPr>
          <w:szCs w:val="24"/>
        </w:rPr>
        <w:t xml:space="preserve">  </w:t>
      </w:r>
    </w:p>
    <w:p w:rsidR="00E259F0" w:rsidRDefault="00E259F0" w:rsidP="00E259F0">
      <w:pPr>
        <w:spacing w:line="480" w:lineRule="auto"/>
        <w:ind w:firstLine="720"/>
        <w:rPr>
          <w:szCs w:val="24"/>
        </w:rPr>
      </w:pPr>
      <w:r>
        <w:rPr>
          <w:szCs w:val="24"/>
        </w:rPr>
        <w:t>OCC meets the criteria set forth in R.C. 4903.221, Ohio Adm. Code 4901-1-11, and the precedent established by the Supreme Court of Ohio for intervention. On behalf of Ohio residential customers, the PUCO should grant OCC’s Motion to Intervene.</w:t>
      </w:r>
    </w:p>
    <w:p w:rsidR="00E259F0" w:rsidRDefault="00E259F0" w:rsidP="00E259F0">
      <w:pPr>
        <w:ind w:firstLine="720"/>
        <w:rPr>
          <w:szCs w:val="24"/>
        </w:rPr>
      </w:pPr>
    </w:p>
    <w:p w:rsidR="00E259F0" w:rsidRDefault="00E259F0" w:rsidP="00E259F0">
      <w:pPr>
        <w:pStyle w:val="Heading1"/>
      </w:pPr>
      <w:bookmarkStart w:id="7" w:name="_Toc407797648"/>
      <w:bookmarkStart w:id="8" w:name="_Toc421715348"/>
      <w:bookmarkStart w:id="9" w:name="_Toc421716324"/>
      <w:r>
        <w:t>iii.</w:t>
      </w:r>
      <w:r>
        <w:tab/>
        <w:t>INITIAL COMM</w:t>
      </w:r>
      <w:bookmarkEnd w:id="7"/>
      <w:r w:rsidR="00D708CC">
        <w:t>ENT</w:t>
      </w:r>
      <w:r w:rsidR="009122AF">
        <w:t>S</w:t>
      </w:r>
      <w:bookmarkEnd w:id="8"/>
      <w:bookmarkEnd w:id="9"/>
    </w:p>
    <w:p w:rsidR="00E259F0" w:rsidRDefault="000459A1" w:rsidP="00031C2C">
      <w:pPr>
        <w:pStyle w:val="Heading2"/>
        <w:numPr>
          <w:ilvl w:val="0"/>
          <w:numId w:val="0"/>
        </w:numPr>
        <w:ind w:left="1440" w:hanging="720"/>
      </w:pPr>
      <w:bookmarkStart w:id="10" w:name="_Toc421715349"/>
      <w:r>
        <w:t>Duke’s request for deferral authorit</w:t>
      </w:r>
      <w:r w:rsidR="00E3347D">
        <w:t>y</w:t>
      </w:r>
      <w:r>
        <w:t xml:space="preserve"> is unsupported and untimely.</w:t>
      </w:r>
      <w:bookmarkEnd w:id="10"/>
    </w:p>
    <w:p w:rsidR="00203A80" w:rsidRDefault="00E259F0" w:rsidP="00E259F0">
      <w:pPr>
        <w:spacing w:line="480" w:lineRule="auto"/>
        <w:ind w:firstLine="720"/>
        <w:rPr>
          <w:szCs w:val="24"/>
        </w:rPr>
      </w:pPr>
      <w:r>
        <w:rPr>
          <w:szCs w:val="24"/>
        </w:rPr>
        <w:t>Though the Utility requests that the PUCO approve the deferral of approximately $</w:t>
      </w:r>
      <w:r w:rsidR="00706252">
        <w:rPr>
          <w:szCs w:val="24"/>
        </w:rPr>
        <w:t>922,848</w:t>
      </w:r>
      <w:r>
        <w:rPr>
          <w:szCs w:val="24"/>
        </w:rPr>
        <w:t xml:space="preserve"> to make changes to its billing system, D</w:t>
      </w:r>
      <w:r w:rsidR="00706252">
        <w:rPr>
          <w:szCs w:val="24"/>
        </w:rPr>
        <w:t>uke</w:t>
      </w:r>
      <w:r>
        <w:rPr>
          <w:szCs w:val="24"/>
        </w:rPr>
        <w:t xml:space="preserve"> has provided no</w:t>
      </w:r>
      <w:r w:rsidR="001B5E7A">
        <w:rPr>
          <w:szCs w:val="24"/>
        </w:rPr>
        <w:t xml:space="preserve"> record </w:t>
      </w:r>
      <w:r>
        <w:rPr>
          <w:szCs w:val="24"/>
        </w:rPr>
        <w:t>to substantiate the alleged costs.</w:t>
      </w:r>
      <w:r w:rsidR="00203A80">
        <w:rPr>
          <w:szCs w:val="24"/>
        </w:rPr>
        <w:t xml:space="preserve"> And Duke’s request is untimely.</w:t>
      </w:r>
    </w:p>
    <w:p w:rsidR="00E259F0" w:rsidRDefault="00706252" w:rsidP="00E259F0">
      <w:pPr>
        <w:spacing w:line="480" w:lineRule="auto"/>
        <w:ind w:firstLine="720"/>
        <w:rPr>
          <w:szCs w:val="24"/>
        </w:rPr>
      </w:pPr>
      <w:r>
        <w:rPr>
          <w:szCs w:val="24"/>
        </w:rPr>
        <w:t>The pleading itself consists of only three pages. There are</w:t>
      </w:r>
      <w:r w:rsidR="00E5096C">
        <w:rPr>
          <w:szCs w:val="24"/>
        </w:rPr>
        <w:t xml:space="preserve"> no </w:t>
      </w:r>
      <w:r>
        <w:rPr>
          <w:szCs w:val="24"/>
        </w:rPr>
        <w:t>workpaper</w:t>
      </w:r>
      <w:r w:rsidR="00CA0248">
        <w:rPr>
          <w:szCs w:val="24"/>
        </w:rPr>
        <w:t>s</w:t>
      </w:r>
      <w:r>
        <w:rPr>
          <w:szCs w:val="24"/>
        </w:rPr>
        <w:t>, spreadsheets, testimony, or descriptions of the costs that make up the $922,848.</w:t>
      </w:r>
      <w:r w:rsidR="00E259F0">
        <w:rPr>
          <w:szCs w:val="24"/>
        </w:rPr>
        <w:t xml:space="preserve"> D</w:t>
      </w:r>
      <w:r>
        <w:rPr>
          <w:szCs w:val="24"/>
        </w:rPr>
        <w:t xml:space="preserve">uke </w:t>
      </w:r>
      <w:r w:rsidR="001B5E7A">
        <w:rPr>
          <w:szCs w:val="24"/>
        </w:rPr>
        <w:t xml:space="preserve">failed to demonstrate that the </w:t>
      </w:r>
      <w:r w:rsidR="00E259F0">
        <w:rPr>
          <w:szCs w:val="24"/>
        </w:rPr>
        <w:t xml:space="preserve">costs </w:t>
      </w:r>
      <w:r w:rsidR="001B5E7A">
        <w:rPr>
          <w:szCs w:val="24"/>
        </w:rPr>
        <w:t>it alleges will occur</w:t>
      </w:r>
      <w:r w:rsidR="00B41A85">
        <w:rPr>
          <w:szCs w:val="24"/>
        </w:rPr>
        <w:t xml:space="preserve"> and</w:t>
      </w:r>
      <w:r w:rsidR="001B5E7A">
        <w:rPr>
          <w:szCs w:val="24"/>
        </w:rPr>
        <w:t xml:space="preserve"> </w:t>
      </w:r>
      <w:r w:rsidR="00E259F0">
        <w:rPr>
          <w:szCs w:val="24"/>
        </w:rPr>
        <w:t>are just and reasonable</w:t>
      </w:r>
      <w:r w:rsidR="001B5E7A">
        <w:rPr>
          <w:szCs w:val="24"/>
        </w:rPr>
        <w:t xml:space="preserve"> as required </w:t>
      </w:r>
      <w:r w:rsidR="00B41A85">
        <w:rPr>
          <w:szCs w:val="24"/>
        </w:rPr>
        <w:t>by</w:t>
      </w:r>
      <w:r w:rsidR="001B5E7A">
        <w:rPr>
          <w:szCs w:val="24"/>
        </w:rPr>
        <w:t xml:space="preserve"> R.C. 4909.15</w:t>
      </w:r>
      <w:r w:rsidR="00E259F0">
        <w:rPr>
          <w:szCs w:val="24"/>
        </w:rPr>
        <w:t xml:space="preserve">. </w:t>
      </w:r>
      <w:r>
        <w:rPr>
          <w:szCs w:val="24"/>
        </w:rPr>
        <w:t>Duke’</w:t>
      </w:r>
      <w:r w:rsidR="00CA0248">
        <w:rPr>
          <w:szCs w:val="24"/>
        </w:rPr>
        <w:t>s electric base rates were deci</w:t>
      </w:r>
      <w:r w:rsidR="00BA6312">
        <w:rPr>
          <w:szCs w:val="24"/>
        </w:rPr>
        <w:t>ded by the PUCO</w:t>
      </w:r>
      <w:r w:rsidR="002C619E">
        <w:rPr>
          <w:szCs w:val="24"/>
        </w:rPr>
        <w:t xml:space="preserve"> in 2013</w:t>
      </w:r>
      <w:r>
        <w:rPr>
          <w:szCs w:val="24"/>
        </w:rPr>
        <w:t>.</w:t>
      </w:r>
      <w:r w:rsidR="00BA6312">
        <w:rPr>
          <w:rStyle w:val="FootnoteReference"/>
          <w:szCs w:val="24"/>
        </w:rPr>
        <w:footnoteReference w:id="11"/>
      </w:r>
      <w:r>
        <w:rPr>
          <w:szCs w:val="24"/>
        </w:rPr>
        <w:t xml:space="preserve"> Duke must demonstrate how the bill changes required by the PUCO</w:t>
      </w:r>
      <w:r w:rsidR="001B5E7A">
        <w:rPr>
          <w:szCs w:val="24"/>
        </w:rPr>
        <w:t xml:space="preserve"> </w:t>
      </w:r>
      <w:r>
        <w:rPr>
          <w:szCs w:val="24"/>
        </w:rPr>
        <w:t>cause its operating and maintenance exp</w:t>
      </w:r>
      <w:r w:rsidR="00CA0248">
        <w:rPr>
          <w:szCs w:val="24"/>
        </w:rPr>
        <w:t>en</w:t>
      </w:r>
      <w:r>
        <w:rPr>
          <w:szCs w:val="24"/>
        </w:rPr>
        <w:t xml:space="preserve">ses to increase beyond those </w:t>
      </w:r>
      <w:r w:rsidR="001B5E7A">
        <w:rPr>
          <w:szCs w:val="24"/>
        </w:rPr>
        <w:t xml:space="preserve">expenses that are </w:t>
      </w:r>
      <w:r>
        <w:rPr>
          <w:szCs w:val="24"/>
        </w:rPr>
        <w:t xml:space="preserve">already </w:t>
      </w:r>
      <w:r w:rsidR="001B5E7A">
        <w:rPr>
          <w:szCs w:val="24"/>
        </w:rPr>
        <w:t xml:space="preserve">paid for </w:t>
      </w:r>
      <w:r w:rsidR="00BA6312">
        <w:rPr>
          <w:szCs w:val="24"/>
        </w:rPr>
        <w:t>in</w:t>
      </w:r>
      <w:r w:rsidR="001B5E7A">
        <w:rPr>
          <w:szCs w:val="24"/>
        </w:rPr>
        <w:t xml:space="preserve"> </w:t>
      </w:r>
      <w:r>
        <w:rPr>
          <w:szCs w:val="24"/>
        </w:rPr>
        <w:t xml:space="preserve">customers’ base rates. </w:t>
      </w:r>
      <w:r w:rsidR="00E259F0">
        <w:rPr>
          <w:szCs w:val="24"/>
        </w:rPr>
        <w:t xml:space="preserve">  </w:t>
      </w:r>
    </w:p>
    <w:p w:rsidR="00E259F0" w:rsidRDefault="00E259F0" w:rsidP="00E259F0">
      <w:pPr>
        <w:spacing w:line="480" w:lineRule="auto"/>
        <w:ind w:firstLine="720"/>
        <w:rPr>
          <w:szCs w:val="24"/>
        </w:rPr>
      </w:pPr>
      <w:r>
        <w:rPr>
          <w:szCs w:val="24"/>
        </w:rPr>
        <w:t xml:space="preserve">The Utility provides no legal basis upon which the PUCO can allow these deferrals. In the PUCO’s 2012 case investigating Ohio’s retail electric service market, the PUCO determined that </w:t>
      </w:r>
      <w:r w:rsidR="00BB23DF">
        <w:rPr>
          <w:szCs w:val="24"/>
        </w:rPr>
        <w:t xml:space="preserve">Electric Distribution Utilities (“EDU”) </w:t>
      </w:r>
      <w:r>
        <w:rPr>
          <w:szCs w:val="24"/>
        </w:rPr>
        <w:t>could file applications for authority to defer expenses related to the bill format changes. However, the PUCO determined that it would “then evaluate the applications for deferral authority to determine whether the deferred costs are reasonable, appropriately incurred, clearly and directly related to the circumstances for which they were authorized, and in excess of expense amounts already included in rates at the time of approval.”</w:t>
      </w:r>
      <w:r>
        <w:rPr>
          <w:rStyle w:val="FootnoteReference"/>
          <w:szCs w:val="24"/>
        </w:rPr>
        <w:footnoteReference w:id="12"/>
      </w:r>
      <w:r>
        <w:rPr>
          <w:szCs w:val="24"/>
        </w:rPr>
        <w:t xml:space="preserve"> </w:t>
      </w:r>
      <w:r w:rsidR="00D91BBC">
        <w:rPr>
          <w:szCs w:val="24"/>
        </w:rPr>
        <w:t xml:space="preserve">The </w:t>
      </w:r>
      <w:r w:rsidR="0086565A">
        <w:rPr>
          <w:szCs w:val="24"/>
        </w:rPr>
        <w:t>PUCO</w:t>
      </w:r>
      <w:r w:rsidR="00D91BBC">
        <w:rPr>
          <w:szCs w:val="24"/>
        </w:rPr>
        <w:t xml:space="preserve"> also asserted that the cost recovery for bill format changes were most appropriately addressed by EDUs in distribution rate cases. </w:t>
      </w:r>
    </w:p>
    <w:p w:rsidR="00E5096C" w:rsidRDefault="005317D7" w:rsidP="00E259F0">
      <w:pPr>
        <w:spacing w:line="480" w:lineRule="auto"/>
        <w:ind w:firstLine="720"/>
        <w:rPr>
          <w:lang w:val="en"/>
        </w:rPr>
      </w:pPr>
      <w:r>
        <w:rPr>
          <w:szCs w:val="24"/>
        </w:rPr>
        <w:t>The Dayton Power and Light Company (“</w:t>
      </w:r>
      <w:r w:rsidR="00C37651" w:rsidRPr="00C37651">
        <w:rPr>
          <w:szCs w:val="24"/>
        </w:rPr>
        <w:t>DP</w:t>
      </w:r>
      <w:r w:rsidR="00C37651">
        <w:rPr>
          <w:lang w:val="en"/>
        </w:rPr>
        <w:t>&amp;L</w:t>
      </w:r>
      <w:r>
        <w:rPr>
          <w:lang w:val="en"/>
        </w:rPr>
        <w:t>”)</w:t>
      </w:r>
      <w:r w:rsidR="00C37651">
        <w:rPr>
          <w:lang w:val="en"/>
        </w:rPr>
        <w:t xml:space="preserve"> recently made the same </w:t>
      </w:r>
      <w:r w:rsidR="00E5096C">
        <w:rPr>
          <w:lang w:val="en"/>
        </w:rPr>
        <w:t xml:space="preserve">billing expense </w:t>
      </w:r>
      <w:r w:rsidR="00C37651">
        <w:rPr>
          <w:lang w:val="en"/>
        </w:rPr>
        <w:t>deferral request and file</w:t>
      </w:r>
      <w:r w:rsidR="00E5096C">
        <w:rPr>
          <w:lang w:val="en"/>
        </w:rPr>
        <w:t>d no</w:t>
      </w:r>
      <w:r w:rsidR="00C37651">
        <w:rPr>
          <w:lang w:val="en"/>
        </w:rPr>
        <w:t xml:space="preserve"> cost support. The PUCO </w:t>
      </w:r>
      <w:r w:rsidR="00BD75C2">
        <w:rPr>
          <w:lang w:val="en"/>
        </w:rPr>
        <w:t>stated that DP&amp;L f</w:t>
      </w:r>
      <w:r w:rsidR="00E5096C">
        <w:rPr>
          <w:lang w:val="en"/>
        </w:rPr>
        <w:t>a</w:t>
      </w:r>
      <w:r w:rsidR="00BD75C2">
        <w:rPr>
          <w:lang w:val="en"/>
        </w:rPr>
        <w:t xml:space="preserve">iled to provide support for how it arrives at its estimate and the Utility should file a supplemental application that supports the cost estimate required to </w:t>
      </w:r>
      <w:r w:rsidR="00E5096C">
        <w:rPr>
          <w:lang w:val="en"/>
        </w:rPr>
        <w:t>m</w:t>
      </w:r>
      <w:r w:rsidR="00E3347D">
        <w:rPr>
          <w:lang w:val="en"/>
        </w:rPr>
        <w:t>ake the b</w:t>
      </w:r>
      <w:r w:rsidR="00BD75C2">
        <w:rPr>
          <w:lang w:val="en"/>
        </w:rPr>
        <w:t>ill format changes.</w:t>
      </w:r>
      <w:r w:rsidR="00BD75C2">
        <w:rPr>
          <w:rStyle w:val="FootnoteReference"/>
          <w:lang w:val="en"/>
        </w:rPr>
        <w:footnoteReference w:id="13"/>
      </w:r>
      <w:r w:rsidR="00BD75C2">
        <w:rPr>
          <w:lang w:val="en"/>
        </w:rPr>
        <w:t xml:space="preserve"> </w:t>
      </w:r>
      <w:r w:rsidR="00E5096C">
        <w:rPr>
          <w:lang w:val="en"/>
        </w:rPr>
        <w:t>The PUCO must do the same in the present case and require Duke to provide support showing the costs that make up the $922,848</w:t>
      </w:r>
      <w:r w:rsidR="009122AF">
        <w:rPr>
          <w:lang w:val="en"/>
        </w:rPr>
        <w:t>. It must also</w:t>
      </w:r>
      <w:r w:rsidR="00E5096C">
        <w:rPr>
          <w:lang w:val="en"/>
        </w:rPr>
        <w:t xml:space="preserve"> demonstrate that these costs are incremental to what billing expenses are already included in base rates.</w:t>
      </w:r>
    </w:p>
    <w:p w:rsidR="00E144EB" w:rsidRDefault="00E259F0" w:rsidP="00E259F0">
      <w:pPr>
        <w:spacing w:line="480" w:lineRule="auto"/>
        <w:ind w:firstLine="720"/>
        <w:rPr>
          <w:rFonts w:ascii="TimesNewRomanPSMT" w:eastAsiaTheme="minorHAnsi" w:hAnsi="TimesNewRomanPSMT" w:cs="TimesNewRomanPSMT"/>
          <w:szCs w:val="24"/>
        </w:rPr>
      </w:pPr>
      <w:r>
        <w:rPr>
          <w:szCs w:val="24"/>
        </w:rPr>
        <w:t>All EDUs are under the same obligation to make the necessary bill format changes</w:t>
      </w:r>
      <w:r w:rsidR="00E3347D">
        <w:rPr>
          <w:szCs w:val="24"/>
        </w:rPr>
        <w:t>.</w:t>
      </w:r>
      <w:r w:rsidR="00F81793">
        <w:rPr>
          <w:rFonts w:ascii="TimesNewRomanPSMT" w:eastAsiaTheme="minorHAnsi" w:hAnsi="TimesNewRomanPSMT" w:cs="TimesNewRomanPSMT"/>
          <w:szCs w:val="24"/>
        </w:rPr>
        <w:t xml:space="preserve"> The </w:t>
      </w:r>
      <w:r w:rsidR="0086565A">
        <w:rPr>
          <w:rFonts w:ascii="TimesNewRomanPSMT" w:eastAsiaTheme="minorHAnsi" w:hAnsi="TimesNewRomanPSMT" w:cs="TimesNewRomanPSMT"/>
          <w:szCs w:val="24"/>
        </w:rPr>
        <w:t>PUCO</w:t>
      </w:r>
      <w:r w:rsidR="00203A80">
        <w:rPr>
          <w:rFonts w:ascii="TimesNewRomanPSMT" w:eastAsiaTheme="minorHAnsi" w:hAnsi="TimesNewRomanPSMT" w:cs="TimesNewRomanPSMT"/>
          <w:szCs w:val="24"/>
        </w:rPr>
        <w:t xml:space="preserve">’s </w:t>
      </w:r>
      <w:r w:rsidR="00F81793">
        <w:rPr>
          <w:rFonts w:ascii="TimesNewRomanPSMT" w:eastAsiaTheme="minorHAnsi" w:hAnsi="TimesNewRomanPSMT" w:cs="TimesNewRomanPSMT"/>
          <w:szCs w:val="24"/>
        </w:rPr>
        <w:t>Order required electric companies to make bill format changes</w:t>
      </w:r>
      <w:r w:rsidR="00914CF3">
        <w:rPr>
          <w:rFonts w:ascii="TimesNewRomanPSMT" w:eastAsiaTheme="minorHAnsi" w:hAnsi="TimesNewRomanPSMT" w:cs="TimesNewRomanPSMT"/>
          <w:szCs w:val="24"/>
        </w:rPr>
        <w:t>,</w:t>
      </w:r>
      <w:r w:rsidR="00F81793">
        <w:rPr>
          <w:rFonts w:ascii="TimesNewRomanPSMT" w:eastAsiaTheme="minorHAnsi" w:hAnsi="TimesNewRomanPSMT" w:cs="TimesNewRomanPSMT"/>
          <w:szCs w:val="24"/>
        </w:rPr>
        <w:t xml:space="preserve"> stat</w:t>
      </w:r>
      <w:r w:rsidR="00914CF3">
        <w:rPr>
          <w:rFonts w:ascii="TimesNewRomanPSMT" w:eastAsiaTheme="minorHAnsi" w:hAnsi="TimesNewRomanPSMT" w:cs="TimesNewRomanPSMT"/>
          <w:szCs w:val="24"/>
        </w:rPr>
        <w:t>ing</w:t>
      </w:r>
      <w:r w:rsidR="00F81793">
        <w:rPr>
          <w:rFonts w:ascii="TimesNewRomanPSMT" w:eastAsiaTheme="minorHAnsi" w:hAnsi="TimesNewRomanPSMT" w:cs="TimesNewRomanPSMT"/>
          <w:szCs w:val="24"/>
        </w:rPr>
        <w:t xml:space="preserve"> </w:t>
      </w:r>
      <w:r w:rsidR="00EC7773">
        <w:rPr>
          <w:rFonts w:ascii="TimesNewRomanPSMT" w:eastAsiaTheme="minorHAnsi" w:hAnsi="TimesNewRomanPSMT" w:cs="TimesNewRomanPSMT"/>
          <w:szCs w:val="24"/>
        </w:rPr>
        <w:t xml:space="preserve">that </w:t>
      </w:r>
      <w:r w:rsidR="00F81793">
        <w:rPr>
          <w:rFonts w:ascii="TimesNewRomanPSMT" w:eastAsiaTheme="minorHAnsi" w:hAnsi="TimesNewRomanPSMT" w:cs="TimesNewRomanPSMT"/>
          <w:szCs w:val="24"/>
        </w:rPr>
        <w:t xml:space="preserve">“the EDUs may file applications for authority to defer expenses related to the bill format changes </w:t>
      </w:r>
      <w:r w:rsidR="00F81793" w:rsidRPr="00EC7773">
        <w:rPr>
          <w:rFonts w:ascii="TimesNewRomanPSMT" w:eastAsiaTheme="minorHAnsi" w:hAnsi="TimesNewRomanPSMT" w:cs="TimesNewRomanPSMT"/>
          <w:i/>
          <w:szCs w:val="24"/>
        </w:rPr>
        <w:t>when</w:t>
      </w:r>
      <w:r w:rsidR="00F81793">
        <w:rPr>
          <w:rFonts w:ascii="TimesNewRomanPSMT" w:eastAsiaTheme="minorHAnsi" w:hAnsi="TimesNewRomanPSMT" w:cs="TimesNewRomanPSMT"/>
          <w:szCs w:val="24"/>
        </w:rPr>
        <w:t xml:space="preserve"> they file applications to amend their bill formats. The Commission will then evaluate the applications for deferral authority to determine whether the deferred costs are reasonable, appropriately incurred, clearly and directly related to the circumstances for which they were authorized, and in excess of amounts already included in rates at the time of approval.”</w:t>
      </w:r>
      <w:r w:rsidR="00E3347D">
        <w:rPr>
          <w:rStyle w:val="FootnoteReference"/>
          <w:rFonts w:ascii="TimesNewRomanPSMT" w:eastAsiaTheme="minorHAnsi" w:hAnsi="TimesNewRomanPSMT" w:cs="TimesNewRomanPSMT"/>
          <w:szCs w:val="24"/>
        </w:rPr>
        <w:footnoteReference w:id="14"/>
      </w:r>
      <w:r w:rsidR="009122AF">
        <w:rPr>
          <w:rFonts w:ascii="TimesNewRomanPSMT" w:eastAsiaTheme="minorHAnsi" w:hAnsi="TimesNewRomanPSMT" w:cs="TimesNewRomanPSMT"/>
          <w:szCs w:val="24"/>
        </w:rPr>
        <w:t xml:space="preserve"> </w:t>
      </w:r>
      <w:r w:rsidR="00EC7773">
        <w:rPr>
          <w:rFonts w:ascii="TimesNewRomanPSMT" w:eastAsiaTheme="minorHAnsi" w:hAnsi="TimesNewRomanPSMT" w:cs="TimesNewRomanPSMT"/>
          <w:szCs w:val="24"/>
        </w:rPr>
        <w:t>In order to comply with the PUC</w:t>
      </w:r>
      <w:r w:rsidR="00115A19">
        <w:rPr>
          <w:rFonts w:ascii="TimesNewRomanPSMT" w:eastAsiaTheme="minorHAnsi" w:hAnsi="TimesNewRomanPSMT" w:cs="TimesNewRomanPSMT"/>
          <w:szCs w:val="24"/>
        </w:rPr>
        <w:t>O</w:t>
      </w:r>
      <w:r w:rsidR="00EC7773">
        <w:rPr>
          <w:rFonts w:ascii="TimesNewRomanPSMT" w:eastAsiaTheme="minorHAnsi" w:hAnsi="TimesNewRomanPSMT" w:cs="TimesNewRomanPSMT"/>
          <w:szCs w:val="24"/>
        </w:rPr>
        <w:t xml:space="preserve">’s </w:t>
      </w:r>
    </w:p>
    <w:p w:rsidR="00203A80" w:rsidRDefault="00EC7773" w:rsidP="00E144EB">
      <w:pPr>
        <w:spacing w:line="480" w:lineRule="auto"/>
        <w:rPr>
          <w:rFonts w:ascii="TimesNewRomanPSMT" w:eastAsiaTheme="minorHAnsi" w:hAnsi="TimesNewRomanPSMT" w:cs="TimesNewRomanPSMT"/>
          <w:szCs w:val="24"/>
        </w:rPr>
      </w:pPr>
      <w:r>
        <w:rPr>
          <w:rFonts w:ascii="TimesNewRomanPSMT" w:eastAsiaTheme="minorHAnsi" w:hAnsi="TimesNewRomanPSMT" w:cs="TimesNewRomanPSMT"/>
          <w:szCs w:val="24"/>
        </w:rPr>
        <w:t xml:space="preserve">directive, Duke must have </w:t>
      </w:r>
      <w:r w:rsidR="00115A19">
        <w:rPr>
          <w:rFonts w:ascii="TimesNewRomanPSMT" w:eastAsiaTheme="minorHAnsi" w:hAnsi="TimesNewRomanPSMT" w:cs="TimesNewRomanPSMT"/>
          <w:szCs w:val="24"/>
        </w:rPr>
        <w:t xml:space="preserve">requested deferral </w:t>
      </w:r>
      <w:r w:rsidR="00B1785D">
        <w:rPr>
          <w:rFonts w:ascii="TimesNewRomanPSMT" w:eastAsiaTheme="minorHAnsi" w:hAnsi="TimesNewRomanPSMT" w:cs="TimesNewRomanPSMT"/>
          <w:szCs w:val="24"/>
        </w:rPr>
        <w:t xml:space="preserve">authority </w:t>
      </w:r>
      <w:r w:rsidR="00115A19" w:rsidRPr="00115A19">
        <w:rPr>
          <w:rFonts w:ascii="TimesNewRomanPSMT" w:eastAsiaTheme="minorHAnsi" w:hAnsi="TimesNewRomanPSMT" w:cs="TimesNewRomanPSMT"/>
          <w:i/>
          <w:szCs w:val="24"/>
        </w:rPr>
        <w:t>when</w:t>
      </w:r>
      <w:r w:rsidR="00115A19">
        <w:rPr>
          <w:rFonts w:ascii="TimesNewRomanPSMT" w:eastAsiaTheme="minorHAnsi" w:hAnsi="TimesNewRomanPSMT" w:cs="TimesNewRomanPSMT"/>
          <w:szCs w:val="24"/>
        </w:rPr>
        <w:t xml:space="preserve"> it filed to amend its bill format. </w:t>
      </w:r>
      <w:r w:rsidR="009122AF">
        <w:rPr>
          <w:rFonts w:ascii="TimesNewRomanPSMT" w:eastAsiaTheme="minorHAnsi" w:hAnsi="TimesNewRomanPSMT" w:cs="TimesNewRomanPSMT"/>
          <w:szCs w:val="24"/>
        </w:rPr>
        <w:t>But it did not.</w:t>
      </w:r>
      <w:r w:rsidR="008954CD">
        <w:rPr>
          <w:rStyle w:val="FootnoteReference"/>
          <w:rFonts w:ascii="TimesNewRomanPSMT" w:eastAsiaTheme="minorHAnsi" w:hAnsi="TimesNewRomanPSMT" w:cs="TimesNewRomanPSMT"/>
          <w:szCs w:val="24"/>
        </w:rPr>
        <w:footnoteReference w:id="15"/>
      </w:r>
      <w:r w:rsidR="009122AF">
        <w:rPr>
          <w:rFonts w:ascii="TimesNewRomanPSMT" w:eastAsiaTheme="minorHAnsi" w:hAnsi="TimesNewRomanPSMT" w:cs="TimesNewRomanPSMT"/>
          <w:szCs w:val="24"/>
        </w:rPr>
        <w:t xml:space="preserve">  </w:t>
      </w:r>
    </w:p>
    <w:p w:rsidR="00203A80" w:rsidRDefault="00115A19" w:rsidP="00E259F0">
      <w:pPr>
        <w:spacing w:line="480" w:lineRule="auto"/>
        <w:ind w:firstLine="720"/>
        <w:rPr>
          <w:rFonts w:ascii="TimesNewRomanPSMT" w:eastAsiaTheme="minorHAnsi" w:hAnsi="TimesNewRomanPSMT" w:cs="TimesNewRomanPSMT"/>
          <w:szCs w:val="24"/>
        </w:rPr>
      </w:pPr>
      <w:r>
        <w:rPr>
          <w:rFonts w:ascii="TimesNewRomanPSMT" w:eastAsiaTheme="minorHAnsi" w:hAnsi="TimesNewRomanPSMT" w:cs="TimesNewRomanPSMT"/>
          <w:szCs w:val="24"/>
        </w:rPr>
        <w:t>The impo</w:t>
      </w:r>
      <w:r w:rsidR="00914CF3">
        <w:rPr>
          <w:rFonts w:ascii="TimesNewRomanPSMT" w:eastAsiaTheme="minorHAnsi" w:hAnsi="TimesNewRomanPSMT" w:cs="TimesNewRomanPSMT"/>
          <w:szCs w:val="24"/>
        </w:rPr>
        <w:t>r</w:t>
      </w:r>
      <w:r>
        <w:rPr>
          <w:rFonts w:ascii="TimesNewRomanPSMT" w:eastAsiaTheme="minorHAnsi" w:hAnsi="TimesNewRomanPSMT" w:cs="TimesNewRomanPSMT"/>
          <w:szCs w:val="24"/>
        </w:rPr>
        <w:t>t</w:t>
      </w:r>
      <w:r w:rsidR="00914CF3">
        <w:rPr>
          <w:rFonts w:ascii="TimesNewRomanPSMT" w:eastAsiaTheme="minorHAnsi" w:hAnsi="TimesNewRomanPSMT" w:cs="TimesNewRomanPSMT"/>
          <w:szCs w:val="24"/>
        </w:rPr>
        <w:t>a</w:t>
      </w:r>
      <w:r>
        <w:rPr>
          <w:rFonts w:ascii="TimesNewRomanPSMT" w:eastAsiaTheme="minorHAnsi" w:hAnsi="TimesNewRomanPSMT" w:cs="TimesNewRomanPSMT"/>
          <w:szCs w:val="24"/>
        </w:rPr>
        <w:t xml:space="preserve">nce of making the formatting and </w:t>
      </w:r>
      <w:r w:rsidR="00B1785D">
        <w:rPr>
          <w:rFonts w:ascii="TimesNewRomanPSMT" w:eastAsiaTheme="minorHAnsi" w:hAnsi="TimesNewRomanPSMT" w:cs="TimesNewRomanPSMT"/>
          <w:szCs w:val="24"/>
        </w:rPr>
        <w:t>deferral requests</w:t>
      </w:r>
      <w:r>
        <w:rPr>
          <w:rFonts w:ascii="TimesNewRomanPSMT" w:eastAsiaTheme="minorHAnsi" w:hAnsi="TimesNewRomanPSMT" w:cs="TimesNewRomanPSMT"/>
          <w:szCs w:val="24"/>
        </w:rPr>
        <w:t xml:space="preserve"> </w:t>
      </w:r>
      <w:r w:rsidR="00482741">
        <w:rPr>
          <w:rFonts w:ascii="TimesNewRomanPSMT" w:eastAsiaTheme="minorHAnsi" w:hAnsi="TimesNewRomanPSMT" w:cs="TimesNewRomanPSMT"/>
          <w:szCs w:val="24"/>
        </w:rPr>
        <w:t xml:space="preserve">at the same time, as ordered by the PUCO, is that </w:t>
      </w:r>
      <w:r w:rsidR="00B1785D">
        <w:rPr>
          <w:rFonts w:ascii="TimesNewRomanPSMT" w:eastAsiaTheme="minorHAnsi" w:hAnsi="TimesNewRomanPSMT" w:cs="TimesNewRomanPSMT"/>
          <w:szCs w:val="24"/>
        </w:rPr>
        <w:t>it allows the</w:t>
      </w:r>
      <w:r>
        <w:rPr>
          <w:rFonts w:ascii="TimesNewRomanPSMT" w:eastAsiaTheme="minorHAnsi" w:hAnsi="TimesNewRomanPSMT" w:cs="TimesNewRomanPSMT"/>
          <w:szCs w:val="24"/>
        </w:rPr>
        <w:t xml:space="preserve"> PUCO </w:t>
      </w:r>
      <w:r w:rsidR="00B1785D">
        <w:rPr>
          <w:rFonts w:ascii="TimesNewRomanPSMT" w:eastAsiaTheme="minorHAnsi" w:hAnsi="TimesNewRomanPSMT" w:cs="TimesNewRomanPSMT"/>
          <w:szCs w:val="24"/>
        </w:rPr>
        <w:t>to</w:t>
      </w:r>
      <w:r>
        <w:rPr>
          <w:rFonts w:ascii="TimesNewRomanPSMT" w:eastAsiaTheme="minorHAnsi" w:hAnsi="TimesNewRomanPSMT" w:cs="TimesNewRomanPSMT"/>
          <w:szCs w:val="24"/>
        </w:rPr>
        <w:t xml:space="preserve"> weigh the two</w:t>
      </w:r>
      <w:r w:rsidR="0086565A">
        <w:rPr>
          <w:rFonts w:ascii="TimesNewRomanPSMT" w:eastAsiaTheme="minorHAnsi" w:hAnsi="TimesNewRomanPSMT" w:cs="TimesNewRomanPSMT"/>
          <w:szCs w:val="24"/>
        </w:rPr>
        <w:t xml:space="preserve"> -</w:t>
      </w:r>
      <w:r>
        <w:rPr>
          <w:rFonts w:ascii="TimesNewRomanPSMT" w:eastAsiaTheme="minorHAnsi" w:hAnsi="TimesNewRomanPSMT" w:cs="TimesNewRomanPSMT"/>
          <w:szCs w:val="24"/>
        </w:rPr>
        <w:t>- e</w:t>
      </w:r>
      <w:r w:rsidR="00B1785D">
        <w:rPr>
          <w:rFonts w:ascii="TimesNewRomanPSMT" w:eastAsiaTheme="minorHAnsi" w:hAnsi="TimesNewRomanPSMT" w:cs="TimesNewRomanPSMT"/>
          <w:szCs w:val="24"/>
        </w:rPr>
        <w:t>x</w:t>
      </w:r>
      <w:r>
        <w:rPr>
          <w:rFonts w:ascii="TimesNewRomanPSMT" w:eastAsiaTheme="minorHAnsi" w:hAnsi="TimesNewRomanPSMT" w:cs="TimesNewRomanPSMT"/>
          <w:szCs w:val="24"/>
        </w:rPr>
        <w:t xml:space="preserve">amination of the costs </w:t>
      </w:r>
      <w:r w:rsidR="00B1785D">
        <w:rPr>
          <w:rFonts w:ascii="TimesNewRomanPSMT" w:eastAsiaTheme="minorHAnsi" w:hAnsi="TimesNewRomanPSMT" w:cs="TimesNewRomanPSMT"/>
          <w:szCs w:val="24"/>
        </w:rPr>
        <w:t>and</w:t>
      </w:r>
      <w:r>
        <w:rPr>
          <w:rFonts w:ascii="TimesNewRomanPSMT" w:eastAsiaTheme="minorHAnsi" w:hAnsi="TimesNewRomanPSMT" w:cs="TimesNewRomanPSMT"/>
          <w:szCs w:val="24"/>
        </w:rPr>
        <w:t xml:space="preserve"> benefit</w:t>
      </w:r>
      <w:r w:rsidR="00B1785D">
        <w:rPr>
          <w:rFonts w:ascii="TimesNewRomanPSMT" w:eastAsiaTheme="minorHAnsi" w:hAnsi="TimesNewRomanPSMT" w:cs="TimesNewRomanPSMT"/>
          <w:szCs w:val="24"/>
        </w:rPr>
        <w:t>s</w:t>
      </w:r>
      <w:r>
        <w:rPr>
          <w:rFonts w:ascii="TimesNewRomanPSMT" w:eastAsiaTheme="minorHAnsi" w:hAnsi="TimesNewRomanPSMT" w:cs="TimesNewRomanPSMT"/>
          <w:szCs w:val="24"/>
        </w:rPr>
        <w:t xml:space="preserve"> of the new format</w:t>
      </w:r>
      <w:r w:rsidR="00B1785D">
        <w:rPr>
          <w:rFonts w:ascii="TimesNewRomanPSMT" w:eastAsiaTheme="minorHAnsi" w:hAnsi="TimesNewRomanPSMT" w:cs="TimesNewRomanPSMT"/>
          <w:szCs w:val="24"/>
        </w:rPr>
        <w:t xml:space="preserve"> at the same time</w:t>
      </w:r>
      <w:r>
        <w:rPr>
          <w:rFonts w:ascii="TimesNewRomanPSMT" w:eastAsiaTheme="minorHAnsi" w:hAnsi="TimesNewRomanPSMT" w:cs="TimesNewRomanPSMT"/>
          <w:szCs w:val="24"/>
        </w:rPr>
        <w:t>. If the PUCO allows this late-filed deferral request, then Duke may apply again in a few months for an additional cost</w:t>
      </w:r>
      <w:r w:rsidR="00B1785D">
        <w:rPr>
          <w:rFonts w:ascii="TimesNewRomanPSMT" w:eastAsiaTheme="minorHAnsi" w:hAnsi="TimesNewRomanPSMT" w:cs="TimesNewRomanPSMT"/>
          <w:szCs w:val="24"/>
        </w:rPr>
        <w:t xml:space="preserve"> associated with bill format changes</w:t>
      </w:r>
      <w:r>
        <w:rPr>
          <w:rFonts w:ascii="TimesNewRomanPSMT" w:eastAsiaTheme="minorHAnsi" w:hAnsi="TimesNewRomanPSMT" w:cs="TimesNewRomanPSMT"/>
          <w:szCs w:val="24"/>
        </w:rPr>
        <w:t>.</w:t>
      </w:r>
      <w:r w:rsidR="00482741">
        <w:rPr>
          <w:rFonts w:ascii="TimesNewRomanPSMT" w:eastAsiaTheme="minorHAnsi" w:hAnsi="TimesNewRomanPSMT" w:cs="TimesNewRomanPSMT"/>
          <w:szCs w:val="24"/>
        </w:rPr>
        <w:t xml:space="preserve"> This late-filed deferral request is not what the PUCO intended in its order</w:t>
      </w:r>
      <w:r w:rsidR="00203A80">
        <w:rPr>
          <w:rFonts w:ascii="TimesNewRomanPSMT" w:eastAsiaTheme="minorHAnsi" w:hAnsi="TimesNewRomanPSMT" w:cs="TimesNewRomanPSMT"/>
          <w:szCs w:val="24"/>
        </w:rPr>
        <w:t>.</w:t>
      </w:r>
    </w:p>
    <w:p w:rsidR="00203A80" w:rsidRDefault="00B1785D" w:rsidP="00E259F0">
      <w:pPr>
        <w:spacing w:line="480" w:lineRule="auto"/>
        <w:ind w:firstLine="720"/>
        <w:rPr>
          <w:rFonts w:ascii="TimesNewRomanPSMT" w:eastAsiaTheme="minorHAnsi" w:hAnsi="TimesNewRomanPSMT" w:cs="TimesNewRomanPSMT"/>
          <w:szCs w:val="24"/>
        </w:rPr>
      </w:pPr>
      <w:r>
        <w:rPr>
          <w:rFonts w:ascii="TimesNewRomanPSMT" w:eastAsiaTheme="minorHAnsi" w:hAnsi="TimesNewRomanPSMT" w:cs="TimesNewRomanPSMT"/>
          <w:szCs w:val="24"/>
        </w:rPr>
        <w:t xml:space="preserve">Duke stated in its bill format case that the </w:t>
      </w:r>
      <w:r w:rsidR="002C619E">
        <w:rPr>
          <w:rFonts w:ascii="TimesNewRomanPSMT" w:eastAsiaTheme="minorHAnsi" w:hAnsi="TimesNewRomanPSMT" w:cs="TimesNewRomanPSMT"/>
          <w:szCs w:val="24"/>
        </w:rPr>
        <w:t>Utility</w:t>
      </w:r>
      <w:r>
        <w:rPr>
          <w:rFonts w:ascii="TimesNewRomanPSMT" w:eastAsiaTheme="minorHAnsi" w:hAnsi="TimesNewRomanPSMT" w:cs="TimesNewRomanPSMT"/>
          <w:szCs w:val="24"/>
        </w:rPr>
        <w:t xml:space="preserve"> estimated that it would cost approximately $1.1 million to comply. However, the Utility never requested a deferral and did not file the case under an</w:t>
      </w:r>
      <w:r w:rsidR="00FC1DAA">
        <w:rPr>
          <w:rFonts w:ascii="TimesNewRomanPSMT" w:eastAsiaTheme="minorHAnsi" w:hAnsi="TimesNewRomanPSMT" w:cs="TimesNewRomanPSMT"/>
          <w:szCs w:val="24"/>
        </w:rPr>
        <w:t xml:space="preserve"> “</w:t>
      </w:r>
      <w:r>
        <w:rPr>
          <w:rFonts w:ascii="TimesNewRomanPSMT" w:eastAsiaTheme="minorHAnsi" w:hAnsi="TimesNewRomanPSMT" w:cs="TimesNewRomanPSMT"/>
          <w:szCs w:val="24"/>
        </w:rPr>
        <w:t xml:space="preserve">AAM” purpose code, which would have indicated that the </w:t>
      </w:r>
      <w:r w:rsidR="001D5D82">
        <w:rPr>
          <w:rFonts w:ascii="TimesNewRomanPSMT" w:eastAsiaTheme="minorHAnsi" w:hAnsi="TimesNewRomanPSMT" w:cs="TimesNewRomanPSMT"/>
          <w:szCs w:val="24"/>
        </w:rPr>
        <w:t>Utility</w:t>
      </w:r>
      <w:r>
        <w:rPr>
          <w:rFonts w:ascii="TimesNewRomanPSMT" w:eastAsiaTheme="minorHAnsi" w:hAnsi="TimesNewRomanPSMT" w:cs="TimesNewRomanPSMT"/>
          <w:szCs w:val="24"/>
        </w:rPr>
        <w:t xml:space="preserve"> was requesting autho</w:t>
      </w:r>
      <w:r w:rsidR="00FC1DAA">
        <w:rPr>
          <w:rFonts w:ascii="TimesNewRomanPSMT" w:eastAsiaTheme="minorHAnsi" w:hAnsi="TimesNewRomanPSMT" w:cs="TimesNewRomanPSMT"/>
          <w:szCs w:val="24"/>
        </w:rPr>
        <w:t>r</w:t>
      </w:r>
      <w:r>
        <w:rPr>
          <w:rFonts w:ascii="TimesNewRomanPSMT" w:eastAsiaTheme="minorHAnsi" w:hAnsi="TimesNewRomanPSMT" w:cs="TimesNewRomanPSMT"/>
          <w:szCs w:val="24"/>
        </w:rPr>
        <w:t>i</w:t>
      </w:r>
      <w:r w:rsidR="00FC1DAA">
        <w:rPr>
          <w:rFonts w:ascii="TimesNewRomanPSMT" w:eastAsiaTheme="minorHAnsi" w:hAnsi="TimesNewRomanPSMT" w:cs="TimesNewRomanPSMT"/>
          <w:szCs w:val="24"/>
        </w:rPr>
        <w:t>t</w:t>
      </w:r>
      <w:r>
        <w:rPr>
          <w:rFonts w:ascii="TimesNewRomanPSMT" w:eastAsiaTheme="minorHAnsi" w:hAnsi="TimesNewRomanPSMT" w:cs="TimesNewRomanPSMT"/>
          <w:szCs w:val="24"/>
        </w:rPr>
        <w:t xml:space="preserve">y for a change of accounting methods. </w:t>
      </w:r>
      <w:r w:rsidR="00482741">
        <w:rPr>
          <w:rFonts w:ascii="TimesNewRomanPSMT" w:eastAsiaTheme="minorHAnsi" w:hAnsi="TimesNewRomanPSMT" w:cs="TimesNewRomanPSMT"/>
          <w:szCs w:val="24"/>
        </w:rPr>
        <w:t>In fact, Duke withdrew its request for cost recovery or deferral authority when it filed an amended application.</w:t>
      </w:r>
      <w:r w:rsidR="00482741">
        <w:rPr>
          <w:rStyle w:val="FootnoteReference"/>
          <w:rFonts w:ascii="TimesNewRomanPSMT" w:eastAsiaTheme="minorHAnsi" w:hAnsi="TimesNewRomanPSMT" w:cs="TimesNewRomanPSMT"/>
          <w:szCs w:val="24"/>
        </w:rPr>
        <w:footnoteReference w:id="16"/>
      </w:r>
      <w:r w:rsidR="00482741">
        <w:rPr>
          <w:rFonts w:ascii="TimesNewRomanPSMT" w:eastAsiaTheme="minorHAnsi" w:hAnsi="TimesNewRomanPSMT" w:cs="TimesNewRomanPSMT"/>
          <w:szCs w:val="24"/>
        </w:rPr>
        <w:t xml:space="preserve"> </w:t>
      </w:r>
    </w:p>
    <w:p w:rsidR="00F81793" w:rsidRDefault="002C619E" w:rsidP="00E259F0">
      <w:pPr>
        <w:spacing w:line="480" w:lineRule="auto"/>
        <w:ind w:firstLine="720"/>
        <w:rPr>
          <w:rFonts w:ascii="TimesNewRomanPSMT" w:eastAsiaTheme="minorHAnsi" w:hAnsi="TimesNewRomanPSMT" w:cs="TimesNewRomanPSMT"/>
          <w:szCs w:val="24"/>
        </w:rPr>
      </w:pPr>
      <w:r>
        <w:rPr>
          <w:rFonts w:ascii="TimesNewRomanPSMT" w:eastAsiaTheme="minorHAnsi" w:hAnsi="TimesNewRomanPSMT" w:cs="TimesNewRomanPSMT"/>
          <w:szCs w:val="24"/>
        </w:rPr>
        <w:t xml:space="preserve">Duke made an untimely </w:t>
      </w:r>
      <w:r w:rsidR="00B1003B">
        <w:rPr>
          <w:rFonts w:ascii="TimesNewRomanPSMT" w:eastAsiaTheme="minorHAnsi" w:hAnsi="TimesNewRomanPSMT" w:cs="TimesNewRomanPSMT"/>
          <w:szCs w:val="24"/>
        </w:rPr>
        <w:t xml:space="preserve">and unsupported </w:t>
      </w:r>
      <w:r>
        <w:rPr>
          <w:rFonts w:ascii="TimesNewRomanPSMT" w:eastAsiaTheme="minorHAnsi" w:hAnsi="TimesNewRomanPSMT" w:cs="TimesNewRomanPSMT"/>
          <w:szCs w:val="24"/>
        </w:rPr>
        <w:t>request for deferral authority and the PUCO should reject the Application.</w:t>
      </w:r>
    </w:p>
    <w:p w:rsidR="00E259F0" w:rsidRPr="00657C86" w:rsidRDefault="00E259F0" w:rsidP="00E259F0">
      <w:pPr>
        <w:ind w:firstLine="720"/>
        <w:rPr>
          <w:szCs w:val="24"/>
        </w:rPr>
      </w:pPr>
    </w:p>
    <w:p w:rsidR="00E259F0" w:rsidRDefault="00E259F0" w:rsidP="00E259F0">
      <w:pPr>
        <w:pStyle w:val="Heading1"/>
      </w:pPr>
      <w:bookmarkStart w:id="11" w:name="_Toc407797651"/>
      <w:bookmarkStart w:id="12" w:name="_Toc421715350"/>
      <w:bookmarkStart w:id="13" w:name="_Toc421716325"/>
      <w:r>
        <w:t>IV.</w:t>
      </w:r>
      <w:r>
        <w:tab/>
        <w:t>CONCLUSION</w:t>
      </w:r>
      <w:bookmarkEnd w:id="11"/>
      <w:bookmarkEnd w:id="12"/>
      <w:bookmarkEnd w:id="13"/>
    </w:p>
    <w:p w:rsidR="00E259F0" w:rsidRDefault="00E259F0" w:rsidP="00E259F0">
      <w:pPr>
        <w:autoSpaceDE w:val="0"/>
        <w:autoSpaceDN w:val="0"/>
        <w:adjustRightInd w:val="0"/>
        <w:spacing w:line="480" w:lineRule="auto"/>
        <w:ind w:firstLine="720"/>
        <w:rPr>
          <w:szCs w:val="24"/>
        </w:rPr>
      </w:pPr>
      <w:r>
        <w:rPr>
          <w:szCs w:val="24"/>
        </w:rPr>
        <w:t>OCC meets the standards for intervention in this proceeding. The PUCO should grant OCC’s Motion to Intervene.</w:t>
      </w:r>
    </w:p>
    <w:p w:rsidR="00E259F0" w:rsidRDefault="00E259F0" w:rsidP="00E259F0">
      <w:pPr>
        <w:autoSpaceDE w:val="0"/>
        <w:autoSpaceDN w:val="0"/>
        <w:adjustRightInd w:val="0"/>
        <w:spacing w:line="480" w:lineRule="auto"/>
        <w:ind w:firstLine="720"/>
        <w:rPr>
          <w:szCs w:val="24"/>
        </w:rPr>
      </w:pPr>
      <w:r>
        <w:rPr>
          <w:szCs w:val="24"/>
        </w:rPr>
        <w:t xml:space="preserve">OCC recommends that the PUCO deny </w:t>
      </w:r>
      <w:r w:rsidR="00BD75C2">
        <w:rPr>
          <w:szCs w:val="24"/>
        </w:rPr>
        <w:t>Duke’s</w:t>
      </w:r>
      <w:r>
        <w:rPr>
          <w:szCs w:val="24"/>
        </w:rPr>
        <w:t xml:space="preserve"> request to defer $</w:t>
      </w:r>
      <w:r w:rsidR="00BD75C2">
        <w:rPr>
          <w:szCs w:val="24"/>
        </w:rPr>
        <w:t>922,848</w:t>
      </w:r>
      <w:r>
        <w:rPr>
          <w:szCs w:val="24"/>
        </w:rPr>
        <w:t xml:space="preserve"> in expenses. If the PUCO chooses to consider the deferrals proposed by D</w:t>
      </w:r>
      <w:r w:rsidR="00BD75C2">
        <w:rPr>
          <w:szCs w:val="24"/>
        </w:rPr>
        <w:t>uke</w:t>
      </w:r>
      <w:r>
        <w:rPr>
          <w:szCs w:val="24"/>
        </w:rPr>
        <w:t xml:space="preserve">, further review is appropriate at this time. In that event, the PUCO must </w:t>
      </w:r>
      <w:r>
        <w:t>establish a procedural schedule that allows for parties to intervene, conduct discovery, file testimony, and have a hearing.</w:t>
      </w:r>
    </w:p>
    <w:p w:rsidR="00031C2C" w:rsidRDefault="00031C2C">
      <w:pPr>
        <w:spacing w:after="200" w:line="276" w:lineRule="auto"/>
        <w:rPr>
          <w:szCs w:val="24"/>
        </w:rPr>
      </w:pPr>
      <w:r>
        <w:rPr>
          <w:szCs w:val="24"/>
        </w:rPr>
        <w:br w:type="page"/>
      </w:r>
    </w:p>
    <w:p w:rsidR="00E259F0" w:rsidRDefault="00E259F0" w:rsidP="00E144EB">
      <w:pPr>
        <w:spacing w:after="200" w:line="276" w:lineRule="auto"/>
        <w:ind w:left="3600" w:firstLine="720"/>
      </w:pPr>
      <w:r>
        <w:rPr>
          <w:szCs w:val="24"/>
        </w:rPr>
        <w:t>Respectfully submitted,</w:t>
      </w:r>
    </w:p>
    <w:p w:rsidR="00E259F0" w:rsidRDefault="00E259F0" w:rsidP="00E259F0">
      <w:pPr>
        <w:pStyle w:val="Footer"/>
        <w:tabs>
          <w:tab w:val="left" w:pos="4320"/>
        </w:tabs>
        <w:spacing w:before="240"/>
        <w:rPr>
          <w:sz w:val="24"/>
          <w:szCs w:val="24"/>
        </w:rPr>
      </w:pPr>
      <w:r>
        <w:rPr>
          <w:sz w:val="24"/>
          <w:szCs w:val="24"/>
        </w:rPr>
        <w:tab/>
        <w:t>BRUCE J. WESTON</w:t>
      </w:r>
    </w:p>
    <w:p w:rsidR="00E259F0" w:rsidRDefault="00E259F0" w:rsidP="00E259F0">
      <w:pPr>
        <w:tabs>
          <w:tab w:val="left" w:pos="4320"/>
        </w:tabs>
        <w:rPr>
          <w:szCs w:val="24"/>
        </w:rPr>
      </w:pPr>
      <w:r>
        <w:rPr>
          <w:szCs w:val="24"/>
        </w:rPr>
        <w:tab/>
        <w:t>OHIO CONSUMERS’ COUNSEL</w:t>
      </w:r>
    </w:p>
    <w:p w:rsidR="00E259F0" w:rsidRDefault="00E259F0" w:rsidP="00E259F0">
      <w:pPr>
        <w:tabs>
          <w:tab w:val="left" w:pos="4320"/>
        </w:tabs>
        <w:rPr>
          <w:szCs w:val="24"/>
        </w:rPr>
      </w:pPr>
      <w:r>
        <w:rPr>
          <w:szCs w:val="24"/>
        </w:rPr>
        <w:tab/>
      </w:r>
    </w:p>
    <w:p w:rsidR="00E259F0" w:rsidRDefault="00E259F0" w:rsidP="00E259F0">
      <w:pPr>
        <w:tabs>
          <w:tab w:val="left" w:pos="4320"/>
        </w:tabs>
        <w:rPr>
          <w:szCs w:val="24"/>
        </w:rPr>
      </w:pPr>
      <w:r>
        <w:rPr>
          <w:szCs w:val="24"/>
        </w:rPr>
        <w:tab/>
      </w:r>
      <w:r>
        <w:rPr>
          <w:i/>
          <w:szCs w:val="24"/>
          <w:u w:val="single"/>
        </w:rPr>
        <w:t xml:space="preserve">/s/ </w:t>
      </w:r>
      <w:r w:rsidR="00BD75C2">
        <w:rPr>
          <w:i/>
          <w:szCs w:val="24"/>
          <w:u w:val="single"/>
        </w:rPr>
        <w:t>Jodi Bair</w:t>
      </w:r>
      <w:r>
        <w:rPr>
          <w:szCs w:val="24"/>
        </w:rPr>
        <w:t>____________________</w:t>
      </w:r>
    </w:p>
    <w:p w:rsidR="00E259F0" w:rsidRDefault="00BD75C2" w:rsidP="00E259F0">
      <w:pPr>
        <w:tabs>
          <w:tab w:val="left" w:pos="4320"/>
        </w:tabs>
        <w:rPr>
          <w:szCs w:val="24"/>
        </w:rPr>
      </w:pPr>
      <w:r>
        <w:rPr>
          <w:szCs w:val="24"/>
        </w:rPr>
        <w:tab/>
        <w:t>Jodi Bair (0062921</w:t>
      </w:r>
      <w:r w:rsidR="00E259F0">
        <w:rPr>
          <w:szCs w:val="24"/>
        </w:rPr>
        <w:t>) Counsel of Record</w:t>
      </w:r>
    </w:p>
    <w:p w:rsidR="00E259F0" w:rsidRDefault="00E259F0" w:rsidP="00E259F0">
      <w:pPr>
        <w:tabs>
          <w:tab w:val="left" w:pos="4320"/>
        </w:tabs>
        <w:rPr>
          <w:szCs w:val="24"/>
        </w:rPr>
      </w:pPr>
      <w:r>
        <w:rPr>
          <w:szCs w:val="24"/>
        </w:rPr>
        <w:tab/>
        <w:t>Assistant Consumers’ Counsel</w:t>
      </w:r>
    </w:p>
    <w:p w:rsidR="00E259F0" w:rsidRDefault="00E259F0" w:rsidP="00E259F0">
      <w:r>
        <w:tab/>
      </w:r>
      <w:r>
        <w:tab/>
      </w:r>
      <w:r>
        <w:tab/>
      </w:r>
      <w:r>
        <w:tab/>
      </w:r>
      <w:r>
        <w:tab/>
      </w:r>
      <w:r>
        <w:tab/>
      </w:r>
    </w:p>
    <w:p w:rsidR="00E259F0" w:rsidRDefault="00E259F0" w:rsidP="00E259F0">
      <w:pPr>
        <w:ind w:left="3600" w:firstLine="720"/>
        <w:rPr>
          <w:b/>
        </w:rPr>
      </w:pPr>
      <w:r>
        <w:rPr>
          <w:b/>
        </w:rPr>
        <w:t>Office of the Ohio Consumers’ Counsel</w:t>
      </w:r>
    </w:p>
    <w:p w:rsidR="00E259F0" w:rsidRDefault="00E259F0" w:rsidP="00E259F0">
      <w:pPr>
        <w:ind w:left="4320"/>
      </w:pPr>
      <w:r>
        <w:t>10 West Broad Street, Suite 1800</w:t>
      </w:r>
    </w:p>
    <w:p w:rsidR="00E259F0" w:rsidRDefault="00E259F0" w:rsidP="00E259F0">
      <w:pPr>
        <w:ind w:left="4320"/>
      </w:pPr>
      <w:r>
        <w:t>Columbus, Ohio 43215-3485</w:t>
      </w:r>
    </w:p>
    <w:p w:rsidR="00E259F0" w:rsidRDefault="00E259F0" w:rsidP="00E259F0">
      <w:pPr>
        <w:autoSpaceDE w:val="0"/>
        <w:autoSpaceDN w:val="0"/>
        <w:adjustRightInd w:val="0"/>
        <w:ind w:left="3600" w:firstLine="720"/>
        <w:rPr>
          <w:szCs w:val="24"/>
        </w:rPr>
      </w:pPr>
      <w:r>
        <w:rPr>
          <w:szCs w:val="24"/>
        </w:rPr>
        <w:t xml:space="preserve">Telephone:  (Direct </w:t>
      </w:r>
      <w:r w:rsidR="00BD75C2">
        <w:rPr>
          <w:szCs w:val="24"/>
        </w:rPr>
        <w:t>Bair</w:t>
      </w:r>
      <w:r>
        <w:rPr>
          <w:szCs w:val="24"/>
        </w:rPr>
        <w:t>)</w:t>
      </w:r>
      <w:r w:rsidR="00CF048E">
        <w:rPr>
          <w:szCs w:val="24"/>
        </w:rPr>
        <w:t xml:space="preserve"> </w:t>
      </w:r>
      <w:r>
        <w:rPr>
          <w:szCs w:val="24"/>
        </w:rPr>
        <w:t>(614) 466-955</w:t>
      </w:r>
      <w:r w:rsidR="00BD75C2">
        <w:rPr>
          <w:szCs w:val="24"/>
        </w:rPr>
        <w:t>9</w:t>
      </w:r>
    </w:p>
    <w:p w:rsidR="004C5CEC" w:rsidRDefault="00DE071B" w:rsidP="00E259F0">
      <w:pPr>
        <w:autoSpaceDE w:val="0"/>
        <w:autoSpaceDN w:val="0"/>
        <w:adjustRightInd w:val="0"/>
        <w:ind w:left="3600" w:firstLine="720"/>
        <w:rPr>
          <w:rStyle w:val="Hyperlink"/>
          <w:szCs w:val="24"/>
        </w:rPr>
      </w:pPr>
      <w:hyperlink r:id="rId20" w:history="1">
        <w:r w:rsidR="004C5CEC" w:rsidRPr="0028105C">
          <w:rPr>
            <w:rStyle w:val="Hyperlink"/>
            <w:szCs w:val="24"/>
          </w:rPr>
          <w:t>Jodi.bair@occ.ohio.gov</w:t>
        </w:r>
      </w:hyperlink>
    </w:p>
    <w:p w:rsidR="000D39A6" w:rsidRPr="000D39A6" w:rsidRDefault="000D39A6" w:rsidP="00E259F0">
      <w:pPr>
        <w:autoSpaceDE w:val="0"/>
        <w:autoSpaceDN w:val="0"/>
        <w:adjustRightInd w:val="0"/>
        <w:ind w:left="3600" w:firstLine="720"/>
        <w:rPr>
          <w:szCs w:val="24"/>
        </w:rPr>
      </w:pPr>
      <w:r w:rsidRPr="000D39A6">
        <w:rPr>
          <w:rStyle w:val="Hyperlink"/>
          <w:color w:val="auto"/>
          <w:szCs w:val="24"/>
          <w:u w:val="none"/>
        </w:rPr>
        <w:t>(will accept service via email)</w:t>
      </w:r>
    </w:p>
    <w:p w:rsidR="00E259F0" w:rsidRDefault="00E259F0" w:rsidP="00E259F0">
      <w:pPr>
        <w:autoSpaceDE w:val="0"/>
        <w:autoSpaceDN w:val="0"/>
        <w:adjustRightInd w:val="0"/>
        <w:ind w:left="3600" w:firstLine="720"/>
        <w:rPr>
          <w:szCs w:val="24"/>
        </w:rPr>
      </w:pPr>
    </w:p>
    <w:p w:rsidR="00E259F0" w:rsidRDefault="00E259F0" w:rsidP="00E259F0">
      <w:pPr>
        <w:jc w:val="center"/>
        <w:rPr>
          <w:b/>
          <w:bCs/>
          <w:u w:val="single"/>
        </w:rPr>
      </w:pPr>
    </w:p>
    <w:p w:rsidR="00E259F0" w:rsidRDefault="00E259F0" w:rsidP="00E259F0">
      <w:pPr>
        <w:jc w:val="center"/>
        <w:rPr>
          <w:b/>
          <w:bCs/>
          <w:u w:val="single"/>
        </w:rPr>
      </w:pPr>
    </w:p>
    <w:p w:rsidR="00E259F0" w:rsidRDefault="00E259F0" w:rsidP="00E259F0">
      <w:pPr>
        <w:jc w:val="center"/>
        <w:rPr>
          <w:b/>
          <w:bCs/>
          <w:u w:val="single"/>
        </w:rPr>
      </w:pPr>
      <w:r>
        <w:rPr>
          <w:b/>
          <w:bCs/>
          <w:u w:val="single"/>
        </w:rPr>
        <w:br w:type="page"/>
        <w:t>CERTIFICATE OF SERVICE</w:t>
      </w:r>
    </w:p>
    <w:p w:rsidR="00E259F0" w:rsidRDefault="00E259F0" w:rsidP="00E259F0">
      <w:pPr>
        <w:spacing w:line="480" w:lineRule="atLeast"/>
      </w:pPr>
      <w:r>
        <w:tab/>
        <w:t xml:space="preserve">I hereby certify that a copy of this </w:t>
      </w:r>
      <w:r>
        <w:rPr>
          <w:i/>
        </w:rPr>
        <w:t xml:space="preserve">Motion to Intervene and Initial Comments </w:t>
      </w:r>
      <w:r>
        <w:t xml:space="preserve">were served on the persons stated below via electronic transmission this </w:t>
      </w:r>
      <w:r w:rsidR="00CF048E">
        <w:t>10th</w:t>
      </w:r>
      <w:r>
        <w:t xml:space="preserve"> day of </w:t>
      </w:r>
      <w:r w:rsidR="00E24889">
        <w:t>June</w:t>
      </w:r>
      <w:r>
        <w:t xml:space="preserve"> 201</w:t>
      </w:r>
      <w:r w:rsidR="00E24889">
        <w:t>5</w:t>
      </w:r>
      <w:r>
        <w:t>.</w:t>
      </w:r>
    </w:p>
    <w:p w:rsidR="00E259F0" w:rsidRDefault="00E259F0" w:rsidP="00E259F0">
      <w:pPr>
        <w:spacing w:line="480" w:lineRule="atLeast"/>
      </w:pPr>
    </w:p>
    <w:p w:rsidR="00E259F0" w:rsidRDefault="00E259F0" w:rsidP="00E259F0">
      <w:pPr>
        <w:tabs>
          <w:tab w:val="left" w:pos="4320"/>
        </w:tabs>
      </w:pPr>
      <w:r>
        <w:tab/>
      </w:r>
      <w:r>
        <w:rPr>
          <w:i/>
          <w:u w:val="single"/>
        </w:rPr>
        <w:t xml:space="preserve">/s/ </w:t>
      </w:r>
      <w:r w:rsidR="00E24889">
        <w:rPr>
          <w:i/>
          <w:u w:val="single"/>
        </w:rPr>
        <w:t>Jodi Bair</w:t>
      </w:r>
      <w:r>
        <w:t>_______________</w:t>
      </w:r>
    </w:p>
    <w:p w:rsidR="00E259F0" w:rsidRDefault="00E24889" w:rsidP="00E259F0">
      <w:pPr>
        <w:tabs>
          <w:tab w:val="left" w:pos="4320"/>
        </w:tabs>
      </w:pPr>
      <w:r>
        <w:tab/>
        <w:t>Jodi Bair</w:t>
      </w:r>
    </w:p>
    <w:p w:rsidR="00E259F0" w:rsidRDefault="00E259F0" w:rsidP="00E259F0">
      <w:pPr>
        <w:tabs>
          <w:tab w:val="left" w:pos="4320"/>
        </w:tabs>
      </w:pPr>
      <w:r>
        <w:tab/>
        <w:t>Assistant Consumers’ Counsel</w:t>
      </w:r>
    </w:p>
    <w:p w:rsidR="00E259F0" w:rsidRDefault="00E259F0" w:rsidP="00E259F0">
      <w:pPr>
        <w:pStyle w:val="CommentSubject"/>
      </w:pPr>
    </w:p>
    <w:p w:rsidR="00E259F0" w:rsidRDefault="00E259F0" w:rsidP="00E259F0">
      <w:pPr>
        <w:pStyle w:val="CommentText"/>
      </w:pPr>
    </w:p>
    <w:p w:rsidR="00E259F0" w:rsidRDefault="00E259F0" w:rsidP="00E259F0">
      <w:pPr>
        <w:pStyle w:val="CommentText"/>
        <w:jc w:val="center"/>
        <w:rPr>
          <w:b/>
          <w:u w:val="single"/>
          <w:lang w:val="en-US"/>
        </w:rPr>
      </w:pPr>
      <w:r>
        <w:rPr>
          <w:b/>
          <w:u w:val="single"/>
        </w:rPr>
        <w:t>SERVICE LIS</w:t>
      </w:r>
      <w:r>
        <w:rPr>
          <w:b/>
          <w:u w:val="single"/>
          <w:lang w:val="en-US"/>
        </w:rPr>
        <w:t>T</w:t>
      </w:r>
    </w:p>
    <w:p w:rsidR="00E259F0" w:rsidRDefault="00E259F0" w:rsidP="00E259F0">
      <w:pPr>
        <w:pStyle w:val="CommentText"/>
        <w:jc w:val="center"/>
        <w:rPr>
          <w:b/>
          <w:u w:val="single"/>
          <w:lang w:val="en-US"/>
        </w:rPr>
      </w:pPr>
    </w:p>
    <w:p w:rsidR="00E259F0" w:rsidRDefault="00E259F0" w:rsidP="00E259F0">
      <w:pPr>
        <w:pStyle w:val="CommentText"/>
        <w:jc w:val="center"/>
        <w:rPr>
          <w:b/>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329"/>
      </w:tblGrid>
      <w:tr w:rsidR="00E259F0" w:rsidTr="00DA5627">
        <w:tc>
          <w:tcPr>
            <w:tcW w:w="4788" w:type="dxa"/>
          </w:tcPr>
          <w:p w:rsidR="00E259F0" w:rsidRPr="005461EF" w:rsidRDefault="00E259F0" w:rsidP="00DA5627">
            <w:pPr>
              <w:jc w:val="both"/>
              <w:rPr>
                <w:bCs/>
                <w:lang w:eastAsia="x-none"/>
              </w:rPr>
            </w:pPr>
            <w:r w:rsidRPr="005461EF">
              <w:rPr>
                <w:bCs/>
                <w:lang w:eastAsia="x-none"/>
              </w:rPr>
              <w:t>William Wright</w:t>
            </w:r>
          </w:p>
          <w:p w:rsidR="00E259F0" w:rsidRPr="005461EF" w:rsidRDefault="00E259F0" w:rsidP="00DA5627">
            <w:pPr>
              <w:jc w:val="both"/>
              <w:rPr>
                <w:bCs/>
                <w:lang w:eastAsia="x-none"/>
              </w:rPr>
            </w:pPr>
            <w:r w:rsidRPr="005461EF">
              <w:rPr>
                <w:bCs/>
                <w:lang w:eastAsia="x-none"/>
              </w:rPr>
              <w:t>Attorney General’s Office</w:t>
            </w:r>
          </w:p>
          <w:p w:rsidR="00E259F0" w:rsidRPr="005461EF" w:rsidRDefault="00E259F0" w:rsidP="00DA5627">
            <w:pPr>
              <w:jc w:val="both"/>
              <w:rPr>
                <w:bCs/>
                <w:lang w:eastAsia="x-none"/>
              </w:rPr>
            </w:pPr>
            <w:r w:rsidRPr="005461EF">
              <w:rPr>
                <w:bCs/>
                <w:lang w:eastAsia="x-none"/>
              </w:rPr>
              <w:t>Public Utilities Commission of Ohio</w:t>
            </w:r>
          </w:p>
          <w:p w:rsidR="00E259F0" w:rsidRPr="005461EF" w:rsidRDefault="00E259F0" w:rsidP="00DA5627">
            <w:pPr>
              <w:jc w:val="both"/>
              <w:rPr>
                <w:bCs/>
                <w:lang w:eastAsia="x-none"/>
              </w:rPr>
            </w:pPr>
            <w:r w:rsidRPr="005461EF">
              <w:rPr>
                <w:bCs/>
                <w:lang w:eastAsia="x-none"/>
              </w:rPr>
              <w:t>180 E. Broad St., 5</w:t>
            </w:r>
            <w:r w:rsidRPr="005461EF">
              <w:rPr>
                <w:bCs/>
                <w:vertAlign w:val="superscript"/>
                <w:lang w:eastAsia="x-none"/>
              </w:rPr>
              <w:t>th</w:t>
            </w:r>
            <w:r w:rsidRPr="005461EF">
              <w:rPr>
                <w:bCs/>
                <w:lang w:eastAsia="x-none"/>
              </w:rPr>
              <w:t xml:space="preserve"> Fl.</w:t>
            </w:r>
          </w:p>
          <w:p w:rsidR="00E259F0" w:rsidRPr="005461EF" w:rsidRDefault="00E259F0" w:rsidP="00DA5627">
            <w:pPr>
              <w:jc w:val="both"/>
              <w:rPr>
                <w:bCs/>
                <w:lang w:eastAsia="x-none"/>
              </w:rPr>
            </w:pPr>
            <w:r w:rsidRPr="005461EF">
              <w:rPr>
                <w:bCs/>
                <w:lang w:eastAsia="x-none"/>
              </w:rPr>
              <w:t>Columbus, OH 43215</w:t>
            </w:r>
          </w:p>
          <w:p w:rsidR="00E259F0" w:rsidRPr="005461EF" w:rsidRDefault="00E259F0" w:rsidP="00DA5627">
            <w:pPr>
              <w:jc w:val="both"/>
              <w:rPr>
                <w:bCs/>
                <w:lang w:eastAsia="x-none"/>
              </w:rPr>
            </w:pPr>
            <w:r w:rsidRPr="005461EF">
              <w:rPr>
                <w:bCs/>
                <w:color w:val="0000FF" w:themeColor="hyperlink"/>
                <w:u w:val="single"/>
                <w:lang w:eastAsia="x-none"/>
              </w:rPr>
              <w:t>William.wright@puc.state.oh.us</w:t>
            </w:r>
          </w:p>
          <w:p w:rsidR="00E259F0" w:rsidRDefault="00E259F0" w:rsidP="00DA5627">
            <w:pPr>
              <w:pStyle w:val="BodyText"/>
              <w:rPr>
                <w:b/>
                <w:bCs/>
                <w:lang w:val="en-US"/>
              </w:rPr>
            </w:pPr>
          </w:p>
        </w:tc>
        <w:tc>
          <w:tcPr>
            <w:tcW w:w="4788" w:type="dxa"/>
          </w:tcPr>
          <w:p w:rsidR="00E259F0" w:rsidRDefault="00E24889" w:rsidP="00DA5627">
            <w:pPr>
              <w:autoSpaceDE w:val="0"/>
              <w:autoSpaceDN w:val="0"/>
              <w:adjustRightInd w:val="0"/>
              <w:rPr>
                <w:rFonts w:eastAsiaTheme="minorHAnsi"/>
                <w:color w:val="000000"/>
                <w:szCs w:val="24"/>
              </w:rPr>
            </w:pPr>
            <w:r>
              <w:rPr>
                <w:rFonts w:eastAsiaTheme="minorHAnsi"/>
                <w:color w:val="000000"/>
                <w:szCs w:val="24"/>
              </w:rPr>
              <w:t>Elizabeth H. Watts</w:t>
            </w:r>
          </w:p>
          <w:p w:rsidR="00E24889" w:rsidRDefault="00E24889" w:rsidP="00DA5627">
            <w:pPr>
              <w:autoSpaceDE w:val="0"/>
              <w:autoSpaceDN w:val="0"/>
              <w:adjustRightInd w:val="0"/>
              <w:rPr>
                <w:rFonts w:eastAsiaTheme="minorHAnsi"/>
                <w:color w:val="000000"/>
                <w:szCs w:val="24"/>
              </w:rPr>
            </w:pPr>
            <w:r>
              <w:rPr>
                <w:rFonts w:eastAsiaTheme="minorHAnsi"/>
                <w:color w:val="000000"/>
                <w:szCs w:val="24"/>
              </w:rPr>
              <w:t>Amy B Spiller</w:t>
            </w:r>
          </w:p>
          <w:p w:rsidR="00E24889" w:rsidRDefault="00E24889" w:rsidP="00DA5627">
            <w:pPr>
              <w:autoSpaceDE w:val="0"/>
              <w:autoSpaceDN w:val="0"/>
              <w:adjustRightInd w:val="0"/>
              <w:rPr>
                <w:rFonts w:eastAsiaTheme="minorHAnsi"/>
                <w:color w:val="000000"/>
                <w:szCs w:val="24"/>
              </w:rPr>
            </w:pPr>
            <w:r>
              <w:rPr>
                <w:rFonts w:eastAsiaTheme="minorHAnsi"/>
                <w:color w:val="000000"/>
                <w:szCs w:val="24"/>
              </w:rPr>
              <w:t>Duke Energy Business Services, Inc.</w:t>
            </w:r>
          </w:p>
          <w:p w:rsidR="00E24889" w:rsidRDefault="00E24889" w:rsidP="00DA5627">
            <w:pPr>
              <w:autoSpaceDE w:val="0"/>
              <w:autoSpaceDN w:val="0"/>
              <w:adjustRightInd w:val="0"/>
              <w:rPr>
                <w:rFonts w:eastAsiaTheme="minorHAnsi"/>
                <w:color w:val="000000"/>
                <w:szCs w:val="24"/>
              </w:rPr>
            </w:pPr>
            <w:r>
              <w:rPr>
                <w:rFonts w:eastAsiaTheme="minorHAnsi"/>
                <w:color w:val="000000"/>
                <w:szCs w:val="24"/>
              </w:rPr>
              <w:t>139 East Fourth Street, 1303-Main</w:t>
            </w:r>
          </w:p>
          <w:p w:rsidR="00E24889" w:rsidRDefault="00E24889" w:rsidP="00DA5627">
            <w:pPr>
              <w:autoSpaceDE w:val="0"/>
              <w:autoSpaceDN w:val="0"/>
              <w:adjustRightInd w:val="0"/>
              <w:rPr>
                <w:rFonts w:eastAsiaTheme="minorHAnsi"/>
                <w:color w:val="000000"/>
                <w:szCs w:val="24"/>
              </w:rPr>
            </w:pPr>
            <w:r>
              <w:rPr>
                <w:rFonts w:eastAsiaTheme="minorHAnsi"/>
                <w:color w:val="000000"/>
                <w:szCs w:val="24"/>
              </w:rPr>
              <w:t>Cincinnati, Ohio 45212</w:t>
            </w:r>
          </w:p>
          <w:p w:rsidR="00E24889" w:rsidRDefault="00DE071B" w:rsidP="00DA5627">
            <w:pPr>
              <w:autoSpaceDE w:val="0"/>
              <w:autoSpaceDN w:val="0"/>
              <w:adjustRightInd w:val="0"/>
              <w:rPr>
                <w:rFonts w:eastAsiaTheme="minorHAnsi"/>
                <w:color w:val="000000"/>
                <w:szCs w:val="24"/>
              </w:rPr>
            </w:pPr>
            <w:hyperlink r:id="rId21" w:history="1">
              <w:r w:rsidR="00E24889" w:rsidRPr="006232C8">
                <w:rPr>
                  <w:rStyle w:val="Hyperlink"/>
                  <w:rFonts w:eastAsiaTheme="minorHAnsi"/>
                  <w:szCs w:val="24"/>
                </w:rPr>
                <w:t>Elizabeth.watts@duke-energy.com</w:t>
              </w:r>
            </w:hyperlink>
          </w:p>
          <w:p w:rsidR="00E24889" w:rsidRDefault="00DE071B" w:rsidP="00DA5627">
            <w:pPr>
              <w:autoSpaceDE w:val="0"/>
              <w:autoSpaceDN w:val="0"/>
              <w:adjustRightInd w:val="0"/>
              <w:rPr>
                <w:rFonts w:eastAsiaTheme="minorHAnsi"/>
                <w:color w:val="000000"/>
                <w:szCs w:val="24"/>
              </w:rPr>
            </w:pPr>
            <w:hyperlink r:id="rId22" w:history="1">
              <w:r w:rsidR="00E24889" w:rsidRPr="006232C8">
                <w:rPr>
                  <w:rStyle w:val="Hyperlink"/>
                  <w:rFonts w:eastAsiaTheme="minorHAnsi"/>
                  <w:szCs w:val="24"/>
                </w:rPr>
                <w:t>Amy.spiller@duke-energy.com</w:t>
              </w:r>
            </w:hyperlink>
          </w:p>
          <w:p w:rsidR="00E24889" w:rsidRDefault="00E24889" w:rsidP="00DA5627">
            <w:pPr>
              <w:autoSpaceDE w:val="0"/>
              <w:autoSpaceDN w:val="0"/>
              <w:adjustRightInd w:val="0"/>
              <w:rPr>
                <w:rFonts w:eastAsiaTheme="minorHAnsi"/>
                <w:color w:val="000000"/>
                <w:szCs w:val="24"/>
              </w:rPr>
            </w:pPr>
          </w:p>
          <w:p w:rsidR="00E259F0" w:rsidRDefault="00E259F0" w:rsidP="00DA5627">
            <w:pPr>
              <w:pStyle w:val="BodyText"/>
              <w:rPr>
                <w:b/>
                <w:bCs/>
                <w:lang w:val="en-US"/>
              </w:rPr>
            </w:pPr>
          </w:p>
        </w:tc>
      </w:tr>
      <w:tr w:rsidR="00E144EB" w:rsidTr="00DA5627">
        <w:tc>
          <w:tcPr>
            <w:tcW w:w="4788" w:type="dxa"/>
          </w:tcPr>
          <w:p w:rsidR="00E144EB" w:rsidRDefault="00E144EB" w:rsidP="00DA5627">
            <w:pPr>
              <w:jc w:val="both"/>
              <w:rPr>
                <w:bCs/>
                <w:lang w:eastAsia="x-none"/>
              </w:rPr>
            </w:pPr>
            <w:r>
              <w:rPr>
                <w:bCs/>
                <w:lang w:eastAsia="x-none"/>
              </w:rPr>
              <w:t>Attorney Examiners:</w:t>
            </w:r>
          </w:p>
          <w:p w:rsidR="00E144EB" w:rsidRDefault="00E144EB" w:rsidP="00DA5627">
            <w:pPr>
              <w:jc w:val="both"/>
              <w:rPr>
                <w:bCs/>
                <w:lang w:eastAsia="x-none"/>
              </w:rPr>
            </w:pPr>
          </w:p>
          <w:p w:rsidR="00E144EB" w:rsidRDefault="00DE071B" w:rsidP="00DA5627">
            <w:pPr>
              <w:jc w:val="both"/>
              <w:rPr>
                <w:bCs/>
                <w:lang w:eastAsia="x-none"/>
              </w:rPr>
            </w:pPr>
            <w:hyperlink r:id="rId23" w:history="1">
              <w:r w:rsidR="00E144EB" w:rsidRPr="00E23437">
                <w:rPr>
                  <w:rStyle w:val="Hyperlink"/>
                  <w:bCs/>
                  <w:lang w:eastAsia="x-none"/>
                </w:rPr>
                <w:t>Christine.pirik@puc.state.oh.us</w:t>
              </w:r>
            </w:hyperlink>
          </w:p>
          <w:p w:rsidR="00E144EB" w:rsidRDefault="00DE071B" w:rsidP="00DA5627">
            <w:pPr>
              <w:jc w:val="both"/>
              <w:rPr>
                <w:bCs/>
                <w:lang w:eastAsia="x-none"/>
              </w:rPr>
            </w:pPr>
            <w:hyperlink r:id="rId24" w:history="1">
              <w:r w:rsidR="00E144EB" w:rsidRPr="00E23437">
                <w:rPr>
                  <w:rStyle w:val="Hyperlink"/>
                  <w:bCs/>
                  <w:lang w:eastAsia="x-none"/>
                </w:rPr>
                <w:t>Nicholas.walstra@puc.state.oh.us</w:t>
              </w:r>
            </w:hyperlink>
          </w:p>
          <w:p w:rsidR="00E144EB" w:rsidRPr="005461EF" w:rsidRDefault="00E144EB" w:rsidP="00DA5627">
            <w:pPr>
              <w:jc w:val="both"/>
              <w:rPr>
                <w:bCs/>
                <w:lang w:eastAsia="x-none"/>
              </w:rPr>
            </w:pPr>
          </w:p>
        </w:tc>
        <w:tc>
          <w:tcPr>
            <w:tcW w:w="4788" w:type="dxa"/>
          </w:tcPr>
          <w:p w:rsidR="00E144EB" w:rsidRDefault="00E144EB" w:rsidP="00DA5627">
            <w:pPr>
              <w:autoSpaceDE w:val="0"/>
              <w:autoSpaceDN w:val="0"/>
              <w:adjustRightInd w:val="0"/>
              <w:rPr>
                <w:rFonts w:eastAsiaTheme="minorHAnsi"/>
                <w:color w:val="000000"/>
                <w:szCs w:val="24"/>
              </w:rPr>
            </w:pPr>
          </w:p>
        </w:tc>
      </w:tr>
    </w:tbl>
    <w:p w:rsidR="00E259F0" w:rsidRDefault="00E259F0" w:rsidP="00E259F0">
      <w:pPr>
        <w:pStyle w:val="BodyText"/>
        <w:rPr>
          <w:b/>
          <w:bCs/>
          <w:lang w:val="en-US"/>
        </w:rPr>
      </w:pPr>
    </w:p>
    <w:p w:rsidR="00E259F0" w:rsidRDefault="00E259F0" w:rsidP="00E259F0"/>
    <w:sectPr w:rsidR="00E259F0" w:rsidSect="004C5CEC">
      <w:headerReference w:type="default" r:id="rId25"/>
      <w:footerReference w:type="default" r:id="rId26"/>
      <w:pgSz w:w="12240" w:h="15840"/>
      <w:pgMar w:top="1440" w:right="1800" w:bottom="1440" w:left="180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9DF" w:rsidRDefault="00B009DF" w:rsidP="00E259F0">
      <w:r>
        <w:separator/>
      </w:r>
    </w:p>
  </w:endnote>
  <w:endnote w:type="continuationSeparator" w:id="0">
    <w:p w:rsidR="00B009DF" w:rsidRDefault="00B009DF" w:rsidP="00E2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19" w:rsidRDefault="000C60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C2" w:rsidRDefault="00B90FC2">
    <w:pPr>
      <w:pStyle w:val="Footer"/>
      <w:jc w:val="center"/>
    </w:pPr>
  </w:p>
  <w:p w:rsidR="00EC5186" w:rsidRDefault="00DE07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19" w:rsidRDefault="000C60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406264"/>
      <w:docPartObj>
        <w:docPartGallery w:val="Page Numbers (Bottom of Page)"/>
        <w:docPartUnique/>
      </w:docPartObj>
    </w:sdtPr>
    <w:sdtEndPr>
      <w:rPr>
        <w:noProof/>
        <w:sz w:val="24"/>
        <w:szCs w:val="24"/>
      </w:rPr>
    </w:sdtEndPr>
    <w:sdtContent>
      <w:p w:rsidR="00B90FC2" w:rsidRPr="00B90FC2" w:rsidRDefault="00B90FC2">
        <w:pPr>
          <w:pStyle w:val="Footer"/>
          <w:jc w:val="center"/>
          <w:rPr>
            <w:sz w:val="24"/>
            <w:szCs w:val="24"/>
          </w:rPr>
        </w:pPr>
        <w:r w:rsidRPr="00B90FC2">
          <w:rPr>
            <w:sz w:val="24"/>
            <w:szCs w:val="24"/>
          </w:rPr>
          <w:fldChar w:fldCharType="begin"/>
        </w:r>
        <w:r w:rsidRPr="00B90FC2">
          <w:rPr>
            <w:sz w:val="24"/>
            <w:szCs w:val="24"/>
          </w:rPr>
          <w:instrText xml:space="preserve"> PAGE   \* MERGEFORMAT </w:instrText>
        </w:r>
        <w:r w:rsidRPr="00B90FC2">
          <w:rPr>
            <w:sz w:val="24"/>
            <w:szCs w:val="24"/>
          </w:rPr>
          <w:fldChar w:fldCharType="separate"/>
        </w:r>
        <w:r w:rsidR="000C6019">
          <w:rPr>
            <w:noProof/>
            <w:sz w:val="24"/>
            <w:szCs w:val="24"/>
          </w:rPr>
          <w:t>i</w:t>
        </w:r>
        <w:r w:rsidRPr="00B90FC2">
          <w:rPr>
            <w:noProof/>
            <w:sz w:val="24"/>
            <w:szCs w:val="24"/>
          </w:rPr>
          <w:fldChar w:fldCharType="end"/>
        </w:r>
      </w:p>
    </w:sdtContent>
  </w:sdt>
  <w:p w:rsidR="00B90FC2" w:rsidRDefault="00B90FC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001066"/>
      <w:docPartObj>
        <w:docPartGallery w:val="Page Numbers (Bottom of Page)"/>
        <w:docPartUnique/>
      </w:docPartObj>
    </w:sdtPr>
    <w:sdtEndPr>
      <w:rPr>
        <w:noProof/>
        <w:sz w:val="24"/>
        <w:szCs w:val="24"/>
      </w:rPr>
    </w:sdtEndPr>
    <w:sdtContent>
      <w:p w:rsidR="00164A93" w:rsidRPr="00DB5DCB" w:rsidRDefault="00164A93">
        <w:pPr>
          <w:pStyle w:val="Footer"/>
          <w:jc w:val="center"/>
          <w:rPr>
            <w:sz w:val="24"/>
            <w:szCs w:val="24"/>
          </w:rPr>
        </w:pPr>
        <w:r w:rsidRPr="00DB5DCB">
          <w:rPr>
            <w:sz w:val="24"/>
            <w:szCs w:val="24"/>
          </w:rPr>
          <w:fldChar w:fldCharType="begin"/>
        </w:r>
        <w:r w:rsidRPr="00DB5DCB">
          <w:rPr>
            <w:sz w:val="24"/>
            <w:szCs w:val="24"/>
          </w:rPr>
          <w:instrText xml:space="preserve"> PAGE   \* MERGEFORMAT </w:instrText>
        </w:r>
        <w:r w:rsidRPr="00DB5DCB">
          <w:rPr>
            <w:sz w:val="24"/>
            <w:szCs w:val="24"/>
          </w:rPr>
          <w:fldChar w:fldCharType="separate"/>
        </w:r>
        <w:r w:rsidR="000C6019">
          <w:rPr>
            <w:noProof/>
            <w:sz w:val="24"/>
            <w:szCs w:val="24"/>
          </w:rPr>
          <w:t>1</w:t>
        </w:r>
        <w:r w:rsidRPr="00DB5DCB">
          <w:rPr>
            <w:noProof/>
            <w:sz w:val="24"/>
            <w:szCs w:val="24"/>
          </w:rPr>
          <w:fldChar w:fldCharType="end"/>
        </w:r>
      </w:p>
    </w:sdtContent>
  </w:sdt>
  <w:p w:rsidR="004C5CEC" w:rsidRDefault="004C5CE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091960"/>
      <w:docPartObj>
        <w:docPartGallery w:val="Page Numbers (Bottom of Page)"/>
        <w:docPartUnique/>
      </w:docPartObj>
    </w:sdtPr>
    <w:sdtEndPr>
      <w:rPr>
        <w:noProof/>
        <w:sz w:val="24"/>
        <w:szCs w:val="24"/>
      </w:rPr>
    </w:sdtEndPr>
    <w:sdtContent>
      <w:p w:rsidR="00164A93" w:rsidRPr="00BC2E96" w:rsidRDefault="00164A93">
        <w:pPr>
          <w:pStyle w:val="Footer"/>
          <w:jc w:val="center"/>
          <w:rPr>
            <w:sz w:val="24"/>
            <w:szCs w:val="24"/>
          </w:rPr>
        </w:pPr>
        <w:r w:rsidRPr="00BC2E96">
          <w:rPr>
            <w:sz w:val="24"/>
            <w:szCs w:val="24"/>
          </w:rPr>
          <w:fldChar w:fldCharType="begin"/>
        </w:r>
        <w:r w:rsidRPr="00BC2E96">
          <w:rPr>
            <w:sz w:val="24"/>
            <w:szCs w:val="24"/>
          </w:rPr>
          <w:instrText xml:space="preserve"> PAGE   \* MERGEFORMAT </w:instrText>
        </w:r>
        <w:r w:rsidRPr="00BC2E96">
          <w:rPr>
            <w:sz w:val="24"/>
            <w:szCs w:val="24"/>
          </w:rPr>
          <w:fldChar w:fldCharType="separate"/>
        </w:r>
        <w:r w:rsidR="000C6019">
          <w:rPr>
            <w:noProof/>
            <w:sz w:val="24"/>
            <w:szCs w:val="24"/>
          </w:rPr>
          <w:t>10</w:t>
        </w:r>
        <w:r w:rsidRPr="00BC2E96">
          <w:rPr>
            <w:noProof/>
            <w:sz w:val="24"/>
            <w:szCs w:val="24"/>
          </w:rPr>
          <w:fldChar w:fldCharType="end"/>
        </w:r>
      </w:p>
    </w:sdtContent>
  </w:sdt>
  <w:p w:rsidR="00164A93" w:rsidRDefault="00164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9DF" w:rsidRDefault="00B009DF" w:rsidP="00E259F0">
      <w:r>
        <w:separator/>
      </w:r>
    </w:p>
  </w:footnote>
  <w:footnote w:type="continuationSeparator" w:id="0">
    <w:p w:rsidR="00B009DF" w:rsidRDefault="00B009DF" w:rsidP="00E259F0">
      <w:r>
        <w:continuationSeparator/>
      </w:r>
    </w:p>
  </w:footnote>
  <w:footnote w:id="1">
    <w:p w:rsidR="00E259F0" w:rsidRDefault="00E259F0" w:rsidP="00CF048E">
      <w:pPr>
        <w:pStyle w:val="FootnoteText"/>
        <w:spacing w:after="120"/>
      </w:pPr>
      <w:r>
        <w:rPr>
          <w:rStyle w:val="FootnoteReference"/>
        </w:rPr>
        <w:footnoteRef/>
      </w:r>
      <w:r>
        <w:t xml:space="preserve"> </w:t>
      </w:r>
      <w:r>
        <w:rPr>
          <w:i/>
        </w:rPr>
        <w:t>See</w:t>
      </w:r>
      <w:r>
        <w:t xml:space="preserve"> R.C. Chapter 4911, R.C. 4903.221 and Ohio Adm. Code 4901-1-11.</w:t>
      </w:r>
    </w:p>
  </w:footnote>
  <w:footnote w:id="2">
    <w:p w:rsidR="00E259F0" w:rsidRDefault="00E259F0" w:rsidP="00CF048E">
      <w:pPr>
        <w:pStyle w:val="FootnoteText"/>
        <w:spacing w:after="120"/>
      </w:pPr>
      <w:r>
        <w:rPr>
          <w:rStyle w:val="FootnoteReference"/>
        </w:rPr>
        <w:footnoteRef/>
      </w:r>
      <w:r>
        <w:t xml:space="preserve"> Application at </w:t>
      </w:r>
      <w:r w:rsidR="00B54139">
        <w:t>2</w:t>
      </w:r>
      <w:r>
        <w:t xml:space="preserve"> (</w:t>
      </w:r>
      <w:r w:rsidR="00B54139">
        <w:t>April 28</w:t>
      </w:r>
      <w:r>
        <w:t xml:space="preserve">, 2014). </w:t>
      </w:r>
    </w:p>
  </w:footnote>
  <w:footnote w:id="3">
    <w:p w:rsidR="0086565A" w:rsidRDefault="0086565A" w:rsidP="00CF048E">
      <w:pPr>
        <w:pStyle w:val="FootnoteText"/>
        <w:spacing w:after="120"/>
      </w:pPr>
      <w:r>
        <w:rPr>
          <w:rStyle w:val="FootnoteReference"/>
        </w:rPr>
        <w:footnoteRef/>
      </w:r>
      <w:r>
        <w:t xml:space="preserve"> </w:t>
      </w:r>
      <w:r w:rsidR="00F315CB">
        <w:t>Application at 2 (April 28, 2015)</w:t>
      </w:r>
      <w:r w:rsidR="00BC2E96">
        <w:t>.</w:t>
      </w:r>
    </w:p>
  </w:footnote>
  <w:footnote w:id="4">
    <w:p w:rsidR="00E259F0" w:rsidRDefault="00E259F0" w:rsidP="00CF048E">
      <w:pPr>
        <w:pStyle w:val="FootnoteText"/>
        <w:spacing w:after="120"/>
      </w:pPr>
      <w:r>
        <w:rPr>
          <w:rStyle w:val="FootnoteReference"/>
        </w:rPr>
        <w:footnoteRef/>
      </w:r>
      <w:r>
        <w:t xml:space="preserve"> </w:t>
      </w:r>
      <w:r w:rsidR="00EB2F8F" w:rsidRPr="008954CD">
        <w:rPr>
          <w:i/>
        </w:rPr>
        <w:t>In the Matter of the Commission’s Investigation of Ohio’s Retail Electric Service Market</w:t>
      </w:r>
      <w:r w:rsidR="00EB2F8F">
        <w:t>, Case No. 12-3151-EL-COI</w:t>
      </w:r>
      <w:r>
        <w:t>, Entry on Rehea</w:t>
      </w:r>
      <w:r w:rsidR="00210540">
        <w:t>r</w:t>
      </w:r>
      <w:r>
        <w:t>ing at 1 (May 21, 2014).</w:t>
      </w:r>
    </w:p>
  </w:footnote>
  <w:footnote w:id="5">
    <w:p w:rsidR="0086565A" w:rsidRDefault="0086565A" w:rsidP="00CF048E">
      <w:pPr>
        <w:pStyle w:val="FootnoteText"/>
        <w:spacing w:after="120"/>
      </w:pPr>
      <w:r>
        <w:rPr>
          <w:rStyle w:val="FootnoteReference"/>
        </w:rPr>
        <w:footnoteRef/>
      </w:r>
      <w:r>
        <w:t xml:space="preserve"> </w:t>
      </w:r>
      <w:r w:rsidR="00F315CB" w:rsidRPr="008954CD">
        <w:rPr>
          <w:i/>
        </w:rPr>
        <w:t>In the Matter of the Commission’s Investigation of Ohio’s Retail Electric Service Market</w:t>
      </w:r>
      <w:r w:rsidR="00F315CB">
        <w:t>, Case No. 12-3151-EL-COI, Order at 26 (March 26, 2014).</w:t>
      </w:r>
    </w:p>
  </w:footnote>
  <w:footnote w:id="6">
    <w:p w:rsidR="00231A54" w:rsidRDefault="00231A54" w:rsidP="00CF048E">
      <w:pPr>
        <w:pStyle w:val="FootnoteText"/>
        <w:spacing w:after="120"/>
      </w:pPr>
      <w:r>
        <w:rPr>
          <w:rStyle w:val="FootnoteReference"/>
        </w:rPr>
        <w:footnoteRef/>
      </w:r>
      <w:r>
        <w:t xml:space="preserve"> </w:t>
      </w:r>
      <w:r w:rsidRPr="00E5096C">
        <w:rPr>
          <w:i/>
        </w:rPr>
        <w:t>In the Matter of the Application of Duke Energy Ohio, Inc., for Approval of Changes to Bill Format</w:t>
      </w:r>
      <w:r w:rsidR="00E3347D">
        <w:t>, Case No. 14-2128-EL-UNC, A</w:t>
      </w:r>
      <w:r>
        <w:t xml:space="preserve">pplication at 3 </w:t>
      </w:r>
      <w:r w:rsidR="00E3347D">
        <w:t>(</w:t>
      </w:r>
      <w:r>
        <w:t>Nov. 21, 2014</w:t>
      </w:r>
      <w:r w:rsidR="00E3347D">
        <w:t>)</w:t>
      </w:r>
      <w:r>
        <w:t>.</w:t>
      </w:r>
    </w:p>
  </w:footnote>
  <w:footnote w:id="7">
    <w:p w:rsidR="00EB2F8F" w:rsidRDefault="00EB2F8F" w:rsidP="00CF048E">
      <w:pPr>
        <w:pStyle w:val="FootnoteText"/>
        <w:spacing w:after="120"/>
      </w:pPr>
      <w:r>
        <w:rPr>
          <w:rStyle w:val="FootnoteReference"/>
        </w:rPr>
        <w:footnoteRef/>
      </w:r>
      <w:r w:rsidRPr="00E3347D">
        <w:rPr>
          <w:i/>
        </w:rPr>
        <w:t>In the Matter of the Application of Duke Energy Ohio, Inc. for Approval of Changes to Bill Format</w:t>
      </w:r>
      <w:r>
        <w:t xml:space="preserve">, Case No. 14-2128-EL-UNC, Order at 2 (Feb. 25, 2015). </w:t>
      </w:r>
    </w:p>
  </w:footnote>
  <w:footnote w:id="8">
    <w:p w:rsidR="00F315CB" w:rsidRDefault="00F315CB" w:rsidP="00CF048E">
      <w:pPr>
        <w:pStyle w:val="FootnoteText"/>
        <w:spacing w:after="120"/>
      </w:pPr>
      <w:r>
        <w:rPr>
          <w:rStyle w:val="FootnoteReference"/>
        </w:rPr>
        <w:footnoteRef/>
      </w:r>
      <w:r>
        <w:t xml:space="preserve"> R.C. 4905.22.</w:t>
      </w:r>
    </w:p>
  </w:footnote>
  <w:footnote w:id="9">
    <w:p w:rsidR="00E259F0" w:rsidRDefault="00E259F0" w:rsidP="00CF048E">
      <w:pPr>
        <w:pStyle w:val="FootnoteText"/>
        <w:spacing w:after="120"/>
      </w:pPr>
      <w:r>
        <w:rPr>
          <w:rStyle w:val="FootnoteReference"/>
        </w:rPr>
        <w:footnoteRef/>
      </w:r>
      <w:r>
        <w:t xml:space="preserve"> </w:t>
      </w:r>
      <w:r>
        <w:rPr>
          <w:szCs w:val="24"/>
        </w:rPr>
        <w:t xml:space="preserve">OCC has authority under law to represent </w:t>
      </w:r>
      <w:r>
        <w:t xml:space="preserve">the interests of all the approximately </w:t>
      </w:r>
      <w:r w:rsidR="00E5096C">
        <w:t>6</w:t>
      </w:r>
      <w:r w:rsidR="00B41A85">
        <w:t>15</w:t>
      </w:r>
      <w:r>
        <w:t>,000 D</w:t>
      </w:r>
      <w:r w:rsidR="00E5096C">
        <w:t>uke</w:t>
      </w:r>
      <w:r>
        <w:t xml:space="preserve"> residential utility customers pursuant to R.C. Chapter 4911.</w:t>
      </w:r>
      <w:r>
        <w:rPr>
          <w:szCs w:val="24"/>
        </w:rPr>
        <w:t xml:space="preserve"> </w:t>
      </w:r>
      <w:r>
        <w:t xml:space="preserve">  </w:t>
      </w:r>
    </w:p>
  </w:footnote>
  <w:footnote w:id="10">
    <w:p w:rsidR="00E259F0" w:rsidRDefault="00E259F0" w:rsidP="00CF048E">
      <w:pPr>
        <w:pStyle w:val="FootnoteText"/>
        <w:spacing w:after="120"/>
      </w:pPr>
      <w:r>
        <w:rPr>
          <w:rStyle w:val="FootnoteReference"/>
        </w:rPr>
        <w:footnoteRef/>
      </w:r>
      <w:r>
        <w:rPr>
          <w:i/>
        </w:rPr>
        <w:t xml:space="preserve"> See Ohio Consumers’ Counsel v. Pub. Util. Comm</w:t>
      </w:r>
      <w:r>
        <w:t>., 111 Ohio St.3d 384, 2006-Ohio-5853, ¶¶13-20 (2006).</w:t>
      </w:r>
    </w:p>
  </w:footnote>
  <w:footnote w:id="11">
    <w:p w:rsidR="00BA6312" w:rsidRDefault="00BA6312" w:rsidP="00CF048E">
      <w:pPr>
        <w:pStyle w:val="FootnoteText"/>
        <w:spacing w:after="120"/>
      </w:pPr>
      <w:r>
        <w:rPr>
          <w:rStyle w:val="FootnoteReference"/>
        </w:rPr>
        <w:footnoteRef/>
      </w:r>
      <w:r>
        <w:t xml:space="preserve"> </w:t>
      </w:r>
      <w:r w:rsidRPr="00BA6312">
        <w:rPr>
          <w:i/>
        </w:rPr>
        <w:t xml:space="preserve">In the Matter of the Application of Duke Energy Ohio, Inc. for an Increase in </w:t>
      </w:r>
      <w:r w:rsidR="00E3347D">
        <w:rPr>
          <w:i/>
        </w:rPr>
        <w:t>E</w:t>
      </w:r>
      <w:r w:rsidRPr="00BA6312">
        <w:rPr>
          <w:i/>
        </w:rPr>
        <w:t>lectric Distribution Rates</w:t>
      </w:r>
      <w:r>
        <w:t>, Case No. 12-1682-EL-AIR, Opinion and Order (May 1, 2013).</w:t>
      </w:r>
    </w:p>
  </w:footnote>
  <w:footnote w:id="12">
    <w:p w:rsidR="00E259F0" w:rsidRDefault="00E259F0" w:rsidP="00CF048E">
      <w:pPr>
        <w:pStyle w:val="FootnoteText"/>
        <w:spacing w:after="120"/>
      </w:pPr>
      <w:r>
        <w:rPr>
          <w:rStyle w:val="FootnoteReference"/>
        </w:rPr>
        <w:footnoteRef/>
      </w:r>
      <w:r>
        <w:t xml:space="preserve"> </w:t>
      </w:r>
      <w:r w:rsidR="00B41A85" w:rsidRPr="008954CD">
        <w:rPr>
          <w:i/>
        </w:rPr>
        <w:t>In the Matter of the Commission’s Investigation of Ohio’s Retail Electric Service Market</w:t>
      </w:r>
      <w:r w:rsidR="00B41A85">
        <w:t>, Case No. 12-3151-EL-COI</w:t>
      </w:r>
      <w:r>
        <w:t>, Entry at 10-11 (May 21, 2014).</w:t>
      </w:r>
    </w:p>
  </w:footnote>
  <w:footnote w:id="13">
    <w:p w:rsidR="00BD75C2" w:rsidRDefault="00BD75C2" w:rsidP="00CF048E">
      <w:pPr>
        <w:pStyle w:val="FootnoteText"/>
        <w:spacing w:after="120"/>
      </w:pPr>
      <w:r>
        <w:rPr>
          <w:rStyle w:val="FootnoteReference"/>
        </w:rPr>
        <w:footnoteRef/>
      </w:r>
      <w:r>
        <w:t xml:space="preserve"> </w:t>
      </w:r>
      <w:r w:rsidRPr="00EC7773">
        <w:rPr>
          <w:i/>
        </w:rPr>
        <w:t xml:space="preserve">In the </w:t>
      </w:r>
      <w:r w:rsidR="000D39A6" w:rsidRPr="00EC7773">
        <w:rPr>
          <w:i/>
        </w:rPr>
        <w:t>Matter of</w:t>
      </w:r>
      <w:r w:rsidRPr="00EC7773">
        <w:rPr>
          <w:i/>
        </w:rPr>
        <w:t xml:space="preserve"> the Application of The Dayton Power and </w:t>
      </w:r>
      <w:r w:rsidR="001D5D82">
        <w:rPr>
          <w:i/>
        </w:rPr>
        <w:t>L</w:t>
      </w:r>
      <w:r w:rsidRPr="00EC7773">
        <w:rPr>
          <w:i/>
        </w:rPr>
        <w:t>ight Company for Approval of a Revised Bill Format for Electric Service</w:t>
      </w:r>
      <w:r>
        <w:t>, Case No. 14-2043-EL-UNC, Entry on Rehearing at</w:t>
      </w:r>
      <w:r w:rsidR="000D39A6">
        <w:t xml:space="preserve"> </w:t>
      </w:r>
      <w:r w:rsidR="00B41A85">
        <w:t>3</w:t>
      </w:r>
      <w:r>
        <w:t xml:space="preserve"> </w:t>
      </w:r>
      <w:r w:rsidR="00B41A85">
        <w:t>(</w:t>
      </w:r>
      <w:r>
        <w:t>June 3, 2015</w:t>
      </w:r>
      <w:r w:rsidR="00B41A85">
        <w:t>)</w:t>
      </w:r>
      <w:r>
        <w:t>.</w:t>
      </w:r>
    </w:p>
  </w:footnote>
  <w:footnote w:id="14">
    <w:p w:rsidR="00E3347D" w:rsidRDefault="00E3347D" w:rsidP="00CF048E">
      <w:pPr>
        <w:pStyle w:val="FootnoteText"/>
        <w:spacing w:after="120"/>
      </w:pPr>
      <w:r>
        <w:rPr>
          <w:rStyle w:val="FootnoteReference"/>
        </w:rPr>
        <w:footnoteRef/>
      </w:r>
      <w:r>
        <w:t xml:space="preserve"> </w:t>
      </w:r>
      <w:r w:rsidR="008954CD" w:rsidRPr="008954CD">
        <w:rPr>
          <w:i/>
        </w:rPr>
        <w:t>In the Matter of the Commission’s Investigation of Ohio’s Retail Electric Service Market</w:t>
      </w:r>
      <w:r w:rsidR="008954CD">
        <w:t>, Case No. 12-3151-EL-COI, Finding and Order at 10 (March 26, 2014)</w:t>
      </w:r>
      <w:r w:rsidR="00B41A85">
        <w:t xml:space="preserve"> (emphasis added)</w:t>
      </w:r>
      <w:r w:rsidR="008954CD">
        <w:t>.</w:t>
      </w:r>
    </w:p>
  </w:footnote>
  <w:footnote w:id="15">
    <w:p w:rsidR="008954CD" w:rsidRDefault="008954CD" w:rsidP="00CF048E">
      <w:pPr>
        <w:pStyle w:val="FootnoteText"/>
        <w:spacing w:after="120"/>
      </w:pPr>
      <w:r>
        <w:rPr>
          <w:rStyle w:val="FootnoteReference"/>
        </w:rPr>
        <w:footnoteRef/>
      </w:r>
      <w:r>
        <w:t xml:space="preserve"> Both DP&amp;L and AEP addressed bill format deferral when they filed their bill format application cases. </w:t>
      </w:r>
      <w:r>
        <w:rPr>
          <w:szCs w:val="24"/>
        </w:rPr>
        <w:t>AEP stated that “AEP Ohio’s projected costs associated with this new regulatory requirement are not significant enough to be discretely collected in a separate charge.” AEP’s costs were so insignificant or non-existent that the Utility made no deferral request.</w:t>
      </w:r>
      <w:r w:rsidRPr="008954CD">
        <w:rPr>
          <w:rStyle w:val="Heading1Char"/>
        </w:rPr>
        <w:t xml:space="preserve"> </w:t>
      </w:r>
      <w:r w:rsidRPr="004B2E6E">
        <w:rPr>
          <w:i/>
        </w:rPr>
        <w:t xml:space="preserve">In the Matter of the Application of Ohio Power </w:t>
      </w:r>
      <w:r w:rsidR="001D5D82">
        <w:rPr>
          <w:i/>
        </w:rPr>
        <w:t>C</w:t>
      </w:r>
      <w:r w:rsidRPr="004B2E6E">
        <w:rPr>
          <w:i/>
        </w:rPr>
        <w:t>ompany for Approval of a Change in Bill Format</w:t>
      </w:r>
      <w:r>
        <w:t>, Case No. 14-2119-EL-UNC, Application at 2 (Nov. 21, 2014).</w:t>
      </w:r>
    </w:p>
  </w:footnote>
  <w:footnote w:id="16">
    <w:p w:rsidR="00482741" w:rsidRDefault="00482741" w:rsidP="00CF048E">
      <w:pPr>
        <w:pStyle w:val="FootnoteText"/>
        <w:spacing w:after="120"/>
      </w:pPr>
      <w:r w:rsidRPr="00482741">
        <w:rPr>
          <w:rStyle w:val="FootnoteReference"/>
          <w:i/>
        </w:rPr>
        <w:footnoteRef/>
      </w:r>
      <w:r w:rsidRPr="00482741">
        <w:rPr>
          <w:i/>
        </w:rPr>
        <w:t xml:space="preserve"> In th</w:t>
      </w:r>
      <w:r w:rsidR="00EB2F8F">
        <w:rPr>
          <w:i/>
        </w:rPr>
        <w:t>e Matter of the Application of D</w:t>
      </w:r>
      <w:r w:rsidRPr="00482741">
        <w:rPr>
          <w:i/>
        </w:rPr>
        <w:t>uke Energy Ohio, Inc., for Approval of Changes to Bill Format</w:t>
      </w:r>
      <w:r>
        <w:t>, Case No. 14-2128-EL-UNC, Finding and Order at 2 (Feb. 25,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19" w:rsidRDefault="000C60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19" w:rsidRDefault="000C60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19" w:rsidRDefault="000C60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C2" w:rsidRDefault="00B90FC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CEC" w:rsidRDefault="004C5CE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A93" w:rsidRDefault="00164A93">
    <w:pPr>
      <w:pStyle w:val="Header"/>
      <w:jc w:val="center"/>
    </w:pPr>
  </w:p>
  <w:p w:rsidR="00164A93" w:rsidRDefault="00164A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AB4DCA2"/>
    <w:lvl w:ilvl="0">
      <w:start w:val="1"/>
      <w:numFmt w:val="decimal"/>
      <w:lvlText w:val="%1."/>
      <w:lvlJc w:val="left"/>
      <w:pPr>
        <w:tabs>
          <w:tab w:val="num" w:pos="1080"/>
        </w:tabs>
        <w:ind w:left="1080" w:hanging="360"/>
      </w:pPr>
    </w:lvl>
  </w:abstractNum>
  <w:abstractNum w:abstractNumId="1">
    <w:nsid w:val="FFFFFF7F"/>
    <w:multiLevelType w:val="singleLevel"/>
    <w:tmpl w:val="2342E408"/>
    <w:lvl w:ilvl="0">
      <w:start w:val="1"/>
      <w:numFmt w:val="decimal"/>
      <w:lvlText w:val="%1."/>
      <w:lvlJc w:val="left"/>
      <w:pPr>
        <w:tabs>
          <w:tab w:val="num" w:pos="720"/>
        </w:tabs>
        <w:ind w:left="720" w:hanging="360"/>
      </w:pPr>
    </w:lvl>
  </w:abstractNum>
  <w:abstractNum w:abstractNumId="2">
    <w:nsid w:val="FFFFFF80"/>
    <w:multiLevelType w:val="singleLevel"/>
    <w:tmpl w:val="19D0BCB0"/>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11C4FBA2"/>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4A78705C"/>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C2FA7266"/>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48F8D12C"/>
    <w:lvl w:ilvl="0">
      <w:start w:val="1"/>
      <w:numFmt w:val="decimal"/>
      <w:lvlText w:val="%1."/>
      <w:lvlJc w:val="left"/>
      <w:pPr>
        <w:tabs>
          <w:tab w:val="num" w:pos="360"/>
        </w:tabs>
        <w:ind w:left="360" w:hanging="360"/>
      </w:pPr>
    </w:lvl>
  </w:abstractNum>
  <w:abstractNum w:abstractNumId="7">
    <w:nsid w:val="FFFFFF89"/>
    <w:multiLevelType w:val="singleLevel"/>
    <w:tmpl w:val="17F450F8"/>
    <w:lvl w:ilvl="0">
      <w:start w:val="1"/>
      <w:numFmt w:val="bullet"/>
      <w:lvlText w:val=""/>
      <w:lvlJc w:val="left"/>
      <w:pPr>
        <w:tabs>
          <w:tab w:val="num" w:pos="360"/>
        </w:tabs>
        <w:ind w:left="360" w:hanging="360"/>
      </w:pPr>
      <w:rPr>
        <w:rFonts w:ascii="Symbol" w:hAnsi="Symbol" w:hint="default"/>
      </w:rPr>
    </w:lvl>
  </w:abstractNum>
  <w:abstractNum w:abstractNumId="8">
    <w:nsid w:val="050300AD"/>
    <w:multiLevelType w:val="hybridMultilevel"/>
    <w:tmpl w:val="DDB636E0"/>
    <w:lvl w:ilvl="0" w:tplc="81004046">
      <w:start w:val="1"/>
      <w:numFmt w:val="upperLetter"/>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4A49FA"/>
    <w:multiLevelType w:val="hybridMultilevel"/>
    <w:tmpl w:val="2B40C26E"/>
    <w:lvl w:ilvl="0" w:tplc="72AE1D6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5"/>
  </w:num>
  <w:num w:numId="4">
    <w:abstractNumId w:val="4"/>
  </w:num>
  <w:num w:numId="5">
    <w:abstractNumId w:val="3"/>
  </w:num>
  <w:num w:numId="6">
    <w:abstractNumId w:val="2"/>
  </w:num>
  <w:num w:numId="7">
    <w:abstractNumId w:val="6"/>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F0"/>
    <w:rsid w:val="00025FCE"/>
    <w:rsid w:val="00031C2C"/>
    <w:rsid w:val="000459A1"/>
    <w:rsid w:val="000704D4"/>
    <w:rsid w:val="000C6019"/>
    <w:rsid w:val="000D39A6"/>
    <w:rsid w:val="00115A19"/>
    <w:rsid w:val="00152DBB"/>
    <w:rsid w:val="00164A93"/>
    <w:rsid w:val="001A5D90"/>
    <w:rsid w:val="001B5E7A"/>
    <w:rsid w:val="001D5D82"/>
    <w:rsid w:val="001E4456"/>
    <w:rsid w:val="00203A80"/>
    <w:rsid w:val="00210540"/>
    <w:rsid w:val="00231A54"/>
    <w:rsid w:val="00241C8A"/>
    <w:rsid w:val="00253785"/>
    <w:rsid w:val="0027408C"/>
    <w:rsid w:val="00274B9C"/>
    <w:rsid w:val="00287928"/>
    <w:rsid w:val="00293F7A"/>
    <w:rsid w:val="002C619E"/>
    <w:rsid w:val="0030693C"/>
    <w:rsid w:val="003717C5"/>
    <w:rsid w:val="00380996"/>
    <w:rsid w:val="003C3D07"/>
    <w:rsid w:val="003F2558"/>
    <w:rsid w:val="0040232E"/>
    <w:rsid w:val="00413819"/>
    <w:rsid w:val="00452CAD"/>
    <w:rsid w:val="00482741"/>
    <w:rsid w:val="004907D5"/>
    <w:rsid w:val="004B2E6E"/>
    <w:rsid w:val="004C5CEC"/>
    <w:rsid w:val="00521A3F"/>
    <w:rsid w:val="005317D7"/>
    <w:rsid w:val="00537FCF"/>
    <w:rsid w:val="005B22C1"/>
    <w:rsid w:val="00654F05"/>
    <w:rsid w:val="006C396E"/>
    <w:rsid w:val="006C4C8A"/>
    <w:rsid w:val="00706252"/>
    <w:rsid w:val="00710EDA"/>
    <w:rsid w:val="00732374"/>
    <w:rsid w:val="007511A7"/>
    <w:rsid w:val="007871B7"/>
    <w:rsid w:val="007D56E7"/>
    <w:rsid w:val="007F10AE"/>
    <w:rsid w:val="0086565A"/>
    <w:rsid w:val="008954CD"/>
    <w:rsid w:val="008B0D7D"/>
    <w:rsid w:val="00904834"/>
    <w:rsid w:val="00911585"/>
    <w:rsid w:val="009122AF"/>
    <w:rsid w:val="00914CF3"/>
    <w:rsid w:val="00966DB7"/>
    <w:rsid w:val="00982BDF"/>
    <w:rsid w:val="0099065A"/>
    <w:rsid w:val="009D374C"/>
    <w:rsid w:val="00A70487"/>
    <w:rsid w:val="00AF5FFE"/>
    <w:rsid w:val="00B009DF"/>
    <w:rsid w:val="00B1003B"/>
    <w:rsid w:val="00B1785D"/>
    <w:rsid w:val="00B41A85"/>
    <w:rsid w:val="00B54139"/>
    <w:rsid w:val="00B90FC2"/>
    <w:rsid w:val="00BA6312"/>
    <w:rsid w:val="00BB23DF"/>
    <w:rsid w:val="00BC2E96"/>
    <w:rsid w:val="00BC3A6E"/>
    <w:rsid w:val="00BD75C2"/>
    <w:rsid w:val="00C11BA8"/>
    <w:rsid w:val="00C37651"/>
    <w:rsid w:val="00C73D71"/>
    <w:rsid w:val="00CA0248"/>
    <w:rsid w:val="00CC0772"/>
    <w:rsid w:val="00CF048E"/>
    <w:rsid w:val="00D13989"/>
    <w:rsid w:val="00D13EFE"/>
    <w:rsid w:val="00D708CC"/>
    <w:rsid w:val="00D91BBC"/>
    <w:rsid w:val="00DB583C"/>
    <w:rsid w:val="00DB5DCB"/>
    <w:rsid w:val="00DC3C35"/>
    <w:rsid w:val="00DD03D4"/>
    <w:rsid w:val="00DE071B"/>
    <w:rsid w:val="00DE1672"/>
    <w:rsid w:val="00DF5E41"/>
    <w:rsid w:val="00E03E07"/>
    <w:rsid w:val="00E144EB"/>
    <w:rsid w:val="00E2356B"/>
    <w:rsid w:val="00E24889"/>
    <w:rsid w:val="00E259F0"/>
    <w:rsid w:val="00E3347D"/>
    <w:rsid w:val="00E5096C"/>
    <w:rsid w:val="00E626EC"/>
    <w:rsid w:val="00E757E7"/>
    <w:rsid w:val="00E836F7"/>
    <w:rsid w:val="00EA1D54"/>
    <w:rsid w:val="00EB2F8F"/>
    <w:rsid w:val="00EC7773"/>
    <w:rsid w:val="00EE0560"/>
    <w:rsid w:val="00F315CB"/>
    <w:rsid w:val="00F52E67"/>
    <w:rsid w:val="00F81793"/>
    <w:rsid w:val="00FB37F3"/>
    <w:rsid w:val="00FC1DAA"/>
    <w:rsid w:val="00FD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FC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B90FC2"/>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link w:val="Heading2Char"/>
    <w:autoRedefine/>
    <w:unhideWhenUsed/>
    <w:qFormat/>
    <w:rsid w:val="00CF048E"/>
    <w:pPr>
      <w:keepNext/>
      <w:numPr>
        <w:numId w:val="10"/>
      </w:numPr>
      <w:spacing w:after="240"/>
      <w:ind w:left="1440" w:right="720" w:hanging="720"/>
      <w:outlineLvl w:val="1"/>
    </w:pPr>
    <w:rPr>
      <w:rFonts w:ascii="Times New Roman Bold" w:hAnsi="Times New Roman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FC2"/>
    <w:rPr>
      <w:rFonts w:ascii="Times New Roman Bold" w:eastAsia="Times New Roman" w:hAnsi="Times New Roman Bold" w:cs="Times New Roman"/>
      <w:b/>
      <w:caps/>
      <w:sz w:val="24"/>
      <w:szCs w:val="24"/>
    </w:rPr>
  </w:style>
  <w:style w:type="character" w:customStyle="1" w:styleId="Heading2Char">
    <w:name w:val="Heading 2 Char"/>
    <w:basedOn w:val="DefaultParagraphFont"/>
    <w:link w:val="Heading2"/>
    <w:rsid w:val="00CF048E"/>
    <w:rPr>
      <w:rFonts w:ascii="Times New Roman Bold" w:eastAsia="Times New Roman" w:hAnsi="Times New Roman Bold" w:cs="Times New Roman"/>
      <w:b/>
      <w:sz w:val="24"/>
      <w:szCs w:val="20"/>
    </w:rPr>
  </w:style>
  <w:style w:type="paragraph" w:styleId="HTMLPreformatted">
    <w:name w:val="HTML Preformatted"/>
    <w:basedOn w:val="Normal"/>
    <w:link w:val="HTMLPreformattedChar"/>
    <w:unhideWhenUsed/>
    <w:rsid w:val="00E2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E259F0"/>
    <w:rPr>
      <w:rFonts w:ascii="Courier New" w:eastAsia="Courier New" w:hAnsi="Courier New" w:cs="Courier New"/>
      <w:sz w:val="20"/>
      <w:szCs w:val="20"/>
    </w:rPr>
  </w:style>
  <w:style w:type="paragraph" w:styleId="FootnoteText">
    <w:name w:val="footnote text"/>
    <w:basedOn w:val="Normal"/>
    <w:link w:val="FootnoteTextChar"/>
    <w:uiPriority w:val="99"/>
    <w:semiHidden/>
    <w:unhideWhenUsed/>
    <w:rsid w:val="00E259F0"/>
    <w:rPr>
      <w:sz w:val="20"/>
    </w:rPr>
  </w:style>
  <w:style w:type="character" w:customStyle="1" w:styleId="FootnoteTextChar">
    <w:name w:val="Footnote Text Char"/>
    <w:basedOn w:val="DefaultParagraphFont"/>
    <w:link w:val="FootnoteText"/>
    <w:uiPriority w:val="99"/>
    <w:semiHidden/>
    <w:rsid w:val="00E259F0"/>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E259F0"/>
    <w:rPr>
      <w:szCs w:val="24"/>
      <w:lang w:val="x-none" w:eastAsia="x-none"/>
    </w:rPr>
  </w:style>
  <w:style w:type="character" w:customStyle="1" w:styleId="CommentTextChar">
    <w:name w:val="Comment Text Char"/>
    <w:basedOn w:val="DefaultParagraphFont"/>
    <w:link w:val="CommentText"/>
    <w:uiPriority w:val="99"/>
    <w:semiHidden/>
    <w:rsid w:val="00E259F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E259F0"/>
    <w:pPr>
      <w:tabs>
        <w:tab w:val="center" w:pos="4320"/>
        <w:tab w:val="right" w:pos="8640"/>
      </w:tabs>
    </w:pPr>
    <w:rPr>
      <w:sz w:val="20"/>
    </w:rPr>
  </w:style>
  <w:style w:type="character" w:customStyle="1" w:styleId="FooterChar">
    <w:name w:val="Footer Char"/>
    <w:basedOn w:val="DefaultParagraphFont"/>
    <w:link w:val="Footer"/>
    <w:uiPriority w:val="99"/>
    <w:rsid w:val="00E259F0"/>
    <w:rPr>
      <w:rFonts w:ascii="Times New Roman" w:eastAsia="Times New Roman" w:hAnsi="Times New Roman" w:cs="Times New Roman"/>
      <w:sz w:val="20"/>
      <w:szCs w:val="20"/>
    </w:rPr>
  </w:style>
  <w:style w:type="paragraph" w:styleId="BodyText">
    <w:name w:val="Body Text"/>
    <w:basedOn w:val="Normal"/>
    <w:link w:val="BodyTextChar"/>
    <w:unhideWhenUsed/>
    <w:rsid w:val="00E259F0"/>
    <w:pPr>
      <w:jc w:val="both"/>
    </w:pPr>
    <w:rPr>
      <w:lang w:val="x-none" w:eastAsia="x-none"/>
    </w:rPr>
  </w:style>
  <w:style w:type="character" w:customStyle="1" w:styleId="BodyTextChar">
    <w:name w:val="Body Text Char"/>
    <w:basedOn w:val="DefaultParagraphFont"/>
    <w:link w:val="BodyText"/>
    <w:rsid w:val="00E259F0"/>
    <w:rPr>
      <w:rFonts w:ascii="Times New Roman" w:eastAsia="Times New Roman" w:hAnsi="Times New Roman" w:cs="Times New Roman"/>
      <w:sz w:val="24"/>
      <w:szCs w:val="20"/>
      <w:lang w:val="x-none" w:eastAsia="x-none"/>
    </w:rPr>
  </w:style>
  <w:style w:type="paragraph" w:styleId="BodyTextIndent">
    <w:name w:val="Body Text Indent"/>
    <w:basedOn w:val="Normal"/>
    <w:link w:val="BodyTextIndentChar"/>
    <w:semiHidden/>
    <w:unhideWhenUsed/>
    <w:rsid w:val="00E259F0"/>
    <w:pPr>
      <w:spacing w:line="480" w:lineRule="auto"/>
      <w:ind w:firstLine="720"/>
    </w:pPr>
    <w:rPr>
      <w:lang w:val="x-none" w:eastAsia="x-none"/>
    </w:rPr>
  </w:style>
  <w:style w:type="character" w:customStyle="1" w:styleId="BodyTextIndentChar">
    <w:name w:val="Body Text Indent Char"/>
    <w:basedOn w:val="DefaultParagraphFont"/>
    <w:link w:val="BodyTextIndent"/>
    <w:semiHidden/>
    <w:rsid w:val="00E259F0"/>
    <w:rPr>
      <w:rFonts w:ascii="Times New Roman" w:eastAsia="Times New Roman" w:hAnsi="Times New Roman" w:cs="Times New Roman"/>
      <w:sz w:val="24"/>
      <w:szCs w:val="20"/>
      <w:lang w:val="x-none" w:eastAsia="x-none"/>
    </w:rPr>
  </w:style>
  <w:style w:type="paragraph" w:styleId="BodyTextIndent2">
    <w:name w:val="Body Text Indent 2"/>
    <w:basedOn w:val="Normal"/>
    <w:link w:val="BodyTextIndent2Char"/>
    <w:semiHidden/>
    <w:unhideWhenUsed/>
    <w:rsid w:val="00E259F0"/>
    <w:pPr>
      <w:tabs>
        <w:tab w:val="left" w:pos="720"/>
      </w:tabs>
      <w:spacing w:before="240" w:after="240"/>
      <w:ind w:left="1464" w:hanging="744"/>
    </w:pPr>
  </w:style>
  <w:style w:type="character" w:customStyle="1" w:styleId="BodyTextIndent2Char">
    <w:name w:val="Body Text Indent 2 Char"/>
    <w:basedOn w:val="DefaultParagraphFont"/>
    <w:link w:val="BodyTextIndent2"/>
    <w:semiHidden/>
    <w:rsid w:val="00E259F0"/>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E259F0"/>
    <w:pPr>
      <w:spacing w:line="480" w:lineRule="atLeast"/>
      <w:ind w:firstLine="720"/>
    </w:pPr>
  </w:style>
  <w:style w:type="character" w:customStyle="1" w:styleId="BodyTextIndent3Char">
    <w:name w:val="Body Text Indent 3 Char"/>
    <w:basedOn w:val="DefaultParagraphFont"/>
    <w:link w:val="BodyTextIndent3"/>
    <w:semiHidden/>
    <w:rsid w:val="00E259F0"/>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unhideWhenUsed/>
    <w:rsid w:val="00E259F0"/>
    <w:rPr>
      <w:szCs w:val="20"/>
    </w:rPr>
  </w:style>
  <w:style w:type="character" w:customStyle="1" w:styleId="CommentSubjectChar">
    <w:name w:val="Comment Subject Char"/>
    <w:basedOn w:val="CommentTextChar"/>
    <w:link w:val="CommentSubject"/>
    <w:semiHidden/>
    <w:rsid w:val="00E259F0"/>
    <w:rPr>
      <w:rFonts w:ascii="Times New Roman" w:eastAsia="Times New Roman" w:hAnsi="Times New Roman" w:cs="Times New Roman"/>
      <w:sz w:val="24"/>
      <w:szCs w:val="20"/>
      <w:lang w:val="x-none" w:eastAsia="x-none"/>
    </w:rPr>
  </w:style>
  <w:style w:type="paragraph" w:customStyle="1" w:styleId="WW-BodyTextIndent3">
    <w:name w:val="WW-Body Text Indent 3"/>
    <w:basedOn w:val="Normal"/>
    <w:rsid w:val="00E259F0"/>
    <w:pPr>
      <w:suppressAutoHyphens/>
      <w:spacing w:line="480" w:lineRule="atLeast"/>
      <w:ind w:firstLine="720"/>
    </w:pPr>
    <w:rPr>
      <w:lang w:eastAsia="ar-SA"/>
    </w:rPr>
  </w:style>
  <w:style w:type="character" w:styleId="FootnoteReference">
    <w:name w:val="footnote reference"/>
    <w:uiPriority w:val="99"/>
    <w:semiHidden/>
    <w:unhideWhenUsed/>
    <w:rsid w:val="00E259F0"/>
    <w:rPr>
      <w:vertAlign w:val="superscript"/>
    </w:rPr>
  </w:style>
  <w:style w:type="paragraph" w:styleId="Header">
    <w:name w:val="header"/>
    <w:basedOn w:val="Normal"/>
    <w:link w:val="HeaderChar"/>
    <w:uiPriority w:val="99"/>
    <w:unhideWhenUsed/>
    <w:rsid w:val="00E259F0"/>
    <w:pPr>
      <w:tabs>
        <w:tab w:val="center" w:pos="4680"/>
        <w:tab w:val="right" w:pos="9360"/>
      </w:tabs>
    </w:pPr>
  </w:style>
  <w:style w:type="character" w:customStyle="1" w:styleId="HeaderChar">
    <w:name w:val="Header Char"/>
    <w:basedOn w:val="DefaultParagraphFont"/>
    <w:link w:val="Header"/>
    <w:uiPriority w:val="99"/>
    <w:rsid w:val="00E259F0"/>
    <w:rPr>
      <w:rFonts w:ascii="Times New Roman" w:eastAsia="Times New Roman" w:hAnsi="Times New Roman" w:cs="Times New Roman"/>
      <w:sz w:val="24"/>
      <w:szCs w:val="20"/>
    </w:rPr>
  </w:style>
  <w:style w:type="table" w:styleId="TableGrid">
    <w:name w:val="Table Grid"/>
    <w:basedOn w:val="TableNormal"/>
    <w:uiPriority w:val="59"/>
    <w:rsid w:val="00E25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59F0"/>
    <w:rPr>
      <w:color w:val="0000FF" w:themeColor="hyperlink"/>
      <w:u w:val="single"/>
    </w:rPr>
  </w:style>
  <w:style w:type="paragraph" w:styleId="TOC1">
    <w:name w:val="toc 1"/>
    <w:basedOn w:val="Normal"/>
    <w:next w:val="Normal"/>
    <w:autoRedefine/>
    <w:uiPriority w:val="39"/>
    <w:unhideWhenUsed/>
    <w:qFormat/>
    <w:rsid w:val="00E259F0"/>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E259F0"/>
    <w:pPr>
      <w:tabs>
        <w:tab w:val="decimal" w:leader="dot" w:pos="8640"/>
      </w:tabs>
      <w:spacing w:after="240"/>
      <w:ind w:left="1440" w:hanging="720"/>
    </w:pPr>
  </w:style>
  <w:style w:type="character" w:styleId="CommentReference">
    <w:name w:val="annotation reference"/>
    <w:basedOn w:val="DefaultParagraphFont"/>
    <w:uiPriority w:val="99"/>
    <w:semiHidden/>
    <w:unhideWhenUsed/>
    <w:rsid w:val="00521A3F"/>
    <w:rPr>
      <w:sz w:val="16"/>
      <w:szCs w:val="16"/>
    </w:rPr>
  </w:style>
  <w:style w:type="paragraph" w:styleId="BalloonText">
    <w:name w:val="Balloon Text"/>
    <w:basedOn w:val="Normal"/>
    <w:link w:val="BalloonTextChar"/>
    <w:uiPriority w:val="99"/>
    <w:semiHidden/>
    <w:unhideWhenUsed/>
    <w:rsid w:val="00521A3F"/>
    <w:rPr>
      <w:rFonts w:ascii="Tahoma" w:hAnsi="Tahoma" w:cs="Tahoma"/>
      <w:sz w:val="16"/>
      <w:szCs w:val="16"/>
    </w:rPr>
  </w:style>
  <w:style w:type="character" w:customStyle="1" w:styleId="BalloonTextChar">
    <w:name w:val="Balloon Text Char"/>
    <w:basedOn w:val="DefaultParagraphFont"/>
    <w:link w:val="BalloonText"/>
    <w:uiPriority w:val="99"/>
    <w:semiHidden/>
    <w:rsid w:val="00521A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FC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B90FC2"/>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link w:val="Heading2Char"/>
    <w:autoRedefine/>
    <w:unhideWhenUsed/>
    <w:qFormat/>
    <w:rsid w:val="00CF048E"/>
    <w:pPr>
      <w:keepNext/>
      <w:numPr>
        <w:numId w:val="10"/>
      </w:numPr>
      <w:spacing w:after="240"/>
      <w:ind w:left="1440" w:right="720" w:hanging="720"/>
      <w:outlineLvl w:val="1"/>
    </w:pPr>
    <w:rPr>
      <w:rFonts w:ascii="Times New Roman Bold" w:hAnsi="Times New Roman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FC2"/>
    <w:rPr>
      <w:rFonts w:ascii="Times New Roman Bold" w:eastAsia="Times New Roman" w:hAnsi="Times New Roman Bold" w:cs="Times New Roman"/>
      <w:b/>
      <w:caps/>
      <w:sz w:val="24"/>
      <w:szCs w:val="24"/>
    </w:rPr>
  </w:style>
  <w:style w:type="character" w:customStyle="1" w:styleId="Heading2Char">
    <w:name w:val="Heading 2 Char"/>
    <w:basedOn w:val="DefaultParagraphFont"/>
    <w:link w:val="Heading2"/>
    <w:rsid w:val="00CF048E"/>
    <w:rPr>
      <w:rFonts w:ascii="Times New Roman Bold" w:eastAsia="Times New Roman" w:hAnsi="Times New Roman Bold" w:cs="Times New Roman"/>
      <w:b/>
      <w:sz w:val="24"/>
      <w:szCs w:val="20"/>
    </w:rPr>
  </w:style>
  <w:style w:type="paragraph" w:styleId="HTMLPreformatted">
    <w:name w:val="HTML Preformatted"/>
    <w:basedOn w:val="Normal"/>
    <w:link w:val="HTMLPreformattedChar"/>
    <w:unhideWhenUsed/>
    <w:rsid w:val="00E2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E259F0"/>
    <w:rPr>
      <w:rFonts w:ascii="Courier New" w:eastAsia="Courier New" w:hAnsi="Courier New" w:cs="Courier New"/>
      <w:sz w:val="20"/>
      <w:szCs w:val="20"/>
    </w:rPr>
  </w:style>
  <w:style w:type="paragraph" w:styleId="FootnoteText">
    <w:name w:val="footnote text"/>
    <w:basedOn w:val="Normal"/>
    <w:link w:val="FootnoteTextChar"/>
    <w:uiPriority w:val="99"/>
    <w:semiHidden/>
    <w:unhideWhenUsed/>
    <w:rsid w:val="00E259F0"/>
    <w:rPr>
      <w:sz w:val="20"/>
    </w:rPr>
  </w:style>
  <w:style w:type="character" w:customStyle="1" w:styleId="FootnoteTextChar">
    <w:name w:val="Footnote Text Char"/>
    <w:basedOn w:val="DefaultParagraphFont"/>
    <w:link w:val="FootnoteText"/>
    <w:uiPriority w:val="99"/>
    <w:semiHidden/>
    <w:rsid w:val="00E259F0"/>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E259F0"/>
    <w:rPr>
      <w:szCs w:val="24"/>
      <w:lang w:val="x-none" w:eastAsia="x-none"/>
    </w:rPr>
  </w:style>
  <w:style w:type="character" w:customStyle="1" w:styleId="CommentTextChar">
    <w:name w:val="Comment Text Char"/>
    <w:basedOn w:val="DefaultParagraphFont"/>
    <w:link w:val="CommentText"/>
    <w:uiPriority w:val="99"/>
    <w:semiHidden/>
    <w:rsid w:val="00E259F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E259F0"/>
    <w:pPr>
      <w:tabs>
        <w:tab w:val="center" w:pos="4320"/>
        <w:tab w:val="right" w:pos="8640"/>
      </w:tabs>
    </w:pPr>
    <w:rPr>
      <w:sz w:val="20"/>
    </w:rPr>
  </w:style>
  <w:style w:type="character" w:customStyle="1" w:styleId="FooterChar">
    <w:name w:val="Footer Char"/>
    <w:basedOn w:val="DefaultParagraphFont"/>
    <w:link w:val="Footer"/>
    <w:uiPriority w:val="99"/>
    <w:rsid w:val="00E259F0"/>
    <w:rPr>
      <w:rFonts w:ascii="Times New Roman" w:eastAsia="Times New Roman" w:hAnsi="Times New Roman" w:cs="Times New Roman"/>
      <w:sz w:val="20"/>
      <w:szCs w:val="20"/>
    </w:rPr>
  </w:style>
  <w:style w:type="paragraph" w:styleId="BodyText">
    <w:name w:val="Body Text"/>
    <w:basedOn w:val="Normal"/>
    <w:link w:val="BodyTextChar"/>
    <w:unhideWhenUsed/>
    <w:rsid w:val="00E259F0"/>
    <w:pPr>
      <w:jc w:val="both"/>
    </w:pPr>
    <w:rPr>
      <w:lang w:val="x-none" w:eastAsia="x-none"/>
    </w:rPr>
  </w:style>
  <w:style w:type="character" w:customStyle="1" w:styleId="BodyTextChar">
    <w:name w:val="Body Text Char"/>
    <w:basedOn w:val="DefaultParagraphFont"/>
    <w:link w:val="BodyText"/>
    <w:rsid w:val="00E259F0"/>
    <w:rPr>
      <w:rFonts w:ascii="Times New Roman" w:eastAsia="Times New Roman" w:hAnsi="Times New Roman" w:cs="Times New Roman"/>
      <w:sz w:val="24"/>
      <w:szCs w:val="20"/>
      <w:lang w:val="x-none" w:eastAsia="x-none"/>
    </w:rPr>
  </w:style>
  <w:style w:type="paragraph" w:styleId="BodyTextIndent">
    <w:name w:val="Body Text Indent"/>
    <w:basedOn w:val="Normal"/>
    <w:link w:val="BodyTextIndentChar"/>
    <w:semiHidden/>
    <w:unhideWhenUsed/>
    <w:rsid w:val="00E259F0"/>
    <w:pPr>
      <w:spacing w:line="480" w:lineRule="auto"/>
      <w:ind w:firstLine="720"/>
    </w:pPr>
    <w:rPr>
      <w:lang w:val="x-none" w:eastAsia="x-none"/>
    </w:rPr>
  </w:style>
  <w:style w:type="character" w:customStyle="1" w:styleId="BodyTextIndentChar">
    <w:name w:val="Body Text Indent Char"/>
    <w:basedOn w:val="DefaultParagraphFont"/>
    <w:link w:val="BodyTextIndent"/>
    <w:semiHidden/>
    <w:rsid w:val="00E259F0"/>
    <w:rPr>
      <w:rFonts w:ascii="Times New Roman" w:eastAsia="Times New Roman" w:hAnsi="Times New Roman" w:cs="Times New Roman"/>
      <w:sz w:val="24"/>
      <w:szCs w:val="20"/>
      <w:lang w:val="x-none" w:eastAsia="x-none"/>
    </w:rPr>
  </w:style>
  <w:style w:type="paragraph" w:styleId="BodyTextIndent2">
    <w:name w:val="Body Text Indent 2"/>
    <w:basedOn w:val="Normal"/>
    <w:link w:val="BodyTextIndent2Char"/>
    <w:semiHidden/>
    <w:unhideWhenUsed/>
    <w:rsid w:val="00E259F0"/>
    <w:pPr>
      <w:tabs>
        <w:tab w:val="left" w:pos="720"/>
      </w:tabs>
      <w:spacing w:before="240" w:after="240"/>
      <w:ind w:left="1464" w:hanging="744"/>
    </w:pPr>
  </w:style>
  <w:style w:type="character" w:customStyle="1" w:styleId="BodyTextIndent2Char">
    <w:name w:val="Body Text Indent 2 Char"/>
    <w:basedOn w:val="DefaultParagraphFont"/>
    <w:link w:val="BodyTextIndent2"/>
    <w:semiHidden/>
    <w:rsid w:val="00E259F0"/>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E259F0"/>
    <w:pPr>
      <w:spacing w:line="480" w:lineRule="atLeast"/>
      <w:ind w:firstLine="720"/>
    </w:pPr>
  </w:style>
  <w:style w:type="character" w:customStyle="1" w:styleId="BodyTextIndent3Char">
    <w:name w:val="Body Text Indent 3 Char"/>
    <w:basedOn w:val="DefaultParagraphFont"/>
    <w:link w:val="BodyTextIndent3"/>
    <w:semiHidden/>
    <w:rsid w:val="00E259F0"/>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unhideWhenUsed/>
    <w:rsid w:val="00E259F0"/>
    <w:rPr>
      <w:szCs w:val="20"/>
    </w:rPr>
  </w:style>
  <w:style w:type="character" w:customStyle="1" w:styleId="CommentSubjectChar">
    <w:name w:val="Comment Subject Char"/>
    <w:basedOn w:val="CommentTextChar"/>
    <w:link w:val="CommentSubject"/>
    <w:semiHidden/>
    <w:rsid w:val="00E259F0"/>
    <w:rPr>
      <w:rFonts w:ascii="Times New Roman" w:eastAsia="Times New Roman" w:hAnsi="Times New Roman" w:cs="Times New Roman"/>
      <w:sz w:val="24"/>
      <w:szCs w:val="20"/>
      <w:lang w:val="x-none" w:eastAsia="x-none"/>
    </w:rPr>
  </w:style>
  <w:style w:type="paragraph" w:customStyle="1" w:styleId="WW-BodyTextIndent3">
    <w:name w:val="WW-Body Text Indent 3"/>
    <w:basedOn w:val="Normal"/>
    <w:rsid w:val="00E259F0"/>
    <w:pPr>
      <w:suppressAutoHyphens/>
      <w:spacing w:line="480" w:lineRule="atLeast"/>
      <w:ind w:firstLine="720"/>
    </w:pPr>
    <w:rPr>
      <w:lang w:eastAsia="ar-SA"/>
    </w:rPr>
  </w:style>
  <w:style w:type="character" w:styleId="FootnoteReference">
    <w:name w:val="footnote reference"/>
    <w:uiPriority w:val="99"/>
    <w:semiHidden/>
    <w:unhideWhenUsed/>
    <w:rsid w:val="00E259F0"/>
    <w:rPr>
      <w:vertAlign w:val="superscript"/>
    </w:rPr>
  </w:style>
  <w:style w:type="paragraph" w:styleId="Header">
    <w:name w:val="header"/>
    <w:basedOn w:val="Normal"/>
    <w:link w:val="HeaderChar"/>
    <w:uiPriority w:val="99"/>
    <w:unhideWhenUsed/>
    <w:rsid w:val="00E259F0"/>
    <w:pPr>
      <w:tabs>
        <w:tab w:val="center" w:pos="4680"/>
        <w:tab w:val="right" w:pos="9360"/>
      </w:tabs>
    </w:pPr>
  </w:style>
  <w:style w:type="character" w:customStyle="1" w:styleId="HeaderChar">
    <w:name w:val="Header Char"/>
    <w:basedOn w:val="DefaultParagraphFont"/>
    <w:link w:val="Header"/>
    <w:uiPriority w:val="99"/>
    <w:rsid w:val="00E259F0"/>
    <w:rPr>
      <w:rFonts w:ascii="Times New Roman" w:eastAsia="Times New Roman" w:hAnsi="Times New Roman" w:cs="Times New Roman"/>
      <w:sz w:val="24"/>
      <w:szCs w:val="20"/>
    </w:rPr>
  </w:style>
  <w:style w:type="table" w:styleId="TableGrid">
    <w:name w:val="Table Grid"/>
    <w:basedOn w:val="TableNormal"/>
    <w:uiPriority w:val="59"/>
    <w:rsid w:val="00E25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59F0"/>
    <w:rPr>
      <w:color w:val="0000FF" w:themeColor="hyperlink"/>
      <w:u w:val="single"/>
    </w:rPr>
  </w:style>
  <w:style w:type="paragraph" w:styleId="TOC1">
    <w:name w:val="toc 1"/>
    <w:basedOn w:val="Normal"/>
    <w:next w:val="Normal"/>
    <w:autoRedefine/>
    <w:uiPriority w:val="39"/>
    <w:unhideWhenUsed/>
    <w:qFormat/>
    <w:rsid w:val="00E259F0"/>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E259F0"/>
    <w:pPr>
      <w:tabs>
        <w:tab w:val="decimal" w:leader="dot" w:pos="8640"/>
      </w:tabs>
      <w:spacing w:after="240"/>
      <w:ind w:left="1440" w:hanging="720"/>
    </w:pPr>
  </w:style>
  <w:style w:type="character" w:styleId="CommentReference">
    <w:name w:val="annotation reference"/>
    <w:basedOn w:val="DefaultParagraphFont"/>
    <w:uiPriority w:val="99"/>
    <w:semiHidden/>
    <w:unhideWhenUsed/>
    <w:rsid w:val="00521A3F"/>
    <w:rPr>
      <w:sz w:val="16"/>
      <w:szCs w:val="16"/>
    </w:rPr>
  </w:style>
  <w:style w:type="paragraph" w:styleId="BalloonText">
    <w:name w:val="Balloon Text"/>
    <w:basedOn w:val="Normal"/>
    <w:link w:val="BalloonTextChar"/>
    <w:uiPriority w:val="99"/>
    <w:semiHidden/>
    <w:unhideWhenUsed/>
    <w:rsid w:val="00521A3F"/>
    <w:rPr>
      <w:rFonts w:ascii="Tahoma" w:hAnsi="Tahoma" w:cs="Tahoma"/>
      <w:sz w:val="16"/>
      <w:szCs w:val="16"/>
    </w:rPr>
  </w:style>
  <w:style w:type="character" w:customStyle="1" w:styleId="BalloonTextChar">
    <w:name w:val="Balloon Text Char"/>
    <w:basedOn w:val="DefaultParagraphFont"/>
    <w:link w:val="BalloonText"/>
    <w:uiPriority w:val="99"/>
    <w:semiHidden/>
    <w:rsid w:val="00521A3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di.bair@occ.ohio.gov"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yperlink" Target="mailto:Elizabeth.watts@duke-energy.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mailto:Jodi.bair@occ.ohio.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Nicholas.walstra@puc.state.oh.us" TargetMode="External"/><Relationship Id="rId5" Type="http://schemas.openxmlformats.org/officeDocument/2006/relationships/webSettings" Target="webSettings.xml"/><Relationship Id="rId15" Type="http://schemas.openxmlformats.org/officeDocument/2006/relationships/hyperlink" Target="mailto:Jodi.bair@occ.ohio.gov" TargetMode="External"/><Relationship Id="rId23" Type="http://schemas.openxmlformats.org/officeDocument/2006/relationships/hyperlink" Target="mailto:Christine.pirik@puc.state.oh.us"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my.spiller@duke-energy.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2292</Words>
  <Characters>12654</Characters>
  <Application>Microsoft Office Word</Application>
  <DocSecurity>0</DocSecurity>
  <Lines>345</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14899</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2015-06-10T18:20:00Z</cp:lastPrinted>
  <dcterms:created xsi:type="dcterms:W3CDTF">2015-06-10T20:19:00Z</dcterms:created>
  <dcterms:modified xsi:type="dcterms:W3CDTF">2015-06-10T20:19:00Z</dcterms:modified>
  <cp:category> </cp:category>
  <cp:contentStatus> </cp:contentStatus>
</cp:coreProperties>
</file>