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76572" w:rsidRPr="005216DF" w:rsidP="00076572">
      <w:pPr>
        <w:ind w:left="2880" w:firstLine="720"/>
        <w:rPr>
          <w:b/>
          <w:szCs w:val="24"/>
        </w:rPr>
      </w:pPr>
      <w:bookmarkStart w:id="0" w:name="_GoBack"/>
      <w:bookmarkEnd w:id="0"/>
      <w:r w:rsidRPr="005216DF">
        <w:rPr>
          <w:b/>
          <w:szCs w:val="24"/>
        </w:rPr>
        <w:t>BEFORE</w:t>
      </w:r>
    </w:p>
    <w:p w:rsidR="00076572" w:rsidP="00076572">
      <w:pPr>
        <w:jc w:val="center"/>
        <w:rPr>
          <w:b/>
          <w:szCs w:val="24"/>
        </w:rPr>
      </w:pPr>
      <w:r w:rsidRPr="005216DF">
        <w:rPr>
          <w:b/>
          <w:szCs w:val="24"/>
        </w:rPr>
        <w:t>THE PUBLIC UTILITIES COMMISSION OF OHIO</w:t>
      </w:r>
    </w:p>
    <w:p w:rsidR="00076572" w:rsidP="00076572">
      <w:pPr>
        <w:jc w:val="center"/>
        <w:rPr>
          <w:b/>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1E71B7">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76572" w:rsidRPr="00204DE6" w:rsidP="001E71B7">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204DE6">
              <w:rPr>
                <w:rFonts w:ascii="Times New Roman" w:eastAsia="Times New Roman" w:hAnsi="Times New Roman" w:cs="Times New Roman"/>
                <w:sz w:val="24"/>
                <w:szCs w:val="24"/>
                <w:lang w:val="en-US" w:eastAsia="en-US" w:bidi="ar-SA"/>
              </w:rPr>
              <w:t>In the Matter of the Application of Ohio Edison Company, the Cleveland Electric Illuminating Company, and the Toledo Edison Company for Approval of their Energy Efficiency and Peak Demand Reduction Program Portfolio Plans for 2017 through 2019.</w:t>
            </w:r>
          </w:p>
        </w:tc>
        <w:tc>
          <w:tcPr>
            <w:tcW w:w="360" w:type="dxa"/>
            <w:shd w:val="clear" w:color="auto" w:fill="auto"/>
          </w:tcPr>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204DE6">
              <w:rPr>
                <w:rFonts w:ascii="Times New Roman" w:eastAsia="Courier New" w:hAnsi="Times New Roman" w:cs="Times New Roman"/>
                <w:sz w:val="24"/>
                <w:szCs w:val="24"/>
                <w:lang w:val="en-US" w:eastAsia="en-US" w:bidi="ar-SA"/>
              </w:rPr>
              <w:t>)</w:t>
            </w:r>
          </w:p>
        </w:tc>
        <w:tc>
          <w:tcPr>
            <w:tcW w:w="4400" w:type="dxa"/>
            <w:shd w:val="clear" w:color="auto" w:fill="auto"/>
          </w:tcPr>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076572" w:rsidRPr="00204DE6" w:rsidP="001E71B7">
            <w:pPr>
              <w:spacing w:after="0" w:line="240" w:lineRule="auto"/>
              <w:rPr>
                <w:rStyle w:val="DefaultParagraphFont"/>
                <w:rFonts w:ascii="Times New Roman" w:eastAsia="Times New Roman" w:hAnsi="Times New Roman" w:cs="Times New Roman"/>
                <w:sz w:val="24"/>
                <w:szCs w:val="24"/>
                <w:lang w:val="en-US" w:eastAsia="en-US" w:bidi="ar-SA"/>
              </w:rPr>
            </w:pPr>
          </w:p>
          <w:p w:rsidR="00076572" w:rsidRPr="00204DE6" w:rsidP="001E71B7">
            <w:pPr>
              <w:spacing w:after="0" w:line="240" w:lineRule="auto"/>
              <w:rPr>
                <w:rStyle w:val="DefaultParagraphFont"/>
                <w:rFonts w:ascii="Times New Roman" w:eastAsia="Times New Roman" w:hAnsi="Times New Roman" w:cs="Times New Roman"/>
                <w:i/>
                <w:sz w:val="24"/>
                <w:szCs w:val="24"/>
                <w:lang w:val="en-US" w:eastAsia="en-US" w:bidi="ar-SA"/>
              </w:rPr>
            </w:pPr>
            <w:r w:rsidRPr="00204DE6">
              <w:rPr>
                <w:rFonts w:ascii="Times New Roman" w:eastAsia="Times New Roman" w:hAnsi="Times New Roman" w:cs="Times New Roman"/>
                <w:sz w:val="24"/>
                <w:szCs w:val="24"/>
                <w:lang w:val="en-US" w:eastAsia="en-US" w:bidi="ar-SA"/>
              </w:rPr>
              <w:t>Case No. 16-743-EL-POR</w:t>
            </w:r>
          </w:p>
          <w:p w:rsidR="00076572" w:rsidRPr="00204DE6" w:rsidP="001E71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076572" w:rsidRPr="005216DF" w:rsidP="00076572">
      <w:pPr>
        <w:jc w:val="both"/>
        <w:rPr>
          <w:szCs w:val="24"/>
        </w:rPr>
      </w:pPr>
    </w:p>
    <w:p w:rsidR="00076572" w:rsidRPr="005216DF" w:rsidP="0074577C">
      <w:pPr>
        <w:pBdr>
          <w:top w:val="single" w:sz="12" w:space="1" w:color="auto"/>
        </w:pBdr>
        <w:jc w:val="center"/>
        <w:rPr>
          <w:szCs w:val="24"/>
        </w:rPr>
      </w:pPr>
    </w:p>
    <w:p w:rsidR="007E61BD" w:rsidP="007E61BD">
      <w:pPr>
        <w:tabs>
          <w:tab w:val="left" w:pos="-720"/>
        </w:tabs>
        <w:suppressAutoHyphens/>
        <w:jc w:val="center"/>
        <w:rPr>
          <w:b/>
          <w:spacing w:val="-3"/>
          <w:szCs w:val="24"/>
        </w:rPr>
      </w:pPr>
      <w:r>
        <w:rPr>
          <w:b/>
          <w:spacing w:val="-3"/>
          <w:szCs w:val="24"/>
        </w:rPr>
        <w:t>REPLY IN SUPPORT OF MOTION TO STRIKE PORTIONS OF THE POST-HEARING BRIEFS OF OHIO EDISON COMPANY, THE CLEVELAND ELECTRIC ILLUMINATING COMPANY, AND THE TOLEDO EDISON COMPANY</w:t>
      </w:r>
    </w:p>
    <w:p w:rsidR="007E61BD" w:rsidP="007E61BD">
      <w:pPr>
        <w:tabs>
          <w:tab w:val="left" w:pos="-720"/>
        </w:tabs>
        <w:suppressAutoHyphens/>
        <w:jc w:val="center"/>
        <w:rPr>
          <w:b/>
          <w:spacing w:val="-3"/>
          <w:szCs w:val="24"/>
        </w:rPr>
      </w:pPr>
      <w:r>
        <w:rPr>
          <w:b/>
          <w:spacing w:val="-3"/>
          <w:szCs w:val="24"/>
        </w:rPr>
        <w:t>BY</w:t>
      </w:r>
    </w:p>
    <w:p w:rsidR="00076572" w:rsidRPr="005216DF" w:rsidP="007E61BD">
      <w:pPr>
        <w:tabs>
          <w:tab w:val="left" w:pos="-720"/>
        </w:tabs>
        <w:suppressAutoHyphens/>
        <w:jc w:val="center"/>
        <w:rPr>
          <w:b/>
          <w:spacing w:val="-3"/>
          <w:szCs w:val="24"/>
        </w:rPr>
      </w:pPr>
      <w:r w:rsidRPr="005216DF">
        <w:rPr>
          <w:b/>
          <w:spacing w:val="-3"/>
          <w:szCs w:val="24"/>
        </w:rPr>
        <w:t>THE OFFICE OF THE OHIO CONSUMERS</w:t>
      </w:r>
      <w:r>
        <w:rPr>
          <w:b/>
          <w:spacing w:val="-3"/>
          <w:szCs w:val="24"/>
        </w:rPr>
        <w:t>'</w:t>
      </w:r>
      <w:r w:rsidRPr="005216DF">
        <w:rPr>
          <w:b/>
          <w:spacing w:val="-3"/>
          <w:szCs w:val="24"/>
        </w:rPr>
        <w:t xml:space="preserve"> COUNSEL</w:t>
      </w:r>
    </w:p>
    <w:p w:rsidR="00076572" w:rsidRPr="005216DF" w:rsidP="0074577C">
      <w:pPr>
        <w:pBdr>
          <w:bottom w:val="single" w:sz="12" w:space="1" w:color="auto"/>
        </w:pBdr>
        <w:tabs>
          <w:tab w:val="left" w:pos="-720"/>
        </w:tabs>
        <w:suppressAutoHyphens/>
        <w:jc w:val="center"/>
        <w:rPr>
          <w:b/>
          <w:spacing w:val="-3"/>
          <w:szCs w:val="24"/>
        </w:rPr>
      </w:pPr>
    </w:p>
    <w:p w:rsidR="00096E4B"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The PUCO should grant the PUCO Staff's and the</w:t>
      </w:r>
      <w:r w:rsidR="00F26EAE">
        <w:rPr>
          <w:rFonts w:ascii="Times New Roman" w:hAnsi="Times New Roman" w:cs="Times New Roman"/>
        </w:rPr>
        <w:t xml:space="preserve"> Office of the</w:t>
      </w:r>
      <w:r>
        <w:rPr>
          <w:rFonts w:ascii="Times New Roman" w:hAnsi="Times New Roman" w:cs="Times New Roman"/>
        </w:rPr>
        <w:t xml:space="preserve"> Ohio Consumers' Counsel's </w:t>
      </w:r>
      <w:r w:rsidR="00205EC9">
        <w:rPr>
          <w:rFonts w:ascii="Times New Roman" w:hAnsi="Times New Roman" w:cs="Times New Roman"/>
        </w:rPr>
        <w:t>("OCC"</w:t>
      </w:r>
      <w:r w:rsidR="00F26EAE">
        <w:rPr>
          <w:rFonts w:ascii="Times New Roman" w:hAnsi="Times New Roman" w:cs="Times New Roman"/>
        </w:rPr>
        <w:t xml:space="preserve">) </w:t>
      </w:r>
      <w:r>
        <w:rPr>
          <w:rFonts w:ascii="Times New Roman" w:hAnsi="Times New Roman" w:cs="Times New Roman"/>
        </w:rPr>
        <w:t>motion to strike portions of FirstEnergy's post-hearing briefs.</w:t>
      </w:r>
      <w:r>
        <w:rPr>
          <w:rStyle w:val="FootnoteReference"/>
          <w:rFonts w:ascii="Times New Roman" w:hAnsi="Times New Roman" w:cs="Times New Roman"/>
        </w:rPr>
        <w:footnoteReference w:id="2"/>
      </w:r>
      <w:r>
        <w:rPr>
          <w:rFonts w:ascii="Times New Roman" w:hAnsi="Times New Roman" w:cs="Times New Roman"/>
        </w:rPr>
        <w:t xml:space="preserve"> </w:t>
      </w:r>
      <w:r w:rsidR="00F24031">
        <w:rPr>
          <w:rFonts w:ascii="Times New Roman" w:hAnsi="Times New Roman" w:cs="Times New Roman"/>
        </w:rPr>
        <w:t>In its briefs, FirstEnergy repeatedly relied on facts not in evidence. As explained</w:t>
      </w:r>
      <w:r>
        <w:rPr>
          <w:rFonts w:ascii="Times New Roman" w:hAnsi="Times New Roman" w:cs="Times New Roman"/>
        </w:rPr>
        <w:t xml:space="preserve"> in the Motion to Strike</w:t>
      </w:r>
      <w:r w:rsidR="00F24031">
        <w:rPr>
          <w:rFonts w:ascii="Times New Roman" w:hAnsi="Times New Roman" w:cs="Times New Roman"/>
        </w:rPr>
        <w:t>, this violates PUCO precedent</w:t>
      </w:r>
      <w:r>
        <w:rPr>
          <w:rFonts w:ascii="Times New Roman" w:hAnsi="Times New Roman" w:cs="Times New Roman"/>
        </w:rPr>
        <w:t xml:space="preserve">. </w:t>
      </w:r>
    </w:p>
    <w:p w:rsidR="00700E0E"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sectPr w:rsidSect="0074577C">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r>
        <w:rPr>
          <w:rFonts w:ascii="Times New Roman" w:hAnsi="Times New Roman" w:cs="Times New Roman"/>
        </w:rPr>
        <w:t>FirstEnergy's memorandum contra</w:t>
      </w:r>
      <w:r>
        <w:rPr>
          <w:rStyle w:val="FootnoteReference"/>
          <w:rFonts w:ascii="Times New Roman" w:hAnsi="Times New Roman" w:cs="Times New Roman"/>
        </w:rPr>
        <w:footnoteReference w:id="3"/>
      </w:r>
      <w:r w:rsidR="00072071">
        <w:rPr>
          <w:rFonts w:ascii="Times New Roman" w:hAnsi="Times New Roman" w:cs="Times New Roman"/>
        </w:rPr>
        <w:t xml:space="preserve"> </w:t>
      </w:r>
      <w:r>
        <w:rPr>
          <w:rFonts w:ascii="Times New Roman" w:hAnsi="Times New Roman" w:cs="Times New Roman"/>
        </w:rPr>
        <w:t xml:space="preserve">(i) relies on arguments that are unsupported by </w:t>
      </w:r>
      <w:r w:rsidR="0080653E">
        <w:rPr>
          <w:rFonts w:ascii="Times New Roman" w:hAnsi="Times New Roman" w:cs="Times New Roman"/>
        </w:rPr>
        <w:t xml:space="preserve">the evidentiary record and </w:t>
      </w:r>
      <w:r>
        <w:rPr>
          <w:rFonts w:ascii="Times New Roman" w:hAnsi="Times New Roman" w:cs="Times New Roman"/>
        </w:rPr>
        <w:t xml:space="preserve">PUCO precedent, (ii) effectively concedes that some of the PUCO Staff's and OCC's requests to strike FirstEnergy's briefs are well-taken, and (iii) otherwise miscomprehends the nature of the PUCO Staff's and OCC's requests to strike its briefs. The PUCO should reject the arguments in </w:t>
      </w:r>
      <w:r w:rsidR="00417C50">
        <w:rPr>
          <w:rFonts w:ascii="Times New Roman" w:hAnsi="Times New Roman" w:cs="Times New Roman"/>
        </w:rPr>
        <w:t>the</w:t>
      </w:r>
      <w:r>
        <w:rPr>
          <w:rFonts w:ascii="Times New Roman" w:hAnsi="Times New Roman" w:cs="Times New Roman"/>
        </w:rPr>
        <w:t xml:space="preserve"> Memo Contra and should grant the Motion to Strike.</w:t>
      </w:r>
    </w:p>
    <w:p w:rsidR="00072071" w:rsidRPr="00B15C49" w:rsidP="00B15C49">
      <w:pPr>
        <w:pStyle w:val="Footer"/>
        <w:keepNext/>
        <w:keepLines/>
        <w:tabs>
          <w:tab w:val="clear" w:pos="4320"/>
          <w:tab w:val="clear" w:pos="8640"/>
        </w:tabs>
        <w:spacing w:after="24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REPLY</w:t>
      </w:r>
    </w:p>
    <w:p w:rsidR="00072071" w:rsidRPr="00854B24" w:rsidP="00700E0E">
      <w:pPr>
        <w:pStyle w:val="Footer"/>
        <w:keepNext/>
        <w:tabs>
          <w:tab w:val="clear" w:pos="4320"/>
          <w:tab w:val="clear" w:pos="8640"/>
        </w:tabs>
        <w:spacing w:after="240"/>
        <w:ind w:left="1440" w:right="720" w:hanging="72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r>
      <w:r w:rsidR="004A38D3">
        <w:rPr>
          <w:rFonts w:ascii="Times New Roman" w:hAnsi="Times New Roman" w:cs="Times New Roman"/>
          <w:b/>
        </w:rPr>
        <w:t>FirstEnergy's statements regarding the settlement in this case are not based on record evidence.</w:t>
      </w:r>
    </w:p>
    <w:p w:rsidR="004A38D3"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In the Motion to Strike</w:t>
      </w:r>
      <w:r w:rsidR="0002494E">
        <w:rPr>
          <w:rFonts w:ascii="Times New Roman" w:hAnsi="Times New Roman" w:cs="Times New Roman"/>
        </w:rPr>
        <w:t xml:space="preserve">, the PUCO Staff and OCC explained that FirstEnergy's references to certain settlement communications should be struck </w:t>
      </w:r>
      <w:r w:rsidR="00946209">
        <w:rPr>
          <w:rFonts w:ascii="Times New Roman" w:hAnsi="Times New Roman" w:cs="Times New Roman"/>
        </w:rPr>
        <w:t xml:space="preserve">because </w:t>
      </w:r>
      <w:r w:rsidR="0002494E">
        <w:rPr>
          <w:rFonts w:ascii="Times New Roman" w:hAnsi="Times New Roman" w:cs="Times New Roman"/>
        </w:rPr>
        <w:t xml:space="preserve">they </w:t>
      </w:r>
      <w:r w:rsidR="00E36CFE">
        <w:rPr>
          <w:rFonts w:ascii="Times New Roman" w:hAnsi="Times New Roman" w:cs="Times New Roman"/>
        </w:rPr>
        <w:t>are not based on record evidence.</w:t>
      </w:r>
      <w:r>
        <w:rPr>
          <w:rStyle w:val="FootnoteReference"/>
          <w:rFonts w:ascii="Times New Roman" w:hAnsi="Times New Roman" w:cs="Times New Roman"/>
        </w:rPr>
        <w:footnoteReference w:id="4"/>
      </w:r>
      <w:r w:rsidR="00E36CFE">
        <w:rPr>
          <w:rFonts w:ascii="Times New Roman" w:hAnsi="Times New Roman" w:cs="Times New Roman"/>
        </w:rPr>
        <w:t xml:space="preserve"> </w:t>
      </w:r>
      <w:r w:rsidR="0002494E">
        <w:rPr>
          <w:rFonts w:ascii="Times New Roman" w:hAnsi="Times New Roman" w:cs="Times New Roman"/>
        </w:rPr>
        <w:t xml:space="preserve">FirstEnergy, in its Memo Contra, </w:t>
      </w:r>
      <w:r w:rsidR="00946209">
        <w:rPr>
          <w:rFonts w:ascii="Times New Roman" w:hAnsi="Times New Roman" w:cs="Times New Roman"/>
        </w:rPr>
        <w:t>did not respond to this argument. Instead, FirstEnergy focused only on whether these communications were confidential settlement communications.</w:t>
      </w:r>
      <w:r>
        <w:rPr>
          <w:rStyle w:val="FootnoteReference"/>
          <w:rFonts w:ascii="Times New Roman" w:hAnsi="Times New Roman" w:cs="Times New Roman"/>
        </w:rPr>
        <w:footnoteReference w:id="5"/>
      </w:r>
      <w:r w:rsidR="00946209">
        <w:rPr>
          <w:rFonts w:ascii="Times New Roman" w:hAnsi="Times New Roman" w:cs="Times New Roman"/>
        </w:rPr>
        <w:t xml:space="preserve"> </w:t>
      </w:r>
      <w:r w:rsidR="0002494E">
        <w:rPr>
          <w:rFonts w:ascii="Times New Roman" w:hAnsi="Times New Roman" w:cs="Times New Roman"/>
        </w:rPr>
        <w:t xml:space="preserve">FirstEnergy </w:t>
      </w:r>
      <w:r w:rsidR="000D7615">
        <w:rPr>
          <w:rFonts w:ascii="Times New Roman" w:hAnsi="Times New Roman" w:cs="Times New Roman"/>
        </w:rPr>
        <w:t>did</w:t>
      </w:r>
      <w:r w:rsidR="0002494E">
        <w:rPr>
          <w:rFonts w:ascii="Times New Roman" w:hAnsi="Times New Roman" w:cs="Times New Roman"/>
        </w:rPr>
        <w:t xml:space="preserve"> not respond to the PUCO Staff's and OCC's assertion that its </w:t>
      </w:r>
      <w:r w:rsidR="00E36CFE">
        <w:rPr>
          <w:rFonts w:ascii="Times New Roman" w:hAnsi="Times New Roman" w:cs="Times New Roman"/>
        </w:rPr>
        <w:t xml:space="preserve">statements </w:t>
      </w:r>
      <w:r w:rsidR="0002494E">
        <w:rPr>
          <w:rFonts w:ascii="Times New Roman" w:hAnsi="Times New Roman" w:cs="Times New Roman"/>
        </w:rPr>
        <w:t>rely on facts not in evidence.</w:t>
      </w:r>
    </w:p>
    <w:p w:rsidR="00205EC9"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On page 12 of its i</w:t>
      </w:r>
      <w:r w:rsidR="000D7615">
        <w:rPr>
          <w:rFonts w:ascii="Times New Roman" w:hAnsi="Times New Roman" w:cs="Times New Roman"/>
        </w:rPr>
        <w:t>nitial brief, FirstEnergy stated</w:t>
      </w:r>
      <w:r>
        <w:rPr>
          <w:rFonts w:ascii="Times New Roman" w:hAnsi="Times New Roman" w:cs="Times New Roman"/>
        </w:rPr>
        <w:t xml:space="preserve"> that the PUCO Staff "chose not to substantively participate in" certain settlement discussions.</w:t>
      </w:r>
      <w:r>
        <w:rPr>
          <w:rStyle w:val="FootnoteReference"/>
          <w:rFonts w:ascii="Times New Roman" w:hAnsi="Times New Roman" w:cs="Times New Roman"/>
        </w:rPr>
        <w:footnoteReference w:id="6"/>
      </w:r>
      <w:r>
        <w:rPr>
          <w:rFonts w:ascii="Times New Roman" w:hAnsi="Times New Roman" w:cs="Times New Roman"/>
        </w:rPr>
        <w:t xml:space="preserve"> FirstEnergy </w:t>
      </w:r>
      <w:r w:rsidR="000D7615">
        <w:rPr>
          <w:rFonts w:ascii="Times New Roman" w:hAnsi="Times New Roman" w:cs="Times New Roman"/>
        </w:rPr>
        <w:t>did</w:t>
      </w:r>
      <w:r>
        <w:rPr>
          <w:rFonts w:ascii="Times New Roman" w:hAnsi="Times New Roman" w:cs="Times New Roman"/>
        </w:rPr>
        <w:t xml:space="preserve"> not cite anything in the record for this statement. </w:t>
      </w:r>
      <w:r w:rsidR="001F44EA">
        <w:rPr>
          <w:rFonts w:ascii="Times New Roman" w:hAnsi="Times New Roman" w:cs="Times New Roman"/>
        </w:rPr>
        <w:t>Indeed, there is no record evidence regarding whether the PUCO Staff did or did not participate in specific settlement discussions. FirstEnergy also claim</w:t>
      </w:r>
      <w:r w:rsidR="000D7615">
        <w:rPr>
          <w:rFonts w:ascii="Times New Roman" w:hAnsi="Times New Roman" w:cs="Times New Roman"/>
        </w:rPr>
        <w:t>ed</w:t>
      </w:r>
      <w:r w:rsidR="001F44EA">
        <w:rPr>
          <w:rFonts w:ascii="Times New Roman" w:hAnsi="Times New Roman" w:cs="Times New Roman"/>
        </w:rPr>
        <w:t xml:space="preserve"> that parties made "various requests for Staff input on the Companies' Proposed Plans."</w:t>
      </w:r>
      <w:r>
        <w:rPr>
          <w:rStyle w:val="FootnoteReference"/>
          <w:rFonts w:ascii="Times New Roman" w:hAnsi="Times New Roman" w:cs="Times New Roman"/>
        </w:rPr>
        <w:footnoteReference w:id="7"/>
      </w:r>
      <w:r w:rsidR="001F44EA">
        <w:rPr>
          <w:rFonts w:ascii="Times New Roman" w:hAnsi="Times New Roman" w:cs="Times New Roman"/>
        </w:rPr>
        <w:t xml:space="preserve"> Again, FirstEnergy </w:t>
      </w:r>
      <w:r w:rsidR="000D7615">
        <w:rPr>
          <w:rFonts w:ascii="Times New Roman" w:hAnsi="Times New Roman" w:cs="Times New Roman"/>
        </w:rPr>
        <w:t>did</w:t>
      </w:r>
      <w:r w:rsidR="001F44EA">
        <w:rPr>
          <w:rFonts w:ascii="Times New Roman" w:hAnsi="Times New Roman" w:cs="Times New Roman"/>
        </w:rPr>
        <w:t xml:space="preserve"> not cite anything in the record for this statement because there is no record evidence that any party made various requests for the PUCO Staff to provide input on FirstEnergy's Settlement.</w:t>
      </w:r>
      <w:r w:rsidR="00E36CFE">
        <w:rPr>
          <w:rFonts w:ascii="Times New Roman" w:hAnsi="Times New Roman" w:cs="Times New Roman"/>
        </w:rPr>
        <w:t xml:space="preserve"> </w:t>
      </w:r>
      <w:r w:rsidR="001F44EA">
        <w:rPr>
          <w:rFonts w:ascii="Times New Roman" w:hAnsi="Times New Roman" w:cs="Times New Roman"/>
        </w:rPr>
        <w:t>FirstEnergy claim</w:t>
      </w:r>
      <w:r w:rsidR="000D7615">
        <w:rPr>
          <w:rFonts w:ascii="Times New Roman" w:hAnsi="Times New Roman" w:cs="Times New Roman"/>
        </w:rPr>
        <w:t>ed</w:t>
      </w:r>
      <w:r w:rsidR="001F44EA">
        <w:rPr>
          <w:rFonts w:ascii="Times New Roman" w:hAnsi="Times New Roman" w:cs="Times New Roman"/>
        </w:rPr>
        <w:t>, in its initial brief, that it "left intact multiple provisions in the Stipulation negotiated by those parties" [referring to OCC and OHA].</w:t>
      </w:r>
      <w:r>
        <w:rPr>
          <w:rStyle w:val="FootnoteReference"/>
          <w:rFonts w:ascii="Times New Roman" w:hAnsi="Times New Roman" w:cs="Times New Roman"/>
        </w:rPr>
        <w:footnoteReference w:id="8"/>
      </w:r>
      <w:r w:rsidR="001F44EA">
        <w:rPr>
          <w:rFonts w:ascii="Times New Roman" w:hAnsi="Times New Roman" w:cs="Times New Roman"/>
        </w:rPr>
        <w:t xml:space="preserve"> As before, FirstEnergy </w:t>
      </w:r>
      <w:r w:rsidR="000D7615">
        <w:rPr>
          <w:rFonts w:ascii="Times New Roman" w:hAnsi="Times New Roman" w:cs="Times New Roman"/>
        </w:rPr>
        <w:t>did</w:t>
      </w:r>
      <w:r w:rsidR="001F44EA">
        <w:rPr>
          <w:rFonts w:ascii="Times New Roman" w:hAnsi="Times New Roman" w:cs="Times New Roman"/>
        </w:rPr>
        <w:t xml:space="preserve"> not cite the record for these unsubstantiated claims. There is nothing in the record regarding what </w:t>
      </w:r>
      <w:r w:rsidR="001F44EA">
        <w:rPr>
          <w:rFonts w:ascii="Times New Roman" w:hAnsi="Times New Roman" w:cs="Times New Roman"/>
        </w:rPr>
        <w:t>provisions in the Settlement OCC or OHA did o</w:t>
      </w:r>
      <w:r w:rsidR="000D7615">
        <w:rPr>
          <w:rFonts w:ascii="Times New Roman" w:hAnsi="Times New Roman" w:cs="Times New Roman"/>
        </w:rPr>
        <w:t>r did not attempt to negotiate.</w:t>
      </w:r>
      <w:r>
        <w:rPr>
          <w:rFonts w:ascii="Times New Roman" w:hAnsi="Times New Roman" w:cs="Times New Roman"/>
        </w:rPr>
        <w:t xml:space="preserve"> </w:t>
      </w:r>
      <w:r>
        <w:rPr>
          <w:rFonts w:ascii="Times New Roman" w:hAnsi="Times New Roman" w:cs="Times New Roman"/>
        </w:rPr>
        <w:t>FirstEnergy's Memo C</w:t>
      </w:r>
      <w:r w:rsidR="001F44EA">
        <w:rPr>
          <w:rFonts w:ascii="Times New Roman" w:hAnsi="Times New Roman" w:cs="Times New Roman"/>
        </w:rPr>
        <w:t xml:space="preserve">ontra does not address this shortcoming. </w:t>
      </w:r>
    </w:p>
    <w:p w:rsidR="0002494E"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Instead, FirstEnergy focuses only on whether these statements are confidential settlement communications. But </w:t>
      </w:r>
      <w:r w:rsidR="00B15C49">
        <w:rPr>
          <w:rFonts w:ascii="Times New Roman" w:hAnsi="Times New Roman" w:cs="Times New Roman"/>
        </w:rPr>
        <w:t xml:space="preserve">whether confidential or not, these statements </w:t>
      </w:r>
      <w:r>
        <w:rPr>
          <w:rFonts w:ascii="Times New Roman" w:hAnsi="Times New Roman" w:cs="Times New Roman"/>
        </w:rPr>
        <w:t>are not based on record evidence. FirstEnergy's Memo Contra does not assert that these statements are based on record evidence—because they aren't. The PUCO should strike these statements, which are not based on the record in this case.</w:t>
      </w:r>
    </w:p>
    <w:p w:rsidR="001F44EA" w:rsidRPr="00AE6089" w:rsidP="00B15C49">
      <w:pPr>
        <w:pStyle w:val="Footer"/>
        <w:keepNext/>
        <w:keepLines/>
        <w:tabs>
          <w:tab w:val="clear" w:pos="4320"/>
          <w:tab w:val="clear" w:pos="8640"/>
        </w:tabs>
        <w:spacing w:after="240"/>
        <w:ind w:left="1440" w:hanging="72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FirstEnergy effectively concedes that certain portions of its briefs should be struck.</w:t>
      </w:r>
    </w:p>
    <w:p w:rsidR="00205EC9"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FirstEnergy's Memo Contra does not address the PUCO Staff's and OCC's request to strike certain portions of its briefs.</w:t>
      </w:r>
    </w:p>
    <w:p w:rsidR="00F40FF7"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In its initial brief, FirstEnergy claimed that "EDUs do not typically oppose Staff's motions on procedural issues such as scheduling."</w:t>
      </w:r>
      <w:r>
        <w:rPr>
          <w:rStyle w:val="FootnoteReference"/>
          <w:rFonts w:ascii="Times New Roman" w:hAnsi="Times New Roman" w:cs="Times New Roman"/>
        </w:rPr>
        <w:footnoteReference w:id="9"/>
      </w:r>
      <w:r>
        <w:rPr>
          <w:rFonts w:ascii="Times New Roman" w:hAnsi="Times New Roman" w:cs="Times New Roman"/>
        </w:rPr>
        <w:t xml:space="preserve"> In its </w:t>
      </w:r>
      <w:r w:rsidR="000D7615">
        <w:rPr>
          <w:rFonts w:ascii="Times New Roman" w:hAnsi="Times New Roman" w:cs="Times New Roman"/>
        </w:rPr>
        <w:t>reply brief, FirstEnergy repeated</w:t>
      </w:r>
      <w:r>
        <w:rPr>
          <w:rFonts w:ascii="Times New Roman" w:hAnsi="Times New Roman" w:cs="Times New Roman"/>
        </w:rPr>
        <w:t xml:space="preserve"> this refrain.</w:t>
      </w:r>
      <w:r>
        <w:rPr>
          <w:rStyle w:val="FootnoteReference"/>
          <w:rFonts w:ascii="Times New Roman" w:hAnsi="Times New Roman" w:cs="Times New Roman"/>
        </w:rPr>
        <w:footnoteReference w:id="10"/>
      </w:r>
      <w:r>
        <w:rPr>
          <w:rFonts w:ascii="Times New Roman" w:hAnsi="Times New Roman" w:cs="Times New Roman"/>
        </w:rPr>
        <w:t xml:space="preserve"> FirstEnergy did not cite any record evidence for this statement because there is none.</w:t>
      </w:r>
      <w:r>
        <w:rPr>
          <w:rStyle w:val="FootnoteReference"/>
          <w:rFonts w:ascii="Times New Roman" w:hAnsi="Times New Roman" w:cs="Times New Roman"/>
        </w:rPr>
        <w:footnoteReference w:id="11"/>
      </w:r>
      <w:r>
        <w:rPr>
          <w:rFonts w:ascii="Times New Roman" w:hAnsi="Times New Roman" w:cs="Times New Roman"/>
        </w:rPr>
        <w:t xml:space="preserve"> </w:t>
      </w:r>
    </w:p>
    <w:p w:rsidR="00F40FF7"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In its initial brief, FirstEnergy claimed that the PUCO Staff and OCC made an "oral request" to continue the December 12, 2016 hearing date.</w:t>
      </w:r>
      <w:r>
        <w:rPr>
          <w:rStyle w:val="FootnoteReference"/>
          <w:rFonts w:ascii="Times New Roman" w:hAnsi="Times New Roman" w:cs="Times New Roman"/>
        </w:rPr>
        <w:footnoteReference w:id="12"/>
      </w:r>
      <w:r>
        <w:rPr>
          <w:rFonts w:ascii="Times New Roman" w:hAnsi="Times New Roman" w:cs="Times New Roman"/>
        </w:rPr>
        <w:t xml:space="preserve"> FirstEnergy also claimed that it "expressed [its] concern regarding further delay</w:t>
      </w:r>
      <w:r w:rsidR="00A61A83">
        <w:rPr>
          <w:rFonts w:ascii="Times New Roman" w:hAnsi="Times New Roman" w:cs="Times New Roman"/>
        </w:rPr>
        <w:t xml:space="preserve"> and asked that the hearing not be pushed into late January."</w:t>
      </w:r>
      <w:r>
        <w:rPr>
          <w:rStyle w:val="FootnoteReference"/>
          <w:rFonts w:ascii="Times New Roman" w:hAnsi="Times New Roman" w:cs="Times New Roman"/>
        </w:rPr>
        <w:footnoteReference w:id="13"/>
      </w:r>
      <w:r w:rsidR="00A61A83">
        <w:rPr>
          <w:rFonts w:ascii="Times New Roman" w:hAnsi="Times New Roman" w:cs="Times New Roman"/>
        </w:rPr>
        <w:t xml:space="preserve"> FirstEnergy continued, stating that the PUCO Staff "persisted that the hearing should not be set prior to the week of January 23, 2017."</w:t>
      </w:r>
      <w:r>
        <w:rPr>
          <w:rStyle w:val="FootnoteReference"/>
          <w:rFonts w:ascii="Times New Roman" w:hAnsi="Times New Roman" w:cs="Times New Roman"/>
        </w:rPr>
        <w:footnoteReference w:id="14"/>
      </w:r>
      <w:r w:rsidR="00A61A83">
        <w:rPr>
          <w:rFonts w:ascii="Times New Roman" w:hAnsi="Times New Roman" w:cs="Times New Roman"/>
        </w:rPr>
        <w:t xml:space="preserve"> FirstEnergy did not cite any record evidence for these statements because there is none.</w:t>
      </w:r>
    </w:p>
    <w:p w:rsidR="00B6151A"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FirstEnergy also </w:t>
      </w:r>
      <w:r>
        <w:rPr>
          <w:rFonts w:ascii="Times New Roman" w:hAnsi="Times New Roman" w:cs="Times New Roman"/>
        </w:rPr>
        <w:t>relie</w:t>
      </w:r>
      <w:r w:rsidR="000D7615">
        <w:rPr>
          <w:rFonts w:ascii="Times New Roman" w:hAnsi="Times New Roman" w:cs="Times New Roman"/>
        </w:rPr>
        <w:t>d</w:t>
      </w:r>
      <w:r>
        <w:rPr>
          <w:rFonts w:ascii="Times New Roman" w:hAnsi="Times New Roman" w:cs="Times New Roman"/>
        </w:rPr>
        <w:t xml:space="preserve"> in its reply brief </w:t>
      </w:r>
      <w:r>
        <w:rPr>
          <w:rFonts w:ascii="Times New Roman" w:hAnsi="Times New Roman" w:cs="Times New Roman"/>
        </w:rPr>
        <w:t xml:space="preserve">on </w:t>
      </w:r>
      <w:r>
        <w:rPr>
          <w:rFonts w:ascii="Times New Roman" w:hAnsi="Times New Roman" w:cs="Times New Roman"/>
        </w:rPr>
        <w:t xml:space="preserve">certain </w:t>
      </w:r>
      <w:r>
        <w:rPr>
          <w:rFonts w:ascii="Times New Roman" w:hAnsi="Times New Roman" w:cs="Times New Roman"/>
        </w:rPr>
        <w:t>information from a settlement</w:t>
      </w:r>
      <w:r>
        <w:rPr>
          <w:rFonts w:ascii="Times New Roman" w:hAnsi="Times New Roman" w:cs="Times New Roman"/>
        </w:rPr>
        <w:t xml:space="preserve"> filed in a 2011 case involving AEP Ohio.</w:t>
      </w:r>
      <w:r>
        <w:rPr>
          <w:rStyle w:val="FootnoteReference"/>
          <w:rFonts w:ascii="Times New Roman" w:hAnsi="Times New Roman" w:cs="Times New Roman"/>
        </w:rPr>
        <w:footnoteReference w:id="15"/>
      </w:r>
      <w:r>
        <w:rPr>
          <w:rFonts w:ascii="Times New Roman" w:hAnsi="Times New Roman" w:cs="Times New Roman"/>
        </w:rPr>
        <w:t xml:space="preserve"> </w:t>
      </w:r>
      <w:r>
        <w:rPr>
          <w:rFonts w:ascii="Times New Roman" w:hAnsi="Times New Roman" w:cs="Times New Roman"/>
        </w:rPr>
        <w:t>This AEP settlement is not in the record in this case, and no party sought to introduce it into the record.</w:t>
      </w:r>
    </w:p>
    <w:p w:rsidR="00AE6089"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FirstEnergy's Memo Contra does not address the PUCO Staff's and OCC's request to strike these portions of its briefs. There is therefore no dispute that these statements found in FirstEnergy's briefs are not based on record evidence. The PUCO should grant the PUCO Staff's and OCC's motion to strike these portions of FirstEnergy's briefs.</w:t>
      </w:r>
    </w:p>
    <w:p w:rsidR="00AE6089" w:rsidRPr="00AE6089" w:rsidP="00AE6089">
      <w:pPr>
        <w:pStyle w:val="Footer"/>
        <w:tabs>
          <w:tab w:val="clear" w:pos="4320"/>
          <w:tab w:val="clear" w:pos="8640"/>
        </w:tabs>
        <w:spacing w:after="240"/>
        <w:ind w:left="1440" w:hanging="720"/>
        <w:rPr>
          <w:rFonts w:ascii="Times New Roman" w:hAnsi="Times New Roman" w:cs="Times New Roman"/>
          <w:b/>
        </w:rPr>
      </w:pPr>
      <w:r>
        <w:rPr>
          <w:rFonts w:ascii="Times New Roman" w:hAnsi="Times New Roman" w:cs="Times New Roman"/>
          <w:b/>
        </w:rPr>
        <w:t>C</w:t>
      </w:r>
      <w:r>
        <w:rPr>
          <w:rFonts w:ascii="Times New Roman" w:hAnsi="Times New Roman" w:cs="Times New Roman"/>
          <w:b/>
        </w:rPr>
        <w:t>.</w:t>
      </w:r>
      <w:r>
        <w:rPr>
          <w:rFonts w:ascii="Times New Roman" w:hAnsi="Times New Roman" w:cs="Times New Roman"/>
          <w:b/>
        </w:rPr>
        <w:tab/>
        <w:t xml:space="preserve">FirstEnergy confuses citations to the docket </w:t>
      </w:r>
      <w:r w:rsidRPr="00B6151A">
        <w:rPr>
          <w:rFonts w:ascii="Times New Roman" w:hAnsi="Times New Roman" w:cs="Times New Roman"/>
          <w:b/>
          <w:i/>
        </w:rPr>
        <w:t>card</w:t>
      </w:r>
      <w:r>
        <w:rPr>
          <w:rFonts w:ascii="Times New Roman" w:hAnsi="Times New Roman" w:cs="Times New Roman"/>
          <w:b/>
        </w:rPr>
        <w:t xml:space="preserve"> with citations to the </w:t>
      </w:r>
      <w:r w:rsidRPr="00B6151A">
        <w:rPr>
          <w:rFonts w:ascii="Times New Roman" w:hAnsi="Times New Roman" w:cs="Times New Roman"/>
          <w:b/>
          <w:i/>
        </w:rPr>
        <w:t>substance</w:t>
      </w:r>
      <w:r>
        <w:rPr>
          <w:rFonts w:ascii="Times New Roman" w:hAnsi="Times New Roman" w:cs="Times New Roman"/>
          <w:b/>
        </w:rPr>
        <w:t xml:space="preserve"> of individual docket </w:t>
      </w:r>
      <w:r w:rsidRPr="00B6151A">
        <w:rPr>
          <w:rFonts w:ascii="Times New Roman" w:hAnsi="Times New Roman" w:cs="Times New Roman"/>
          <w:b/>
          <w:i/>
        </w:rPr>
        <w:t>entries</w:t>
      </w:r>
      <w:r>
        <w:rPr>
          <w:rFonts w:ascii="Times New Roman" w:hAnsi="Times New Roman" w:cs="Times New Roman"/>
          <w:b/>
        </w:rPr>
        <w:t>.</w:t>
      </w:r>
    </w:p>
    <w:p w:rsidR="00687A71"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FirstEnergy's initial brief and reply brief cite to the substance of various parties' motions to intervene</w:t>
      </w:r>
      <w:r w:rsidR="00E534CE">
        <w:rPr>
          <w:rFonts w:ascii="Times New Roman" w:hAnsi="Times New Roman" w:cs="Times New Roman"/>
        </w:rPr>
        <w:t xml:space="preserve"> in this case</w:t>
      </w:r>
      <w:r>
        <w:rPr>
          <w:rFonts w:ascii="Times New Roman" w:hAnsi="Times New Roman" w:cs="Times New Roman"/>
        </w:rPr>
        <w:t xml:space="preserve"> in support of </w:t>
      </w:r>
      <w:r w:rsidR="00E36CFE">
        <w:rPr>
          <w:rFonts w:ascii="Times New Roman" w:hAnsi="Times New Roman" w:cs="Times New Roman"/>
        </w:rPr>
        <w:t>FirstEnergy's</w:t>
      </w:r>
      <w:r>
        <w:rPr>
          <w:rFonts w:ascii="Times New Roman" w:hAnsi="Times New Roman" w:cs="Times New Roman"/>
        </w:rPr>
        <w:t xml:space="preserve"> claim that </w:t>
      </w:r>
      <w:r w:rsidR="00E534CE">
        <w:rPr>
          <w:rFonts w:ascii="Times New Roman" w:hAnsi="Times New Roman" w:cs="Times New Roman"/>
        </w:rPr>
        <w:t>the parties represent diverse interests.</w:t>
      </w:r>
      <w:r>
        <w:rPr>
          <w:rStyle w:val="FootnoteReference"/>
          <w:rFonts w:ascii="Times New Roman" w:hAnsi="Times New Roman" w:cs="Times New Roman"/>
        </w:rPr>
        <w:footnoteReference w:id="16"/>
      </w:r>
      <w:r w:rsidR="00E534CE">
        <w:rPr>
          <w:rFonts w:ascii="Times New Roman" w:hAnsi="Times New Roman" w:cs="Times New Roman"/>
        </w:rPr>
        <w:t xml:space="preserve"> In the Motion to Strike, the PUCO Staff and OCC explained that these motions to intervene were not admitted into the record in this case.</w:t>
      </w:r>
      <w:r>
        <w:rPr>
          <w:rStyle w:val="FootnoteReference"/>
          <w:rFonts w:ascii="Times New Roman" w:hAnsi="Times New Roman" w:cs="Times New Roman"/>
        </w:rPr>
        <w:footnoteReference w:id="17"/>
      </w:r>
    </w:p>
    <w:p w:rsidR="001F44EA"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In response, FirstEnergy claims that its reliance on the substance of various parties' motions to intervene is proper because the docket card in this case was admitted into evidence</w:t>
      </w:r>
      <w:r w:rsidR="003D1B7C">
        <w:rPr>
          <w:rFonts w:ascii="Times New Roman" w:hAnsi="Times New Roman" w:cs="Times New Roman"/>
        </w:rPr>
        <w:t>.</w:t>
      </w:r>
      <w:r>
        <w:rPr>
          <w:rStyle w:val="FootnoteReference"/>
          <w:rFonts w:ascii="Times New Roman" w:hAnsi="Times New Roman" w:cs="Times New Roman"/>
        </w:rPr>
        <w:footnoteReference w:id="18"/>
      </w:r>
      <w:r w:rsidR="003D1B7C">
        <w:rPr>
          <w:rFonts w:ascii="Times New Roman" w:hAnsi="Times New Roman" w:cs="Times New Roman"/>
        </w:rPr>
        <w:t xml:space="preserve"> FirstEnergy's argument is unavailing because it fails to distinguish between OCC's citations to the </w:t>
      </w:r>
      <w:r w:rsidR="003D1B7C">
        <w:rPr>
          <w:rFonts w:ascii="Times New Roman" w:hAnsi="Times New Roman" w:cs="Times New Roman"/>
          <w:i/>
        </w:rPr>
        <w:t>docket card</w:t>
      </w:r>
      <w:r w:rsidR="003D1B7C">
        <w:rPr>
          <w:rFonts w:ascii="Times New Roman" w:hAnsi="Times New Roman" w:cs="Times New Roman"/>
        </w:rPr>
        <w:t xml:space="preserve"> and FirstEnergy's citations to the actual </w:t>
      </w:r>
      <w:r w:rsidR="003D1B7C">
        <w:rPr>
          <w:rFonts w:ascii="Times New Roman" w:hAnsi="Times New Roman" w:cs="Times New Roman"/>
          <w:i/>
        </w:rPr>
        <w:t>substance</w:t>
      </w:r>
      <w:r w:rsidR="003D1B7C">
        <w:rPr>
          <w:rFonts w:ascii="Times New Roman" w:hAnsi="Times New Roman" w:cs="Times New Roman"/>
        </w:rPr>
        <w:t xml:space="preserve"> of docket filings that were not themselves admitted into the record.</w:t>
      </w:r>
    </w:p>
    <w:p w:rsidR="003D1B7C" w:rsidRPr="004D508D"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OCC Exhibit 3 in this case is a printout of the docket card from this case, as of January 22, 2017. In its initial brief and reply brief, OCC cited variou</w:t>
      </w:r>
      <w:r w:rsidR="00C70062">
        <w:rPr>
          <w:rFonts w:ascii="Times New Roman" w:hAnsi="Times New Roman" w:cs="Times New Roman"/>
        </w:rPr>
        <w:t>s documents filed on the docket</w:t>
      </w:r>
      <w:r>
        <w:rPr>
          <w:rFonts w:ascii="Times New Roman" w:hAnsi="Times New Roman" w:cs="Times New Roman"/>
        </w:rPr>
        <w:t xml:space="preserve"> and relied </w:t>
      </w:r>
      <w:r w:rsidRPr="00A96EB4">
        <w:rPr>
          <w:rFonts w:ascii="Times New Roman" w:hAnsi="Times New Roman" w:cs="Times New Roman"/>
        </w:rPr>
        <w:t>only</w:t>
      </w:r>
      <w:r>
        <w:rPr>
          <w:rFonts w:ascii="Times New Roman" w:hAnsi="Times New Roman" w:cs="Times New Roman"/>
        </w:rPr>
        <w:t xml:space="preserve"> on information about those documents that could be gleaned from the docket card itself. For example, OCC noted that on September 29, 2016, the PUCO Staff filed a motion for continuance.</w:t>
      </w:r>
      <w:r>
        <w:rPr>
          <w:rStyle w:val="FootnoteReference"/>
          <w:rFonts w:ascii="Times New Roman" w:hAnsi="Times New Roman" w:cs="Times New Roman"/>
        </w:rPr>
        <w:footnoteReference w:id="19"/>
      </w:r>
      <w:r>
        <w:rPr>
          <w:rFonts w:ascii="Times New Roman" w:hAnsi="Times New Roman" w:cs="Times New Roman"/>
        </w:rPr>
        <w:t xml:space="preserve"> This can be discerned by looking at OCC Exhibit 3, which was admitted into the record; it did not require OCC to look at the motion itself, which was not admitted into the record. Likewise, OCC noted that FirstEnergy did not file an objection to this PUCO Staff Motion.</w:t>
      </w:r>
      <w:r>
        <w:rPr>
          <w:rStyle w:val="FootnoteReference"/>
          <w:rFonts w:ascii="Times New Roman" w:hAnsi="Times New Roman" w:cs="Times New Roman"/>
        </w:rPr>
        <w:footnoteReference w:id="20"/>
      </w:r>
      <w:r>
        <w:rPr>
          <w:rFonts w:ascii="Times New Roman" w:hAnsi="Times New Roman" w:cs="Times New Roman"/>
        </w:rPr>
        <w:t xml:space="preserve"> Again, this statement can be confirmed simply by looking at OCC Exhibit 3.</w:t>
      </w:r>
      <w:r w:rsidR="004D508D">
        <w:rPr>
          <w:rFonts w:ascii="Times New Roman" w:hAnsi="Times New Roman" w:cs="Times New Roman"/>
        </w:rPr>
        <w:t xml:space="preserve"> And as FirstEnergy points out in its Memo Contra, the Attorney Examiner in this case stated that parties "can look at the </w:t>
      </w:r>
      <w:r w:rsidR="004D508D">
        <w:rPr>
          <w:rFonts w:ascii="Times New Roman" w:hAnsi="Times New Roman" w:cs="Times New Roman"/>
          <w:i/>
        </w:rPr>
        <w:t>docket card</w:t>
      </w:r>
      <w:r w:rsidR="004D508D">
        <w:rPr>
          <w:rFonts w:ascii="Times New Roman" w:hAnsi="Times New Roman" w:cs="Times New Roman"/>
        </w:rPr>
        <w:t>" and make any appropriate arguments.</w:t>
      </w:r>
      <w:r>
        <w:rPr>
          <w:rStyle w:val="FootnoteReference"/>
          <w:rFonts w:ascii="Times New Roman" w:hAnsi="Times New Roman" w:cs="Times New Roman"/>
        </w:rPr>
        <w:footnoteReference w:id="21"/>
      </w:r>
    </w:p>
    <w:p w:rsidR="00096E4B"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In contrast, FirstEnergy cited various motions to intervene in this case and relied on the actual substance of those motions to intervene. The statements that FirstEnergy made in its briefs regarding the various parties' interests </w:t>
      </w:r>
      <w:r>
        <w:rPr>
          <w:rFonts w:ascii="Times New Roman" w:hAnsi="Times New Roman" w:cs="Times New Roman"/>
          <w:u w:val="single"/>
        </w:rPr>
        <w:t>cannot</w:t>
      </w:r>
      <w:r>
        <w:rPr>
          <w:rFonts w:ascii="Times New Roman" w:hAnsi="Times New Roman" w:cs="Times New Roman"/>
        </w:rPr>
        <w:t xml:space="preserve"> be found on OCC Exhibit 3. Instead, to find the information that FirstEnergy relies upon, one must look at the motions to intervene themselves, none of which were admitted into the record.</w:t>
      </w:r>
      <w:r>
        <w:rPr>
          <w:rFonts w:ascii="Times New Roman" w:hAnsi="Times New Roman" w:cs="Times New Roman"/>
        </w:rPr>
        <w:t xml:space="preserve">  </w:t>
      </w:r>
    </w:p>
    <w:p w:rsidR="003D1B7C"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The PUCO addressed a similar issue in a recent case involving Columbia Gas.</w:t>
      </w:r>
      <w:r>
        <w:rPr>
          <w:rStyle w:val="FootnoteReference"/>
          <w:rFonts w:ascii="Times New Roman" w:hAnsi="Times New Roman" w:cs="Times New Roman"/>
        </w:rPr>
        <w:footnoteReference w:id="22"/>
      </w:r>
      <w:r w:rsidR="004D6F22">
        <w:rPr>
          <w:rFonts w:ascii="Times New Roman" w:hAnsi="Times New Roman" w:cs="Times New Roman"/>
        </w:rPr>
        <w:t xml:space="preserve"> There, the utility cited to the substance of certain documents filed on the docket in that case, and OCC moved to strike.</w:t>
      </w:r>
      <w:r>
        <w:rPr>
          <w:rStyle w:val="FootnoteReference"/>
          <w:rFonts w:ascii="Times New Roman" w:hAnsi="Times New Roman" w:cs="Times New Roman"/>
        </w:rPr>
        <w:footnoteReference w:id="23"/>
      </w:r>
      <w:r w:rsidR="004D6F22">
        <w:rPr>
          <w:rFonts w:ascii="Times New Roman" w:hAnsi="Times New Roman" w:cs="Times New Roman"/>
        </w:rPr>
        <w:t xml:space="preserve"> The PUCO granted OCC's motion to strike on the grounds that motions filed on the docket in the same case are not automatically part of the evidentia</w:t>
      </w:r>
      <w:r w:rsidR="006A00E5">
        <w:rPr>
          <w:rFonts w:ascii="Times New Roman" w:hAnsi="Times New Roman" w:cs="Times New Roman"/>
        </w:rPr>
        <w:t>ry record; instead, they must be affirmatively admitted into the record or administratively noticed.</w:t>
      </w:r>
      <w:r>
        <w:rPr>
          <w:rStyle w:val="FootnoteReference"/>
          <w:rFonts w:ascii="Times New Roman" w:hAnsi="Times New Roman" w:cs="Times New Roman"/>
        </w:rPr>
        <w:footnoteReference w:id="24"/>
      </w:r>
      <w:r w:rsidR="006A00E5">
        <w:rPr>
          <w:rFonts w:ascii="Times New Roman" w:hAnsi="Times New Roman" w:cs="Times New Roman"/>
        </w:rPr>
        <w:t xml:space="preserve"> For the same reason, FirstEnergy's reliance on the substance of motions to intervene in this case is improper.</w:t>
      </w:r>
    </w:p>
    <w:p w:rsidR="0002494E" w:rsidRPr="000D7615" w:rsidP="000E1810">
      <w:pPr>
        <w:pStyle w:val="Footer"/>
        <w:keepNext/>
        <w:keepLines/>
        <w:tabs>
          <w:tab w:val="clear" w:pos="4320"/>
          <w:tab w:val="clear" w:pos="8640"/>
        </w:tabs>
        <w:spacing w:after="240"/>
        <w:ind w:left="1440" w:right="720" w:hanging="720"/>
        <w:rPr>
          <w:rFonts w:ascii="Times New Roman" w:hAnsi="Times New Roman" w:cs="Times New Roman"/>
          <w:b/>
          <w:i/>
        </w:rPr>
      </w:pPr>
      <w:r>
        <w:rPr>
          <w:rFonts w:ascii="Times New Roman" w:hAnsi="Times New Roman" w:cs="Times New Roman"/>
          <w:b/>
        </w:rPr>
        <w:t>D.</w:t>
      </w:r>
      <w:r>
        <w:rPr>
          <w:rFonts w:ascii="Times New Roman" w:hAnsi="Times New Roman" w:cs="Times New Roman"/>
          <w:b/>
        </w:rPr>
        <w:tab/>
        <w:t xml:space="preserve">FirstEnergy's statements explaining </w:t>
      </w:r>
      <w:r w:rsidRPr="004D508D">
        <w:rPr>
          <w:rFonts w:ascii="Times New Roman" w:hAnsi="Times New Roman" w:cs="Times New Roman"/>
          <w:b/>
          <w:i/>
        </w:rPr>
        <w:t>why</w:t>
      </w:r>
      <w:r>
        <w:rPr>
          <w:rFonts w:ascii="Times New Roman" w:hAnsi="Times New Roman" w:cs="Times New Roman"/>
          <w:b/>
        </w:rPr>
        <w:t xml:space="preserve"> signatory parties to the Settlement may or may not have agreed to certain terms are not based on record evidence.</w:t>
      </w:r>
    </w:p>
    <w:p w:rsidR="004A38D3"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Several times in its briefs, FirstEnergy made statements not just about the substance of its filed Settlement but about the signatory parties' </w:t>
      </w:r>
      <w:r>
        <w:rPr>
          <w:rFonts w:ascii="Times New Roman" w:hAnsi="Times New Roman" w:cs="Times New Roman"/>
          <w:i/>
        </w:rPr>
        <w:t>reasoning</w:t>
      </w:r>
      <w:r>
        <w:rPr>
          <w:rFonts w:ascii="Times New Roman" w:hAnsi="Times New Roman" w:cs="Times New Roman"/>
        </w:rPr>
        <w:t xml:space="preserve"> for including or excluding certain terms in the Settlement. For example, FirstEnergy made the legal argument that the amended shared savings trigger is reasonable because FirstEnergy's "lost opportunity" to charge customers for shared savings "was not the result of [FirstEnergy's] own doing."</w:t>
      </w:r>
      <w:r>
        <w:rPr>
          <w:rStyle w:val="FootnoteReference"/>
          <w:rFonts w:ascii="Times New Roman" w:hAnsi="Times New Roman" w:cs="Times New Roman"/>
        </w:rPr>
        <w:footnoteReference w:id="25"/>
      </w:r>
      <w:r>
        <w:rPr>
          <w:rFonts w:ascii="Times New Roman" w:hAnsi="Times New Roman" w:cs="Times New Roman"/>
        </w:rPr>
        <w:t xml:space="preserve"> But then FirstEnergy concludes: "This is precisely </w:t>
      </w:r>
      <w:r w:rsidRPr="008D1680">
        <w:rPr>
          <w:rFonts w:ascii="Times New Roman" w:hAnsi="Times New Roman" w:cs="Times New Roman"/>
        </w:rPr>
        <w:t>why</w:t>
      </w:r>
      <w:r>
        <w:rPr>
          <w:rFonts w:ascii="Times New Roman" w:hAnsi="Times New Roman" w:cs="Times New Roman"/>
        </w:rPr>
        <w:t xml:space="preserve"> the Signatory Parties agreed to include the Amended Trigger provision in the Stipulation."</w:t>
      </w:r>
      <w:r>
        <w:rPr>
          <w:rStyle w:val="FootnoteReference"/>
          <w:rFonts w:ascii="Times New Roman" w:hAnsi="Times New Roman" w:cs="Times New Roman"/>
        </w:rPr>
        <w:footnoteReference w:id="26"/>
      </w:r>
      <w:r>
        <w:rPr>
          <w:rFonts w:ascii="Times New Roman" w:hAnsi="Times New Roman" w:cs="Times New Roman"/>
        </w:rPr>
        <w:t xml:space="preserve"> The record does not support </w:t>
      </w:r>
      <w:r w:rsidR="00A96EB4">
        <w:rPr>
          <w:rFonts w:ascii="Times New Roman" w:hAnsi="Times New Roman" w:cs="Times New Roman"/>
        </w:rPr>
        <w:t>the</w:t>
      </w:r>
      <w:r>
        <w:rPr>
          <w:rFonts w:ascii="Times New Roman" w:hAnsi="Times New Roman" w:cs="Times New Roman"/>
        </w:rPr>
        <w:t xml:space="preserve"> unfounded conclusion.</w:t>
      </w:r>
    </w:p>
    <w:p w:rsidR="002A52A3"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FirstEnergy also notes in its initial brief that "no intervenor in this proceeding other than OCC has come forward in support of the" PUCO Staff's cost cap proposal.</w:t>
      </w:r>
      <w:r>
        <w:rPr>
          <w:rStyle w:val="FootnoteReference"/>
          <w:rFonts w:ascii="Times New Roman" w:hAnsi="Times New Roman" w:cs="Times New Roman"/>
        </w:rPr>
        <w:footnoteReference w:id="27"/>
      </w:r>
      <w:r>
        <w:rPr>
          <w:rFonts w:ascii="Times New Roman" w:hAnsi="Times New Roman" w:cs="Times New Roman"/>
        </w:rPr>
        <w:t xml:space="preserve"> But then FirstEnergy concludes: "That is </w:t>
      </w:r>
      <w:r w:rsidRPr="008D1680">
        <w:rPr>
          <w:rFonts w:ascii="Times New Roman" w:hAnsi="Times New Roman" w:cs="Times New Roman"/>
        </w:rPr>
        <w:t>because</w:t>
      </w:r>
      <w:r>
        <w:rPr>
          <w:rFonts w:ascii="Times New Roman" w:hAnsi="Times New Roman" w:cs="Times New Roman"/>
        </w:rPr>
        <w:t xml:space="preserve"> Staff's Cost Cap Proposal exceeds the Commission's statutory and regulatory authority, needlessly duplicates existing cost-control measures, and arbitrarily impacts and prejudices the Companies."</w:t>
      </w:r>
      <w:r>
        <w:rPr>
          <w:rStyle w:val="FootnoteReference"/>
          <w:rFonts w:ascii="Times New Roman" w:hAnsi="Times New Roman" w:cs="Times New Roman"/>
        </w:rPr>
        <w:footnoteReference w:id="28"/>
      </w:r>
    </w:p>
    <w:p w:rsidR="000D7615"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There is nothing in the record explaining </w:t>
      </w:r>
      <w:r>
        <w:rPr>
          <w:rFonts w:ascii="Times New Roman" w:hAnsi="Times New Roman" w:cs="Times New Roman"/>
          <w:i/>
        </w:rPr>
        <w:t>why</w:t>
      </w:r>
      <w:r>
        <w:rPr>
          <w:rFonts w:ascii="Times New Roman" w:hAnsi="Times New Roman" w:cs="Times New Roman"/>
        </w:rPr>
        <w:t xml:space="preserve"> the signatory parties chose to sign the settlement. And there is no evidence whether the </w:t>
      </w:r>
      <w:r w:rsidR="008D1680">
        <w:rPr>
          <w:rFonts w:ascii="Times New Roman" w:hAnsi="Times New Roman" w:cs="Times New Roman"/>
        </w:rPr>
        <w:t xml:space="preserve">other </w:t>
      </w:r>
      <w:r>
        <w:rPr>
          <w:rFonts w:ascii="Times New Roman" w:hAnsi="Times New Roman" w:cs="Times New Roman"/>
        </w:rPr>
        <w:t xml:space="preserve">signatory parties agree with FirstEnergy's </w:t>
      </w:r>
      <w:r w:rsidR="00A96EB4">
        <w:rPr>
          <w:rFonts w:ascii="Times New Roman" w:hAnsi="Times New Roman" w:cs="Times New Roman"/>
        </w:rPr>
        <w:t>legal arguments</w:t>
      </w:r>
      <w:r>
        <w:rPr>
          <w:rFonts w:ascii="Times New Roman" w:hAnsi="Times New Roman" w:cs="Times New Roman"/>
        </w:rPr>
        <w:t xml:space="preserve">. </w:t>
      </w:r>
      <w:r w:rsidR="002A52A3">
        <w:rPr>
          <w:rFonts w:ascii="Times New Roman" w:hAnsi="Times New Roman" w:cs="Times New Roman"/>
        </w:rPr>
        <w:t xml:space="preserve">Likewise, there is nothing in the record explaining </w:t>
      </w:r>
      <w:r w:rsidR="002A52A3">
        <w:rPr>
          <w:rFonts w:ascii="Times New Roman" w:hAnsi="Times New Roman" w:cs="Times New Roman"/>
          <w:i/>
        </w:rPr>
        <w:t>why</w:t>
      </w:r>
      <w:r w:rsidR="002A52A3">
        <w:rPr>
          <w:rFonts w:ascii="Times New Roman" w:hAnsi="Times New Roman" w:cs="Times New Roman"/>
        </w:rPr>
        <w:t xml:space="preserve"> any signatory party chose to support or not support the PUCO Staff's cost cap proposal. FirstEnergy's attempt to put words into the mouths of the signatory parties should be rejected. </w:t>
      </w:r>
      <w:r>
        <w:rPr>
          <w:rFonts w:ascii="Times New Roman" w:hAnsi="Times New Roman" w:cs="Times New Roman"/>
        </w:rPr>
        <w:t xml:space="preserve">The terms of the Settlement speak for themselves. </w:t>
      </w:r>
      <w:r w:rsidR="002A52A3">
        <w:rPr>
          <w:rFonts w:ascii="Times New Roman" w:hAnsi="Times New Roman" w:cs="Times New Roman"/>
        </w:rPr>
        <w:t>Indeed, the Settlement itself states that it "is not intended to reflect the views or proposals which any individual party may have advanced acting unilaterally."</w:t>
      </w:r>
      <w:r>
        <w:rPr>
          <w:rStyle w:val="FootnoteReference"/>
          <w:rFonts w:ascii="Times New Roman" w:hAnsi="Times New Roman" w:cs="Times New Roman"/>
        </w:rPr>
        <w:footnoteReference w:id="29"/>
      </w:r>
    </w:p>
    <w:p w:rsidR="002A52A3"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In its Memo Contra, FirstEnergy misses the point. FirstEnergy focuses on the mere fact that no other intervenor has come forward to support the PUCO Staff's and OCC's cost cap proposal.</w:t>
      </w:r>
      <w:r>
        <w:rPr>
          <w:rStyle w:val="FootnoteReference"/>
          <w:rFonts w:ascii="Times New Roman" w:hAnsi="Times New Roman" w:cs="Times New Roman"/>
        </w:rPr>
        <w:footnoteReference w:id="30"/>
      </w:r>
      <w:r>
        <w:rPr>
          <w:rFonts w:ascii="Times New Roman" w:hAnsi="Times New Roman" w:cs="Times New Roman"/>
        </w:rPr>
        <w:t xml:space="preserve"> OCC and the PUCO Staff do not seek to strike this bare conclusion. They instead seek to strike FirstEnergy's attempt to explain </w:t>
      </w:r>
      <w:r>
        <w:rPr>
          <w:rFonts w:ascii="Times New Roman" w:hAnsi="Times New Roman" w:cs="Times New Roman"/>
          <w:i/>
        </w:rPr>
        <w:t>why</w:t>
      </w:r>
      <w:r>
        <w:rPr>
          <w:rFonts w:ascii="Times New Roman" w:hAnsi="Times New Roman" w:cs="Times New Roman"/>
        </w:rPr>
        <w:t xml:space="preserve"> parties may have chosen to sign the Settlement and </w:t>
      </w:r>
      <w:r>
        <w:rPr>
          <w:rFonts w:ascii="Times New Roman" w:hAnsi="Times New Roman" w:cs="Times New Roman"/>
          <w:i/>
        </w:rPr>
        <w:t>why</w:t>
      </w:r>
      <w:r>
        <w:rPr>
          <w:rFonts w:ascii="Times New Roman" w:hAnsi="Times New Roman" w:cs="Times New Roman"/>
        </w:rPr>
        <w:t xml:space="preserve"> parties did or did not supp</w:t>
      </w:r>
      <w:r w:rsidR="00A96EB4">
        <w:rPr>
          <w:rFonts w:ascii="Times New Roman" w:hAnsi="Times New Roman" w:cs="Times New Roman"/>
        </w:rPr>
        <w:t>ort the proposal for a cost cap. T</w:t>
      </w:r>
      <w:r>
        <w:rPr>
          <w:rFonts w:ascii="Times New Roman" w:hAnsi="Times New Roman" w:cs="Times New Roman"/>
        </w:rPr>
        <w:t>here is nothing in the evidentiary record showing that the signatory parties agreed with FirstEnergy's legal theories. FirstEnergy's suggestions to the contrary should be struck.</w:t>
      </w:r>
    </w:p>
    <w:p w:rsidR="00700E0E" w:rsidRPr="002A52A3" w:rsidP="00700E0E">
      <w:pPr>
        <w:pStyle w:val="Footer"/>
        <w:tabs>
          <w:tab w:val="clear" w:pos="4320"/>
          <w:tab w:val="clear" w:pos="8640"/>
        </w:tabs>
        <w:spacing w:before="100" w:beforeAutospacing="1"/>
        <w:ind w:firstLine="720"/>
        <w:contextualSpacing/>
        <w:rPr>
          <w:rFonts w:ascii="Times New Roman" w:hAnsi="Times New Roman" w:cs="Times New Roman"/>
        </w:rPr>
      </w:pPr>
    </w:p>
    <w:p w:rsidR="0036043E">
      <w:pPr>
        <w:spacing w:after="200" w:line="276" w:lineRule="auto"/>
        <w:rPr>
          <w:b/>
          <w:szCs w:val="24"/>
        </w:rPr>
      </w:pPr>
      <w:r>
        <w:rPr>
          <w:b/>
        </w:rPr>
        <w:br w:type="page"/>
      </w:r>
    </w:p>
    <w:p w:rsidR="002A52A3" w:rsidRPr="00B15C49" w:rsidP="00B15C49">
      <w:pPr>
        <w:pStyle w:val="Footer"/>
        <w:tabs>
          <w:tab w:val="clear" w:pos="4320"/>
          <w:tab w:val="clear" w:pos="8640"/>
        </w:tabs>
        <w:spacing w:before="100" w:beforeAutospacing="1" w:line="480" w:lineRule="auto"/>
        <w:contextualSpacing/>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CONCLUSION</w:t>
      </w:r>
    </w:p>
    <w:p w:rsidR="000D7615" w:rsidP="00270F3E">
      <w:pPr>
        <w:pStyle w:val="Footer"/>
        <w:tabs>
          <w:tab w:val="clear" w:pos="4320"/>
          <w:tab w:val="clear" w:pos="8640"/>
        </w:tabs>
        <w:spacing w:before="100" w:beforeAutospacing="1" w:line="480" w:lineRule="auto"/>
        <w:ind w:firstLine="720"/>
        <w:contextualSpacing/>
        <w:rPr>
          <w:rFonts w:ascii="Times New Roman" w:hAnsi="Times New Roman" w:cs="Times New Roman"/>
        </w:rPr>
      </w:pPr>
      <w:r>
        <w:rPr>
          <w:rFonts w:ascii="Times New Roman" w:hAnsi="Times New Roman" w:cs="Times New Roman"/>
        </w:rPr>
        <w:t xml:space="preserve">FirstEnergy's briefs rely on information that is not </w:t>
      </w:r>
      <w:r w:rsidR="00A71CAE">
        <w:rPr>
          <w:rFonts w:ascii="Times New Roman" w:hAnsi="Times New Roman" w:cs="Times New Roman"/>
        </w:rPr>
        <w:t>part of the record in this case. This violates PUCO precedent and is unfair to all parties that participated in the PUCO's administrative process in this proceeding. The PUCO should grant OCC's and the PUCO Staff's Motion to Strike.</w:t>
      </w:r>
    </w:p>
    <w:p w:rsidR="00270F3E" w:rsidP="00002260">
      <w:pPr>
        <w:spacing w:after="200" w:line="276" w:lineRule="auto"/>
        <w:ind w:firstLine="4320"/>
        <w:rPr>
          <w:szCs w:val="24"/>
        </w:rPr>
      </w:pPr>
      <w:r>
        <w:rPr>
          <w:szCs w:val="24"/>
        </w:rPr>
        <w:t>Respectfully submitted,</w:t>
      </w:r>
    </w:p>
    <w:p w:rsidR="00270F3E" w:rsidRPr="00DD3C2C" w:rsidP="00270F3E">
      <w:pPr>
        <w:ind w:firstLine="4320"/>
        <w:rPr>
          <w:szCs w:val="24"/>
        </w:rPr>
      </w:pPr>
      <w:r w:rsidRPr="00DD3C2C">
        <w:rPr>
          <w:szCs w:val="24"/>
        </w:rPr>
        <w:t>BRUCE WESTON (0016973)</w:t>
      </w:r>
    </w:p>
    <w:p w:rsidR="00270F3E" w:rsidP="00270F3E">
      <w:pPr>
        <w:tabs>
          <w:tab w:val="left" w:pos="4320"/>
        </w:tabs>
        <w:ind w:left="4320"/>
        <w:rPr>
          <w:szCs w:val="24"/>
        </w:rPr>
      </w:pPr>
      <w:r w:rsidRPr="00DD3C2C">
        <w:rPr>
          <w:szCs w:val="24"/>
        </w:rPr>
        <w:t>OHIO CONSUMERS</w:t>
      </w:r>
      <w:r>
        <w:rPr>
          <w:szCs w:val="24"/>
        </w:rPr>
        <w:t>'</w:t>
      </w:r>
      <w:r w:rsidRPr="00DD3C2C">
        <w:rPr>
          <w:szCs w:val="24"/>
        </w:rPr>
        <w:t xml:space="preserve"> COUNSEL</w:t>
      </w:r>
    </w:p>
    <w:p w:rsidR="00270F3E" w:rsidRPr="00DD3C2C" w:rsidP="00270F3E">
      <w:pPr>
        <w:tabs>
          <w:tab w:val="left" w:pos="4320"/>
        </w:tabs>
        <w:ind w:left="4320"/>
        <w:rPr>
          <w:szCs w:val="24"/>
        </w:rPr>
      </w:pPr>
    </w:p>
    <w:p w:rsidR="00270F3E" w:rsidRPr="0002569A" w:rsidP="00270F3E">
      <w:pPr>
        <w:tabs>
          <w:tab w:val="left" w:pos="4320"/>
        </w:tabs>
        <w:ind w:left="4320"/>
        <w:rPr>
          <w:i/>
          <w:szCs w:val="24"/>
          <w:u w:val="single"/>
        </w:rPr>
      </w:pPr>
      <w:r>
        <w:rPr>
          <w:i/>
          <w:szCs w:val="24"/>
          <w:u w:val="single"/>
        </w:rPr>
        <w:t>/s/ Christopher Healey</w:t>
      </w:r>
      <w:r>
        <w:rPr>
          <w:i/>
          <w:szCs w:val="24"/>
          <w:u w:val="single"/>
        </w:rPr>
        <w:tab/>
      </w:r>
      <w:r>
        <w:rPr>
          <w:i/>
          <w:szCs w:val="24"/>
          <w:u w:val="single"/>
        </w:rPr>
        <w:tab/>
      </w:r>
      <w:r>
        <w:rPr>
          <w:i/>
          <w:szCs w:val="24"/>
          <w:u w:val="single"/>
        </w:rPr>
        <w:tab/>
      </w:r>
    </w:p>
    <w:p w:rsidR="00270F3E" w:rsidRPr="00DD3C2C" w:rsidP="00270F3E">
      <w:pPr>
        <w:tabs>
          <w:tab w:val="left" w:pos="4320"/>
        </w:tabs>
        <w:ind w:left="4320"/>
        <w:rPr>
          <w:szCs w:val="24"/>
        </w:rPr>
      </w:pPr>
      <w:r w:rsidRPr="00DD3C2C">
        <w:rPr>
          <w:szCs w:val="24"/>
        </w:rPr>
        <w:t>Christopher Healey (0086027)</w:t>
      </w:r>
      <w:r w:rsidRPr="00DD3C2C">
        <w:rPr>
          <w:szCs w:val="24"/>
        </w:rPr>
        <w:br/>
        <w:t>Counsel of Record</w:t>
      </w:r>
    </w:p>
    <w:p w:rsidR="00270F3E" w:rsidRPr="00DD3C2C" w:rsidP="00270F3E">
      <w:pPr>
        <w:tabs>
          <w:tab w:val="left" w:pos="4320"/>
        </w:tabs>
        <w:ind w:left="4320"/>
        <w:rPr>
          <w:szCs w:val="24"/>
        </w:rPr>
      </w:pPr>
    </w:p>
    <w:p w:rsidR="00270F3E" w:rsidRPr="00DD3C2C" w:rsidP="00270F3E">
      <w:pPr>
        <w:ind w:left="4320"/>
        <w:rPr>
          <w:b/>
          <w:szCs w:val="24"/>
        </w:rPr>
      </w:pPr>
      <w:r w:rsidRPr="00DD3C2C">
        <w:rPr>
          <w:b/>
          <w:szCs w:val="24"/>
        </w:rPr>
        <w:t>Office of the Ohio Consumers</w:t>
      </w:r>
      <w:r>
        <w:rPr>
          <w:b/>
          <w:szCs w:val="24"/>
        </w:rPr>
        <w:t>'</w:t>
      </w:r>
      <w:r w:rsidRPr="00DD3C2C">
        <w:rPr>
          <w:b/>
          <w:szCs w:val="24"/>
        </w:rPr>
        <w:t xml:space="preserve"> Counsel</w:t>
      </w:r>
    </w:p>
    <w:p w:rsidR="00270F3E" w:rsidRPr="00DD3C2C" w:rsidP="00270F3E">
      <w:pPr>
        <w:ind w:left="4320"/>
        <w:rPr>
          <w:szCs w:val="24"/>
        </w:rPr>
      </w:pPr>
      <w:r w:rsidRPr="00DD3C2C">
        <w:rPr>
          <w:szCs w:val="24"/>
        </w:rPr>
        <w:t>10 West Broad Street, Suite 1800</w:t>
      </w:r>
    </w:p>
    <w:p w:rsidR="00270F3E" w:rsidRPr="00DD3C2C" w:rsidP="00270F3E">
      <w:pPr>
        <w:ind w:left="4320"/>
        <w:rPr>
          <w:szCs w:val="24"/>
        </w:rPr>
      </w:pPr>
      <w:r w:rsidRPr="00DD3C2C">
        <w:rPr>
          <w:szCs w:val="24"/>
        </w:rPr>
        <w:t>Columbus, Ohio 43215-3485</w:t>
      </w:r>
    </w:p>
    <w:p w:rsidR="00270F3E" w:rsidRPr="00DD3C2C" w:rsidP="00270F3E">
      <w:pPr>
        <w:autoSpaceDE w:val="0"/>
        <w:autoSpaceDN w:val="0"/>
        <w:adjustRightInd w:val="0"/>
        <w:ind w:left="3600" w:firstLine="720"/>
        <w:rPr>
          <w:szCs w:val="24"/>
        </w:rPr>
      </w:pPr>
      <w:r>
        <w:rPr>
          <w:szCs w:val="24"/>
        </w:rPr>
        <w:t>Telephone: (614) 466-9571</w:t>
      </w:r>
    </w:p>
    <w:p w:rsidR="00270F3E" w:rsidRPr="00DD3C2C" w:rsidP="00270F3E">
      <w:pPr>
        <w:ind w:left="4320"/>
        <w:rPr>
          <w:szCs w:val="24"/>
        </w:rPr>
      </w:pPr>
      <w:r>
        <w:fldChar w:fldCharType="begin"/>
      </w:r>
      <w:r>
        <w:instrText xml:space="preserve"> HYPERLINK "mailto:christopher.healey@occ.ohio.gov" </w:instrText>
      </w:r>
      <w:r>
        <w:fldChar w:fldCharType="separate"/>
      </w:r>
      <w:r w:rsidRPr="00DD3C2C" w:rsidR="00150C08">
        <w:rPr>
          <w:rStyle w:val="Hyperlink"/>
          <w:szCs w:val="24"/>
        </w:rPr>
        <w:t>christopher.healey@occ.ohio.gov</w:t>
      </w:r>
      <w:r>
        <w:fldChar w:fldCharType="end"/>
      </w:r>
    </w:p>
    <w:p w:rsidR="00270F3E" w:rsidRPr="00DD3C2C" w:rsidP="00270F3E">
      <w:pPr>
        <w:ind w:left="4320"/>
        <w:rPr>
          <w:szCs w:val="24"/>
        </w:rPr>
      </w:pPr>
      <w:r w:rsidRPr="00DD3C2C">
        <w:rPr>
          <w:szCs w:val="24"/>
        </w:rPr>
        <w:t>(</w:t>
      </w:r>
      <w:r w:rsidR="00CC79BB">
        <w:rPr>
          <w:szCs w:val="24"/>
        </w:rPr>
        <w:t>Will</w:t>
      </w:r>
      <w:r w:rsidRPr="00DD3C2C">
        <w:rPr>
          <w:szCs w:val="24"/>
        </w:rPr>
        <w:t xml:space="preserve"> accept email service)</w:t>
      </w:r>
    </w:p>
    <w:p w:rsidR="00270F3E" w:rsidRPr="00DD3C2C" w:rsidP="0074577C">
      <w:pPr>
        <w:rPr>
          <w:szCs w:val="24"/>
        </w:rPr>
      </w:pPr>
    </w:p>
    <w:p w:rsidR="00270F3E" w:rsidRPr="00DD3C2C" w:rsidP="00270F3E">
      <w:pPr>
        <w:ind w:left="4320"/>
        <w:rPr>
          <w:szCs w:val="24"/>
        </w:rPr>
      </w:pPr>
      <w:r w:rsidRPr="00DD3C2C">
        <w:rPr>
          <w:szCs w:val="24"/>
        </w:rPr>
        <w:t>Dane Stinson (0019101)</w:t>
      </w:r>
    </w:p>
    <w:p w:rsidR="00270F3E" w:rsidRPr="00DD3C2C" w:rsidP="00270F3E">
      <w:pPr>
        <w:ind w:left="4320"/>
        <w:rPr>
          <w:szCs w:val="24"/>
        </w:rPr>
      </w:pPr>
      <w:r w:rsidRPr="00DD3C2C">
        <w:rPr>
          <w:szCs w:val="24"/>
        </w:rPr>
        <w:t>Bricker &amp; Eckler LLP</w:t>
      </w:r>
    </w:p>
    <w:p w:rsidR="00270F3E" w:rsidRPr="00DD3C2C" w:rsidP="00270F3E">
      <w:pPr>
        <w:ind w:left="4320"/>
        <w:rPr>
          <w:szCs w:val="24"/>
        </w:rPr>
      </w:pPr>
      <w:r w:rsidRPr="00DD3C2C">
        <w:rPr>
          <w:szCs w:val="24"/>
        </w:rPr>
        <w:t>100 South Third Street</w:t>
      </w:r>
    </w:p>
    <w:p w:rsidR="00270F3E" w:rsidRPr="00DD3C2C" w:rsidP="00270F3E">
      <w:pPr>
        <w:ind w:left="4320"/>
        <w:rPr>
          <w:szCs w:val="24"/>
        </w:rPr>
      </w:pPr>
      <w:r w:rsidRPr="00DD3C2C">
        <w:rPr>
          <w:szCs w:val="24"/>
        </w:rPr>
        <w:t>Columbus, Ohio 43215</w:t>
      </w:r>
    </w:p>
    <w:p w:rsidR="00270F3E" w:rsidRPr="00DD3C2C" w:rsidP="00270F3E">
      <w:pPr>
        <w:ind w:left="4320"/>
        <w:rPr>
          <w:szCs w:val="24"/>
        </w:rPr>
      </w:pPr>
      <w:r w:rsidRPr="00DD3C2C">
        <w:rPr>
          <w:szCs w:val="24"/>
        </w:rPr>
        <w:t>Telephone: (614) 227-4854</w:t>
      </w:r>
    </w:p>
    <w:p w:rsidR="00270F3E" w:rsidRPr="00DD3C2C" w:rsidP="00270F3E">
      <w:pPr>
        <w:ind w:left="4320"/>
        <w:rPr>
          <w:szCs w:val="24"/>
        </w:rPr>
      </w:pPr>
      <w:r>
        <w:fldChar w:fldCharType="begin"/>
      </w:r>
      <w:r>
        <w:instrText xml:space="preserve"> HYPERLINK "mailto:dstinson@bricker.com" </w:instrText>
      </w:r>
      <w:r>
        <w:fldChar w:fldCharType="separate"/>
      </w:r>
      <w:r w:rsidRPr="00DD3C2C" w:rsidR="00150C08">
        <w:rPr>
          <w:rStyle w:val="Hyperlink"/>
          <w:szCs w:val="24"/>
        </w:rPr>
        <w:t>dstinson@bricker.com</w:t>
      </w:r>
      <w:r>
        <w:fldChar w:fldCharType="end"/>
      </w:r>
      <w:r w:rsidRPr="00DD3C2C" w:rsidR="00150C08">
        <w:rPr>
          <w:szCs w:val="24"/>
        </w:rPr>
        <w:t xml:space="preserve"> </w:t>
      </w:r>
    </w:p>
    <w:p w:rsidR="00270F3E" w:rsidP="00270F3E">
      <w:pPr>
        <w:ind w:left="4320"/>
        <w:rPr>
          <w:szCs w:val="24"/>
        </w:rPr>
      </w:pPr>
      <w:r w:rsidRPr="00DD3C2C">
        <w:rPr>
          <w:szCs w:val="24"/>
        </w:rPr>
        <w:t>(</w:t>
      </w:r>
      <w:r w:rsidR="00CC79BB">
        <w:rPr>
          <w:szCs w:val="24"/>
        </w:rPr>
        <w:t>Will</w:t>
      </w:r>
      <w:r w:rsidRPr="00DD3C2C">
        <w:rPr>
          <w:szCs w:val="24"/>
        </w:rPr>
        <w:t xml:space="preserve"> accept email service)</w:t>
      </w:r>
    </w:p>
    <w:p w:rsidR="00270F3E" w:rsidP="00270F3E">
      <w:pPr>
        <w:ind w:left="4320"/>
        <w:rPr>
          <w:szCs w:val="24"/>
        </w:rPr>
      </w:pPr>
    </w:p>
    <w:p w:rsidR="00270F3E" w:rsidP="00270F3E">
      <w:pPr>
        <w:ind w:left="4320"/>
        <w:rPr>
          <w:szCs w:val="24"/>
        </w:rPr>
        <w:sectPr w:rsidSect="0074577C">
          <w:headerReference w:type="default" r:id="rId11"/>
          <w:footerReference w:type="default" r:id="rId12"/>
          <w:pgSz w:w="12240" w:h="15840"/>
          <w:pgMar w:top="1440" w:right="1800" w:bottom="1440" w:left="1800" w:header="720" w:footer="720" w:gutter="0"/>
          <w:cols w:space="720"/>
          <w:docGrid w:linePitch="360"/>
        </w:sectPr>
      </w:pPr>
      <w:r>
        <w:rPr>
          <w:szCs w:val="24"/>
        </w:rPr>
        <w:t>Outside Counsel for the Office of the Ohio Consumers' Counsel</w:t>
      </w:r>
    </w:p>
    <w:p w:rsidR="00270F3E" w:rsidRPr="005216DF" w:rsidP="00270F3E">
      <w:pPr>
        <w:ind w:left="2160" w:firstLine="720"/>
        <w:rPr>
          <w:b/>
          <w:bCs/>
          <w:szCs w:val="24"/>
          <w:u w:val="single"/>
        </w:rPr>
      </w:pPr>
      <w:r w:rsidRPr="005216DF">
        <w:rPr>
          <w:b/>
          <w:bCs/>
          <w:szCs w:val="24"/>
          <w:u w:val="single"/>
        </w:rPr>
        <w:t>CERTIFICATE OF SERVICE</w:t>
      </w:r>
    </w:p>
    <w:p w:rsidR="00270F3E" w:rsidRPr="005216DF">
      <w:pPr>
        <w:pStyle w:val="EndnoteText"/>
        <w:widowControl/>
        <w:tabs>
          <w:tab w:val="left" w:pos="-720"/>
        </w:tabs>
        <w:suppressAutoHyphens/>
        <w:rPr>
          <w:rFonts w:ascii="Times New Roman" w:hAnsi="Times New Roman"/>
          <w:spacing w:val="-3"/>
          <w:szCs w:val="24"/>
        </w:rPr>
      </w:pPr>
    </w:p>
    <w:p w:rsidR="00270F3E" w:rsidRPr="005216DF" w:rsidP="00270F3E">
      <w:pPr>
        <w:tabs>
          <w:tab w:val="left" w:pos="-720"/>
        </w:tabs>
        <w:suppressAutoHyphens/>
        <w:spacing w:line="480" w:lineRule="auto"/>
        <w:ind w:firstLine="720"/>
        <w:rPr>
          <w:szCs w:val="24"/>
        </w:rPr>
      </w:pPr>
      <w:r w:rsidRPr="005216DF">
        <w:rPr>
          <w:szCs w:val="24"/>
        </w:rPr>
        <w:t xml:space="preserve">It is hereby certified that a true copy of the foregoing </w:t>
      </w:r>
      <w:r w:rsidR="002A52A3">
        <w:rPr>
          <w:szCs w:val="24"/>
        </w:rPr>
        <w:t>Reply</w:t>
      </w:r>
      <w:r w:rsidRPr="005216DF">
        <w:rPr>
          <w:i/>
          <w:iCs/>
          <w:szCs w:val="24"/>
        </w:rPr>
        <w:t xml:space="preserve"> </w:t>
      </w:r>
      <w:r w:rsidRPr="005216DF">
        <w:rPr>
          <w:szCs w:val="24"/>
        </w:rPr>
        <w:t xml:space="preserve">was served by electronic transmission </w:t>
      </w:r>
      <w:r>
        <w:rPr>
          <w:szCs w:val="24"/>
        </w:rPr>
        <w:t xml:space="preserve">upon the parties below this </w:t>
      </w:r>
      <w:r w:rsidR="00A71CAE">
        <w:rPr>
          <w:szCs w:val="24"/>
        </w:rPr>
        <w:t>6</w:t>
      </w:r>
      <w:r w:rsidR="004E3BAE">
        <w:rPr>
          <w:szCs w:val="24"/>
        </w:rPr>
        <w:t>th</w:t>
      </w:r>
      <w:r w:rsidR="000405FB">
        <w:rPr>
          <w:szCs w:val="24"/>
        </w:rPr>
        <w:t xml:space="preserve"> </w:t>
      </w:r>
      <w:r w:rsidRPr="005216DF">
        <w:rPr>
          <w:szCs w:val="24"/>
        </w:rPr>
        <w:t xml:space="preserve">day of </w:t>
      </w:r>
      <w:r w:rsidR="00345B17">
        <w:rPr>
          <w:szCs w:val="24"/>
        </w:rPr>
        <w:t>April</w:t>
      </w:r>
      <w:r w:rsidRPr="005216DF">
        <w:rPr>
          <w:szCs w:val="24"/>
        </w:rPr>
        <w:t xml:space="preserve"> 201</w:t>
      </w:r>
      <w:r>
        <w:rPr>
          <w:szCs w:val="24"/>
        </w:rPr>
        <w:t>7</w:t>
      </w:r>
      <w:r w:rsidRPr="005216DF">
        <w:rPr>
          <w:szCs w:val="24"/>
        </w:rPr>
        <w:t>.</w:t>
      </w:r>
    </w:p>
    <w:p w:rsidR="00270F3E" w:rsidRPr="005216DF">
      <w:pPr>
        <w:pStyle w:val="EndnoteText"/>
        <w:widowControl/>
        <w:rPr>
          <w:rFonts w:ascii="Times New Roman" w:hAnsi="Times New Roman"/>
          <w:snapToGrid/>
          <w:szCs w:val="24"/>
        </w:rPr>
      </w:pPr>
    </w:p>
    <w:p w:rsidR="00270F3E"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i/>
          <w:snapToGrid/>
          <w:szCs w:val="24"/>
          <w:u w:val="single"/>
        </w:rPr>
        <w:t xml:space="preserve">/s/ </w:t>
      </w:r>
      <w:r>
        <w:rPr>
          <w:rFonts w:ascii="Times New Roman" w:hAnsi="Times New Roman"/>
          <w:i/>
          <w:snapToGrid/>
          <w:szCs w:val="24"/>
          <w:u w:val="single"/>
        </w:rPr>
        <w:t>Christopher Healey</w:t>
      </w:r>
      <w:r>
        <w:rPr>
          <w:rFonts w:ascii="Times New Roman" w:hAnsi="Times New Roman"/>
          <w:i/>
          <w:snapToGrid/>
          <w:szCs w:val="24"/>
          <w:u w:val="single"/>
        </w:rPr>
        <w:tab/>
      </w:r>
      <w:r>
        <w:rPr>
          <w:rFonts w:ascii="Times New Roman" w:hAnsi="Times New Roman"/>
          <w:i/>
          <w:snapToGrid/>
          <w:szCs w:val="24"/>
          <w:u w:val="single"/>
        </w:rPr>
        <w:tab/>
      </w:r>
    </w:p>
    <w:p w:rsidR="00270F3E"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Pr>
          <w:rFonts w:ascii="Times New Roman" w:hAnsi="Times New Roman"/>
          <w:snapToGrid/>
          <w:szCs w:val="24"/>
        </w:rPr>
        <w:t>Christopher Healey</w:t>
      </w:r>
    </w:p>
    <w:p w:rsidR="00270F3E" w:rsidRPr="005216D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t>Assistant Consumers</w:t>
      </w:r>
      <w:r>
        <w:rPr>
          <w:rFonts w:ascii="Times New Roman" w:hAnsi="Times New Roman"/>
          <w:snapToGrid/>
          <w:szCs w:val="24"/>
        </w:rPr>
        <w:t>'</w:t>
      </w:r>
      <w:r w:rsidRPr="005216DF">
        <w:rPr>
          <w:rFonts w:ascii="Times New Roman" w:hAnsi="Times New Roman"/>
          <w:snapToGrid/>
          <w:szCs w:val="24"/>
        </w:rPr>
        <w:t xml:space="preserve"> Counsel</w:t>
      </w:r>
    </w:p>
    <w:p w:rsidR="00270F3E" w:rsidRPr="005216DF">
      <w:pPr>
        <w:pStyle w:val="EndnoteText"/>
        <w:widowControl/>
        <w:rPr>
          <w:rFonts w:ascii="Times New Roman" w:hAnsi="Times New Roman"/>
          <w:snapToGrid/>
          <w:szCs w:val="24"/>
        </w:rPr>
      </w:pPr>
    </w:p>
    <w:p w:rsidR="00270F3E" w:rsidRPr="005216DF">
      <w:pPr>
        <w:pStyle w:val="EndnoteText"/>
        <w:widowControl/>
        <w:jc w:val="center"/>
        <w:rPr>
          <w:rFonts w:ascii="Times New Roman" w:hAnsi="Times New Roman"/>
          <w:b/>
          <w:bCs/>
          <w:snapToGrid/>
          <w:szCs w:val="24"/>
        </w:rPr>
      </w:pPr>
    </w:p>
    <w:p w:rsidR="00270F3E" w:rsidP="00270F3E">
      <w:pPr>
        <w:pStyle w:val="CommentText"/>
        <w:jc w:val="center"/>
        <w:rPr>
          <w:b/>
          <w:bCs/>
          <w:sz w:val="24"/>
          <w:szCs w:val="24"/>
          <w:u w:val="single"/>
        </w:rPr>
      </w:pPr>
      <w:r w:rsidRPr="00E31CBD">
        <w:rPr>
          <w:b/>
          <w:bCs/>
          <w:sz w:val="24"/>
          <w:szCs w:val="24"/>
          <w:u w:val="single"/>
        </w:rPr>
        <w:t>SERVICE LIST</w:t>
      </w:r>
    </w:p>
    <w:p w:rsidR="00CC79BB" w:rsidP="00270F3E">
      <w:pPr>
        <w:pStyle w:val="CommentText"/>
        <w:jc w:val="center"/>
        <w:rPr>
          <w:b/>
          <w:bCs/>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CC79B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CC79BB" w:rsidRPr="00CC79BB" w:rsidP="00CC79BB">
            <w:pPr>
              <w:pStyle w:val="BodyText"/>
              <w:tabs>
                <w:tab w:val="left" w:pos="-720"/>
              </w:tabs>
              <w:suppressAutoHyphens/>
              <w:spacing w:after="0" w:line="240" w:lineRule="auto"/>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"mailto:mfleisher@elpc.org"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mfleisher@elpc.org</w:t>
            </w:r>
            <w:r>
              <w:fldChar w:fldCharType="end"/>
            </w:r>
          </w:p>
          <w:p w:rsidR="00CC79BB" w:rsidRPr="00CC79BB" w:rsidP="00CC79BB">
            <w:pPr>
              <w:autoSpaceDE w:val="0"/>
              <w:autoSpaceDN w:val="0"/>
              <w:adjustRightInd w:val="0"/>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"mailto:tdougherty@theOEC.org"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tdougherty@theOEC.org</w:t>
            </w:r>
            <w:r>
              <w:fldChar w:fldCharType="end"/>
            </w:r>
          </w:p>
          <w:p w:rsidR="00CC79BB" w:rsidRPr="00CC79BB" w:rsidP="00CC79B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"mailto:mleppla@theoec.org" </w:instrText>
            </w:r>
            <w:r>
              <w:fldChar w:fldCharType="separate"/>
            </w:r>
            <w:r w:rsidRPr="00CC79BB">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rsidR="00CC79BB" w:rsidRPr="00CC79BB" w:rsidP="00CC79BB">
            <w:pPr>
              <w:autoSpaceDE w:val="0"/>
              <w:autoSpaceDN w:val="0"/>
              <w:adjustRightInd w:val="0"/>
              <w:spacing w:after="0" w:line="240" w:lineRule="auto"/>
              <w:rPr>
                <w:rStyle w:val="Hyperlink"/>
                <w:rFonts w:ascii="Times New Roman" w:eastAsia="Times New Roman" w:hAnsi="Times New Roman" w:cs="Times New Roman"/>
                <w:bCs/>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"mailto:cmooney@ohiopartners.org" </w:instrText>
            </w:r>
            <w:r>
              <w:fldChar w:fldCharType="separate"/>
            </w:r>
            <w:r w:rsidRPr="00CC79BB">
              <w:rPr>
                <w:rStyle w:val="Hyperlink"/>
                <w:rFonts w:ascii="Times New Roman" w:eastAsia="Times New Roman" w:hAnsi="Times New Roman" w:cs="Times New Roman"/>
                <w:bCs/>
                <w:color w:val="0000FF"/>
                <w:sz w:val="24"/>
                <w:szCs w:val="24"/>
                <w:u w:val="single"/>
                <w:lang w:val="en-US" w:eastAsia="en-US" w:bidi="ar-SA"/>
              </w:rPr>
              <w:t>cmooney@ohiopartners.org</w:t>
            </w:r>
            <w:r>
              <w:fldChar w:fldCharType="end"/>
            </w:r>
          </w:p>
          <w:p w:rsidR="00CC79BB" w:rsidRPr="00CC79BB" w:rsidP="00CC79BB">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"mailto:ricks@ohanet.org"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ricks@ohanet.org</w:t>
            </w:r>
            <w:r>
              <w:fldChar w:fldCharType="end"/>
            </w:r>
          </w:p>
          <w:p w:rsidR="00CC79BB" w:rsidRPr="00CC79BB" w:rsidP="00CC79BB">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"mailto:mwarnock@bricker.com"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mwarnock@bricker.com</w:t>
            </w:r>
            <w:r>
              <w:fldChar w:fldCharType="end"/>
            </w:r>
            <w:r w:rsidRPr="00CC79BB">
              <w:rPr>
                <w:rFonts w:ascii="Times New Roman" w:eastAsia="Times New Roman" w:hAnsi="Times New Roman" w:cs="Times New Roman"/>
                <w:color w:val="0000FF"/>
                <w:sz w:val="24"/>
                <w:szCs w:val="24"/>
                <w:lang w:val="en-US" w:eastAsia="en-US" w:bidi="ar-SA"/>
              </w:rPr>
              <w:t xml:space="preserve"> </w:t>
            </w:r>
          </w:p>
          <w:p w:rsidR="00CC79BB" w:rsidRPr="00CC79BB" w:rsidP="00CC79BB">
            <w:pPr>
              <w:autoSpaceDE w:val="0"/>
              <w:autoSpaceDN w:val="0"/>
              <w:adjustRightInd w:val="0"/>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"mailto:dborchers@bricker.com"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dborchers@bricker.com</w:t>
            </w:r>
            <w:r>
              <w:fldChar w:fldCharType="end"/>
            </w:r>
          </w:p>
          <w:p w:rsidR="00CC79BB" w:rsidRPr="00CC79BB" w:rsidP="00CC79B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"mailto:dparram@bricker.com" </w:instrText>
            </w:r>
            <w:r>
              <w:fldChar w:fldCharType="separate"/>
            </w:r>
            <w:r w:rsidRPr="00CC79BB">
              <w:rPr>
                <w:rStyle w:val="Hyperlink"/>
                <w:rFonts w:ascii="Times New Roman" w:hAnsi="Times New Roman" w:eastAsiaTheme="minorHAnsi" w:cs="Times New Roman"/>
                <w:color w:val="0000FF"/>
                <w:sz w:val="24"/>
                <w:szCs w:val="24"/>
                <w:u w:val="single"/>
                <w:lang w:val="en-US" w:eastAsia="en-US" w:bidi="ar-SA"/>
              </w:rPr>
              <w:t>dparram@bricker.com</w:t>
            </w:r>
            <w:r>
              <w:fldChar w:fldCharType="end"/>
            </w:r>
          </w:p>
          <w:p w:rsidR="00CC79BB" w:rsidRPr="00CC79BB" w:rsidP="00CC79BB">
            <w:pPr>
              <w:autoSpaceDE w:val="0"/>
              <w:autoSpaceDN w:val="0"/>
              <w:adjustRightInd w:val="0"/>
              <w:spacing w:after="0" w:line="240" w:lineRule="auto"/>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"mailto:mpritchard@mwncmh.com"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mpritchard@mwncmh.com</w:t>
            </w:r>
            <w:r>
              <w:fldChar w:fldCharType="end"/>
            </w:r>
          </w:p>
          <w:p w:rsidR="00CC79BB" w:rsidRPr="00CC79BB" w:rsidP="00CC79BB">
            <w:pPr>
              <w:autoSpaceDE w:val="0"/>
              <w:autoSpaceDN w:val="0"/>
              <w:adjustRightInd w:val="0"/>
              <w:spacing w:after="0" w:line="240" w:lineRule="auto"/>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"mailto:sechler@carpenterlipps.com"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sechler@carpenterlipps.com</w:t>
            </w:r>
            <w:r>
              <w:fldChar w:fldCharType="end"/>
            </w:r>
          </w:p>
          <w:p w:rsidR="00CC79BB" w:rsidRPr="00CC79BB" w:rsidP="00CC79BB">
            <w:pPr>
              <w:autoSpaceDE w:val="0"/>
              <w:autoSpaceDN w:val="0"/>
              <w:adjustRightInd w:val="0"/>
              <w:spacing w:after="0" w:line="240" w:lineRule="auto"/>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"mailto:callwein@keglerbrown.com"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callwein@keglerbrown.com</w:t>
            </w:r>
            <w:r>
              <w:fldChar w:fldCharType="end"/>
            </w:r>
          </w:p>
          <w:p w:rsidR="00CC79BB" w:rsidRPr="00CC79BB" w:rsidP="00CC79BB">
            <w:pPr>
              <w:pStyle w:val="CommentText"/>
              <w:spacing w:after="0" w:line="240" w:lineRule="auto"/>
              <w:rPr>
                <w:rStyle w:val="Hyperlink"/>
                <w:rFonts w:ascii="Times New Roman" w:eastAsia="Times New Roman" w:hAnsi="Times New Roman" w:cs="Times New Roman"/>
                <w:bCs/>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"mailto:John.jones@ohioattorneygeneral.gov" </w:instrText>
            </w:r>
            <w:r>
              <w:fldChar w:fldCharType="separate"/>
            </w:r>
            <w:r w:rsidRPr="00CC79BB">
              <w:rPr>
                <w:rStyle w:val="Hyperlink"/>
                <w:rFonts w:ascii="Times New Roman" w:eastAsia="Times New Roman" w:hAnsi="Times New Roman" w:cs="Times New Roman"/>
                <w:bCs/>
                <w:color w:val="0000FF"/>
                <w:sz w:val="24"/>
                <w:szCs w:val="24"/>
                <w:u w:val="single"/>
                <w:lang w:val="en-US" w:eastAsia="en-US" w:bidi="ar-SA"/>
              </w:rPr>
              <w:t>John.jones@ohioattorneygeneral.gov</w:t>
            </w:r>
            <w:r>
              <w:fldChar w:fldCharType="end"/>
            </w:r>
          </w:p>
          <w:p w:rsidR="00CC79BB" w:rsidRPr="00CC79BB" w:rsidP="00CC79BB">
            <w:pPr>
              <w:pStyle w:val="CommentText"/>
              <w:spacing w:after="0" w:line="240" w:lineRule="auto"/>
              <w:jc w:val="center"/>
              <w:rPr>
                <w:rStyle w:val="Hyperlink"/>
                <w:rFonts w:ascii="Times New Roman" w:eastAsia="Times New Roman" w:hAnsi="Times New Roman" w:cs="Times New Roman"/>
                <w:bCs/>
                <w:color w:val="0000FF"/>
                <w:sz w:val="24"/>
                <w:szCs w:val="24"/>
                <w:u w:val="single"/>
                <w:lang w:val="en-US" w:eastAsia="en-US" w:bidi="ar-SA"/>
              </w:rPr>
            </w:pPr>
          </w:p>
          <w:p w:rsidR="00CC79BB" w:rsidRPr="00CC79BB" w:rsidP="00CC79BB">
            <w:pPr>
              <w:pStyle w:val="CommentText"/>
              <w:spacing w:after="0" w:line="240" w:lineRule="auto"/>
              <w:rPr>
                <w:rStyle w:val="Hyperlink"/>
                <w:rFonts w:ascii="Times New Roman" w:eastAsia="Times New Roman" w:hAnsi="Times New Roman" w:cs="Times New Roman"/>
                <w:color w:val="auto"/>
                <w:sz w:val="24"/>
                <w:szCs w:val="24"/>
                <w:u w:val="none"/>
                <w:lang w:val="en-US" w:eastAsia="en-US" w:bidi="ar-SA"/>
              </w:rPr>
            </w:pPr>
            <w:r w:rsidRPr="00CC79BB">
              <w:rPr>
                <w:rStyle w:val="Hyperlink"/>
                <w:rFonts w:ascii="Times New Roman" w:eastAsia="Times New Roman" w:hAnsi="Times New Roman" w:cs="Times New Roman"/>
                <w:color w:val="auto"/>
                <w:sz w:val="24"/>
                <w:szCs w:val="24"/>
                <w:u w:val="none"/>
                <w:lang w:val="en-US" w:eastAsia="en-US" w:bidi="ar-SA"/>
              </w:rPr>
              <w:t>Attorney Examiner:</w:t>
            </w:r>
          </w:p>
          <w:p w:rsidR="00CC79BB" w:rsidRPr="00CC79BB" w:rsidP="00CC79BB">
            <w:pPr>
              <w:pStyle w:val="CommentText"/>
              <w:spacing w:after="0" w:line="240" w:lineRule="auto"/>
              <w:rPr>
                <w:rStyle w:val="Hyperlink"/>
                <w:rFonts w:ascii="Times New Roman" w:eastAsia="Times New Roman" w:hAnsi="Times New Roman" w:cs="Times New Roman"/>
                <w:color w:val="auto"/>
                <w:sz w:val="24"/>
                <w:szCs w:val="24"/>
                <w:u w:val="none"/>
                <w:lang w:val="en-US" w:eastAsia="en-US" w:bidi="ar-SA"/>
              </w:rPr>
            </w:pPr>
          </w:p>
          <w:p w:rsidR="00CC79BB" w:rsidRPr="00CC79BB" w:rsidP="00CC79BB">
            <w:pPr>
              <w:pStyle w:val="CommentText"/>
              <w:spacing w:after="0" w:line="240" w:lineRule="auto"/>
              <w:rPr>
                <w:rStyle w:val="DefaultParagraphFont"/>
                <w:rFonts w:ascii="Times New Roman" w:eastAsia="Times New Roman" w:hAnsi="Times New Roman" w:cs="Times New Roman"/>
                <w:b/>
                <w:bCs/>
                <w:sz w:val="24"/>
                <w:szCs w:val="24"/>
                <w:u w:val="single"/>
                <w:lang w:val="en-US" w:eastAsia="en-US" w:bidi="ar-SA"/>
              </w:rPr>
            </w:pPr>
            <w:r w:rsidRPr="00CC79BB">
              <w:rPr>
                <w:rStyle w:val="Hyperlink"/>
                <w:rFonts w:ascii="Times New Roman" w:eastAsia="Times New Roman" w:hAnsi="Times New Roman" w:cs="Times New Roman"/>
                <w:color w:val="0000FF"/>
                <w:sz w:val="24"/>
                <w:szCs w:val="24"/>
                <w:u w:val="single"/>
                <w:lang w:val="en-US" w:eastAsia="en-US" w:bidi="ar-SA"/>
              </w:rPr>
              <w:t>Richard.Bulgrin@puc.state.oh.us</w:t>
            </w:r>
          </w:p>
        </w:tc>
        <w:tc>
          <w:tcPr>
            <w:tcW w:w="4428" w:type="dxa"/>
          </w:tcPr>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"mailto:cdunn@firstenergycorp.com"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cdunn@firstenergycorp.com</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"mailto:eostrowski@firstenergycorp.com" </w:instrText>
            </w:r>
            <w:r>
              <w:fldChar w:fldCharType="separate"/>
            </w:r>
            <w:r w:rsidRPr="00CC79BB">
              <w:rPr>
                <w:rStyle w:val="Hyperlink"/>
                <w:rFonts w:ascii="Times New Roman" w:hAnsi="Times New Roman" w:eastAsiaTheme="minorHAnsi" w:cs="Times New Roman"/>
                <w:color w:val="0000FF"/>
                <w:sz w:val="24"/>
                <w:szCs w:val="24"/>
                <w:u w:val="single"/>
                <w:lang w:val="en-US" w:eastAsia="en-US" w:bidi="ar-SA"/>
              </w:rPr>
              <w:t>eostrowski@firstenergycorp.com</w:t>
            </w:r>
            <w:r>
              <w:fldChar w:fldCharType="end"/>
            </w:r>
          </w:p>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rsidRPr="00CC79BB">
              <w:rPr>
                <w:rStyle w:val="Hyperlink"/>
                <w:rFonts w:ascii="Times New Roman" w:eastAsia="Times New Roman" w:hAnsi="Times New Roman" w:cs="Times New Roman"/>
                <w:color w:val="0000FF"/>
                <w:sz w:val="24"/>
                <w:szCs w:val="24"/>
                <w:u w:val="single"/>
                <w:lang w:val="en-US" w:eastAsia="en-US" w:bidi="ar-SA"/>
              </w:rPr>
              <w:t>leiterr@firstenergycorp.com</w:t>
            </w:r>
          </w:p>
          <w:p w:rsidR="00CC79BB" w:rsidRPr="00CC79BB" w:rsidP="00CC79BB">
            <w:pPr>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"mailto:Kjklaw@yahoo.com"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Kjklaw@yahoo.com</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"mailto:mrgladman@jonesday.com"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mrgladman@jonesday.com</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"mailto:stostado@jonesday.com"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stostado@jonesday.com</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"mailto:jfinnigan@edf.org"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jfinnigan@edf.org</w:t>
            </w:r>
            <w:r>
              <w:fldChar w:fldCharType="end"/>
            </w:r>
          </w:p>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"mailto:rdove@attorneydove.com"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rdove@attorneydove.com</w:t>
            </w:r>
            <w:r>
              <w:fldChar w:fldCharType="end"/>
            </w:r>
          </w:p>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"mailto:Bojko@carpenterlipps.com"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Bojko@carpenterlipps.com</w:t>
            </w:r>
            <w:r>
              <w:fldChar w:fldCharType="end"/>
            </w:r>
          </w:p>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"mailto:perko@carpenterlipps.com"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perko@carpenterlipps.com</w:t>
            </w:r>
            <w:r>
              <w:fldChar w:fldCharType="end"/>
            </w:r>
          </w:p>
          <w:p w:rsidR="00CC79BB" w:rsidRPr="00CC79BB" w:rsidP="00CC79BB">
            <w:pPr>
              <w:autoSpaceDE w:val="0"/>
              <w:autoSpaceDN w:val="0"/>
              <w:adjustRightInd w:val="0"/>
              <w:spacing w:after="0" w:line="240" w:lineRule="auto"/>
              <w:ind w:left="432"/>
              <w:jc w:val="both"/>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"mailto:paul@carpenterlipps.com"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paul@carpenterlipps.com</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"mailto:rkelter@elpc.org" </w:instrText>
            </w:r>
            <w:r>
              <w:fldChar w:fldCharType="separate"/>
            </w:r>
            <w:r w:rsidRPr="00CC79BB">
              <w:rPr>
                <w:rStyle w:val="Hyperlink"/>
                <w:rFonts w:ascii="Times New Roman" w:hAnsi="Times New Roman" w:eastAsiaTheme="minorHAnsi" w:cs="Times New Roman"/>
                <w:color w:val="0000FF"/>
                <w:sz w:val="24"/>
                <w:szCs w:val="24"/>
                <w:u w:val="single"/>
                <w:lang w:val="en-US" w:eastAsia="en-US" w:bidi="ar-SA"/>
              </w:rPr>
              <w:t>rkelter@elpc.org</w:t>
            </w:r>
            <w:r>
              <w:fldChar w:fldCharType="end"/>
            </w:r>
          </w:p>
          <w:p w:rsidR="00CC79BB" w:rsidRPr="00CC79BB" w:rsidP="00CC79BB">
            <w:pPr>
              <w:autoSpaceDE w:val="0"/>
              <w:autoSpaceDN w:val="0"/>
              <w:adjustRightInd w:val="0"/>
              <w:spacing w:after="0" w:line="240" w:lineRule="auto"/>
              <w:ind w:left="432"/>
              <w:jc w:val="both"/>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"mailto:joliker@igsenergy.com" </w:instrText>
            </w:r>
            <w:r>
              <w:fldChar w:fldCharType="separate"/>
            </w:r>
            <w:r w:rsidRPr="00CC79BB">
              <w:rPr>
                <w:rStyle w:val="Hyperlink"/>
                <w:rFonts w:ascii="Times New Roman" w:hAnsi="Times New Roman" w:eastAsiaTheme="minorHAnsi" w:cs="Times New Roman"/>
                <w:color w:val="0000FF"/>
                <w:sz w:val="24"/>
                <w:szCs w:val="24"/>
                <w:u w:val="single"/>
                <w:lang w:val="en-US" w:eastAsia="en-US" w:bidi="ar-SA"/>
              </w:rPr>
              <w:t>joliker@igsenergy.com</w:t>
            </w:r>
            <w:r>
              <w:fldChar w:fldCharType="end"/>
            </w:r>
          </w:p>
          <w:p w:rsidR="00CC79BB" w:rsidRPr="00CC79BB" w:rsidP="00CC79BB">
            <w:pPr>
              <w:pStyle w:val="CommentText"/>
              <w:spacing w:after="0" w:line="240" w:lineRule="auto"/>
              <w:ind w:left="432"/>
              <w:rPr>
                <w:rStyle w:val="DefaultParagraphFont"/>
                <w:rFonts w:ascii="Times New Roman" w:eastAsia="Times New Roman" w:hAnsi="Times New Roman" w:cs="Times New Roman"/>
                <w:b/>
                <w:bCs/>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"mailto:swilliams@nrdc.org" </w:instrText>
            </w:r>
            <w:r>
              <w:fldChar w:fldCharType="separate"/>
            </w:r>
            <w:r w:rsidRPr="00CC79BB">
              <w:rPr>
                <w:rStyle w:val="Hyperlink"/>
                <w:rFonts w:ascii="Times New Roman" w:eastAsia="Times New Roman" w:hAnsi="Times New Roman" w:cs="Times New Roman"/>
                <w:color w:val="0000FF"/>
                <w:sz w:val="24"/>
                <w:szCs w:val="24"/>
                <w:u w:val="single"/>
                <w:lang w:val="en-US" w:eastAsia="en-US" w:bidi="ar-SA"/>
              </w:rPr>
              <w:t>swilliams@nrdc.org</w:t>
            </w:r>
            <w:r>
              <w:fldChar w:fldCharType="end"/>
            </w:r>
          </w:p>
        </w:tc>
      </w:tr>
    </w:tbl>
    <w:p w:rsidR="00CC79BB" w:rsidRPr="00E31CBD" w:rsidP="00270F3E">
      <w:pPr>
        <w:pStyle w:val="CommentText"/>
        <w:jc w:val="center"/>
        <w:rPr>
          <w:b/>
          <w:bCs/>
          <w:sz w:val="24"/>
          <w:szCs w:val="24"/>
          <w:u w:val="single"/>
        </w:rPr>
      </w:pPr>
    </w:p>
    <w:p w:rsidR="00270F3E" w:rsidRPr="0036043E" w:rsidP="00270F3E">
      <w:pPr>
        <w:pStyle w:val="CommentText"/>
        <w:jc w:val="center"/>
        <w:rPr>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270F3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270F3E" w:rsidRPr="0036043E" w:rsidP="00270F3E">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p>
        </w:tc>
        <w:tc>
          <w:tcPr>
            <w:tcW w:w="4428"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258"/>
              <w:gridCol w:w="1954"/>
            </w:tblGrid>
            <w:tr w:rsidTr="00CC79B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797" w:type="dxa"/>
                </w:tcPr>
                <w:p w:rsidR="00270F3E" w:rsidRPr="0036043E" w:rsidP="00270F3E">
                  <w:pPr>
                    <w:autoSpaceDE w:val="0"/>
                    <w:autoSpaceDN w:val="0"/>
                    <w:adjustRightInd w:val="0"/>
                    <w:spacing w:after="0" w:line="240" w:lineRule="auto"/>
                    <w:rPr>
                      <w:rStyle w:val="Hyperlink"/>
                      <w:rFonts w:ascii="Times New Roman" w:eastAsia="Times New Roman" w:hAnsi="Times New Roman" w:cs="Times New Roman"/>
                      <w:bCs/>
                      <w:color w:val="auto"/>
                      <w:sz w:val="24"/>
                      <w:szCs w:val="20"/>
                      <w:u w:val="single"/>
                      <w:lang w:val="en-US" w:eastAsia="en-US" w:bidi="ar-SA"/>
                    </w:rPr>
                  </w:pPr>
                  <w:r w:rsidRPr="0036043E">
                    <w:rPr>
                      <w:rStyle w:val="Hyperlink"/>
                      <w:rFonts w:ascii="Times New Roman" w:eastAsia="Times New Roman" w:hAnsi="Times New Roman" w:cs="Times New Roman"/>
                      <w:bCs/>
                      <w:color w:val="auto"/>
                      <w:sz w:val="24"/>
                      <w:szCs w:val="20"/>
                      <w:u w:val="single"/>
                      <w:lang w:val="en-US" w:eastAsia="en-US" w:bidi="ar-SA"/>
                    </w:rPr>
                    <w:t xml:space="preserve"> </w:t>
                  </w:r>
                </w:p>
                <w:p w:rsidR="00270F3E" w:rsidRPr="0036043E" w:rsidP="00270F3E">
                  <w:pPr>
                    <w:autoSpaceDE w:val="0"/>
                    <w:autoSpaceDN w:val="0"/>
                    <w:adjustRightInd w:val="0"/>
                    <w:spacing w:after="0" w:line="240" w:lineRule="auto"/>
                    <w:rPr>
                      <w:rStyle w:val="Hyperlink"/>
                      <w:rFonts w:ascii="Times New Roman" w:eastAsia="Times New Roman" w:hAnsi="Times New Roman" w:cs="Times New Roman"/>
                      <w:bCs/>
                      <w:color w:val="auto"/>
                      <w:sz w:val="24"/>
                      <w:szCs w:val="20"/>
                      <w:u w:val="single"/>
                      <w:lang w:val="en-US" w:eastAsia="en-US" w:bidi="ar-SA"/>
                    </w:rPr>
                  </w:pPr>
                </w:p>
                <w:tbl>
                  <w:tblPr>
                    <w:tblW w:w="0" w:type="auto"/>
                    <w:tblInd w:w="0" w:type="dxa"/>
                    <w:tblCellMar>
                      <w:top w:w="0" w:type="dxa"/>
                      <w:left w:w="108" w:type="dxa"/>
                      <w:bottom w:w="0" w:type="dxa"/>
                      <w:right w:w="108" w:type="dxa"/>
                    </w:tblCellMar>
                    <w:tblLook w:val="04A0"/>
                  </w:tblPr>
                  <w:tblGrid>
                    <w:gridCol w:w="2042"/>
                  </w:tblGrid>
                  <w:tr w:rsidTr="00270F3E">
                    <w:tblPrEx>
                      <w:tblW w:w="0" w:type="auto"/>
                      <w:tblInd w:w="0" w:type="dxa"/>
                      <w:tblCellMar>
                        <w:top w:w="0" w:type="dxa"/>
                        <w:left w:w="108" w:type="dxa"/>
                        <w:bottom w:w="0" w:type="dxa"/>
                        <w:right w:w="108" w:type="dxa"/>
                      </w:tblCellMar>
                      <w:tblLook w:val="04A0"/>
                    </w:tblPrEx>
                    <w:tc>
                      <w:tcPr>
                        <w:tcW w:w="4428" w:type="dxa"/>
                        <w:shd w:val="clear" w:color="auto" w:fill="auto"/>
                      </w:tcPr>
                      <w:p w:rsidR="00270F3E" w:rsidRPr="0036043E" w:rsidP="00270F3E">
                        <w:pPr>
                          <w:autoSpaceDE w:val="0"/>
                          <w:autoSpaceDN w:val="0"/>
                          <w:adjustRightInd w:val="0"/>
                          <w:spacing w:after="0" w:line="240" w:lineRule="auto"/>
                          <w:jc w:val="both"/>
                          <w:rPr>
                            <w:rStyle w:val="DefaultParagraphFont"/>
                            <w:rFonts w:ascii="Times New Roman" w:eastAsia="Times New Roman" w:hAnsi="Times New Roman" w:cs="Times New Roman"/>
                            <w:sz w:val="24"/>
                            <w:szCs w:val="20"/>
                            <w:lang w:val="en-US" w:eastAsia="en-US" w:bidi="ar-SA"/>
                          </w:rPr>
                        </w:pPr>
                      </w:p>
                      <w:p w:rsidR="00270F3E" w:rsidRPr="0036043E" w:rsidP="00270F3E">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p w:rsidR="00270F3E" w:rsidRPr="0036043E" w:rsidP="00270F3E">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p w:rsidR="00270F3E" w:rsidRPr="0036043E" w:rsidP="00270F3E">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p w:rsidR="00270F3E" w:rsidRPr="0036043E" w:rsidP="00270F3E">
                        <w:pPr>
                          <w:spacing w:after="0" w:line="240" w:lineRule="auto"/>
                          <w:jc w:val="center"/>
                          <w:rPr>
                            <w:rStyle w:val="DefaultParagraphFont"/>
                            <w:rFonts w:ascii="Times New Roman" w:eastAsia="Times New Roman" w:hAnsi="Times New Roman" w:cs="Times New Roman"/>
                            <w:bCs/>
                            <w:sz w:val="24"/>
                            <w:szCs w:val="20"/>
                            <w:lang w:val="en-US" w:eastAsia="en-US" w:bidi="ar-SA"/>
                          </w:rPr>
                        </w:pPr>
                      </w:p>
                    </w:tc>
                  </w:tr>
                </w:tbl>
                <w:p w:rsidR="00270F3E" w:rsidRPr="0036043E" w:rsidP="00270F3E">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p>
              </w:tc>
              <w:tc>
                <w:tcPr>
                  <w:tcW w:w="3417" w:type="dxa"/>
                </w:tcPr>
                <w:p w:rsidR="00270F3E" w:rsidRPr="0036043E" w:rsidP="00270F3E">
                  <w:pPr>
                    <w:autoSpaceDE w:val="0"/>
                    <w:autoSpaceDN w:val="0"/>
                    <w:adjustRightInd w:val="0"/>
                    <w:spacing w:after="0" w:line="240" w:lineRule="auto"/>
                    <w:jc w:val="both"/>
                    <w:rPr>
                      <w:rStyle w:val="DefaultParagraphFont"/>
                      <w:rFonts w:ascii="Times New Roman" w:eastAsia="Times New Roman" w:hAnsi="Times New Roman" w:cs="Times New Roman"/>
                      <w:sz w:val="24"/>
                      <w:szCs w:val="20"/>
                      <w:lang w:val="en-US" w:eastAsia="en-US" w:bidi="ar-SA"/>
                    </w:rPr>
                  </w:pPr>
                </w:p>
              </w:tc>
            </w:tr>
          </w:tbl>
          <w:p w:rsidR="00270F3E" w:rsidRPr="0036043E" w:rsidP="00270F3E">
            <w:pPr>
              <w:autoSpaceDE w:val="0"/>
              <w:autoSpaceDN w:val="0"/>
              <w:adjustRightInd w:val="0"/>
              <w:spacing w:after="0" w:line="240" w:lineRule="auto"/>
              <w:jc w:val="both"/>
              <w:rPr>
                <w:rStyle w:val="DefaultParagraphFont"/>
                <w:rFonts w:ascii="Times New Roman" w:eastAsia="Times New Roman" w:hAnsi="Times New Roman" w:cs="Times New Roman"/>
                <w:sz w:val="24"/>
                <w:szCs w:val="20"/>
                <w:lang w:val="en-US" w:eastAsia="en-US" w:bidi="ar-SA"/>
              </w:rPr>
            </w:pPr>
          </w:p>
        </w:tc>
      </w:tr>
    </w:tbl>
    <w:p w:rsidR="00270F3E">
      <w:pPr>
        <w:rPr>
          <w:szCs w:val="24"/>
        </w:rPr>
      </w:pPr>
    </w:p>
    <w:p w:rsidR="00270F3E" w:rsidP="00270F3E">
      <w:pPr>
        <w:jc w:val="center"/>
        <w:rPr>
          <w:szCs w:val="24"/>
        </w:rPr>
      </w:pPr>
    </w:p>
    <w:p w:rsidR="00270F3E" w:rsidP="00270F3E">
      <w:pPr>
        <w:jc w:val="center"/>
        <w:rPr>
          <w:szCs w:val="24"/>
        </w:rPr>
      </w:pPr>
    </w:p>
    <w:p w:rsidR="00270F3E" w:rsidP="00270F3E">
      <w:pPr>
        <w:rPr>
          <w:szCs w:val="24"/>
        </w:rPr>
      </w:pPr>
    </w:p>
    <w:sectPr w:rsidSect="00270F3E">
      <w:headerReference w:type="even" r:id="rId13"/>
      <w:headerReference w:type="default" r:id="rId14"/>
      <w:footerReference w:type="default" r:id="rId15"/>
      <w:headerReference w:type="firs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E0E" w:rsidRPr="0036043E">
    <w:pPr>
      <w:pStyle w:val="Footer"/>
      <w:jc w:val="center"/>
    </w:pPr>
  </w:p>
  <w:p w:rsidR="00700E0E" w:rsidRPr="00360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8888477"/>
      <w:docPartObj>
        <w:docPartGallery w:val="Page Numbers (Bottom of Page)"/>
        <w:docPartUnique/>
      </w:docPartObj>
    </w:sdtPr>
    <w:sdtEndPr>
      <w:rPr>
        <w:rFonts w:ascii="Times New Roman" w:hAnsi="Times New Roman" w:cs="Times New Roman"/>
        <w:noProof/>
      </w:rPr>
    </w:sdtEndPr>
    <w:sdtContent>
      <w:p w:rsidR="00700E0E" w:rsidRPr="0036043E">
        <w:pPr>
          <w:pStyle w:val="Footer"/>
          <w:jc w:val="center"/>
          <w:rPr>
            <w:rFonts w:ascii="Times New Roman" w:hAnsi="Times New Roman" w:cs="Times New Roman"/>
          </w:rPr>
        </w:pPr>
        <w:r w:rsidRPr="0036043E">
          <w:rPr>
            <w:rFonts w:ascii="Times New Roman" w:hAnsi="Times New Roman" w:cs="Times New Roman"/>
          </w:rPr>
          <w:fldChar w:fldCharType="begin"/>
        </w:r>
        <w:r w:rsidRPr="0036043E">
          <w:rPr>
            <w:rFonts w:ascii="Times New Roman" w:hAnsi="Times New Roman" w:cs="Times New Roman"/>
          </w:rPr>
          <w:instrText xml:space="preserve"> PAGE   \* MERGEFORMAT </w:instrText>
        </w:r>
        <w:r w:rsidRPr="0036043E">
          <w:rPr>
            <w:rFonts w:ascii="Times New Roman" w:hAnsi="Times New Roman" w:cs="Times New Roman"/>
          </w:rPr>
          <w:fldChar w:fldCharType="separate"/>
        </w:r>
        <w:r w:rsidR="006E6AC8">
          <w:rPr>
            <w:rFonts w:ascii="Times New Roman" w:hAnsi="Times New Roman" w:cs="Times New Roman"/>
            <w:noProof/>
          </w:rPr>
          <w:t>2</w:t>
        </w:r>
        <w:r w:rsidRPr="0036043E">
          <w:rPr>
            <w:rFonts w:ascii="Times New Roman" w:hAnsi="Times New Roman" w:cs="Times New Roman"/>
            <w:noProof/>
          </w:rPr>
          <w:fldChar w:fldCharType="end"/>
        </w:r>
      </w:p>
    </w:sdtContent>
  </w:sdt>
  <w:p w:rsidR="00700E0E" w:rsidRPr="003604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3E" w:rsidRPr="0036043E">
    <w:pPr>
      <w:pStyle w:val="Footer"/>
      <w:jc w:val="center"/>
    </w:pPr>
  </w:p>
  <w:p w:rsidR="00270F3E" w:rsidRPr="00360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7D2C">
      <w:r>
        <w:separator/>
      </w:r>
    </w:p>
  </w:footnote>
  <w:footnote w:type="continuationSeparator" w:id="1">
    <w:p w:rsidR="002E7D2C">
      <w:r>
        <w:continuationSeparator/>
      </w:r>
    </w:p>
  </w:footnote>
  <w:footnote w:id="2">
    <w:p w:rsidR="00072071" w:rsidP="00214A0E">
      <w:pPr>
        <w:pStyle w:val="FootnoteText"/>
        <w:spacing w:after="120"/>
      </w:pPr>
      <w:r>
        <w:rPr>
          <w:rStyle w:val="FootnoteReference"/>
        </w:rPr>
        <w:footnoteRef/>
      </w:r>
      <w:r>
        <w:t xml:space="preserve"> Motion to Strike Portions of the Post-Hearing Briefs of Ohio Edison Company, the Cleveland Electric Illuminating Company, and the Toledo Edison Company (Mar. 15, 2017) (the "Motion to Strike").</w:t>
      </w:r>
    </w:p>
  </w:footnote>
  <w:footnote w:id="3">
    <w:p w:rsidR="00854B24" w:rsidP="00214A0E">
      <w:pPr>
        <w:pStyle w:val="FootnoteText"/>
        <w:spacing w:after="120"/>
      </w:pPr>
      <w:r>
        <w:rPr>
          <w:rStyle w:val="FootnoteReference"/>
        </w:rPr>
        <w:footnoteRef/>
      </w:r>
      <w:r>
        <w:t xml:space="preserve"> [FirstEnergy's] Memorandum Contra to OCC/Staff's Motion to Strike Portions of the Companies' Post-Hearing Briefs (Mar. 30, 2017) (the "Memo Contra").</w:t>
      </w:r>
    </w:p>
  </w:footnote>
  <w:footnote w:id="4">
    <w:p w:rsidR="00E36CFE" w:rsidP="00214A0E">
      <w:pPr>
        <w:pStyle w:val="FootnoteText"/>
        <w:spacing w:after="120"/>
      </w:pPr>
      <w:r>
        <w:rPr>
          <w:rStyle w:val="FootnoteReference"/>
        </w:rPr>
        <w:footnoteRef/>
      </w:r>
      <w:r>
        <w:t xml:space="preserve"> Id.</w:t>
      </w:r>
    </w:p>
  </w:footnote>
  <w:footnote w:id="5">
    <w:p w:rsidR="00946209" w:rsidP="00214A0E">
      <w:pPr>
        <w:pStyle w:val="FootnoteText"/>
        <w:spacing w:after="120"/>
      </w:pPr>
      <w:r>
        <w:rPr>
          <w:rStyle w:val="FootnoteReference"/>
        </w:rPr>
        <w:footnoteRef/>
      </w:r>
      <w:r>
        <w:t xml:space="preserve"> Memo Contra at 1-4.</w:t>
      </w:r>
    </w:p>
  </w:footnote>
  <w:footnote w:id="6">
    <w:p w:rsidR="0002494E" w:rsidP="00214A0E">
      <w:pPr>
        <w:pStyle w:val="FootnoteText"/>
        <w:spacing w:after="120"/>
      </w:pPr>
      <w:r>
        <w:rPr>
          <w:rStyle w:val="FootnoteReference"/>
        </w:rPr>
        <w:footnoteRef/>
      </w:r>
      <w:r>
        <w:t xml:space="preserve"> Post-Hearing Brief of [FirstEnergy] in Support of the Stipulation and Recommendation at 12 (Mar. 21, 2017) (the "FirstEnergy Initial Brief").</w:t>
      </w:r>
    </w:p>
  </w:footnote>
  <w:footnote w:id="7">
    <w:p w:rsidR="001F44EA" w:rsidP="00214A0E">
      <w:pPr>
        <w:pStyle w:val="FootnoteText"/>
        <w:spacing w:after="120"/>
      </w:pPr>
      <w:r>
        <w:rPr>
          <w:rStyle w:val="FootnoteReference"/>
        </w:rPr>
        <w:footnoteRef/>
      </w:r>
      <w:r>
        <w:t xml:space="preserve"> Id.</w:t>
      </w:r>
    </w:p>
  </w:footnote>
  <w:footnote w:id="8">
    <w:p w:rsidR="001F44EA" w:rsidP="00214A0E">
      <w:pPr>
        <w:pStyle w:val="FootnoteText"/>
        <w:spacing w:after="120"/>
      </w:pPr>
      <w:r>
        <w:rPr>
          <w:rStyle w:val="FootnoteReference"/>
        </w:rPr>
        <w:footnoteRef/>
      </w:r>
      <w:r>
        <w:t xml:space="preserve"> FirstEnergy Initial Brief at 34, n. 152.</w:t>
      </w:r>
    </w:p>
  </w:footnote>
  <w:footnote w:id="9">
    <w:p w:rsidR="00AE6089" w:rsidP="00214A0E">
      <w:pPr>
        <w:pStyle w:val="FootnoteText"/>
        <w:spacing w:after="120"/>
      </w:pPr>
      <w:r>
        <w:rPr>
          <w:rStyle w:val="FootnoteReference"/>
        </w:rPr>
        <w:footnoteRef/>
      </w:r>
      <w:r>
        <w:t xml:space="preserve"> FirstEnergy Initial Brief at 48 n. 221.</w:t>
      </w:r>
    </w:p>
  </w:footnote>
  <w:footnote w:id="10">
    <w:p w:rsidR="00AE6089" w:rsidP="00214A0E">
      <w:pPr>
        <w:pStyle w:val="FootnoteText"/>
        <w:spacing w:after="120"/>
      </w:pPr>
      <w:r>
        <w:rPr>
          <w:rStyle w:val="FootnoteReference"/>
        </w:rPr>
        <w:footnoteRef/>
      </w:r>
      <w:r>
        <w:t xml:space="preserve"> Post-Hearing Reply Brief of [FirstEnergy] in Support of the Stipulation &amp; Recommendation at 36 (Mar. 3, 2017).</w:t>
      </w:r>
    </w:p>
  </w:footnote>
  <w:footnote w:id="11">
    <w:p w:rsidR="00AE6089" w:rsidP="00214A0E">
      <w:pPr>
        <w:pStyle w:val="FootnoteText"/>
        <w:spacing w:after="120"/>
      </w:pPr>
      <w:r>
        <w:rPr>
          <w:rStyle w:val="FootnoteReference"/>
        </w:rPr>
        <w:footnoteRef/>
      </w:r>
      <w:r>
        <w:t xml:space="preserve"> Indeed, the statement is false. </w:t>
      </w:r>
      <w:r w:rsidR="00F40FF7">
        <w:t>In FirstEnergy's current electric security plan case, FirstEnergy filed a memorandum contra the PUCO Staff's motion for continuance. See [FirstEnergy's] Memorandum Contra the Motion to Continue of the Staff of the Public Utilities Commission of Ohio, Case No. 14-1297-EL-SSO (Feb. 4, 2017). See also Case No. 16-576-EL-POR (Duke Energy Ohio opposing the PUCO Staff's procedural requests on three separate occasions).</w:t>
      </w:r>
    </w:p>
  </w:footnote>
  <w:footnote w:id="12">
    <w:p w:rsidR="00F40FF7" w:rsidP="00214A0E">
      <w:pPr>
        <w:pStyle w:val="FootnoteText"/>
        <w:spacing w:after="120"/>
      </w:pPr>
      <w:r>
        <w:rPr>
          <w:rStyle w:val="FootnoteReference"/>
        </w:rPr>
        <w:footnoteRef/>
      </w:r>
      <w:r>
        <w:t xml:space="preserve"> FirstEnergy Initial Brief at 48.</w:t>
      </w:r>
    </w:p>
  </w:footnote>
  <w:footnote w:id="13">
    <w:p w:rsidR="00A61A83" w:rsidP="00214A0E">
      <w:pPr>
        <w:pStyle w:val="FootnoteText"/>
        <w:spacing w:after="120"/>
      </w:pPr>
      <w:r>
        <w:rPr>
          <w:rStyle w:val="FootnoteReference"/>
        </w:rPr>
        <w:footnoteRef/>
      </w:r>
      <w:r>
        <w:t xml:space="preserve"> Id.</w:t>
      </w:r>
    </w:p>
  </w:footnote>
  <w:footnote w:id="14">
    <w:p w:rsidR="00A61A83" w:rsidP="00214A0E">
      <w:pPr>
        <w:pStyle w:val="FootnoteText"/>
        <w:spacing w:after="120"/>
      </w:pPr>
      <w:r>
        <w:rPr>
          <w:rStyle w:val="FootnoteReference"/>
        </w:rPr>
        <w:footnoteRef/>
      </w:r>
      <w:r>
        <w:t xml:space="preserve"> Id. at 48-49.</w:t>
      </w:r>
    </w:p>
  </w:footnote>
  <w:footnote w:id="15">
    <w:p w:rsidR="00A61A83" w:rsidP="00214A0E">
      <w:pPr>
        <w:pStyle w:val="FootnoteText"/>
        <w:spacing w:after="120"/>
      </w:pPr>
      <w:r>
        <w:rPr>
          <w:rStyle w:val="FootnoteReference"/>
        </w:rPr>
        <w:footnoteRef/>
      </w:r>
      <w:r>
        <w:t xml:space="preserve"> See FirstEnergy Reply Brief at 43.</w:t>
      </w:r>
    </w:p>
  </w:footnote>
  <w:footnote w:id="16">
    <w:p w:rsidR="00E534CE" w:rsidP="00214A0E">
      <w:pPr>
        <w:pStyle w:val="FootnoteText"/>
        <w:spacing w:after="120"/>
      </w:pPr>
      <w:r>
        <w:rPr>
          <w:rStyle w:val="FootnoteReference"/>
        </w:rPr>
        <w:footnoteRef/>
      </w:r>
      <w:r>
        <w:t xml:space="preserve"> FirstEnergy Initial Brief at 34-35, 35 n. 153-59; FirstEnergy Reply Brief at 6-7, 6-7 n. 29-34.</w:t>
      </w:r>
    </w:p>
  </w:footnote>
  <w:footnote w:id="17">
    <w:p w:rsidR="00E534CE" w:rsidP="00214A0E">
      <w:pPr>
        <w:pStyle w:val="FootnoteText"/>
        <w:spacing w:after="120"/>
      </w:pPr>
      <w:r>
        <w:rPr>
          <w:rStyle w:val="FootnoteReference"/>
        </w:rPr>
        <w:footnoteRef/>
      </w:r>
      <w:r>
        <w:t xml:space="preserve"> Motion to Strike at 5.</w:t>
      </w:r>
    </w:p>
  </w:footnote>
  <w:footnote w:id="18">
    <w:p w:rsidR="003D1B7C" w:rsidP="00214A0E">
      <w:pPr>
        <w:pStyle w:val="FootnoteText"/>
        <w:spacing w:after="120"/>
      </w:pPr>
      <w:r>
        <w:rPr>
          <w:rStyle w:val="FootnoteReference"/>
        </w:rPr>
        <w:footnoteRef/>
      </w:r>
      <w:r>
        <w:t xml:space="preserve"> Memo Contra at 8.</w:t>
      </w:r>
    </w:p>
  </w:footnote>
  <w:footnote w:id="19">
    <w:p w:rsidR="003D1B7C" w:rsidP="000E1810">
      <w:pPr>
        <w:pStyle w:val="FootnoteText"/>
        <w:spacing w:after="120"/>
      </w:pPr>
      <w:r>
        <w:rPr>
          <w:rStyle w:val="FootnoteReference"/>
        </w:rPr>
        <w:footnoteRef/>
      </w:r>
      <w:r>
        <w:t xml:space="preserve"> OCC Initial Brief at 25-26.</w:t>
      </w:r>
    </w:p>
  </w:footnote>
  <w:footnote w:id="20">
    <w:p w:rsidR="003D1B7C" w:rsidP="000E1810">
      <w:pPr>
        <w:pStyle w:val="FootnoteText"/>
        <w:spacing w:after="120"/>
      </w:pPr>
      <w:r>
        <w:rPr>
          <w:rStyle w:val="FootnoteReference"/>
        </w:rPr>
        <w:footnoteRef/>
      </w:r>
      <w:r>
        <w:t xml:space="preserve"> Id. at 26.</w:t>
      </w:r>
    </w:p>
  </w:footnote>
  <w:footnote w:id="21">
    <w:p w:rsidR="004D508D" w:rsidP="000E1810">
      <w:pPr>
        <w:pStyle w:val="FootnoteText"/>
        <w:spacing w:after="120"/>
      </w:pPr>
      <w:r>
        <w:rPr>
          <w:rStyle w:val="FootnoteReference"/>
        </w:rPr>
        <w:footnoteRef/>
      </w:r>
      <w:r>
        <w:t xml:space="preserve"> See Memo Contra at 6 (quoting Tr. at 438:3-5) (emphasis added).</w:t>
      </w:r>
    </w:p>
  </w:footnote>
  <w:footnote w:id="22">
    <w:p w:rsidR="00F91F59" w:rsidP="000E1810">
      <w:pPr>
        <w:pStyle w:val="FootnoteText"/>
        <w:spacing w:after="120"/>
      </w:pPr>
      <w:r>
        <w:rPr>
          <w:rStyle w:val="FootnoteReference"/>
        </w:rPr>
        <w:footnoteRef/>
      </w:r>
      <w:r>
        <w:t xml:space="preserve"> Case No. 16-1309-GA-UNC.</w:t>
      </w:r>
    </w:p>
  </w:footnote>
  <w:footnote w:id="23">
    <w:p w:rsidR="004D6F22" w:rsidP="00214A0E">
      <w:pPr>
        <w:pStyle w:val="FootnoteText"/>
        <w:spacing w:after="120"/>
      </w:pPr>
      <w:r>
        <w:rPr>
          <w:rStyle w:val="FootnoteReference"/>
        </w:rPr>
        <w:footnoteRef/>
      </w:r>
      <w:r>
        <w:t xml:space="preserve"> Opinion &amp; Order ¶ 33 (Dec. 21, 2016).</w:t>
      </w:r>
    </w:p>
  </w:footnote>
  <w:footnote w:id="24">
    <w:p w:rsidR="006A00E5" w:rsidP="00214A0E">
      <w:pPr>
        <w:pStyle w:val="FootnoteText"/>
        <w:spacing w:after="120"/>
      </w:pPr>
      <w:r>
        <w:rPr>
          <w:rStyle w:val="FootnoteReference"/>
        </w:rPr>
        <w:footnoteRef/>
      </w:r>
      <w:r>
        <w:t xml:space="preserve"> Id. ¶ 35.</w:t>
      </w:r>
    </w:p>
  </w:footnote>
  <w:footnote w:id="25">
    <w:p w:rsidR="000D7615" w:rsidP="00214A0E">
      <w:pPr>
        <w:pStyle w:val="FootnoteText"/>
        <w:spacing w:after="120"/>
      </w:pPr>
      <w:r>
        <w:rPr>
          <w:rStyle w:val="FootnoteReference"/>
        </w:rPr>
        <w:footnoteRef/>
      </w:r>
      <w:r>
        <w:t xml:space="preserve"> FirstEnergy Initial Brief at 49.</w:t>
      </w:r>
    </w:p>
  </w:footnote>
  <w:footnote w:id="26">
    <w:p w:rsidR="000D7615" w:rsidP="00214A0E">
      <w:pPr>
        <w:pStyle w:val="FootnoteText"/>
        <w:spacing w:after="120"/>
      </w:pPr>
      <w:r>
        <w:rPr>
          <w:rStyle w:val="FootnoteReference"/>
        </w:rPr>
        <w:footnoteRef/>
      </w:r>
      <w:r>
        <w:t xml:space="preserve"> Id.</w:t>
      </w:r>
    </w:p>
  </w:footnote>
  <w:footnote w:id="27">
    <w:p w:rsidR="002A52A3" w:rsidP="00214A0E">
      <w:pPr>
        <w:pStyle w:val="FootnoteText"/>
        <w:spacing w:after="120"/>
      </w:pPr>
      <w:r>
        <w:rPr>
          <w:rStyle w:val="FootnoteReference"/>
        </w:rPr>
        <w:footnoteRef/>
      </w:r>
      <w:r>
        <w:t xml:space="preserve"> FirstEnergy Initial Brief at 58.</w:t>
      </w:r>
    </w:p>
  </w:footnote>
  <w:footnote w:id="28">
    <w:p w:rsidR="002A52A3" w:rsidP="00214A0E">
      <w:pPr>
        <w:pStyle w:val="FootnoteText"/>
        <w:spacing w:after="120"/>
      </w:pPr>
      <w:r>
        <w:rPr>
          <w:rStyle w:val="FootnoteReference"/>
        </w:rPr>
        <w:footnoteRef/>
      </w:r>
      <w:r>
        <w:t xml:space="preserve"> Id.</w:t>
      </w:r>
    </w:p>
  </w:footnote>
  <w:footnote w:id="29">
    <w:p w:rsidR="002A52A3" w:rsidP="00214A0E">
      <w:pPr>
        <w:pStyle w:val="FootnoteText"/>
        <w:spacing w:after="120"/>
      </w:pPr>
      <w:r>
        <w:rPr>
          <w:rStyle w:val="FootnoteReference"/>
        </w:rPr>
        <w:footnoteRef/>
      </w:r>
      <w:r>
        <w:t xml:space="preserve"> Settlement at 3.</w:t>
      </w:r>
    </w:p>
  </w:footnote>
  <w:footnote w:id="30">
    <w:p w:rsidR="002A52A3" w:rsidP="00214A0E">
      <w:pPr>
        <w:pStyle w:val="FootnoteText"/>
        <w:spacing w:after="120"/>
      </w:pPr>
      <w:r>
        <w:rPr>
          <w:rStyle w:val="FootnoteReference"/>
        </w:rPr>
        <w:footnoteRef/>
      </w:r>
      <w:r>
        <w:t xml:space="preserve"> Memo Contra at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E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D24431E2"/>
    <w:lvl w:ilvl="0">
      <w:start w:val="1"/>
      <w:numFmt w:val="decimal"/>
      <w:lvlText w:val="%1."/>
      <w:lvlJc w:val="left"/>
      <w:pPr>
        <w:tabs>
          <w:tab w:val="num" w:pos="1080"/>
        </w:tabs>
        <w:ind w:left="1080" w:hanging="360"/>
      </w:pPr>
    </w:lvl>
  </w:abstractNum>
  <w:abstractNum w:abstractNumId="1">
    <w:nsid w:val="FFFFFF7F"/>
    <w:multiLevelType w:val="singleLevel"/>
    <w:tmpl w:val="37D65FA6"/>
    <w:lvl w:ilvl="0">
      <w:start w:val="1"/>
      <w:numFmt w:val="decimal"/>
      <w:lvlText w:val="%1."/>
      <w:lvlJc w:val="left"/>
      <w:pPr>
        <w:tabs>
          <w:tab w:val="num" w:pos="720"/>
        </w:tabs>
        <w:ind w:left="720" w:hanging="360"/>
      </w:pPr>
    </w:lvl>
  </w:abstractNum>
  <w:abstractNum w:abstractNumId="2">
    <w:nsid w:val="FFFFFF80"/>
    <w:multiLevelType w:val="singleLevel"/>
    <w:tmpl w:val="68CAA944"/>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CA3A8634"/>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5EAC5B1C"/>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FCC2653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E7646A08"/>
    <w:lvl w:ilvl="0">
      <w:start w:val="1"/>
      <w:numFmt w:val="decimal"/>
      <w:lvlText w:val="%1."/>
      <w:lvlJc w:val="left"/>
      <w:pPr>
        <w:tabs>
          <w:tab w:val="num" w:pos="360"/>
        </w:tabs>
        <w:ind w:left="360" w:hanging="360"/>
      </w:pPr>
    </w:lvl>
  </w:abstractNum>
  <w:abstractNum w:abstractNumId="7">
    <w:nsid w:val="FFFFFF89"/>
    <w:multiLevelType w:val="singleLevel"/>
    <w:tmpl w:val="FD6242CC"/>
    <w:lvl w:ilvl="0">
      <w:start w:val="1"/>
      <w:numFmt w:val="bullet"/>
      <w:lvlText w:val=""/>
      <w:lvlJc w:val="left"/>
      <w:pPr>
        <w:tabs>
          <w:tab w:val="num" w:pos="360"/>
        </w:tabs>
        <w:ind w:left="360" w:hanging="360"/>
      </w:pPr>
      <w:rPr>
        <w:rFonts w:ascii="Symbol" w:hAnsi="Symbol" w:hint="default"/>
      </w:rPr>
    </w:lvl>
  </w:abstractNum>
  <w:abstractNum w:abstractNumId="8">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3A872F7"/>
    <w:multiLevelType w:val="hybridMultilevel"/>
    <w:tmpl w:val="6EB478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D7B6992"/>
    <w:multiLevelType w:val="hybridMultilevel"/>
    <w:tmpl w:val="A87C30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C1456DA"/>
    <w:multiLevelType w:val="hybridMultilevel"/>
    <w:tmpl w:val="A4D2779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4">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287D"/>
    <w:multiLevelType w:val="hybridMultilevel"/>
    <w:tmpl w:val="1760228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8">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9"/>
  </w:num>
  <w:num w:numId="2">
    <w:abstractNumId w:val="10"/>
  </w:num>
  <w:num w:numId="3">
    <w:abstractNumId w:val="27"/>
  </w:num>
  <w:num w:numId="4">
    <w:abstractNumId w:val="14"/>
  </w:num>
  <w:num w:numId="5">
    <w:abstractNumId w:val="18"/>
  </w:num>
  <w:num w:numId="6">
    <w:abstractNumId w:val="24"/>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21"/>
  </w:num>
  <w:num w:numId="16">
    <w:abstractNumId w:val="20"/>
  </w:num>
  <w:num w:numId="17">
    <w:abstractNumId w:val="22"/>
  </w:num>
  <w:num w:numId="18">
    <w:abstractNumId w:val="23"/>
  </w:num>
  <w:num w:numId="19">
    <w:abstractNumId w:val="13"/>
  </w:num>
  <w:num w:numId="20">
    <w:abstractNumId w:val="26"/>
  </w:num>
  <w:num w:numId="21">
    <w:abstractNumId w:val="17"/>
  </w:num>
  <w:num w:numId="22">
    <w:abstractNumId w:val="28"/>
  </w:num>
  <w:num w:numId="23">
    <w:abstractNumId w:val="8"/>
  </w:num>
  <w:num w:numId="24">
    <w:abstractNumId w:val="15"/>
  </w:num>
  <w:num w:numId="25">
    <w:abstractNumId w:val="11"/>
  </w:num>
  <w:num w:numId="26">
    <w:abstractNumId w:val="25"/>
  </w:num>
  <w:num w:numId="27">
    <w:abstractNumId w:val="12"/>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405FB"/>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0405FB"/>
    <w:pPr>
      <w:keepNext/>
      <w:spacing w:after="240"/>
      <w:ind w:left="1440" w:right="72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unhideWhenUsed/>
    <w:qFormat/>
    <w:rsid w:val="008B11F3"/>
    <w:pPr>
      <w:keepNext/>
      <w:keepLines/>
      <w:spacing w:after="240"/>
      <w:ind w:left="2160" w:right="720" w:hanging="720"/>
      <w:outlineLvl w:val="2"/>
    </w:pPr>
    <w:rPr>
      <w:rFonts w:ascii="Times New Roman Bold" w:hAnsi="Times New Roman Bold" w:eastAsiaTheme="majorEastAsia" w:cstheme="majorBidi"/>
      <w:b/>
      <w:bCs/>
    </w:rPr>
  </w:style>
  <w:style w:type="paragraph" w:styleId="Heading4">
    <w:name w:val="heading 4"/>
    <w:basedOn w:val="Normal"/>
    <w:next w:val="Normal"/>
    <w:link w:val="Heading4Char"/>
    <w:autoRedefine/>
    <w:uiPriority w:val="9"/>
    <w:unhideWhenUsed/>
    <w:qFormat/>
    <w:rsid w:val="00CE0FD6"/>
    <w:pPr>
      <w:keepNext/>
      <w:keepLines/>
      <w:spacing w:after="240"/>
      <w:ind w:left="288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autoRedefine/>
    <w:uiPriority w:val="9"/>
    <w:unhideWhenUsed/>
    <w:qFormat/>
    <w:rsid w:val="000F5657"/>
    <w:pPr>
      <w:keepNext/>
      <w:keepLines/>
      <w:spacing w:after="240"/>
      <w:ind w:left="3600" w:right="720" w:hanging="720"/>
      <w:outlineLvl w:val="4"/>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5FB"/>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rsid w:val="000405FB"/>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8B11F3"/>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8B11F3"/>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50235"/>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uiPriority w:val="59"/>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E0FD6"/>
    <w:rPr>
      <w:rFonts w:ascii="Times New Roman Bold" w:hAnsi="Times New Roman Bold" w:eastAsiaTheme="majorEastAsia" w:cstheme="majorBidi"/>
      <w:b/>
      <w:bCs/>
      <w:iCs/>
      <w:sz w:val="24"/>
      <w:szCs w:val="20"/>
    </w:rPr>
  </w:style>
  <w:style w:type="character" w:customStyle="1" w:styleId="Heading5Char">
    <w:name w:val="Heading 5 Char"/>
    <w:basedOn w:val="DefaultParagraphFont"/>
    <w:link w:val="Heading5"/>
    <w:uiPriority w:val="9"/>
    <w:rsid w:val="000F5657"/>
    <w:rPr>
      <w:rFonts w:ascii="Times New Roman Bold" w:hAnsi="Times New Roman Bold" w:eastAsiaTheme="majorEastAsia" w:cstheme="majorBidi"/>
      <w:b/>
      <w:sz w:val="24"/>
      <w:szCs w:val="20"/>
    </w:rPr>
  </w:style>
  <w:style w:type="paragraph" w:styleId="TOC3">
    <w:name w:val="toc 3"/>
    <w:basedOn w:val="Normal"/>
    <w:next w:val="Normal"/>
    <w:autoRedefine/>
    <w:uiPriority w:val="39"/>
    <w:unhideWhenUsed/>
    <w:qFormat/>
    <w:rsid w:val="00350235"/>
    <w:pPr>
      <w:tabs>
        <w:tab w:val="decimal" w:leader="dot" w:pos="8640"/>
      </w:tabs>
      <w:spacing w:after="240"/>
      <w:ind w:left="2160" w:hanging="720"/>
      <w:outlineLvl w:val="2"/>
    </w:pPr>
  </w:style>
  <w:style w:type="paragraph" w:styleId="TOC4">
    <w:name w:val="toc 4"/>
    <w:basedOn w:val="Normal"/>
    <w:next w:val="Normal"/>
    <w:autoRedefine/>
    <w:uiPriority w:val="39"/>
    <w:unhideWhenUsed/>
    <w:qFormat/>
    <w:rsid w:val="00350235"/>
    <w:pPr>
      <w:tabs>
        <w:tab w:val="decimal" w:leader="dot" w:pos="8640"/>
      </w:tabs>
      <w:spacing w:after="240"/>
      <w:ind w:left="2880" w:hanging="720"/>
    </w:pPr>
  </w:style>
  <w:style w:type="paragraph" w:styleId="TOC5">
    <w:name w:val="toc 5"/>
    <w:basedOn w:val="Normal"/>
    <w:next w:val="Normal"/>
    <w:autoRedefine/>
    <w:uiPriority w:val="39"/>
    <w:unhideWhenUsed/>
    <w:qFormat/>
    <w:rsid w:val="00CE0FD6"/>
    <w:pPr>
      <w:tabs>
        <w:tab w:val="decimal" w:leader="dot" w:pos="8640"/>
      </w:tabs>
      <w:spacing w:after="240"/>
      <w:ind w:left="3600" w:hanging="72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header" Target="head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 16-743 - Reply ISO Motion to Strike  (00041226.DOCX;2)</vt:lpstr>
    </vt:vector>
  </TitlesOfParts>
  <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2017-04-06T20:03:29Z</dcterms:created>
  <dcterms:modified xsi:type="dcterms:W3CDTF">2017-04-06T20:03:29Z</dcterms:modified>
</cp:coreProperties>
</file>