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2F" w:rsidRPr="00775885" w:rsidRDefault="00CF072F" w:rsidP="00DF0A0C">
      <w:pPr>
        <w:pStyle w:val="HTMLPreformatted"/>
        <w:jc w:val="center"/>
        <w:rPr>
          <w:rFonts w:ascii="Times New Roman" w:hAnsi="Times New Roman" w:cs="Times New Roman"/>
          <w:b/>
          <w:bCs/>
          <w:sz w:val="24"/>
          <w:szCs w:val="24"/>
        </w:rPr>
      </w:pPr>
      <w:bookmarkStart w:id="0" w:name="_GoBack"/>
      <w:bookmarkEnd w:id="0"/>
      <w:r w:rsidRPr="00775885">
        <w:rPr>
          <w:rFonts w:ascii="Times New Roman" w:hAnsi="Times New Roman" w:cs="Times New Roman"/>
          <w:b/>
          <w:bCs/>
          <w:sz w:val="24"/>
          <w:szCs w:val="24"/>
        </w:rPr>
        <w:t>BEFORE</w:t>
      </w:r>
    </w:p>
    <w:p w:rsidR="00CF072F" w:rsidRPr="00775885" w:rsidRDefault="00CF072F" w:rsidP="00DF0A0C">
      <w:pPr>
        <w:pStyle w:val="HTMLPreformatted"/>
        <w:jc w:val="center"/>
        <w:rPr>
          <w:rFonts w:ascii="Times New Roman" w:hAnsi="Times New Roman" w:cs="Times New Roman"/>
          <w:sz w:val="24"/>
          <w:szCs w:val="24"/>
        </w:rPr>
      </w:pPr>
      <w:r w:rsidRPr="00775885">
        <w:rPr>
          <w:rFonts w:ascii="Times New Roman" w:hAnsi="Times New Roman" w:cs="Times New Roman"/>
          <w:b/>
          <w:bCs/>
          <w:sz w:val="24"/>
          <w:szCs w:val="24"/>
        </w:rPr>
        <w:t>THE PUBLIC UTILITIES COMMISSION OF OHIO</w:t>
      </w:r>
    </w:p>
    <w:p w:rsidR="00CF072F" w:rsidRPr="00775885" w:rsidRDefault="00CF072F" w:rsidP="00DF0A0C">
      <w:pPr>
        <w:pStyle w:val="HTMLPreformatted"/>
        <w:rPr>
          <w:rFonts w:ascii="Times New Roman" w:hAnsi="Times New Roman" w:cs="Times New Roman"/>
          <w:sz w:val="24"/>
          <w:szCs w:val="24"/>
        </w:rPr>
      </w:pPr>
    </w:p>
    <w:tbl>
      <w:tblPr>
        <w:tblW w:w="9092" w:type="dxa"/>
        <w:tblInd w:w="-106" w:type="dxa"/>
        <w:tblLook w:val="01E0" w:firstRow="1" w:lastRow="1" w:firstColumn="1" w:lastColumn="1" w:noHBand="0" w:noVBand="0"/>
      </w:tblPr>
      <w:tblGrid>
        <w:gridCol w:w="4332"/>
        <w:gridCol w:w="360"/>
        <w:gridCol w:w="4400"/>
      </w:tblGrid>
      <w:tr w:rsidR="00CF072F" w:rsidRPr="0021740C">
        <w:trPr>
          <w:trHeight w:val="807"/>
        </w:trPr>
        <w:tc>
          <w:tcPr>
            <w:tcW w:w="4332" w:type="dxa"/>
          </w:tcPr>
          <w:p w:rsidR="00CF072F" w:rsidRPr="00775885" w:rsidRDefault="00CF072F" w:rsidP="00251D3D">
            <w:pPr>
              <w:pStyle w:val="HTMLPreformatted"/>
              <w:rPr>
                <w:rFonts w:ascii="Times New Roman" w:hAnsi="Times New Roman" w:cs="Times New Roman"/>
                <w:sz w:val="24"/>
                <w:szCs w:val="24"/>
              </w:rPr>
            </w:pPr>
            <w:r w:rsidRPr="00775885">
              <w:rPr>
                <w:rFonts w:ascii="Times New Roman" w:hAnsi="Times New Roman" w:cs="Times New Roman"/>
                <w:sz w:val="24"/>
                <w:szCs w:val="24"/>
              </w:rPr>
              <w:t>In the Matter of the Application of Columbus Southern Power Company and Ohio Power Company for Authority to Recover Costs Associated with the Ultimate Construction and Operation of an Integrated Gasification Combined Cycle Electric Generation Facility.</w:t>
            </w:r>
          </w:p>
          <w:p w:rsidR="00CF072F" w:rsidRPr="00775885" w:rsidRDefault="00CF072F" w:rsidP="00251D3D">
            <w:pPr>
              <w:pStyle w:val="HTMLPreformatted"/>
              <w:rPr>
                <w:rFonts w:ascii="Times New Roman" w:hAnsi="Times New Roman" w:cs="Times New Roman"/>
                <w:sz w:val="24"/>
                <w:szCs w:val="24"/>
              </w:rPr>
            </w:pPr>
          </w:p>
        </w:tc>
        <w:tc>
          <w:tcPr>
            <w:tcW w:w="360" w:type="dxa"/>
          </w:tcPr>
          <w:p w:rsidR="00CF072F" w:rsidRPr="00775885" w:rsidRDefault="00CF072F" w:rsidP="00251D3D">
            <w:pPr>
              <w:pStyle w:val="HTMLPreformatted"/>
              <w:rPr>
                <w:rFonts w:ascii="Times New Roman" w:hAnsi="Times New Roman" w:cs="Times New Roman"/>
                <w:sz w:val="24"/>
                <w:szCs w:val="24"/>
              </w:rPr>
            </w:pPr>
            <w:r w:rsidRPr="00775885">
              <w:rPr>
                <w:rFonts w:ascii="Times New Roman" w:hAnsi="Times New Roman" w:cs="Times New Roman"/>
                <w:sz w:val="24"/>
                <w:szCs w:val="24"/>
              </w:rPr>
              <w:t>)</w:t>
            </w:r>
          </w:p>
          <w:p w:rsidR="00CF072F" w:rsidRPr="00775885" w:rsidRDefault="00CF072F" w:rsidP="00251D3D">
            <w:pPr>
              <w:pStyle w:val="HTMLPreformatted"/>
              <w:rPr>
                <w:rFonts w:ascii="Times New Roman" w:hAnsi="Times New Roman" w:cs="Times New Roman"/>
                <w:sz w:val="24"/>
                <w:szCs w:val="24"/>
              </w:rPr>
            </w:pPr>
            <w:r w:rsidRPr="00775885">
              <w:rPr>
                <w:rFonts w:ascii="Times New Roman" w:hAnsi="Times New Roman" w:cs="Times New Roman"/>
                <w:sz w:val="24"/>
                <w:szCs w:val="24"/>
              </w:rPr>
              <w:t>)</w:t>
            </w:r>
          </w:p>
          <w:p w:rsidR="00CF072F" w:rsidRPr="00775885" w:rsidRDefault="00CF072F" w:rsidP="00251D3D">
            <w:pPr>
              <w:pStyle w:val="HTMLPreformatted"/>
              <w:rPr>
                <w:rFonts w:ascii="Times New Roman" w:hAnsi="Times New Roman" w:cs="Times New Roman"/>
                <w:sz w:val="24"/>
                <w:szCs w:val="24"/>
              </w:rPr>
            </w:pPr>
            <w:r w:rsidRPr="00775885">
              <w:rPr>
                <w:rFonts w:ascii="Times New Roman" w:hAnsi="Times New Roman" w:cs="Times New Roman"/>
                <w:sz w:val="24"/>
                <w:szCs w:val="24"/>
              </w:rPr>
              <w:t>)</w:t>
            </w:r>
          </w:p>
          <w:p w:rsidR="00CF072F" w:rsidRPr="00775885" w:rsidRDefault="00CF072F" w:rsidP="00251D3D">
            <w:pPr>
              <w:pStyle w:val="HTMLPreformatted"/>
              <w:rPr>
                <w:rFonts w:ascii="Times New Roman" w:hAnsi="Times New Roman" w:cs="Times New Roman"/>
                <w:sz w:val="24"/>
                <w:szCs w:val="24"/>
              </w:rPr>
            </w:pPr>
            <w:r w:rsidRPr="00775885">
              <w:rPr>
                <w:rFonts w:ascii="Times New Roman" w:hAnsi="Times New Roman" w:cs="Times New Roman"/>
                <w:sz w:val="24"/>
                <w:szCs w:val="24"/>
              </w:rPr>
              <w:t>)</w:t>
            </w:r>
          </w:p>
          <w:p w:rsidR="00CF072F" w:rsidRPr="00775885" w:rsidRDefault="00CF072F" w:rsidP="00251D3D">
            <w:pPr>
              <w:pStyle w:val="HTMLPreformatted"/>
              <w:rPr>
                <w:rFonts w:ascii="Times New Roman" w:hAnsi="Times New Roman" w:cs="Times New Roman"/>
                <w:sz w:val="24"/>
                <w:szCs w:val="24"/>
              </w:rPr>
            </w:pPr>
            <w:r w:rsidRPr="00775885">
              <w:rPr>
                <w:rFonts w:ascii="Times New Roman" w:hAnsi="Times New Roman" w:cs="Times New Roman"/>
                <w:sz w:val="24"/>
                <w:szCs w:val="24"/>
              </w:rPr>
              <w:t>)</w:t>
            </w:r>
          </w:p>
          <w:p w:rsidR="00CF072F" w:rsidRPr="00775885" w:rsidRDefault="00CF072F" w:rsidP="00251D3D">
            <w:pPr>
              <w:pStyle w:val="HTMLPreformatted"/>
              <w:rPr>
                <w:rFonts w:ascii="Times New Roman" w:hAnsi="Times New Roman" w:cs="Times New Roman"/>
                <w:sz w:val="24"/>
                <w:szCs w:val="24"/>
              </w:rPr>
            </w:pPr>
            <w:r w:rsidRPr="00775885">
              <w:rPr>
                <w:rFonts w:ascii="Times New Roman" w:hAnsi="Times New Roman" w:cs="Times New Roman"/>
                <w:sz w:val="24"/>
                <w:szCs w:val="24"/>
              </w:rPr>
              <w:t>)</w:t>
            </w:r>
          </w:p>
          <w:p w:rsidR="00CF072F" w:rsidRPr="00775885" w:rsidRDefault="00CF072F" w:rsidP="00251D3D">
            <w:pPr>
              <w:pStyle w:val="HTMLPreformatted"/>
              <w:rPr>
                <w:rFonts w:ascii="Times New Roman" w:hAnsi="Times New Roman" w:cs="Times New Roman"/>
                <w:sz w:val="24"/>
                <w:szCs w:val="24"/>
              </w:rPr>
            </w:pPr>
            <w:r w:rsidRPr="00775885">
              <w:rPr>
                <w:rFonts w:ascii="Times New Roman" w:hAnsi="Times New Roman" w:cs="Times New Roman"/>
                <w:sz w:val="24"/>
                <w:szCs w:val="24"/>
              </w:rPr>
              <w:t>)</w:t>
            </w:r>
          </w:p>
        </w:tc>
        <w:tc>
          <w:tcPr>
            <w:tcW w:w="4400" w:type="dxa"/>
          </w:tcPr>
          <w:p w:rsidR="00CF072F" w:rsidRDefault="00CF072F" w:rsidP="00251D3D">
            <w:pPr>
              <w:pStyle w:val="HTMLPreformatted"/>
              <w:rPr>
                <w:rFonts w:ascii="Times New Roman" w:hAnsi="Times New Roman" w:cs="Times New Roman"/>
                <w:sz w:val="24"/>
                <w:szCs w:val="24"/>
              </w:rPr>
            </w:pPr>
          </w:p>
          <w:p w:rsidR="00C55DB6" w:rsidRDefault="00C55DB6" w:rsidP="00251D3D">
            <w:pPr>
              <w:pStyle w:val="HTMLPreformatted"/>
              <w:rPr>
                <w:rFonts w:ascii="Times New Roman" w:hAnsi="Times New Roman" w:cs="Times New Roman"/>
                <w:sz w:val="24"/>
                <w:szCs w:val="24"/>
              </w:rPr>
            </w:pPr>
          </w:p>
          <w:p w:rsidR="00C55DB6" w:rsidRPr="00775885" w:rsidRDefault="00C55DB6" w:rsidP="00251D3D">
            <w:pPr>
              <w:pStyle w:val="HTMLPreformatted"/>
              <w:rPr>
                <w:rFonts w:ascii="Times New Roman" w:hAnsi="Times New Roman" w:cs="Times New Roman"/>
                <w:sz w:val="24"/>
                <w:szCs w:val="24"/>
              </w:rPr>
            </w:pPr>
          </w:p>
          <w:p w:rsidR="00CF072F" w:rsidRPr="00775885" w:rsidRDefault="00CF072F" w:rsidP="00251D3D">
            <w:pPr>
              <w:pStyle w:val="HTMLPreformatted"/>
              <w:rPr>
                <w:rFonts w:ascii="Times New Roman" w:hAnsi="Times New Roman" w:cs="Times New Roman"/>
                <w:sz w:val="24"/>
                <w:szCs w:val="24"/>
              </w:rPr>
            </w:pPr>
            <w:r w:rsidRPr="00775885">
              <w:rPr>
                <w:rFonts w:ascii="Times New Roman" w:hAnsi="Times New Roman" w:cs="Times New Roman"/>
                <w:sz w:val="24"/>
                <w:szCs w:val="24"/>
              </w:rPr>
              <w:t>Case No. 05-376-EL-UNC</w:t>
            </w:r>
          </w:p>
          <w:p w:rsidR="00CF072F" w:rsidRPr="00775885" w:rsidRDefault="00CF072F" w:rsidP="00251D3D">
            <w:pPr>
              <w:pStyle w:val="HTMLPreformatted"/>
              <w:rPr>
                <w:rFonts w:ascii="Times New Roman" w:hAnsi="Times New Roman" w:cs="Times New Roman"/>
                <w:sz w:val="24"/>
                <w:szCs w:val="24"/>
              </w:rPr>
            </w:pPr>
          </w:p>
          <w:p w:rsidR="00CF072F" w:rsidRPr="00775885" w:rsidRDefault="00CF072F" w:rsidP="00251D3D">
            <w:pPr>
              <w:pStyle w:val="HTMLPreformatted"/>
              <w:rPr>
                <w:rFonts w:ascii="Times New Roman" w:hAnsi="Times New Roman" w:cs="Times New Roman"/>
                <w:sz w:val="24"/>
                <w:szCs w:val="24"/>
              </w:rPr>
            </w:pPr>
          </w:p>
        </w:tc>
      </w:tr>
    </w:tbl>
    <w:p w:rsidR="00CF072F" w:rsidRPr="00775885" w:rsidRDefault="00CF072F" w:rsidP="00DF0A0C">
      <w:pPr>
        <w:pStyle w:val="HTMLPreformatted"/>
        <w:pBdr>
          <w:top w:val="single" w:sz="12" w:space="1" w:color="auto"/>
        </w:pBdr>
        <w:rPr>
          <w:rFonts w:ascii="Times New Roman" w:hAnsi="Times New Roman" w:cs="Times New Roman"/>
          <w:sz w:val="24"/>
          <w:szCs w:val="24"/>
        </w:rPr>
      </w:pPr>
    </w:p>
    <w:p w:rsidR="00CF072F" w:rsidRDefault="00CF072F" w:rsidP="00DF0A0C">
      <w:pPr>
        <w:tabs>
          <w:tab w:val="center" w:pos="4320"/>
        </w:tabs>
        <w:spacing w:after="0" w:line="240" w:lineRule="auto"/>
        <w:jc w:val="center"/>
        <w:rPr>
          <w:rFonts w:ascii="Times New Roman" w:hAnsi="Times New Roman"/>
          <w:b/>
          <w:bCs/>
          <w:sz w:val="24"/>
          <w:szCs w:val="24"/>
        </w:rPr>
      </w:pPr>
      <w:r>
        <w:rPr>
          <w:rFonts w:ascii="Times New Roman" w:hAnsi="Times New Roman"/>
          <w:b/>
          <w:bCs/>
          <w:sz w:val="24"/>
          <w:szCs w:val="24"/>
        </w:rPr>
        <w:t xml:space="preserve">MEMORANDUM CONTRA </w:t>
      </w:r>
    </w:p>
    <w:p w:rsidR="00CF072F" w:rsidRDefault="00CF072F" w:rsidP="00DF0A0C">
      <w:pPr>
        <w:tabs>
          <w:tab w:val="center" w:pos="4320"/>
        </w:tabs>
        <w:spacing w:after="0" w:line="240" w:lineRule="auto"/>
        <w:jc w:val="center"/>
        <w:rPr>
          <w:rFonts w:ascii="Times New Roman" w:hAnsi="Times New Roman"/>
          <w:b/>
          <w:bCs/>
          <w:sz w:val="24"/>
          <w:szCs w:val="24"/>
        </w:rPr>
      </w:pPr>
      <w:r>
        <w:rPr>
          <w:rFonts w:ascii="Times New Roman" w:hAnsi="Times New Roman"/>
          <w:b/>
          <w:bCs/>
          <w:sz w:val="24"/>
          <w:szCs w:val="24"/>
        </w:rPr>
        <w:t>OHIO POWER COMPANY</w:t>
      </w:r>
      <w:r w:rsidR="00A127AB">
        <w:rPr>
          <w:rFonts w:ascii="Times New Roman" w:hAnsi="Times New Roman"/>
          <w:b/>
          <w:bCs/>
          <w:sz w:val="24"/>
          <w:szCs w:val="24"/>
        </w:rPr>
        <w:t>’</w:t>
      </w:r>
      <w:r>
        <w:rPr>
          <w:rFonts w:ascii="Times New Roman" w:hAnsi="Times New Roman"/>
          <w:b/>
          <w:bCs/>
          <w:sz w:val="24"/>
          <w:szCs w:val="24"/>
        </w:rPr>
        <w:t>S MOTION TO STRIKE</w:t>
      </w:r>
    </w:p>
    <w:p w:rsidR="00CF072F" w:rsidRDefault="00CF072F" w:rsidP="00DF0A0C">
      <w:pPr>
        <w:spacing w:after="0" w:line="240" w:lineRule="auto"/>
        <w:jc w:val="center"/>
        <w:rPr>
          <w:rFonts w:ascii="Times New Roman" w:hAnsi="Times New Roman"/>
          <w:b/>
          <w:bCs/>
          <w:sz w:val="24"/>
          <w:szCs w:val="24"/>
        </w:rPr>
      </w:pPr>
      <w:r w:rsidRPr="00775885">
        <w:rPr>
          <w:rFonts w:ascii="Times New Roman" w:hAnsi="Times New Roman"/>
          <w:b/>
          <w:bCs/>
          <w:sz w:val="24"/>
          <w:szCs w:val="24"/>
        </w:rPr>
        <w:t>BY</w:t>
      </w:r>
      <w:r>
        <w:rPr>
          <w:rFonts w:ascii="Times New Roman" w:hAnsi="Times New Roman"/>
          <w:b/>
          <w:bCs/>
          <w:sz w:val="24"/>
          <w:szCs w:val="24"/>
        </w:rPr>
        <w:t xml:space="preserve"> </w:t>
      </w:r>
    </w:p>
    <w:p w:rsidR="00CF072F" w:rsidRPr="00775885" w:rsidRDefault="00CF072F" w:rsidP="00DF0A0C">
      <w:pPr>
        <w:spacing w:after="0" w:line="240" w:lineRule="auto"/>
        <w:jc w:val="center"/>
        <w:rPr>
          <w:rFonts w:ascii="Times New Roman" w:hAnsi="Times New Roman"/>
          <w:b/>
          <w:bCs/>
          <w:sz w:val="24"/>
          <w:szCs w:val="24"/>
        </w:rPr>
      </w:pPr>
      <w:r w:rsidRPr="00775885">
        <w:rPr>
          <w:rFonts w:ascii="Times New Roman" w:hAnsi="Times New Roman"/>
          <w:b/>
          <w:bCs/>
          <w:sz w:val="24"/>
          <w:szCs w:val="24"/>
        </w:rPr>
        <w:t>THE OFFICE OF THE OHIO CONSUMERS</w:t>
      </w:r>
      <w:r w:rsidR="00A127AB">
        <w:rPr>
          <w:rFonts w:ascii="Times New Roman" w:hAnsi="Times New Roman"/>
          <w:b/>
          <w:bCs/>
          <w:sz w:val="24"/>
          <w:szCs w:val="24"/>
        </w:rPr>
        <w:t>’</w:t>
      </w:r>
      <w:r w:rsidRPr="00775885">
        <w:rPr>
          <w:rFonts w:ascii="Times New Roman" w:hAnsi="Times New Roman"/>
          <w:b/>
          <w:bCs/>
          <w:sz w:val="24"/>
          <w:szCs w:val="24"/>
        </w:rPr>
        <w:t xml:space="preserve"> COUNSEL</w:t>
      </w:r>
    </w:p>
    <w:p w:rsidR="00CF072F" w:rsidRPr="00775885" w:rsidRDefault="00CF072F" w:rsidP="00DF0A0C">
      <w:pPr>
        <w:pBdr>
          <w:bottom w:val="single" w:sz="12" w:space="1" w:color="auto"/>
        </w:pBdr>
        <w:tabs>
          <w:tab w:val="left" w:pos="4320"/>
        </w:tabs>
        <w:rPr>
          <w:rFonts w:ascii="Times New Roman" w:hAnsi="Times New Roman"/>
          <w:sz w:val="24"/>
          <w:szCs w:val="24"/>
        </w:rPr>
      </w:pPr>
    </w:p>
    <w:p w:rsidR="00CF072F" w:rsidRDefault="00CF072F" w:rsidP="001906BA">
      <w:pPr>
        <w:pStyle w:val="BodyTextIndent3"/>
        <w:widowControl w:val="0"/>
        <w:spacing w:line="480" w:lineRule="auto"/>
        <w:rPr>
          <w:szCs w:val="24"/>
        </w:rPr>
      </w:pPr>
    </w:p>
    <w:p w:rsidR="00CF072F" w:rsidRDefault="00CF072F" w:rsidP="000B6D7A">
      <w:pPr>
        <w:pStyle w:val="BodyTextIndent3"/>
        <w:widowControl w:val="0"/>
        <w:numPr>
          <w:ilvl w:val="0"/>
          <w:numId w:val="1"/>
        </w:numPr>
        <w:tabs>
          <w:tab w:val="clear" w:pos="1440"/>
        </w:tabs>
        <w:spacing w:line="480" w:lineRule="auto"/>
        <w:ind w:left="720"/>
        <w:rPr>
          <w:b/>
          <w:bCs/>
          <w:szCs w:val="24"/>
        </w:rPr>
      </w:pPr>
      <w:r w:rsidRPr="000B6D7A">
        <w:rPr>
          <w:b/>
          <w:bCs/>
          <w:szCs w:val="24"/>
        </w:rPr>
        <w:t>INTRODUCTION</w:t>
      </w:r>
      <w:r>
        <w:rPr>
          <w:b/>
          <w:bCs/>
          <w:szCs w:val="24"/>
        </w:rPr>
        <w:t>.</w:t>
      </w:r>
    </w:p>
    <w:p w:rsidR="00CF072F" w:rsidRDefault="00CF072F" w:rsidP="00E73858">
      <w:pPr>
        <w:pStyle w:val="BodyTextIndent3"/>
        <w:widowControl w:val="0"/>
        <w:spacing w:line="480" w:lineRule="auto"/>
        <w:rPr>
          <w:szCs w:val="24"/>
        </w:rPr>
      </w:pPr>
      <w:r>
        <w:rPr>
          <w:szCs w:val="24"/>
        </w:rPr>
        <w:t>Ohio Power Company</w:t>
      </w:r>
      <w:r w:rsidR="00A127AB">
        <w:rPr>
          <w:szCs w:val="24"/>
        </w:rPr>
        <w:t>’</w:t>
      </w:r>
      <w:r>
        <w:rPr>
          <w:szCs w:val="24"/>
        </w:rPr>
        <w:t>s (</w:t>
      </w:r>
      <w:r w:rsidR="00A127AB">
        <w:rPr>
          <w:szCs w:val="24"/>
        </w:rPr>
        <w:t>“</w:t>
      </w:r>
      <w:r>
        <w:rPr>
          <w:szCs w:val="24"/>
        </w:rPr>
        <w:t>AEP Ohio</w:t>
      </w:r>
      <w:r w:rsidR="00A127AB">
        <w:rPr>
          <w:szCs w:val="24"/>
        </w:rPr>
        <w:t>”</w:t>
      </w:r>
      <w:r>
        <w:rPr>
          <w:szCs w:val="24"/>
        </w:rPr>
        <w:t xml:space="preserve"> or </w:t>
      </w:r>
      <w:r w:rsidR="00A127AB">
        <w:rPr>
          <w:szCs w:val="24"/>
        </w:rPr>
        <w:t>“</w:t>
      </w:r>
      <w:r>
        <w:rPr>
          <w:szCs w:val="24"/>
        </w:rPr>
        <w:t>the Utility</w:t>
      </w:r>
      <w:r w:rsidR="00A127AB">
        <w:rPr>
          <w:szCs w:val="24"/>
        </w:rPr>
        <w:t>”</w:t>
      </w:r>
      <w:r>
        <w:rPr>
          <w:szCs w:val="24"/>
        </w:rPr>
        <w:t xml:space="preserve">) electric distribution utility customers have been charged </w:t>
      </w:r>
      <w:r w:rsidR="00242D20">
        <w:rPr>
          <w:szCs w:val="24"/>
        </w:rPr>
        <w:t>over</w:t>
      </w:r>
      <w:r>
        <w:rPr>
          <w:szCs w:val="24"/>
        </w:rPr>
        <w:t xml:space="preserve"> $24 million to investigate the construction of an Integrated Gasification Combined Cycle (</w:t>
      </w:r>
      <w:r w:rsidR="00A127AB">
        <w:rPr>
          <w:szCs w:val="24"/>
        </w:rPr>
        <w:t>“</w:t>
      </w:r>
      <w:r>
        <w:rPr>
          <w:szCs w:val="24"/>
        </w:rPr>
        <w:t>IGCC</w:t>
      </w:r>
      <w:r w:rsidR="00A127AB">
        <w:rPr>
          <w:szCs w:val="24"/>
        </w:rPr>
        <w:t>”</w:t>
      </w:r>
      <w:r>
        <w:rPr>
          <w:szCs w:val="24"/>
        </w:rPr>
        <w:t xml:space="preserve">) generating facility.  Interestingly, </w:t>
      </w:r>
      <w:r w:rsidR="000B6D7A">
        <w:rPr>
          <w:szCs w:val="24"/>
        </w:rPr>
        <w:t xml:space="preserve">when granting AEP Ohio approval to charge the Phase I </w:t>
      </w:r>
      <w:r w:rsidR="00242D20">
        <w:rPr>
          <w:szCs w:val="24"/>
        </w:rPr>
        <w:t xml:space="preserve">pre-construction </w:t>
      </w:r>
      <w:r w:rsidR="000B6D7A">
        <w:rPr>
          <w:szCs w:val="24"/>
        </w:rPr>
        <w:t xml:space="preserve">IGCC costs, </w:t>
      </w:r>
      <w:r>
        <w:rPr>
          <w:szCs w:val="24"/>
        </w:rPr>
        <w:t>the Public Utilities Commission of Ohio (</w:t>
      </w:r>
      <w:r w:rsidR="00A127AB">
        <w:rPr>
          <w:szCs w:val="24"/>
        </w:rPr>
        <w:t>“</w:t>
      </w:r>
      <w:r>
        <w:rPr>
          <w:szCs w:val="24"/>
        </w:rPr>
        <w:t>PUCO</w:t>
      </w:r>
      <w:r w:rsidR="00A127AB">
        <w:rPr>
          <w:szCs w:val="24"/>
        </w:rPr>
        <w:t>”</w:t>
      </w:r>
      <w:r>
        <w:rPr>
          <w:szCs w:val="24"/>
        </w:rPr>
        <w:t xml:space="preserve">) </w:t>
      </w:r>
      <w:r w:rsidR="000B6D7A">
        <w:rPr>
          <w:szCs w:val="24"/>
        </w:rPr>
        <w:t>did</w:t>
      </w:r>
      <w:r>
        <w:rPr>
          <w:szCs w:val="24"/>
        </w:rPr>
        <w:t xml:space="preserve"> not determine the just and reasonableness of th</w:t>
      </w:r>
      <w:r w:rsidR="000B6D7A">
        <w:rPr>
          <w:szCs w:val="24"/>
        </w:rPr>
        <w:t>o</w:t>
      </w:r>
      <w:r>
        <w:rPr>
          <w:szCs w:val="24"/>
        </w:rPr>
        <w:t>se expenditures.  A</w:t>
      </w:r>
      <w:r w:rsidR="000B6D7A">
        <w:rPr>
          <w:szCs w:val="24"/>
        </w:rPr>
        <w:t>nd a</w:t>
      </w:r>
      <w:r>
        <w:rPr>
          <w:szCs w:val="24"/>
        </w:rPr>
        <w:t>n appeal of the PUCO</w:t>
      </w:r>
      <w:r w:rsidR="00A127AB">
        <w:rPr>
          <w:szCs w:val="24"/>
        </w:rPr>
        <w:t>’</w:t>
      </w:r>
      <w:r>
        <w:rPr>
          <w:szCs w:val="24"/>
        </w:rPr>
        <w:t xml:space="preserve">s decision in this case resulted in a reversal and remand </w:t>
      </w:r>
      <w:r w:rsidR="000B6D7A">
        <w:rPr>
          <w:szCs w:val="24"/>
        </w:rPr>
        <w:t xml:space="preserve">based upon </w:t>
      </w:r>
      <w:r w:rsidR="00242D20">
        <w:rPr>
          <w:szCs w:val="24"/>
        </w:rPr>
        <w:t>insufficient</w:t>
      </w:r>
      <w:r w:rsidR="000B6D7A">
        <w:rPr>
          <w:szCs w:val="24"/>
        </w:rPr>
        <w:t xml:space="preserve"> supporting evidence</w:t>
      </w:r>
      <w:r>
        <w:rPr>
          <w:szCs w:val="24"/>
        </w:rPr>
        <w:t>.  The Office of the Ohio Consumers</w:t>
      </w:r>
      <w:r w:rsidR="00A127AB">
        <w:rPr>
          <w:szCs w:val="24"/>
        </w:rPr>
        <w:t>’</w:t>
      </w:r>
      <w:r>
        <w:rPr>
          <w:szCs w:val="24"/>
        </w:rPr>
        <w:t xml:space="preserve"> Counsel (</w:t>
      </w:r>
      <w:r w:rsidR="00A127AB">
        <w:rPr>
          <w:szCs w:val="24"/>
        </w:rPr>
        <w:t>“</w:t>
      </w:r>
      <w:r>
        <w:rPr>
          <w:szCs w:val="24"/>
        </w:rPr>
        <w:t>OCC</w:t>
      </w:r>
      <w:r w:rsidR="00A127AB">
        <w:rPr>
          <w:szCs w:val="24"/>
        </w:rPr>
        <w:t>”</w:t>
      </w:r>
      <w:r>
        <w:rPr>
          <w:szCs w:val="24"/>
        </w:rPr>
        <w:t>) has provided</w:t>
      </w:r>
      <w:r w:rsidR="00242D20">
        <w:rPr>
          <w:szCs w:val="24"/>
        </w:rPr>
        <w:t xml:space="preserve"> the</w:t>
      </w:r>
      <w:r>
        <w:rPr>
          <w:szCs w:val="24"/>
        </w:rPr>
        <w:t xml:space="preserve"> testimony </w:t>
      </w:r>
      <w:r w:rsidR="00242D20">
        <w:rPr>
          <w:szCs w:val="24"/>
        </w:rPr>
        <w:t xml:space="preserve">of Scott Norwood </w:t>
      </w:r>
      <w:r w:rsidR="000B6D7A">
        <w:rPr>
          <w:szCs w:val="24"/>
        </w:rPr>
        <w:t>addressing the lack of evidence regarding whether it was just and reasonable to incur the Phase I costs</w:t>
      </w:r>
      <w:r>
        <w:rPr>
          <w:szCs w:val="24"/>
        </w:rPr>
        <w:t xml:space="preserve">.  AEP Ohio has moved to strike portions of that testimony.  </w:t>
      </w:r>
      <w:r w:rsidR="000B6D7A">
        <w:rPr>
          <w:szCs w:val="24"/>
        </w:rPr>
        <w:t>In its Motion to Strike, AEP Ohio argues that portions of Mr. Norwood</w:t>
      </w:r>
      <w:r w:rsidR="00A127AB">
        <w:rPr>
          <w:szCs w:val="24"/>
        </w:rPr>
        <w:t>’</w:t>
      </w:r>
      <w:r w:rsidR="000B6D7A">
        <w:rPr>
          <w:szCs w:val="24"/>
        </w:rPr>
        <w:t xml:space="preserve">s testimony are irrelevant because AEP Ohio no longer has the burden of demonstrating that the proposal </w:t>
      </w:r>
      <w:r w:rsidR="000B6D7A">
        <w:rPr>
          <w:szCs w:val="24"/>
        </w:rPr>
        <w:lastRenderedPageBreak/>
        <w:t>to construct the IGCC project was just and reasonable.</w:t>
      </w:r>
      <w:r w:rsidR="000B6D7A">
        <w:rPr>
          <w:rStyle w:val="FootnoteReference"/>
          <w:szCs w:val="24"/>
        </w:rPr>
        <w:footnoteReference w:id="1"/>
      </w:r>
      <w:r w:rsidR="000B6D7A">
        <w:rPr>
          <w:szCs w:val="24"/>
        </w:rPr>
        <w:t xml:space="preserve"> AEP Ohio incorrectly asserts that the PUCO already held that that it was reasonable for AEP to proceed with Phase I and to recover those costs. </w:t>
      </w:r>
      <w:r w:rsidR="00865200">
        <w:rPr>
          <w:szCs w:val="24"/>
        </w:rPr>
        <w:t xml:space="preserve"> </w:t>
      </w:r>
      <w:r w:rsidR="000B6D7A">
        <w:rPr>
          <w:szCs w:val="24"/>
        </w:rPr>
        <w:t xml:space="preserve">More importantly, this assertion by AEP Ohio ignores the direction of the Supreme Court of Ohio.  </w:t>
      </w:r>
      <w:r>
        <w:rPr>
          <w:szCs w:val="24"/>
        </w:rPr>
        <w:t>As argued below, AEP Ohio</w:t>
      </w:r>
      <w:r w:rsidR="00A127AB">
        <w:rPr>
          <w:szCs w:val="24"/>
        </w:rPr>
        <w:t>’</w:t>
      </w:r>
      <w:r>
        <w:rPr>
          <w:szCs w:val="24"/>
        </w:rPr>
        <w:t>s Motion to Strike should not be granted.</w:t>
      </w:r>
    </w:p>
    <w:p w:rsidR="00C55DB6" w:rsidRDefault="00C55DB6" w:rsidP="00C55DB6">
      <w:pPr>
        <w:pStyle w:val="BodyTextIndent3"/>
        <w:widowControl w:val="0"/>
        <w:spacing w:line="240" w:lineRule="auto"/>
        <w:rPr>
          <w:b/>
          <w:bCs/>
          <w:szCs w:val="24"/>
        </w:rPr>
      </w:pPr>
    </w:p>
    <w:p w:rsidR="00CF072F" w:rsidRDefault="000B6D7A" w:rsidP="000B6D7A">
      <w:pPr>
        <w:pStyle w:val="BodyTextIndent3"/>
        <w:widowControl w:val="0"/>
        <w:spacing w:line="480" w:lineRule="auto"/>
        <w:ind w:firstLine="0"/>
        <w:rPr>
          <w:b/>
          <w:bCs/>
          <w:szCs w:val="24"/>
        </w:rPr>
      </w:pPr>
      <w:r>
        <w:rPr>
          <w:b/>
          <w:bCs/>
          <w:szCs w:val="24"/>
        </w:rPr>
        <w:t>II.</w:t>
      </w:r>
      <w:r>
        <w:rPr>
          <w:b/>
          <w:bCs/>
          <w:szCs w:val="24"/>
        </w:rPr>
        <w:tab/>
      </w:r>
      <w:r w:rsidR="00CF072F">
        <w:rPr>
          <w:b/>
          <w:bCs/>
          <w:szCs w:val="24"/>
        </w:rPr>
        <w:t>ARGUMENT.</w:t>
      </w:r>
    </w:p>
    <w:p w:rsidR="00CF072F" w:rsidRPr="000B6D7A" w:rsidRDefault="000B6D7A" w:rsidP="000B6D7A">
      <w:pPr>
        <w:pStyle w:val="BodyTextIndent3"/>
        <w:widowControl w:val="0"/>
        <w:spacing w:line="240" w:lineRule="auto"/>
        <w:ind w:left="1440" w:hanging="720"/>
        <w:rPr>
          <w:b/>
          <w:bCs/>
          <w:szCs w:val="24"/>
        </w:rPr>
      </w:pPr>
      <w:r>
        <w:rPr>
          <w:b/>
          <w:bCs/>
          <w:szCs w:val="24"/>
        </w:rPr>
        <w:t>A</w:t>
      </w:r>
      <w:r w:rsidR="00CF072F">
        <w:rPr>
          <w:b/>
          <w:bCs/>
          <w:szCs w:val="24"/>
        </w:rPr>
        <w:t>.</w:t>
      </w:r>
      <w:r w:rsidR="00CF072F">
        <w:rPr>
          <w:b/>
          <w:bCs/>
          <w:szCs w:val="24"/>
        </w:rPr>
        <w:tab/>
        <w:t>OCC</w:t>
      </w:r>
      <w:r w:rsidR="00A127AB">
        <w:rPr>
          <w:b/>
          <w:bCs/>
          <w:szCs w:val="24"/>
        </w:rPr>
        <w:t>’</w:t>
      </w:r>
      <w:r w:rsidR="00CF072F">
        <w:rPr>
          <w:b/>
          <w:bCs/>
          <w:szCs w:val="24"/>
        </w:rPr>
        <w:t>s testimony</w:t>
      </w:r>
      <w:r w:rsidR="00BC3FEC">
        <w:rPr>
          <w:b/>
          <w:bCs/>
          <w:szCs w:val="24"/>
        </w:rPr>
        <w:t xml:space="preserve"> addresses an unresolved</w:t>
      </w:r>
      <w:r>
        <w:rPr>
          <w:b/>
          <w:bCs/>
          <w:szCs w:val="24"/>
        </w:rPr>
        <w:t xml:space="preserve"> issue and</w:t>
      </w:r>
      <w:r w:rsidR="00CF072F">
        <w:rPr>
          <w:b/>
          <w:bCs/>
          <w:szCs w:val="24"/>
        </w:rPr>
        <w:t xml:space="preserve"> rebuts the testimony of AEP Ohio witness</w:t>
      </w:r>
      <w:r w:rsidR="00242D20">
        <w:rPr>
          <w:b/>
          <w:bCs/>
          <w:szCs w:val="24"/>
        </w:rPr>
        <w:t>es</w:t>
      </w:r>
      <w:r w:rsidR="00CF072F">
        <w:rPr>
          <w:b/>
          <w:bCs/>
          <w:szCs w:val="24"/>
        </w:rPr>
        <w:t>; therefore,</w:t>
      </w:r>
      <w:r>
        <w:rPr>
          <w:b/>
          <w:bCs/>
          <w:szCs w:val="24"/>
        </w:rPr>
        <w:t xml:space="preserve"> it</w:t>
      </w:r>
      <w:r w:rsidR="00CF072F">
        <w:rPr>
          <w:b/>
          <w:bCs/>
          <w:szCs w:val="24"/>
        </w:rPr>
        <w:t xml:space="preserve"> is relevant to these proceedings and should not be stricken. </w:t>
      </w:r>
    </w:p>
    <w:p w:rsidR="00CF072F" w:rsidRDefault="00CF072F" w:rsidP="00E73858">
      <w:pPr>
        <w:pStyle w:val="BodyTextIndent3"/>
        <w:widowControl w:val="0"/>
        <w:spacing w:line="240" w:lineRule="auto"/>
        <w:rPr>
          <w:szCs w:val="24"/>
        </w:rPr>
      </w:pPr>
    </w:p>
    <w:p w:rsidR="00CF072F" w:rsidRDefault="002A74BA" w:rsidP="005D3D81">
      <w:pPr>
        <w:pStyle w:val="BodyTextIndent3"/>
        <w:widowControl w:val="0"/>
        <w:spacing w:line="480" w:lineRule="auto"/>
        <w:rPr>
          <w:szCs w:val="24"/>
        </w:rPr>
      </w:pPr>
      <w:r>
        <w:rPr>
          <w:szCs w:val="24"/>
        </w:rPr>
        <w:t xml:space="preserve">AEP </w:t>
      </w:r>
      <w:r w:rsidR="000B6D7A">
        <w:rPr>
          <w:szCs w:val="24"/>
        </w:rPr>
        <w:t>Ohio</w:t>
      </w:r>
      <w:r w:rsidR="00A127AB">
        <w:rPr>
          <w:szCs w:val="24"/>
        </w:rPr>
        <w:t>’</w:t>
      </w:r>
      <w:r w:rsidR="000B6D7A">
        <w:rPr>
          <w:szCs w:val="24"/>
        </w:rPr>
        <w:t xml:space="preserve">s 1.2 million residential customers should not have to pay for the Phase I cost unless there is a finding that the costs were prudently incurred.  </w:t>
      </w:r>
      <w:r w:rsidR="00CF072F">
        <w:rPr>
          <w:szCs w:val="24"/>
        </w:rPr>
        <w:t>To date,</w:t>
      </w:r>
      <w:r w:rsidR="000B6D7A">
        <w:rPr>
          <w:szCs w:val="24"/>
        </w:rPr>
        <w:t xml:space="preserve"> however,</w:t>
      </w:r>
      <w:r w:rsidR="00CF072F">
        <w:rPr>
          <w:szCs w:val="24"/>
        </w:rPr>
        <w:t xml:space="preserve"> there has been no Order issued by the PUCO that addressed the prudence of the Phase I IGCC spending. </w:t>
      </w:r>
      <w:r w:rsidR="00865200">
        <w:rPr>
          <w:szCs w:val="24"/>
        </w:rPr>
        <w:t xml:space="preserve"> </w:t>
      </w:r>
      <w:r w:rsidR="000B6D7A">
        <w:rPr>
          <w:szCs w:val="24"/>
        </w:rPr>
        <w:t xml:space="preserve">At no point during the Phase I litigation did the PUCO expressly find that the costs were just and reasonable in accordance with R.C. 4909.18. In fact, the PUCO specifically withheld its decision on that issue by finding that </w:t>
      </w:r>
      <w:r w:rsidR="00A127AB">
        <w:rPr>
          <w:szCs w:val="24"/>
        </w:rPr>
        <w:t>“</w:t>
      </w:r>
      <w:r w:rsidR="000B6D7A">
        <w:rPr>
          <w:szCs w:val="24"/>
        </w:rPr>
        <w:t>[</w:t>
      </w:r>
      <w:r w:rsidR="000B6D7A" w:rsidRPr="006E66AF">
        <w:rPr>
          <w:szCs w:val="24"/>
        </w:rPr>
        <w:t>a]ll Phase I costs will be the subject of subsequent audit(s) to determine whether such expenditures were reasonably incurred to construct the proposed IGCC facility in Ohio</w:t>
      </w:r>
      <w:r w:rsidR="000B6D7A">
        <w:rPr>
          <w:szCs w:val="24"/>
        </w:rPr>
        <w:t>.</w:t>
      </w:r>
      <w:r w:rsidR="00A127AB">
        <w:rPr>
          <w:szCs w:val="24"/>
        </w:rPr>
        <w:t>”</w:t>
      </w:r>
      <w:r w:rsidR="000B6D7A">
        <w:rPr>
          <w:rStyle w:val="FootnoteReference"/>
          <w:szCs w:val="24"/>
        </w:rPr>
        <w:footnoteReference w:id="2"/>
      </w:r>
      <w:r w:rsidR="000B6D7A">
        <w:rPr>
          <w:szCs w:val="24"/>
        </w:rPr>
        <w:t xml:space="preserve"> </w:t>
      </w:r>
      <w:r w:rsidR="00865200">
        <w:rPr>
          <w:szCs w:val="24"/>
        </w:rPr>
        <w:t xml:space="preserve"> </w:t>
      </w:r>
      <w:r w:rsidR="000B6D7A">
        <w:rPr>
          <w:szCs w:val="24"/>
        </w:rPr>
        <w:t xml:space="preserve">Yet, </w:t>
      </w:r>
      <w:r w:rsidR="00CF072F">
        <w:rPr>
          <w:szCs w:val="24"/>
        </w:rPr>
        <w:t xml:space="preserve">AEP Ohio filed a Motion to Strike portions of the Direct Testimony filed by OCC witness Scott Norwood that addresses the prudence of that spending. </w:t>
      </w:r>
    </w:p>
    <w:p w:rsidR="00CF072F" w:rsidRDefault="00CF072F" w:rsidP="005D3D81">
      <w:pPr>
        <w:pStyle w:val="BodyTextIndent3"/>
        <w:widowControl w:val="0"/>
        <w:spacing w:line="480" w:lineRule="auto"/>
        <w:rPr>
          <w:szCs w:val="24"/>
        </w:rPr>
      </w:pPr>
      <w:r>
        <w:rPr>
          <w:szCs w:val="24"/>
        </w:rPr>
        <w:t>Despite AEP Ohio</w:t>
      </w:r>
      <w:r w:rsidR="00A127AB">
        <w:rPr>
          <w:szCs w:val="24"/>
        </w:rPr>
        <w:t>’</w:t>
      </w:r>
      <w:r>
        <w:rPr>
          <w:szCs w:val="24"/>
        </w:rPr>
        <w:t>s assertions to the contrary, Mr. Norwood</w:t>
      </w:r>
      <w:r w:rsidR="00A127AB">
        <w:rPr>
          <w:szCs w:val="24"/>
        </w:rPr>
        <w:t>’</w:t>
      </w:r>
      <w:r>
        <w:rPr>
          <w:szCs w:val="24"/>
        </w:rPr>
        <w:t xml:space="preserve">s testimony is not directed at future plans to construct the IGCC plant. </w:t>
      </w:r>
      <w:r w:rsidR="00865200">
        <w:rPr>
          <w:szCs w:val="24"/>
        </w:rPr>
        <w:t xml:space="preserve"> </w:t>
      </w:r>
      <w:r>
        <w:rPr>
          <w:szCs w:val="24"/>
        </w:rPr>
        <w:t xml:space="preserve">Certainly, the Utility has conceded </w:t>
      </w:r>
      <w:r>
        <w:rPr>
          <w:szCs w:val="24"/>
        </w:rPr>
        <w:lastRenderedPageBreak/>
        <w:t>that the IGCC project has not been constructed</w:t>
      </w:r>
      <w:r>
        <w:rPr>
          <w:rStyle w:val="FootnoteReference"/>
          <w:szCs w:val="24"/>
        </w:rPr>
        <w:footnoteReference w:id="3"/>
      </w:r>
      <w:r>
        <w:rPr>
          <w:szCs w:val="24"/>
        </w:rPr>
        <w:t xml:space="preserve"> and has ceased all efforts to pursue constructing the facility -- in fact stating that </w:t>
      </w:r>
      <w:r w:rsidR="00A127AB">
        <w:rPr>
          <w:szCs w:val="24"/>
        </w:rPr>
        <w:t>“</w:t>
      </w:r>
      <w:r>
        <w:rPr>
          <w:szCs w:val="24"/>
        </w:rPr>
        <w:t>it is an undisputed fact that the Great Bend IGCC will not be constructed.</w:t>
      </w:r>
      <w:r w:rsidR="00A127AB">
        <w:rPr>
          <w:szCs w:val="24"/>
        </w:rPr>
        <w:t>”</w:t>
      </w:r>
      <w:r>
        <w:rPr>
          <w:rStyle w:val="FootnoteReference"/>
          <w:szCs w:val="24"/>
        </w:rPr>
        <w:footnoteReference w:id="4"/>
      </w:r>
      <w:r>
        <w:rPr>
          <w:szCs w:val="24"/>
        </w:rPr>
        <w:t xml:space="preserve"> </w:t>
      </w:r>
      <w:r w:rsidR="00865200">
        <w:rPr>
          <w:szCs w:val="24"/>
        </w:rPr>
        <w:t xml:space="preserve"> </w:t>
      </w:r>
      <w:r>
        <w:rPr>
          <w:szCs w:val="24"/>
        </w:rPr>
        <w:t xml:space="preserve">Rather, Mr. Norwood addresses the paucity of evidence that the Utility has produced to support its case that the IGCC Phase I pre-construction costs were reasonably incurred to meet its POLR obligations </w:t>
      </w:r>
      <w:r w:rsidR="00BC3FEC">
        <w:rPr>
          <w:szCs w:val="24"/>
        </w:rPr>
        <w:t>–</w:t>
      </w:r>
      <w:r>
        <w:rPr>
          <w:szCs w:val="24"/>
        </w:rPr>
        <w:t xml:space="preserve"> an issue specifically identified by the Supreme Court.</w:t>
      </w:r>
      <w:r>
        <w:rPr>
          <w:rStyle w:val="FootnoteReference"/>
          <w:szCs w:val="24"/>
        </w:rPr>
        <w:footnoteReference w:id="5"/>
      </w:r>
      <w:r>
        <w:rPr>
          <w:szCs w:val="24"/>
        </w:rPr>
        <w:t xml:space="preserve"> </w:t>
      </w:r>
    </w:p>
    <w:p w:rsidR="00CF072F" w:rsidRDefault="00CF072F" w:rsidP="005D3D81">
      <w:pPr>
        <w:pStyle w:val="BodyTextIndent3"/>
        <w:widowControl w:val="0"/>
        <w:spacing w:line="480" w:lineRule="auto"/>
        <w:rPr>
          <w:szCs w:val="24"/>
        </w:rPr>
      </w:pPr>
      <w:r>
        <w:rPr>
          <w:szCs w:val="24"/>
        </w:rPr>
        <w:t>Mr. Norwood testifies that there is no indication that AEP Ohio made any efforts to justify why it needed to build generation over other alternatives to obtain generation to meet its provider of last resort (</w:t>
      </w:r>
      <w:r w:rsidR="00A127AB">
        <w:rPr>
          <w:szCs w:val="24"/>
        </w:rPr>
        <w:t>“</w:t>
      </w:r>
      <w:r>
        <w:rPr>
          <w:szCs w:val="24"/>
        </w:rPr>
        <w:t>POLR</w:t>
      </w:r>
      <w:r w:rsidR="00A127AB">
        <w:rPr>
          <w:szCs w:val="24"/>
        </w:rPr>
        <w:t>”</w:t>
      </w:r>
      <w:r>
        <w:rPr>
          <w:szCs w:val="24"/>
        </w:rPr>
        <w:t xml:space="preserve">) obligation, or why it pursued the IGCC technology over other types of generation technology. </w:t>
      </w:r>
      <w:r w:rsidR="00865200">
        <w:rPr>
          <w:szCs w:val="24"/>
        </w:rPr>
        <w:t xml:space="preserve"> </w:t>
      </w:r>
      <w:r>
        <w:rPr>
          <w:szCs w:val="24"/>
        </w:rPr>
        <w:t>While these concerns may have been raised before the PUCO on the first phase of this litigation, the PUCO reserved any explicit determination that the Phase I costs were reasonably incurred.</w:t>
      </w:r>
      <w:r>
        <w:rPr>
          <w:rStyle w:val="FootnoteReference"/>
          <w:szCs w:val="24"/>
        </w:rPr>
        <w:footnoteReference w:id="6"/>
      </w:r>
      <w:r>
        <w:rPr>
          <w:szCs w:val="24"/>
        </w:rPr>
        <w:t xml:space="preserve"> </w:t>
      </w:r>
    </w:p>
    <w:p w:rsidR="00CF072F" w:rsidRDefault="00CF072F" w:rsidP="005419F9">
      <w:pPr>
        <w:pStyle w:val="BodyTextIndent3"/>
        <w:widowControl w:val="0"/>
        <w:spacing w:line="480" w:lineRule="auto"/>
        <w:rPr>
          <w:szCs w:val="24"/>
        </w:rPr>
      </w:pPr>
      <w:r>
        <w:rPr>
          <w:szCs w:val="24"/>
        </w:rPr>
        <w:t xml:space="preserve">But even if the PUCO had decided the prudence issue (which it has not), AEP continues to place the reasonableness of the Phase I costs at issue in this case. </w:t>
      </w:r>
      <w:r w:rsidR="00865200">
        <w:rPr>
          <w:szCs w:val="24"/>
        </w:rPr>
        <w:t xml:space="preserve"> </w:t>
      </w:r>
      <w:r>
        <w:rPr>
          <w:szCs w:val="24"/>
        </w:rPr>
        <w:t>For instance, AEP Ohio</w:t>
      </w:r>
      <w:r w:rsidR="00A127AB">
        <w:rPr>
          <w:szCs w:val="24"/>
        </w:rPr>
        <w:t>’</w:t>
      </w:r>
      <w:r>
        <w:rPr>
          <w:szCs w:val="24"/>
        </w:rPr>
        <w:t xml:space="preserve">s remand witness, Gary Spitznogle, opined that </w:t>
      </w:r>
      <w:r w:rsidR="00A127AB">
        <w:rPr>
          <w:szCs w:val="24"/>
        </w:rPr>
        <w:t>“</w:t>
      </w:r>
      <w:r>
        <w:rPr>
          <w:szCs w:val="24"/>
        </w:rPr>
        <w:t>[m]y opinion is based on the fact that the decision to evaluate the possible construction of the IGCC facility was reasonable and prudent based upon the facts known, and the assumptions that had to be made, in 2005.</w:t>
      </w:r>
      <w:r w:rsidR="00A127AB">
        <w:rPr>
          <w:szCs w:val="24"/>
        </w:rPr>
        <w:t>”</w:t>
      </w:r>
      <w:r>
        <w:rPr>
          <w:rStyle w:val="FootnoteReference"/>
          <w:szCs w:val="24"/>
        </w:rPr>
        <w:footnoteReference w:id="7"/>
      </w:r>
      <w:r>
        <w:rPr>
          <w:szCs w:val="24"/>
        </w:rPr>
        <w:t xml:space="preserve">  Similarly, AEP Ohio</w:t>
      </w:r>
      <w:r w:rsidR="00A127AB">
        <w:rPr>
          <w:szCs w:val="24"/>
        </w:rPr>
        <w:t>’</w:t>
      </w:r>
      <w:r>
        <w:rPr>
          <w:szCs w:val="24"/>
        </w:rPr>
        <w:t xml:space="preserve">s remand witness, Daniel Duellman, explained that the purpose of his testimony was to </w:t>
      </w:r>
      <w:r w:rsidR="00A127AB">
        <w:rPr>
          <w:szCs w:val="24"/>
        </w:rPr>
        <w:t>“</w:t>
      </w:r>
      <w:r>
        <w:rPr>
          <w:szCs w:val="24"/>
        </w:rPr>
        <w:t xml:space="preserve">support the reasonableness of the </w:t>
      </w:r>
      <w:r>
        <w:rPr>
          <w:szCs w:val="24"/>
        </w:rPr>
        <w:lastRenderedPageBreak/>
        <w:t>costs incurred to perform those Phase I activities . . .</w:t>
      </w:r>
      <w:r w:rsidR="00A127AB">
        <w:rPr>
          <w:szCs w:val="24"/>
        </w:rPr>
        <w:t>”</w:t>
      </w:r>
      <w:r>
        <w:rPr>
          <w:rStyle w:val="FootnoteReference"/>
          <w:szCs w:val="24"/>
        </w:rPr>
        <w:footnoteReference w:id="8"/>
      </w:r>
      <w:r>
        <w:rPr>
          <w:szCs w:val="24"/>
        </w:rPr>
        <w:t xml:space="preserve"> </w:t>
      </w:r>
      <w:r w:rsidR="00865200">
        <w:rPr>
          <w:szCs w:val="24"/>
        </w:rPr>
        <w:t xml:space="preserve"> </w:t>
      </w:r>
      <w:r>
        <w:rPr>
          <w:szCs w:val="24"/>
        </w:rPr>
        <w:t xml:space="preserve">If the prudence issue is not relevant to the proceedings, the Utility would not have felt the need to file testimony supporting the prudence of its actions. </w:t>
      </w:r>
      <w:r w:rsidR="00865200">
        <w:rPr>
          <w:szCs w:val="24"/>
        </w:rPr>
        <w:t xml:space="preserve"> </w:t>
      </w:r>
      <w:r>
        <w:rPr>
          <w:szCs w:val="24"/>
        </w:rPr>
        <w:t>It seems paradoxical that AEP Ohio filed multiple pieces of testimony to support the reasonableness of the Phase I costs but then moves to strike the Mr. Norwood</w:t>
      </w:r>
      <w:r w:rsidR="00A127AB">
        <w:rPr>
          <w:szCs w:val="24"/>
        </w:rPr>
        <w:t>’</w:t>
      </w:r>
      <w:r>
        <w:rPr>
          <w:szCs w:val="24"/>
        </w:rPr>
        <w:t xml:space="preserve">s testimony on the same issue. </w:t>
      </w:r>
      <w:r w:rsidR="00865200">
        <w:rPr>
          <w:szCs w:val="24"/>
        </w:rPr>
        <w:t xml:space="preserve"> </w:t>
      </w:r>
      <w:r>
        <w:rPr>
          <w:szCs w:val="24"/>
        </w:rPr>
        <w:t>Therefore, AEP Ohio</w:t>
      </w:r>
      <w:r w:rsidR="00A127AB">
        <w:rPr>
          <w:szCs w:val="24"/>
        </w:rPr>
        <w:t>’</w:t>
      </w:r>
      <w:r>
        <w:rPr>
          <w:szCs w:val="24"/>
        </w:rPr>
        <w:t>s Motion to Strike should be denied.</w:t>
      </w:r>
    </w:p>
    <w:p w:rsidR="00CF072F" w:rsidRPr="000B6D7A" w:rsidRDefault="000B6D7A" w:rsidP="000B6D7A">
      <w:pPr>
        <w:pStyle w:val="BodyTextIndent3"/>
        <w:widowControl w:val="0"/>
        <w:spacing w:line="240" w:lineRule="auto"/>
        <w:ind w:left="1440" w:hanging="720"/>
        <w:rPr>
          <w:b/>
          <w:bCs/>
          <w:szCs w:val="24"/>
        </w:rPr>
      </w:pPr>
      <w:r>
        <w:rPr>
          <w:b/>
          <w:szCs w:val="24"/>
        </w:rPr>
        <w:t>B</w:t>
      </w:r>
      <w:r w:rsidR="00CF072F" w:rsidRPr="000B6D7A">
        <w:rPr>
          <w:b/>
          <w:szCs w:val="24"/>
        </w:rPr>
        <w:t>.</w:t>
      </w:r>
      <w:r w:rsidR="00CF072F" w:rsidRPr="000B6D7A">
        <w:rPr>
          <w:b/>
          <w:szCs w:val="24"/>
        </w:rPr>
        <w:tab/>
      </w:r>
      <w:r w:rsidR="00CF072F" w:rsidRPr="000B6D7A">
        <w:rPr>
          <w:b/>
          <w:bCs/>
          <w:szCs w:val="24"/>
        </w:rPr>
        <w:t>OCC is no</w:t>
      </w:r>
      <w:r>
        <w:rPr>
          <w:b/>
          <w:bCs/>
          <w:szCs w:val="24"/>
        </w:rPr>
        <w:t>t</w:t>
      </w:r>
      <w:r w:rsidR="00CF072F" w:rsidRPr="000B6D7A">
        <w:rPr>
          <w:b/>
          <w:bCs/>
          <w:szCs w:val="24"/>
        </w:rPr>
        <w:t xml:space="preserve"> relitigating issues previously decided</w:t>
      </w:r>
      <w:r w:rsidR="00E73858">
        <w:rPr>
          <w:b/>
          <w:bCs/>
          <w:szCs w:val="24"/>
        </w:rPr>
        <w:t>;</w:t>
      </w:r>
      <w:r w:rsidR="00CF072F" w:rsidRPr="000B6D7A">
        <w:rPr>
          <w:b/>
          <w:bCs/>
          <w:szCs w:val="24"/>
        </w:rPr>
        <w:t xml:space="preserve"> rather</w:t>
      </w:r>
      <w:r w:rsidR="00E73858">
        <w:rPr>
          <w:b/>
          <w:bCs/>
          <w:szCs w:val="24"/>
        </w:rPr>
        <w:t>, OCC is</w:t>
      </w:r>
      <w:r w:rsidR="00CF072F" w:rsidRPr="000B6D7A">
        <w:rPr>
          <w:b/>
          <w:bCs/>
          <w:szCs w:val="24"/>
        </w:rPr>
        <w:t xml:space="preserve"> litigating the reasonableness of AEP</w:t>
      </w:r>
      <w:r>
        <w:rPr>
          <w:b/>
          <w:bCs/>
          <w:szCs w:val="24"/>
        </w:rPr>
        <w:t xml:space="preserve"> Ohio</w:t>
      </w:r>
      <w:r w:rsidR="00A127AB">
        <w:rPr>
          <w:b/>
          <w:bCs/>
          <w:szCs w:val="24"/>
        </w:rPr>
        <w:t>’</w:t>
      </w:r>
      <w:r w:rsidR="00CF072F" w:rsidRPr="000B6D7A">
        <w:rPr>
          <w:b/>
          <w:bCs/>
          <w:szCs w:val="24"/>
        </w:rPr>
        <w:t>s Phase I expenditures that are at issue in this proceeding because of the Supreme Court of Ohio</w:t>
      </w:r>
      <w:r w:rsidR="00A127AB">
        <w:rPr>
          <w:b/>
          <w:bCs/>
          <w:szCs w:val="24"/>
        </w:rPr>
        <w:t>’</w:t>
      </w:r>
      <w:r w:rsidR="00CF072F" w:rsidRPr="000B6D7A">
        <w:rPr>
          <w:b/>
          <w:bCs/>
          <w:szCs w:val="24"/>
        </w:rPr>
        <w:t xml:space="preserve">s remand.  </w:t>
      </w:r>
    </w:p>
    <w:p w:rsidR="00CF072F" w:rsidRDefault="00CF072F" w:rsidP="00E73858">
      <w:pPr>
        <w:pStyle w:val="BodyTextIndent3"/>
        <w:widowControl w:val="0"/>
        <w:spacing w:line="240" w:lineRule="auto"/>
        <w:rPr>
          <w:szCs w:val="24"/>
        </w:rPr>
      </w:pPr>
    </w:p>
    <w:p w:rsidR="00CF072F" w:rsidRDefault="002A74BA" w:rsidP="00A13AC6">
      <w:pPr>
        <w:pStyle w:val="BodyTextIndent3"/>
        <w:widowControl w:val="0"/>
        <w:spacing w:line="480" w:lineRule="auto"/>
        <w:rPr>
          <w:szCs w:val="24"/>
        </w:rPr>
      </w:pPr>
      <w:r>
        <w:rPr>
          <w:szCs w:val="24"/>
        </w:rPr>
        <w:t xml:space="preserve">AEP </w:t>
      </w:r>
      <w:r w:rsidR="00CF072F">
        <w:rPr>
          <w:szCs w:val="24"/>
        </w:rPr>
        <w:t>Ohio argues that Mr. Norwood</w:t>
      </w:r>
      <w:r w:rsidR="00A127AB">
        <w:rPr>
          <w:szCs w:val="24"/>
        </w:rPr>
        <w:t>’</w:t>
      </w:r>
      <w:r w:rsidR="00CF072F">
        <w:rPr>
          <w:szCs w:val="24"/>
        </w:rPr>
        <w:t>s testimony is an attempt by OCC to relitigate the PUCO</w:t>
      </w:r>
      <w:r w:rsidR="00A127AB">
        <w:rPr>
          <w:szCs w:val="24"/>
        </w:rPr>
        <w:t>’</w:t>
      </w:r>
      <w:r w:rsidR="00CF072F">
        <w:rPr>
          <w:szCs w:val="24"/>
        </w:rPr>
        <w:t>s prior decision in violation of res judicata and collateral estoppel.</w:t>
      </w:r>
      <w:r w:rsidR="00CF072F">
        <w:rPr>
          <w:rStyle w:val="FootnoteReference"/>
          <w:szCs w:val="24"/>
        </w:rPr>
        <w:footnoteReference w:id="9"/>
      </w:r>
      <w:r w:rsidR="00CF072F">
        <w:rPr>
          <w:szCs w:val="24"/>
        </w:rPr>
        <w:t xml:space="preserve"> However, the portions of Mr. Norwood</w:t>
      </w:r>
      <w:r w:rsidR="00A127AB">
        <w:rPr>
          <w:szCs w:val="24"/>
        </w:rPr>
        <w:t>’</w:t>
      </w:r>
      <w:r w:rsidR="00CF072F">
        <w:rPr>
          <w:szCs w:val="24"/>
        </w:rPr>
        <w:t>s testimony that AEP Ohio seeks to strike are certainly not an attempt to re-litigate issues that were previously litigated such that it would be barred by the doctrine of res judicata.</w:t>
      </w:r>
      <w:r w:rsidR="00CF072F">
        <w:rPr>
          <w:rStyle w:val="FootnoteReference"/>
          <w:szCs w:val="24"/>
        </w:rPr>
        <w:footnoteReference w:id="10"/>
      </w:r>
      <w:r w:rsidR="00CF072F">
        <w:rPr>
          <w:szCs w:val="24"/>
        </w:rPr>
        <w:t xml:space="preserve"> </w:t>
      </w:r>
      <w:r w:rsidR="00865200">
        <w:rPr>
          <w:szCs w:val="24"/>
        </w:rPr>
        <w:t xml:space="preserve"> </w:t>
      </w:r>
      <w:r w:rsidR="00CF072F">
        <w:rPr>
          <w:szCs w:val="24"/>
        </w:rPr>
        <w:t>Indeed, the Supreme Court of Ohio has held that collateral estoppel and res judicata do not apply to a remanded proceeding that is part of the same administrative proceeding.</w:t>
      </w:r>
      <w:r w:rsidR="00CF072F">
        <w:rPr>
          <w:rStyle w:val="FootnoteReference"/>
          <w:szCs w:val="24"/>
        </w:rPr>
        <w:footnoteReference w:id="11"/>
      </w:r>
      <w:r w:rsidR="00CF072F">
        <w:rPr>
          <w:szCs w:val="24"/>
        </w:rPr>
        <w:t xml:space="preserve"> </w:t>
      </w:r>
      <w:r w:rsidR="00865200">
        <w:rPr>
          <w:szCs w:val="24"/>
        </w:rPr>
        <w:t xml:space="preserve"> </w:t>
      </w:r>
      <w:r w:rsidR="00CF072F">
        <w:rPr>
          <w:szCs w:val="24"/>
        </w:rPr>
        <w:t>Therefore, AEP Ohio</w:t>
      </w:r>
      <w:r w:rsidR="00A127AB">
        <w:rPr>
          <w:szCs w:val="24"/>
        </w:rPr>
        <w:t>’</w:t>
      </w:r>
      <w:r w:rsidR="00CF072F">
        <w:rPr>
          <w:szCs w:val="24"/>
        </w:rPr>
        <w:t>s Motion to Strike should be denied.</w:t>
      </w:r>
    </w:p>
    <w:p w:rsidR="00CF072F" w:rsidRDefault="00CF072F" w:rsidP="005D3D81">
      <w:pPr>
        <w:pStyle w:val="BodyTextIndent3"/>
        <w:widowControl w:val="0"/>
        <w:spacing w:line="480" w:lineRule="auto"/>
        <w:rPr>
          <w:szCs w:val="24"/>
        </w:rPr>
      </w:pPr>
      <w:r>
        <w:rPr>
          <w:szCs w:val="24"/>
        </w:rPr>
        <w:t>AEP Ohio ignores the fact that the PUCO</w:t>
      </w:r>
      <w:r w:rsidR="00A127AB">
        <w:rPr>
          <w:szCs w:val="24"/>
        </w:rPr>
        <w:t>’</w:t>
      </w:r>
      <w:r>
        <w:rPr>
          <w:szCs w:val="24"/>
        </w:rPr>
        <w:t>s April 20, 2006 decision was reversed and remanded by the Supreme Court of Ohio for further factual development.  In support of its Motion to Strike, AEP Ohio consistently relies upon the PUCO</w:t>
      </w:r>
      <w:r w:rsidR="00A127AB">
        <w:rPr>
          <w:szCs w:val="24"/>
        </w:rPr>
        <w:t>’</w:t>
      </w:r>
      <w:r>
        <w:rPr>
          <w:szCs w:val="24"/>
        </w:rPr>
        <w:t>s original Opinion and Order arguing that portions of Mr. Norwood</w:t>
      </w:r>
      <w:r w:rsidR="00A127AB">
        <w:rPr>
          <w:szCs w:val="24"/>
        </w:rPr>
        <w:t>’</w:t>
      </w:r>
      <w:r>
        <w:rPr>
          <w:szCs w:val="24"/>
        </w:rPr>
        <w:t xml:space="preserve">s testimony are not relevant because </w:t>
      </w:r>
      <w:r w:rsidR="00A127AB">
        <w:rPr>
          <w:szCs w:val="24"/>
        </w:rPr>
        <w:t>“</w:t>
      </w:r>
      <w:r>
        <w:rPr>
          <w:szCs w:val="24"/>
        </w:rPr>
        <w:t>[t]he Commission</w:t>
      </w:r>
      <w:r w:rsidR="00A127AB">
        <w:rPr>
          <w:szCs w:val="24"/>
        </w:rPr>
        <w:t>’</w:t>
      </w:r>
      <w:r>
        <w:rPr>
          <w:szCs w:val="24"/>
        </w:rPr>
        <w:t>s</w:t>
      </w:r>
      <w:r w:rsidR="00A127AB">
        <w:rPr>
          <w:szCs w:val="24"/>
        </w:rPr>
        <w:t>’</w:t>
      </w:r>
      <w:r>
        <w:rPr>
          <w:szCs w:val="24"/>
        </w:rPr>
        <w:t xml:space="preserve"> prior orders . . . made the determination that it was reasonable for AEP Ohio to proceed with Phase I and to recover those costs.</w:t>
      </w:r>
      <w:r w:rsidR="00A127AB">
        <w:rPr>
          <w:szCs w:val="24"/>
        </w:rPr>
        <w:t>”</w:t>
      </w:r>
      <w:r>
        <w:rPr>
          <w:rStyle w:val="FootnoteReference"/>
          <w:szCs w:val="24"/>
        </w:rPr>
        <w:footnoteReference w:id="12"/>
      </w:r>
      <w:r>
        <w:rPr>
          <w:szCs w:val="24"/>
        </w:rPr>
        <w:t xml:space="preserve"> </w:t>
      </w:r>
      <w:r w:rsidR="00865200">
        <w:rPr>
          <w:szCs w:val="24"/>
        </w:rPr>
        <w:t xml:space="preserve"> </w:t>
      </w:r>
      <w:r>
        <w:rPr>
          <w:szCs w:val="24"/>
        </w:rPr>
        <w:t>But the Supreme Court</w:t>
      </w:r>
      <w:r w:rsidRPr="00BB0135">
        <w:rPr>
          <w:szCs w:val="24"/>
        </w:rPr>
        <w:t xml:space="preserve"> </w:t>
      </w:r>
      <w:r w:rsidRPr="00BB0135">
        <w:rPr>
          <w:b/>
          <w:szCs w:val="24"/>
        </w:rPr>
        <w:t>reversed</w:t>
      </w:r>
      <w:r>
        <w:rPr>
          <w:szCs w:val="24"/>
        </w:rPr>
        <w:t xml:space="preserve"> that prior decision because </w:t>
      </w:r>
      <w:r w:rsidR="00A127AB">
        <w:rPr>
          <w:szCs w:val="24"/>
        </w:rPr>
        <w:t>“</w:t>
      </w:r>
      <w:r>
        <w:rPr>
          <w:szCs w:val="24"/>
        </w:rPr>
        <w:t>[t]he evidence does not support the order permitting AEP to recover the costs associated with the research and development of the proposed generation facility.</w:t>
      </w:r>
      <w:r w:rsidR="00A127AB">
        <w:rPr>
          <w:szCs w:val="24"/>
        </w:rPr>
        <w:t>”</w:t>
      </w:r>
      <w:r>
        <w:rPr>
          <w:rStyle w:val="FootnoteReference"/>
          <w:szCs w:val="24"/>
        </w:rPr>
        <w:footnoteReference w:id="13"/>
      </w:r>
      <w:r>
        <w:rPr>
          <w:szCs w:val="24"/>
        </w:rPr>
        <w:t xml:space="preserve"> </w:t>
      </w:r>
    </w:p>
    <w:p w:rsidR="00CF072F" w:rsidRDefault="00CF072F" w:rsidP="005419F9">
      <w:pPr>
        <w:pStyle w:val="BodyTextIndent3"/>
        <w:widowControl w:val="0"/>
        <w:spacing w:line="480" w:lineRule="auto"/>
        <w:rPr>
          <w:szCs w:val="24"/>
        </w:rPr>
      </w:pPr>
      <w:r>
        <w:rPr>
          <w:szCs w:val="24"/>
        </w:rPr>
        <w:t xml:space="preserve">The Supreme Court not only reversed that decision, but specifically directed </w:t>
      </w:r>
      <w:r w:rsidRPr="008C1E58">
        <w:rPr>
          <w:szCs w:val="24"/>
        </w:rPr>
        <w:t>the PUCO</w:t>
      </w:r>
      <w:r>
        <w:rPr>
          <w:szCs w:val="24"/>
        </w:rPr>
        <w:t>, on remand,</w:t>
      </w:r>
      <w:r w:rsidRPr="008C1E58">
        <w:rPr>
          <w:szCs w:val="24"/>
        </w:rPr>
        <w:t xml:space="preserve"> to </w:t>
      </w:r>
      <w:r w:rsidR="00A127AB">
        <w:rPr>
          <w:szCs w:val="24"/>
        </w:rPr>
        <w:t>“</w:t>
      </w:r>
      <w:r w:rsidRPr="008C1E58">
        <w:rPr>
          <w:szCs w:val="24"/>
        </w:rPr>
        <w:t>supplement the record with evidence</w:t>
      </w:r>
      <w:r w:rsidR="00A127AB">
        <w:rPr>
          <w:szCs w:val="24"/>
        </w:rPr>
        <w:t>”</w:t>
      </w:r>
      <w:r w:rsidRPr="008C1E58">
        <w:rPr>
          <w:szCs w:val="24"/>
        </w:rPr>
        <w:t xml:space="preserve"> in order to </w:t>
      </w:r>
      <w:r w:rsidR="00A127AB">
        <w:rPr>
          <w:szCs w:val="24"/>
        </w:rPr>
        <w:t>“</w:t>
      </w:r>
      <w:r w:rsidRPr="008C1E58">
        <w:rPr>
          <w:szCs w:val="24"/>
        </w:rPr>
        <w:t>verify that AEP has complied with the application requirements under R.C. 4909.18</w:t>
      </w:r>
      <w:r>
        <w:rPr>
          <w:szCs w:val="24"/>
        </w:rPr>
        <w:t>.</w:t>
      </w:r>
      <w:r w:rsidR="00A127AB">
        <w:rPr>
          <w:szCs w:val="24"/>
        </w:rPr>
        <w:t>”</w:t>
      </w:r>
      <w:r>
        <w:rPr>
          <w:rStyle w:val="FootnoteReference"/>
          <w:szCs w:val="24"/>
        </w:rPr>
        <w:footnoteReference w:id="14"/>
      </w:r>
      <w:r>
        <w:rPr>
          <w:szCs w:val="24"/>
        </w:rPr>
        <w:t xml:space="preserve">  R.C. 4909.18 sets forth the standard that requires that increases in utility rates, such as the Phase I costs charged to customers, must be </w:t>
      </w:r>
      <w:r w:rsidR="00A127AB">
        <w:rPr>
          <w:szCs w:val="24"/>
        </w:rPr>
        <w:t>“</w:t>
      </w:r>
      <w:r>
        <w:rPr>
          <w:szCs w:val="24"/>
        </w:rPr>
        <w:t>just and reasonable.</w:t>
      </w:r>
      <w:r w:rsidR="00A127AB">
        <w:rPr>
          <w:szCs w:val="24"/>
        </w:rPr>
        <w:t>”</w:t>
      </w:r>
      <w:r w:rsidR="00865200">
        <w:rPr>
          <w:szCs w:val="24"/>
        </w:rPr>
        <w:t xml:space="preserve"> </w:t>
      </w:r>
      <w:r>
        <w:rPr>
          <w:szCs w:val="24"/>
        </w:rPr>
        <w:t xml:space="preserve"> Thus, in addition to rebutting AEP</w:t>
      </w:r>
      <w:r w:rsidR="000B6D7A">
        <w:rPr>
          <w:szCs w:val="24"/>
        </w:rPr>
        <w:t xml:space="preserve"> Ohio</w:t>
      </w:r>
      <w:r w:rsidR="00A127AB">
        <w:rPr>
          <w:szCs w:val="24"/>
        </w:rPr>
        <w:t>’</w:t>
      </w:r>
      <w:r>
        <w:rPr>
          <w:szCs w:val="24"/>
        </w:rPr>
        <w:t>s testimony set forth by the Utility on remand,</w:t>
      </w:r>
      <w:r>
        <w:rPr>
          <w:rStyle w:val="FootnoteReference"/>
          <w:szCs w:val="24"/>
        </w:rPr>
        <w:footnoteReference w:id="15"/>
      </w:r>
      <w:r>
        <w:rPr>
          <w:szCs w:val="24"/>
        </w:rPr>
        <w:t xml:space="preserve"> the portions of </w:t>
      </w:r>
      <w:r w:rsidR="00242D20">
        <w:rPr>
          <w:szCs w:val="24"/>
        </w:rPr>
        <w:t>Mr. Noorwood’s</w:t>
      </w:r>
      <w:r>
        <w:rPr>
          <w:szCs w:val="24"/>
        </w:rPr>
        <w:t xml:space="preserve"> testimony AEP Ohio has moved to strike </w:t>
      </w:r>
      <w:r w:rsidR="000B6D7A">
        <w:rPr>
          <w:szCs w:val="24"/>
        </w:rPr>
        <w:t xml:space="preserve">– </w:t>
      </w:r>
      <w:r>
        <w:rPr>
          <w:szCs w:val="24"/>
        </w:rPr>
        <w:t>Questions 16 through 20, and 22</w:t>
      </w:r>
      <w:r w:rsidR="000B6D7A">
        <w:rPr>
          <w:szCs w:val="24"/>
        </w:rPr>
        <w:t xml:space="preserve"> – </w:t>
      </w:r>
      <w:r>
        <w:rPr>
          <w:szCs w:val="24"/>
        </w:rPr>
        <w:t>addresses the concerns explicitly expressed by this state</w:t>
      </w:r>
      <w:r w:rsidR="00A127AB">
        <w:rPr>
          <w:szCs w:val="24"/>
        </w:rPr>
        <w:t>’</w:t>
      </w:r>
      <w:r>
        <w:rPr>
          <w:szCs w:val="24"/>
        </w:rPr>
        <w:t xml:space="preserve">s highest court. </w:t>
      </w:r>
      <w:r w:rsidR="00865200">
        <w:rPr>
          <w:szCs w:val="24"/>
        </w:rPr>
        <w:t xml:space="preserve"> </w:t>
      </w:r>
      <w:r>
        <w:rPr>
          <w:szCs w:val="24"/>
        </w:rPr>
        <w:t>Specifically, Mr. Norwood addresses the germane issues regarding AEP Ohio</w:t>
      </w:r>
      <w:r w:rsidR="00A127AB">
        <w:rPr>
          <w:szCs w:val="24"/>
        </w:rPr>
        <w:t>’</w:t>
      </w:r>
      <w:r>
        <w:rPr>
          <w:szCs w:val="24"/>
        </w:rPr>
        <w:t xml:space="preserve">s lack of evidence supporting its Phase I costs including whether it was just and reasonable </w:t>
      </w:r>
      <w:r w:rsidR="00E73858">
        <w:rPr>
          <w:szCs w:val="24"/>
        </w:rPr>
        <w:t xml:space="preserve">to </w:t>
      </w:r>
      <w:r>
        <w:rPr>
          <w:szCs w:val="24"/>
        </w:rPr>
        <w:t xml:space="preserve">incur such costs without first comparing other alternatives to serve the POLR load, or whether IGCC was a reasonable generation technology to pursue in the first place. </w:t>
      </w:r>
      <w:r w:rsidR="00865200">
        <w:rPr>
          <w:szCs w:val="24"/>
        </w:rPr>
        <w:t xml:space="preserve"> </w:t>
      </w:r>
      <w:r>
        <w:rPr>
          <w:szCs w:val="24"/>
        </w:rPr>
        <w:t>But the Supreme Court decision goes completely unmentioned in AEP Ohio</w:t>
      </w:r>
      <w:r w:rsidR="00A127AB">
        <w:rPr>
          <w:szCs w:val="24"/>
        </w:rPr>
        <w:t>’</w:t>
      </w:r>
      <w:r>
        <w:rPr>
          <w:szCs w:val="24"/>
        </w:rPr>
        <w:t>s Motion to Strike.</w:t>
      </w:r>
    </w:p>
    <w:p w:rsidR="00361513" w:rsidRDefault="00361513">
      <w:pPr>
        <w:spacing w:after="0" w:line="240" w:lineRule="auto"/>
        <w:rPr>
          <w:rFonts w:ascii="Times New Roman" w:hAnsi="Times New Roman"/>
          <w:b/>
          <w:bCs/>
          <w:sz w:val="24"/>
          <w:szCs w:val="24"/>
        </w:rPr>
      </w:pPr>
      <w:r>
        <w:rPr>
          <w:rFonts w:ascii="Times New Roman" w:hAnsi="Times New Roman"/>
          <w:b/>
          <w:bCs/>
          <w:sz w:val="24"/>
          <w:szCs w:val="24"/>
        </w:rPr>
        <w:br w:type="page"/>
      </w:r>
    </w:p>
    <w:p w:rsidR="00CF072F" w:rsidRPr="000B6D7A" w:rsidRDefault="00CF072F" w:rsidP="000B6D7A">
      <w:pPr>
        <w:rPr>
          <w:rFonts w:ascii="Times New Roman" w:hAnsi="Times New Roman"/>
          <w:b/>
          <w:bCs/>
          <w:sz w:val="24"/>
          <w:szCs w:val="24"/>
        </w:rPr>
      </w:pPr>
      <w:r w:rsidRPr="000B6D7A">
        <w:rPr>
          <w:rFonts w:ascii="Times New Roman" w:hAnsi="Times New Roman"/>
          <w:b/>
          <w:bCs/>
          <w:sz w:val="24"/>
          <w:szCs w:val="24"/>
        </w:rPr>
        <w:t>I</w:t>
      </w:r>
      <w:r w:rsidR="000B6D7A">
        <w:rPr>
          <w:rFonts w:ascii="Times New Roman" w:hAnsi="Times New Roman"/>
          <w:b/>
          <w:bCs/>
          <w:sz w:val="24"/>
          <w:szCs w:val="24"/>
        </w:rPr>
        <w:t>II</w:t>
      </w:r>
      <w:r w:rsidRPr="000B6D7A">
        <w:rPr>
          <w:rFonts w:ascii="Times New Roman" w:hAnsi="Times New Roman"/>
          <w:b/>
          <w:bCs/>
          <w:sz w:val="24"/>
          <w:szCs w:val="24"/>
        </w:rPr>
        <w:t>.</w:t>
      </w:r>
      <w:r w:rsidRPr="004F6EF4">
        <w:rPr>
          <w:rFonts w:ascii="Times New Roman" w:hAnsi="Times New Roman"/>
          <w:b/>
          <w:bCs/>
          <w:sz w:val="24"/>
          <w:szCs w:val="24"/>
        </w:rPr>
        <w:tab/>
      </w:r>
      <w:r w:rsidRPr="000B6D7A">
        <w:rPr>
          <w:rFonts w:ascii="Times New Roman" w:hAnsi="Times New Roman"/>
          <w:b/>
          <w:bCs/>
          <w:sz w:val="24"/>
          <w:szCs w:val="24"/>
        </w:rPr>
        <w:t>CONCLUSION</w:t>
      </w:r>
    </w:p>
    <w:p w:rsidR="00CF072F" w:rsidRDefault="00CF072F" w:rsidP="004F6EF4">
      <w:pPr>
        <w:pStyle w:val="BodyTextIndent3"/>
        <w:widowControl w:val="0"/>
        <w:spacing w:line="480" w:lineRule="auto"/>
        <w:rPr>
          <w:szCs w:val="24"/>
        </w:rPr>
      </w:pPr>
      <w:r>
        <w:rPr>
          <w:szCs w:val="24"/>
        </w:rPr>
        <w:t>Mr. Norwood</w:t>
      </w:r>
      <w:r w:rsidR="00A127AB">
        <w:rPr>
          <w:szCs w:val="24"/>
        </w:rPr>
        <w:t>’</w:t>
      </w:r>
      <w:r>
        <w:rPr>
          <w:szCs w:val="24"/>
        </w:rPr>
        <w:t>s testimony, addressing the just reasonableness of the Phase I costs is certainly relevant to issues set forth by the Supreme Court of Ohio</w:t>
      </w:r>
      <w:r w:rsidR="00A127AB">
        <w:rPr>
          <w:szCs w:val="24"/>
        </w:rPr>
        <w:t>’</w:t>
      </w:r>
      <w:r>
        <w:rPr>
          <w:szCs w:val="24"/>
        </w:rPr>
        <w:t>s reversal and remand</w:t>
      </w:r>
      <w:r w:rsidR="00BC3FEC">
        <w:rPr>
          <w:szCs w:val="24"/>
        </w:rPr>
        <w:t xml:space="preserve"> as well as the remand testimony filed by AEP Ohio</w:t>
      </w:r>
      <w:r>
        <w:rPr>
          <w:szCs w:val="24"/>
        </w:rPr>
        <w:t xml:space="preserve">. </w:t>
      </w:r>
      <w:r w:rsidR="00865200">
        <w:rPr>
          <w:szCs w:val="24"/>
        </w:rPr>
        <w:t xml:space="preserve"> </w:t>
      </w:r>
      <w:r>
        <w:rPr>
          <w:szCs w:val="24"/>
        </w:rPr>
        <w:t>Furthermore, Mr. Norwood</w:t>
      </w:r>
      <w:r w:rsidR="00A127AB">
        <w:rPr>
          <w:szCs w:val="24"/>
        </w:rPr>
        <w:t>’</w:t>
      </w:r>
      <w:r>
        <w:rPr>
          <w:szCs w:val="24"/>
        </w:rPr>
        <w:t>s testimony is not an attempt to relitigate issues previously decided by the PUCO, but rather is consistent with issues the Court directed the PUCO to address on remand</w:t>
      </w:r>
      <w:r w:rsidR="00BC3FEC">
        <w:rPr>
          <w:szCs w:val="24"/>
        </w:rPr>
        <w:t>.</w:t>
      </w:r>
      <w:r>
        <w:rPr>
          <w:szCs w:val="24"/>
        </w:rPr>
        <w:t xml:space="preserve">  For that reason, the PUCO should deny AEP Ohio</w:t>
      </w:r>
      <w:r w:rsidR="00A127AB">
        <w:rPr>
          <w:szCs w:val="24"/>
        </w:rPr>
        <w:t>’</w:t>
      </w:r>
      <w:r>
        <w:rPr>
          <w:szCs w:val="24"/>
        </w:rPr>
        <w:t>s Motion to Strike portions of OCC witness Scott Norwood</w:t>
      </w:r>
      <w:r w:rsidR="00A127AB">
        <w:rPr>
          <w:szCs w:val="24"/>
        </w:rPr>
        <w:t>’</w:t>
      </w:r>
      <w:r>
        <w:rPr>
          <w:szCs w:val="24"/>
        </w:rPr>
        <w:t>s Direct Testimony.</w:t>
      </w:r>
    </w:p>
    <w:p w:rsidR="00CF072F" w:rsidRDefault="00CF072F" w:rsidP="00C5238D">
      <w:pPr>
        <w:pStyle w:val="BodyTextIndent3"/>
        <w:widowControl w:val="0"/>
        <w:spacing w:line="240" w:lineRule="auto"/>
        <w:ind w:left="4320" w:right="-672" w:firstLine="0"/>
        <w:rPr>
          <w:szCs w:val="24"/>
        </w:rPr>
      </w:pPr>
      <w:r w:rsidRPr="00775885">
        <w:rPr>
          <w:szCs w:val="24"/>
        </w:rPr>
        <w:t>Respectfully submitted,</w:t>
      </w:r>
    </w:p>
    <w:p w:rsidR="00CF072F" w:rsidRPr="00775885" w:rsidRDefault="00CF072F" w:rsidP="00C5238D">
      <w:pPr>
        <w:pStyle w:val="BodyTextIndent3"/>
        <w:widowControl w:val="0"/>
        <w:spacing w:line="240" w:lineRule="auto"/>
        <w:ind w:left="4320" w:right="-672" w:firstLine="0"/>
        <w:rPr>
          <w:szCs w:val="24"/>
        </w:rPr>
      </w:pPr>
    </w:p>
    <w:p w:rsidR="00CF072F" w:rsidRPr="00775885" w:rsidRDefault="00CF072F" w:rsidP="00C5238D">
      <w:pPr>
        <w:pStyle w:val="Footer"/>
        <w:tabs>
          <w:tab w:val="clear" w:pos="8640"/>
          <w:tab w:val="left" w:pos="4320"/>
        </w:tabs>
        <w:ind w:left="4320"/>
        <w:rPr>
          <w:sz w:val="24"/>
          <w:szCs w:val="24"/>
        </w:rPr>
      </w:pPr>
      <w:r w:rsidRPr="00775885">
        <w:rPr>
          <w:sz w:val="24"/>
          <w:szCs w:val="24"/>
        </w:rPr>
        <w:t>BRUCE J. WESTON</w:t>
      </w:r>
    </w:p>
    <w:p w:rsidR="00CF072F" w:rsidRPr="00775885" w:rsidRDefault="00CF072F" w:rsidP="00C5238D">
      <w:pPr>
        <w:tabs>
          <w:tab w:val="left" w:pos="4320"/>
        </w:tabs>
        <w:spacing w:after="0" w:line="240" w:lineRule="auto"/>
        <w:ind w:left="4320"/>
        <w:rPr>
          <w:rFonts w:ascii="Times New Roman" w:hAnsi="Times New Roman"/>
          <w:sz w:val="24"/>
          <w:szCs w:val="24"/>
        </w:rPr>
      </w:pPr>
      <w:r w:rsidRPr="00775885">
        <w:rPr>
          <w:rFonts w:ascii="Times New Roman" w:hAnsi="Times New Roman"/>
          <w:sz w:val="24"/>
          <w:szCs w:val="24"/>
        </w:rPr>
        <w:t>OHIO CONSUMERS</w:t>
      </w:r>
      <w:r w:rsidR="00A127AB">
        <w:rPr>
          <w:rFonts w:ascii="Times New Roman" w:hAnsi="Times New Roman"/>
          <w:sz w:val="24"/>
          <w:szCs w:val="24"/>
        </w:rPr>
        <w:t>’</w:t>
      </w:r>
      <w:r w:rsidRPr="00775885">
        <w:rPr>
          <w:rFonts w:ascii="Times New Roman" w:hAnsi="Times New Roman"/>
          <w:sz w:val="24"/>
          <w:szCs w:val="24"/>
        </w:rPr>
        <w:t xml:space="preserve"> COUNSEL</w:t>
      </w:r>
    </w:p>
    <w:p w:rsidR="00CF072F" w:rsidRPr="00775885" w:rsidRDefault="00CF072F" w:rsidP="00C5238D">
      <w:pPr>
        <w:tabs>
          <w:tab w:val="left" w:pos="4320"/>
        </w:tabs>
        <w:spacing w:after="0" w:line="240" w:lineRule="auto"/>
        <w:ind w:left="4320"/>
        <w:rPr>
          <w:rFonts w:ascii="Times New Roman" w:hAnsi="Times New Roman"/>
          <w:sz w:val="24"/>
          <w:szCs w:val="24"/>
        </w:rPr>
      </w:pPr>
      <w:r w:rsidRPr="00775885">
        <w:rPr>
          <w:rFonts w:ascii="Times New Roman" w:hAnsi="Times New Roman"/>
          <w:sz w:val="24"/>
          <w:szCs w:val="24"/>
        </w:rPr>
        <w:tab/>
      </w:r>
    </w:p>
    <w:p w:rsidR="00CF072F" w:rsidRPr="00775885" w:rsidRDefault="00CF072F" w:rsidP="00C5238D">
      <w:pPr>
        <w:tabs>
          <w:tab w:val="left" w:pos="4320"/>
        </w:tabs>
        <w:spacing w:after="0" w:line="240" w:lineRule="auto"/>
        <w:ind w:left="4320"/>
        <w:rPr>
          <w:rFonts w:ascii="Times New Roman" w:hAnsi="Times New Roman"/>
          <w:sz w:val="24"/>
          <w:szCs w:val="24"/>
        </w:rPr>
      </w:pPr>
      <w:r w:rsidRPr="00775885">
        <w:rPr>
          <w:rFonts w:ascii="Times New Roman" w:hAnsi="Times New Roman"/>
          <w:i/>
          <w:sz w:val="24"/>
          <w:szCs w:val="24"/>
          <w:u w:val="single"/>
        </w:rPr>
        <w:t>/s/ Maureen Grady</w:t>
      </w:r>
      <w:r w:rsidRPr="00775885">
        <w:rPr>
          <w:rFonts w:ascii="Times New Roman" w:hAnsi="Times New Roman"/>
          <w:sz w:val="24"/>
          <w:szCs w:val="24"/>
        </w:rPr>
        <w:t>_______________</w:t>
      </w:r>
    </w:p>
    <w:p w:rsidR="00361513" w:rsidRDefault="00CF072F" w:rsidP="00C5238D">
      <w:pPr>
        <w:tabs>
          <w:tab w:val="left" w:pos="4320"/>
        </w:tabs>
        <w:spacing w:after="0" w:line="240" w:lineRule="auto"/>
        <w:ind w:left="4320"/>
        <w:rPr>
          <w:rFonts w:ascii="Times New Roman" w:hAnsi="Times New Roman"/>
          <w:sz w:val="24"/>
          <w:szCs w:val="24"/>
        </w:rPr>
      </w:pPr>
      <w:r w:rsidRPr="00775885">
        <w:rPr>
          <w:rFonts w:ascii="Times New Roman" w:hAnsi="Times New Roman"/>
          <w:sz w:val="24"/>
          <w:szCs w:val="24"/>
        </w:rPr>
        <w:t xml:space="preserve">Maureen </w:t>
      </w:r>
      <w:r>
        <w:rPr>
          <w:rFonts w:ascii="Times New Roman" w:hAnsi="Times New Roman"/>
          <w:sz w:val="24"/>
          <w:szCs w:val="24"/>
        </w:rPr>
        <w:t xml:space="preserve">R. </w:t>
      </w:r>
      <w:r w:rsidRPr="00775885">
        <w:rPr>
          <w:rFonts w:ascii="Times New Roman" w:hAnsi="Times New Roman"/>
          <w:sz w:val="24"/>
          <w:szCs w:val="24"/>
        </w:rPr>
        <w:t xml:space="preserve">Grady </w:t>
      </w:r>
      <w:r w:rsidR="00361513">
        <w:rPr>
          <w:rFonts w:ascii="Times New Roman" w:hAnsi="Times New Roman"/>
          <w:sz w:val="24"/>
          <w:szCs w:val="24"/>
        </w:rPr>
        <w:t>(Reg. No. 0020847)</w:t>
      </w:r>
    </w:p>
    <w:p w:rsidR="00CF072F" w:rsidRPr="00775885" w:rsidRDefault="00CF072F" w:rsidP="00C5238D">
      <w:pPr>
        <w:tabs>
          <w:tab w:val="left" w:pos="4320"/>
        </w:tabs>
        <w:spacing w:after="0" w:line="240" w:lineRule="auto"/>
        <w:ind w:left="4320"/>
        <w:rPr>
          <w:rFonts w:ascii="Times New Roman" w:hAnsi="Times New Roman"/>
          <w:sz w:val="24"/>
          <w:szCs w:val="24"/>
        </w:rPr>
      </w:pPr>
      <w:r w:rsidRPr="00775885">
        <w:rPr>
          <w:rFonts w:ascii="Times New Roman" w:hAnsi="Times New Roman"/>
          <w:sz w:val="24"/>
          <w:szCs w:val="24"/>
        </w:rPr>
        <w:t>Counsel of Record</w:t>
      </w:r>
    </w:p>
    <w:p w:rsidR="00CF072F" w:rsidRPr="00775885" w:rsidRDefault="00CF072F" w:rsidP="00C5238D">
      <w:pPr>
        <w:tabs>
          <w:tab w:val="left" w:pos="4320"/>
        </w:tabs>
        <w:spacing w:after="0" w:line="240" w:lineRule="auto"/>
        <w:ind w:left="4320"/>
        <w:rPr>
          <w:rFonts w:ascii="Times New Roman" w:hAnsi="Times New Roman"/>
          <w:sz w:val="24"/>
          <w:szCs w:val="24"/>
        </w:rPr>
      </w:pPr>
      <w:r w:rsidRPr="00775885">
        <w:rPr>
          <w:rFonts w:ascii="Times New Roman" w:hAnsi="Times New Roman"/>
          <w:sz w:val="24"/>
          <w:szCs w:val="24"/>
        </w:rPr>
        <w:t>Michael J. Schuler</w:t>
      </w:r>
      <w:r>
        <w:rPr>
          <w:rFonts w:ascii="Times New Roman" w:hAnsi="Times New Roman"/>
          <w:sz w:val="24"/>
          <w:szCs w:val="24"/>
        </w:rPr>
        <w:t xml:space="preserve"> (</w:t>
      </w:r>
      <w:r w:rsidR="00361513">
        <w:rPr>
          <w:rFonts w:ascii="Times New Roman" w:hAnsi="Times New Roman"/>
          <w:sz w:val="24"/>
          <w:szCs w:val="24"/>
        </w:rPr>
        <w:t xml:space="preserve">Reg. No. </w:t>
      </w:r>
      <w:r>
        <w:rPr>
          <w:rFonts w:ascii="Times New Roman" w:hAnsi="Times New Roman"/>
          <w:sz w:val="24"/>
          <w:szCs w:val="24"/>
        </w:rPr>
        <w:t>0082390)</w:t>
      </w:r>
    </w:p>
    <w:p w:rsidR="00CF072F" w:rsidRPr="00775885" w:rsidRDefault="00CF072F" w:rsidP="00C5238D">
      <w:pPr>
        <w:tabs>
          <w:tab w:val="left" w:pos="4320"/>
        </w:tabs>
        <w:spacing w:after="0" w:line="240" w:lineRule="auto"/>
        <w:ind w:left="4320"/>
        <w:rPr>
          <w:rFonts w:ascii="Times New Roman" w:hAnsi="Times New Roman"/>
          <w:sz w:val="24"/>
          <w:szCs w:val="24"/>
        </w:rPr>
      </w:pPr>
      <w:r w:rsidRPr="00775885">
        <w:rPr>
          <w:rFonts w:ascii="Times New Roman" w:hAnsi="Times New Roman"/>
          <w:sz w:val="24"/>
          <w:szCs w:val="24"/>
        </w:rPr>
        <w:t>Joseph P. Serio</w:t>
      </w:r>
      <w:r>
        <w:rPr>
          <w:rFonts w:ascii="Times New Roman" w:hAnsi="Times New Roman"/>
          <w:sz w:val="24"/>
          <w:szCs w:val="24"/>
        </w:rPr>
        <w:t xml:space="preserve"> (</w:t>
      </w:r>
      <w:r w:rsidR="00361513">
        <w:rPr>
          <w:rFonts w:ascii="Times New Roman" w:hAnsi="Times New Roman"/>
          <w:sz w:val="24"/>
          <w:szCs w:val="24"/>
        </w:rPr>
        <w:t xml:space="preserve">Reg. No. </w:t>
      </w:r>
      <w:r>
        <w:rPr>
          <w:rFonts w:ascii="Times New Roman" w:hAnsi="Times New Roman"/>
          <w:sz w:val="24"/>
          <w:szCs w:val="24"/>
        </w:rPr>
        <w:t>0036959)</w:t>
      </w:r>
    </w:p>
    <w:p w:rsidR="00CF072F" w:rsidRPr="00775885" w:rsidRDefault="00CF072F" w:rsidP="00C5238D">
      <w:pPr>
        <w:tabs>
          <w:tab w:val="left" w:pos="4320"/>
        </w:tabs>
        <w:spacing w:after="0" w:line="240" w:lineRule="auto"/>
        <w:ind w:left="4320"/>
        <w:rPr>
          <w:rFonts w:ascii="Times New Roman" w:hAnsi="Times New Roman"/>
          <w:sz w:val="24"/>
          <w:szCs w:val="24"/>
        </w:rPr>
      </w:pPr>
      <w:r w:rsidRPr="00775885">
        <w:rPr>
          <w:rFonts w:ascii="Times New Roman" w:hAnsi="Times New Roman"/>
          <w:sz w:val="24"/>
          <w:szCs w:val="24"/>
        </w:rPr>
        <w:t>Assistant Consumers</w:t>
      </w:r>
      <w:r w:rsidR="00A127AB">
        <w:rPr>
          <w:rFonts w:ascii="Times New Roman" w:hAnsi="Times New Roman"/>
          <w:sz w:val="24"/>
          <w:szCs w:val="24"/>
        </w:rPr>
        <w:t>’</w:t>
      </w:r>
      <w:r w:rsidRPr="00775885">
        <w:rPr>
          <w:rFonts w:ascii="Times New Roman" w:hAnsi="Times New Roman"/>
          <w:sz w:val="24"/>
          <w:szCs w:val="24"/>
        </w:rPr>
        <w:t xml:space="preserve"> Counsel</w:t>
      </w:r>
    </w:p>
    <w:p w:rsidR="00CF072F" w:rsidRPr="00775885" w:rsidRDefault="00CF072F" w:rsidP="00C5238D">
      <w:pPr>
        <w:pStyle w:val="Heading1"/>
        <w:ind w:left="4320" w:right="-648"/>
        <w:rPr>
          <w:u w:val="none"/>
        </w:rPr>
      </w:pPr>
      <w:r w:rsidRPr="00775885">
        <w:rPr>
          <w:u w:val="none"/>
        </w:rPr>
        <w:tab/>
      </w:r>
    </w:p>
    <w:p w:rsidR="00CF072F" w:rsidRPr="00775885" w:rsidRDefault="00CF072F" w:rsidP="00C5238D">
      <w:pPr>
        <w:pStyle w:val="Heading1"/>
        <w:ind w:left="4320" w:right="-648"/>
        <w:rPr>
          <w:u w:val="none"/>
        </w:rPr>
      </w:pPr>
      <w:r w:rsidRPr="00775885">
        <w:rPr>
          <w:u w:val="none"/>
        </w:rPr>
        <w:t>Office of the Ohio Consumers</w:t>
      </w:r>
      <w:r w:rsidR="00A127AB">
        <w:rPr>
          <w:u w:val="none"/>
        </w:rPr>
        <w:t>’</w:t>
      </w:r>
      <w:r w:rsidRPr="00775885">
        <w:rPr>
          <w:u w:val="none"/>
        </w:rPr>
        <w:t xml:space="preserve"> Counsel</w:t>
      </w:r>
    </w:p>
    <w:p w:rsidR="00CF072F" w:rsidRPr="00775885" w:rsidRDefault="00CF072F" w:rsidP="00C5238D">
      <w:pPr>
        <w:pStyle w:val="Heading1"/>
        <w:ind w:left="4320" w:right="-648"/>
        <w:rPr>
          <w:b w:val="0"/>
          <w:u w:val="none"/>
        </w:rPr>
      </w:pPr>
      <w:r w:rsidRPr="00775885">
        <w:rPr>
          <w:b w:val="0"/>
          <w:u w:val="none"/>
        </w:rPr>
        <w:t>10 West Broad Street, Suite 1800</w:t>
      </w:r>
    </w:p>
    <w:p w:rsidR="00CF072F" w:rsidRPr="00775885" w:rsidRDefault="00CF072F" w:rsidP="00C5238D">
      <w:pPr>
        <w:pStyle w:val="Heading1"/>
        <w:ind w:left="4320" w:right="-648"/>
        <w:rPr>
          <w:b w:val="0"/>
          <w:u w:val="none"/>
        </w:rPr>
      </w:pPr>
      <w:r w:rsidRPr="00775885">
        <w:rPr>
          <w:b w:val="0"/>
          <w:u w:val="none"/>
        </w:rPr>
        <w:t>Columbus, Ohio 43215-3485</w:t>
      </w:r>
    </w:p>
    <w:p w:rsidR="00CF072F" w:rsidRPr="00775885" w:rsidRDefault="00CF072F" w:rsidP="00C5238D">
      <w:pPr>
        <w:spacing w:after="0" w:line="240" w:lineRule="auto"/>
        <w:ind w:left="4320"/>
        <w:rPr>
          <w:rFonts w:ascii="Times New Roman" w:hAnsi="Times New Roman"/>
          <w:sz w:val="24"/>
          <w:szCs w:val="24"/>
        </w:rPr>
      </w:pPr>
      <w:r w:rsidRPr="00775885">
        <w:rPr>
          <w:rFonts w:ascii="Times New Roman" w:hAnsi="Times New Roman"/>
          <w:sz w:val="24"/>
          <w:szCs w:val="24"/>
        </w:rPr>
        <w:t>Telephone: (614) 466-9567 (Grady)</w:t>
      </w:r>
    </w:p>
    <w:p w:rsidR="00CF072F" w:rsidRPr="00775885" w:rsidRDefault="00CF072F" w:rsidP="00C5238D">
      <w:pPr>
        <w:autoSpaceDE w:val="0"/>
        <w:autoSpaceDN w:val="0"/>
        <w:adjustRightInd w:val="0"/>
        <w:spacing w:after="0" w:line="240" w:lineRule="auto"/>
        <w:ind w:left="4320"/>
        <w:rPr>
          <w:rFonts w:ascii="Times New Roman" w:hAnsi="Times New Roman"/>
          <w:sz w:val="24"/>
          <w:szCs w:val="24"/>
        </w:rPr>
      </w:pPr>
      <w:r w:rsidRPr="00775885">
        <w:rPr>
          <w:rFonts w:ascii="Times New Roman" w:hAnsi="Times New Roman"/>
          <w:sz w:val="24"/>
          <w:szCs w:val="24"/>
        </w:rPr>
        <w:t>Telephone: (614) 466-9547 (Schuler</w:t>
      </w:r>
      <w:r>
        <w:rPr>
          <w:rFonts w:ascii="Times New Roman" w:hAnsi="Times New Roman"/>
          <w:sz w:val="24"/>
          <w:szCs w:val="24"/>
        </w:rPr>
        <w:t>)</w:t>
      </w:r>
    </w:p>
    <w:p w:rsidR="00CF072F" w:rsidRPr="00775885" w:rsidRDefault="00CF072F" w:rsidP="00C5238D">
      <w:pPr>
        <w:autoSpaceDE w:val="0"/>
        <w:autoSpaceDN w:val="0"/>
        <w:adjustRightInd w:val="0"/>
        <w:spacing w:after="0" w:line="240" w:lineRule="auto"/>
        <w:ind w:left="4320"/>
        <w:rPr>
          <w:rFonts w:ascii="Times New Roman" w:hAnsi="Times New Roman"/>
          <w:sz w:val="24"/>
          <w:szCs w:val="24"/>
        </w:rPr>
      </w:pPr>
      <w:r w:rsidRPr="00775885">
        <w:rPr>
          <w:rFonts w:ascii="Times New Roman" w:hAnsi="Times New Roman"/>
          <w:sz w:val="24"/>
          <w:szCs w:val="24"/>
        </w:rPr>
        <w:t>Telephone: (614)466-9565 (Serio</w:t>
      </w:r>
      <w:r>
        <w:rPr>
          <w:rFonts w:ascii="Times New Roman" w:hAnsi="Times New Roman"/>
          <w:sz w:val="24"/>
          <w:szCs w:val="24"/>
        </w:rPr>
        <w:t>)</w:t>
      </w:r>
    </w:p>
    <w:p w:rsidR="00CF072F" w:rsidRDefault="00CF072F" w:rsidP="00C5238D">
      <w:pPr>
        <w:autoSpaceDE w:val="0"/>
        <w:autoSpaceDN w:val="0"/>
        <w:adjustRightInd w:val="0"/>
        <w:spacing w:after="0" w:line="240" w:lineRule="auto"/>
        <w:ind w:left="4320"/>
        <w:rPr>
          <w:rFonts w:ascii="Times New Roman" w:hAnsi="Times New Roman"/>
          <w:sz w:val="24"/>
          <w:szCs w:val="24"/>
        </w:rPr>
      </w:pPr>
      <w:r w:rsidRPr="00574B75">
        <w:rPr>
          <w:rFonts w:ascii="Times New Roman" w:hAnsi="Times New Roman"/>
          <w:sz w:val="24"/>
          <w:szCs w:val="24"/>
        </w:rPr>
        <w:t>Maureen.grady@occ.ohio.gov</w:t>
      </w:r>
    </w:p>
    <w:p w:rsidR="00CF072F" w:rsidRDefault="00CF072F" w:rsidP="00C5238D">
      <w:pPr>
        <w:spacing w:after="0" w:line="240" w:lineRule="auto"/>
        <w:ind w:left="4320"/>
        <w:rPr>
          <w:rFonts w:ascii="Times New Roman" w:hAnsi="Times New Roman"/>
          <w:sz w:val="24"/>
          <w:szCs w:val="24"/>
        </w:rPr>
      </w:pPr>
      <w:r w:rsidRPr="00574B75">
        <w:rPr>
          <w:rFonts w:ascii="Times New Roman" w:hAnsi="Times New Roman"/>
          <w:sz w:val="24"/>
          <w:szCs w:val="24"/>
        </w:rPr>
        <w:t>Michael.schuler@occ.ohio.gov</w:t>
      </w:r>
    </w:p>
    <w:p w:rsidR="00CF072F" w:rsidRDefault="00CF072F" w:rsidP="00C5238D">
      <w:pPr>
        <w:spacing w:after="0" w:line="240" w:lineRule="auto"/>
        <w:ind w:left="4320"/>
        <w:rPr>
          <w:rFonts w:ascii="Times New Roman" w:hAnsi="Times New Roman"/>
          <w:sz w:val="24"/>
          <w:szCs w:val="24"/>
        </w:rPr>
      </w:pPr>
      <w:r w:rsidRPr="00574B75">
        <w:rPr>
          <w:rFonts w:ascii="Times New Roman" w:hAnsi="Times New Roman"/>
          <w:sz w:val="24"/>
          <w:szCs w:val="24"/>
        </w:rPr>
        <w:t>Joseph.serio@occ.ohio.gov</w:t>
      </w:r>
    </w:p>
    <w:p w:rsidR="00CF072F" w:rsidRDefault="00CF072F" w:rsidP="00C5238D">
      <w:pPr>
        <w:spacing w:after="0" w:line="240" w:lineRule="auto"/>
        <w:ind w:left="4320"/>
        <w:rPr>
          <w:rFonts w:ascii="Times New Roman" w:hAnsi="Times New Roman"/>
          <w:sz w:val="24"/>
          <w:szCs w:val="24"/>
        </w:rPr>
      </w:pPr>
    </w:p>
    <w:p w:rsidR="00CF072F" w:rsidRDefault="00CF072F" w:rsidP="00C5238D">
      <w:pPr>
        <w:spacing w:after="0" w:line="240" w:lineRule="auto"/>
        <w:ind w:left="4320"/>
        <w:rPr>
          <w:rFonts w:ascii="Times New Roman" w:hAnsi="Times New Roman"/>
          <w:sz w:val="24"/>
          <w:szCs w:val="24"/>
        </w:rPr>
      </w:pPr>
    </w:p>
    <w:p w:rsidR="00CF072F" w:rsidRDefault="00CF072F" w:rsidP="00C5238D">
      <w:pPr>
        <w:rPr>
          <w:rFonts w:ascii="Times New Roman" w:hAnsi="Times New Roman"/>
          <w:sz w:val="24"/>
          <w:szCs w:val="24"/>
        </w:rPr>
      </w:pPr>
      <w:r>
        <w:rPr>
          <w:rFonts w:ascii="Times New Roman" w:hAnsi="Times New Roman"/>
          <w:sz w:val="24"/>
          <w:szCs w:val="24"/>
        </w:rPr>
        <w:br w:type="page"/>
      </w:r>
    </w:p>
    <w:p w:rsidR="00CF072F" w:rsidRPr="000855A1" w:rsidRDefault="00CF072F" w:rsidP="000855A1">
      <w:pPr>
        <w:spacing w:after="0" w:line="240" w:lineRule="auto"/>
        <w:jc w:val="center"/>
        <w:rPr>
          <w:rFonts w:ascii="Times New Roman" w:hAnsi="Times New Roman"/>
          <w:b/>
          <w:bCs/>
          <w:sz w:val="24"/>
          <w:szCs w:val="20"/>
          <w:u w:val="single"/>
        </w:rPr>
      </w:pPr>
      <w:r w:rsidRPr="000855A1">
        <w:rPr>
          <w:rFonts w:ascii="Times New Roman" w:hAnsi="Times New Roman"/>
          <w:b/>
          <w:bCs/>
          <w:sz w:val="24"/>
          <w:szCs w:val="20"/>
          <w:u w:val="single"/>
        </w:rPr>
        <w:t>CERTIFICATE OF SERVICE</w:t>
      </w:r>
    </w:p>
    <w:p w:rsidR="00CF072F" w:rsidRPr="000855A1" w:rsidRDefault="00CF072F" w:rsidP="000855A1">
      <w:pPr>
        <w:spacing w:after="0" w:line="480" w:lineRule="atLeast"/>
        <w:rPr>
          <w:rFonts w:ascii="Times New Roman" w:hAnsi="Times New Roman"/>
          <w:sz w:val="24"/>
          <w:szCs w:val="20"/>
        </w:rPr>
      </w:pPr>
      <w:r w:rsidRPr="000855A1">
        <w:rPr>
          <w:rFonts w:ascii="Times New Roman" w:hAnsi="Times New Roman"/>
          <w:sz w:val="24"/>
          <w:szCs w:val="20"/>
        </w:rPr>
        <w:tab/>
        <w:t>I hereby certify that a copy of th</w:t>
      </w:r>
      <w:r>
        <w:rPr>
          <w:rFonts w:ascii="Times New Roman" w:hAnsi="Times New Roman"/>
          <w:sz w:val="24"/>
          <w:szCs w:val="20"/>
        </w:rPr>
        <w:t xml:space="preserve">e </w:t>
      </w:r>
      <w:r>
        <w:rPr>
          <w:rFonts w:ascii="Times New Roman" w:hAnsi="Times New Roman"/>
          <w:i/>
          <w:sz w:val="24"/>
          <w:szCs w:val="20"/>
        </w:rPr>
        <w:t>Memorandum Contra Ohio Power</w:t>
      </w:r>
      <w:r w:rsidR="00A127AB">
        <w:rPr>
          <w:rFonts w:ascii="Times New Roman" w:hAnsi="Times New Roman"/>
          <w:i/>
          <w:sz w:val="24"/>
          <w:szCs w:val="20"/>
        </w:rPr>
        <w:t>’</w:t>
      </w:r>
      <w:r>
        <w:rPr>
          <w:rFonts w:ascii="Times New Roman" w:hAnsi="Times New Roman"/>
          <w:i/>
          <w:sz w:val="24"/>
          <w:szCs w:val="20"/>
        </w:rPr>
        <w:t xml:space="preserve">s Motion to Strike </w:t>
      </w:r>
      <w:r>
        <w:rPr>
          <w:rFonts w:ascii="Times New Roman" w:hAnsi="Times New Roman"/>
          <w:sz w:val="24"/>
          <w:szCs w:val="20"/>
        </w:rPr>
        <w:t xml:space="preserve">was </w:t>
      </w:r>
      <w:r w:rsidRPr="000855A1">
        <w:rPr>
          <w:rFonts w:ascii="Times New Roman" w:hAnsi="Times New Roman"/>
          <w:sz w:val="24"/>
          <w:szCs w:val="20"/>
        </w:rPr>
        <w:t xml:space="preserve">served on the persons stated below </w:t>
      </w:r>
      <w:r w:rsidRPr="000855A1">
        <w:rPr>
          <w:rFonts w:ascii="Times New Roman" w:hAnsi="Times New Roman"/>
          <w:i/>
          <w:sz w:val="24"/>
          <w:szCs w:val="20"/>
        </w:rPr>
        <w:t>via</w:t>
      </w:r>
      <w:r w:rsidRPr="000855A1">
        <w:rPr>
          <w:rFonts w:ascii="Times New Roman" w:hAnsi="Times New Roman"/>
          <w:sz w:val="24"/>
          <w:szCs w:val="20"/>
        </w:rPr>
        <w:t xml:space="preserve"> electronic transmission, this</w:t>
      </w:r>
      <w:r>
        <w:rPr>
          <w:rFonts w:ascii="Times New Roman" w:hAnsi="Times New Roman"/>
          <w:sz w:val="24"/>
          <w:szCs w:val="20"/>
        </w:rPr>
        <w:t xml:space="preserve"> 1</w:t>
      </w:r>
      <w:r w:rsidRPr="00F8733E">
        <w:rPr>
          <w:rFonts w:ascii="Times New Roman" w:hAnsi="Times New Roman"/>
          <w:sz w:val="24"/>
          <w:szCs w:val="20"/>
          <w:vertAlign w:val="superscript"/>
        </w:rPr>
        <w:t>st</w:t>
      </w:r>
      <w:r>
        <w:rPr>
          <w:rFonts w:ascii="Times New Roman" w:hAnsi="Times New Roman"/>
          <w:sz w:val="24"/>
          <w:szCs w:val="20"/>
        </w:rPr>
        <w:t xml:space="preserve"> </w:t>
      </w:r>
      <w:r w:rsidRPr="000855A1">
        <w:rPr>
          <w:rFonts w:ascii="Times New Roman" w:hAnsi="Times New Roman"/>
          <w:sz w:val="24"/>
          <w:szCs w:val="20"/>
        </w:rPr>
        <w:t xml:space="preserve">day of </w:t>
      </w:r>
      <w:r>
        <w:rPr>
          <w:rFonts w:ascii="Times New Roman" w:hAnsi="Times New Roman"/>
          <w:sz w:val="24"/>
          <w:szCs w:val="20"/>
        </w:rPr>
        <w:t>December</w:t>
      </w:r>
      <w:r w:rsidRPr="000855A1">
        <w:rPr>
          <w:rFonts w:ascii="Times New Roman" w:hAnsi="Times New Roman"/>
          <w:sz w:val="24"/>
          <w:szCs w:val="20"/>
        </w:rPr>
        <w:t>, 2014.</w:t>
      </w:r>
    </w:p>
    <w:p w:rsidR="00CF072F" w:rsidRPr="000855A1" w:rsidRDefault="00CF072F" w:rsidP="000855A1">
      <w:pPr>
        <w:spacing w:after="0" w:line="480" w:lineRule="atLeast"/>
        <w:rPr>
          <w:rFonts w:ascii="Times New Roman" w:hAnsi="Times New Roman"/>
          <w:sz w:val="24"/>
          <w:szCs w:val="20"/>
        </w:rPr>
      </w:pPr>
    </w:p>
    <w:p w:rsidR="00CF072F" w:rsidRPr="000855A1" w:rsidRDefault="00CF072F" w:rsidP="000855A1">
      <w:pPr>
        <w:tabs>
          <w:tab w:val="left" w:pos="4320"/>
        </w:tabs>
        <w:spacing w:after="0" w:line="240" w:lineRule="auto"/>
        <w:rPr>
          <w:rFonts w:ascii="Times New Roman" w:hAnsi="Times New Roman"/>
          <w:sz w:val="24"/>
          <w:szCs w:val="20"/>
        </w:rPr>
      </w:pPr>
      <w:r w:rsidRPr="000855A1">
        <w:rPr>
          <w:rFonts w:ascii="Times New Roman" w:hAnsi="Times New Roman"/>
          <w:sz w:val="24"/>
          <w:szCs w:val="20"/>
        </w:rPr>
        <w:tab/>
      </w:r>
      <w:r w:rsidRPr="000855A1">
        <w:rPr>
          <w:rFonts w:ascii="Times New Roman" w:hAnsi="Times New Roman"/>
          <w:i/>
          <w:sz w:val="24"/>
          <w:szCs w:val="20"/>
          <w:u w:val="single"/>
        </w:rPr>
        <w:t xml:space="preserve">/s/ </w:t>
      </w:r>
      <w:r>
        <w:rPr>
          <w:rFonts w:ascii="Times New Roman" w:hAnsi="Times New Roman"/>
          <w:i/>
          <w:sz w:val="24"/>
          <w:szCs w:val="20"/>
          <w:u w:val="single"/>
        </w:rPr>
        <w:t>Maureen R. Grady</w:t>
      </w:r>
      <w:r w:rsidRPr="000855A1">
        <w:rPr>
          <w:rFonts w:ascii="Times New Roman" w:hAnsi="Times New Roman"/>
          <w:sz w:val="24"/>
          <w:szCs w:val="20"/>
        </w:rPr>
        <w:t>______________</w:t>
      </w:r>
    </w:p>
    <w:p w:rsidR="00CF072F" w:rsidRPr="000855A1" w:rsidRDefault="00CF072F" w:rsidP="000855A1">
      <w:pPr>
        <w:tabs>
          <w:tab w:val="left" w:pos="4320"/>
        </w:tabs>
        <w:spacing w:after="0" w:line="240" w:lineRule="auto"/>
        <w:rPr>
          <w:rFonts w:ascii="Times New Roman" w:hAnsi="Times New Roman"/>
          <w:sz w:val="24"/>
          <w:szCs w:val="20"/>
        </w:rPr>
      </w:pPr>
      <w:r w:rsidRPr="000855A1">
        <w:rPr>
          <w:rFonts w:ascii="Times New Roman" w:hAnsi="Times New Roman"/>
          <w:sz w:val="24"/>
          <w:szCs w:val="20"/>
        </w:rPr>
        <w:tab/>
      </w:r>
      <w:r>
        <w:rPr>
          <w:rFonts w:ascii="Times New Roman" w:hAnsi="Times New Roman"/>
          <w:sz w:val="24"/>
          <w:szCs w:val="20"/>
        </w:rPr>
        <w:t>Maureen R. Grady</w:t>
      </w:r>
    </w:p>
    <w:p w:rsidR="00CF072F" w:rsidRPr="000855A1" w:rsidRDefault="00CF072F" w:rsidP="000855A1">
      <w:pPr>
        <w:tabs>
          <w:tab w:val="left" w:pos="4320"/>
        </w:tabs>
        <w:spacing w:after="0" w:line="240" w:lineRule="auto"/>
        <w:rPr>
          <w:rFonts w:ascii="Times New Roman" w:hAnsi="Times New Roman"/>
          <w:sz w:val="24"/>
          <w:szCs w:val="20"/>
        </w:rPr>
      </w:pPr>
      <w:r w:rsidRPr="000855A1">
        <w:rPr>
          <w:rFonts w:ascii="Times New Roman" w:hAnsi="Times New Roman"/>
          <w:sz w:val="24"/>
          <w:szCs w:val="20"/>
        </w:rPr>
        <w:tab/>
        <w:t>Assistant Consumers</w:t>
      </w:r>
      <w:r w:rsidR="00A127AB">
        <w:rPr>
          <w:rFonts w:ascii="Times New Roman" w:hAnsi="Times New Roman"/>
          <w:sz w:val="24"/>
          <w:szCs w:val="20"/>
        </w:rPr>
        <w:t>’</w:t>
      </w:r>
      <w:r w:rsidRPr="000855A1">
        <w:rPr>
          <w:rFonts w:ascii="Times New Roman" w:hAnsi="Times New Roman"/>
          <w:sz w:val="24"/>
          <w:szCs w:val="20"/>
        </w:rPr>
        <w:t xml:space="preserve"> Counsel</w:t>
      </w:r>
    </w:p>
    <w:p w:rsidR="00CF072F" w:rsidRPr="000855A1" w:rsidRDefault="00CF072F" w:rsidP="000855A1">
      <w:pPr>
        <w:spacing w:after="0" w:line="240" w:lineRule="auto"/>
        <w:rPr>
          <w:rFonts w:ascii="Times New Roman" w:hAnsi="Times New Roman"/>
          <w:sz w:val="24"/>
          <w:szCs w:val="20"/>
        </w:rPr>
      </w:pPr>
    </w:p>
    <w:p w:rsidR="00CF072F" w:rsidRPr="000855A1" w:rsidRDefault="00CF072F" w:rsidP="000855A1">
      <w:pPr>
        <w:spacing w:after="0" w:line="240" w:lineRule="auto"/>
        <w:rPr>
          <w:rFonts w:ascii="Times New Roman" w:hAnsi="Times New Roman"/>
          <w:sz w:val="24"/>
          <w:szCs w:val="24"/>
        </w:rPr>
      </w:pPr>
    </w:p>
    <w:p w:rsidR="00CF072F" w:rsidRDefault="00CF072F" w:rsidP="000855A1">
      <w:pPr>
        <w:spacing w:after="0" w:line="240" w:lineRule="auto"/>
        <w:jc w:val="center"/>
        <w:rPr>
          <w:rFonts w:ascii="Times New Roman" w:hAnsi="Times New Roman"/>
          <w:b/>
          <w:sz w:val="24"/>
          <w:szCs w:val="24"/>
          <w:u w:val="single"/>
        </w:rPr>
      </w:pPr>
      <w:r w:rsidRPr="000855A1">
        <w:rPr>
          <w:rFonts w:ascii="Times New Roman" w:hAnsi="Times New Roman"/>
          <w:b/>
          <w:sz w:val="24"/>
          <w:szCs w:val="24"/>
          <w:u w:val="single"/>
        </w:rPr>
        <w:t>SERVICE LIST</w:t>
      </w:r>
    </w:p>
    <w:p w:rsidR="00CF072F" w:rsidRDefault="00CF072F" w:rsidP="000855A1">
      <w:pPr>
        <w:spacing w:after="0" w:line="240" w:lineRule="auto"/>
        <w:jc w:val="center"/>
        <w:rPr>
          <w:rFonts w:ascii="Times New Roman" w:hAnsi="Times New Roman"/>
          <w:b/>
          <w:sz w:val="24"/>
          <w:szCs w:val="24"/>
          <w:u w:val="single"/>
        </w:rPr>
      </w:pPr>
    </w:p>
    <w:tbl>
      <w:tblPr>
        <w:tblW w:w="0" w:type="auto"/>
        <w:tblInd w:w="-106" w:type="dxa"/>
        <w:tblLook w:val="00A0" w:firstRow="1" w:lastRow="0" w:firstColumn="1" w:lastColumn="0" w:noHBand="0" w:noVBand="0"/>
      </w:tblPr>
      <w:tblGrid>
        <w:gridCol w:w="4428"/>
        <w:gridCol w:w="4428"/>
      </w:tblGrid>
      <w:tr w:rsidR="00CF072F" w:rsidRPr="0021740C">
        <w:tc>
          <w:tcPr>
            <w:tcW w:w="4428" w:type="dxa"/>
          </w:tcPr>
          <w:p w:rsidR="00CF072F" w:rsidRPr="0021740C" w:rsidRDefault="00CF072F" w:rsidP="0021740C">
            <w:pPr>
              <w:spacing w:after="0" w:line="240" w:lineRule="auto"/>
              <w:rPr>
                <w:rFonts w:ascii="Times New Roman" w:hAnsi="Times New Roman"/>
                <w:sz w:val="24"/>
                <w:szCs w:val="24"/>
              </w:rPr>
            </w:pPr>
            <w:r w:rsidRPr="00574B75">
              <w:rPr>
                <w:rFonts w:ascii="Times New Roman" w:hAnsi="Times New Roman"/>
                <w:sz w:val="24"/>
                <w:szCs w:val="24"/>
              </w:rPr>
              <w:t>Thomas.mcnamee@puc.state.oh.us</w:t>
            </w:r>
          </w:p>
          <w:p w:rsidR="00CF072F" w:rsidRPr="0021740C" w:rsidRDefault="00CF072F" w:rsidP="0021740C">
            <w:pPr>
              <w:spacing w:after="0" w:line="240" w:lineRule="auto"/>
              <w:rPr>
                <w:rStyle w:val="Hyperlink"/>
                <w:rFonts w:ascii="Times New Roman" w:hAnsi="Times New Roman"/>
                <w:sz w:val="24"/>
                <w:szCs w:val="24"/>
              </w:rPr>
            </w:pPr>
            <w:r w:rsidRPr="00574B75">
              <w:rPr>
                <w:rFonts w:ascii="Times New Roman" w:hAnsi="Times New Roman"/>
                <w:sz w:val="24"/>
                <w:szCs w:val="24"/>
              </w:rPr>
              <w:t>yalami@aep.com</w:t>
            </w:r>
          </w:p>
          <w:p w:rsidR="00CF072F" w:rsidRPr="0021740C" w:rsidRDefault="00CF072F" w:rsidP="0021740C">
            <w:pPr>
              <w:spacing w:after="0" w:line="240" w:lineRule="auto"/>
              <w:rPr>
                <w:rFonts w:ascii="Times New Roman" w:hAnsi="Times New Roman"/>
                <w:sz w:val="24"/>
                <w:szCs w:val="24"/>
              </w:rPr>
            </w:pPr>
            <w:r w:rsidRPr="00574B75">
              <w:rPr>
                <w:rFonts w:ascii="Times New Roman" w:hAnsi="Times New Roman"/>
                <w:sz w:val="24"/>
                <w:szCs w:val="24"/>
              </w:rPr>
              <w:t>jrbacha@aep.com</w:t>
            </w:r>
          </w:p>
          <w:p w:rsidR="00CF072F" w:rsidRPr="0021740C" w:rsidRDefault="00CF072F" w:rsidP="0021740C">
            <w:pPr>
              <w:autoSpaceDE w:val="0"/>
              <w:autoSpaceDN w:val="0"/>
              <w:adjustRightInd w:val="0"/>
              <w:spacing w:after="0" w:line="240" w:lineRule="auto"/>
              <w:rPr>
                <w:rFonts w:ascii="Times New Roman" w:hAnsi="Times New Roman"/>
                <w:color w:val="0000FF"/>
                <w:sz w:val="24"/>
                <w:szCs w:val="24"/>
                <w:u w:val="single"/>
              </w:rPr>
            </w:pPr>
            <w:r w:rsidRPr="00574B75">
              <w:rPr>
                <w:rFonts w:ascii="Times New Roman" w:hAnsi="Times New Roman"/>
                <w:sz w:val="24"/>
                <w:szCs w:val="24"/>
              </w:rPr>
              <w:t>dconway@porterwright.com</w:t>
            </w:r>
          </w:p>
          <w:p w:rsidR="00CF072F" w:rsidRPr="0021740C" w:rsidRDefault="00CF072F" w:rsidP="0021740C">
            <w:pPr>
              <w:autoSpaceDE w:val="0"/>
              <w:autoSpaceDN w:val="0"/>
              <w:adjustRightInd w:val="0"/>
              <w:spacing w:after="0" w:line="240" w:lineRule="auto"/>
              <w:rPr>
                <w:rFonts w:ascii="Times New Roman" w:hAnsi="Times New Roman"/>
                <w:sz w:val="24"/>
                <w:szCs w:val="24"/>
              </w:rPr>
            </w:pPr>
            <w:r w:rsidRPr="00574B75">
              <w:rPr>
                <w:rFonts w:ascii="Times New Roman" w:hAnsi="Times New Roman"/>
                <w:sz w:val="24"/>
                <w:szCs w:val="24"/>
              </w:rPr>
              <w:t>cblend@porterwright.com</w:t>
            </w:r>
          </w:p>
          <w:p w:rsidR="00CF072F" w:rsidRPr="0021740C" w:rsidRDefault="00CF072F" w:rsidP="0021740C">
            <w:pPr>
              <w:spacing w:after="0" w:line="240" w:lineRule="auto"/>
              <w:rPr>
                <w:rFonts w:ascii="Times New Roman" w:hAnsi="Times New Roman"/>
                <w:sz w:val="24"/>
                <w:szCs w:val="24"/>
              </w:rPr>
            </w:pPr>
            <w:r w:rsidRPr="0021740C">
              <w:rPr>
                <w:rFonts w:ascii="Times New Roman" w:hAnsi="Times New Roman"/>
                <w:color w:val="0000FF"/>
                <w:sz w:val="24"/>
                <w:szCs w:val="24"/>
                <w:u w:val="single"/>
              </w:rPr>
              <w:t>sam@mwncmh.com</w:t>
            </w:r>
          </w:p>
          <w:p w:rsidR="00CF072F" w:rsidRPr="0021740C" w:rsidRDefault="00CF072F" w:rsidP="0021740C">
            <w:pPr>
              <w:widowControl w:val="0"/>
              <w:autoSpaceDE w:val="0"/>
              <w:autoSpaceDN w:val="0"/>
              <w:adjustRightInd w:val="0"/>
              <w:spacing w:after="0" w:line="240" w:lineRule="auto"/>
              <w:rPr>
                <w:rFonts w:ascii="Times New Roman" w:hAnsi="Times New Roman"/>
                <w:sz w:val="24"/>
                <w:szCs w:val="24"/>
              </w:rPr>
            </w:pPr>
            <w:r w:rsidRPr="0021740C">
              <w:rPr>
                <w:rFonts w:ascii="Times New Roman" w:hAnsi="Times New Roman"/>
                <w:color w:val="0000FF"/>
                <w:sz w:val="24"/>
                <w:szCs w:val="24"/>
                <w:u w:val="single"/>
              </w:rPr>
              <w:t>fdarr@mwncmh.com</w:t>
            </w:r>
          </w:p>
          <w:p w:rsidR="00CF072F" w:rsidRPr="0021740C" w:rsidRDefault="00CF072F" w:rsidP="0021740C">
            <w:pPr>
              <w:widowControl w:val="0"/>
              <w:autoSpaceDE w:val="0"/>
              <w:autoSpaceDN w:val="0"/>
              <w:adjustRightInd w:val="0"/>
              <w:spacing w:after="0" w:line="240" w:lineRule="auto"/>
              <w:rPr>
                <w:rFonts w:ascii="Times New Roman" w:hAnsi="Times New Roman"/>
                <w:color w:val="0000FF"/>
                <w:sz w:val="24"/>
                <w:szCs w:val="24"/>
                <w:u w:val="single"/>
              </w:rPr>
            </w:pPr>
            <w:r w:rsidRPr="00574B75">
              <w:rPr>
                <w:rFonts w:ascii="Times New Roman" w:hAnsi="Times New Roman"/>
                <w:sz w:val="24"/>
                <w:szCs w:val="24"/>
              </w:rPr>
              <w:t>mpritchard@mwncmh.com</w:t>
            </w:r>
          </w:p>
          <w:p w:rsidR="00CF072F" w:rsidRPr="0021740C" w:rsidRDefault="00CF072F" w:rsidP="0021740C">
            <w:pPr>
              <w:widowControl w:val="0"/>
              <w:autoSpaceDE w:val="0"/>
              <w:autoSpaceDN w:val="0"/>
              <w:adjustRightInd w:val="0"/>
              <w:spacing w:after="0" w:line="240" w:lineRule="auto"/>
              <w:rPr>
                <w:rFonts w:ascii="Times New Roman" w:hAnsi="Times New Roman"/>
                <w:sz w:val="24"/>
                <w:szCs w:val="24"/>
              </w:rPr>
            </w:pPr>
            <w:r w:rsidRPr="00574B75">
              <w:rPr>
                <w:rFonts w:ascii="Times New Roman" w:hAnsi="Times New Roman"/>
                <w:sz w:val="24"/>
                <w:szCs w:val="24"/>
              </w:rPr>
              <w:t>robinson@citizenpower.com</w:t>
            </w:r>
          </w:p>
          <w:p w:rsidR="00CF072F" w:rsidRPr="0021740C" w:rsidRDefault="00CF072F" w:rsidP="0021740C">
            <w:pPr>
              <w:widowControl w:val="0"/>
              <w:autoSpaceDE w:val="0"/>
              <w:autoSpaceDN w:val="0"/>
              <w:adjustRightInd w:val="0"/>
              <w:spacing w:after="0" w:line="240" w:lineRule="auto"/>
              <w:rPr>
                <w:rFonts w:ascii="Times New Roman" w:hAnsi="Times New Roman"/>
                <w:sz w:val="24"/>
                <w:szCs w:val="24"/>
              </w:rPr>
            </w:pPr>
            <w:r w:rsidRPr="00574B75">
              <w:rPr>
                <w:rFonts w:ascii="Times New Roman" w:hAnsi="Times New Roman"/>
                <w:sz w:val="24"/>
                <w:szCs w:val="24"/>
              </w:rPr>
              <w:t>mdortch@kravitzllc.com</w:t>
            </w:r>
          </w:p>
          <w:p w:rsidR="00CF072F" w:rsidRPr="0021740C" w:rsidRDefault="00CF072F" w:rsidP="0021740C">
            <w:pPr>
              <w:widowControl w:val="0"/>
              <w:autoSpaceDE w:val="0"/>
              <w:autoSpaceDN w:val="0"/>
              <w:adjustRightInd w:val="0"/>
              <w:spacing w:after="0" w:line="240" w:lineRule="auto"/>
              <w:rPr>
                <w:rStyle w:val="Hyperlink"/>
                <w:rFonts w:ascii="Times New Roman" w:hAnsi="Times New Roman"/>
                <w:sz w:val="24"/>
                <w:szCs w:val="24"/>
              </w:rPr>
            </w:pPr>
            <w:r w:rsidRPr="00574B75">
              <w:rPr>
                <w:rFonts w:ascii="Times New Roman" w:hAnsi="Times New Roman"/>
                <w:sz w:val="24"/>
                <w:szCs w:val="24"/>
              </w:rPr>
              <w:t>Hussey@carpenterlipps.com</w:t>
            </w:r>
          </w:p>
          <w:p w:rsidR="00CF072F" w:rsidRPr="0021740C" w:rsidRDefault="00CF072F" w:rsidP="0021740C">
            <w:pPr>
              <w:widowControl w:val="0"/>
              <w:autoSpaceDE w:val="0"/>
              <w:autoSpaceDN w:val="0"/>
              <w:adjustRightInd w:val="0"/>
              <w:spacing w:after="0" w:line="240" w:lineRule="auto"/>
              <w:rPr>
                <w:rFonts w:ascii="Times New Roman" w:hAnsi="Times New Roman"/>
                <w:sz w:val="24"/>
                <w:szCs w:val="24"/>
              </w:rPr>
            </w:pPr>
          </w:p>
          <w:p w:rsidR="00CF072F" w:rsidRPr="0021740C" w:rsidRDefault="00CF072F" w:rsidP="0021740C">
            <w:pPr>
              <w:spacing w:after="0" w:line="240" w:lineRule="auto"/>
              <w:rPr>
                <w:rFonts w:ascii="Times New Roman" w:hAnsi="Times New Roman"/>
                <w:sz w:val="24"/>
                <w:szCs w:val="24"/>
              </w:rPr>
            </w:pPr>
          </w:p>
          <w:p w:rsidR="00CF072F" w:rsidRPr="0021740C" w:rsidRDefault="00CF072F" w:rsidP="0021740C">
            <w:pPr>
              <w:spacing w:after="0" w:line="240" w:lineRule="auto"/>
              <w:rPr>
                <w:rFonts w:ascii="Times New Roman" w:hAnsi="Times New Roman"/>
                <w:sz w:val="24"/>
                <w:szCs w:val="24"/>
              </w:rPr>
            </w:pPr>
            <w:r w:rsidRPr="0021740C">
              <w:rPr>
                <w:rFonts w:ascii="Times New Roman" w:hAnsi="Times New Roman"/>
                <w:sz w:val="24"/>
                <w:szCs w:val="24"/>
              </w:rPr>
              <w:t>Attorney Examiners:</w:t>
            </w:r>
          </w:p>
          <w:p w:rsidR="00CF072F" w:rsidRPr="0021740C" w:rsidRDefault="00CF072F" w:rsidP="0021740C">
            <w:pPr>
              <w:spacing w:after="0" w:line="240" w:lineRule="auto"/>
              <w:rPr>
                <w:rFonts w:ascii="Times New Roman" w:hAnsi="Times New Roman"/>
                <w:sz w:val="24"/>
                <w:szCs w:val="24"/>
              </w:rPr>
            </w:pPr>
          </w:p>
          <w:p w:rsidR="00CF072F" w:rsidRPr="0021740C" w:rsidRDefault="00CF072F" w:rsidP="0021740C">
            <w:pPr>
              <w:spacing w:after="0" w:line="240" w:lineRule="auto"/>
              <w:rPr>
                <w:rFonts w:ascii="Times New Roman" w:hAnsi="Times New Roman"/>
                <w:sz w:val="24"/>
                <w:szCs w:val="24"/>
              </w:rPr>
            </w:pPr>
            <w:r w:rsidRPr="00574B75">
              <w:rPr>
                <w:rFonts w:ascii="Times New Roman" w:hAnsi="Times New Roman"/>
                <w:sz w:val="24"/>
                <w:szCs w:val="24"/>
              </w:rPr>
              <w:t>Sarah.parrot@puc.state.oh.us</w:t>
            </w:r>
          </w:p>
          <w:p w:rsidR="00CF072F" w:rsidRPr="0021740C" w:rsidRDefault="00CF072F" w:rsidP="0021740C">
            <w:pPr>
              <w:spacing w:after="0" w:line="240" w:lineRule="auto"/>
              <w:rPr>
                <w:rFonts w:ascii="Times New Roman" w:hAnsi="Times New Roman"/>
                <w:sz w:val="24"/>
                <w:szCs w:val="24"/>
              </w:rPr>
            </w:pPr>
            <w:r w:rsidRPr="00574B75">
              <w:rPr>
                <w:rFonts w:ascii="Times New Roman" w:hAnsi="Times New Roman"/>
                <w:sz w:val="24"/>
                <w:szCs w:val="24"/>
              </w:rPr>
              <w:t>Greta.see@puc.state.oh.us</w:t>
            </w:r>
          </w:p>
          <w:p w:rsidR="00CF072F" w:rsidRPr="0021740C" w:rsidRDefault="00CF072F" w:rsidP="0021740C">
            <w:pPr>
              <w:spacing w:after="0" w:line="240" w:lineRule="auto"/>
              <w:rPr>
                <w:rFonts w:ascii="Times New Roman" w:hAnsi="Times New Roman"/>
                <w:sz w:val="24"/>
                <w:szCs w:val="24"/>
              </w:rPr>
            </w:pPr>
          </w:p>
        </w:tc>
        <w:tc>
          <w:tcPr>
            <w:tcW w:w="4428" w:type="dxa"/>
          </w:tcPr>
          <w:p w:rsidR="00CF072F" w:rsidRPr="0021740C" w:rsidRDefault="00CF072F" w:rsidP="0021740C">
            <w:pPr>
              <w:widowControl w:val="0"/>
              <w:autoSpaceDE w:val="0"/>
              <w:autoSpaceDN w:val="0"/>
              <w:adjustRightInd w:val="0"/>
              <w:spacing w:after="0" w:line="240" w:lineRule="auto"/>
              <w:rPr>
                <w:rFonts w:ascii="Times New Roman" w:hAnsi="Times New Roman"/>
                <w:sz w:val="24"/>
                <w:szCs w:val="24"/>
              </w:rPr>
            </w:pPr>
            <w:r w:rsidRPr="0021740C">
              <w:rPr>
                <w:rFonts w:ascii="Times New Roman" w:hAnsi="Times New Roman"/>
                <w:color w:val="0000FF"/>
                <w:sz w:val="24"/>
                <w:szCs w:val="24"/>
                <w:u w:val="single"/>
              </w:rPr>
              <w:t>dboehm@BKLlawfirm.com</w:t>
            </w:r>
          </w:p>
          <w:p w:rsidR="00CF072F" w:rsidRPr="0021740C" w:rsidRDefault="00CF072F" w:rsidP="0021740C">
            <w:pPr>
              <w:widowControl w:val="0"/>
              <w:autoSpaceDE w:val="0"/>
              <w:autoSpaceDN w:val="0"/>
              <w:adjustRightInd w:val="0"/>
              <w:spacing w:after="0" w:line="240" w:lineRule="auto"/>
              <w:rPr>
                <w:rFonts w:ascii="Times New Roman" w:hAnsi="Times New Roman"/>
                <w:sz w:val="24"/>
                <w:szCs w:val="24"/>
              </w:rPr>
            </w:pPr>
            <w:r w:rsidRPr="0021740C">
              <w:rPr>
                <w:rFonts w:ascii="Times New Roman" w:hAnsi="Times New Roman"/>
                <w:color w:val="0000FF"/>
                <w:sz w:val="24"/>
                <w:szCs w:val="24"/>
                <w:u w:val="single"/>
              </w:rPr>
              <w:t>mkurtz@BKLlawfirm.com</w:t>
            </w:r>
          </w:p>
          <w:p w:rsidR="00CF072F" w:rsidRPr="0021740C" w:rsidRDefault="00CF072F" w:rsidP="0021740C">
            <w:pPr>
              <w:widowControl w:val="0"/>
              <w:autoSpaceDE w:val="0"/>
              <w:autoSpaceDN w:val="0"/>
              <w:adjustRightInd w:val="0"/>
              <w:spacing w:after="0" w:line="240" w:lineRule="auto"/>
              <w:rPr>
                <w:rFonts w:ascii="Times New Roman" w:hAnsi="Times New Roman"/>
                <w:sz w:val="24"/>
                <w:szCs w:val="24"/>
              </w:rPr>
            </w:pPr>
            <w:r w:rsidRPr="0021740C">
              <w:rPr>
                <w:rFonts w:ascii="Times New Roman" w:hAnsi="Times New Roman"/>
                <w:color w:val="0000FF"/>
                <w:sz w:val="24"/>
                <w:szCs w:val="24"/>
                <w:u w:val="single"/>
              </w:rPr>
              <w:t>jkylercohn@BKLlawfirm.com</w:t>
            </w:r>
          </w:p>
          <w:p w:rsidR="00CF072F" w:rsidRPr="0021740C" w:rsidRDefault="00CF072F" w:rsidP="0021740C">
            <w:pPr>
              <w:widowControl w:val="0"/>
              <w:autoSpaceDE w:val="0"/>
              <w:autoSpaceDN w:val="0"/>
              <w:adjustRightInd w:val="0"/>
              <w:spacing w:after="0" w:line="240" w:lineRule="auto"/>
              <w:rPr>
                <w:rFonts w:ascii="Times New Roman" w:hAnsi="Times New Roman"/>
                <w:color w:val="0000FF"/>
                <w:sz w:val="24"/>
                <w:szCs w:val="24"/>
                <w:u w:val="single"/>
              </w:rPr>
            </w:pPr>
            <w:r w:rsidRPr="0021740C">
              <w:rPr>
                <w:rFonts w:ascii="Times New Roman" w:hAnsi="Times New Roman"/>
                <w:color w:val="0000FF"/>
                <w:sz w:val="24"/>
                <w:szCs w:val="24"/>
                <w:u w:val="single"/>
              </w:rPr>
              <w:t>mhpetricoff@vorys.com</w:t>
            </w:r>
          </w:p>
          <w:p w:rsidR="00CF072F" w:rsidRPr="0021740C" w:rsidRDefault="00CF072F" w:rsidP="0021740C">
            <w:pPr>
              <w:spacing w:after="0" w:line="240" w:lineRule="auto"/>
              <w:rPr>
                <w:rFonts w:ascii="Times New Roman" w:hAnsi="Times New Roman"/>
                <w:sz w:val="24"/>
                <w:szCs w:val="24"/>
              </w:rPr>
            </w:pPr>
            <w:r w:rsidRPr="00574B75">
              <w:rPr>
                <w:rFonts w:ascii="Times New Roman" w:hAnsi="Times New Roman"/>
                <w:sz w:val="24"/>
                <w:szCs w:val="24"/>
              </w:rPr>
              <w:t>drinebolt@ohiopartners.org</w:t>
            </w:r>
          </w:p>
          <w:p w:rsidR="00CF072F" w:rsidRPr="0021740C" w:rsidRDefault="00CF072F" w:rsidP="0021740C">
            <w:pPr>
              <w:spacing w:after="0" w:line="240" w:lineRule="auto"/>
              <w:rPr>
                <w:rFonts w:ascii="Times New Roman" w:hAnsi="Times New Roman"/>
                <w:sz w:val="24"/>
                <w:szCs w:val="24"/>
              </w:rPr>
            </w:pPr>
            <w:r w:rsidRPr="00574B75">
              <w:rPr>
                <w:rFonts w:ascii="Times New Roman" w:hAnsi="Times New Roman"/>
                <w:sz w:val="24"/>
                <w:szCs w:val="24"/>
              </w:rPr>
              <w:t>dstinson@bricker.com</w:t>
            </w:r>
          </w:p>
          <w:p w:rsidR="00CF072F" w:rsidRPr="0021740C" w:rsidRDefault="00CF072F" w:rsidP="0021740C">
            <w:pPr>
              <w:spacing w:after="0" w:line="240" w:lineRule="auto"/>
              <w:rPr>
                <w:rFonts w:ascii="Times New Roman" w:hAnsi="Times New Roman"/>
                <w:sz w:val="24"/>
                <w:szCs w:val="24"/>
              </w:rPr>
            </w:pPr>
            <w:r w:rsidRPr="00574B75">
              <w:rPr>
                <w:rFonts w:ascii="Times New Roman" w:hAnsi="Times New Roman"/>
                <w:sz w:val="24"/>
                <w:szCs w:val="24"/>
              </w:rPr>
              <w:t>kjkolich@firstenergycorp.com</w:t>
            </w:r>
          </w:p>
          <w:p w:rsidR="00CF072F" w:rsidRPr="0021740C" w:rsidRDefault="00CF072F" w:rsidP="0021740C">
            <w:pPr>
              <w:spacing w:after="0" w:line="240" w:lineRule="auto"/>
              <w:rPr>
                <w:rFonts w:ascii="Times New Roman" w:hAnsi="Times New Roman"/>
                <w:sz w:val="24"/>
                <w:szCs w:val="24"/>
              </w:rPr>
            </w:pPr>
            <w:r w:rsidRPr="00574B75">
              <w:rPr>
                <w:rFonts w:ascii="Times New Roman" w:hAnsi="Times New Roman"/>
                <w:sz w:val="24"/>
                <w:szCs w:val="24"/>
              </w:rPr>
              <w:t>jdavis@ralaw.com</w:t>
            </w:r>
          </w:p>
          <w:p w:rsidR="00CF072F" w:rsidRPr="0021740C" w:rsidRDefault="00CF072F" w:rsidP="0021740C">
            <w:pPr>
              <w:spacing w:after="0" w:line="240" w:lineRule="auto"/>
              <w:rPr>
                <w:rFonts w:ascii="Times New Roman" w:hAnsi="Times New Roman"/>
                <w:sz w:val="24"/>
                <w:szCs w:val="24"/>
              </w:rPr>
            </w:pPr>
          </w:p>
        </w:tc>
      </w:tr>
    </w:tbl>
    <w:p w:rsidR="00CF072F" w:rsidRDefault="00CF072F" w:rsidP="000855A1">
      <w:pPr>
        <w:spacing w:after="0" w:line="240" w:lineRule="auto"/>
        <w:jc w:val="center"/>
        <w:rPr>
          <w:rFonts w:ascii="Times New Roman" w:hAnsi="Times New Roman"/>
          <w:b/>
          <w:sz w:val="24"/>
          <w:szCs w:val="24"/>
          <w:u w:val="single"/>
        </w:rPr>
      </w:pPr>
    </w:p>
    <w:sectPr w:rsidR="00CF072F" w:rsidSect="0036151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72F" w:rsidRDefault="00CF072F" w:rsidP="00787C5A">
      <w:pPr>
        <w:spacing w:after="0" w:line="240" w:lineRule="auto"/>
      </w:pPr>
      <w:r>
        <w:separator/>
      </w:r>
    </w:p>
  </w:endnote>
  <w:endnote w:type="continuationSeparator" w:id="0">
    <w:p w:rsidR="00CF072F" w:rsidRDefault="00CF072F" w:rsidP="00787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75" w:rsidRDefault="00574B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72F" w:rsidRDefault="00CF072F">
    <w:pPr>
      <w:pStyle w:val="Footer"/>
      <w:jc w:val="center"/>
    </w:pPr>
    <w:r w:rsidRPr="001906BA">
      <w:rPr>
        <w:sz w:val="24"/>
        <w:szCs w:val="24"/>
      </w:rPr>
      <w:fldChar w:fldCharType="begin"/>
    </w:r>
    <w:r w:rsidRPr="001906BA">
      <w:rPr>
        <w:sz w:val="24"/>
        <w:szCs w:val="24"/>
      </w:rPr>
      <w:instrText xml:space="preserve"> PAGE   \* MERGEFORMAT </w:instrText>
    </w:r>
    <w:r w:rsidRPr="001906BA">
      <w:rPr>
        <w:sz w:val="24"/>
        <w:szCs w:val="24"/>
      </w:rPr>
      <w:fldChar w:fldCharType="separate"/>
    </w:r>
    <w:r w:rsidR="00EB171E">
      <w:rPr>
        <w:noProof/>
        <w:sz w:val="24"/>
        <w:szCs w:val="24"/>
      </w:rPr>
      <w:t>2</w:t>
    </w:r>
    <w:r w:rsidRPr="001906BA">
      <w:rPr>
        <w:sz w:val="24"/>
        <w:szCs w:val="24"/>
      </w:rPr>
      <w:fldChar w:fldCharType="end"/>
    </w:r>
  </w:p>
  <w:p w:rsidR="00CF072F" w:rsidRDefault="00CF07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75" w:rsidRDefault="00574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72F" w:rsidRDefault="00CF072F" w:rsidP="00787C5A">
      <w:pPr>
        <w:spacing w:after="0" w:line="240" w:lineRule="auto"/>
      </w:pPr>
      <w:r>
        <w:separator/>
      </w:r>
    </w:p>
  </w:footnote>
  <w:footnote w:type="continuationSeparator" w:id="0">
    <w:p w:rsidR="00CF072F" w:rsidRDefault="00CF072F" w:rsidP="00787C5A">
      <w:pPr>
        <w:spacing w:after="0" w:line="240" w:lineRule="auto"/>
      </w:pPr>
      <w:r>
        <w:continuationSeparator/>
      </w:r>
    </w:p>
  </w:footnote>
  <w:footnote w:id="1">
    <w:p w:rsidR="000B6D7A" w:rsidRDefault="000B6D7A" w:rsidP="000B6D7A">
      <w:pPr>
        <w:pStyle w:val="FootnoteText"/>
        <w:spacing w:after="120"/>
      </w:pPr>
      <w:r w:rsidRPr="00521BAE">
        <w:rPr>
          <w:rStyle w:val="FootnoteReference"/>
          <w:rFonts w:ascii="Times New Roman" w:hAnsi="Times New Roman"/>
        </w:rPr>
        <w:footnoteRef/>
      </w:r>
      <w:r w:rsidR="002A74BA">
        <w:rPr>
          <w:rFonts w:ascii="Times New Roman" w:hAnsi="Times New Roman"/>
        </w:rPr>
        <w:t xml:space="preserve"> AEP </w:t>
      </w:r>
      <w:r w:rsidRPr="00521BAE">
        <w:rPr>
          <w:rFonts w:ascii="Times New Roman" w:hAnsi="Times New Roman"/>
        </w:rPr>
        <w:t xml:space="preserve">Ohio </w:t>
      </w:r>
      <w:r>
        <w:rPr>
          <w:rFonts w:ascii="Times New Roman" w:hAnsi="Times New Roman"/>
        </w:rPr>
        <w:t>Motion to Strike at 1.</w:t>
      </w:r>
    </w:p>
  </w:footnote>
  <w:footnote w:id="2">
    <w:p w:rsidR="000B6D7A" w:rsidRDefault="000B6D7A" w:rsidP="000B6D7A">
      <w:pPr>
        <w:pStyle w:val="FootnoteText"/>
        <w:spacing w:after="120"/>
      </w:pPr>
      <w:r w:rsidRPr="00BB0135">
        <w:rPr>
          <w:rStyle w:val="FootnoteReference"/>
          <w:rFonts w:ascii="Times New Roman" w:hAnsi="Times New Roman"/>
        </w:rPr>
        <w:footnoteRef/>
      </w:r>
      <w:r w:rsidRPr="00BB0135">
        <w:rPr>
          <w:rFonts w:ascii="Times New Roman" w:hAnsi="Times New Roman"/>
        </w:rPr>
        <w:t xml:space="preserve"> Entry on Rehearing at 16.</w:t>
      </w:r>
    </w:p>
  </w:footnote>
  <w:footnote w:id="3">
    <w:p w:rsidR="00CF072F" w:rsidRDefault="00CF072F" w:rsidP="00521BAE">
      <w:pPr>
        <w:pStyle w:val="FootnoteText"/>
        <w:spacing w:after="120"/>
      </w:pPr>
      <w:r w:rsidRPr="00521BAE">
        <w:rPr>
          <w:rStyle w:val="FootnoteReference"/>
          <w:rFonts w:ascii="Times New Roman" w:hAnsi="Times New Roman"/>
        </w:rPr>
        <w:footnoteRef/>
      </w:r>
      <w:r w:rsidRPr="00521BAE">
        <w:rPr>
          <w:rFonts w:ascii="Times New Roman" w:hAnsi="Times New Roman"/>
        </w:rPr>
        <w:t xml:space="preserve"> Direct Testimony of Gary </w:t>
      </w:r>
      <w:r w:rsidR="00BC3FEC">
        <w:rPr>
          <w:rFonts w:ascii="Times New Roman" w:hAnsi="Times New Roman"/>
        </w:rPr>
        <w:t xml:space="preserve">O. </w:t>
      </w:r>
      <w:r w:rsidRPr="00521BAE">
        <w:rPr>
          <w:rFonts w:ascii="Times New Roman" w:hAnsi="Times New Roman"/>
        </w:rPr>
        <w:t>Spitznogle at 18.</w:t>
      </w:r>
    </w:p>
  </w:footnote>
  <w:footnote w:id="4">
    <w:p w:rsidR="00CF072F" w:rsidRDefault="00CF072F" w:rsidP="00C5238D">
      <w:pPr>
        <w:pStyle w:val="FootnoteText"/>
        <w:spacing w:after="120"/>
        <w:jc w:val="both"/>
      </w:pPr>
      <w:r w:rsidRPr="00690B9C">
        <w:rPr>
          <w:rStyle w:val="FootnoteReference"/>
          <w:rFonts w:ascii="Times New Roman" w:hAnsi="Times New Roman"/>
        </w:rPr>
        <w:footnoteRef/>
      </w:r>
      <w:r w:rsidRPr="00690B9C">
        <w:rPr>
          <w:rFonts w:ascii="Times New Roman" w:hAnsi="Times New Roman"/>
        </w:rPr>
        <w:t xml:space="preserve"> </w:t>
      </w:r>
      <w:r w:rsidR="002A74BA">
        <w:rPr>
          <w:rFonts w:ascii="Times New Roman" w:hAnsi="Times New Roman"/>
        </w:rPr>
        <w:t xml:space="preserve">AEP </w:t>
      </w:r>
      <w:r>
        <w:rPr>
          <w:rFonts w:ascii="Times New Roman" w:hAnsi="Times New Roman"/>
        </w:rPr>
        <w:t xml:space="preserve">Ohio Motion to Strike at 1, </w:t>
      </w:r>
      <w:r w:rsidRPr="00BC3FEC">
        <w:rPr>
          <w:rFonts w:ascii="Times New Roman" w:hAnsi="Times New Roman"/>
          <w:i/>
        </w:rPr>
        <w:t>see also</w:t>
      </w:r>
      <w:r w:rsidR="00BC3FEC">
        <w:rPr>
          <w:rFonts w:ascii="Times New Roman" w:hAnsi="Times New Roman"/>
        </w:rPr>
        <w:t>,</w:t>
      </w:r>
      <w:r>
        <w:rPr>
          <w:rFonts w:ascii="Times New Roman" w:hAnsi="Times New Roman"/>
        </w:rPr>
        <w:t xml:space="preserve"> Direct Testimony of Daniel </w:t>
      </w:r>
      <w:r w:rsidR="00BC3FEC">
        <w:rPr>
          <w:rFonts w:ascii="Times New Roman" w:hAnsi="Times New Roman"/>
        </w:rPr>
        <w:t xml:space="preserve">M. </w:t>
      </w:r>
      <w:r>
        <w:rPr>
          <w:rFonts w:ascii="Times New Roman" w:hAnsi="Times New Roman"/>
        </w:rPr>
        <w:t>Duellman at 5-6.</w:t>
      </w:r>
    </w:p>
  </w:footnote>
  <w:footnote w:id="5">
    <w:p w:rsidR="00CF072F" w:rsidRDefault="00CF072F" w:rsidP="009B573F">
      <w:pPr>
        <w:pStyle w:val="FootnoteText"/>
        <w:spacing w:after="120"/>
      </w:pPr>
      <w:r w:rsidRPr="00BB0135">
        <w:rPr>
          <w:rStyle w:val="FootnoteReference"/>
          <w:rFonts w:ascii="Times New Roman" w:hAnsi="Times New Roman"/>
        </w:rPr>
        <w:footnoteRef/>
      </w:r>
      <w:r w:rsidRPr="00BB0135">
        <w:rPr>
          <w:rFonts w:ascii="Times New Roman" w:hAnsi="Times New Roman"/>
        </w:rPr>
        <w:t xml:space="preserve"> </w:t>
      </w:r>
      <w:r w:rsidR="00BC3FEC" w:rsidRPr="00BC3FEC">
        <w:rPr>
          <w:rFonts w:ascii="Times New Roman" w:hAnsi="Times New Roman"/>
          <w:i/>
        </w:rPr>
        <w:t>See supra</w:t>
      </w:r>
      <w:r w:rsidR="00BC3FEC">
        <w:rPr>
          <w:rFonts w:ascii="Times New Roman" w:hAnsi="Times New Roman"/>
        </w:rPr>
        <w:t xml:space="preserve">, Section II(B); </w:t>
      </w:r>
      <w:r w:rsidR="00BC3FEC" w:rsidRPr="00BC3FEC">
        <w:rPr>
          <w:rFonts w:ascii="Times New Roman" w:hAnsi="Times New Roman"/>
          <w:i/>
        </w:rPr>
        <w:t>see also</w:t>
      </w:r>
      <w:r w:rsidR="00BC3FEC">
        <w:rPr>
          <w:rFonts w:ascii="Times New Roman" w:hAnsi="Times New Roman"/>
        </w:rPr>
        <w:t xml:space="preserve">, </w:t>
      </w:r>
      <w:r w:rsidRPr="00BB0135">
        <w:rPr>
          <w:rFonts w:ascii="Times New Roman" w:hAnsi="Times New Roman"/>
          <w:i/>
        </w:rPr>
        <w:t>Industrial Energy Users-Ohio v. Pub. Util. Comm. Ohio</w:t>
      </w:r>
      <w:r w:rsidRPr="00BB0135">
        <w:rPr>
          <w:rFonts w:ascii="Times New Roman" w:hAnsi="Times New Roman"/>
        </w:rPr>
        <w:t xml:space="preserve">, 117 Ohio </w:t>
      </w:r>
      <w:r>
        <w:rPr>
          <w:rFonts w:ascii="Times New Roman" w:hAnsi="Times New Roman"/>
        </w:rPr>
        <w:t>St.3d 486, 2008-Ohio-990 at ¶32.</w:t>
      </w:r>
    </w:p>
  </w:footnote>
  <w:footnote w:id="6">
    <w:p w:rsidR="00CF072F" w:rsidRDefault="00CF072F" w:rsidP="00BB0135">
      <w:pPr>
        <w:pStyle w:val="FootnoteText"/>
        <w:spacing w:after="120"/>
      </w:pPr>
      <w:r w:rsidRPr="00BB0135">
        <w:rPr>
          <w:rStyle w:val="FootnoteReference"/>
          <w:rFonts w:ascii="Times New Roman" w:hAnsi="Times New Roman"/>
        </w:rPr>
        <w:footnoteRef/>
      </w:r>
      <w:r w:rsidRPr="00BB0135">
        <w:rPr>
          <w:rFonts w:ascii="Times New Roman" w:hAnsi="Times New Roman"/>
        </w:rPr>
        <w:t xml:space="preserve"> </w:t>
      </w:r>
      <w:r>
        <w:rPr>
          <w:rFonts w:ascii="Times New Roman" w:hAnsi="Times New Roman"/>
        </w:rPr>
        <w:t>Entry on Rehearing at 16.</w:t>
      </w:r>
    </w:p>
  </w:footnote>
  <w:footnote w:id="7">
    <w:p w:rsidR="00CF072F" w:rsidRDefault="00CF072F" w:rsidP="009B573F">
      <w:pPr>
        <w:pStyle w:val="FootnoteText"/>
        <w:spacing w:after="120"/>
      </w:pPr>
      <w:r w:rsidRPr="00991CD8">
        <w:rPr>
          <w:rStyle w:val="FootnoteReference"/>
          <w:rFonts w:ascii="Times New Roman" w:hAnsi="Times New Roman"/>
        </w:rPr>
        <w:footnoteRef/>
      </w:r>
      <w:r w:rsidRPr="00991CD8">
        <w:rPr>
          <w:rFonts w:ascii="Times New Roman" w:hAnsi="Times New Roman"/>
        </w:rPr>
        <w:t xml:space="preserve"> Direct Testimony Gary </w:t>
      </w:r>
      <w:r>
        <w:rPr>
          <w:rFonts w:ascii="Times New Roman" w:hAnsi="Times New Roman"/>
        </w:rPr>
        <w:t>O. Spitznogle at</w:t>
      </w:r>
      <w:r w:rsidRPr="00991CD8">
        <w:rPr>
          <w:rFonts w:ascii="Times New Roman" w:hAnsi="Times New Roman"/>
        </w:rPr>
        <w:t xml:space="preserve"> 5, 10.</w:t>
      </w:r>
    </w:p>
  </w:footnote>
  <w:footnote w:id="8">
    <w:p w:rsidR="00CF072F" w:rsidRDefault="00CF072F" w:rsidP="00991CD8">
      <w:pPr>
        <w:pStyle w:val="FootnoteText"/>
        <w:spacing w:after="120"/>
      </w:pPr>
      <w:r w:rsidRPr="00991CD8">
        <w:rPr>
          <w:rStyle w:val="FootnoteReference"/>
          <w:rFonts w:ascii="Times New Roman" w:hAnsi="Times New Roman"/>
        </w:rPr>
        <w:footnoteRef/>
      </w:r>
      <w:r w:rsidRPr="00991CD8">
        <w:rPr>
          <w:rFonts w:ascii="Times New Roman" w:hAnsi="Times New Roman"/>
        </w:rPr>
        <w:t xml:space="preserve"> Direct Testimony of Daniel</w:t>
      </w:r>
      <w:r>
        <w:rPr>
          <w:rFonts w:ascii="Times New Roman" w:hAnsi="Times New Roman"/>
        </w:rPr>
        <w:t xml:space="preserve"> M. Duellman at</w:t>
      </w:r>
      <w:r w:rsidRPr="00991CD8">
        <w:rPr>
          <w:rFonts w:ascii="Times New Roman" w:hAnsi="Times New Roman"/>
        </w:rPr>
        <w:t xml:space="preserve"> 3.</w:t>
      </w:r>
    </w:p>
  </w:footnote>
  <w:footnote w:id="9">
    <w:p w:rsidR="00CF072F" w:rsidRDefault="00CF072F" w:rsidP="00361513">
      <w:pPr>
        <w:pStyle w:val="FootnoteText"/>
        <w:spacing w:after="120"/>
      </w:pPr>
      <w:r w:rsidRPr="000B6D7A">
        <w:rPr>
          <w:rStyle w:val="FootnoteReference"/>
          <w:rFonts w:ascii="Times New Roman" w:hAnsi="Times New Roman"/>
        </w:rPr>
        <w:footnoteRef/>
      </w:r>
      <w:r w:rsidR="00BC3FEC">
        <w:rPr>
          <w:rFonts w:ascii="Times New Roman" w:hAnsi="Times New Roman"/>
        </w:rPr>
        <w:t xml:space="preserve"> AEP</w:t>
      </w:r>
      <w:r w:rsidR="00242D20">
        <w:rPr>
          <w:rFonts w:ascii="Times New Roman" w:hAnsi="Times New Roman"/>
        </w:rPr>
        <w:t xml:space="preserve"> </w:t>
      </w:r>
      <w:r w:rsidRPr="000B6D7A">
        <w:rPr>
          <w:rFonts w:ascii="Times New Roman" w:hAnsi="Times New Roman"/>
        </w:rPr>
        <w:t>Ohio Motion</w:t>
      </w:r>
      <w:r w:rsidR="00BC3FEC">
        <w:rPr>
          <w:rFonts w:ascii="Times New Roman" w:hAnsi="Times New Roman"/>
        </w:rPr>
        <w:t xml:space="preserve"> to Strike</w:t>
      </w:r>
      <w:r w:rsidRPr="000B6D7A">
        <w:rPr>
          <w:rFonts w:ascii="Times New Roman" w:hAnsi="Times New Roman"/>
        </w:rPr>
        <w:t xml:space="preserve"> at </w:t>
      </w:r>
      <w:r w:rsidR="00BC3FEC">
        <w:rPr>
          <w:rFonts w:ascii="Times New Roman" w:hAnsi="Times New Roman"/>
        </w:rPr>
        <w:t>4</w:t>
      </w:r>
      <w:r w:rsidRPr="000B6D7A">
        <w:rPr>
          <w:rFonts w:ascii="Times New Roman" w:hAnsi="Times New Roman"/>
        </w:rPr>
        <w:t>.</w:t>
      </w:r>
    </w:p>
  </w:footnote>
  <w:footnote w:id="10">
    <w:p w:rsidR="00CF072F" w:rsidRDefault="00CF072F" w:rsidP="004F6EF4">
      <w:pPr>
        <w:pStyle w:val="FootnoteText"/>
        <w:spacing w:after="120"/>
      </w:pPr>
      <w:r w:rsidRPr="00BF4DAE">
        <w:rPr>
          <w:rStyle w:val="FootnoteReference"/>
          <w:rFonts w:ascii="Times New Roman" w:hAnsi="Times New Roman"/>
        </w:rPr>
        <w:footnoteRef/>
      </w:r>
      <w:r w:rsidRPr="00BF4DAE">
        <w:rPr>
          <w:rFonts w:ascii="Times New Roman" w:hAnsi="Times New Roman"/>
        </w:rPr>
        <w:t xml:space="preserve"> AEP Ohio Motion to Strike at 4.</w:t>
      </w:r>
    </w:p>
  </w:footnote>
  <w:footnote w:id="11">
    <w:p w:rsidR="00CF072F" w:rsidRDefault="00CF072F" w:rsidP="004F6EF4">
      <w:pPr>
        <w:pStyle w:val="FootnoteText"/>
        <w:spacing w:after="120"/>
      </w:pPr>
      <w:r w:rsidRPr="00BF4DAE">
        <w:rPr>
          <w:rStyle w:val="FootnoteReference"/>
          <w:rFonts w:ascii="Times New Roman" w:hAnsi="Times New Roman"/>
        </w:rPr>
        <w:footnoteRef/>
      </w:r>
      <w:r w:rsidRPr="00BF4DAE">
        <w:rPr>
          <w:rFonts w:ascii="Times New Roman" w:hAnsi="Times New Roman"/>
        </w:rPr>
        <w:t xml:space="preserve"> </w:t>
      </w:r>
      <w:r w:rsidRPr="00BF4DAE">
        <w:rPr>
          <w:rFonts w:ascii="Times New Roman" w:hAnsi="Times New Roman"/>
          <w:i/>
        </w:rPr>
        <w:t>United Tel. Co. v. Tracy</w:t>
      </w:r>
      <w:r w:rsidRPr="00BF4DAE">
        <w:rPr>
          <w:rFonts w:ascii="Times New Roman" w:hAnsi="Times New Roman"/>
        </w:rPr>
        <w:t xml:space="preserve">, 84 Ohio St.3d 506, 511, 705 N.E.2d 679 (1999), citing </w:t>
      </w:r>
      <w:r w:rsidRPr="00BF4DAE">
        <w:rPr>
          <w:rStyle w:val="ssit1"/>
          <w:rFonts w:ascii="Times New Roman" w:hAnsi="Times New Roman"/>
        </w:rPr>
        <w:t>Superior</w:t>
      </w:r>
      <w:r w:rsidR="00A127AB">
        <w:rPr>
          <w:rStyle w:val="ssit1"/>
          <w:rFonts w:ascii="Times New Roman" w:hAnsi="Times New Roman"/>
        </w:rPr>
        <w:t>’</w:t>
      </w:r>
      <w:r w:rsidRPr="00BF4DAE">
        <w:rPr>
          <w:rStyle w:val="ssit1"/>
          <w:rFonts w:ascii="Times New Roman" w:hAnsi="Times New Roman"/>
        </w:rPr>
        <w:t xml:space="preserve">s </w:t>
      </w:r>
      <w:r w:rsidRPr="00BF4DAE">
        <w:rPr>
          <w:rStyle w:val="ssrfcpassagedeactivated"/>
          <w:rFonts w:ascii="Times New Roman" w:hAnsi="Times New Roman"/>
        </w:rPr>
        <w:t xml:space="preserve"> </w:t>
      </w:r>
      <w:r w:rsidR="00242D20">
        <w:rPr>
          <w:rStyle w:val="ssit1"/>
          <w:rFonts w:ascii="Times New Roman" w:hAnsi="Times New Roman"/>
        </w:rPr>
        <w:t xml:space="preserve">Brand Meats, Inc. v. Lindle </w:t>
      </w:r>
      <w:r w:rsidR="00242D20">
        <w:rPr>
          <w:rStyle w:val="ssrfcpassagedeactivated"/>
          <w:rFonts w:ascii="Times New Roman" w:hAnsi="Times New Roman"/>
        </w:rPr>
        <w:t xml:space="preserve"> (1980), 62 Ohio St.2d 133, 16 Ohio Op.</w:t>
      </w:r>
      <w:r w:rsidRPr="00BF4DAE">
        <w:rPr>
          <w:rStyle w:val="ssrfcpassagedeactivated"/>
          <w:rFonts w:ascii="Times New Roman" w:hAnsi="Times New Roman"/>
        </w:rPr>
        <w:t>3d 150, 403 N.E.2d 996</w:t>
      </w:r>
      <w:r>
        <w:rPr>
          <w:rStyle w:val="ssrfcpassagedeactivated"/>
          <w:rFonts w:ascii="Times New Roman" w:hAnsi="Times New Roman"/>
        </w:rPr>
        <w:t>.</w:t>
      </w:r>
    </w:p>
  </w:footnote>
  <w:footnote w:id="12">
    <w:p w:rsidR="00CF072F" w:rsidRDefault="00CF072F" w:rsidP="00D54829">
      <w:pPr>
        <w:pStyle w:val="FootnoteText"/>
        <w:spacing w:after="120"/>
      </w:pPr>
      <w:r w:rsidRPr="00D54829">
        <w:rPr>
          <w:rStyle w:val="FootnoteReference"/>
          <w:rFonts w:ascii="Times New Roman" w:hAnsi="Times New Roman"/>
        </w:rPr>
        <w:footnoteRef/>
      </w:r>
      <w:r w:rsidRPr="00D54829">
        <w:rPr>
          <w:rFonts w:ascii="Times New Roman" w:hAnsi="Times New Roman"/>
        </w:rPr>
        <w:t xml:space="preserve"> </w:t>
      </w:r>
      <w:r>
        <w:rPr>
          <w:rFonts w:ascii="Times New Roman" w:hAnsi="Times New Roman"/>
        </w:rPr>
        <w:t>AEP Ohio Motion to Strike at</w:t>
      </w:r>
      <w:r w:rsidRPr="00D54829">
        <w:rPr>
          <w:rFonts w:ascii="Times New Roman" w:hAnsi="Times New Roman"/>
        </w:rPr>
        <w:t xml:space="preserve"> 1.</w:t>
      </w:r>
    </w:p>
  </w:footnote>
  <w:footnote w:id="13">
    <w:p w:rsidR="00CF072F" w:rsidRDefault="00CF072F" w:rsidP="008651BE">
      <w:pPr>
        <w:pStyle w:val="FootnoteText"/>
        <w:spacing w:after="120"/>
      </w:pPr>
      <w:r>
        <w:rPr>
          <w:rStyle w:val="FootnoteReference"/>
        </w:rPr>
        <w:footnoteRef/>
      </w:r>
      <w:r>
        <w:t xml:space="preserve"> </w:t>
      </w:r>
      <w:r w:rsidRPr="00BF4DAE">
        <w:rPr>
          <w:rFonts w:ascii="Times New Roman" w:hAnsi="Times New Roman"/>
          <w:i/>
        </w:rPr>
        <w:t>Industrial Energy Users-Ohio v. Pub. Util. Comm. Ohio</w:t>
      </w:r>
      <w:r w:rsidRPr="00BF4DAE">
        <w:rPr>
          <w:rFonts w:ascii="Times New Roman" w:hAnsi="Times New Roman"/>
        </w:rPr>
        <w:t>, 117 Ohio St.3d 486, 2008-Ohio-990 at ¶ 32</w:t>
      </w:r>
      <w:r>
        <w:rPr>
          <w:rFonts w:ascii="Times New Roman" w:hAnsi="Times New Roman"/>
        </w:rPr>
        <w:t>.</w:t>
      </w:r>
    </w:p>
  </w:footnote>
  <w:footnote w:id="14">
    <w:p w:rsidR="00CF072F" w:rsidRDefault="00CF072F" w:rsidP="00BF4DAE">
      <w:pPr>
        <w:pStyle w:val="FootnoteText"/>
        <w:spacing w:after="120"/>
      </w:pPr>
      <w:r w:rsidRPr="00BF4DAE">
        <w:rPr>
          <w:rStyle w:val="FootnoteReference"/>
          <w:rFonts w:ascii="Times New Roman" w:hAnsi="Times New Roman"/>
        </w:rPr>
        <w:footnoteRef/>
      </w:r>
      <w:r w:rsidRPr="00BF4DAE">
        <w:rPr>
          <w:rFonts w:ascii="Times New Roman" w:hAnsi="Times New Roman"/>
        </w:rPr>
        <w:t xml:space="preserve"> </w:t>
      </w:r>
      <w:r w:rsidRPr="00BF4DAE">
        <w:rPr>
          <w:rFonts w:ascii="Times New Roman" w:hAnsi="Times New Roman"/>
          <w:i/>
        </w:rPr>
        <w:t>Industrial Energy Users-Ohio v. Pub. Util. Comm. Ohio</w:t>
      </w:r>
      <w:r w:rsidRPr="00BF4DAE">
        <w:rPr>
          <w:rFonts w:ascii="Times New Roman" w:hAnsi="Times New Roman"/>
        </w:rPr>
        <w:t>, 117 Ohio St.3d 486, 2008-Ohio-990 at ¶ 32</w:t>
      </w:r>
      <w:r>
        <w:rPr>
          <w:rFonts w:ascii="Times New Roman" w:hAnsi="Times New Roman"/>
        </w:rPr>
        <w:t>.</w:t>
      </w:r>
    </w:p>
  </w:footnote>
  <w:footnote w:id="15">
    <w:p w:rsidR="00CF072F" w:rsidRPr="000B6D7A" w:rsidRDefault="00CF072F">
      <w:pPr>
        <w:pStyle w:val="FootnoteText"/>
        <w:rPr>
          <w:rFonts w:ascii="Times New Roman" w:hAnsi="Times New Roman"/>
        </w:rPr>
      </w:pPr>
      <w:r w:rsidRPr="00BC3FEC">
        <w:rPr>
          <w:rStyle w:val="FootnoteReference"/>
          <w:rFonts w:ascii="Times New Roman" w:hAnsi="Times New Roman"/>
        </w:rPr>
        <w:footnoteRef/>
      </w:r>
      <w:r w:rsidRPr="00BC3FEC">
        <w:rPr>
          <w:rFonts w:ascii="Times New Roman" w:hAnsi="Times New Roman"/>
        </w:rPr>
        <w:t xml:space="preserve"> </w:t>
      </w:r>
      <w:r w:rsidR="00BC3FEC">
        <w:rPr>
          <w:rFonts w:ascii="Times New Roman" w:hAnsi="Times New Roman"/>
          <w:i/>
        </w:rPr>
        <w:t>See infra</w:t>
      </w:r>
      <w:r w:rsidR="00BC3FEC">
        <w:rPr>
          <w:rFonts w:ascii="Times New Roman" w:hAnsi="Times New Roman"/>
        </w:rPr>
        <w:t xml:space="preserve">, Section II(A); </w:t>
      </w:r>
      <w:r w:rsidR="00BC3FEC">
        <w:rPr>
          <w:rFonts w:ascii="Times New Roman" w:hAnsi="Times New Roman"/>
          <w:i/>
        </w:rPr>
        <w:t>see also</w:t>
      </w:r>
      <w:r w:rsidR="00BC3FEC">
        <w:rPr>
          <w:rFonts w:ascii="Times New Roman" w:hAnsi="Times New Roman"/>
        </w:rPr>
        <w:t xml:space="preserve">, </w:t>
      </w:r>
      <w:r w:rsidR="00BC3FEC" w:rsidRPr="00991CD8">
        <w:rPr>
          <w:rFonts w:ascii="Times New Roman" w:hAnsi="Times New Roman"/>
        </w:rPr>
        <w:t xml:space="preserve">Direct Testimony Gary </w:t>
      </w:r>
      <w:r w:rsidR="00BC3FEC">
        <w:rPr>
          <w:rFonts w:ascii="Times New Roman" w:hAnsi="Times New Roman"/>
        </w:rPr>
        <w:t>O. Spitznogle at</w:t>
      </w:r>
      <w:r w:rsidR="00BC3FEC" w:rsidRPr="00991CD8">
        <w:rPr>
          <w:rFonts w:ascii="Times New Roman" w:hAnsi="Times New Roman"/>
        </w:rPr>
        <w:t xml:space="preserve"> 5, 10</w:t>
      </w:r>
      <w:r w:rsidR="00BC3FEC">
        <w:rPr>
          <w:rFonts w:ascii="Times New Roman" w:hAnsi="Times New Roman"/>
        </w:rPr>
        <w:t xml:space="preserve">; </w:t>
      </w:r>
      <w:r w:rsidR="00BC3FEC" w:rsidRPr="00991CD8">
        <w:rPr>
          <w:rFonts w:ascii="Times New Roman" w:hAnsi="Times New Roman"/>
        </w:rPr>
        <w:t>Direct Testimony of Daniel</w:t>
      </w:r>
      <w:r w:rsidR="00BC3FEC">
        <w:rPr>
          <w:rFonts w:ascii="Times New Roman" w:hAnsi="Times New Roman"/>
        </w:rPr>
        <w:t xml:space="preserve"> M. Duellman at</w:t>
      </w:r>
      <w:r w:rsidR="00BC3FEC" w:rsidRPr="00991CD8">
        <w:rPr>
          <w:rFonts w:ascii="Times New Roman" w:hAnsi="Times New Roman"/>
        </w:rPr>
        <w:t xml:space="preserve"> 3</w:t>
      </w:r>
      <w:r w:rsidRPr="00BC3FEC">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75" w:rsidRDefault="00574B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75" w:rsidRDefault="00574B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75" w:rsidRDefault="00574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4CFB"/>
    <w:multiLevelType w:val="hybridMultilevel"/>
    <w:tmpl w:val="BB9CE608"/>
    <w:lvl w:ilvl="0" w:tplc="49248012">
      <w:start w:val="1"/>
      <w:numFmt w:val="upp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C5A"/>
    <w:rsid w:val="0002076D"/>
    <w:rsid w:val="000777C4"/>
    <w:rsid w:val="000855A1"/>
    <w:rsid w:val="000B6D7A"/>
    <w:rsid w:val="000D4CB6"/>
    <w:rsid w:val="000E021C"/>
    <w:rsid w:val="00153AFE"/>
    <w:rsid w:val="001906BA"/>
    <w:rsid w:val="001910CC"/>
    <w:rsid w:val="001D12F7"/>
    <w:rsid w:val="002023AD"/>
    <w:rsid w:val="00211B64"/>
    <w:rsid w:val="00214402"/>
    <w:rsid w:val="0021740C"/>
    <w:rsid w:val="00223B12"/>
    <w:rsid w:val="00232314"/>
    <w:rsid w:val="00242D20"/>
    <w:rsid w:val="00251B14"/>
    <w:rsid w:val="00251D3D"/>
    <w:rsid w:val="002A74BA"/>
    <w:rsid w:val="002D4E10"/>
    <w:rsid w:val="002E274F"/>
    <w:rsid w:val="002F6198"/>
    <w:rsid w:val="00314889"/>
    <w:rsid w:val="00361513"/>
    <w:rsid w:val="0036642C"/>
    <w:rsid w:val="00385D4D"/>
    <w:rsid w:val="003B566C"/>
    <w:rsid w:val="003C2B9C"/>
    <w:rsid w:val="003E3F26"/>
    <w:rsid w:val="0041701E"/>
    <w:rsid w:val="00417BD8"/>
    <w:rsid w:val="00442C86"/>
    <w:rsid w:val="004561B0"/>
    <w:rsid w:val="004D42CE"/>
    <w:rsid w:val="004F6EF4"/>
    <w:rsid w:val="005053DC"/>
    <w:rsid w:val="00521BAE"/>
    <w:rsid w:val="0053382B"/>
    <w:rsid w:val="00540193"/>
    <w:rsid w:val="005419F9"/>
    <w:rsid w:val="005677FD"/>
    <w:rsid w:val="00574B75"/>
    <w:rsid w:val="00582805"/>
    <w:rsid w:val="005B5D26"/>
    <w:rsid w:val="005D267F"/>
    <w:rsid w:val="005D3D81"/>
    <w:rsid w:val="00663381"/>
    <w:rsid w:val="00687A77"/>
    <w:rsid w:val="00690B9C"/>
    <w:rsid w:val="00695D7F"/>
    <w:rsid w:val="006B1B18"/>
    <w:rsid w:val="006D75B7"/>
    <w:rsid w:val="006E1179"/>
    <w:rsid w:val="006E66AF"/>
    <w:rsid w:val="006F6659"/>
    <w:rsid w:val="007010AE"/>
    <w:rsid w:val="00714D0A"/>
    <w:rsid w:val="007219DC"/>
    <w:rsid w:val="007244F5"/>
    <w:rsid w:val="00741BFD"/>
    <w:rsid w:val="00745CFB"/>
    <w:rsid w:val="00775885"/>
    <w:rsid w:val="0078779D"/>
    <w:rsid w:val="00787C5A"/>
    <w:rsid w:val="00790909"/>
    <w:rsid w:val="007A74BE"/>
    <w:rsid w:val="00841502"/>
    <w:rsid w:val="00843856"/>
    <w:rsid w:val="008651BE"/>
    <w:rsid w:val="00865200"/>
    <w:rsid w:val="00894A4C"/>
    <w:rsid w:val="008B2410"/>
    <w:rsid w:val="008C1E58"/>
    <w:rsid w:val="008C50FC"/>
    <w:rsid w:val="00941FE0"/>
    <w:rsid w:val="00957986"/>
    <w:rsid w:val="00983D2E"/>
    <w:rsid w:val="00991CD8"/>
    <w:rsid w:val="009B573F"/>
    <w:rsid w:val="009C0737"/>
    <w:rsid w:val="009D6105"/>
    <w:rsid w:val="009E719C"/>
    <w:rsid w:val="00A127AB"/>
    <w:rsid w:val="00A13AC6"/>
    <w:rsid w:val="00AA0D97"/>
    <w:rsid w:val="00AD359E"/>
    <w:rsid w:val="00B02D80"/>
    <w:rsid w:val="00B313EB"/>
    <w:rsid w:val="00B37E28"/>
    <w:rsid w:val="00B45E6B"/>
    <w:rsid w:val="00B53ECA"/>
    <w:rsid w:val="00B66B4A"/>
    <w:rsid w:val="00B73B9A"/>
    <w:rsid w:val="00BB0135"/>
    <w:rsid w:val="00BB642F"/>
    <w:rsid w:val="00BC3FEC"/>
    <w:rsid w:val="00BC5B5C"/>
    <w:rsid w:val="00BE3138"/>
    <w:rsid w:val="00BE4167"/>
    <w:rsid w:val="00BF4DAE"/>
    <w:rsid w:val="00C5238D"/>
    <w:rsid w:val="00C55DB6"/>
    <w:rsid w:val="00C76D20"/>
    <w:rsid w:val="00CA2384"/>
    <w:rsid w:val="00CF072F"/>
    <w:rsid w:val="00CF7DFA"/>
    <w:rsid w:val="00D37AAE"/>
    <w:rsid w:val="00D54829"/>
    <w:rsid w:val="00D84DDB"/>
    <w:rsid w:val="00D9250C"/>
    <w:rsid w:val="00DB4A8C"/>
    <w:rsid w:val="00DB73ED"/>
    <w:rsid w:val="00DF0A0C"/>
    <w:rsid w:val="00E025E0"/>
    <w:rsid w:val="00E43403"/>
    <w:rsid w:val="00E5684E"/>
    <w:rsid w:val="00E73858"/>
    <w:rsid w:val="00EB171E"/>
    <w:rsid w:val="00EF560C"/>
    <w:rsid w:val="00EF6790"/>
    <w:rsid w:val="00F045F2"/>
    <w:rsid w:val="00F206D2"/>
    <w:rsid w:val="00F8733E"/>
    <w:rsid w:val="00FD3551"/>
    <w:rsid w:val="00FE25BF"/>
    <w:rsid w:val="00FE3964"/>
    <w:rsid w:val="00FE6088"/>
    <w:rsid w:val="00FF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D7F"/>
    <w:pPr>
      <w:spacing w:after="200" w:line="276" w:lineRule="auto"/>
    </w:pPr>
  </w:style>
  <w:style w:type="paragraph" w:styleId="Heading1">
    <w:name w:val="heading 1"/>
    <w:basedOn w:val="Normal"/>
    <w:next w:val="Normal"/>
    <w:link w:val="Heading1Char"/>
    <w:uiPriority w:val="99"/>
    <w:qFormat/>
    <w:rsid w:val="002E274F"/>
    <w:pPr>
      <w:keepNext/>
      <w:spacing w:after="0" w:line="240" w:lineRule="auto"/>
      <w:outlineLvl w:val="0"/>
    </w:pPr>
    <w:rPr>
      <w:rFonts w:ascii="Times New Roman" w:eastAsia="Times New Roman" w:hAnsi="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E274F"/>
    <w:rPr>
      <w:rFonts w:ascii="Times New Roman" w:hAnsi="Times New Roman" w:cs="Times New Roman"/>
      <w:b/>
      <w:sz w:val="24"/>
      <w:szCs w:val="24"/>
      <w:u w:val="single"/>
    </w:rPr>
  </w:style>
  <w:style w:type="paragraph" w:styleId="FootnoteText">
    <w:name w:val="footnote text"/>
    <w:basedOn w:val="Normal"/>
    <w:link w:val="FootnoteTextChar"/>
    <w:uiPriority w:val="99"/>
    <w:semiHidden/>
    <w:rsid w:val="00787C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7C5A"/>
    <w:rPr>
      <w:rFonts w:cs="Times New Roman"/>
      <w:sz w:val="20"/>
      <w:szCs w:val="20"/>
    </w:rPr>
  </w:style>
  <w:style w:type="character" w:styleId="FootnoteReference">
    <w:name w:val="footnote reference"/>
    <w:basedOn w:val="DefaultParagraphFont"/>
    <w:uiPriority w:val="99"/>
    <w:semiHidden/>
    <w:rsid w:val="00787C5A"/>
    <w:rPr>
      <w:rFonts w:cs="Times New Roman"/>
      <w:vertAlign w:val="superscript"/>
    </w:rPr>
  </w:style>
  <w:style w:type="character" w:styleId="Hyperlink">
    <w:name w:val="Hyperlink"/>
    <w:basedOn w:val="DefaultParagraphFont"/>
    <w:uiPriority w:val="99"/>
    <w:rsid w:val="00FE25BF"/>
    <w:rPr>
      <w:rFonts w:cs="Times New Roman"/>
      <w:color w:val="0000FF"/>
      <w:u w:val="single"/>
    </w:rPr>
  </w:style>
  <w:style w:type="paragraph" w:styleId="HTMLPreformatted">
    <w:name w:val="HTML Preformatted"/>
    <w:basedOn w:val="Normal"/>
    <w:link w:val="HTMLPreformattedChar"/>
    <w:uiPriority w:val="99"/>
    <w:rsid w:val="00DF0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F0A0C"/>
    <w:rPr>
      <w:rFonts w:ascii="Courier New" w:eastAsia="Times New Roman" w:hAnsi="Courier New" w:cs="Courier New"/>
      <w:sz w:val="20"/>
      <w:szCs w:val="20"/>
    </w:rPr>
  </w:style>
  <w:style w:type="paragraph" w:styleId="Footer">
    <w:name w:val="footer"/>
    <w:basedOn w:val="Normal"/>
    <w:link w:val="FooterChar"/>
    <w:uiPriority w:val="99"/>
    <w:rsid w:val="002E274F"/>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2E274F"/>
    <w:rPr>
      <w:rFonts w:ascii="Times New Roman" w:hAnsi="Times New Roman" w:cs="Times New Roman"/>
      <w:sz w:val="20"/>
      <w:szCs w:val="20"/>
    </w:rPr>
  </w:style>
  <w:style w:type="paragraph" w:styleId="BodyTextIndent3">
    <w:name w:val="Body Text Indent 3"/>
    <w:basedOn w:val="Normal"/>
    <w:link w:val="BodyTextIndent3Char"/>
    <w:uiPriority w:val="99"/>
    <w:rsid w:val="002E274F"/>
    <w:pPr>
      <w:spacing w:after="0" w:line="480" w:lineRule="atLeast"/>
      <w:ind w:firstLine="720"/>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uiPriority w:val="99"/>
    <w:rsid w:val="002E274F"/>
    <w:rPr>
      <w:rFonts w:ascii="Times New Roman" w:hAnsi="Times New Roman" w:cs="Times New Roman"/>
      <w:sz w:val="20"/>
      <w:szCs w:val="20"/>
    </w:rPr>
  </w:style>
  <w:style w:type="character" w:styleId="CommentReference">
    <w:name w:val="annotation reference"/>
    <w:basedOn w:val="DefaultParagraphFont"/>
    <w:uiPriority w:val="99"/>
    <w:semiHidden/>
    <w:rsid w:val="00E43403"/>
    <w:rPr>
      <w:rFonts w:cs="Times New Roman"/>
      <w:sz w:val="16"/>
      <w:szCs w:val="16"/>
    </w:rPr>
  </w:style>
  <w:style w:type="paragraph" w:styleId="CommentText">
    <w:name w:val="annotation text"/>
    <w:basedOn w:val="Normal"/>
    <w:link w:val="CommentTextChar"/>
    <w:uiPriority w:val="99"/>
    <w:semiHidden/>
    <w:rsid w:val="00E43403"/>
    <w:pPr>
      <w:spacing w:line="240" w:lineRule="auto"/>
    </w:pPr>
    <w:rPr>
      <w:sz w:val="20"/>
      <w:szCs w:val="20"/>
    </w:rPr>
  </w:style>
  <w:style w:type="character" w:customStyle="1" w:styleId="CommentTextChar">
    <w:name w:val="Comment Text Char"/>
    <w:basedOn w:val="DefaultParagraphFont"/>
    <w:link w:val="CommentText"/>
    <w:uiPriority w:val="99"/>
    <w:semiHidden/>
    <w:rsid w:val="00E43403"/>
    <w:rPr>
      <w:rFonts w:cs="Times New Roman"/>
      <w:sz w:val="20"/>
      <w:szCs w:val="20"/>
    </w:rPr>
  </w:style>
  <w:style w:type="paragraph" w:styleId="CommentSubject">
    <w:name w:val="annotation subject"/>
    <w:basedOn w:val="CommentText"/>
    <w:next w:val="CommentText"/>
    <w:link w:val="CommentSubjectChar"/>
    <w:uiPriority w:val="99"/>
    <w:semiHidden/>
    <w:rsid w:val="00E43403"/>
    <w:rPr>
      <w:b/>
      <w:bCs/>
    </w:rPr>
  </w:style>
  <w:style w:type="character" w:customStyle="1" w:styleId="CommentSubjectChar">
    <w:name w:val="Comment Subject Char"/>
    <w:basedOn w:val="CommentTextChar"/>
    <w:link w:val="CommentSubject"/>
    <w:uiPriority w:val="99"/>
    <w:semiHidden/>
    <w:rsid w:val="00E43403"/>
    <w:rPr>
      <w:rFonts w:cs="Times New Roman"/>
      <w:b/>
      <w:bCs/>
      <w:sz w:val="20"/>
      <w:szCs w:val="20"/>
    </w:rPr>
  </w:style>
  <w:style w:type="paragraph" w:styleId="BalloonText">
    <w:name w:val="Balloon Text"/>
    <w:basedOn w:val="Normal"/>
    <w:link w:val="BalloonTextChar"/>
    <w:uiPriority w:val="99"/>
    <w:semiHidden/>
    <w:rsid w:val="00E43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403"/>
    <w:rPr>
      <w:rFonts w:ascii="Tahoma" w:hAnsi="Tahoma" w:cs="Tahoma"/>
      <w:sz w:val="16"/>
      <w:szCs w:val="16"/>
    </w:rPr>
  </w:style>
  <w:style w:type="table" w:styleId="TableGrid">
    <w:name w:val="Table Grid"/>
    <w:basedOn w:val="TableNormal"/>
    <w:uiPriority w:val="99"/>
    <w:rsid w:val="000855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5A1"/>
    <w:rPr>
      <w:rFonts w:cs="Times New Roman"/>
    </w:rPr>
  </w:style>
  <w:style w:type="character" w:customStyle="1" w:styleId="ssrfcpassagedeactivated">
    <w:name w:val="ss_rfcpassage_deactivated"/>
    <w:basedOn w:val="DefaultParagraphFont"/>
    <w:uiPriority w:val="99"/>
    <w:rsid w:val="00BE3138"/>
    <w:rPr>
      <w:rFonts w:cs="Times New Roman"/>
    </w:rPr>
  </w:style>
  <w:style w:type="character" w:customStyle="1" w:styleId="ssit1">
    <w:name w:val="ss_it1"/>
    <w:basedOn w:val="DefaultParagraphFont"/>
    <w:uiPriority w:val="99"/>
    <w:rsid w:val="00BE3138"/>
    <w:rPr>
      <w:rFonts w:cs="Times New Roman"/>
      <w:i/>
      <w:iCs/>
    </w:rPr>
  </w:style>
  <w:style w:type="character" w:customStyle="1" w:styleId="sspaghide1">
    <w:name w:val="ss_pag_hide1"/>
    <w:basedOn w:val="DefaultParagraphFont"/>
    <w:uiPriority w:val="99"/>
    <w:rsid w:val="00BE3138"/>
    <w:rPr>
      <w:rFonts w:cs="Times New Roman"/>
      <w: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D7F"/>
    <w:pPr>
      <w:spacing w:after="200" w:line="276" w:lineRule="auto"/>
    </w:pPr>
  </w:style>
  <w:style w:type="paragraph" w:styleId="Heading1">
    <w:name w:val="heading 1"/>
    <w:basedOn w:val="Normal"/>
    <w:next w:val="Normal"/>
    <w:link w:val="Heading1Char"/>
    <w:uiPriority w:val="99"/>
    <w:qFormat/>
    <w:rsid w:val="002E274F"/>
    <w:pPr>
      <w:keepNext/>
      <w:spacing w:after="0" w:line="240" w:lineRule="auto"/>
      <w:outlineLvl w:val="0"/>
    </w:pPr>
    <w:rPr>
      <w:rFonts w:ascii="Times New Roman" w:eastAsia="Times New Roman" w:hAnsi="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E274F"/>
    <w:rPr>
      <w:rFonts w:ascii="Times New Roman" w:hAnsi="Times New Roman" w:cs="Times New Roman"/>
      <w:b/>
      <w:sz w:val="24"/>
      <w:szCs w:val="24"/>
      <w:u w:val="single"/>
    </w:rPr>
  </w:style>
  <w:style w:type="paragraph" w:styleId="FootnoteText">
    <w:name w:val="footnote text"/>
    <w:basedOn w:val="Normal"/>
    <w:link w:val="FootnoteTextChar"/>
    <w:uiPriority w:val="99"/>
    <w:semiHidden/>
    <w:rsid w:val="00787C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7C5A"/>
    <w:rPr>
      <w:rFonts w:cs="Times New Roman"/>
      <w:sz w:val="20"/>
      <w:szCs w:val="20"/>
    </w:rPr>
  </w:style>
  <w:style w:type="character" w:styleId="FootnoteReference">
    <w:name w:val="footnote reference"/>
    <w:basedOn w:val="DefaultParagraphFont"/>
    <w:uiPriority w:val="99"/>
    <w:semiHidden/>
    <w:rsid w:val="00787C5A"/>
    <w:rPr>
      <w:rFonts w:cs="Times New Roman"/>
      <w:vertAlign w:val="superscript"/>
    </w:rPr>
  </w:style>
  <w:style w:type="character" w:styleId="Hyperlink">
    <w:name w:val="Hyperlink"/>
    <w:basedOn w:val="DefaultParagraphFont"/>
    <w:uiPriority w:val="99"/>
    <w:rsid w:val="00FE25BF"/>
    <w:rPr>
      <w:rFonts w:cs="Times New Roman"/>
      <w:color w:val="0000FF"/>
      <w:u w:val="single"/>
    </w:rPr>
  </w:style>
  <w:style w:type="paragraph" w:styleId="HTMLPreformatted">
    <w:name w:val="HTML Preformatted"/>
    <w:basedOn w:val="Normal"/>
    <w:link w:val="HTMLPreformattedChar"/>
    <w:uiPriority w:val="99"/>
    <w:rsid w:val="00DF0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F0A0C"/>
    <w:rPr>
      <w:rFonts w:ascii="Courier New" w:eastAsia="Times New Roman" w:hAnsi="Courier New" w:cs="Courier New"/>
      <w:sz w:val="20"/>
      <w:szCs w:val="20"/>
    </w:rPr>
  </w:style>
  <w:style w:type="paragraph" w:styleId="Footer">
    <w:name w:val="footer"/>
    <w:basedOn w:val="Normal"/>
    <w:link w:val="FooterChar"/>
    <w:uiPriority w:val="99"/>
    <w:rsid w:val="002E274F"/>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2E274F"/>
    <w:rPr>
      <w:rFonts w:ascii="Times New Roman" w:hAnsi="Times New Roman" w:cs="Times New Roman"/>
      <w:sz w:val="20"/>
      <w:szCs w:val="20"/>
    </w:rPr>
  </w:style>
  <w:style w:type="paragraph" w:styleId="BodyTextIndent3">
    <w:name w:val="Body Text Indent 3"/>
    <w:basedOn w:val="Normal"/>
    <w:link w:val="BodyTextIndent3Char"/>
    <w:uiPriority w:val="99"/>
    <w:rsid w:val="002E274F"/>
    <w:pPr>
      <w:spacing w:after="0" w:line="480" w:lineRule="atLeast"/>
      <w:ind w:firstLine="720"/>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uiPriority w:val="99"/>
    <w:rsid w:val="002E274F"/>
    <w:rPr>
      <w:rFonts w:ascii="Times New Roman" w:hAnsi="Times New Roman" w:cs="Times New Roman"/>
      <w:sz w:val="20"/>
      <w:szCs w:val="20"/>
    </w:rPr>
  </w:style>
  <w:style w:type="character" w:styleId="CommentReference">
    <w:name w:val="annotation reference"/>
    <w:basedOn w:val="DefaultParagraphFont"/>
    <w:uiPriority w:val="99"/>
    <w:semiHidden/>
    <w:rsid w:val="00E43403"/>
    <w:rPr>
      <w:rFonts w:cs="Times New Roman"/>
      <w:sz w:val="16"/>
      <w:szCs w:val="16"/>
    </w:rPr>
  </w:style>
  <w:style w:type="paragraph" w:styleId="CommentText">
    <w:name w:val="annotation text"/>
    <w:basedOn w:val="Normal"/>
    <w:link w:val="CommentTextChar"/>
    <w:uiPriority w:val="99"/>
    <w:semiHidden/>
    <w:rsid w:val="00E43403"/>
    <w:pPr>
      <w:spacing w:line="240" w:lineRule="auto"/>
    </w:pPr>
    <w:rPr>
      <w:sz w:val="20"/>
      <w:szCs w:val="20"/>
    </w:rPr>
  </w:style>
  <w:style w:type="character" w:customStyle="1" w:styleId="CommentTextChar">
    <w:name w:val="Comment Text Char"/>
    <w:basedOn w:val="DefaultParagraphFont"/>
    <w:link w:val="CommentText"/>
    <w:uiPriority w:val="99"/>
    <w:semiHidden/>
    <w:rsid w:val="00E43403"/>
    <w:rPr>
      <w:rFonts w:cs="Times New Roman"/>
      <w:sz w:val="20"/>
      <w:szCs w:val="20"/>
    </w:rPr>
  </w:style>
  <w:style w:type="paragraph" w:styleId="CommentSubject">
    <w:name w:val="annotation subject"/>
    <w:basedOn w:val="CommentText"/>
    <w:next w:val="CommentText"/>
    <w:link w:val="CommentSubjectChar"/>
    <w:uiPriority w:val="99"/>
    <w:semiHidden/>
    <w:rsid w:val="00E43403"/>
    <w:rPr>
      <w:b/>
      <w:bCs/>
    </w:rPr>
  </w:style>
  <w:style w:type="character" w:customStyle="1" w:styleId="CommentSubjectChar">
    <w:name w:val="Comment Subject Char"/>
    <w:basedOn w:val="CommentTextChar"/>
    <w:link w:val="CommentSubject"/>
    <w:uiPriority w:val="99"/>
    <w:semiHidden/>
    <w:rsid w:val="00E43403"/>
    <w:rPr>
      <w:rFonts w:cs="Times New Roman"/>
      <w:b/>
      <w:bCs/>
      <w:sz w:val="20"/>
      <w:szCs w:val="20"/>
    </w:rPr>
  </w:style>
  <w:style w:type="paragraph" w:styleId="BalloonText">
    <w:name w:val="Balloon Text"/>
    <w:basedOn w:val="Normal"/>
    <w:link w:val="BalloonTextChar"/>
    <w:uiPriority w:val="99"/>
    <w:semiHidden/>
    <w:rsid w:val="00E43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403"/>
    <w:rPr>
      <w:rFonts w:ascii="Tahoma" w:hAnsi="Tahoma" w:cs="Tahoma"/>
      <w:sz w:val="16"/>
      <w:szCs w:val="16"/>
    </w:rPr>
  </w:style>
  <w:style w:type="table" w:styleId="TableGrid">
    <w:name w:val="Table Grid"/>
    <w:basedOn w:val="TableNormal"/>
    <w:uiPriority w:val="99"/>
    <w:rsid w:val="000855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5A1"/>
    <w:rPr>
      <w:rFonts w:cs="Times New Roman"/>
    </w:rPr>
  </w:style>
  <w:style w:type="character" w:customStyle="1" w:styleId="ssrfcpassagedeactivated">
    <w:name w:val="ss_rfcpassage_deactivated"/>
    <w:basedOn w:val="DefaultParagraphFont"/>
    <w:uiPriority w:val="99"/>
    <w:rsid w:val="00BE3138"/>
    <w:rPr>
      <w:rFonts w:cs="Times New Roman"/>
    </w:rPr>
  </w:style>
  <w:style w:type="character" w:customStyle="1" w:styleId="ssit1">
    <w:name w:val="ss_it1"/>
    <w:basedOn w:val="DefaultParagraphFont"/>
    <w:uiPriority w:val="99"/>
    <w:rsid w:val="00BE3138"/>
    <w:rPr>
      <w:rFonts w:cs="Times New Roman"/>
      <w:i/>
      <w:iCs/>
    </w:rPr>
  </w:style>
  <w:style w:type="character" w:customStyle="1" w:styleId="sspaghide1">
    <w:name w:val="ss_pag_hide1"/>
    <w:basedOn w:val="DefaultParagraphFont"/>
    <w:uiPriority w:val="99"/>
    <w:rsid w:val="00BE3138"/>
    <w:rPr>
      <w:rFonts w:cs="Times New Roman"/>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734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8114</Characters>
  <Application>Microsoft Office Word</Application>
  <DocSecurity>0</DocSecurity>
  <Lines>199</Lines>
  <Paragraphs>75</Paragraphs>
  <ScaleCrop>false</ScaleCrop>
  <HeadingPairs>
    <vt:vector size="2" baseType="variant">
      <vt:variant>
        <vt:lpstr>Title</vt:lpstr>
      </vt:variant>
      <vt:variant>
        <vt:i4>1</vt:i4>
      </vt:variant>
    </vt:vector>
  </HeadingPairs>
  <TitlesOfParts>
    <vt:vector size="1" baseType="lpstr">
      <vt:lpstr>BEFORE</vt:lpstr>
    </vt:vector>
  </TitlesOfParts>
  <Manager/>
  <Company/>
  <LinksUpToDate>false</LinksUpToDate>
  <CharactersWithSpaces>9555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2014-12-01T19:58:00Z</cp:lastPrinted>
  <dcterms:created xsi:type="dcterms:W3CDTF">2014-12-01T20:24:00Z</dcterms:created>
  <dcterms:modified xsi:type="dcterms:W3CDTF">2014-12-01T20:24:00Z</dcterms:modified>
  <cp:category> </cp:category>
  <cp:contentStatus> </cp:contentStatus>
</cp:coreProperties>
</file>