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81D66" w14:paraId="66B126CB" w14:textId="77777777">
      <w:pPr>
        <w:pStyle w:val="BodyA"/>
        <w:jc w:val="center"/>
        <w:rPr>
          <w:b/>
          <w:bCs/>
        </w:rPr>
      </w:pPr>
      <w:r>
        <w:rPr>
          <w:b/>
          <w:bCs/>
        </w:rPr>
        <w:t>BEFORE</w:t>
      </w:r>
    </w:p>
    <w:p w:rsidR="00981D66" w14:paraId="352A226C" w14:textId="77777777">
      <w:pPr>
        <w:pStyle w:val="BodyA"/>
        <w:jc w:val="center"/>
        <w:rPr>
          <w:b/>
          <w:bCs/>
          <w:lang w:val="en-US"/>
        </w:rPr>
      </w:pPr>
      <w:r>
        <w:rPr>
          <w:b/>
          <w:bCs/>
          <w:lang w:val="en-US"/>
        </w:rPr>
        <w:t>THE PUBLIC UTILITIES COMMISSION OF OHIO</w:t>
      </w:r>
    </w:p>
    <w:p w:rsidR="00981D66" w14:paraId="2C77598F" w14:textId="77777777">
      <w:pPr>
        <w:pStyle w:val="BodyA"/>
        <w:tabs>
          <w:tab w:val="left" w:pos="916"/>
          <w:tab w:val="left" w:pos="1832"/>
          <w:tab w:val="left" w:pos="2748"/>
          <w:tab w:val="left" w:pos="3664"/>
          <w:tab w:val="left" w:pos="4580"/>
          <w:tab w:val="left" w:pos="5496"/>
          <w:tab w:val="left" w:pos="6412"/>
          <w:tab w:val="left" w:pos="7328"/>
          <w:tab w:val="left" w:pos="8140"/>
        </w:tabs>
      </w:pPr>
    </w:p>
    <w:tbl>
      <w:tblPr>
        <w:tblW w:w="89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tblPr>
      <w:tblGrid>
        <w:gridCol w:w="4230"/>
        <w:gridCol w:w="360"/>
        <w:gridCol w:w="4376"/>
      </w:tblGrid>
      <w:tr w14:paraId="3F9560AC" w14:textId="77777777" w:rsidTr="00753A00">
        <w:tblPrEx>
          <w:tblW w:w="89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tblPrEx>
        <w:trPr>
          <w:trHeight w:val="1210"/>
        </w:trPr>
        <w:tc>
          <w:tcPr>
            <w:tcW w:w="4230" w:type="dxa"/>
            <w:tcBorders>
              <w:top w:val="nil"/>
              <w:left w:val="nil"/>
              <w:bottom w:val="nil"/>
              <w:right w:val="nil"/>
            </w:tcBorders>
            <w:shd w:val="clear" w:color="auto" w:fill="auto"/>
            <w:tcMar>
              <w:top w:w="80" w:type="dxa"/>
              <w:left w:w="80" w:type="dxa"/>
              <w:bottom w:w="80" w:type="dxa"/>
              <w:right w:w="80" w:type="dxa"/>
            </w:tcMar>
          </w:tcPr>
          <w:p w:rsidR="00893EE4" w:rsidP="00893EE4" w14:paraId="79B391FF" w14:textId="14B5047F">
            <w:pPr>
              <w:pStyle w:val="BodyA"/>
              <w:tabs>
                <w:tab w:val="left" w:pos="916"/>
                <w:tab w:val="left" w:pos="1832"/>
                <w:tab w:val="left" w:pos="2748"/>
                <w:tab w:val="left" w:pos="3664"/>
                <w:tab w:val="left" w:pos="4580"/>
                <w:tab w:val="left" w:pos="5496"/>
                <w:tab w:val="left" w:pos="6412"/>
                <w:tab w:val="left" w:pos="7328"/>
                <w:tab w:val="left" w:pos="8140"/>
              </w:tabs>
            </w:pPr>
            <w:r w:rsidRPr="00FD40CB">
              <w:rPr>
                <w:rFonts w:cs="Times New Roman"/>
              </w:rPr>
              <w:t xml:space="preserve">In the Matter of the </w:t>
            </w:r>
            <w:r>
              <w:rPr>
                <w:rFonts w:cs="Times New Roman"/>
              </w:rPr>
              <w:t>Application of Vectren Energy Delivery of Ohio, LLC d/b/a CenterPoint Energy Ohio for Approval to Continue Demand Side Management Programs.</w:t>
            </w:r>
          </w:p>
        </w:tc>
        <w:tc>
          <w:tcPr>
            <w:tcW w:w="360" w:type="dxa"/>
            <w:tcBorders>
              <w:top w:val="nil"/>
              <w:left w:val="nil"/>
              <w:bottom w:val="nil"/>
              <w:right w:val="nil"/>
            </w:tcBorders>
            <w:shd w:val="clear" w:color="auto" w:fill="auto"/>
            <w:tcMar>
              <w:top w:w="80" w:type="dxa"/>
              <w:left w:w="80" w:type="dxa"/>
              <w:bottom w:w="80" w:type="dxa"/>
              <w:right w:w="80" w:type="dxa"/>
            </w:tcMar>
          </w:tcPr>
          <w:p w:rsidR="00893EE4" w:rsidRPr="00B54B36" w:rsidP="00893EE4" w14:paraId="0EC63D19" w14:textId="77777777">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893EE4" w:rsidRPr="00B54B36" w:rsidP="00893EE4" w14:paraId="662295DC" w14:textId="77777777">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893EE4" w:rsidRPr="00B54B36" w:rsidP="00893EE4" w14:paraId="57DC1873" w14:textId="77777777">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893EE4" w:rsidRPr="00B54B36" w:rsidP="00893EE4" w14:paraId="31A2D376" w14:textId="77777777">
            <w:pPr>
              <w:pStyle w:val="HTMLPreformatted"/>
              <w:rPr>
                <w:rFonts w:ascii="Times New Roman" w:hAnsi="Times New Roman" w:cs="Times New Roman"/>
                <w:sz w:val="24"/>
                <w:szCs w:val="24"/>
              </w:rPr>
            </w:pPr>
            <w:r w:rsidRPr="00B54B36">
              <w:rPr>
                <w:rFonts w:ascii="Times New Roman" w:hAnsi="Times New Roman" w:cs="Times New Roman"/>
                <w:sz w:val="24"/>
                <w:szCs w:val="24"/>
              </w:rPr>
              <w:t>)</w:t>
            </w:r>
          </w:p>
          <w:p w:rsidR="00893EE4" w:rsidP="00893EE4" w14:paraId="60C3BE29" w14:textId="4E972DFB">
            <w:pPr>
              <w:pStyle w:val="BodyA"/>
              <w:tabs>
                <w:tab w:val="left" w:pos="916"/>
                <w:tab w:val="left" w:pos="1832"/>
                <w:tab w:val="left" w:pos="2748"/>
                <w:tab w:val="left" w:pos="3664"/>
                <w:tab w:val="left" w:pos="4580"/>
                <w:tab w:val="left" w:pos="5496"/>
                <w:tab w:val="left" w:pos="6412"/>
                <w:tab w:val="left" w:pos="7328"/>
                <w:tab w:val="left" w:pos="8140"/>
              </w:tabs>
            </w:pPr>
            <w:r w:rsidRPr="00B54B36">
              <w:rPr>
                <w:rFonts w:cs="Times New Roman"/>
              </w:rPr>
              <w:t>)</w:t>
            </w:r>
          </w:p>
        </w:tc>
        <w:tc>
          <w:tcPr>
            <w:tcW w:w="4376" w:type="dxa"/>
            <w:tcBorders>
              <w:top w:val="nil"/>
              <w:left w:val="nil"/>
              <w:bottom w:val="nil"/>
              <w:right w:val="nil"/>
            </w:tcBorders>
            <w:shd w:val="clear" w:color="auto" w:fill="auto"/>
            <w:tcMar>
              <w:top w:w="80" w:type="dxa"/>
              <w:left w:w="80" w:type="dxa"/>
              <w:bottom w:w="80" w:type="dxa"/>
              <w:right w:w="80" w:type="dxa"/>
            </w:tcMar>
          </w:tcPr>
          <w:p w:rsidR="00893EE4" w:rsidRPr="00B54B36" w:rsidP="00893EE4" w14:paraId="61791F80" w14:textId="77777777">
            <w:pPr>
              <w:pStyle w:val="HTMLPreformatted"/>
              <w:rPr>
                <w:rFonts w:ascii="Times New Roman" w:hAnsi="Times New Roman" w:cs="Times New Roman"/>
                <w:sz w:val="24"/>
                <w:szCs w:val="24"/>
              </w:rPr>
            </w:pPr>
          </w:p>
          <w:p w:rsidR="00893EE4" w:rsidRPr="00B54B36" w:rsidP="00893EE4" w14:paraId="7EBA5D78" w14:textId="77777777">
            <w:pPr>
              <w:pStyle w:val="HTMLPreformatted"/>
              <w:rPr>
                <w:rFonts w:ascii="Times New Roman" w:hAnsi="Times New Roman" w:cs="Times New Roman"/>
                <w:sz w:val="24"/>
                <w:szCs w:val="24"/>
              </w:rPr>
            </w:pPr>
          </w:p>
          <w:p w:rsidR="00893EE4" w:rsidRPr="00B54B36" w:rsidP="00893EE4" w14:paraId="4EA0BAFB" w14:textId="77777777">
            <w:pPr>
              <w:pStyle w:val="HTMLPreformatted"/>
              <w:rPr>
                <w:rFonts w:ascii="Times New Roman" w:hAnsi="Times New Roman" w:cs="Times New Roman"/>
                <w:sz w:val="24"/>
                <w:szCs w:val="24"/>
              </w:rPr>
            </w:pPr>
            <w:r w:rsidRPr="00B54B36">
              <w:rPr>
                <w:rFonts w:ascii="Times New Roman" w:hAnsi="Times New Roman" w:cs="Times New Roman"/>
                <w:sz w:val="24"/>
                <w:szCs w:val="24"/>
              </w:rPr>
              <w:t xml:space="preserve">Case No. </w:t>
            </w:r>
            <w:r>
              <w:rPr>
                <w:rFonts w:ascii="Times New Roman" w:hAnsi="Times New Roman" w:cs="Times New Roman"/>
                <w:sz w:val="24"/>
                <w:szCs w:val="24"/>
              </w:rPr>
              <w:t>22-1015</w:t>
            </w:r>
            <w:r w:rsidRPr="00B54B36">
              <w:rPr>
                <w:rFonts w:ascii="Times New Roman" w:hAnsi="Times New Roman" w:cs="Times New Roman"/>
                <w:sz w:val="24"/>
                <w:szCs w:val="24"/>
              </w:rPr>
              <w:t>-GA-UNC</w:t>
            </w:r>
          </w:p>
          <w:p w:rsidR="00893EE4" w:rsidP="00893EE4" w14:paraId="066DDBC9" w14:textId="18CBE767">
            <w:pPr>
              <w:pStyle w:val="BodyA"/>
              <w:tabs>
                <w:tab w:val="left" w:pos="916"/>
                <w:tab w:val="left" w:pos="1832"/>
                <w:tab w:val="left" w:pos="2748"/>
                <w:tab w:val="left" w:pos="3664"/>
                <w:tab w:val="left" w:pos="4580"/>
                <w:tab w:val="left" w:pos="5496"/>
                <w:tab w:val="left" w:pos="6412"/>
                <w:tab w:val="left" w:pos="7328"/>
                <w:tab w:val="left" w:pos="8140"/>
              </w:tabs>
            </w:pPr>
          </w:p>
        </w:tc>
      </w:tr>
    </w:tbl>
    <w:p w:rsidR="00981D66" w14:paraId="73A8E8D9" w14:textId="77777777">
      <w:pPr>
        <w:pStyle w:val="BodyAA"/>
        <w:pBdr>
          <w:bottom w:val="single" w:sz="12" w:space="0" w:color="000000"/>
        </w:pBdr>
        <w:jc w:val="center"/>
        <w:rPr>
          <w:rFonts w:ascii="Times New Roman" w:eastAsia="Times New Roman" w:hAnsi="Times New Roman" w:cs="Times New Roman"/>
          <w:b/>
          <w:bCs/>
          <w:sz w:val="24"/>
          <w:szCs w:val="24"/>
        </w:rPr>
      </w:pPr>
    </w:p>
    <w:p w:rsidR="00981D66" w14:paraId="31F9BF53" w14:textId="77777777">
      <w:pPr>
        <w:pStyle w:val="BodyAA"/>
        <w:jc w:val="center"/>
        <w:rPr>
          <w:rFonts w:ascii="Times New Roman" w:eastAsia="Times New Roman" w:hAnsi="Times New Roman" w:cs="Times New Roman"/>
          <w:b/>
          <w:bCs/>
          <w:sz w:val="24"/>
          <w:szCs w:val="24"/>
        </w:rPr>
      </w:pPr>
    </w:p>
    <w:p w:rsidR="00981D66" w14:paraId="552D9B9B" w14:textId="21D42F53">
      <w:pPr>
        <w:pStyle w:val="BodyAA"/>
        <w:jc w:val="center"/>
        <w:rPr>
          <w:rFonts w:ascii="Times New Roman" w:eastAsia="Times New Roman" w:hAnsi="Times New Roman" w:cs="Times New Roman"/>
          <w:b/>
          <w:bCs/>
          <w:sz w:val="24"/>
          <w:szCs w:val="24"/>
        </w:rPr>
      </w:pPr>
      <w:r>
        <w:rPr>
          <w:rFonts w:ascii="Times New Roman" w:hAnsi="Times New Roman"/>
          <w:b/>
          <w:bCs/>
          <w:sz w:val="24"/>
          <w:szCs w:val="24"/>
        </w:rPr>
        <w:t xml:space="preserve">REPLY COMMENTS </w:t>
      </w:r>
      <w:r w:rsidR="00A142E6">
        <w:rPr>
          <w:rFonts w:ascii="Times New Roman" w:hAnsi="Times New Roman"/>
          <w:b/>
          <w:bCs/>
          <w:sz w:val="24"/>
          <w:szCs w:val="24"/>
        </w:rPr>
        <w:t>FOR CONSUMER PROTECTION</w:t>
      </w:r>
    </w:p>
    <w:p w:rsidR="00981D66" w14:paraId="51B77BF3" w14:textId="77777777">
      <w:pPr>
        <w:pStyle w:val="BodyAA"/>
        <w:jc w:val="center"/>
        <w:rPr>
          <w:rFonts w:ascii="Times New Roman" w:eastAsia="Times New Roman" w:hAnsi="Times New Roman" w:cs="Times New Roman"/>
          <w:b/>
          <w:bCs/>
          <w:sz w:val="24"/>
          <w:szCs w:val="24"/>
        </w:rPr>
      </w:pPr>
      <w:r>
        <w:rPr>
          <w:rFonts w:ascii="Times New Roman" w:hAnsi="Times New Roman"/>
          <w:b/>
          <w:bCs/>
          <w:sz w:val="24"/>
          <w:szCs w:val="24"/>
        </w:rPr>
        <w:t>BY</w:t>
      </w:r>
    </w:p>
    <w:p w:rsidR="00981D66" w14:paraId="071AEFAC" w14:textId="77777777">
      <w:pPr>
        <w:pStyle w:val="BodyAA"/>
        <w:jc w:val="center"/>
        <w:rPr>
          <w:rFonts w:ascii="Times New Roman" w:eastAsia="Times New Roman" w:hAnsi="Times New Roman" w:cs="Times New Roman"/>
          <w:b/>
          <w:bCs/>
          <w:sz w:val="24"/>
          <w:szCs w:val="24"/>
        </w:rPr>
      </w:pPr>
      <w:r>
        <w:rPr>
          <w:rFonts w:ascii="Times New Roman" w:hAnsi="Times New Roman"/>
          <w:b/>
          <w:bCs/>
          <w:sz w:val="24"/>
          <w:szCs w:val="24"/>
        </w:rPr>
        <w:t xml:space="preserve">OFFICE OF THE OHIO CONSUMERS’ </w:t>
      </w:r>
      <w:r>
        <w:rPr>
          <w:rFonts w:ascii="Times New Roman" w:hAnsi="Times New Roman"/>
          <w:b/>
          <w:bCs/>
          <w:sz w:val="24"/>
          <w:szCs w:val="24"/>
          <w:lang w:val="fr-FR"/>
        </w:rPr>
        <w:t>COUNSEL</w:t>
      </w:r>
    </w:p>
    <w:p w:rsidR="00981D66" w14:paraId="2F695D85" w14:textId="77777777">
      <w:pPr>
        <w:pStyle w:val="BodyAA"/>
        <w:pBdr>
          <w:bottom w:val="single" w:sz="12" w:space="0" w:color="000000"/>
        </w:pBdr>
        <w:jc w:val="center"/>
        <w:rPr>
          <w:rFonts w:ascii="Times New Roman" w:eastAsia="Times New Roman" w:hAnsi="Times New Roman" w:cs="Times New Roman"/>
          <w:b/>
          <w:bCs/>
          <w:sz w:val="24"/>
          <w:szCs w:val="24"/>
        </w:rPr>
      </w:pPr>
    </w:p>
    <w:p w:rsidR="00981D66" w14:paraId="78358E74" w14:textId="77777777">
      <w:pPr>
        <w:pStyle w:val="BodyAA"/>
        <w:jc w:val="center"/>
        <w:rPr>
          <w:rFonts w:ascii="Times New Roman" w:eastAsia="Times New Roman" w:hAnsi="Times New Roman" w:cs="Times New Roman"/>
          <w:b/>
          <w:bCs/>
          <w:sz w:val="24"/>
          <w:szCs w:val="24"/>
        </w:rPr>
      </w:pPr>
    </w:p>
    <w:p w:rsidR="004C02F3" w:rsidP="004C02F3" w14:paraId="39567DAD" w14:textId="184B6FF3">
      <w:pPr>
        <w:pStyle w:val="Heading"/>
        <w:keepLines/>
        <w:numPr>
          <w:ilvl w:val="0"/>
          <w:numId w:val="2"/>
        </w:numPr>
        <w:rPr>
          <w:rFonts w:ascii="Times New Roman" w:hAnsi="Times New Roman"/>
          <w:sz w:val="24"/>
          <w:szCs w:val="24"/>
        </w:rPr>
      </w:pPr>
      <w:r w:rsidRPr="00A142E6">
        <w:rPr>
          <w:rFonts w:ascii="Times New Roman" w:hAnsi="Times New Roman"/>
          <w:sz w:val="24"/>
          <w:szCs w:val="24"/>
        </w:rPr>
        <w:t>INTRODUCTION</w:t>
      </w:r>
    </w:p>
    <w:p w:rsidR="004C02F3" w:rsidRPr="004C02F3" w:rsidP="004C02F3" w14:paraId="59486FDD" w14:textId="77777777">
      <w:pPr>
        <w:pStyle w:val="BodyAA"/>
      </w:pPr>
    </w:p>
    <w:p w:rsidR="004C02F3" w:rsidP="004C02F3" w14:paraId="2048A9F7" w14:textId="5BB2A226">
      <w:pPr>
        <w:pStyle w:val="BodyTextIndent3"/>
        <w:widowControl w:val="0"/>
        <w:spacing w:line="480" w:lineRule="auto"/>
        <w:ind w:right="-312"/>
      </w:pPr>
      <w:r>
        <w:t xml:space="preserve">Energy efficiency has benefits, including for consumers. But the PUCO should not force </w:t>
      </w:r>
      <w:r w:rsidR="00A40318">
        <w:t xml:space="preserve">all residential </w:t>
      </w:r>
      <w:r>
        <w:t>consumers to subsidize utility-run energy efficiency programs</w:t>
      </w:r>
      <w:r w:rsidR="001B263B">
        <w:t xml:space="preserve"> </w:t>
      </w:r>
      <w:r w:rsidR="007C4792">
        <w:t xml:space="preserve">that benefit only a small group of </w:t>
      </w:r>
      <w:r w:rsidR="001B263B">
        <w:t>non-low-income consumers</w:t>
      </w:r>
      <w:r>
        <w:t xml:space="preserve">. </w:t>
      </w:r>
      <w:r w:rsidR="007C4792">
        <w:t xml:space="preserve">If non-low-income consumers </w:t>
      </w:r>
      <w:r w:rsidR="006172C4">
        <w:t>want energy efficiency products</w:t>
      </w:r>
      <w:r w:rsidR="007C4792">
        <w:t xml:space="preserve">, they can </w:t>
      </w:r>
      <w:r>
        <w:t xml:space="preserve">purchase </w:t>
      </w:r>
      <w:r w:rsidR="006172C4">
        <w:t>them</w:t>
      </w:r>
      <w:r>
        <w:t xml:space="preserve"> in the competitive market. </w:t>
      </w:r>
      <w:r w:rsidR="00DB4AB1">
        <w:t>They do not need utility involvement. Removing the utility from the transaction</w:t>
      </w:r>
      <w:r w:rsidR="006172C4">
        <w:t xml:space="preserve"> </w:t>
      </w:r>
      <w:r w:rsidR="00864AEF">
        <w:t>eliminates</w:t>
      </w:r>
      <w:r>
        <w:t xml:space="preserve"> costs </w:t>
      </w:r>
      <w:r w:rsidR="00864AEF">
        <w:t xml:space="preserve">for </w:t>
      </w:r>
      <w:r w:rsidR="001B263B">
        <w:t xml:space="preserve">the </w:t>
      </w:r>
      <w:r w:rsidR="007C4792">
        <w:t>majority of</w:t>
      </w:r>
      <w:r>
        <w:t xml:space="preserve"> </w:t>
      </w:r>
      <w:r w:rsidR="00DB4AB1">
        <w:t xml:space="preserve">a utility’s </w:t>
      </w:r>
      <w:r>
        <w:t>consumers</w:t>
      </w:r>
      <w:r w:rsidR="006172C4">
        <w:t>, including low-income consumers, that do not participate in energy efficiency programs.</w:t>
      </w:r>
      <w:r>
        <w:rPr>
          <w:rStyle w:val="FootnoteReference"/>
        </w:rPr>
        <w:footnoteReference w:id="3"/>
      </w:r>
      <w:r w:rsidR="006172C4">
        <w:t xml:space="preserve"> The PUCO should not force all </w:t>
      </w:r>
      <w:r w:rsidR="00A40318">
        <w:t xml:space="preserve">residential </w:t>
      </w:r>
      <w:r w:rsidR="006172C4">
        <w:t>consumers to pay for energy efficiency programs that benefit</w:t>
      </w:r>
      <w:r w:rsidR="007C4792">
        <w:t xml:space="preserve"> consumers who can purchase energy efficiency products on their own</w:t>
      </w:r>
      <w:r w:rsidR="00B549FB">
        <w:t xml:space="preserve"> in the competitive market</w:t>
      </w:r>
      <w:r w:rsidR="006172C4">
        <w:t>.</w:t>
      </w:r>
    </w:p>
    <w:p w:rsidR="000B124C" w:rsidP="004C02F3" w14:paraId="234D08B3" w14:textId="77777777">
      <w:pPr>
        <w:pStyle w:val="BodyTextIndent3"/>
        <w:widowControl w:val="0"/>
        <w:spacing w:line="480" w:lineRule="auto"/>
        <w:ind w:right="-312"/>
      </w:pPr>
      <w:r w:rsidRPr="00B54B36">
        <w:t xml:space="preserve">Vectren Energy Delivery of Ohio, Inc. (“Vectren”) proposes that </w:t>
      </w:r>
      <w:r>
        <w:t xml:space="preserve">its </w:t>
      </w:r>
      <w:r w:rsidRPr="00B54B36">
        <w:t xml:space="preserve">consumers </w:t>
      </w:r>
      <w:r>
        <w:t>subsidize</w:t>
      </w:r>
      <w:r w:rsidRPr="00B54B36">
        <w:t xml:space="preserve"> </w:t>
      </w:r>
      <w:r>
        <w:t xml:space="preserve">up to $6 million annually ($36 million over six years) for non-low-income natural gas demand side management/energy efficiency (“DSM/EE”) programs. Vectren also wants </w:t>
      </w:r>
    </w:p>
    <w:p w:rsidR="000B124C" w14:paraId="69BC833E" w14:textId="77777777">
      <w:pPr>
        <w:rPr>
          <w:rFonts w:cs="Arial Unicode MS"/>
          <w:color w:val="000000"/>
          <w:u w:color="000000"/>
        </w:rPr>
      </w:pPr>
      <w:r>
        <w:br w:type="page"/>
      </w:r>
    </w:p>
    <w:p w:rsidR="002F2444" w:rsidP="000B124C" w14:paraId="54E5F541" w14:textId="5D538FB2">
      <w:pPr>
        <w:pStyle w:val="BodyTextIndent3"/>
        <w:widowControl w:val="0"/>
        <w:spacing w:line="480" w:lineRule="auto"/>
        <w:ind w:right="-312" w:firstLine="0"/>
      </w:pPr>
      <w:r>
        <w:t>consumers to pay an additional $400,000 annually ($2.4 million over six years)</w:t>
      </w:r>
      <w:r w:rsidRPr="00B54B36">
        <w:t xml:space="preserve"> </w:t>
      </w:r>
      <w:r>
        <w:t>for a combined program to include gas and electric DSM/EE products or services.</w:t>
      </w:r>
      <w:r>
        <w:rPr>
          <w:rStyle w:val="FootnoteReference"/>
        </w:rPr>
        <w:footnoteReference w:id="4"/>
      </w:r>
      <w:r>
        <w:t xml:space="preserve"> </w:t>
      </w:r>
    </w:p>
    <w:p w:rsidR="004C02F3" w:rsidP="004C02F3" w14:paraId="50C4E096" w14:textId="46F034B1">
      <w:pPr>
        <w:pStyle w:val="BodyTextIndent3"/>
        <w:widowControl w:val="0"/>
        <w:spacing w:line="480" w:lineRule="auto"/>
        <w:ind w:right="-312"/>
      </w:pPr>
      <w:r>
        <w:t xml:space="preserve">For its low-income consumer program, Vectren proposes to spend $2.1 million annually ($12.6 million over six years). </w:t>
      </w:r>
      <w:r w:rsidR="002F2444">
        <w:t xml:space="preserve">The PUCO should adopt this level of spending for low-income consumers. But the PUCO should focus on </w:t>
      </w:r>
      <w:r w:rsidR="00606811">
        <w:t xml:space="preserve">strict </w:t>
      </w:r>
      <w:r w:rsidR="002F2444">
        <w:t>program requirements and accountability</w:t>
      </w:r>
      <w:r w:rsidR="007F0196">
        <w:t xml:space="preserve"> and equity</w:t>
      </w:r>
      <w:r w:rsidR="002F2444">
        <w:t xml:space="preserve"> through auditing</w:t>
      </w:r>
      <w:r w:rsidR="00B606D9">
        <w:t xml:space="preserve"> for Vectren and providers</w:t>
      </w:r>
      <w:r w:rsidR="002F2444">
        <w:t xml:space="preserve">, for consumer protection. </w:t>
      </w:r>
    </w:p>
    <w:p w:rsidR="00BA510F" w:rsidP="004C02F3" w14:paraId="52B6F1E4" w14:textId="6E0C7ECE">
      <w:pPr>
        <w:pStyle w:val="BodyTextIndent3"/>
        <w:widowControl w:val="0"/>
        <w:spacing w:line="480" w:lineRule="auto"/>
        <w:ind w:right="-312"/>
      </w:pPr>
      <w:r>
        <w:t xml:space="preserve">The PUCO should deny Vectren’s application to charge </w:t>
      </w:r>
      <w:r w:rsidR="00A40318">
        <w:t xml:space="preserve">residential </w:t>
      </w:r>
      <w:r>
        <w:t xml:space="preserve">consumers for non-low-income energy efficiency programs. Further, the PUCO should adopt OCC’s recommendations for the low-income consumer program. </w:t>
      </w:r>
    </w:p>
    <w:p w:rsidR="00CF49F4" w:rsidRPr="004C02F3" w:rsidP="00CF49F4" w14:paraId="64A42D50" w14:textId="77777777">
      <w:pPr>
        <w:pStyle w:val="BodyTextIndent3"/>
        <w:widowControl w:val="0"/>
        <w:spacing w:line="240" w:lineRule="auto"/>
        <w:ind w:right="-312"/>
      </w:pPr>
    </w:p>
    <w:p w:rsidR="002B7742" w:rsidRPr="00771F84" w:rsidP="002B7742" w14:paraId="3174F58D" w14:textId="2F830208">
      <w:pPr>
        <w:pStyle w:val="Heading"/>
        <w:numPr>
          <w:ilvl w:val="0"/>
          <w:numId w:val="2"/>
        </w:numPr>
        <w:rPr>
          <w:rFonts w:ascii="Times New Roman" w:hAnsi="Times New Roman" w:cs="Times New Roman"/>
          <w:color w:val="000000" w:themeColor="text1"/>
          <w:sz w:val="24"/>
          <w:szCs w:val="24"/>
          <w:u w:color="212529"/>
          <w:shd w:val="clear" w:color="auto" w:fill="FFFFFF"/>
        </w:rPr>
      </w:pPr>
      <w:r w:rsidRPr="00771F84">
        <w:rPr>
          <w:rFonts w:ascii="Times New Roman" w:hAnsi="Times New Roman" w:cs="Times New Roman"/>
          <w:color w:val="000000" w:themeColor="text1"/>
          <w:sz w:val="24"/>
          <w:szCs w:val="24"/>
          <w:u w:color="212529"/>
          <w:shd w:val="clear" w:color="auto" w:fill="FFFFFF"/>
        </w:rPr>
        <w:t>REPLY COMMENTS</w:t>
      </w:r>
    </w:p>
    <w:p w:rsidR="002B7742" w:rsidRPr="00771F84" w:rsidP="002B7742" w14:paraId="47CE1706" w14:textId="77777777">
      <w:pPr>
        <w:pStyle w:val="Heading"/>
        <w:ind w:left="720"/>
        <w:rPr>
          <w:rFonts w:ascii="Times New Roman" w:eastAsia="Times New Roman" w:hAnsi="Times New Roman" w:cs="Times New Roman"/>
          <w:color w:val="000000" w:themeColor="text1"/>
          <w:sz w:val="24"/>
          <w:szCs w:val="24"/>
          <w:u w:color="212529"/>
          <w:shd w:val="clear" w:color="auto" w:fill="FFFFFF"/>
        </w:rPr>
      </w:pPr>
    </w:p>
    <w:p w:rsidR="00BA510F" w:rsidP="00BA510F" w14:paraId="68638FFC" w14:textId="6F037A9F">
      <w:pPr>
        <w:pStyle w:val="Heading"/>
        <w:numPr>
          <w:ilvl w:val="0"/>
          <w:numId w:val="9"/>
        </w:numPr>
        <w:ind w:left="1440" w:hanging="720"/>
        <w:rPr>
          <w:rFonts w:ascii="Times New Roman" w:hAnsi="Times New Roman" w:cs="Times New Roman"/>
          <w:color w:val="000000" w:themeColor="text1"/>
          <w:sz w:val="24"/>
          <w:szCs w:val="24"/>
          <w:u w:color="212529"/>
          <w:shd w:val="clear" w:color="auto" w:fill="FFFFFF"/>
        </w:rPr>
      </w:pPr>
      <w:r>
        <w:rPr>
          <w:rFonts w:ascii="Times New Roman" w:hAnsi="Times New Roman" w:cs="Times New Roman"/>
          <w:color w:val="000000" w:themeColor="text1"/>
          <w:sz w:val="24"/>
          <w:szCs w:val="24"/>
          <w:u w:color="212529"/>
          <w:shd w:val="clear" w:color="auto" w:fill="FFFFFF"/>
        </w:rPr>
        <w:t xml:space="preserve">Vectren’s energy efficiency proposal is unjust and unreasonable, violating R.C. 4905.22, because it charges all </w:t>
      </w:r>
      <w:r w:rsidR="00A40318">
        <w:rPr>
          <w:rFonts w:ascii="Times New Roman" w:hAnsi="Times New Roman" w:cs="Times New Roman"/>
          <w:color w:val="000000" w:themeColor="text1"/>
          <w:sz w:val="24"/>
          <w:szCs w:val="24"/>
          <w:u w:color="212529"/>
          <w:shd w:val="clear" w:color="auto" w:fill="FFFFFF"/>
        </w:rPr>
        <w:t xml:space="preserve">residential </w:t>
      </w:r>
      <w:r>
        <w:rPr>
          <w:rFonts w:ascii="Times New Roman" w:hAnsi="Times New Roman" w:cs="Times New Roman"/>
          <w:color w:val="000000" w:themeColor="text1"/>
          <w:sz w:val="24"/>
          <w:szCs w:val="24"/>
          <w:u w:color="212529"/>
          <w:shd w:val="clear" w:color="auto" w:fill="FFFFFF"/>
        </w:rPr>
        <w:t xml:space="preserve">consumers for energy efficiency products that benefit a small group who could purchase those products on the competitive market. </w:t>
      </w:r>
    </w:p>
    <w:p w:rsidR="006172C4" w:rsidP="006172C4" w14:paraId="28A3FEB6" w14:textId="77777777">
      <w:pPr>
        <w:pStyle w:val="BodyAA"/>
      </w:pPr>
    </w:p>
    <w:p w:rsidR="001B263B" w:rsidP="006172C4" w14:paraId="59FCDC28" w14:textId="3FB72F8C">
      <w:pPr>
        <w:pStyle w:val="ListParagraph"/>
        <w:spacing w:line="480" w:lineRule="auto"/>
        <w:ind w:left="0" w:firstLine="720"/>
      </w:pPr>
      <w:r>
        <w:t>The PUCO should not</w:t>
      </w:r>
      <w:r w:rsidR="006172C4">
        <w:t xml:space="preserve"> make </w:t>
      </w:r>
      <w:r w:rsidR="00DB4AB1">
        <w:t xml:space="preserve">Vectren’s captive utility </w:t>
      </w:r>
      <w:r w:rsidR="006172C4">
        <w:t>consumers subsidize non-low-income energy efficiency programs when the market provides the same benefits for consumers who want them. The market provides similar products and services as those proposed in Vectren’s application</w:t>
      </w:r>
      <w:r w:rsidR="00386B28">
        <w:t xml:space="preserve">. Still, </w:t>
      </w:r>
      <w:r>
        <w:t xml:space="preserve">Vectren proposes to make all </w:t>
      </w:r>
      <w:r w:rsidR="00A40318">
        <w:t xml:space="preserve">residential </w:t>
      </w:r>
      <w:r>
        <w:t>consumers</w:t>
      </w:r>
      <w:r w:rsidR="006172C4">
        <w:t xml:space="preserve">, including those with </w:t>
      </w:r>
      <w:r w:rsidR="00617826">
        <w:t>low</w:t>
      </w:r>
      <w:r w:rsidR="00A40318">
        <w:t xml:space="preserve"> </w:t>
      </w:r>
      <w:r w:rsidR="00617826">
        <w:t>and moderate</w:t>
      </w:r>
      <w:r w:rsidR="00A40318">
        <w:t xml:space="preserve"> </w:t>
      </w:r>
      <w:r w:rsidR="00617826">
        <w:t>income</w:t>
      </w:r>
      <w:r w:rsidR="006172C4">
        <w:t xml:space="preserve"> levels, pay </w:t>
      </w:r>
      <w:r>
        <w:t xml:space="preserve">for energy </w:t>
      </w:r>
      <w:r w:rsidR="00B35211">
        <w:t>efficiency</w:t>
      </w:r>
      <w:r>
        <w:t xml:space="preserve"> products that benefit </w:t>
      </w:r>
      <w:r w:rsidR="00DB4AB1">
        <w:t xml:space="preserve">only </w:t>
      </w:r>
      <w:r w:rsidR="00042CCD">
        <w:t>a small number of</w:t>
      </w:r>
      <w:r w:rsidR="006172C4">
        <w:t xml:space="preserve"> </w:t>
      </w:r>
      <w:r>
        <w:t>consumers</w:t>
      </w:r>
      <w:r w:rsidR="006172C4">
        <w:t>.</w:t>
      </w:r>
      <w:r w:rsidR="000009B8">
        <w:t xml:space="preserve"> That is unjust and unreasonable, in violation of R.C. 4905.22.</w:t>
      </w:r>
      <w:r w:rsidR="00B606D9">
        <w:t xml:space="preserve"> </w:t>
      </w:r>
    </w:p>
    <w:p w:rsidR="00B549FB" w:rsidP="006172C4" w14:paraId="41655F22" w14:textId="77777777">
      <w:pPr>
        <w:pStyle w:val="ListParagraph"/>
        <w:spacing w:line="480" w:lineRule="auto"/>
        <w:ind w:left="0" w:firstLine="720"/>
      </w:pPr>
      <w:r>
        <w:t xml:space="preserve">Ohio Partners for Affordable Energy (“OPAE”) argues that </w:t>
      </w:r>
      <w:r w:rsidR="00B35211">
        <w:t xml:space="preserve">the PUCO should approve Vectren’s </w:t>
      </w:r>
      <w:r w:rsidR="0016506C">
        <w:t>proposal</w:t>
      </w:r>
      <w:r w:rsidR="00B35211">
        <w:t xml:space="preserve"> because it consistent with state policy and law. Per OPAE, energy efficiency “is a distribution utility function and utility programs are required.”</w:t>
      </w:r>
      <w:r>
        <w:rPr>
          <w:rStyle w:val="FootnoteReference"/>
        </w:rPr>
        <w:footnoteReference w:id="5"/>
      </w:r>
      <w:r>
        <w:t xml:space="preserve"> </w:t>
      </w:r>
      <w:r w:rsidR="00617826">
        <w:t xml:space="preserve">However, </w:t>
      </w:r>
      <w:r w:rsidR="00B35211">
        <w:t xml:space="preserve">OPAE ignores precedent to the contrary. </w:t>
      </w:r>
    </w:p>
    <w:p w:rsidR="006172C4" w:rsidP="006172C4" w14:paraId="656E95CF" w14:textId="2C040937">
      <w:pPr>
        <w:pStyle w:val="ListParagraph"/>
        <w:spacing w:line="480" w:lineRule="auto"/>
        <w:ind w:left="0" w:firstLine="720"/>
      </w:pPr>
      <w:r>
        <w:t>The PUCO has recognized that, consistent with state policy, the competitive marketplace is the appropriate venue for energy efficiency services, especially for non-low-income programs. The PUCO stated that “I</w:t>
      </w:r>
      <w:r w:rsidRPr="00BC28F1">
        <w:t>t is time to look to competitive markets to play a more significant role in the provision of energy efficiency services in this state</w:t>
      </w:r>
      <w:r>
        <w:t>,” when discussing energy efficiency programs in Columbia’s most recent rate case.</w:t>
      </w:r>
      <w:r>
        <w:rPr>
          <w:rStyle w:val="FootnoteReference"/>
        </w:rPr>
        <w:footnoteReference w:id="6"/>
      </w:r>
      <w:r>
        <w:t xml:space="preserve"> OPAE’s claim that state policy requires consumers to subsidize utility-run energy efficiency programs is wrong.</w:t>
      </w:r>
      <w:r w:rsidR="00B606D9">
        <w:t xml:space="preserve"> Having said that, the PUCO should approve the low-income weatherization programs, subject to program requirements and accountability for Vectren and providers.</w:t>
      </w:r>
    </w:p>
    <w:p w:rsidR="00B35211" w:rsidP="006172C4" w14:paraId="5EBE9709" w14:textId="527903CD">
      <w:pPr>
        <w:pStyle w:val="ListParagraph"/>
        <w:spacing w:line="480" w:lineRule="auto"/>
        <w:ind w:left="0" w:firstLine="720"/>
      </w:pPr>
      <w:r>
        <w:t xml:space="preserve">Next, OPAE states that Vectren’s </w:t>
      </w:r>
      <w:r w:rsidR="0016506C">
        <w:t>application</w:t>
      </w:r>
      <w:r>
        <w:t xml:space="preserve"> should be granted because energy efficiency “is a</w:t>
      </w:r>
      <w:r w:rsidR="00276555">
        <w:t xml:space="preserve"> hedge</w:t>
      </w:r>
      <w:r>
        <w:t xml:space="preserve"> against volatility.”</w:t>
      </w:r>
      <w:r>
        <w:rPr>
          <w:rStyle w:val="FootnoteReference"/>
        </w:rPr>
        <w:footnoteReference w:id="7"/>
      </w:r>
      <w:r>
        <w:t xml:space="preserve"> However, this ignores the problem with Vectren’s application. If non-low-income consumers would like to hedge against volatile energy prices, they can do so by purchasing energy efficiency products that are competitively available. However, charging all </w:t>
      </w:r>
      <w:r w:rsidR="00A40318">
        <w:t xml:space="preserve">residential </w:t>
      </w:r>
      <w:r>
        <w:t xml:space="preserve">consumers, including </w:t>
      </w:r>
      <w:r w:rsidR="0016506C">
        <w:t>low-income</w:t>
      </w:r>
      <w:r>
        <w:t xml:space="preserve"> consumers, </w:t>
      </w:r>
      <w:r w:rsidR="0016506C">
        <w:t>for energy efficiency products that benefit</w:t>
      </w:r>
      <w:r w:rsidR="00042CCD">
        <w:t xml:space="preserve"> </w:t>
      </w:r>
      <w:r w:rsidR="0016506C">
        <w:t xml:space="preserve">consumers who can </w:t>
      </w:r>
      <w:r w:rsidR="005557B4">
        <w:t xml:space="preserve">otherwise </w:t>
      </w:r>
      <w:r w:rsidR="00606811">
        <w:t xml:space="preserve">buy them in the market without utility involvement, </w:t>
      </w:r>
      <w:r w:rsidR="0016506C">
        <w:t>is unjust and unreasonable.</w:t>
      </w:r>
    </w:p>
    <w:p w:rsidR="0016506C" w:rsidP="006172C4" w14:paraId="56635508" w14:textId="38D68E0E">
      <w:pPr>
        <w:pStyle w:val="ListParagraph"/>
        <w:spacing w:line="480" w:lineRule="auto"/>
        <w:ind w:left="0" w:firstLine="720"/>
      </w:pPr>
      <w:r>
        <w:t>Lastly, OPAE states that the PUCO should approve Vectren’s proposal because the Company “is again forsaking shared savings” and “has not sought a large increase from the previously approved budgets.”</w:t>
      </w:r>
      <w:r>
        <w:rPr>
          <w:rStyle w:val="FootnoteReference"/>
        </w:rPr>
        <w:footnoteReference w:id="8"/>
      </w:r>
      <w:r>
        <w:t xml:space="preserve"> But </w:t>
      </w:r>
      <w:r w:rsidR="00276555">
        <w:t>that ignores the core flaw in Vectren’s proposal, too</w:t>
      </w:r>
      <w:r>
        <w:t xml:space="preserve">. Even if Vectren’s proposed no budget increase or a budget decrease, its non-low-income energy efficiency proposal should </w:t>
      </w:r>
      <w:r w:rsidR="00DB4AB1">
        <w:t xml:space="preserve">still </w:t>
      </w:r>
      <w:r>
        <w:t>be denied. It is unjust and unreasonable to require</w:t>
      </w:r>
      <w:r w:rsidR="00042CCD">
        <w:t xml:space="preserve"> all</w:t>
      </w:r>
      <w:r>
        <w:t xml:space="preserve"> </w:t>
      </w:r>
      <w:r w:rsidR="00A40318">
        <w:t xml:space="preserve">residential </w:t>
      </w:r>
      <w:r w:rsidR="005557B4">
        <w:t>consumers, including low-income</w:t>
      </w:r>
      <w:r>
        <w:t xml:space="preserve"> consumers</w:t>
      </w:r>
      <w:r w:rsidR="005557B4">
        <w:t>,</w:t>
      </w:r>
      <w:r>
        <w:t xml:space="preserve"> to subsidize programs </w:t>
      </w:r>
      <w:r w:rsidR="00042CCD">
        <w:t xml:space="preserve">that benefit </w:t>
      </w:r>
      <w:r w:rsidR="005557B4">
        <w:t xml:space="preserve">a small group of </w:t>
      </w:r>
      <w:r w:rsidR="00042CCD">
        <w:t>non-low-income consumers.</w:t>
      </w:r>
      <w:r>
        <w:t xml:space="preserve"> </w:t>
      </w:r>
    </w:p>
    <w:p w:rsidR="00771F84" w:rsidP="00042CCD" w14:paraId="4A323A82" w14:textId="33C3BAB0">
      <w:pPr>
        <w:pStyle w:val="ListParagraph"/>
        <w:spacing w:line="480" w:lineRule="auto"/>
        <w:ind w:left="0" w:firstLine="720"/>
      </w:pPr>
      <w:r>
        <w:t xml:space="preserve">The PUCO should deny Vectren’s non-low-income energy efficiency proposal. </w:t>
      </w:r>
      <w:r w:rsidR="008430CF">
        <w:t>But Vectren can still proceed using its own funds.</w:t>
      </w:r>
      <w:r w:rsidR="000B124C">
        <w:t xml:space="preserve"> </w:t>
      </w:r>
      <w:r w:rsidR="008430CF">
        <w:t xml:space="preserve">If </w:t>
      </w:r>
      <w:r w:rsidR="0016506C">
        <w:t>Vectren wishes to offer energy efficiency programs to non-low-income consumers, then it can use shareholder funds to do so. This allows consumers to benefit from energy efficiency products without charging consumers who do not benefit from the program or are low-income.</w:t>
      </w:r>
    </w:p>
    <w:p w:rsidR="000A052A" w:rsidRPr="0016506C" w:rsidP="000A052A" w14:paraId="1B7C0D41" w14:textId="6312B7FC">
      <w:pPr>
        <w:pStyle w:val="BodyAA"/>
        <w:numPr>
          <w:ilvl w:val="0"/>
          <w:numId w:val="9"/>
        </w:numPr>
        <w:spacing w:after="240"/>
        <w:ind w:left="1440" w:hanging="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The PUCO should adopt OCC’s recommendations for Vectren’s low-income energy efficiency program to ensure Vectren meets its weatherization goals and uses limited program funds efficiently</w:t>
      </w:r>
      <w:r w:rsidR="001A6FD7">
        <w:rPr>
          <w:rFonts w:ascii="Times New Roman" w:eastAsia="Times New Roman" w:hAnsi="Times New Roman" w:cs="Times New Roman"/>
          <w:b/>
          <w:bCs/>
          <w:color w:val="000000" w:themeColor="text1"/>
          <w:sz w:val="24"/>
          <w:szCs w:val="24"/>
        </w:rPr>
        <w:t xml:space="preserve"> and equitably</w:t>
      </w:r>
      <w:r>
        <w:rPr>
          <w:rFonts w:ascii="Times New Roman" w:eastAsia="Times New Roman" w:hAnsi="Times New Roman" w:cs="Times New Roman"/>
          <w:b/>
          <w:bCs/>
          <w:color w:val="000000" w:themeColor="text1"/>
          <w:sz w:val="24"/>
          <w:szCs w:val="24"/>
        </w:rPr>
        <w:t>.</w:t>
      </w:r>
    </w:p>
    <w:p w:rsidR="00BB04A9" w:rsidP="00BB04A9" w14:paraId="2981864F" w14:textId="1F7133FF">
      <w:pPr>
        <w:pStyle w:val="BodyAA"/>
        <w:spacing w:line="480" w:lineRule="auto"/>
        <w:ind w:firstLine="720"/>
        <w:rPr>
          <w:rFonts w:ascii="Times New Roman" w:hAnsi="Times New Roman" w:cs="Times New Roman"/>
          <w:sz w:val="24"/>
          <w:szCs w:val="24"/>
        </w:rPr>
      </w:pPr>
      <w:r w:rsidRPr="00BB04A9">
        <w:rPr>
          <w:rFonts w:ascii="Times New Roman" w:hAnsi="Times New Roman" w:cs="Times New Roman"/>
          <w:sz w:val="24"/>
          <w:szCs w:val="24"/>
        </w:rPr>
        <w:t xml:space="preserve">The PUCO should approve Vectren’s low-income energy </w:t>
      </w:r>
      <w:r>
        <w:rPr>
          <w:rFonts w:ascii="Times New Roman" w:hAnsi="Times New Roman" w:cs="Times New Roman"/>
          <w:sz w:val="24"/>
          <w:szCs w:val="24"/>
        </w:rPr>
        <w:t xml:space="preserve">efficiency programs. </w:t>
      </w:r>
      <w:r w:rsidR="000009B8">
        <w:rPr>
          <w:rFonts w:ascii="Times New Roman" w:hAnsi="Times New Roman" w:cs="Times New Roman"/>
          <w:sz w:val="24"/>
          <w:szCs w:val="24"/>
        </w:rPr>
        <w:t>Vectren’s home</w:t>
      </w:r>
      <w:r>
        <w:rPr>
          <w:rFonts w:ascii="Times New Roman" w:hAnsi="Times New Roman" w:cs="Times New Roman"/>
          <w:sz w:val="24"/>
          <w:szCs w:val="24"/>
        </w:rPr>
        <w:t xml:space="preserve"> weatherization </w:t>
      </w:r>
      <w:r w:rsidR="000009B8">
        <w:rPr>
          <w:rFonts w:ascii="Times New Roman" w:hAnsi="Times New Roman" w:cs="Times New Roman"/>
          <w:sz w:val="24"/>
          <w:szCs w:val="24"/>
        </w:rPr>
        <w:t xml:space="preserve">plan </w:t>
      </w:r>
      <w:r w:rsidR="008430CF">
        <w:rPr>
          <w:rFonts w:ascii="Times New Roman" w:hAnsi="Times New Roman" w:cs="Times New Roman"/>
          <w:sz w:val="24"/>
          <w:szCs w:val="24"/>
        </w:rPr>
        <w:t>help</w:t>
      </w:r>
      <w:r>
        <w:rPr>
          <w:rFonts w:ascii="Times New Roman" w:hAnsi="Times New Roman" w:cs="Times New Roman"/>
          <w:sz w:val="24"/>
          <w:szCs w:val="24"/>
        </w:rPr>
        <w:t xml:space="preserve">s low-income consumers save money on </w:t>
      </w:r>
      <w:r w:rsidR="000009B8">
        <w:rPr>
          <w:rFonts w:ascii="Times New Roman" w:hAnsi="Times New Roman" w:cs="Times New Roman"/>
          <w:sz w:val="24"/>
          <w:szCs w:val="24"/>
        </w:rPr>
        <w:t xml:space="preserve">their </w:t>
      </w:r>
      <w:r>
        <w:rPr>
          <w:rFonts w:ascii="Times New Roman" w:hAnsi="Times New Roman" w:cs="Times New Roman"/>
          <w:sz w:val="24"/>
          <w:szCs w:val="24"/>
        </w:rPr>
        <w:t xml:space="preserve">electric bills. </w:t>
      </w:r>
      <w:r w:rsidR="000009B8">
        <w:rPr>
          <w:rFonts w:ascii="Times New Roman" w:hAnsi="Times New Roman" w:cs="Times New Roman"/>
          <w:sz w:val="24"/>
          <w:szCs w:val="24"/>
        </w:rPr>
        <w:t>And unlike Vectren’s non-low-income program, this</w:t>
      </w:r>
      <w:r>
        <w:rPr>
          <w:rFonts w:ascii="Times New Roman" w:hAnsi="Times New Roman" w:cs="Times New Roman"/>
          <w:sz w:val="24"/>
          <w:szCs w:val="24"/>
        </w:rPr>
        <w:t xml:space="preserve"> </w:t>
      </w:r>
      <w:r w:rsidR="000009B8">
        <w:rPr>
          <w:rFonts w:ascii="Times New Roman" w:hAnsi="Times New Roman" w:cs="Times New Roman"/>
          <w:sz w:val="24"/>
          <w:szCs w:val="24"/>
        </w:rPr>
        <w:t>proposal</w:t>
      </w:r>
      <w:r>
        <w:rPr>
          <w:rFonts w:ascii="Times New Roman" w:hAnsi="Times New Roman" w:cs="Times New Roman"/>
          <w:sz w:val="24"/>
          <w:szCs w:val="24"/>
        </w:rPr>
        <w:t xml:space="preserve"> would make energy efficiency products</w:t>
      </w:r>
      <w:r w:rsidR="000009B8">
        <w:rPr>
          <w:rFonts w:ascii="Times New Roman" w:hAnsi="Times New Roman" w:cs="Times New Roman"/>
          <w:sz w:val="24"/>
          <w:szCs w:val="24"/>
        </w:rPr>
        <w:t xml:space="preserve"> available</w:t>
      </w:r>
      <w:r>
        <w:rPr>
          <w:rFonts w:ascii="Times New Roman" w:hAnsi="Times New Roman" w:cs="Times New Roman"/>
          <w:sz w:val="24"/>
          <w:szCs w:val="24"/>
        </w:rPr>
        <w:t xml:space="preserve"> to consumers that may not otherwise be able to afford </w:t>
      </w:r>
      <w:r w:rsidR="000009B8">
        <w:rPr>
          <w:rFonts w:ascii="Times New Roman" w:hAnsi="Times New Roman" w:cs="Times New Roman"/>
          <w:sz w:val="24"/>
          <w:szCs w:val="24"/>
        </w:rPr>
        <w:t>to purchase</w:t>
      </w:r>
      <w:r>
        <w:rPr>
          <w:rFonts w:ascii="Times New Roman" w:hAnsi="Times New Roman" w:cs="Times New Roman"/>
          <w:sz w:val="24"/>
          <w:szCs w:val="24"/>
        </w:rPr>
        <w:t xml:space="preserve"> them</w:t>
      </w:r>
      <w:r w:rsidR="000009B8">
        <w:rPr>
          <w:rFonts w:ascii="Times New Roman" w:hAnsi="Times New Roman" w:cs="Times New Roman"/>
          <w:sz w:val="24"/>
          <w:szCs w:val="24"/>
        </w:rPr>
        <w:t>.</w:t>
      </w:r>
    </w:p>
    <w:p w:rsidR="0016506C" w:rsidRPr="00BB04A9" w:rsidP="00BB04A9" w14:paraId="2685106D" w14:textId="05E999DD">
      <w:pPr>
        <w:pStyle w:val="BodyAA"/>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w:t>
      </w:r>
      <w:r w:rsidRPr="00BB04A9" w:rsidR="00042CCD">
        <w:rPr>
          <w:rFonts w:ascii="Times New Roman" w:hAnsi="Times New Roman" w:cs="Times New Roman"/>
          <w:sz w:val="24"/>
          <w:szCs w:val="24"/>
        </w:rPr>
        <w:t xml:space="preserve"> the PUCO should adopt OCC’s recommendations for Vectren’s low-income program proposal. Vectren’s shareholders</w:t>
      </w:r>
      <w:r>
        <w:rPr>
          <w:rFonts w:ascii="Times New Roman" w:hAnsi="Times New Roman" w:cs="Times New Roman"/>
          <w:sz w:val="24"/>
          <w:szCs w:val="24"/>
        </w:rPr>
        <w:t xml:space="preserve">, rather than consumers, </w:t>
      </w:r>
      <w:r w:rsidRPr="00BB04A9" w:rsidR="00042CCD">
        <w:rPr>
          <w:rFonts w:ascii="Times New Roman" w:hAnsi="Times New Roman" w:cs="Times New Roman"/>
          <w:sz w:val="24"/>
          <w:szCs w:val="24"/>
        </w:rPr>
        <w:t xml:space="preserve">should </w:t>
      </w:r>
      <w:r>
        <w:rPr>
          <w:rFonts w:ascii="Times New Roman" w:hAnsi="Times New Roman" w:cs="Times New Roman"/>
          <w:sz w:val="24"/>
          <w:szCs w:val="24"/>
        </w:rPr>
        <w:t xml:space="preserve">pay any </w:t>
      </w:r>
      <w:r w:rsidR="00386B28">
        <w:rPr>
          <w:rFonts w:ascii="Times New Roman" w:hAnsi="Times New Roman" w:cs="Times New Roman"/>
          <w:sz w:val="24"/>
          <w:szCs w:val="24"/>
        </w:rPr>
        <w:t xml:space="preserve">weatherization </w:t>
      </w:r>
      <w:r>
        <w:rPr>
          <w:rFonts w:ascii="Times New Roman" w:hAnsi="Times New Roman" w:cs="Times New Roman"/>
          <w:sz w:val="24"/>
          <w:szCs w:val="24"/>
        </w:rPr>
        <w:t xml:space="preserve">costs in excess of </w:t>
      </w:r>
      <w:r w:rsidR="00386B28">
        <w:rPr>
          <w:rFonts w:ascii="Times New Roman" w:hAnsi="Times New Roman" w:cs="Times New Roman"/>
          <w:sz w:val="24"/>
          <w:szCs w:val="24"/>
        </w:rPr>
        <w:t xml:space="preserve">the projected </w:t>
      </w:r>
      <w:r w:rsidRPr="00BB04A9" w:rsidR="00042CCD">
        <w:rPr>
          <w:rFonts w:ascii="Times New Roman" w:hAnsi="Times New Roman" w:cs="Times New Roman"/>
          <w:sz w:val="24"/>
          <w:szCs w:val="24"/>
        </w:rPr>
        <w:t xml:space="preserve">$1,363 per home. This </w:t>
      </w:r>
      <w:r w:rsidR="000009B8">
        <w:rPr>
          <w:rFonts w:ascii="Times New Roman" w:hAnsi="Times New Roman" w:cs="Times New Roman"/>
          <w:sz w:val="24"/>
          <w:szCs w:val="24"/>
        </w:rPr>
        <w:t xml:space="preserve">would ensure that, even if costs are higher than anticipated, Vectren will </w:t>
      </w:r>
      <w:r w:rsidR="00276555">
        <w:rPr>
          <w:rFonts w:ascii="Times New Roman" w:hAnsi="Times New Roman" w:cs="Times New Roman"/>
          <w:sz w:val="24"/>
          <w:szCs w:val="24"/>
        </w:rPr>
        <w:t xml:space="preserve">have funding to </w:t>
      </w:r>
      <w:r w:rsidR="00B549FB">
        <w:rPr>
          <w:rFonts w:ascii="Times New Roman" w:hAnsi="Times New Roman" w:cs="Times New Roman"/>
          <w:sz w:val="24"/>
          <w:szCs w:val="24"/>
        </w:rPr>
        <w:t xml:space="preserve">provide weatherization services to its targeted </w:t>
      </w:r>
      <w:r w:rsidR="00276555">
        <w:rPr>
          <w:rFonts w:ascii="Times New Roman" w:hAnsi="Times New Roman" w:cs="Times New Roman"/>
          <w:sz w:val="24"/>
          <w:szCs w:val="24"/>
        </w:rPr>
        <w:t xml:space="preserve">number of low-income consumers. </w:t>
      </w:r>
    </w:p>
    <w:p w:rsidR="00042CCD" w:rsidRPr="00BB04A9" w:rsidP="00BB04A9" w14:paraId="368C6226" w14:textId="062FA42B">
      <w:pPr>
        <w:pStyle w:val="BodyAA"/>
        <w:spacing w:line="480" w:lineRule="auto"/>
        <w:ind w:firstLine="720"/>
        <w:rPr>
          <w:rFonts w:ascii="Times New Roman" w:hAnsi="Times New Roman" w:cs="Times New Roman"/>
          <w:sz w:val="24"/>
          <w:szCs w:val="24"/>
        </w:rPr>
      </w:pPr>
      <w:r w:rsidRPr="00BB04A9">
        <w:rPr>
          <w:rFonts w:ascii="Times New Roman" w:hAnsi="Times New Roman" w:cs="Times New Roman"/>
          <w:sz w:val="24"/>
          <w:szCs w:val="24"/>
        </w:rPr>
        <w:t>The PUCO should also require a management audit of Vectren’s weatherization programs (CWPI and CWPII)</w:t>
      </w:r>
      <w:r w:rsidRPr="00BB04A9" w:rsidR="00BB04A9">
        <w:rPr>
          <w:rFonts w:ascii="Times New Roman" w:hAnsi="Times New Roman" w:cs="Times New Roman"/>
          <w:sz w:val="24"/>
          <w:szCs w:val="24"/>
        </w:rPr>
        <w:t xml:space="preserve">. </w:t>
      </w:r>
      <w:r w:rsidR="000009B8">
        <w:rPr>
          <w:rFonts w:ascii="Times New Roman" w:hAnsi="Times New Roman" w:cs="Times New Roman"/>
          <w:sz w:val="24"/>
          <w:szCs w:val="24"/>
        </w:rPr>
        <w:t>A management audit would encourage Vectren to</w:t>
      </w:r>
      <w:r w:rsidR="008430CF">
        <w:rPr>
          <w:rFonts w:ascii="Times New Roman" w:hAnsi="Times New Roman" w:cs="Times New Roman"/>
          <w:sz w:val="24"/>
          <w:szCs w:val="24"/>
        </w:rPr>
        <w:t xml:space="preserve"> deploy</w:t>
      </w:r>
      <w:r w:rsidR="000009B8">
        <w:rPr>
          <w:rFonts w:ascii="Times New Roman" w:hAnsi="Times New Roman" w:cs="Times New Roman"/>
          <w:sz w:val="24"/>
          <w:szCs w:val="24"/>
        </w:rPr>
        <w:t xml:space="preserve"> </w:t>
      </w:r>
      <w:r w:rsidR="009A7377">
        <w:rPr>
          <w:rFonts w:ascii="Times New Roman" w:hAnsi="Times New Roman" w:cs="Times New Roman"/>
          <w:sz w:val="24"/>
          <w:szCs w:val="24"/>
        </w:rPr>
        <w:t>its</w:t>
      </w:r>
      <w:r w:rsidR="000B124C">
        <w:rPr>
          <w:rFonts w:ascii="Times New Roman" w:hAnsi="Times New Roman" w:cs="Times New Roman"/>
          <w:sz w:val="24"/>
          <w:szCs w:val="24"/>
        </w:rPr>
        <w:t xml:space="preserve"> </w:t>
      </w:r>
      <w:r w:rsidR="000009B8">
        <w:rPr>
          <w:rFonts w:ascii="Times New Roman" w:hAnsi="Times New Roman" w:cs="Times New Roman"/>
          <w:sz w:val="24"/>
          <w:szCs w:val="24"/>
        </w:rPr>
        <w:t>budget efficiently</w:t>
      </w:r>
      <w:r w:rsidR="00A25575">
        <w:rPr>
          <w:rFonts w:ascii="Times New Roman" w:hAnsi="Times New Roman" w:cs="Times New Roman"/>
          <w:sz w:val="24"/>
          <w:szCs w:val="24"/>
        </w:rPr>
        <w:t>, equitably</w:t>
      </w:r>
      <w:r w:rsidR="000009B8">
        <w:rPr>
          <w:rFonts w:ascii="Times New Roman" w:hAnsi="Times New Roman" w:cs="Times New Roman"/>
          <w:sz w:val="24"/>
          <w:szCs w:val="24"/>
        </w:rPr>
        <w:t xml:space="preserve"> and wisely</w:t>
      </w:r>
      <w:r w:rsidR="008430CF">
        <w:rPr>
          <w:rFonts w:ascii="Times New Roman" w:hAnsi="Times New Roman" w:cs="Times New Roman"/>
          <w:sz w:val="24"/>
          <w:szCs w:val="24"/>
        </w:rPr>
        <w:t xml:space="preserve"> for </w:t>
      </w:r>
      <w:r w:rsidR="00A25575">
        <w:rPr>
          <w:rFonts w:ascii="Times New Roman" w:hAnsi="Times New Roman" w:cs="Times New Roman"/>
          <w:sz w:val="24"/>
          <w:szCs w:val="24"/>
        </w:rPr>
        <w:t>at-risk communities</w:t>
      </w:r>
      <w:r w:rsidR="000009B8">
        <w:rPr>
          <w:rFonts w:ascii="Times New Roman" w:hAnsi="Times New Roman" w:cs="Times New Roman"/>
          <w:sz w:val="24"/>
          <w:szCs w:val="24"/>
        </w:rPr>
        <w:t xml:space="preserve">. </w:t>
      </w:r>
      <w:r w:rsidRPr="00BB04A9" w:rsidR="00BB04A9">
        <w:rPr>
          <w:rFonts w:ascii="Times New Roman" w:hAnsi="Times New Roman" w:cs="Times New Roman"/>
          <w:sz w:val="24"/>
          <w:szCs w:val="24"/>
        </w:rPr>
        <w:t>T</w:t>
      </w:r>
      <w:r w:rsidRPr="00BB04A9">
        <w:rPr>
          <w:rFonts w:ascii="Times New Roman" w:hAnsi="Times New Roman" w:cs="Times New Roman"/>
          <w:sz w:val="24"/>
          <w:szCs w:val="24"/>
        </w:rPr>
        <w:t xml:space="preserve">he audit should be conducted </w:t>
      </w:r>
      <w:r w:rsidR="00417CD5">
        <w:rPr>
          <w:rFonts w:ascii="Times New Roman" w:hAnsi="Times New Roman" w:cs="Times New Roman"/>
          <w:sz w:val="24"/>
          <w:szCs w:val="24"/>
        </w:rPr>
        <w:t xml:space="preserve">in 2025 </w:t>
      </w:r>
      <w:r w:rsidRPr="00BB04A9">
        <w:rPr>
          <w:rFonts w:ascii="Times New Roman" w:hAnsi="Times New Roman" w:cs="Times New Roman"/>
          <w:sz w:val="24"/>
          <w:szCs w:val="24"/>
        </w:rPr>
        <w:t xml:space="preserve">by an independent auditor at the direction of PUCO Staff. </w:t>
      </w:r>
      <w:r w:rsidR="00417CD5">
        <w:rPr>
          <w:rFonts w:ascii="Times New Roman" w:hAnsi="Times New Roman" w:cs="Times New Roman"/>
          <w:sz w:val="24"/>
          <w:szCs w:val="24"/>
        </w:rPr>
        <w:t>And the audit should</w:t>
      </w:r>
      <w:r w:rsidRPr="00BB04A9">
        <w:rPr>
          <w:rFonts w:ascii="Times New Roman" w:hAnsi="Times New Roman" w:cs="Times New Roman"/>
          <w:sz w:val="24"/>
          <w:szCs w:val="24"/>
        </w:rPr>
        <w:t xml:space="preserve"> include </w:t>
      </w:r>
      <w:r w:rsidR="00A40318">
        <w:rPr>
          <w:rFonts w:ascii="Times New Roman" w:hAnsi="Times New Roman" w:cs="Times New Roman"/>
          <w:sz w:val="24"/>
          <w:szCs w:val="24"/>
        </w:rPr>
        <w:t>additional performance metrics</w:t>
      </w:r>
      <w:r w:rsidR="00417CD5">
        <w:rPr>
          <w:rFonts w:ascii="Times New Roman" w:hAnsi="Times New Roman" w:cs="Times New Roman"/>
          <w:sz w:val="24"/>
          <w:szCs w:val="24"/>
        </w:rPr>
        <w:t xml:space="preserve">, such as an accounting of </w:t>
      </w:r>
      <w:r w:rsidR="00A55755">
        <w:rPr>
          <w:rFonts w:ascii="Times New Roman" w:hAnsi="Times New Roman" w:cs="Times New Roman"/>
          <w:sz w:val="24"/>
          <w:szCs w:val="24"/>
        </w:rPr>
        <w:t xml:space="preserve">expenses that relate to reduced gas usage by low-income consumers, </w:t>
      </w:r>
      <w:r w:rsidR="00417CD5">
        <w:rPr>
          <w:rFonts w:ascii="Times New Roman" w:hAnsi="Times New Roman" w:cs="Times New Roman"/>
          <w:sz w:val="24"/>
          <w:szCs w:val="24"/>
        </w:rPr>
        <w:t xml:space="preserve">the impact of health and safety spending, </w:t>
      </w:r>
      <w:r w:rsidR="00A55755">
        <w:rPr>
          <w:rFonts w:ascii="Times New Roman" w:hAnsi="Times New Roman" w:cs="Times New Roman"/>
          <w:sz w:val="24"/>
          <w:szCs w:val="24"/>
        </w:rPr>
        <w:t xml:space="preserve">the number and type of </w:t>
      </w:r>
      <w:r w:rsidR="00417CD5">
        <w:rPr>
          <w:rFonts w:ascii="Times New Roman" w:hAnsi="Times New Roman" w:cs="Times New Roman"/>
          <w:sz w:val="24"/>
          <w:szCs w:val="24"/>
        </w:rPr>
        <w:t>properties</w:t>
      </w:r>
      <w:r w:rsidR="00A55755">
        <w:rPr>
          <w:rFonts w:ascii="Times New Roman" w:hAnsi="Times New Roman" w:cs="Times New Roman"/>
          <w:sz w:val="24"/>
          <w:szCs w:val="24"/>
        </w:rPr>
        <w:t xml:space="preserve"> that receive funding, and the average and mean dollars expended per household and property</w:t>
      </w:r>
      <w:r w:rsidR="00A40318">
        <w:rPr>
          <w:rFonts w:ascii="Times New Roman" w:hAnsi="Times New Roman" w:cs="Times New Roman"/>
          <w:sz w:val="24"/>
          <w:szCs w:val="24"/>
        </w:rPr>
        <w:t xml:space="preserve">. This would help </w:t>
      </w:r>
      <w:r w:rsidR="000009B8">
        <w:rPr>
          <w:rFonts w:ascii="Times New Roman" w:hAnsi="Times New Roman" w:cs="Times New Roman"/>
          <w:sz w:val="24"/>
          <w:szCs w:val="24"/>
        </w:rPr>
        <w:t xml:space="preserve">ensure </w:t>
      </w:r>
      <w:r w:rsidR="00A40318">
        <w:rPr>
          <w:rFonts w:ascii="Times New Roman" w:hAnsi="Times New Roman" w:cs="Times New Roman"/>
          <w:sz w:val="24"/>
          <w:szCs w:val="24"/>
        </w:rPr>
        <w:t xml:space="preserve">Vectren’s </w:t>
      </w:r>
      <w:r w:rsidR="009A7377">
        <w:rPr>
          <w:rFonts w:ascii="Times New Roman" w:hAnsi="Times New Roman" w:cs="Times New Roman"/>
          <w:sz w:val="24"/>
          <w:szCs w:val="24"/>
        </w:rPr>
        <w:t xml:space="preserve">weatherization services are </w:t>
      </w:r>
      <w:r w:rsidR="000009B8">
        <w:rPr>
          <w:rFonts w:ascii="Times New Roman" w:hAnsi="Times New Roman" w:cs="Times New Roman"/>
          <w:sz w:val="24"/>
          <w:szCs w:val="24"/>
        </w:rPr>
        <w:t>benefiting as many consumers as possible</w:t>
      </w:r>
      <w:r w:rsidR="00A40318">
        <w:rPr>
          <w:rFonts w:ascii="Times New Roman" w:hAnsi="Times New Roman" w:cs="Times New Roman"/>
          <w:sz w:val="24"/>
          <w:szCs w:val="24"/>
        </w:rPr>
        <w:t>, as much as possible</w:t>
      </w:r>
      <w:r w:rsidR="000009B8">
        <w:rPr>
          <w:rFonts w:ascii="Times New Roman" w:hAnsi="Times New Roman" w:cs="Times New Roman"/>
          <w:sz w:val="24"/>
          <w:szCs w:val="24"/>
        </w:rPr>
        <w:t>.</w:t>
      </w:r>
      <w:r w:rsidR="000B124C">
        <w:rPr>
          <w:rFonts w:ascii="Times New Roman" w:hAnsi="Times New Roman" w:cs="Times New Roman"/>
          <w:sz w:val="24"/>
          <w:szCs w:val="24"/>
        </w:rPr>
        <w:t xml:space="preserve"> </w:t>
      </w:r>
    </w:p>
    <w:p w:rsidR="00BB04A9" w:rsidP="00BB04A9" w14:paraId="3E259B7F" w14:textId="1CD665B1">
      <w:pPr>
        <w:pStyle w:val="BodyAA"/>
        <w:spacing w:line="480" w:lineRule="auto"/>
        <w:ind w:firstLine="720"/>
        <w:rPr>
          <w:rFonts w:ascii="Times New Roman" w:hAnsi="Times New Roman" w:cs="Times New Roman"/>
          <w:sz w:val="24"/>
          <w:szCs w:val="24"/>
        </w:rPr>
      </w:pPr>
      <w:r w:rsidRPr="00BB04A9">
        <w:rPr>
          <w:rFonts w:ascii="Times New Roman" w:hAnsi="Times New Roman" w:cs="Times New Roman"/>
          <w:sz w:val="24"/>
          <w:szCs w:val="24"/>
        </w:rPr>
        <w:t>The PUCO should approve Vectren’s low-income energy efficiency proposal</w:t>
      </w:r>
      <w:r w:rsidR="00617826">
        <w:rPr>
          <w:rFonts w:ascii="Times New Roman" w:hAnsi="Times New Roman" w:cs="Times New Roman"/>
          <w:sz w:val="24"/>
          <w:szCs w:val="24"/>
        </w:rPr>
        <w:t xml:space="preserve"> as modified by OCC’s recommendations</w:t>
      </w:r>
      <w:r w:rsidRPr="00BB04A9">
        <w:rPr>
          <w:rFonts w:ascii="Times New Roman" w:hAnsi="Times New Roman" w:cs="Times New Roman"/>
          <w:sz w:val="24"/>
          <w:szCs w:val="24"/>
        </w:rPr>
        <w:t xml:space="preserve">. </w:t>
      </w:r>
      <w:r w:rsidR="00617826">
        <w:rPr>
          <w:rFonts w:ascii="Times New Roman" w:hAnsi="Times New Roman" w:cs="Times New Roman"/>
          <w:sz w:val="24"/>
          <w:szCs w:val="24"/>
        </w:rPr>
        <w:t>Doing so will help</w:t>
      </w:r>
      <w:r w:rsidRPr="00BB04A9" w:rsidR="00617826">
        <w:rPr>
          <w:rFonts w:ascii="Times New Roman" w:hAnsi="Times New Roman" w:cs="Times New Roman"/>
          <w:sz w:val="24"/>
          <w:szCs w:val="24"/>
        </w:rPr>
        <w:t xml:space="preserve"> </w:t>
      </w:r>
      <w:r w:rsidRPr="00BB04A9">
        <w:rPr>
          <w:rFonts w:ascii="Times New Roman" w:hAnsi="Times New Roman" w:cs="Times New Roman"/>
          <w:sz w:val="24"/>
          <w:szCs w:val="24"/>
        </w:rPr>
        <w:t xml:space="preserve">ensure that Vectren </w:t>
      </w:r>
      <w:r w:rsidR="009A7377">
        <w:rPr>
          <w:rFonts w:ascii="Times New Roman" w:hAnsi="Times New Roman" w:cs="Times New Roman"/>
          <w:sz w:val="24"/>
          <w:szCs w:val="24"/>
        </w:rPr>
        <w:t>efficiently</w:t>
      </w:r>
      <w:r w:rsidR="008430CF">
        <w:rPr>
          <w:rFonts w:ascii="Times New Roman" w:hAnsi="Times New Roman" w:cs="Times New Roman"/>
          <w:sz w:val="24"/>
          <w:szCs w:val="24"/>
        </w:rPr>
        <w:t xml:space="preserve"> and equitably</w:t>
      </w:r>
      <w:r w:rsidR="009A7377">
        <w:rPr>
          <w:rFonts w:ascii="Times New Roman" w:hAnsi="Times New Roman" w:cs="Times New Roman"/>
          <w:sz w:val="24"/>
          <w:szCs w:val="24"/>
        </w:rPr>
        <w:t xml:space="preserve"> uses its weatherization funding to </w:t>
      </w:r>
      <w:r w:rsidR="00A55755">
        <w:rPr>
          <w:rFonts w:ascii="Times New Roman" w:hAnsi="Times New Roman" w:cs="Times New Roman"/>
          <w:sz w:val="24"/>
          <w:szCs w:val="24"/>
        </w:rPr>
        <w:t>benefit</w:t>
      </w:r>
      <w:r w:rsidR="00417CD5">
        <w:rPr>
          <w:rFonts w:ascii="Times New Roman" w:hAnsi="Times New Roman" w:cs="Times New Roman"/>
          <w:sz w:val="24"/>
          <w:szCs w:val="24"/>
        </w:rPr>
        <w:t xml:space="preserve"> </w:t>
      </w:r>
      <w:r w:rsidR="00A55755">
        <w:rPr>
          <w:rFonts w:ascii="Times New Roman" w:hAnsi="Times New Roman" w:cs="Times New Roman"/>
          <w:sz w:val="24"/>
          <w:szCs w:val="24"/>
        </w:rPr>
        <w:t>low-income</w:t>
      </w:r>
      <w:r w:rsidR="009A7377">
        <w:rPr>
          <w:rFonts w:ascii="Times New Roman" w:hAnsi="Times New Roman" w:cs="Times New Roman"/>
          <w:sz w:val="24"/>
          <w:szCs w:val="24"/>
        </w:rPr>
        <w:t xml:space="preserve"> consumers</w:t>
      </w:r>
      <w:r w:rsidR="00417CD5">
        <w:rPr>
          <w:rFonts w:ascii="Times New Roman" w:hAnsi="Times New Roman" w:cs="Times New Roman"/>
          <w:sz w:val="24"/>
          <w:szCs w:val="24"/>
        </w:rPr>
        <w:t xml:space="preserve"> as much</w:t>
      </w:r>
      <w:r w:rsidR="009A7377">
        <w:rPr>
          <w:rFonts w:ascii="Times New Roman" w:hAnsi="Times New Roman" w:cs="Times New Roman"/>
          <w:sz w:val="24"/>
          <w:szCs w:val="24"/>
        </w:rPr>
        <w:t xml:space="preserve"> as possible</w:t>
      </w:r>
      <w:r w:rsidR="00617826">
        <w:rPr>
          <w:rFonts w:ascii="Times New Roman" w:hAnsi="Times New Roman" w:cs="Times New Roman"/>
          <w:sz w:val="24"/>
          <w:szCs w:val="24"/>
        </w:rPr>
        <w:t>.</w:t>
      </w:r>
    </w:p>
    <w:p w:rsidR="00CF49F4" w:rsidRPr="00BB04A9" w:rsidP="00CF49F4" w14:paraId="64507C0F" w14:textId="77777777">
      <w:pPr>
        <w:pStyle w:val="BodyAA"/>
        <w:ind w:firstLine="720"/>
        <w:rPr>
          <w:rFonts w:ascii="Times New Roman" w:eastAsia="Times New Roman" w:hAnsi="Times New Roman" w:cs="Times New Roman"/>
          <w:b/>
          <w:bCs/>
          <w:color w:val="000000" w:themeColor="text1"/>
          <w:sz w:val="24"/>
          <w:szCs w:val="24"/>
        </w:rPr>
      </w:pPr>
    </w:p>
    <w:p w:rsidR="00981D66" w:rsidRPr="00A142E6" w:rsidP="004C02F3" w14:paraId="3B0A407D" w14:textId="77777777">
      <w:pPr>
        <w:pStyle w:val="BodyAA"/>
        <w:rPr>
          <w:rStyle w:val="None"/>
          <w:rFonts w:ascii="Times New Roman" w:eastAsia="Times New Roman" w:hAnsi="Times New Roman" w:cs="Times New Roman"/>
          <w:b/>
          <w:bCs/>
          <w:color w:val="333333"/>
          <w:sz w:val="24"/>
          <w:szCs w:val="24"/>
          <w:u w:color="333333"/>
        </w:rPr>
      </w:pPr>
      <w:r w:rsidRPr="00A142E6">
        <w:rPr>
          <w:rStyle w:val="None"/>
          <w:rFonts w:ascii="Times New Roman" w:hAnsi="Times New Roman"/>
          <w:b/>
          <w:bCs/>
          <w:color w:val="333333"/>
          <w:sz w:val="24"/>
          <w:szCs w:val="24"/>
          <w:u w:color="333333"/>
        </w:rPr>
        <w:t xml:space="preserve">III. </w:t>
      </w:r>
      <w:r w:rsidRPr="00A142E6">
        <w:rPr>
          <w:rStyle w:val="None"/>
          <w:rFonts w:ascii="Times New Roman" w:hAnsi="Times New Roman"/>
          <w:b/>
          <w:bCs/>
          <w:color w:val="333333"/>
          <w:sz w:val="24"/>
          <w:szCs w:val="24"/>
          <w:u w:color="333333"/>
        </w:rPr>
        <w:tab/>
        <w:t>CONCLUSION</w:t>
      </w:r>
    </w:p>
    <w:p w:rsidR="004C02F3" w:rsidP="004C02F3" w14:paraId="5E315CAE" w14:textId="28137659">
      <w:pPr>
        <w:pStyle w:val="BodyTextIndent3"/>
        <w:widowControl w:val="0"/>
        <w:ind w:right="-672"/>
      </w:pPr>
      <w:r>
        <w:t>To protect Vectren’s consumers, t</w:t>
      </w:r>
      <w:r w:rsidRPr="00B54B36">
        <w:t>he PUCO</w:t>
      </w:r>
      <w:r>
        <w:t xml:space="preserve"> should</w:t>
      </w:r>
      <w:r w:rsidRPr="00B54B36">
        <w:t xml:space="preserve"> </w:t>
      </w:r>
      <w:r>
        <w:t xml:space="preserve">deny Vectren’s application </w:t>
      </w:r>
      <w:r w:rsidR="009A7377">
        <w:t xml:space="preserve">to </w:t>
      </w:r>
      <w:r>
        <w:t xml:space="preserve">charge </w:t>
      </w:r>
      <w:r w:rsidR="009A7377">
        <w:t>residential</w:t>
      </w:r>
      <w:r w:rsidR="00417CD5">
        <w:t xml:space="preserve"> </w:t>
      </w:r>
      <w:r>
        <w:t xml:space="preserve">consumers for non-low-income programs. And the PUCO should adopt OCC’s proposals </w:t>
      </w:r>
      <w:r w:rsidR="00617826">
        <w:t xml:space="preserve">to modify </w:t>
      </w:r>
      <w:r>
        <w:t xml:space="preserve">Vectren’s low-income weatherization program, including </w:t>
      </w:r>
      <w:r w:rsidR="005557B4">
        <w:t xml:space="preserve">requirements for </w:t>
      </w:r>
      <w:r>
        <w:t>shareholder funding</w:t>
      </w:r>
      <w:r w:rsidR="000009B8">
        <w:t xml:space="preserve"> and a management audit</w:t>
      </w:r>
      <w:r>
        <w:t xml:space="preserve">. </w:t>
      </w:r>
    </w:p>
    <w:p w:rsidR="00F23EC9" w14:paraId="3C954343" w14:textId="720DBCC3">
      <w:pPr>
        <w:rPr>
          <w:rStyle w:val="None"/>
          <w:rFonts w:eastAsia="Helvetica Neue" w:cs="Helvetica Neue"/>
          <w:color w:val="333333"/>
          <w:u w:color="333333"/>
          <w14:textOutline w14:w="12700">
            <w14:noFill/>
            <w14:miter w14:lim="400000"/>
          </w14:textOutline>
        </w:rPr>
      </w:pPr>
      <w:r>
        <w:rPr>
          <w:rStyle w:val="None"/>
          <w:color w:val="333333"/>
          <w:u w:color="333333"/>
        </w:rPr>
        <w:br w:type="page"/>
      </w:r>
    </w:p>
    <w:p w:rsidR="00981D66" w14:paraId="04B00A1C" w14:textId="77777777">
      <w:pPr>
        <w:pStyle w:val="BodyTextIndent3"/>
        <w:widowControl w:val="0"/>
        <w:ind w:left="3600"/>
        <w:rPr>
          <w:rStyle w:val="None"/>
        </w:rPr>
      </w:pPr>
      <w:r>
        <w:rPr>
          <w:rStyle w:val="None"/>
        </w:rPr>
        <w:t>Respectfully submitted,</w:t>
      </w:r>
    </w:p>
    <w:p w:rsidR="00981D66" w14:paraId="7080870C" w14:textId="77777777">
      <w:pPr>
        <w:pStyle w:val="BodyB"/>
        <w:jc w:val="both"/>
      </w:pPr>
      <w:r>
        <w:rPr>
          <w:rStyle w:val="None"/>
        </w:rPr>
        <w:tab/>
      </w:r>
    </w:p>
    <w:p w:rsidR="00981D66" w14:paraId="0DC9BE04" w14:textId="77777777">
      <w:pPr>
        <w:pStyle w:val="BodyB"/>
        <w:ind w:left="4320"/>
        <w:jc w:val="both"/>
      </w:pPr>
      <w:r>
        <w:rPr>
          <w:rStyle w:val="None"/>
          <w:lang w:val="nl-NL"/>
        </w:rPr>
        <w:t>Bruce Weston (0016973)</w:t>
      </w:r>
    </w:p>
    <w:p w:rsidR="00981D66" w14:paraId="0F8B4D3D" w14:textId="77777777">
      <w:pPr>
        <w:pStyle w:val="BodyB"/>
        <w:tabs>
          <w:tab w:val="left" w:pos="4320"/>
        </w:tabs>
        <w:ind w:left="4320" w:hanging="450"/>
        <w:jc w:val="both"/>
      </w:pPr>
      <w:r>
        <w:rPr>
          <w:rStyle w:val="None"/>
          <w:lang w:val="it-IT"/>
        </w:rPr>
        <w:tab/>
        <w:t>Ohio Consumers</w:t>
      </w:r>
      <w:r>
        <w:rPr>
          <w:rStyle w:val="None"/>
        </w:rPr>
        <w:t>’ Counsel</w:t>
      </w:r>
    </w:p>
    <w:p w:rsidR="00981D66" w14:paraId="6E1ECFF6" w14:textId="77777777">
      <w:pPr>
        <w:pStyle w:val="BodyB"/>
        <w:tabs>
          <w:tab w:val="left" w:pos="4320"/>
        </w:tabs>
        <w:ind w:left="4320"/>
        <w:jc w:val="both"/>
      </w:pPr>
    </w:p>
    <w:p w:rsidR="00981D66" w14:paraId="2F1CF00D" w14:textId="206D8413">
      <w:pPr>
        <w:pStyle w:val="BodyB"/>
        <w:tabs>
          <w:tab w:val="left" w:pos="4320"/>
        </w:tabs>
        <w:ind w:left="4320"/>
        <w:jc w:val="both"/>
        <w:rPr>
          <w:rStyle w:val="None"/>
          <w:i/>
          <w:iCs/>
          <w:u w:val="single"/>
        </w:rPr>
      </w:pPr>
      <w:r>
        <w:rPr>
          <w:rStyle w:val="None"/>
          <w:i/>
          <w:iCs/>
          <w:u w:val="single"/>
          <w:lang w:val="de-DE"/>
        </w:rPr>
        <w:t xml:space="preserve">/s/ </w:t>
      </w:r>
      <w:r w:rsidR="00A142E6">
        <w:rPr>
          <w:rStyle w:val="None"/>
          <w:i/>
          <w:iCs/>
          <w:u w:val="single"/>
          <w:lang w:val="de-DE"/>
        </w:rPr>
        <w:t>Connor D. Semple</w:t>
      </w:r>
      <w:r>
        <w:rPr>
          <w:rStyle w:val="None"/>
          <w:i/>
          <w:iCs/>
          <w:u w:val="single"/>
          <w:lang w:val="de-DE"/>
        </w:rPr>
        <w:tab/>
      </w:r>
    </w:p>
    <w:p w:rsidR="00A142E6" w:rsidP="00A142E6" w14:paraId="5EFD401E" w14:textId="77777777">
      <w:pPr>
        <w:pStyle w:val="BodyB"/>
        <w:tabs>
          <w:tab w:val="left" w:pos="4320"/>
        </w:tabs>
        <w:ind w:left="4320"/>
        <w:jc w:val="both"/>
      </w:pPr>
      <w:r>
        <w:rPr>
          <w:rStyle w:val="None"/>
          <w:lang w:val="it-IT"/>
        </w:rPr>
        <w:t>Connor D. Semple (0101102)</w:t>
      </w:r>
    </w:p>
    <w:p w:rsidR="00981D66" w14:paraId="0C73B4D5" w14:textId="77777777">
      <w:pPr>
        <w:pStyle w:val="BodyB"/>
        <w:tabs>
          <w:tab w:val="left" w:pos="4320"/>
        </w:tabs>
        <w:ind w:left="4320"/>
        <w:jc w:val="both"/>
      </w:pPr>
      <w:r>
        <w:rPr>
          <w:rStyle w:val="None"/>
        </w:rPr>
        <w:t>Counsel of Record</w:t>
      </w:r>
    </w:p>
    <w:p w:rsidR="00981D66" w14:paraId="1A98C5F4" w14:textId="77777777">
      <w:pPr>
        <w:pStyle w:val="BodyB"/>
        <w:tabs>
          <w:tab w:val="left" w:pos="3870"/>
          <w:tab w:val="left" w:pos="4320"/>
        </w:tabs>
        <w:ind w:left="4320"/>
        <w:jc w:val="both"/>
      </w:pPr>
      <w:r>
        <w:rPr>
          <w:rStyle w:val="None"/>
          <w:lang w:val="fr-FR"/>
        </w:rPr>
        <w:t>Assistant Consumers</w:t>
      </w:r>
      <w:r>
        <w:rPr>
          <w:rStyle w:val="None"/>
        </w:rPr>
        <w:t>’ Counsel</w:t>
      </w:r>
    </w:p>
    <w:p w:rsidR="00981D66" w14:paraId="71EEEE24" w14:textId="77777777">
      <w:pPr>
        <w:pStyle w:val="BodyB"/>
        <w:tabs>
          <w:tab w:val="left" w:pos="3870"/>
          <w:tab w:val="left" w:pos="4320"/>
        </w:tabs>
        <w:ind w:left="4320"/>
        <w:jc w:val="both"/>
      </w:pPr>
    </w:p>
    <w:p w:rsidR="00981D66" w14:paraId="7632C65F" w14:textId="77777777">
      <w:pPr>
        <w:pStyle w:val="BodyB"/>
        <w:ind w:left="4320"/>
        <w:jc w:val="both"/>
        <w:rPr>
          <w:rStyle w:val="None"/>
          <w:b/>
          <w:bCs/>
        </w:rPr>
      </w:pPr>
      <w:r>
        <w:rPr>
          <w:rStyle w:val="None"/>
          <w:b/>
          <w:bCs/>
        </w:rPr>
        <w:t>Office of the Ohio Consumers' Counsel</w:t>
      </w:r>
    </w:p>
    <w:p w:rsidR="00981D66" w14:paraId="14F12EEA" w14:textId="77777777">
      <w:pPr>
        <w:pStyle w:val="BodyB"/>
        <w:ind w:left="4320"/>
        <w:jc w:val="both"/>
      </w:pPr>
      <w:r>
        <w:rPr>
          <w:rStyle w:val="None"/>
        </w:rPr>
        <w:t>65 East State Street, Suite 700</w:t>
      </w:r>
    </w:p>
    <w:p w:rsidR="00981D66" w14:paraId="03A178FD" w14:textId="77777777">
      <w:pPr>
        <w:pStyle w:val="BodyB"/>
        <w:ind w:left="4320"/>
        <w:jc w:val="both"/>
      </w:pPr>
      <w:r>
        <w:rPr>
          <w:rStyle w:val="None"/>
          <w:lang w:val="it-IT"/>
        </w:rPr>
        <w:t>Columbus, Ohio 43215</w:t>
      </w:r>
    </w:p>
    <w:p w:rsidR="00981D66" w14:paraId="180EFE6C" w14:textId="77777777">
      <w:pPr>
        <w:pStyle w:val="BodyB"/>
        <w:ind w:left="4320"/>
        <w:jc w:val="both"/>
      </w:pPr>
      <w:r>
        <w:rPr>
          <w:rStyle w:val="None"/>
        </w:rPr>
        <w:t>Telephone: [Semple]: (614) 466-9565</w:t>
      </w:r>
    </w:p>
    <w:p w:rsidR="00981D66" w14:paraId="38605E8E" w14:textId="77777777">
      <w:pPr>
        <w:pStyle w:val="BodyB"/>
        <w:ind w:left="4320"/>
        <w:jc w:val="both"/>
        <w:rPr>
          <w:rStyle w:val="None"/>
          <w:color w:val="0000FF"/>
          <w:u w:color="0000FF"/>
        </w:rPr>
      </w:pPr>
      <w:hyperlink r:id="rId6" w:history="1">
        <w:r w:rsidR="00C11581">
          <w:rPr>
            <w:rStyle w:val="Hyperlink4"/>
          </w:rPr>
          <w:t>connor.semple@occ.ohio.gov</w:t>
        </w:r>
      </w:hyperlink>
    </w:p>
    <w:p w:rsidR="00981D66" w14:paraId="64182FAC" w14:textId="77777777">
      <w:pPr>
        <w:pStyle w:val="BodyB"/>
        <w:ind w:left="4320" w:hanging="4320"/>
        <w:jc w:val="both"/>
      </w:pPr>
      <w:r>
        <w:rPr>
          <w:rStyle w:val="None"/>
        </w:rPr>
        <w:tab/>
        <w:t>(willing to accept service by e-mail)</w:t>
      </w:r>
    </w:p>
    <w:p w:rsidR="00981D66" w14:paraId="0EE9BB45" w14:textId="77777777">
      <w:pPr>
        <w:pStyle w:val="BodyB"/>
      </w:pPr>
      <w:r>
        <w:rPr>
          <w:rStyle w:val="None"/>
          <w:rFonts w:ascii="Arial Unicode MS" w:eastAsia="Arial Unicode MS" w:hAnsi="Arial Unicode MS" w:cs="Arial Unicode MS"/>
        </w:rPr>
        <w:br w:type="page"/>
      </w:r>
    </w:p>
    <w:p w:rsidR="00981D66" w14:paraId="37C1FB1E" w14:textId="77777777">
      <w:pPr>
        <w:pStyle w:val="BodyB"/>
        <w:jc w:val="center"/>
        <w:rPr>
          <w:rStyle w:val="None"/>
          <w:b/>
          <w:bCs/>
          <w:u w:val="single"/>
        </w:rPr>
      </w:pPr>
      <w:r>
        <w:rPr>
          <w:rStyle w:val="None"/>
          <w:b/>
          <w:bCs/>
          <w:u w:val="single"/>
        </w:rPr>
        <w:t>CERTIFICATE OF SERVICE</w:t>
      </w:r>
    </w:p>
    <w:p w:rsidR="00981D66" w14:paraId="27CB7874" w14:textId="7BDCF852">
      <w:pPr>
        <w:pStyle w:val="BodyB"/>
        <w:spacing w:line="480" w:lineRule="atLeast"/>
      </w:pPr>
      <w:r>
        <w:rPr>
          <w:rStyle w:val="None"/>
        </w:rPr>
        <w:tab/>
        <w:t xml:space="preserve">I hereby certify that a copy of these </w:t>
      </w:r>
      <w:r w:rsidR="00CF49F4">
        <w:rPr>
          <w:rStyle w:val="None"/>
        </w:rPr>
        <w:t xml:space="preserve">Reply </w:t>
      </w:r>
      <w:r>
        <w:rPr>
          <w:rStyle w:val="None"/>
        </w:rPr>
        <w:t xml:space="preserve">Comments was served on the persons stated below via electronic transmission, this </w:t>
      </w:r>
      <w:r w:rsidR="00CF49F4">
        <w:rPr>
          <w:rStyle w:val="None"/>
        </w:rPr>
        <w:t>4t</w:t>
      </w:r>
      <w:r>
        <w:rPr>
          <w:rStyle w:val="None"/>
        </w:rPr>
        <w:t xml:space="preserve">h day of </w:t>
      </w:r>
      <w:r w:rsidR="00A142E6">
        <w:rPr>
          <w:rStyle w:val="None"/>
        </w:rPr>
        <w:t>April</w:t>
      </w:r>
      <w:r w:rsidR="00393EE3">
        <w:rPr>
          <w:rStyle w:val="None"/>
        </w:rPr>
        <w:t xml:space="preserve"> </w:t>
      </w:r>
      <w:r>
        <w:rPr>
          <w:rStyle w:val="None"/>
        </w:rPr>
        <w:t>202</w:t>
      </w:r>
      <w:r w:rsidR="00393EE3">
        <w:rPr>
          <w:rStyle w:val="None"/>
        </w:rPr>
        <w:t>3</w:t>
      </w:r>
      <w:r>
        <w:rPr>
          <w:rStyle w:val="None"/>
        </w:rPr>
        <w:t>.</w:t>
      </w:r>
    </w:p>
    <w:p w:rsidR="00981D66" w14:paraId="43D8C9B7" w14:textId="77777777">
      <w:pPr>
        <w:pStyle w:val="BodyB"/>
      </w:pPr>
    </w:p>
    <w:p w:rsidR="00981D66" w14:paraId="6EBF4792" w14:textId="41DD31BF">
      <w:pPr>
        <w:pStyle w:val="BodyB"/>
        <w:tabs>
          <w:tab w:val="left" w:pos="4320"/>
        </w:tabs>
        <w:rPr>
          <w:rStyle w:val="None"/>
          <w:i/>
          <w:iCs/>
          <w:u w:val="single"/>
        </w:rPr>
      </w:pPr>
      <w:r>
        <w:rPr>
          <w:rStyle w:val="None"/>
        </w:rPr>
        <w:tab/>
      </w:r>
      <w:r>
        <w:rPr>
          <w:rStyle w:val="None"/>
          <w:i/>
          <w:iCs/>
          <w:u w:val="single"/>
          <w:lang w:val="de-DE"/>
        </w:rPr>
        <w:t xml:space="preserve">/s/ </w:t>
      </w:r>
      <w:r w:rsidR="00A142E6">
        <w:rPr>
          <w:rStyle w:val="None"/>
          <w:i/>
          <w:iCs/>
          <w:u w:val="single"/>
          <w:lang w:val="de-DE"/>
        </w:rPr>
        <w:t>Connor D. Semple</w:t>
      </w:r>
      <w:r>
        <w:rPr>
          <w:rStyle w:val="None"/>
          <w:i/>
          <w:iCs/>
          <w:u w:val="single"/>
          <w:lang w:val="de-DE"/>
        </w:rPr>
        <w:tab/>
      </w:r>
    </w:p>
    <w:p w:rsidR="00981D66" w14:paraId="3B29A0EE" w14:textId="107E35AD">
      <w:pPr>
        <w:pStyle w:val="BodyB"/>
        <w:tabs>
          <w:tab w:val="left" w:pos="4320"/>
        </w:tabs>
      </w:pPr>
      <w:r>
        <w:rPr>
          <w:rStyle w:val="None"/>
          <w:lang w:val="de-DE"/>
        </w:rPr>
        <w:tab/>
      </w:r>
      <w:r w:rsidR="00A142E6">
        <w:rPr>
          <w:rStyle w:val="None"/>
          <w:lang w:val="de-DE"/>
        </w:rPr>
        <w:t>Connor D. Semple</w:t>
      </w:r>
    </w:p>
    <w:p w:rsidR="00981D66" w14:paraId="470F8BB9" w14:textId="77777777">
      <w:pPr>
        <w:pStyle w:val="BodyB"/>
        <w:tabs>
          <w:tab w:val="left" w:pos="4320"/>
        </w:tabs>
      </w:pPr>
      <w:r>
        <w:rPr>
          <w:rStyle w:val="None"/>
          <w:lang w:val="fr-FR"/>
        </w:rPr>
        <w:tab/>
        <w:t>Assistant Consumers</w:t>
      </w:r>
      <w:r>
        <w:rPr>
          <w:rStyle w:val="None"/>
        </w:rPr>
        <w:t>’ Counsel</w:t>
      </w:r>
    </w:p>
    <w:p w:rsidR="00981D66" w14:paraId="3A701A10" w14:textId="77777777">
      <w:pPr>
        <w:pStyle w:val="CommentSubject"/>
        <w:rPr>
          <w:rStyle w:val="None"/>
        </w:rPr>
      </w:pPr>
    </w:p>
    <w:p w:rsidR="00981D66" w14:paraId="79A4BA31" w14:textId="77777777">
      <w:pPr>
        <w:pStyle w:val="BodyB"/>
      </w:pPr>
      <w:r>
        <w:rPr>
          <w:rStyle w:val="None"/>
          <w:rFonts w:eastAsia="Arial Unicode MS" w:cs="Arial Unicode MS"/>
        </w:rPr>
        <w:t>The PUCO</w:t>
      </w:r>
      <w:r>
        <w:rPr>
          <w:rStyle w:val="None"/>
          <w:rFonts w:ascii="Arial Unicode MS" w:hAnsi="Arial Unicode MS"/>
        </w:rPr>
        <w:t>’</w:t>
      </w:r>
      <w:r>
        <w:rPr>
          <w:rStyle w:val="None"/>
          <w:rFonts w:eastAsia="Arial Unicode MS" w:cs="Arial Unicode MS"/>
        </w:rPr>
        <w:t>s e-filing system will electronically serve notice of the filing of this document on the following parties:</w:t>
      </w:r>
    </w:p>
    <w:p w:rsidR="00981D66" w14:paraId="3F87D699" w14:textId="77777777">
      <w:pPr>
        <w:pStyle w:val="CommentText"/>
      </w:pPr>
    </w:p>
    <w:p w:rsidR="00981D66" w:rsidRPr="00F23EC9" w14:paraId="59407B88" w14:textId="77777777">
      <w:pPr>
        <w:pStyle w:val="CommentText"/>
        <w:jc w:val="center"/>
        <w:rPr>
          <w:rStyle w:val="None"/>
          <w:b/>
          <w:bCs/>
          <w:sz w:val="24"/>
          <w:szCs w:val="24"/>
          <w:u w:val="single"/>
        </w:rPr>
      </w:pPr>
      <w:r w:rsidRPr="00F23EC9">
        <w:rPr>
          <w:rStyle w:val="None"/>
          <w:b/>
          <w:bCs/>
          <w:sz w:val="24"/>
          <w:szCs w:val="24"/>
          <w:u w:val="single"/>
        </w:rPr>
        <w:t>SERVICE LIST</w:t>
      </w:r>
    </w:p>
    <w:p w:rsidR="00981D66" w14:paraId="19CFE2FB" w14:textId="77777777">
      <w:pPr>
        <w:pStyle w:val="BodyText"/>
        <w:rPr>
          <w:rStyle w:val="None"/>
          <w:b/>
          <w:bCs/>
        </w:rPr>
      </w:pP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266"/>
        <w:gridCol w:w="4374"/>
      </w:tblGrid>
      <w:tr w14:paraId="0A2B3ADB" w14:textId="77777777" w:rsidTr="00D0289D">
        <w:tblPrEx>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Ex>
        <w:trPr>
          <w:trHeight w:val="3394"/>
        </w:trPr>
        <w:tc>
          <w:tcPr>
            <w:tcW w:w="4266" w:type="dxa"/>
            <w:tcBorders>
              <w:top w:val="nil"/>
              <w:left w:val="nil"/>
              <w:bottom w:val="nil"/>
              <w:right w:val="nil"/>
            </w:tcBorders>
            <w:shd w:val="clear" w:color="auto" w:fill="auto"/>
            <w:tcMar>
              <w:top w:w="80" w:type="dxa"/>
              <w:left w:w="80" w:type="dxa"/>
              <w:bottom w:w="80" w:type="dxa"/>
              <w:right w:w="80" w:type="dxa"/>
            </w:tcMar>
          </w:tcPr>
          <w:p w:rsidR="00CF49F4" w:rsidRPr="00CF49F4" w:rsidP="00D0289D" w14:paraId="6DD3531D" w14:textId="77777777">
            <w:pPr>
              <w:pStyle w:val="Body"/>
              <w:rPr>
                <w:rFonts w:eastAsia="Arial Unicode MS"/>
                <w:color w:val="0000FF"/>
              </w:rPr>
            </w:pPr>
            <w:hyperlink r:id="rId7" w:history="1">
              <w:r w:rsidRPr="00CF49F4" w:rsidR="00096459">
                <w:rPr>
                  <w:rStyle w:val="Hyperlink"/>
                  <w:rFonts w:eastAsia="Arial Unicode MS"/>
                  <w:color w:val="0000FF"/>
                </w:rPr>
                <w:t>robert.eubanks@ohioAGO.gov</w:t>
              </w:r>
            </w:hyperlink>
          </w:p>
          <w:p w:rsidR="00CF49F4" w:rsidRPr="00CF49F4" w:rsidP="00D0289D" w14:paraId="5F2870D3" w14:textId="77777777">
            <w:pPr>
              <w:pStyle w:val="Body"/>
              <w:rPr>
                <w:rFonts w:eastAsia="Arial Unicode MS"/>
                <w:color w:val="0000FF"/>
              </w:rPr>
            </w:pPr>
            <w:hyperlink r:id="rId8" w:history="1">
              <w:r w:rsidRPr="00CF49F4" w:rsidR="00096459">
                <w:rPr>
                  <w:rStyle w:val="Hyperlink"/>
                  <w:rFonts w:eastAsia="Arial Unicode MS"/>
                  <w:color w:val="0000FF"/>
                </w:rPr>
                <w:t>Shaun.lyons@ohioAGO.gov</w:t>
              </w:r>
            </w:hyperlink>
          </w:p>
          <w:p w:rsidR="00CF49F4" w:rsidRPr="000F73E1" w:rsidP="00D0289D" w14:paraId="2D7D4112" w14:textId="77777777">
            <w:pPr>
              <w:pStyle w:val="Body"/>
              <w:rPr>
                <w:rStyle w:val="Hyperlink2"/>
              </w:rPr>
            </w:pPr>
          </w:p>
          <w:p w:rsidR="00CF49F4" w:rsidRPr="000F73E1" w:rsidP="00D0289D" w14:paraId="39361107" w14:textId="77777777">
            <w:pPr>
              <w:pStyle w:val="Body"/>
              <w:rPr>
                <w:rStyle w:val="Hyperlink2"/>
                <w:color w:val="auto"/>
              </w:rPr>
            </w:pPr>
            <w:r w:rsidRPr="000F73E1">
              <w:rPr>
                <w:rStyle w:val="Hyperlink2"/>
                <w:color w:val="auto"/>
              </w:rPr>
              <w:t>Attorney Examiner:</w:t>
            </w:r>
          </w:p>
          <w:p w:rsidR="00CF49F4" w:rsidRPr="000F73E1" w:rsidP="00D0289D" w14:paraId="6A3809F0" w14:textId="77777777">
            <w:pPr>
              <w:pStyle w:val="Body"/>
              <w:rPr>
                <w:rStyle w:val="Hyperlink2"/>
              </w:rPr>
            </w:pPr>
          </w:p>
          <w:p w:rsidR="00CF49F4" w:rsidRPr="00CF49F4" w:rsidP="00D0289D" w14:paraId="02E23893" w14:textId="77777777">
            <w:pPr>
              <w:pStyle w:val="Body"/>
              <w:rPr>
                <w:rStyle w:val="Hyperlink"/>
                <w:rFonts w:eastAsia="Arial Unicode MS"/>
                <w:color w:val="0000FF"/>
              </w:rPr>
            </w:pPr>
            <w:hyperlink r:id="rId9" w:history="1">
              <w:r w:rsidRPr="00CF49F4" w:rsidR="00096459">
                <w:rPr>
                  <w:rStyle w:val="Hyperlink"/>
                  <w:rFonts w:eastAsia="Arial Unicode MS"/>
                  <w:color w:val="0000FF"/>
                </w:rPr>
                <w:t>patricia.schabo@puco.ohio.gov</w:t>
              </w:r>
            </w:hyperlink>
          </w:p>
          <w:p w:rsidR="00CF49F4" w:rsidRPr="000F73E1" w:rsidP="00D0289D" w14:paraId="3BA10099" w14:textId="77777777">
            <w:pPr>
              <w:pStyle w:val="Body"/>
              <w:rPr>
                <w:rStyle w:val="Hyperlink2"/>
                <w:rFonts w:eastAsia="Arial Unicode MS"/>
                <w14:textOutline w14:w="0" w14:cap="rnd">
                  <w14:noFill/>
                  <w14:bevel/>
                </w14:textOutline>
              </w:rPr>
            </w:pPr>
          </w:p>
          <w:p w:rsidR="00CF49F4" w:rsidRPr="000F73E1" w:rsidP="00D0289D" w14:paraId="2AA0B2F8" w14:textId="77777777">
            <w:pPr>
              <w:pStyle w:val="Body"/>
            </w:pPr>
          </w:p>
        </w:tc>
        <w:tc>
          <w:tcPr>
            <w:tcW w:w="4374" w:type="dxa"/>
            <w:tcBorders>
              <w:top w:val="nil"/>
              <w:left w:val="nil"/>
              <w:bottom w:val="nil"/>
              <w:right w:val="nil"/>
            </w:tcBorders>
            <w:shd w:val="clear" w:color="auto" w:fill="auto"/>
            <w:tcMar>
              <w:top w:w="80" w:type="dxa"/>
              <w:left w:w="80" w:type="dxa"/>
              <w:bottom w:w="80" w:type="dxa"/>
              <w:right w:w="80" w:type="dxa"/>
            </w:tcMar>
          </w:tcPr>
          <w:p w:rsidR="00CF49F4" w:rsidRPr="00CF49F4" w:rsidP="00CF49F4" w14:paraId="71FEA636" w14:textId="77777777">
            <w:pPr>
              <w:pStyle w:val="Body"/>
              <w:rPr>
                <w:rStyle w:val="Hyperlink"/>
                <w:rFonts w:eastAsia="Arial Unicode MS"/>
                <w:color w:val="0000FF"/>
              </w:rPr>
            </w:pPr>
            <w:hyperlink r:id="rId10" w:history="1">
              <w:r w:rsidRPr="00CF49F4" w:rsidR="00096459">
                <w:rPr>
                  <w:rStyle w:val="Hyperlink"/>
                  <w:rFonts w:eastAsia="Arial Unicode MS"/>
                  <w:color w:val="0000FF"/>
                </w:rPr>
                <w:t>whitt@whitt-sturtevant.com</w:t>
              </w:r>
            </w:hyperlink>
          </w:p>
          <w:p w:rsidR="00CF49F4" w:rsidRPr="00CF49F4" w:rsidP="00CF49F4" w14:paraId="513B68D1" w14:textId="77777777">
            <w:pPr>
              <w:pStyle w:val="Body"/>
              <w:rPr>
                <w:rStyle w:val="Hyperlink"/>
                <w:rFonts w:eastAsia="Arial Unicode MS"/>
                <w:color w:val="0000FF"/>
              </w:rPr>
            </w:pPr>
            <w:r w:rsidRPr="00CF49F4">
              <w:rPr>
                <w:rStyle w:val="Hyperlink"/>
                <w:rFonts w:eastAsia="Arial Unicode MS"/>
                <w:color w:val="0000FF"/>
              </w:rPr>
              <w:t>kennedy@whitt-sturtevant.com</w:t>
            </w:r>
          </w:p>
          <w:p w:rsidR="00CF49F4" w:rsidRPr="00CF49F4" w:rsidP="00CF49F4" w14:paraId="6F30F5DC" w14:textId="77777777">
            <w:pPr>
              <w:pStyle w:val="Body"/>
              <w:rPr>
                <w:rStyle w:val="Hyperlink"/>
                <w:rFonts w:eastAsia="Arial Unicode MS"/>
                <w:color w:val="0000FF"/>
              </w:rPr>
            </w:pPr>
            <w:hyperlink r:id="rId11" w:history="1">
              <w:r w:rsidRPr="00CF49F4" w:rsidR="00096459">
                <w:rPr>
                  <w:rStyle w:val="Hyperlink"/>
                  <w:rFonts w:eastAsia="Arial Unicode MS"/>
                  <w:color w:val="0000FF"/>
                </w:rPr>
                <w:t>rdove@keglerbrown.com</w:t>
              </w:r>
            </w:hyperlink>
          </w:p>
          <w:p w:rsidR="00CF49F4" w:rsidRPr="000F73E1" w:rsidP="00D0289D" w14:paraId="4454F441" w14:textId="77777777">
            <w:pPr>
              <w:pStyle w:val="BodyText"/>
            </w:pPr>
          </w:p>
        </w:tc>
      </w:tr>
    </w:tbl>
    <w:p w:rsidR="00981D66" w14:paraId="13636361" w14:textId="77777777">
      <w:pPr>
        <w:pStyle w:val="BodyText"/>
        <w:widowControl w:val="0"/>
        <w:ind w:left="108" w:hanging="108"/>
      </w:pPr>
    </w:p>
    <w:sectPr>
      <w:footerReference w:type="default" r:id="rId12"/>
      <w:pgSz w:w="12240" w:h="15840"/>
      <w:pgMar w:top="1440" w:right="1800" w:bottom="1440" w:left="1800" w:header="720" w:footer="86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1D66" w14:paraId="46A11480" w14:textId="77777777">
    <w:pPr>
      <w:pStyle w:val="Footer"/>
      <w:tabs>
        <w:tab w:val="right" w:pos="8620"/>
        <w:tab w:val="clear" w:pos="9360"/>
      </w:tabs>
      <w:jc w:val="center"/>
    </w:pPr>
    <w:r>
      <w:fldChar w:fldCharType="begin"/>
    </w:r>
    <w:r>
      <w:instrText xml:space="preserve"> PAGE </w:instrText>
    </w:r>
    <w:r>
      <w:fldChar w:fldCharType="separate"/>
    </w:r>
    <w:r w:rsidR="002766B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B5C03" w14:paraId="26433EED" w14:textId="77777777">
      <w:r>
        <w:separator/>
      </w:r>
    </w:p>
  </w:footnote>
  <w:footnote w:type="continuationSeparator" w:id="1">
    <w:p w:rsidR="00AB5C03" w14:paraId="187EBE41" w14:textId="77777777">
      <w:r>
        <w:continuationSeparator/>
      </w:r>
    </w:p>
  </w:footnote>
  <w:footnote w:type="continuationNotice" w:id="2">
    <w:p w:rsidR="00AB5C03" w14:paraId="581F6F82" w14:textId="77777777"/>
  </w:footnote>
  <w:footnote w:id="3">
    <w:p w:rsidR="007C4792" w:rsidRPr="007C4792" w:rsidP="00CF49F4" w14:paraId="1B8C0C55" w14:textId="08D2968D">
      <w:pPr>
        <w:pStyle w:val="FootnoteText"/>
        <w:spacing w:after="120"/>
      </w:pPr>
      <w:r>
        <w:rPr>
          <w:rStyle w:val="FootnoteReference"/>
        </w:rPr>
        <w:footnoteRef/>
      </w:r>
      <w:r>
        <w:t xml:space="preserve"> </w:t>
      </w:r>
      <w:r>
        <w:rPr>
          <w:i/>
          <w:iCs/>
        </w:rPr>
        <w:t xml:space="preserve">See </w:t>
      </w:r>
      <w:r>
        <w:t xml:space="preserve">Initial Comments of the Ohio Consumers Counsel (“OCC”) (“OCC Initial Comments”) (February 23, 2023) at 9. </w:t>
      </w:r>
    </w:p>
  </w:footnote>
  <w:footnote w:id="4">
    <w:p w:rsidR="004C02F3" w:rsidP="00CF49F4" w14:paraId="0AD31C48" w14:textId="77777777">
      <w:pPr>
        <w:pStyle w:val="FootnoteText"/>
        <w:spacing w:after="120"/>
      </w:pPr>
      <w:r>
        <w:rPr>
          <w:rStyle w:val="FootnoteReference"/>
        </w:rPr>
        <w:footnoteRef/>
      </w:r>
      <w:r>
        <w:t xml:space="preserve"> Application at 89 (November 8, 2022).</w:t>
      </w:r>
    </w:p>
  </w:footnote>
  <w:footnote w:id="5">
    <w:p w:rsidR="00B35211" w:rsidP="00CF49F4" w14:paraId="24459874" w14:textId="24F8119E">
      <w:pPr>
        <w:pStyle w:val="FootnoteText"/>
        <w:spacing w:after="120"/>
      </w:pPr>
      <w:r>
        <w:rPr>
          <w:rStyle w:val="FootnoteReference"/>
        </w:rPr>
        <w:footnoteRef/>
      </w:r>
      <w:r>
        <w:t xml:space="preserve"> </w:t>
      </w:r>
      <w:r w:rsidR="00276555">
        <w:t>Initial Comments of Ohio Partners for Affordable Energy (“OPAE”) (“OPAE Comments”) (February 23, 2023) at 2.</w:t>
      </w:r>
    </w:p>
  </w:footnote>
  <w:footnote w:id="6">
    <w:p w:rsidR="00B35211" w:rsidRPr="00276555" w:rsidP="00CF49F4" w14:paraId="599D3910" w14:textId="311B9A16">
      <w:pPr>
        <w:pStyle w:val="FootnoteText"/>
        <w:spacing w:after="120"/>
      </w:pPr>
      <w:r>
        <w:rPr>
          <w:rStyle w:val="FootnoteReference"/>
        </w:rPr>
        <w:footnoteRef/>
      </w:r>
      <w:r>
        <w:t xml:space="preserve"> </w:t>
      </w:r>
      <w:r w:rsidRPr="00BC28F1" w:rsidR="00276555">
        <w:rPr>
          <w:i/>
          <w:iCs/>
        </w:rPr>
        <w:t>See</w:t>
      </w:r>
      <w:r w:rsidR="00276555">
        <w:t xml:space="preserve"> Case No. 21-637-GA-AIR </w:t>
      </w:r>
      <w:r w:rsidRPr="00BC28F1" w:rsidR="00276555">
        <w:rPr>
          <w:i/>
          <w:iCs/>
        </w:rPr>
        <w:t>et al.</w:t>
      </w:r>
      <w:r w:rsidR="00276555">
        <w:rPr>
          <w:i/>
          <w:iCs/>
        </w:rPr>
        <w:t>,</w:t>
      </w:r>
      <w:r w:rsidR="00276555">
        <w:t xml:space="preserve"> Opinion and Order (January 26, 2023) at 19.</w:t>
      </w:r>
    </w:p>
  </w:footnote>
  <w:footnote w:id="7">
    <w:p w:rsidR="00386B28" w:rsidRPr="00276555" w:rsidP="00CF49F4" w14:paraId="477F3852" w14:textId="01E03B5C">
      <w:pPr>
        <w:pStyle w:val="FootnoteText"/>
        <w:spacing w:after="120"/>
      </w:pPr>
      <w:r>
        <w:rPr>
          <w:rStyle w:val="FootnoteReference"/>
        </w:rPr>
        <w:footnoteRef/>
      </w:r>
      <w:r>
        <w:t xml:space="preserve"> </w:t>
      </w:r>
      <w:r w:rsidR="00276555">
        <w:rPr>
          <w:i/>
          <w:iCs/>
        </w:rPr>
        <w:t xml:space="preserve">Id. </w:t>
      </w:r>
      <w:r w:rsidR="00276555">
        <w:t>at 3.</w:t>
      </w:r>
    </w:p>
  </w:footnote>
  <w:footnote w:id="8">
    <w:p w:rsidR="0016506C" w:rsidP="00CF49F4" w14:paraId="00A2D91D" w14:textId="2522F922">
      <w:pPr>
        <w:pStyle w:val="FootnoteText"/>
        <w:spacing w:after="120"/>
      </w:pPr>
      <w:r>
        <w:rPr>
          <w:rStyle w:val="FootnoteReference"/>
        </w:rPr>
        <w:footnoteRef/>
      </w:r>
      <w:r>
        <w:t xml:space="preserve"> </w:t>
      </w:r>
      <w:r w:rsidR="00276555">
        <w:rPr>
          <w:i/>
          <w:iCs/>
        </w:rPr>
        <w:t xml:space="preserve">Id. </w:t>
      </w:r>
      <w:r w:rsidR="00276555">
        <w:t>at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628FA"/>
    <w:multiLevelType w:val="hybridMultilevel"/>
    <w:tmpl w:val="6D74667A"/>
    <w:styleLink w:val="ImportedStyle10"/>
    <w:lvl w:ilvl="0">
      <w:start w:val="1"/>
      <w:numFmt w:val="upperLetter"/>
      <w:lvlText w:val="%1."/>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04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4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20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22665EC6"/>
    <w:multiLevelType w:val="hybridMultilevel"/>
    <w:tmpl w:val="242623D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A967620"/>
    <w:multiLevelType w:val="hybridMultilevel"/>
    <w:tmpl w:val="578AADAC"/>
    <w:numStyleLink w:val="Bullet"/>
  </w:abstractNum>
  <w:abstractNum w:abstractNumId="3">
    <w:nsid w:val="319F5C06"/>
    <w:multiLevelType w:val="hybridMultilevel"/>
    <w:tmpl w:val="2A28CDE6"/>
    <w:styleLink w:val="ImportedStyle1"/>
    <w:lvl w:ilvl="0">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4DD10869"/>
    <w:multiLevelType w:val="hybridMultilevel"/>
    <w:tmpl w:val="A664DBA8"/>
    <w:styleLink w:val="ImportedStyle2"/>
    <w:lvl w:ilvl="0">
      <w:start w:val="1"/>
      <w:numFmt w:val="decimal"/>
      <w:lvlText w:val="%1."/>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360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7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64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2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92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5751152B"/>
    <w:multiLevelType w:val="hybridMultilevel"/>
    <w:tmpl w:val="A664DBA8"/>
    <w:numStyleLink w:val="ImportedStyle2"/>
  </w:abstractNum>
  <w:abstractNum w:abstractNumId="6">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5D3C0775"/>
    <w:multiLevelType w:val="hybridMultilevel"/>
    <w:tmpl w:val="62AE4D3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7CE2781"/>
    <w:multiLevelType w:val="hybridMultilevel"/>
    <w:tmpl w:val="578AADAC"/>
    <w:styleLink w:val="Bullet"/>
    <w:lvl w:ilvl="0">
      <w:start w:val="1"/>
      <w:numFmt w:val="bullet"/>
      <w:lvlText w:val="•"/>
      <w:lvlJc w:val="left"/>
      <w:pPr>
        <w:ind w:left="1440" w:hanging="720"/>
      </w:pPr>
      <w:rPr>
        <w:rFonts w:ascii="Times Roman" w:eastAsia="Times Roman" w:hAnsi="Times Roman" w:cs="Times Roman"/>
        <w:b w:val="0"/>
        <w:bCs w:val="0"/>
        <w:i w:val="0"/>
        <w:iCs w:val="0"/>
        <w:caps w:val="0"/>
        <w:smallCaps w:val="0"/>
        <w:strike w:val="0"/>
        <w:dstrike w:val="0"/>
        <w:outline w:val="0"/>
        <w:emboss w:val="0"/>
        <w:imprint w:val="0"/>
        <w:color w:val="212529"/>
        <w:spacing w:val="0"/>
        <w:w w:val="100"/>
        <w:kern w:val="0"/>
        <w:position w:val="0"/>
        <w:highlight w:val="none"/>
        <w:vertAlign w:val="baseline"/>
      </w:rPr>
    </w:lvl>
    <w:lvl w:ilvl="1">
      <w:start w:val="1"/>
      <w:numFmt w:val="bullet"/>
      <w:lvlText w:val="•"/>
      <w:lvlJc w:val="left"/>
      <w:pPr>
        <w:ind w:left="1535" w:hanging="595"/>
      </w:pPr>
      <w:rPr>
        <w:rFonts w:ascii="Times Roman" w:eastAsia="Times Roman" w:hAnsi="Times Roman" w:cs="Times Roman"/>
        <w:b w:val="0"/>
        <w:bCs w:val="0"/>
        <w:i w:val="0"/>
        <w:iCs w:val="0"/>
        <w:caps w:val="0"/>
        <w:smallCaps w:val="0"/>
        <w:strike w:val="0"/>
        <w:dstrike w:val="0"/>
        <w:outline w:val="0"/>
        <w:emboss w:val="0"/>
        <w:imprint w:val="0"/>
        <w:color w:val="212529"/>
        <w:spacing w:val="0"/>
        <w:w w:val="100"/>
        <w:kern w:val="0"/>
        <w:position w:val="0"/>
        <w:highlight w:val="none"/>
        <w:vertAlign w:val="baseline"/>
      </w:rPr>
    </w:lvl>
    <w:lvl w:ilvl="2">
      <w:start w:val="1"/>
      <w:numFmt w:val="bullet"/>
      <w:lvlText w:val="•"/>
      <w:lvlJc w:val="left"/>
      <w:pPr>
        <w:ind w:left="1755" w:hanging="595"/>
      </w:pPr>
      <w:rPr>
        <w:rFonts w:ascii="Times Roman" w:eastAsia="Times Roman" w:hAnsi="Times Roman" w:cs="Times Roman"/>
        <w:b w:val="0"/>
        <w:bCs w:val="0"/>
        <w:i w:val="0"/>
        <w:iCs w:val="0"/>
        <w:caps w:val="0"/>
        <w:smallCaps w:val="0"/>
        <w:strike w:val="0"/>
        <w:dstrike w:val="0"/>
        <w:outline w:val="0"/>
        <w:emboss w:val="0"/>
        <w:imprint w:val="0"/>
        <w:color w:val="212529"/>
        <w:spacing w:val="0"/>
        <w:w w:val="100"/>
        <w:kern w:val="0"/>
        <w:position w:val="0"/>
        <w:highlight w:val="none"/>
        <w:vertAlign w:val="baseline"/>
      </w:rPr>
    </w:lvl>
    <w:lvl w:ilvl="3">
      <w:start w:val="1"/>
      <w:numFmt w:val="bullet"/>
      <w:lvlText w:val="•"/>
      <w:lvlJc w:val="left"/>
      <w:pPr>
        <w:ind w:left="1975" w:hanging="595"/>
      </w:pPr>
      <w:rPr>
        <w:rFonts w:ascii="Times Roman" w:eastAsia="Times Roman" w:hAnsi="Times Roman" w:cs="Times Roman"/>
        <w:b w:val="0"/>
        <w:bCs w:val="0"/>
        <w:i w:val="0"/>
        <w:iCs w:val="0"/>
        <w:caps w:val="0"/>
        <w:smallCaps w:val="0"/>
        <w:strike w:val="0"/>
        <w:dstrike w:val="0"/>
        <w:outline w:val="0"/>
        <w:emboss w:val="0"/>
        <w:imprint w:val="0"/>
        <w:color w:val="212529"/>
        <w:spacing w:val="0"/>
        <w:w w:val="100"/>
        <w:kern w:val="0"/>
        <w:position w:val="0"/>
        <w:highlight w:val="none"/>
        <w:vertAlign w:val="baseline"/>
      </w:rPr>
    </w:lvl>
    <w:lvl w:ilvl="4">
      <w:start w:val="1"/>
      <w:numFmt w:val="bullet"/>
      <w:lvlText w:val="•"/>
      <w:lvlJc w:val="left"/>
      <w:pPr>
        <w:ind w:left="2195" w:hanging="595"/>
      </w:pPr>
      <w:rPr>
        <w:rFonts w:ascii="Times Roman" w:eastAsia="Times Roman" w:hAnsi="Times Roman" w:cs="Times Roman"/>
        <w:b w:val="0"/>
        <w:bCs w:val="0"/>
        <w:i w:val="0"/>
        <w:iCs w:val="0"/>
        <w:caps w:val="0"/>
        <w:smallCaps w:val="0"/>
        <w:strike w:val="0"/>
        <w:dstrike w:val="0"/>
        <w:outline w:val="0"/>
        <w:emboss w:val="0"/>
        <w:imprint w:val="0"/>
        <w:color w:val="212529"/>
        <w:spacing w:val="0"/>
        <w:w w:val="100"/>
        <w:kern w:val="0"/>
        <w:position w:val="0"/>
        <w:highlight w:val="none"/>
        <w:vertAlign w:val="baseline"/>
      </w:rPr>
    </w:lvl>
    <w:lvl w:ilvl="5">
      <w:start w:val="1"/>
      <w:numFmt w:val="bullet"/>
      <w:lvlText w:val="•"/>
      <w:lvlJc w:val="left"/>
      <w:pPr>
        <w:ind w:left="2415" w:hanging="595"/>
      </w:pPr>
      <w:rPr>
        <w:rFonts w:ascii="Times Roman" w:eastAsia="Times Roman" w:hAnsi="Times Roman" w:cs="Times Roman"/>
        <w:b w:val="0"/>
        <w:bCs w:val="0"/>
        <w:i w:val="0"/>
        <w:iCs w:val="0"/>
        <w:caps w:val="0"/>
        <w:smallCaps w:val="0"/>
        <w:strike w:val="0"/>
        <w:dstrike w:val="0"/>
        <w:outline w:val="0"/>
        <w:emboss w:val="0"/>
        <w:imprint w:val="0"/>
        <w:color w:val="212529"/>
        <w:spacing w:val="0"/>
        <w:w w:val="100"/>
        <w:kern w:val="0"/>
        <w:position w:val="0"/>
        <w:highlight w:val="none"/>
        <w:vertAlign w:val="baseline"/>
      </w:rPr>
    </w:lvl>
    <w:lvl w:ilvl="6">
      <w:start w:val="1"/>
      <w:numFmt w:val="bullet"/>
      <w:lvlText w:val="•"/>
      <w:lvlJc w:val="left"/>
      <w:pPr>
        <w:ind w:left="2635" w:hanging="595"/>
      </w:pPr>
      <w:rPr>
        <w:rFonts w:ascii="Times Roman" w:eastAsia="Times Roman" w:hAnsi="Times Roman" w:cs="Times Roman"/>
        <w:b w:val="0"/>
        <w:bCs w:val="0"/>
        <w:i w:val="0"/>
        <w:iCs w:val="0"/>
        <w:caps w:val="0"/>
        <w:smallCaps w:val="0"/>
        <w:strike w:val="0"/>
        <w:dstrike w:val="0"/>
        <w:outline w:val="0"/>
        <w:emboss w:val="0"/>
        <w:imprint w:val="0"/>
        <w:color w:val="212529"/>
        <w:spacing w:val="0"/>
        <w:w w:val="100"/>
        <w:kern w:val="0"/>
        <w:position w:val="0"/>
        <w:highlight w:val="none"/>
        <w:vertAlign w:val="baseline"/>
      </w:rPr>
    </w:lvl>
    <w:lvl w:ilvl="7">
      <w:start w:val="1"/>
      <w:numFmt w:val="bullet"/>
      <w:lvlText w:val="•"/>
      <w:lvlJc w:val="left"/>
      <w:pPr>
        <w:ind w:left="2855" w:hanging="595"/>
      </w:pPr>
      <w:rPr>
        <w:rFonts w:ascii="Times Roman" w:eastAsia="Times Roman" w:hAnsi="Times Roman" w:cs="Times Roman"/>
        <w:b w:val="0"/>
        <w:bCs w:val="0"/>
        <w:i w:val="0"/>
        <w:iCs w:val="0"/>
        <w:caps w:val="0"/>
        <w:smallCaps w:val="0"/>
        <w:strike w:val="0"/>
        <w:dstrike w:val="0"/>
        <w:outline w:val="0"/>
        <w:emboss w:val="0"/>
        <w:imprint w:val="0"/>
        <w:color w:val="212529"/>
        <w:spacing w:val="0"/>
        <w:w w:val="100"/>
        <w:kern w:val="0"/>
        <w:position w:val="0"/>
        <w:highlight w:val="none"/>
        <w:vertAlign w:val="baseline"/>
      </w:rPr>
    </w:lvl>
    <w:lvl w:ilvl="8">
      <w:start w:val="1"/>
      <w:numFmt w:val="bullet"/>
      <w:lvlText w:val="•"/>
      <w:lvlJc w:val="left"/>
      <w:pPr>
        <w:ind w:left="3075" w:hanging="595"/>
      </w:pPr>
      <w:rPr>
        <w:rFonts w:ascii="Times Roman" w:eastAsia="Times Roman" w:hAnsi="Times Roman" w:cs="Times Roman"/>
        <w:b w:val="0"/>
        <w:bCs w:val="0"/>
        <w:i w:val="0"/>
        <w:iCs w:val="0"/>
        <w:caps w:val="0"/>
        <w:smallCaps w:val="0"/>
        <w:strike w:val="0"/>
        <w:dstrike w:val="0"/>
        <w:outline w:val="0"/>
        <w:emboss w:val="0"/>
        <w:imprint w:val="0"/>
        <w:color w:val="212529"/>
        <w:spacing w:val="0"/>
        <w:w w:val="100"/>
        <w:kern w:val="0"/>
        <w:position w:val="0"/>
        <w:highlight w:val="none"/>
        <w:vertAlign w:val="baseline"/>
      </w:rPr>
    </w:lvl>
  </w:abstractNum>
  <w:abstractNum w:abstractNumId="9">
    <w:nsid w:val="6AB32B8E"/>
    <w:multiLevelType w:val="hybridMultilevel"/>
    <w:tmpl w:val="2A28CDE6"/>
    <w:numStyleLink w:val="ImportedStyle1"/>
  </w:abstractNum>
  <w:abstractNum w:abstractNumId="10">
    <w:nsid w:val="6D8010C2"/>
    <w:multiLevelType w:val="hybridMultilevel"/>
    <w:tmpl w:val="6D74667A"/>
    <w:numStyleLink w:val="ImportedStyle10"/>
  </w:abstractNum>
  <w:abstractNum w:abstractNumId="11">
    <w:nsid w:val="6F3D546B"/>
    <w:multiLevelType w:val="hybridMultilevel"/>
    <w:tmpl w:val="C1F20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2"/>
  </w:num>
  <w:num w:numId="5">
    <w:abstractNumId w:val="0"/>
  </w:num>
  <w:num w:numId="6">
    <w:abstractNumId w:val="10"/>
  </w:num>
  <w:num w:numId="7">
    <w:abstractNumId w:val="4"/>
  </w:num>
  <w:num w:numId="8">
    <w:abstractNumId w:val="5"/>
  </w:num>
  <w:num w:numId="9">
    <w:abstractNumId w:val="1"/>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displayBackgroundShape/>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66"/>
    <w:rsid w:val="000009B8"/>
    <w:rsid w:val="00042CCD"/>
    <w:rsid w:val="000704D2"/>
    <w:rsid w:val="00096459"/>
    <w:rsid w:val="000A052A"/>
    <w:rsid w:val="000B054B"/>
    <w:rsid w:val="000B124C"/>
    <w:rsid w:val="000E200C"/>
    <w:rsid w:val="000F73E1"/>
    <w:rsid w:val="00134C54"/>
    <w:rsid w:val="0016506C"/>
    <w:rsid w:val="001A6FD7"/>
    <w:rsid w:val="001B263B"/>
    <w:rsid w:val="001C6344"/>
    <w:rsid w:val="001E0A66"/>
    <w:rsid w:val="00241096"/>
    <w:rsid w:val="0027200B"/>
    <w:rsid w:val="00275331"/>
    <w:rsid w:val="00276555"/>
    <w:rsid w:val="002766B5"/>
    <w:rsid w:val="002B19D8"/>
    <w:rsid w:val="002B7742"/>
    <w:rsid w:val="002F1A00"/>
    <w:rsid w:val="002F2444"/>
    <w:rsid w:val="00314B44"/>
    <w:rsid w:val="00360DD9"/>
    <w:rsid w:val="00386B28"/>
    <w:rsid w:val="00393EE3"/>
    <w:rsid w:val="004042EC"/>
    <w:rsid w:val="00407B7D"/>
    <w:rsid w:val="00417CD5"/>
    <w:rsid w:val="004576E0"/>
    <w:rsid w:val="004A7FBD"/>
    <w:rsid w:val="004C02F3"/>
    <w:rsid w:val="004E6F88"/>
    <w:rsid w:val="00533B79"/>
    <w:rsid w:val="00535422"/>
    <w:rsid w:val="005365A2"/>
    <w:rsid w:val="005557B4"/>
    <w:rsid w:val="005706CC"/>
    <w:rsid w:val="00584AD2"/>
    <w:rsid w:val="005A6564"/>
    <w:rsid w:val="005E769D"/>
    <w:rsid w:val="00606811"/>
    <w:rsid w:val="006172C4"/>
    <w:rsid w:val="00617826"/>
    <w:rsid w:val="00720EA4"/>
    <w:rsid w:val="00753A00"/>
    <w:rsid w:val="00771F84"/>
    <w:rsid w:val="007C4792"/>
    <w:rsid w:val="007E0BC4"/>
    <w:rsid w:val="007F0196"/>
    <w:rsid w:val="008007ED"/>
    <w:rsid w:val="00815100"/>
    <w:rsid w:val="00834E05"/>
    <w:rsid w:val="008430CF"/>
    <w:rsid w:val="00864AEF"/>
    <w:rsid w:val="00893EE4"/>
    <w:rsid w:val="008D7B76"/>
    <w:rsid w:val="008F6F48"/>
    <w:rsid w:val="0090432B"/>
    <w:rsid w:val="00924154"/>
    <w:rsid w:val="00981D66"/>
    <w:rsid w:val="009A7377"/>
    <w:rsid w:val="00A142E6"/>
    <w:rsid w:val="00A25575"/>
    <w:rsid w:val="00A36F69"/>
    <w:rsid w:val="00A40318"/>
    <w:rsid w:val="00A4765E"/>
    <w:rsid w:val="00A55755"/>
    <w:rsid w:val="00A5597D"/>
    <w:rsid w:val="00A577F7"/>
    <w:rsid w:val="00A94D98"/>
    <w:rsid w:val="00AA0F9C"/>
    <w:rsid w:val="00AA234E"/>
    <w:rsid w:val="00AA5D04"/>
    <w:rsid w:val="00AB5C03"/>
    <w:rsid w:val="00AF1ABD"/>
    <w:rsid w:val="00B35211"/>
    <w:rsid w:val="00B549FB"/>
    <w:rsid w:val="00B54B36"/>
    <w:rsid w:val="00B606D9"/>
    <w:rsid w:val="00BA510F"/>
    <w:rsid w:val="00BB04A9"/>
    <w:rsid w:val="00BC28F1"/>
    <w:rsid w:val="00BF4860"/>
    <w:rsid w:val="00C11581"/>
    <w:rsid w:val="00C36DB6"/>
    <w:rsid w:val="00CC0845"/>
    <w:rsid w:val="00CD6690"/>
    <w:rsid w:val="00CF49F4"/>
    <w:rsid w:val="00D0289D"/>
    <w:rsid w:val="00D31D00"/>
    <w:rsid w:val="00D858EB"/>
    <w:rsid w:val="00D91452"/>
    <w:rsid w:val="00DA0E4C"/>
    <w:rsid w:val="00DB4AB1"/>
    <w:rsid w:val="00E16EDF"/>
    <w:rsid w:val="00E648B5"/>
    <w:rsid w:val="00E92C30"/>
    <w:rsid w:val="00F23EC9"/>
    <w:rsid w:val="00F31D98"/>
    <w:rsid w:val="00F60CD1"/>
    <w:rsid w:val="00F6741D"/>
    <w:rsid w:val="00FB1AC6"/>
    <w:rsid w:val="00FC4805"/>
    <w:rsid w:val="00FD40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noFill/>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lang w:val="de-DE"/>
      <w14:textOutline w14:w="12700">
        <w14:noFill/>
        <w14:miter w14:lim="400000"/>
      </w14:textOutline>
    </w:rPr>
  </w:style>
  <w:style w:type="paragraph" w:customStyle="1" w:styleId="BodyAA">
    <w:name w:val="Body A A"/>
    <w:rPr>
      <w:rFonts w:ascii="Helvetica Neue" w:eastAsia="Helvetica Neue" w:hAnsi="Helvetica Neue" w:cs="Helvetica Neue"/>
      <w:color w:val="000000"/>
      <w:sz w:val="22"/>
      <w:szCs w:val="22"/>
      <w:u w:color="000000"/>
      <w14:textOutline w14:w="12700">
        <w14:noFill/>
        <w14:miter w14:lim="400000"/>
      </w14:textOutline>
    </w:rPr>
  </w:style>
  <w:style w:type="paragraph" w:customStyle="1" w:styleId="Heading">
    <w:name w:val="Heading"/>
    <w:next w:val="BodyAA"/>
    <w:pPr>
      <w:keepNext/>
      <w:outlineLvl w:val="0"/>
    </w:pPr>
    <w:rPr>
      <w:rFonts w:ascii="Helvetica Neue" w:hAnsi="Helvetica Neue" w:cs="Arial Unicode MS"/>
      <w:b/>
      <w:bCs/>
      <w:color w:val="000000"/>
      <w:sz w:val="36"/>
      <w:szCs w:val="36"/>
      <w:u w:color="000000"/>
      <w14:textOutline w14:w="12700">
        <w14:noFill/>
        <w14:miter w14:lim="400000"/>
      </w14:textOutline>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noFill/>
        <w14:miter w14:lim="400000"/>
      </w14:textOutline>
    </w:rPr>
  </w:style>
  <w:style w:type="paragraph" w:styleId="FootnoteText">
    <w:name w:val="footnote text"/>
    <w:link w:val="FootnoteTextChar"/>
    <w:uiPriority w:val="99"/>
    <w:rPr>
      <w:rFonts w:eastAsia="Times New Roman"/>
      <w:color w:val="000000"/>
      <w:u w:color="000000"/>
    </w:rPr>
  </w:style>
  <w:style w:type="numbering" w:customStyle="1" w:styleId="Bullet">
    <w:name w:val="Bullet"/>
    <w:pPr>
      <w:numPr>
        <w:numId w:val="3"/>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outline w:val="0"/>
      <w:color w:val="000000"/>
      <w:u w:color="000000"/>
      <w:shd w:val="clear" w:color="auto" w:fill="FFFFFF"/>
    </w:rPr>
  </w:style>
  <w:style w:type="character" w:customStyle="1" w:styleId="Hyperlink1">
    <w:name w:val="Hyperlink.1"/>
    <w:basedOn w:val="None"/>
    <w:rPr>
      <w:outline w:val="0"/>
      <w:color w:val="000000"/>
      <w:u w:val="none" w:color="000000"/>
      <w:shd w:val="clear" w:color="auto" w:fill="FFFFFF"/>
    </w:rPr>
  </w:style>
  <w:style w:type="character" w:customStyle="1" w:styleId="Hyperlink2">
    <w:name w:val="Hyperlink.2"/>
    <w:basedOn w:val="None"/>
    <w:rPr>
      <w:rFonts w:ascii="Times New Roman" w:eastAsia="Times New Roman" w:hAnsi="Times New Roman" w:cs="Times New Roman"/>
      <w:u w:val="single"/>
    </w:rPr>
  </w:style>
  <w:style w:type="paragraph" w:customStyle="1" w:styleId="Footnote">
    <w:name w:val="Footnote"/>
    <w:rPr>
      <w:rFonts w:ascii="Helvetica Neue" w:eastAsia="Helvetica Neue" w:hAnsi="Helvetica Neue" w:cs="Helvetica Neue"/>
      <w:color w:val="000000"/>
      <w:sz w:val="22"/>
      <w:szCs w:val="22"/>
      <w:u w:color="000000"/>
      <w14:textOutline w14:w="12700">
        <w14:noFill/>
        <w14:miter w14:lim="400000"/>
      </w14:textOutline>
    </w:rPr>
  </w:style>
  <w:style w:type="numbering" w:customStyle="1" w:styleId="ImportedStyle10">
    <w:name w:val="Imported Style 1.0"/>
    <w:pPr>
      <w:numPr>
        <w:numId w:val="5"/>
      </w:numPr>
    </w:pPr>
  </w:style>
  <w:style w:type="numbering" w:customStyle="1" w:styleId="ImportedStyle2">
    <w:name w:val="Imported Style 2"/>
    <w:pPr>
      <w:numPr>
        <w:numId w:val="7"/>
      </w:numPr>
    </w:pPr>
  </w:style>
  <w:style w:type="paragraph" w:styleId="BodyTextIndent3">
    <w:name w:val="Body Text Indent 3"/>
    <w:pPr>
      <w:spacing w:line="480" w:lineRule="atLeast"/>
      <w:ind w:firstLine="720"/>
    </w:pPr>
    <w:rPr>
      <w:rFonts w:cs="Arial Unicode MS"/>
      <w:color w:val="000000"/>
      <w:sz w:val="24"/>
      <w:szCs w:val="24"/>
      <w:u w:color="000000"/>
    </w:rPr>
  </w:style>
  <w:style w:type="paragraph" w:customStyle="1" w:styleId="BodyB">
    <w:name w:val="Body B"/>
    <w:rPr>
      <w:rFonts w:eastAsia="Times New Roman"/>
      <w:color w:val="000000"/>
      <w:sz w:val="24"/>
      <w:szCs w:val="24"/>
      <w:u w:color="000000"/>
      <w14:textOutline w14:w="12700">
        <w14:noFill/>
        <w14:miter w14:lim="400000"/>
      </w14:textOutline>
    </w:rPr>
  </w:style>
  <w:style w:type="character" w:customStyle="1" w:styleId="Hyperlink3">
    <w:name w:val="Hyperlink.3"/>
    <w:basedOn w:val="None"/>
    <w:rPr>
      <w:outline w:val="0"/>
      <w:color w:val="0000FF"/>
      <w:u w:val="single" w:color="0000FF"/>
      <w:lang w:val="en-US"/>
    </w:rPr>
  </w:style>
  <w:style w:type="character" w:customStyle="1" w:styleId="Hyperlink4">
    <w:name w:val="Hyperlink.4"/>
    <w:basedOn w:val="None"/>
    <w:rPr>
      <w:outline w:val="0"/>
      <w:color w:val="0000FF"/>
      <w:u w:val="single" w:color="0000FF"/>
      <w:lang w:val="it-IT"/>
    </w:rPr>
  </w:style>
  <w:style w:type="paragraph" w:styleId="CommentSubject">
    <w:name w:val="annotation subject"/>
    <w:next w:val="CommentText"/>
    <w:rPr>
      <w:rFonts w:eastAsia="Times New Roman"/>
      <w:b/>
      <w:bCs/>
      <w:color w:val="000000"/>
      <w:u w:color="000000"/>
    </w:rPr>
  </w:style>
  <w:style w:type="paragraph" w:styleId="CommentText">
    <w:name w:val="annotation text"/>
    <w:rPr>
      <w:rFonts w:eastAsia="Times New Roman"/>
      <w:color w:val="000000"/>
      <w:u w:color="000000"/>
    </w:rPr>
  </w:style>
  <w:style w:type="paragraph" w:styleId="BodyText">
    <w:name w:val="Body Text"/>
    <w:pPr>
      <w:spacing w:after="120"/>
    </w:pPr>
    <w:rPr>
      <w:rFonts w:eastAsia="Times New Roman"/>
      <w:color w:val="000000"/>
      <w:sz w:val="24"/>
      <w:szCs w:val="24"/>
      <w:u w:color="000000"/>
    </w:rPr>
  </w:style>
  <w:style w:type="character" w:customStyle="1" w:styleId="Hyperlink5">
    <w:name w:val="Hyperlink.5"/>
    <w:basedOn w:val="None"/>
    <w:rPr>
      <w:rFonts w:ascii="Times New Roman" w:eastAsia="Times New Roman" w:hAnsi="Times New Roman" w:cs="Times New Roman"/>
      <w:lang w:val="en-US"/>
    </w:rPr>
  </w:style>
  <w:style w:type="character" w:customStyle="1" w:styleId="Hyperlink6">
    <w:name w:val="Hyperlink.6"/>
    <w:basedOn w:val="None"/>
    <w:rPr>
      <w:rFonts w:ascii="Times New Roman" w:eastAsia="Times New Roman" w:hAnsi="Times New Roman" w:cs="Times New Roman"/>
      <w:outline w:val="0"/>
      <w:color w:val="0000FF"/>
      <w:u w:val="single" w:color="0000FF"/>
      <w:lang w:val="en-US"/>
    </w:rPr>
  </w:style>
  <w:style w:type="paragraph" w:styleId="Revision">
    <w:name w:val="Revision"/>
    <w:hidden/>
    <w:uiPriority w:val="99"/>
    <w:semiHidden/>
    <w:rsid w:val="002766B5"/>
    <w:pPr>
      <w:pBdr>
        <w:top w:val="none" w:sz="0" w:space="0" w:color="auto"/>
        <w:left w:val="none" w:sz="0" w:space="0" w:color="auto"/>
        <w:bottom w:val="none" w:sz="0" w:space="0" w:color="auto"/>
        <w:right w:val="none" w:sz="0" w:space="0" w:color="auto"/>
        <w:between w:val="none" w:sz="0" w:space="0" w:color="auto"/>
        <w:bar w:val="none" w:sz="0" w:space="0" w:color="auto"/>
      </w:pBdr>
    </w:pPr>
    <w:rPr>
      <w:sz w:val="24"/>
      <w:szCs w:val="24"/>
    </w:rPr>
  </w:style>
  <w:style w:type="character" w:styleId="FootnoteReference">
    <w:name w:val="footnote reference"/>
    <w:basedOn w:val="DefaultParagraphFont"/>
    <w:uiPriority w:val="99"/>
    <w:semiHidden/>
    <w:unhideWhenUsed/>
    <w:rsid w:val="002766B5"/>
    <w:rPr>
      <w:vertAlign w:val="superscript"/>
    </w:rPr>
  </w:style>
  <w:style w:type="character" w:styleId="CommentReference">
    <w:name w:val="annotation reference"/>
    <w:basedOn w:val="DefaultParagraphFont"/>
    <w:uiPriority w:val="99"/>
    <w:semiHidden/>
    <w:unhideWhenUsed/>
    <w:rsid w:val="00F60CD1"/>
    <w:rPr>
      <w:sz w:val="16"/>
      <w:szCs w:val="16"/>
    </w:rPr>
  </w:style>
  <w:style w:type="paragraph" w:styleId="ListParagraph">
    <w:name w:val="List Paragraph"/>
    <w:basedOn w:val="Normal"/>
    <w:uiPriority w:val="34"/>
    <w:qFormat/>
    <w:rsid w:val="000A052A"/>
    <w:pPr>
      <w:ind w:left="720"/>
      <w:contextualSpacing/>
    </w:pPr>
  </w:style>
  <w:style w:type="paragraph" w:styleId="HTMLPreformatted">
    <w:name w:val="HTML Preformatted"/>
    <w:basedOn w:val="Normal"/>
    <w:link w:val="HTMLPreformattedChar"/>
    <w:rsid w:val="00893EE4"/>
    <w:pPr>
      <w:pBdr>
        <w:top w:val="none" w:sz="0" w:space="0" w:color="auto"/>
        <w:left w:val="none" w:sz="0" w:space="0" w:color="auto"/>
        <w:bottom w:val="none" w:sz="0" w:space="0" w:color="auto"/>
        <w:right w:val="none" w:sz="0" w:space="0" w:color="auto"/>
        <w:between w:val="none" w:sz="0" w:space="0" w:color="auto"/>
        <w:bar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bdr w:val="none" w:sz="0" w:space="0" w:color="auto"/>
    </w:rPr>
  </w:style>
  <w:style w:type="character" w:customStyle="1" w:styleId="HTMLPreformattedChar">
    <w:name w:val="HTML Preformatted Char"/>
    <w:basedOn w:val="DefaultParagraphFont"/>
    <w:link w:val="HTMLPreformatted"/>
    <w:rsid w:val="00893EE4"/>
    <w:rPr>
      <w:rFonts w:ascii="Courier New" w:eastAsia="Courier New" w:hAnsi="Courier New" w:cs="Courier New"/>
      <w:bdr w:val="none" w:sz="0" w:space="0" w:color="auto"/>
    </w:rPr>
  </w:style>
  <w:style w:type="character" w:customStyle="1" w:styleId="FootnoteTextChar">
    <w:name w:val="Footnote Text Char"/>
    <w:basedOn w:val="DefaultParagraphFont"/>
    <w:link w:val="FootnoteText"/>
    <w:uiPriority w:val="99"/>
    <w:rsid w:val="00893EE4"/>
    <w:rPr>
      <w:rFonts w:eastAsia="Times New Roman"/>
      <w:color w:val="000000"/>
      <w:u w:color="000000"/>
    </w:rPr>
  </w:style>
  <w:style w:type="paragraph" w:customStyle="1" w:styleId="Body">
    <w:name w:val="Body"/>
    <w:rsid w:val="00CF49F4"/>
    <w:rPr>
      <w:rFonts w:eastAsia="Times New Roman"/>
      <w:color w:val="000000"/>
      <w:sz w:val="24"/>
      <w:szCs w:val="24"/>
      <w:u w:color="000000"/>
      <w14:textOutline w14:w="0">
        <w14:noFill/>
        <w14:bevel/>
      </w14:textOutline>
    </w:rPr>
  </w:style>
  <w:style w:type="paragraph" w:styleId="BalloonText">
    <w:name w:val="Balloon Text"/>
    <w:basedOn w:val="Normal"/>
    <w:link w:val="BalloonTextChar"/>
    <w:uiPriority w:val="99"/>
    <w:semiHidden/>
    <w:unhideWhenUsed/>
    <w:rsid w:val="002F2444"/>
    <w:rPr>
      <w:sz w:val="18"/>
      <w:szCs w:val="18"/>
    </w:rPr>
  </w:style>
  <w:style w:type="character" w:customStyle="1" w:styleId="BalloonTextChar">
    <w:name w:val="Balloon Text Char"/>
    <w:basedOn w:val="DefaultParagraphFont"/>
    <w:link w:val="BalloonText"/>
    <w:uiPriority w:val="99"/>
    <w:semiHidden/>
    <w:rsid w:val="002F24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whitt@whitt-sturtevant.com" TargetMode="External" /><Relationship Id="rId11" Type="http://schemas.openxmlformats.org/officeDocument/2006/relationships/hyperlink" Target="mailto:rdove@keglerbrown.co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onnor.semple@occ.ohio.gov" TargetMode="External" /><Relationship Id="rId7" Type="http://schemas.openxmlformats.org/officeDocument/2006/relationships/hyperlink" Target="mailto:robert.eubanks@ohioAGO.gov" TargetMode="External" /><Relationship Id="rId8" Type="http://schemas.openxmlformats.org/officeDocument/2006/relationships/hyperlink" Target="mailto:Shaun.lyons@ohioAGO.gov" TargetMode="External" /><Relationship Id="rId9" Type="http://schemas.openxmlformats.org/officeDocument/2006/relationships/hyperlink" Target="mailto:patricia.schabo@puco.ohio.gov" TargetMode="External"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03B9-EB86-4497-9F84-D473EBE5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2023-04-04T19:24:26Z</dcterms:created>
  <dcterms:modified xsi:type="dcterms:W3CDTF">2023-04-04T19:24:26Z</dcterms:modified>
</cp:coreProperties>
</file>