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BE" w:rsidRPr="00DE0A84" w:rsidRDefault="00A438C0" w:rsidP="00A438C0">
      <w:pPr>
        <w:spacing w:after="0" w:line="240" w:lineRule="auto"/>
        <w:jc w:val="center"/>
        <w:rPr>
          <w:rFonts w:ascii="Palatino Linotype" w:hAnsi="Palatino Linotype" w:cs="Times New Roman"/>
          <w:b/>
          <w:spacing w:val="-12"/>
          <w:sz w:val="24"/>
          <w:szCs w:val="24"/>
        </w:rPr>
      </w:pPr>
      <w:r w:rsidRPr="00DE0A84">
        <w:rPr>
          <w:rFonts w:ascii="Palatino Linotype" w:hAnsi="Palatino Linotype" w:cs="Times New Roman"/>
          <w:b/>
          <w:spacing w:val="-12"/>
          <w:sz w:val="24"/>
          <w:szCs w:val="24"/>
        </w:rPr>
        <w:t>BEFORE</w:t>
      </w:r>
    </w:p>
    <w:p w:rsidR="00A438C0" w:rsidRPr="00DE0A84" w:rsidRDefault="00A438C0" w:rsidP="00A438C0">
      <w:pPr>
        <w:spacing w:after="0" w:line="240" w:lineRule="auto"/>
        <w:jc w:val="center"/>
        <w:rPr>
          <w:rFonts w:ascii="Palatino Linotype" w:hAnsi="Palatino Linotype" w:cs="Times New Roman"/>
          <w:b/>
          <w:spacing w:val="-12"/>
          <w:sz w:val="24"/>
          <w:szCs w:val="24"/>
        </w:rPr>
      </w:pPr>
      <w:r w:rsidRPr="00DE0A84">
        <w:rPr>
          <w:rFonts w:ascii="Palatino Linotype" w:hAnsi="Palatino Linotype" w:cs="Times New Roman"/>
          <w:b/>
          <w:spacing w:val="-12"/>
          <w:sz w:val="24"/>
          <w:szCs w:val="24"/>
        </w:rPr>
        <w:t>THE PUBLIC UTILITIES COMMISSION OF OHIO</w:t>
      </w:r>
    </w:p>
    <w:p w:rsidR="00A438C0" w:rsidRPr="00DE0A84" w:rsidRDefault="00A438C0" w:rsidP="00A438C0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352"/>
        <w:gridCol w:w="4187"/>
      </w:tblGrid>
      <w:tr w:rsidR="00A438C0" w:rsidRPr="00DE0A84" w:rsidTr="00A438C0">
        <w:tc>
          <w:tcPr>
            <w:tcW w:w="4608" w:type="dxa"/>
          </w:tcPr>
          <w:p w:rsidR="001C69F3" w:rsidRPr="00DE0A84" w:rsidRDefault="00A438C0" w:rsidP="00A438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In</w:t>
            </w:r>
            <w:r w:rsidR="00393C5F">
              <w:rPr>
                <w:rFonts w:ascii="Palatino Linotype" w:hAnsi="Palatino Linotype" w:cs="Times New Roman"/>
                <w:sz w:val="24"/>
                <w:szCs w:val="24"/>
              </w:rPr>
              <w:t xml:space="preserve"> the Matter of the Complaint of</w:t>
            </w: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393C5F">
              <w:rPr>
                <w:rFonts w:ascii="Palatino Linotype" w:hAnsi="Palatino Linotype" w:cs="Times New Roman"/>
                <w:sz w:val="24"/>
                <w:szCs w:val="24"/>
              </w:rPr>
              <w:t>Jon Cook</w:t>
            </w: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</w:p>
          <w:p w:rsidR="00A438C0" w:rsidRPr="00DE0A84" w:rsidRDefault="00A438C0" w:rsidP="00DE0A84">
            <w:pPr>
              <w:ind w:left="72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Complain</w:t>
            </w:r>
            <w:r w:rsidR="001C69F3" w:rsidRPr="00DE0A84">
              <w:rPr>
                <w:rFonts w:ascii="Palatino Linotype" w:hAnsi="Palatino Linotype" w:cs="Times New Roman"/>
                <w:sz w:val="24"/>
                <w:szCs w:val="24"/>
              </w:rPr>
              <w:t>an</w:t>
            </w: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t,</w:t>
            </w:r>
          </w:p>
          <w:p w:rsidR="00A438C0" w:rsidRPr="00DE0A84" w:rsidRDefault="00A438C0" w:rsidP="00A438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proofErr w:type="gramStart"/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v</w:t>
            </w:r>
            <w:proofErr w:type="gramEnd"/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.</w:t>
            </w:r>
          </w:p>
          <w:p w:rsidR="00A438C0" w:rsidRPr="00DE0A84" w:rsidRDefault="00A438C0" w:rsidP="00A438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1C69F3" w:rsidRPr="00DE0A84" w:rsidRDefault="00A438C0" w:rsidP="00A438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Columbia Gas of Ohio, Inc.,</w:t>
            </w:r>
          </w:p>
          <w:p w:rsidR="00A438C0" w:rsidRPr="00DE0A84" w:rsidRDefault="00A438C0" w:rsidP="00A438C0">
            <w:pPr>
              <w:ind w:left="72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Respondent.</w:t>
            </w:r>
          </w:p>
        </w:tc>
        <w:tc>
          <w:tcPr>
            <w:tcW w:w="360" w:type="dxa"/>
          </w:tcPr>
          <w:p w:rsidR="00A438C0" w:rsidRPr="00DE0A84" w:rsidRDefault="00A438C0" w:rsidP="00A438C0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  <w:p w:rsidR="00A438C0" w:rsidRPr="00DE0A84" w:rsidRDefault="00A438C0" w:rsidP="00A438C0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  <w:p w:rsidR="00A438C0" w:rsidRPr="00DE0A84" w:rsidRDefault="00A438C0" w:rsidP="00A438C0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  <w:p w:rsidR="00A438C0" w:rsidRPr="00DE0A84" w:rsidRDefault="00A438C0" w:rsidP="00A438C0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  <w:p w:rsidR="00A438C0" w:rsidRPr="00DE0A84" w:rsidRDefault="00A438C0" w:rsidP="00A438C0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  <w:p w:rsidR="00A438C0" w:rsidRPr="00DE0A84" w:rsidRDefault="00A438C0" w:rsidP="00A438C0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  <w:p w:rsidR="00A438C0" w:rsidRPr="00DE0A84" w:rsidRDefault="00A438C0" w:rsidP="00A438C0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  <w:p w:rsidR="001C69F3" w:rsidRPr="00DE0A84" w:rsidRDefault="001C69F3" w:rsidP="00A438C0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A438C0" w:rsidRPr="00DE0A84" w:rsidRDefault="00A438C0" w:rsidP="00A438C0">
            <w:pPr>
              <w:ind w:left="612"/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A438C0" w:rsidRPr="00DE0A84" w:rsidRDefault="00A438C0" w:rsidP="00A438C0">
            <w:pPr>
              <w:ind w:left="612"/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A438C0" w:rsidRPr="00DE0A84" w:rsidRDefault="00A438C0" w:rsidP="00A438C0">
            <w:pPr>
              <w:ind w:left="612"/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A438C0" w:rsidRPr="00DE0A84" w:rsidRDefault="00A438C0" w:rsidP="00A438C0">
            <w:pPr>
              <w:ind w:left="612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Case No. 14-</w:t>
            </w:r>
            <w:r w:rsidR="00393C5F">
              <w:rPr>
                <w:rFonts w:ascii="Palatino Linotype" w:hAnsi="Palatino Linotype" w:cs="Times New Roman"/>
                <w:sz w:val="24"/>
                <w:szCs w:val="24"/>
              </w:rPr>
              <w:t>0406</w:t>
            </w:r>
            <w:r w:rsidRPr="00DE0A84">
              <w:rPr>
                <w:rFonts w:ascii="Palatino Linotype" w:hAnsi="Palatino Linotype" w:cs="Times New Roman"/>
                <w:sz w:val="24"/>
                <w:szCs w:val="24"/>
              </w:rPr>
              <w:t>-GA-CSS</w:t>
            </w:r>
          </w:p>
        </w:tc>
      </w:tr>
    </w:tbl>
    <w:p w:rsidR="00A438C0" w:rsidRPr="00DE0A84" w:rsidRDefault="00A438C0" w:rsidP="00A438C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A438C0" w:rsidRPr="00DE0A84" w:rsidRDefault="00A438C0" w:rsidP="00A438C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>_______________________________________________</w:t>
      </w:r>
    </w:p>
    <w:p w:rsidR="00A438C0" w:rsidRPr="00DE0A84" w:rsidRDefault="00A438C0" w:rsidP="00A438C0">
      <w:pPr>
        <w:spacing w:after="0" w:line="240" w:lineRule="auto"/>
        <w:jc w:val="center"/>
        <w:rPr>
          <w:rFonts w:ascii="Palatino Linotype" w:hAnsi="Palatino Linotype" w:cs="Times New Roman"/>
          <w:b/>
          <w:spacing w:val="-12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br/>
      </w:r>
      <w:proofErr w:type="gramStart"/>
      <w:r w:rsidRPr="00DE0A84">
        <w:rPr>
          <w:rFonts w:ascii="Palatino Linotype" w:hAnsi="Palatino Linotype" w:cs="Times New Roman"/>
          <w:b/>
          <w:spacing w:val="-12"/>
          <w:sz w:val="24"/>
          <w:szCs w:val="24"/>
        </w:rPr>
        <w:t>ANSWER</w:t>
      </w:r>
      <w:r w:rsidR="00DE0A84" w:rsidRPr="00DE0A84">
        <w:rPr>
          <w:rFonts w:ascii="Palatino Linotype" w:hAnsi="Palatino Linotype" w:cs="Times New Roman"/>
          <w:b/>
          <w:spacing w:val="-12"/>
          <w:sz w:val="24"/>
          <w:szCs w:val="24"/>
        </w:rPr>
        <w:t xml:space="preserve"> </w:t>
      </w:r>
      <w:r w:rsidRPr="00DE0A84">
        <w:rPr>
          <w:rFonts w:ascii="Palatino Linotype" w:hAnsi="Palatino Linotype" w:cs="Times New Roman"/>
          <w:b/>
          <w:spacing w:val="-12"/>
          <w:sz w:val="24"/>
          <w:szCs w:val="24"/>
        </w:rPr>
        <w:t>OF COLUMBIA GAS OF OHIO, INC.</w:t>
      </w:r>
      <w:proofErr w:type="gramEnd"/>
    </w:p>
    <w:p w:rsidR="00A438C0" w:rsidRPr="00DE0A84" w:rsidRDefault="00A438C0" w:rsidP="00A438C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>_______________________________________________</w:t>
      </w:r>
    </w:p>
    <w:p w:rsidR="00A438C0" w:rsidRPr="00DE0A84" w:rsidRDefault="00A438C0" w:rsidP="00A438C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A438C0" w:rsidRPr="00DE0A84" w:rsidRDefault="00A438C0" w:rsidP="00DE0A84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ab/>
      </w:r>
      <w:r w:rsidR="0006770D" w:rsidRPr="00DE0A84">
        <w:rPr>
          <w:rFonts w:ascii="Palatino Linotype" w:hAnsi="Palatino Linotype" w:cs="Times New Roman"/>
          <w:sz w:val="24"/>
          <w:szCs w:val="24"/>
        </w:rPr>
        <w:t xml:space="preserve">Pursuant to Ohio Adm. Code 4901-9-01(D), </w:t>
      </w:r>
      <w:r w:rsidRPr="00DE0A84">
        <w:rPr>
          <w:rFonts w:ascii="Palatino Linotype" w:hAnsi="Palatino Linotype" w:cs="Times New Roman"/>
          <w:sz w:val="24"/>
          <w:szCs w:val="24"/>
        </w:rPr>
        <w:t>the Respondent, Columbia Gas of Ohio, Inc. (“Columbia”</w:t>
      </w:r>
      <w:r w:rsidR="00AC4A29" w:rsidRPr="00DE0A84">
        <w:rPr>
          <w:rFonts w:ascii="Palatino Linotype" w:hAnsi="Palatino Linotype" w:cs="Times New Roman"/>
          <w:sz w:val="24"/>
          <w:szCs w:val="24"/>
        </w:rPr>
        <w:t>),</w:t>
      </w:r>
      <w:r w:rsidRPr="00DE0A84">
        <w:rPr>
          <w:rFonts w:ascii="Palatino Linotype" w:hAnsi="Palatino Linotype" w:cs="Times New Roman"/>
          <w:sz w:val="24"/>
          <w:szCs w:val="24"/>
        </w:rPr>
        <w:t xml:space="preserve"> files its Answer to the Complaint </w:t>
      </w:r>
      <w:r w:rsidR="0006770D" w:rsidRPr="00DE0A84">
        <w:rPr>
          <w:rFonts w:ascii="Palatino Linotype" w:hAnsi="Palatino Linotype" w:cs="Times New Roman"/>
          <w:sz w:val="24"/>
          <w:szCs w:val="24"/>
        </w:rPr>
        <w:t xml:space="preserve">of </w:t>
      </w:r>
      <w:r w:rsidR="00393C5F">
        <w:rPr>
          <w:rFonts w:ascii="Palatino Linotype" w:hAnsi="Palatino Linotype" w:cs="Times New Roman"/>
          <w:sz w:val="24"/>
          <w:szCs w:val="24"/>
        </w:rPr>
        <w:t xml:space="preserve">Jon Cook </w:t>
      </w:r>
      <w:r w:rsidR="0006770D" w:rsidRPr="00DE0A84">
        <w:rPr>
          <w:rFonts w:ascii="Palatino Linotype" w:hAnsi="Palatino Linotype" w:cs="Times New Roman"/>
          <w:sz w:val="24"/>
          <w:szCs w:val="24"/>
        </w:rPr>
        <w:t xml:space="preserve">(“Complainant”) filed herein on </w:t>
      </w:r>
      <w:r w:rsidR="00393C5F">
        <w:rPr>
          <w:rFonts w:ascii="Palatino Linotype" w:hAnsi="Palatino Linotype" w:cs="Times New Roman"/>
          <w:sz w:val="24"/>
          <w:szCs w:val="24"/>
        </w:rPr>
        <w:t>March</w:t>
      </w:r>
      <w:r w:rsidR="0006770D" w:rsidRPr="00DE0A84">
        <w:rPr>
          <w:rFonts w:ascii="Palatino Linotype" w:hAnsi="Palatino Linotype" w:cs="Times New Roman"/>
          <w:sz w:val="24"/>
          <w:szCs w:val="24"/>
        </w:rPr>
        <w:t xml:space="preserve"> </w:t>
      </w:r>
      <w:r w:rsidR="00393C5F">
        <w:rPr>
          <w:rFonts w:ascii="Palatino Linotype" w:hAnsi="Palatino Linotype" w:cs="Times New Roman"/>
          <w:sz w:val="24"/>
          <w:szCs w:val="24"/>
        </w:rPr>
        <w:t>1</w:t>
      </w:r>
      <w:r w:rsidR="0006770D" w:rsidRPr="00DE0A84">
        <w:rPr>
          <w:rFonts w:ascii="Palatino Linotype" w:hAnsi="Palatino Linotype" w:cs="Times New Roman"/>
          <w:sz w:val="24"/>
          <w:szCs w:val="24"/>
        </w:rPr>
        <w:t>3, 2014:</w:t>
      </w:r>
    </w:p>
    <w:p w:rsidR="00A438C0" w:rsidRPr="00DE0A84" w:rsidRDefault="00A438C0" w:rsidP="00DE0A84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A32409" w:rsidRPr="00A32409" w:rsidRDefault="00A32409" w:rsidP="00243A1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 w:rsidRPr="00A32409">
        <w:rPr>
          <w:rFonts w:ascii="Palatino Linotype" w:hAnsi="Palatino Linotype" w:cs="Times New Roman"/>
          <w:sz w:val="24"/>
          <w:szCs w:val="24"/>
        </w:rPr>
        <w:t>1.</w:t>
      </w:r>
      <w:r>
        <w:rPr>
          <w:rFonts w:ascii="Palatino Linotype" w:hAnsi="Palatino Linotype" w:cs="Times New Roman"/>
          <w:sz w:val="24"/>
          <w:szCs w:val="24"/>
        </w:rPr>
        <w:tab/>
      </w:r>
      <w:r w:rsidR="008A7ABF">
        <w:rPr>
          <w:rFonts w:ascii="Palatino Linotype" w:hAnsi="Palatino Linotype" w:cs="Times New Roman"/>
          <w:sz w:val="24"/>
          <w:szCs w:val="24"/>
        </w:rPr>
        <w:t xml:space="preserve">Columbia admits that the Complainant is the customer of record </w:t>
      </w:r>
      <w:r w:rsidR="008974D7">
        <w:rPr>
          <w:rFonts w:ascii="Palatino Linotype" w:hAnsi="Palatino Linotype" w:cs="Times New Roman"/>
          <w:sz w:val="24"/>
          <w:szCs w:val="24"/>
        </w:rPr>
        <w:t>for a natural gas service account at 1225 North Limestone St</w:t>
      </w:r>
      <w:r w:rsidR="002F74B7">
        <w:rPr>
          <w:rFonts w:ascii="Palatino Linotype" w:hAnsi="Palatino Linotype" w:cs="Times New Roman"/>
          <w:sz w:val="24"/>
          <w:szCs w:val="24"/>
        </w:rPr>
        <w:t xml:space="preserve">reet, Springfield, Ohio 45503 (the “Premises”). </w:t>
      </w:r>
      <w:r w:rsidR="008974D7">
        <w:rPr>
          <w:rFonts w:ascii="Palatino Linotype" w:hAnsi="Palatino Linotype" w:cs="Times New Roman"/>
          <w:sz w:val="24"/>
          <w:szCs w:val="24"/>
        </w:rPr>
        <w:t xml:space="preserve">Columbia admits that it contacted the Complainant in August 2011; however, Columbia avers this contact was to install an automated meter reading </w:t>
      </w:r>
      <w:r w:rsidR="00365EA4">
        <w:rPr>
          <w:rFonts w:ascii="Palatino Linotype" w:hAnsi="Palatino Linotype" w:cs="Times New Roman"/>
          <w:sz w:val="24"/>
          <w:szCs w:val="24"/>
        </w:rPr>
        <w:t xml:space="preserve">(“AMR”) </w:t>
      </w:r>
      <w:r w:rsidR="008974D7">
        <w:rPr>
          <w:rFonts w:ascii="Palatino Linotype" w:hAnsi="Palatino Linotype" w:cs="Times New Roman"/>
          <w:sz w:val="24"/>
          <w:szCs w:val="24"/>
        </w:rPr>
        <w:t>device on Columbia’s meter in the Complainant’s basement</w:t>
      </w:r>
      <w:r w:rsidR="002F74B7">
        <w:rPr>
          <w:rFonts w:ascii="Palatino Linotype" w:hAnsi="Palatino Linotype" w:cs="Times New Roman"/>
          <w:sz w:val="24"/>
          <w:szCs w:val="24"/>
        </w:rPr>
        <w:t xml:space="preserve">. </w:t>
      </w:r>
      <w:r w:rsidR="008974D7">
        <w:rPr>
          <w:rFonts w:ascii="Palatino Linotype" w:hAnsi="Palatino Linotype" w:cs="Times New Roman"/>
          <w:sz w:val="24"/>
          <w:szCs w:val="24"/>
        </w:rPr>
        <w:t xml:space="preserve">Columbia admits that </w:t>
      </w:r>
      <w:r w:rsidR="005D3949">
        <w:rPr>
          <w:rFonts w:ascii="Palatino Linotype" w:hAnsi="Palatino Linotype" w:cs="Times New Roman"/>
          <w:sz w:val="24"/>
          <w:szCs w:val="24"/>
        </w:rPr>
        <w:t xml:space="preserve">it </w:t>
      </w:r>
      <w:r w:rsidR="008974D7">
        <w:rPr>
          <w:rFonts w:ascii="Palatino Linotype" w:hAnsi="Palatino Linotype" w:cs="Times New Roman"/>
          <w:sz w:val="24"/>
          <w:szCs w:val="24"/>
        </w:rPr>
        <w:t>was given access by the Complainant to install the AMR device</w:t>
      </w:r>
      <w:r w:rsidR="00215B64">
        <w:rPr>
          <w:rFonts w:ascii="Palatino Linotype" w:hAnsi="Palatino Linotype" w:cs="Times New Roman"/>
          <w:sz w:val="24"/>
          <w:szCs w:val="24"/>
        </w:rPr>
        <w:t xml:space="preserve"> and avers that such device was installed</w:t>
      </w:r>
      <w:r w:rsidR="008974D7">
        <w:rPr>
          <w:rFonts w:ascii="Palatino Linotype" w:hAnsi="Palatino Linotype" w:cs="Times New Roman"/>
          <w:sz w:val="24"/>
          <w:szCs w:val="24"/>
        </w:rPr>
        <w:t>.</w:t>
      </w:r>
      <w:r w:rsidR="002F74B7">
        <w:rPr>
          <w:rFonts w:ascii="Palatino Linotype" w:hAnsi="Palatino Linotype" w:cs="Times New Roman"/>
          <w:sz w:val="24"/>
          <w:szCs w:val="24"/>
        </w:rPr>
        <w:t xml:space="preserve"> </w:t>
      </w:r>
      <w:r w:rsidR="00215B64">
        <w:rPr>
          <w:rFonts w:ascii="Palatino Linotype" w:hAnsi="Palatino Linotype" w:cs="Times New Roman"/>
          <w:sz w:val="24"/>
          <w:szCs w:val="24"/>
        </w:rPr>
        <w:t xml:space="preserve">Columbia further avers that the Complainant also had a remote meter index device </w:t>
      </w:r>
      <w:r w:rsidR="005D3949">
        <w:rPr>
          <w:rFonts w:ascii="Palatino Linotype" w:hAnsi="Palatino Linotype" w:cs="Times New Roman"/>
          <w:sz w:val="24"/>
          <w:szCs w:val="24"/>
        </w:rPr>
        <w:t>previously installed at his home, which Columbia was no longer utilizing in lieu of the AMR device</w:t>
      </w:r>
      <w:r w:rsidR="00215B64">
        <w:rPr>
          <w:rFonts w:ascii="Palatino Linotype" w:hAnsi="Palatino Linotype" w:cs="Times New Roman"/>
          <w:sz w:val="24"/>
          <w:szCs w:val="24"/>
        </w:rPr>
        <w:t>.</w:t>
      </w:r>
      <w:r w:rsidR="008974D7">
        <w:rPr>
          <w:rFonts w:ascii="Palatino Linotype" w:hAnsi="Palatino Linotype" w:cs="Times New Roman"/>
          <w:sz w:val="24"/>
          <w:szCs w:val="24"/>
        </w:rPr>
        <w:t xml:space="preserve"> Columbia</w:t>
      </w:r>
      <w:r w:rsidR="00215B64">
        <w:rPr>
          <w:rFonts w:ascii="Palatino Linotype" w:hAnsi="Palatino Linotype" w:cs="Times New Roman"/>
          <w:sz w:val="24"/>
          <w:szCs w:val="24"/>
        </w:rPr>
        <w:t xml:space="preserve"> denies the remaining allegations in paragraph 1.</w:t>
      </w:r>
    </w:p>
    <w:p w:rsidR="006B0301" w:rsidRDefault="006B0301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1B3766" w:rsidRDefault="001B3766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2.</w:t>
      </w:r>
      <w:r>
        <w:rPr>
          <w:rFonts w:ascii="Palatino Linotype" w:hAnsi="Palatino Linotype" w:cs="Times New Roman"/>
          <w:sz w:val="24"/>
          <w:szCs w:val="24"/>
        </w:rPr>
        <w:tab/>
      </w:r>
      <w:r w:rsidR="00ED4E62">
        <w:rPr>
          <w:rFonts w:ascii="Palatino Linotype" w:hAnsi="Palatino Linotype" w:cs="Times New Roman"/>
          <w:sz w:val="24"/>
          <w:szCs w:val="24"/>
        </w:rPr>
        <w:t xml:space="preserve">Columbia denies the allegations in </w:t>
      </w:r>
      <w:r w:rsidR="002F74B7">
        <w:rPr>
          <w:rFonts w:ascii="Palatino Linotype" w:hAnsi="Palatino Linotype" w:cs="Times New Roman"/>
          <w:sz w:val="24"/>
          <w:szCs w:val="24"/>
        </w:rPr>
        <w:t>p</w:t>
      </w:r>
      <w:r w:rsidR="00ED4E62">
        <w:rPr>
          <w:rFonts w:ascii="Palatino Linotype" w:hAnsi="Palatino Linotype" w:cs="Times New Roman"/>
          <w:sz w:val="24"/>
          <w:szCs w:val="24"/>
        </w:rPr>
        <w:t>aragraph 2, and denies that the Complainant is entitled to the relief</w:t>
      </w:r>
      <w:r w:rsidR="00946A96">
        <w:rPr>
          <w:rFonts w:ascii="Palatino Linotype" w:hAnsi="Palatino Linotype" w:cs="Times New Roman"/>
          <w:sz w:val="24"/>
          <w:szCs w:val="24"/>
        </w:rPr>
        <w:t xml:space="preserve"> </w:t>
      </w:r>
      <w:r w:rsidR="002F74B7">
        <w:rPr>
          <w:rFonts w:ascii="Palatino Linotype" w:hAnsi="Palatino Linotype" w:cs="Times New Roman"/>
          <w:sz w:val="24"/>
          <w:szCs w:val="24"/>
        </w:rPr>
        <w:t>requested in paragraph 2</w:t>
      </w:r>
      <w:r w:rsidR="00ED4E62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1B3766" w:rsidRDefault="001B3766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6B0301" w:rsidRDefault="001B3766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3.</w:t>
      </w:r>
      <w:r>
        <w:rPr>
          <w:rFonts w:ascii="Palatino Linotype" w:hAnsi="Palatino Linotype" w:cs="Times New Roman"/>
          <w:sz w:val="24"/>
          <w:szCs w:val="24"/>
        </w:rPr>
        <w:tab/>
        <w:t xml:space="preserve">Columbia </w:t>
      </w:r>
      <w:r w:rsidRPr="001B3766">
        <w:rPr>
          <w:rFonts w:ascii="Palatino Linotype" w:hAnsi="Palatino Linotype" w:cs="Times New Roman"/>
          <w:sz w:val="24"/>
          <w:szCs w:val="24"/>
        </w:rPr>
        <w:t xml:space="preserve">is without sufficient knowledge </w:t>
      </w:r>
      <w:r w:rsidR="00BD1BD7">
        <w:rPr>
          <w:rFonts w:ascii="Palatino Linotype" w:hAnsi="Palatino Linotype" w:cs="Times New Roman"/>
          <w:sz w:val="24"/>
          <w:szCs w:val="24"/>
        </w:rPr>
        <w:t xml:space="preserve">or information </w:t>
      </w:r>
      <w:r w:rsidRPr="001B3766">
        <w:rPr>
          <w:rFonts w:ascii="Palatino Linotype" w:hAnsi="Palatino Linotype" w:cs="Times New Roman"/>
          <w:sz w:val="24"/>
          <w:szCs w:val="24"/>
        </w:rPr>
        <w:t xml:space="preserve">to either admit or deny </w:t>
      </w:r>
      <w:r w:rsidR="00365EA4">
        <w:rPr>
          <w:rFonts w:ascii="Palatino Linotype" w:hAnsi="Palatino Linotype" w:cs="Times New Roman"/>
          <w:sz w:val="24"/>
          <w:szCs w:val="24"/>
        </w:rPr>
        <w:t>the allegation</w:t>
      </w:r>
      <w:r w:rsidR="002F74B7">
        <w:rPr>
          <w:rFonts w:ascii="Palatino Linotype" w:hAnsi="Palatino Linotype" w:cs="Times New Roman"/>
          <w:sz w:val="24"/>
          <w:szCs w:val="24"/>
        </w:rPr>
        <w:t xml:space="preserve"> as to the Complainant’s daughter</w:t>
      </w:r>
      <w:r w:rsidR="00F91D4F">
        <w:rPr>
          <w:rFonts w:ascii="Palatino Linotype" w:hAnsi="Palatino Linotype" w:cs="Times New Roman"/>
          <w:sz w:val="24"/>
          <w:szCs w:val="24"/>
        </w:rPr>
        <w:t>’s</w:t>
      </w:r>
      <w:r w:rsidR="008618C4">
        <w:rPr>
          <w:rFonts w:ascii="Palatino Linotype" w:hAnsi="Palatino Linotype" w:cs="Times New Roman"/>
          <w:sz w:val="24"/>
          <w:szCs w:val="24"/>
        </w:rPr>
        <w:t xml:space="preserve"> residency at the Premises.</w:t>
      </w:r>
      <w:r w:rsidR="002F74B7">
        <w:rPr>
          <w:rFonts w:ascii="Palatino Linotype" w:hAnsi="Palatino Linotype" w:cs="Times New Roman"/>
          <w:sz w:val="24"/>
          <w:szCs w:val="24"/>
        </w:rPr>
        <w:t xml:space="preserve"> Columbia avers that the Complainant’</w:t>
      </w:r>
      <w:r w:rsidR="00F91D4F">
        <w:rPr>
          <w:rFonts w:ascii="Palatino Linotype" w:hAnsi="Palatino Linotype" w:cs="Times New Roman"/>
          <w:sz w:val="24"/>
          <w:szCs w:val="24"/>
        </w:rPr>
        <w:t>s gas consumption</w:t>
      </w:r>
      <w:r w:rsidR="002F74B7">
        <w:rPr>
          <w:rFonts w:ascii="Palatino Linotype" w:hAnsi="Palatino Linotype" w:cs="Times New Roman"/>
          <w:sz w:val="24"/>
          <w:szCs w:val="24"/>
        </w:rPr>
        <w:t xml:space="preserve"> seasonally </w:t>
      </w:r>
      <w:r w:rsidR="002F74B7">
        <w:rPr>
          <w:rFonts w:ascii="Palatino Linotype" w:hAnsi="Palatino Linotype" w:cs="Times New Roman"/>
          <w:sz w:val="24"/>
          <w:szCs w:val="24"/>
        </w:rPr>
        <w:lastRenderedPageBreak/>
        <w:t>varied after December 31, 2012</w:t>
      </w:r>
      <w:r w:rsidR="00ED4E62">
        <w:rPr>
          <w:rFonts w:ascii="Palatino Linotype" w:hAnsi="Palatino Linotype" w:cs="Times New Roman"/>
          <w:sz w:val="24"/>
          <w:szCs w:val="24"/>
        </w:rPr>
        <w:t>.</w:t>
      </w:r>
      <w:r w:rsidR="00F91D4F">
        <w:rPr>
          <w:rFonts w:ascii="Palatino Linotype" w:hAnsi="Palatino Linotype" w:cs="Times New Roman"/>
          <w:sz w:val="24"/>
          <w:szCs w:val="24"/>
        </w:rPr>
        <w:t xml:space="preserve"> </w:t>
      </w:r>
      <w:r w:rsidR="002F74B7">
        <w:rPr>
          <w:rFonts w:ascii="Palatino Linotype" w:hAnsi="Palatino Linotype" w:cs="Times New Roman"/>
          <w:sz w:val="24"/>
          <w:szCs w:val="24"/>
        </w:rPr>
        <w:t>Columbia denies the remaining allegations in paragraph 3.</w:t>
      </w:r>
      <w:r w:rsidR="00ED4E62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ED4E62" w:rsidRDefault="00ED4E62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ED4E62" w:rsidRDefault="00ED4E62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4.</w:t>
      </w:r>
      <w:r>
        <w:rPr>
          <w:rFonts w:ascii="Palatino Linotype" w:hAnsi="Palatino Linotype" w:cs="Times New Roman"/>
          <w:sz w:val="24"/>
          <w:szCs w:val="24"/>
        </w:rPr>
        <w:tab/>
        <w:t xml:space="preserve">Columbia avers that it can </w:t>
      </w:r>
      <w:r w:rsidR="00F379DB">
        <w:rPr>
          <w:rFonts w:ascii="Palatino Linotype" w:hAnsi="Palatino Linotype" w:cs="Times New Roman"/>
          <w:sz w:val="24"/>
          <w:szCs w:val="24"/>
        </w:rPr>
        <w:t>provide</w:t>
      </w:r>
      <w:r>
        <w:rPr>
          <w:rFonts w:ascii="Palatino Linotype" w:hAnsi="Palatino Linotype" w:cs="Times New Roman"/>
          <w:sz w:val="24"/>
          <w:szCs w:val="24"/>
        </w:rPr>
        <w:t xml:space="preserve"> the Complainant </w:t>
      </w:r>
      <w:r w:rsidR="00F379DB">
        <w:rPr>
          <w:rFonts w:ascii="Palatino Linotype" w:hAnsi="Palatino Linotype" w:cs="Times New Roman"/>
          <w:sz w:val="24"/>
          <w:szCs w:val="24"/>
        </w:rPr>
        <w:t xml:space="preserve">with </w:t>
      </w:r>
      <w:r w:rsidR="002F74B7">
        <w:rPr>
          <w:rFonts w:ascii="Palatino Linotype" w:hAnsi="Palatino Linotype" w:cs="Times New Roman"/>
          <w:sz w:val="24"/>
          <w:szCs w:val="24"/>
        </w:rPr>
        <w:t xml:space="preserve">copies </w:t>
      </w:r>
      <w:r w:rsidR="00F91D4F">
        <w:rPr>
          <w:rFonts w:ascii="Palatino Linotype" w:hAnsi="Palatino Linotype" w:cs="Times New Roman"/>
          <w:sz w:val="24"/>
          <w:szCs w:val="24"/>
        </w:rPr>
        <w:t>of any federal or state statutes regulating gas utilities</w:t>
      </w:r>
      <w:r w:rsidR="00F379DB">
        <w:rPr>
          <w:rFonts w:ascii="Palatino Linotype" w:hAnsi="Palatino Linotype" w:cs="Times New Roman"/>
          <w:sz w:val="24"/>
          <w:szCs w:val="24"/>
        </w:rPr>
        <w:t xml:space="preserve">. </w:t>
      </w:r>
      <w:r w:rsidR="00AF34C5">
        <w:rPr>
          <w:rFonts w:ascii="Palatino Linotype" w:hAnsi="Palatino Linotype" w:cs="Times New Roman"/>
          <w:sz w:val="24"/>
          <w:szCs w:val="24"/>
        </w:rPr>
        <w:t xml:space="preserve">Columbia avers that </w:t>
      </w:r>
      <w:r w:rsidR="00365EA4">
        <w:rPr>
          <w:rFonts w:ascii="Palatino Linotype" w:hAnsi="Palatino Linotype" w:cs="Times New Roman"/>
          <w:sz w:val="24"/>
          <w:szCs w:val="24"/>
        </w:rPr>
        <w:t xml:space="preserve">the </w:t>
      </w:r>
      <w:r w:rsidR="00AF34C5">
        <w:rPr>
          <w:rFonts w:ascii="Palatino Linotype" w:hAnsi="Palatino Linotype" w:cs="Times New Roman"/>
          <w:sz w:val="24"/>
          <w:szCs w:val="24"/>
        </w:rPr>
        <w:t xml:space="preserve">Complainant has been a </w:t>
      </w:r>
      <w:r w:rsidR="00365EA4">
        <w:rPr>
          <w:rFonts w:ascii="Palatino Linotype" w:hAnsi="Palatino Linotype" w:cs="Times New Roman"/>
          <w:sz w:val="24"/>
          <w:szCs w:val="24"/>
        </w:rPr>
        <w:t xml:space="preserve">good-paying </w:t>
      </w:r>
      <w:r w:rsidR="00AF34C5">
        <w:rPr>
          <w:rFonts w:ascii="Palatino Linotype" w:hAnsi="Palatino Linotype" w:cs="Times New Roman"/>
          <w:sz w:val="24"/>
          <w:szCs w:val="24"/>
        </w:rPr>
        <w:t xml:space="preserve">customer </w:t>
      </w:r>
      <w:r w:rsidR="002A5115">
        <w:rPr>
          <w:rFonts w:ascii="Palatino Linotype" w:hAnsi="Palatino Linotype" w:cs="Times New Roman"/>
          <w:sz w:val="24"/>
          <w:szCs w:val="24"/>
        </w:rPr>
        <w:t>since March 20, 1969.</w:t>
      </w:r>
      <w:r w:rsidR="00AF34C5">
        <w:rPr>
          <w:rFonts w:ascii="Palatino Linotype" w:hAnsi="Palatino Linotype" w:cs="Times New Roman"/>
          <w:sz w:val="24"/>
          <w:szCs w:val="24"/>
        </w:rPr>
        <w:t xml:space="preserve"> Columbia denies the rema</w:t>
      </w:r>
      <w:r w:rsidR="00365EA4">
        <w:rPr>
          <w:rFonts w:ascii="Palatino Linotype" w:hAnsi="Palatino Linotype" w:cs="Times New Roman"/>
          <w:sz w:val="24"/>
          <w:szCs w:val="24"/>
        </w:rPr>
        <w:t>ining allegations contained in p</w:t>
      </w:r>
      <w:r w:rsidR="00AF34C5">
        <w:rPr>
          <w:rFonts w:ascii="Palatino Linotype" w:hAnsi="Palatino Linotype" w:cs="Times New Roman"/>
          <w:sz w:val="24"/>
          <w:szCs w:val="24"/>
        </w:rPr>
        <w:t xml:space="preserve">aragraph 4. </w:t>
      </w:r>
    </w:p>
    <w:p w:rsidR="00F379DB" w:rsidRDefault="00F379DB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F379DB" w:rsidRDefault="00F379DB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5.</w:t>
      </w:r>
      <w:r>
        <w:rPr>
          <w:rFonts w:ascii="Palatino Linotype" w:hAnsi="Palatino Linotype" w:cs="Times New Roman"/>
          <w:sz w:val="24"/>
          <w:szCs w:val="24"/>
        </w:rPr>
        <w:tab/>
      </w:r>
      <w:r w:rsidRPr="00F379DB">
        <w:rPr>
          <w:rFonts w:ascii="Palatino Linotype" w:hAnsi="Palatino Linotype" w:cs="Times New Roman"/>
          <w:sz w:val="24"/>
          <w:szCs w:val="24"/>
        </w:rPr>
        <w:t>Columbia is without sufficient knowledge</w:t>
      </w:r>
      <w:r w:rsidR="002F74B7">
        <w:rPr>
          <w:rFonts w:ascii="Palatino Linotype" w:hAnsi="Palatino Linotype" w:cs="Times New Roman"/>
          <w:sz w:val="24"/>
          <w:szCs w:val="24"/>
        </w:rPr>
        <w:t xml:space="preserve"> to either admit or deny the allegation regarding communications between the Complainant and the Public Utilities Commission of Ohio</w:t>
      </w:r>
      <w:r>
        <w:rPr>
          <w:rFonts w:ascii="Palatino Linotype" w:hAnsi="Palatino Linotype" w:cs="Times New Roman"/>
          <w:sz w:val="24"/>
          <w:szCs w:val="24"/>
        </w:rPr>
        <w:t xml:space="preserve">. Columbia denies the remaining allegations of </w:t>
      </w:r>
      <w:r w:rsidR="00365EA4">
        <w:rPr>
          <w:rFonts w:ascii="Palatino Linotype" w:hAnsi="Palatino Linotype" w:cs="Times New Roman"/>
          <w:sz w:val="24"/>
          <w:szCs w:val="24"/>
        </w:rPr>
        <w:t>p</w:t>
      </w:r>
      <w:r w:rsidR="00A97251">
        <w:rPr>
          <w:rFonts w:ascii="Palatino Linotype" w:hAnsi="Palatino Linotype" w:cs="Times New Roman"/>
          <w:sz w:val="24"/>
          <w:szCs w:val="24"/>
        </w:rPr>
        <w:t>aragraph</w:t>
      </w:r>
      <w:r>
        <w:rPr>
          <w:rFonts w:ascii="Palatino Linotype" w:hAnsi="Palatino Linotype" w:cs="Times New Roman"/>
          <w:sz w:val="24"/>
          <w:szCs w:val="24"/>
        </w:rPr>
        <w:t xml:space="preserve"> 5.</w:t>
      </w:r>
    </w:p>
    <w:p w:rsidR="00F379DB" w:rsidRDefault="00F379DB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F379DB" w:rsidRDefault="00F379DB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6. </w:t>
      </w:r>
      <w:r w:rsidR="00BD1BD7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>Columbia denies the allegations c</w:t>
      </w:r>
      <w:r w:rsidR="00365EA4">
        <w:rPr>
          <w:rFonts w:ascii="Palatino Linotype" w:hAnsi="Palatino Linotype" w:cs="Times New Roman"/>
          <w:sz w:val="24"/>
          <w:szCs w:val="24"/>
        </w:rPr>
        <w:t>ontained in p</w:t>
      </w:r>
      <w:r w:rsidR="00946A96">
        <w:rPr>
          <w:rFonts w:ascii="Palatino Linotype" w:hAnsi="Palatino Linotype" w:cs="Times New Roman"/>
          <w:sz w:val="24"/>
          <w:szCs w:val="24"/>
        </w:rPr>
        <w:t xml:space="preserve">aragraphs 6 through </w:t>
      </w:r>
      <w:r>
        <w:rPr>
          <w:rFonts w:ascii="Palatino Linotype" w:hAnsi="Palatino Linotype" w:cs="Times New Roman"/>
          <w:sz w:val="24"/>
          <w:szCs w:val="24"/>
        </w:rPr>
        <w:t>11.</w:t>
      </w:r>
    </w:p>
    <w:p w:rsidR="00A97251" w:rsidRDefault="00A97251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06770D" w:rsidRDefault="00A97251" w:rsidP="00946A96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7. </w:t>
      </w:r>
      <w:r w:rsidR="00BD1BD7">
        <w:rPr>
          <w:rFonts w:ascii="Palatino Linotype" w:hAnsi="Palatino Linotype" w:cs="Times New Roman"/>
          <w:sz w:val="24"/>
          <w:szCs w:val="24"/>
        </w:rPr>
        <w:tab/>
        <w:t xml:space="preserve">Columbia </w:t>
      </w:r>
      <w:r w:rsidR="00F91D4F">
        <w:rPr>
          <w:rFonts w:ascii="Palatino Linotype" w:hAnsi="Palatino Linotype" w:cs="Times New Roman"/>
          <w:sz w:val="24"/>
          <w:szCs w:val="24"/>
        </w:rPr>
        <w:t>admits that it has sent the Complainant numerous written notifications requesting access to inspect his meter, pursuant to 49 CFR 192</w:t>
      </w:r>
      <w:r w:rsidR="0090524D">
        <w:rPr>
          <w:rFonts w:ascii="Palatino Linotype" w:hAnsi="Palatino Linotype" w:cs="Times New Roman"/>
          <w:sz w:val="24"/>
          <w:szCs w:val="24"/>
        </w:rPr>
        <w:t>,</w:t>
      </w:r>
      <w:r w:rsidR="00F91D4F">
        <w:rPr>
          <w:rFonts w:ascii="Palatino Linotype" w:hAnsi="Palatino Linotype" w:cs="Times New Roman"/>
          <w:sz w:val="24"/>
          <w:szCs w:val="24"/>
        </w:rPr>
        <w:t xml:space="preserve"> Ohio Adm. Code 4901:1-16-03</w:t>
      </w:r>
      <w:r w:rsidR="0090524D">
        <w:rPr>
          <w:rFonts w:ascii="Palatino Linotype" w:hAnsi="Palatino Linotype" w:cs="Times New Roman"/>
          <w:sz w:val="24"/>
          <w:szCs w:val="24"/>
        </w:rPr>
        <w:t>, and Ohio Adm. Code 4901:1-13-04(C)</w:t>
      </w:r>
      <w:r w:rsidR="008618C4">
        <w:rPr>
          <w:rFonts w:ascii="Palatino Linotype" w:hAnsi="Palatino Linotype" w:cs="Times New Roman"/>
          <w:sz w:val="24"/>
          <w:szCs w:val="24"/>
        </w:rPr>
        <w:t xml:space="preserve">. </w:t>
      </w:r>
      <w:r w:rsidR="00F91D4F">
        <w:rPr>
          <w:rFonts w:ascii="Palatino Linotype" w:hAnsi="Palatino Linotype" w:cs="Times New Roman"/>
          <w:sz w:val="24"/>
          <w:szCs w:val="24"/>
        </w:rPr>
        <w:t>Columbia avers that it may disconnect the Complainant’</w:t>
      </w:r>
      <w:r w:rsidR="0090524D">
        <w:rPr>
          <w:rFonts w:ascii="Palatino Linotype" w:hAnsi="Palatino Linotype" w:cs="Times New Roman"/>
          <w:sz w:val="24"/>
          <w:szCs w:val="24"/>
        </w:rPr>
        <w:t>s gas service for refusing Columbia access to read and inspect its meter and facilities pursuant to Ohio Adm. Code 4901:1-18-03(E)(1) and (</w:t>
      </w:r>
      <w:r w:rsidR="00CD5522">
        <w:rPr>
          <w:rFonts w:ascii="Palatino Linotype" w:hAnsi="Palatino Linotype" w:cs="Times New Roman"/>
          <w:sz w:val="24"/>
          <w:szCs w:val="24"/>
        </w:rPr>
        <w:t>2)</w:t>
      </w:r>
      <w:r w:rsidR="008618C4">
        <w:rPr>
          <w:rFonts w:ascii="Palatino Linotype" w:hAnsi="Palatino Linotype" w:cs="Times New Roman"/>
          <w:sz w:val="24"/>
          <w:szCs w:val="24"/>
        </w:rPr>
        <w:t>.</w:t>
      </w:r>
      <w:r w:rsidR="0090524D">
        <w:rPr>
          <w:rFonts w:ascii="Palatino Linotype" w:hAnsi="Palatino Linotype" w:cs="Times New Roman"/>
          <w:sz w:val="24"/>
          <w:szCs w:val="24"/>
        </w:rPr>
        <w:t xml:space="preserve"> Columbia further avers that</w:t>
      </w:r>
      <w:r w:rsidR="00F91D4F">
        <w:rPr>
          <w:rFonts w:ascii="Palatino Linotype" w:hAnsi="Palatino Linotype" w:cs="Times New Roman"/>
          <w:sz w:val="24"/>
          <w:szCs w:val="24"/>
        </w:rPr>
        <w:t>, pursuant to Ohio Adm. Code 4901-9-01(E), it will not disconnect the Complainant’s gas service during the pendency of this proceeding</w:t>
      </w:r>
      <w:r w:rsidR="00CD5522">
        <w:rPr>
          <w:rFonts w:ascii="Palatino Linotype" w:hAnsi="Palatino Linotype" w:cs="Times New Roman"/>
          <w:sz w:val="24"/>
          <w:szCs w:val="24"/>
        </w:rPr>
        <w:t xml:space="preserve"> if ordered to do so by the Commission</w:t>
      </w:r>
      <w:r w:rsidR="00F91D4F">
        <w:rPr>
          <w:rFonts w:ascii="Palatino Linotype" w:hAnsi="Palatino Linotype" w:cs="Times New Roman"/>
          <w:sz w:val="24"/>
          <w:szCs w:val="24"/>
        </w:rPr>
        <w:t xml:space="preserve">. Columbia </w:t>
      </w:r>
      <w:r w:rsidR="00BD1BD7">
        <w:rPr>
          <w:rFonts w:ascii="Palatino Linotype" w:hAnsi="Palatino Linotype" w:cs="Times New Roman"/>
          <w:sz w:val="24"/>
          <w:szCs w:val="24"/>
        </w:rPr>
        <w:t xml:space="preserve">denies the </w:t>
      </w:r>
      <w:r w:rsidR="00F91D4F">
        <w:rPr>
          <w:rFonts w:ascii="Palatino Linotype" w:hAnsi="Palatino Linotype" w:cs="Times New Roman"/>
          <w:sz w:val="24"/>
          <w:szCs w:val="24"/>
        </w:rPr>
        <w:t xml:space="preserve">remaining </w:t>
      </w:r>
      <w:r w:rsidR="00BD1BD7">
        <w:rPr>
          <w:rFonts w:ascii="Palatino Linotype" w:hAnsi="Palatino Linotype" w:cs="Times New Roman"/>
          <w:sz w:val="24"/>
          <w:szCs w:val="24"/>
        </w:rPr>
        <w:t xml:space="preserve">allegations contained in </w:t>
      </w:r>
      <w:r w:rsidR="00365EA4">
        <w:rPr>
          <w:rFonts w:ascii="Palatino Linotype" w:hAnsi="Palatino Linotype" w:cs="Times New Roman"/>
          <w:sz w:val="24"/>
          <w:szCs w:val="24"/>
        </w:rPr>
        <w:t>p</w:t>
      </w:r>
      <w:r w:rsidR="00BD1BD7">
        <w:rPr>
          <w:rFonts w:ascii="Palatino Linotype" w:hAnsi="Palatino Linotype" w:cs="Times New Roman"/>
          <w:sz w:val="24"/>
          <w:szCs w:val="24"/>
        </w:rPr>
        <w:t xml:space="preserve">aragraph 12. </w:t>
      </w:r>
    </w:p>
    <w:p w:rsidR="00946A96" w:rsidRPr="00DE0A84" w:rsidRDefault="00946A96" w:rsidP="00946A96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06770D" w:rsidRPr="00DE0A84" w:rsidRDefault="00946A96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8</w:t>
      </w:r>
      <w:r w:rsidR="0006770D" w:rsidRPr="00DE0A84">
        <w:rPr>
          <w:rFonts w:ascii="Palatino Linotype" w:hAnsi="Palatino Linotype" w:cs="Times New Roman"/>
          <w:sz w:val="24"/>
          <w:szCs w:val="24"/>
        </w:rPr>
        <w:t>.</w:t>
      </w:r>
      <w:r w:rsidR="0006770D" w:rsidRPr="00DE0A84">
        <w:rPr>
          <w:rFonts w:ascii="Palatino Linotype" w:hAnsi="Palatino Linotype" w:cs="Times New Roman"/>
          <w:sz w:val="24"/>
          <w:szCs w:val="24"/>
        </w:rPr>
        <w:tab/>
        <w:t>Columbia denies generally any allegations not specifically denied in this Answer, pursuant to Ohio Adm. Code 4901-9-01(D).</w:t>
      </w:r>
    </w:p>
    <w:p w:rsidR="00FC37F7" w:rsidRPr="00DE0A84" w:rsidRDefault="00FC37F7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FC37F7" w:rsidRPr="00DE0A84" w:rsidRDefault="00FC37F7" w:rsidP="00DE0A84">
      <w:pPr>
        <w:spacing w:after="0" w:line="240" w:lineRule="auto"/>
        <w:jc w:val="both"/>
        <w:rPr>
          <w:rFonts w:ascii="Palatino Linotype" w:hAnsi="Palatino Linotype" w:cs="Times New Roman"/>
          <w:spacing w:val="-12"/>
          <w:sz w:val="24"/>
          <w:szCs w:val="24"/>
        </w:rPr>
      </w:pPr>
      <w:r w:rsidRPr="00DE0A84">
        <w:rPr>
          <w:rFonts w:ascii="Palatino Linotype" w:hAnsi="Palatino Linotype" w:cs="Times New Roman"/>
          <w:b/>
          <w:spacing w:val="-12"/>
          <w:sz w:val="24"/>
          <w:szCs w:val="24"/>
          <w:u w:val="single"/>
        </w:rPr>
        <w:t>AFFIRMATIVE DEFENSES</w:t>
      </w:r>
    </w:p>
    <w:p w:rsidR="00FC37F7" w:rsidRPr="00DE0A84" w:rsidRDefault="00FC37F7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FC37F7" w:rsidRPr="00DE0A84" w:rsidRDefault="00BD1BD7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9</w:t>
      </w:r>
      <w:r w:rsidR="00FC37F7" w:rsidRPr="00DE0A84">
        <w:rPr>
          <w:rFonts w:ascii="Palatino Linotype" w:hAnsi="Palatino Linotype" w:cs="Times New Roman"/>
          <w:sz w:val="24"/>
          <w:szCs w:val="24"/>
        </w:rPr>
        <w:t>.</w:t>
      </w:r>
      <w:r w:rsidR="00FC37F7" w:rsidRPr="00DE0A84">
        <w:rPr>
          <w:rFonts w:ascii="Palatino Linotype" w:hAnsi="Palatino Linotype" w:cs="Times New Roman"/>
          <w:sz w:val="24"/>
          <w:szCs w:val="24"/>
        </w:rPr>
        <w:tab/>
        <w:t>Columbia avers that the Complainant has failed to state reasonable grounds for a complaint against Columbia, pursuant to R.C. 4905.26.</w:t>
      </w:r>
    </w:p>
    <w:p w:rsidR="00FC37F7" w:rsidRPr="00DE0A84" w:rsidRDefault="00FC37F7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FC37F7" w:rsidRPr="00DE0A84" w:rsidRDefault="00BD1BD7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10</w:t>
      </w:r>
      <w:r w:rsidR="00FC37F7" w:rsidRPr="00DE0A84">
        <w:rPr>
          <w:rFonts w:ascii="Palatino Linotype" w:hAnsi="Palatino Linotype" w:cs="Times New Roman"/>
          <w:sz w:val="24"/>
          <w:szCs w:val="24"/>
        </w:rPr>
        <w:t>.</w:t>
      </w:r>
      <w:r w:rsidR="00FC37F7" w:rsidRPr="00DE0A84">
        <w:rPr>
          <w:rFonts w:ascii="Palatino Linotype" w:hAnsi="Palatino Linotype" w:cs="Times New Roman"/>
          <w:sz w:val="24"/>
          <w:szCs w:val="24"/>
        </w:rPr>
        <w:tab/>
        <w:t>Columbia avers that it has complied wi</w:t>
      </w:r>
      <w:r w:rsidR="0006770D" w:rsidRPr="00DE0A84">
        <w:rPr>
          <w:rFonts w:ascii="Palatino Linotype" w:hAnsi="Palatino Linotype" w:cs="Times New Roman"/>
          <w:sz w:val="24"/>
          <w:szCs w:val="24"/>
        </w:rPr>
        <w:t>th all applicable Ohio statutes;</w:t>
      </w:r>
      <w:r w:rsidR="00FC37F7" w:rsidRPr="00DE0A84">
        <w:rPr>
          <w:rFonts w:ascii="Palatino Linotype" w:hAnsi="Palatino Linotype" w:cs="Times New Roman"/>
          <w:sz w:val="24"/>
          <w:szCs w:val="24"/>
        </w:rPr>
        <w:t xml:space="preserve"> the Commission’</w:t>
      </w:r>
      <w:r w:rsidR="0006770D" w:rsidRPr="00DE0A84">
        <w:rPr>
          <w:rFonts w:ascii="Palatino Linotype" w:hAnsi="Palatino Linotype" w:cs="Times New Roman"/>
          <w:sz w:val="24"/>
          <w:szCs w:val="24"/>
        </w:rPr>
        <w:t xml:space="preserve">s rules, </w:t>
      </w:r>
      <w:r w:rsidR="00FC37F7" w:rsidRPr="00DE0A84">
        <w:rPr>
          <w:rFonts w:ascii="Palatino Linotype" w:hAnsi="Palatino Linotype" w:cs="Times New Roman"/>
          <w:sz w:val="24"/>
          <w:szCs w:val="24"/>
        </w:rPr>
        <w:t>regulations</w:t>
      </w:r>
      <w:r w:rsidR="0006770D" w:rsidRPr="00DE0A84">
        <w:rPr>
          <w:rFonts w:ascii="Palatino Linotype" w:hAnsi="Palatino Linotype" w:cs="Times New Roman"/>
          <w:sz w:val="24"/>
          <w:szCs w:val="24"/>
        </w:rPr>
        <w:t xml:space="preserve"> and order;</w:t>
      </w:r>
      <w:r w:rsidR="00FC37F7" w:rsidRPr="00DE0A84">
        <w:rPr>
          <w:rFonts w:ascii="Palatino Linotype" w:hAnsi="Palatino Linotype" w:cs="Times New Roman"/>
          <w:sz w:val="24"/>
          <w:szCs w:val="24"/>
        </w:rPr>
        <w:t xml:space="preserve"> and Columbia’s tariff.</w:t>
      </w:r>
      <w:r w:rsidR="008618C4">
        <w:rPr>
          <w:rFonts w:ascii="Palatino Linotype" w:hAnsi="Palatino Linotype" w:cs="Times New Roman"/>
          <w:sz w:val="24"/>
          <w:szCs w:val="24"/>
        </w:rPr>
        <w:t xml:space="preserve"> </w:t>
      </w:r>
      <w:r w:rsidR="0006770D" w:rsidRPr="00DE0A84">
        <w:rPr>
          <w:rFonts w:ascii="Palatino Linotype" w:hAnsi="Palatino Linotype" w:cs="Times New Roman"/>
          <w:sz w:val="24"/>
          <w:szCs w:val="24"/>
        </w:rPr>
        <w:t>These statutes, rules, regulations, orders and tariff provisions bar Complainant’s claims.</w:t>
      </w:r>
    </w:p>
    <w:p w:rsidR="00FC37F7" w:rsidRPr="00DE0A84" w:rsidRDefault="00FC37F7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FC37F7" w:rsidRPr="00DE0A84" w:rsidRDefault="00BD1BD7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lastRenderedPageBreak/>
        <w:t>11</w:t>
      </w:r>
      <w:r w:rsidR="00FC37F7" w:rsidRPr="00DE0A84">
        <w:rPr>
          <w:rFonts w:ascii="Palatino Linotype" w:hAnsi="Palatino Linotype" w:cs="Times New Roman"/>
          <w:sz w:val="24"/>
          <w:szCs w:val="24"/>
        </w:rPr>
        <w:t>.</w:t>
      </w:r>
      <w:r w:rsidR="00FC37F7" w:rsidRPr="00DE0A84">
        <w:rPr>
          <w:rFonts w:ascii="Palatino Linotype" w:hAnsi="Palatino Linotype" w:cs="Times New Roman"/>
          <w:sz w:val="24"/>
          <w:szCs w:val="24"/>
        </w:rPr>
        <w:tab/>
        <w:t>Columbia reserves the right to raise other defenses as warranted by discovery in this matter.</w:t>
      </w:r>
    </w:p>
    <w:p w:rsidR="00AC4A29" w:rsidRPr="00DE0A84" w:rsidRDefault="00AC4A29" w:rsidP="00DE0A84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06770D" w:rsidRPr="00DE0A84" w:rsidRDefault="0006770D" w:rsidP="00DE0A84">
      <w:pPr>
        <w:spacing w:after="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>WHEREFORE, Columbia respectfully requests an Order dismissing the Complaint and granting Columbia all other necessary and proper relief.</w:t>
      </w:r>
    </w:p>
    <w:p w:rsidR="00FC37F7" w:rsidRPr="00DE0A84" w:rsidRDefault="00FC37F7" w:rsidP="00FC37F7">
      <w:pPr>
        <w:spacing w:after="0" w:line="240" w:lineRule="auto"/>
        <w:ind w:firstLine="720"/>
        <w:rPr>
          <w:rFonts w:ascii="Palatino Linotype" w:hAnsi="Palatino Linotype" w:cs="Times New Roman"/>
          <w:sz w:val="24"/>
          <w:szCs w:val="24"/>
        </w:rPr>
      </w:pPr>
    </w:p>
    <w:p w:rsidR="00FC37F7" w:rsidRPr="00DE0A84" w:rsidRDefault="00FC37F7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>Respectfully submitted by,</w:t>
      </w:r>
    </w:p>
    <w:p w:rsidR="00041623" w:rsidRPr="00DE0A84" w:rsidRDefault="00041623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</w:p>
    <w:p w:rsidR="00041623" w:rsidRPr="00DE0A84" w:rsidRDefault="00041623" w:rsidP="000335F6">
      <w:pPr>
        <w:spacing w:after="0" w:line="240" w:lineRule="auto"/>
        <w:ind w:left="4860"/>
        <w:rPr>
          <w:rFonts w:ascii="Palatino Linotype" w:hAnsi="Palatino Linotype" w:cs="Times New Roman"/>
          <w:b/>
          <w:sz w:val="24"/>
          <w:szCs w:val="24"/>
        </w:rPr>
      </w:pPr>
      <w:proofErr w:type="gramStart"/>
      <w:r w:rsidRPr="00DE0A84">
        <w:rPr>
          <w:rFonts w:ascii="Palatino Linotype" w:hAnsi="Palatino Linotype" w:cs="Times New Roman"/>
          <w:b/>
          <w:sz w:val="24"/>
          <w:szCs w:val="24"/>
        </w:rPr>
        <w:t>COLUMBIA GAS OF OHIO, INC.</w:t>
      </w:r>
      <w:proofErr w:type="gramEnd"/>
    </w:p>
    <w:p w:rsidR="00FC37F7" w:rsidRPr="00DE0A84" w:rsidRDefault="00FC37F7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</w:p>
    <w:p w:rsidR="00FC37F7" w:rsidRPr="00DE0A84" w:rsidRDefault="00FC37F7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  <w:u w:val="single"/>
        </w:rPr>
        <w:t>/s/ Melissa L. Thompson</w:t>
      </w:r>
      <w:r w:rsidRPr="00DE0A84">
        <w:rPr>
          <w:rFonts w:ascii="Palatino Linotype" w:hAnsi="Palatino Linotype" w:cs="Times New Roman"/>
          <w:sz w:val="24"/>
          <w:szCs w:val="24"/>
          <w:u w:val="single"/>
        </w:rPr>
        <w:tab/>
      </w:r>
      <w:r w:rsidRPr="00DE0A84">
        <w:rPr>
          <w:rFonts w:ascii="Palatino Linotype" w:hAnsi="Palatino Linotype" w:cs="Times New Roman"/>
          <w:sz w:val="24"/>
          <w:szCs w:val="24"/>
          <w:u w:val="single"/>
        </w:rPr>
        <w:tab/>
      </w:r>
    </w:p>
    <w:p w:rsidR="00FC37F7" w:rsidRPr="00DE0A84" w:rsidRDefault="00FC37F7" w:rsidP="00DE0A84">
      <w:pPr>
        <w:spacing w:after="0" w:line="240" w:lineRule="auto"/>
        <w:ind w:left="4860" w:right="-27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 xml:space="preserve">Melissa L. Thompson, </w:t>
      </w:r>
      <w:r w:rsidR="00041623" w:rsidRPr="00DE0A84">
        <w:rPr>
          <w:rFonts w:ascii="Palatino Linotype" w:hAnsi="Palatino Linotype" w:cs="Times New Roman"/>
          <w:sz w:val="24"/>
          <w:szCs w:val="24"/>
        </w:rPr>
        <w:t>Trial Attorney</w:t>
      </w:r>
    </w:p>
    <w:p w:rsidR="00FC37F7" w:rsidRPr="00DE0A84" w:rsidRDefault="00FC37F7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</w:p>
    <w:p w:rsidR="00FC37F7" w:rsidRPr="00DE0A84" w:rsidRDefault="00FC37F7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 xml:space="preserve">Stephen B. </w:t>
      </w:r>
      <w:proofErr w:type="spellStart"/>
      <w:r w:rsidRPr="00DE0A84">
        <w:rPr>
          <w:rFonts w:ascii="Palatino Linotype" w:hAnsi="Palatino Linotype" w:cs="Times New Roman"/>
          <w:sz w:val="24"/>
          <w:szCs w:val="24"/>
        </w:rPr>
        <w:t>Seiple</w:t>
      </w:r>
      <w:proofErr w:type="spellEnd"/>
      <w:r w:rsidR="00CD5522">
        <w:rPr>
          <w:rFonts w:ascii="Palatino Linotype" w:hAnsi="Palatino Linotype" w:cs="Times New Roman"/>
          <w:sz w:val="24"/>
          <w:szCs w:val="24"/>
        </w:rPr>
        <w:t xml:space="preserve"> (0003809)</w:t>
      </w:r>
    </w:p>
    <w:p w:rsidR="00FC37F7" w:rsidRPr="00DE0A84" w:rsidRDefault="00FC37F7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>Melissa L. Thompson</w:t>
      </w:r>
      <w:r w:rsidR="00CD5522">
        <w:rPr>
          <w:rFonts w:ascii="Palatino Linotype" w:hAnsi="Palatino Linotype" w:cs="Times New Roman"/>
          <w:sz w:val="24"/>
          <w:szCs w:val="24"/>
        </w:rPr>
        <w:t xml:space="preserve"> (0086367)</w:t>
      </w:r>
    </w:p>
    <w:p w:rsidR="00FC37F7" w:rsidRPr="00DE0A84" w:rsidRDefault="00FC37F7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>P.O. Box 117</w:t>
      </w:r>
    </w:p>
    <w:p w:rsidR="00FC37F7" w:rsidRPr="00DE0A84" w:rsidRDefault="00FC37F7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>200 Civic Center Drive</w:t>
      </w:r>
    </w:p>
    <w:p w:rsidR="00FC37F7" w:rsidRPr="00DE0A84" w:rsidRDefault="00FC37F7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>Columbus, Ohio 43216-0117</w:t>
      </w:r>
    </w:p>
    <w:p w:rsidR="00FC37F7" w:rsidRPr="00DE0A84" w:rsidRDefault="00FC37F7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>Telephone: (614) 460-4874</w:t>
      </w:r>
    </w:p>
    <w:p w:rsidR="00FC37F7" w:rsidRPr="00DE0A84" w:rsidRDefault="00041623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>Facsimile:  (614) 460-6986</w:t>
      </w:r>
    </w:p>
    <w:p w:rsidR="00041623" w:rsidRDefault="00DE0A84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E-mail: m</w:t>
      </w:r>
      <w:r w:rsidR="00041623" w:rsidRPr="00DE0A84">
        <w:rPr>
          <w:rFonts w:ascii="Palatino Linotype" w:hAnsi="Palatino Linotype" w:cs="Times New Roman"/>
          <w:sz w:val="24"/>
          <w:szCs w:val="24"/>
        </w:rPr>
        <w:t>lthompson@nisource.com</w:t>
      </w:r>
    </w:p>
    <w:p w:rsidR="00CD5522" w:rsidRPr="00DE0A84" w:rsidRDefault="00CD5522" w:rsidP="000335F6">
      <w:pPr>
        <w:spacing w:after="0" w:line="240" w:lineRule="auto"/>
        <w:ind w:left="486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  <w:t xml:space="preserve">           sseiple@nisource.com</w:t>
      </w:r>
    </w:p>
    <w:p w:rsidR="00041623" w:rsidRPr="00DE0A84" w:rsidRDefault="00041623" w:rsidP="00041623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041623" w:rsidRDefault="00041623" w:rsidP="00041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1623" w:rsidSect="00DE0A84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41623" w:rsidRPr="00DE0A84" w:rsidRDefault="00041623" w:rsidP="00041623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b/>
          <w:sz w:val="24"/>
          <w:szCs w:val="24"/>
        </w:rPr>
        <w:lastRenderedPageBreak/>
        <w:t>CERTIFICATE OF SERVICE</w:t>
      </w:r>
    </w:p>
    <w:p w:rsidR="00041623" w:rsidRPr="00DE0A84" w:rsidRDefault="00041623" w:rsidP="00041623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041623" w:rsidRPr="00DE0A84" w:rsidRDefault="00041623" w:rsidP="00DE0A84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ab/>
        <w:t xml:space="preserve">I hereby certify that I have served a copy of the foregoing Answer of Columbia Gas of Ohio, Inc. by ordinary U.S. mail, postage prepaid, to the following this </w:t>
      </w:r>
      <w:r w:rsidR="00CD5522">
        <w:rPr>
          <w:rFonts w:ascii="Palatino Linotype" w:hAnsi="Palatino Linotype" w:cs="Times New Roman"/>
          <w:sz w:val="24"/>
          <w:szCs w:val="24"/>
        </w:rPr>
        <w:t>2</w:t>
      </w:r>
      <w:r w:rsidR="00147AA3">
        <w:rPr>
          <w:rFonts w:ascii="Palatino Linotype" w:hAnsi="Palatino Linotype" w:cs="Times New Roman"/>
          <w:sz w:val="24"/>
          <w:szCs w:val="24"/>
        </w:rPr>
        <w:t>nd</w:t>
      </w:r>
      <w:r w:rsidRPr="00DE0A84">
        <w:rPr>
          <w:rFonts w:ascii="Palatino Linotype" w:hAnsi="Palatino Linotype" w:cs="Times New Roman"/>
          <w:sz w:val="24"/>
          <w:szCs w:val="24"/>
        </w:rPr>
        <w:t xml:space="preserve"> day of </w:t>
      </w:r>
      <w:r w:rsidR="00CD5522">
        <w:rPr>
          <w:rFonts w:ascii="Palatino Linotype" w:hAnsi="Palatino Linotype" w:cs="Times New Roman"/>
          <w:sz w:val="24"/>
          <w:szCs w:val="24"/>
        </w:rPr>
        <w:t>April</w:t>
      </w:r>
      <w:r w:rsidRPr="00DE0A84">
        <w:rPr>
          <w:rFonts w:ascii="Palatino Linotype" w:hAnsi="Palatino Linotype" w:cs="Times New Roman"/>
          <w:sz w:val="24"/>
          <w:szCs w:val="24"/>
        </w:rPr>
        <w:t>, 2014:</w:t>
      </w:r>
    </w:p>
    <w:p w:rsidR="00041623" w:rsidRPr="00DE0A84" w:rsidRDefault="00041623" w:rsidP="00041623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041623" w:rsidRDefault="00F24AA5" w:rsidP="00041623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Jon Cook</w:t>
      </w:r>
    </w:p>
    <w:p w:rsidR="00F24AA5" w:rsidRDefault="00F24AA5" w:rsidP="00041623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1225 N. Limestone St.</w:t>
      </w:r>
    </w:p>
    <w:p w:rsidR="00F24AA5" w:rsidRPr="00DE0A84" w:rsidRDefault="00F24AA5" w:rsidP="00041623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Springfield, </w:t>
      </w:r>
      <w:bookmarkStart w:id="0" w:name="_GoBack"/>
      <w:bookmarkEnd w:id="0"/>
      <w:r>
        <w:rPr>
          <w:rFonts w:ascii="Palatino Linotype" w:hAnsi="Palatino Linotype" w:cs="Times New Roman"/>
          <w:sz w:val="24"/>
          <w:szCs w:val="24"/>
        </w:rPr>
        <w:t>OH 45503</w:t>
      </w:r>
    </w:p>
    <w:p w:rsidR="00041623" w:rsidRPr="00DE0A84" w:rsidRDefault="00041623" w:rsidP="00041623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041623" w:rsidRPr="00DE0A84" w:rsidRDefault="00041623" w:rsidP="00DE0A84">
      <w:pPr>
        <w:spacing w:after="0" w:line="240" w:lineRule="auto"/>
        <w:ind w:left="5040" w:right="-18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  <w:u w:val="single"/>
        </w:rPr>
        <w:t>/s/ Melissa L. Thompson</w:t>
      </w:r>
      <w:r w:rsidRPr="00DE0A84">
        <w:rPr>
          <w:rFonts w:ascii="Palatino Linotype" w:hAnsi="Palatino Linotype" w:cs="Times New Roman"/>
          <w:sz w:val="24"/>
          <w:szCs w:val="24"/>
          <w:u w:val="single"/>
        </w:rPr>
        <w:tab/>
      </w:r>
    </w:p>
    <w:p w:rsidR="00041623" w:rsidRPr="00DE0A84" w:rsidRDefault="00041623" w:rsidP="00041623">
      <w:pPr>
        <w:spacing w:after="0" w:line="240" w:lineRule="auto"/>
        <w:ind w:left="5040"/>
        <w:rPr>
          <w:rFonts w:ascii="Palatino Linotype" w:hAnsi="Palatino Linotype" w:cs="Times New Roman"/>
          <w:sz w:val="24"/>
          <w:szCs w:val="24"/>
        </w:rPr>
      </w:pPr>
      <w:r w:rsidRPr="00DE0A84">
        <w:rPr>
          <w:rFonts w:ascii="Palatino Linotype" w:hAnsi="Palatino Linotype" w:cs="Times New Roman"/>
          <w:sz w:val="24"/>
          <w:szCs w:val="24"/>
        </w:rPr>
        <w:t>Melissa L. Thompson</w:t>
      </w:r>
    </w:p>
    <w:p w:rsidR="00041623" w:rsidRPr="00DE0A84" w:rsidRDefault="00041623" w:rsidP="00041623">
      <w:pPr>
        <w:spacing w:after="0" w:line="240" w:lineRule="auto"/>
        <w:ind w:left="5040"/>
        <w:rPr>
          <w:rFonts w:ascii="Palatino Linotype" w:hAnsi="Palatino Linotype" w:cs="Times New Roman"/>
          <w:sz w:val="24"/>
          <w:szCs w:val="24"/>
        </w:rPr>
      </w:pPr>
    </w:p>
    <w:p w:rsidR="00041623" w:rsidRPr="00DE0A84" w:rsidRDefault="00041623" w:rsidP="00041623">
      <w:pPr>
        <w:spacing w:after="0" w:line="240" w:lineRule="auto"/>
        <w:ind w:left="5040"/>
        <w:rPr>
          <w:rFonts w:ascii="Palatino Linotype" w:hAnsi="Palatino Linotype" w:cs="Times New Roman"/>
          <w:b/>
          <w:sz w:val="24"/>
          <w:szCs w:val="24"/>
        </w:rPr>
      </w:pPr>
      <w:r w:rsidRPr="00DE0A84">
        <w:rPr>
          <w:rFonts w:ascii="Palatino Linotype" w:hAnsi="Palatino Linotype" w:cs="Times New Roman"/>
          <w:b/>
          <w:sz w:val="24"/>
          <w:szCs w:val="24"/>
        </w:rPr>
        <w:t>Attorney for</w:t>
      </w:r>
    </w:p>
    <w:p w:rsidR="00041623" w:rsidRPr="00DE0A84" w:rsidRDefault="00041623" w:rsidP="00DE0A84">
      <w:pPr>
        <w:spacing w:after="0" w:line="240" w:lineRule="auto"/>
        <w:ind w:left="5040" w:right="-360"/>
        <w:rPr>
          <w:rFonts w:ascii="Palatino Linotype" w:hAnsi="Palatino Linotype" w:cs="Times New Roman"/>
          <w:b/>
          <w:sz w:val="24"/>
          <w:szCs w:val="24"/>
        </w:rPr>
      </w:pPr>
      <w:proofErr w:type="gramStart"/>
      <w:r w:rsidRPr="00DE0A84">
        <w:rPr>
          <w:rFonts w:ascii="Palatino Linotype" w:hAnsi="Palatino Linotype" w:cs="Times New Roman"/>
          <w:b/>
          <w:sz w:val="24"/>
          <w:szCs w:val="24"/>
        </w:rPr>
        <w:t>COLUMBIA GAS OF OHIO, INC.</w:t>
      </w:r>
      <w:proofErr w:type="gramEnd"/>
    </w:p>
    <w:p w:rsidR="00FC37F7" w:rsidRPr="00DE0A84" w:rsidRDefault="00FC37F7" w:rsidP="00FC37F7">
      <w:pPr>
        <w:spacing w:after="0" w:line="240" w:lineRule="auto"/>
        <w:ind w:left="5040"/>
        <w:rPr>
          <w:rFonts w:ascii="Palatino Linotype" w:hAnsi="Palatino Linotype" w:cs="Times New Roman"/>
          <w:sz w:val="24"/>
          <w:szCs w:val="24"/>
        </w:rPr>
      </w:pPr>
    </w:p>
    <w:p w:rsidR="002B5D7C" w:rsidRPr="00DE0A84" w:rsidRDefault="002B5D7C" w:rsidP="00A438C0">
      <w:pPr>
        <w:spacing w:after="0" w:line="240" w:lineRule="auto"/>
        <w:ind w:firstLine="720"/>
        <w:rPr>
          <w:rFonts w:ascii="Palatino Linotype" w:hAnsi="Palatino Linotype" w:cs="Times New Roman"/>
          <w:sz w:val="24"/>
          <w:szCs w:val="24"/>
        </w:rPr>
      </w:pPr>
    </w:p>
    <w:p w:rsidR="002B5D7C" w:rsidRPr="00DE0A84" w:rsidRDefault="002B5D7C" w:rsidP="00A438C0">
      <w:pPr>
        <w:spacing w:after="0" w:line="240" w:lineRule="auto"/>
        <w:ind w:firstLine="720"/>
        <w:rPr>
          <w:rFonts w:ascii="Palatino Linotype" w:hAnsi="Palatino Linotype" w:cs="Times New Roman"/>
          <w:sz w:val="24"/>
          <w:szCs w:val="24"/>
        </w:rPr>
      </w:pPr>
    </w:p>
    <w:sectPr w:rsidR="002B5D7C" w:rsidRPr="00DE0A84" w:rsidSect="00DE0A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4E8"/>
    <w:multiLevelType w:val="hybridMultilevel"/>
    <w:tmpl w:val="EEBE7912"/>
    <w:lvl w:ilvl="0" w:tplc="2922492E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C0"/>
    <w:rsid w:val="000335F6"/>
    <w:rsid w:val="00041623"/>
    <w:rsid w:val="00046DBE"/>
    <w:rsid w:val="0006770D"/>
    <w:rsid w:val="000808A2"/>
    <w:rsid w:val="000870BD"/>
    <w:rsid w:val="000A5B32"/>
    <w:rsid w:val="00147AA3"/>
    <w:rsid w:val="001743E0"/>
    <w:rsid w:val="00190145"/>
    <w:rsid w:val="001B3766"/>
    <w:rsid w:val="001B50FF"/>
    <w:rsid w:val="001C0144"/>
    <w:rsid w:val="001C69F3"/>
    <w:rsid w:val="00215B64"/>
    <w:rsid w:val="0022672B"/>
    <w:rsid w:val="00235816"/>
    <w:rsid w:val="00243A14"/>
    <w:rsid w:val="002A5115"/>
    <w:rsid w:val="002B5D7C"/>
    <w:rsid w:val="002F74B7"/>
    <w:rsid w:val="00363D9B"/>
    <w:rsid w:val="00365EA4"/>
    <w:rsid w:val="00390C80"/>
    <w:rsid w:val="00393C5F"/>
    <w:rsid w:val="0059165C"/>
    <w:rsid w:val="005D3949"/>
    <w:rsid w:val="005F568C"/>
    <w:rsid w:val="00686AFE"/>
    <w:rsid w:val="006B0301"/>
    <w:rsid w:val="00707683"/>
    <w:rsid w:val="00820457"/>
    <w:rsid w:val="008618C4"/>
    <w:rsid w:val="008974D7"/>
    <w:rsid w:val="008A7ABF"/>
    <w:rsid w:val="008E656E"/>
    <w:rsid w:val="00902A25"/>
    <w:rsid w:val="0090524D"/>
    <w:rsid w:val="009327C6"/>
    <w:rsid w:val="00946A96"/>
    <w:rsid w:val="009A5C90"/>
    <w:rsid w:val="00A32409"/>
    <w:rsid w:val="00A438C0"/>
    <w:rsid w:val="00A97251"/>
    <w:rsid w:val="00AC4A29"/>
    <w:rsid w:val="00AF34C5"/>
    <w:rsid w:val="00B117FD"/>
    <w:rsid w:val="00BD1BD7"/>
    <w:rsid w:val="00BD3B5C"/>
    <w:rsid w:val="00CB3E4C"/>
    <w:rsid w:val="00CD5522"/>
    <w:rsid w:val="00CF495B"/>
    <w:rsid w:val="00D05948"/>
    <w:rsid w:val="00DE0A84"/>
    <w:rsid w:val="00E76069"/>
    <w:rsid w:val="00ED4E62"/>
    <w:rsid w:val="00F22C7A"/>
    <w:rsid w:val="00F23D06"/>
    <w:rsid w:val="00F24AA5"/>
    <w:rsid w:val="00F379DB"/>
    <w:rsid w:val="00F677D1"/>
    <w:rsid w:val="00F91D4F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8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A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1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8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A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1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4472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\ Melissa \ Lynn</dc:creator>
  <cp:lastModifiedBy>MLThompson</cp:lastModifiedBy>
  <cp:revision>10</cp:revision>
  <cp:lastPrinted>2014-04-02T13:42:00Z</cp:lastPrinted>
  <dcterms:created xsi:type="dcterms:W3CDTF">2014-03-20T23:15:00Z</dcterms:created>
  <dcterms:modified xsi:type="dcterms:W3CDTF">2014-04-02T18:15:00Z</dcterms:modified>
</cp:coreProperties>
</file>