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69F07" w14:textId="77777777" w:rsidR="00DC3D9B" w:rsidRDefault="00DC3D9B" w:rsidP="00DC3D9B">
      <w:pPr>
        <w:jc w:val="center"/>
        <w:rPr>
          <w:b/>
        </w:rPr>
      </w:pPr>
      <w:r>
        <w:rPr>
          <w:b/>
        </w:rPr>
        <w:t>BEFORE</w:t>
      </w:r>
    </w:p>
    <w:p w14:paraId="27CFB7FF" w14:textId="77777777" w:rsidR="00DC3D9B" w:rsidRDefault="00DC3D9B" w:rsidP="00DC3D9B">
      <w:pPr>
        <w:jc w:val="center"/>
        <w:rPr>
          <w:b/>
        </w:rPr>
      </w:pPr>
      <w:r>
        <w:rPr>
          <w:b/>
        </w:rPr>
        <w:t>THE PUBLIC UTILITIES COMMISSION OF OHIO</w:t>
      </w:r>
    </w:p>
    <w:p w14:paraId="66D26D0E" w14:textId="77777777" w:rsidR="00DC3D9B" w:rsidRDefault="00DC3D9B" w:rsidP="00DC3D9B">
      <w:pPr>
        <w:jc w:val="center"/>
        <w:rPr>
          <w:b/>
        </w:rPr>
      </w:pPr>
    </w:p>
    <w:p w14:paraId="31AE8D80" w14:textId="77777777" w:rsidR="00DC3D9B" w:rsidRDefault="00DC3D9B" w:rsidP="00DC3D9B">
      <w:pPr>
        <w:jc w:val="center"/>
        <w:rPr>
          <w:b/>
        </w:rPr>
      </w:pPr>
    </w:p>
    <w:p w14:paraId="1077320F" w14:textId="77777777" w:rsidR="00DC3D9B" w:rsidRDefault="00C204CC" w:rsidP="00DC3D9B">
      <w:r>
        <w:t>In the Matter of the Commission’s</w:t>
      </w:r>
      <w:r>
        <w:tab/>
      </w:r>
      <w:r>
        <w:tab/>
        <w:t>)</w:t>
      </w:r>
      <w:r>
        <w:tab/>
      </w:r>
    </w:p>
    <w:p w14:paraId="47C812A9" w14:textId="77777777" w:rsidR="00C204CC" w:rsidRDefault="00C204CC" w:rsidP="00DC3D9B">
      <w:r>
        <w:t>Investigation of Submetering in the</w:t>
      </w:r>
      <w:r>
        <w:tab/>
        <w:t>)</w:t>
      </w:r>
      <w:r w:rsidR="00680121">
        <w:tab/>
      </w:r>
      <w:r w:rsidR="00DF5FD5">
        <w:tab/>
      </w:r>
      <w:r w:rsidR="00680121">
        <w:t>Case No. 15-1594-AU-COI</w:t>
      </w:r>
    </w:p>
    <w:p w14:paraId="6180B37C" w14:textId="77777777" w:rsidR="00C204CC" w:rsidRDefault="00C204CC" w:rsidP="00DC3D9B">
      <w:r>
        <w:t>State of Ohio</w:t>
      </w:r>
      <w:r w:rsidR="00AB2279">
        <w:t>.</w:t>
      </w:r>
      <w:r w:rsidR="00AB2279">
        <w:tab/>
      </w:r>
      <w:r w:rsidR="00AB2279">
        <w:tab/>
      </w:r>
      <w:r w:rsidR="00AB2279">
        <w:tab/>
      </w:r>
      <w:r w:rsidR="00AB2279">
        <w:tab/>
        <w:t>)</w:t>
      </w:r>
    </w:p>
    <w:p w14:paraId="217290F0" w14:textId="77777777" w:rsidR="00DC3D9B" w:rsidRDefault="00DC3D9B" w:rsidP="00DC3D9B">
      <w:pPr>
        <w:rPr>
          <w:b/>
        </w:rPr>
      </w:pPr>
    </w:p>
    <w:p w14:paraId="432F0873" w14:textId="77777777" w:rsidR="00DC3D9B" w:rsidRDefault="00DC3D9B" w:rsidP="00DC3D9B">
      <w:r>
        <w:t>______________________________________________________________________</w:t>
      </w:r>
    </w:p>
    <w:p w14:paraId="7E6405A1" w14:textId="77777777" w:rsidR="00DC3D9B" w:rsidRDefault="00DC3D9B" w:rsidP="00DC3D9B"/>
    <w:p w14:paraId="5E38FA3B" w14:textId="77777777" w:rsidR="00DC3D9B" w:rsidRDefault="00DC3D9B" w:rsidP="00DC3D9B">
      <w:pPr>
        <w:jc w:val="center"/>
        <w:rPr>
          <w:rFonts w:ascii="Arial Bold" w:hAnsi="Arial Bold"/>
          <w:b/>
          <w:caps/>
          <w:sz w:val="28"/>
          <w:szCs w:val="28"/>
        </w:rPr>
      </w:pPr>
      <w:r>
        <w:rPr>
          <w:rFonts w:ascii="Arial Bold" w:hAnsi="Arial Bold"/>
          <w:b/>
          <w:caps/>
          <w:sz w:val="28"/>
          <w:szCs w:val="28"/>
        </w:rPr>
        <w:t>Initial Comments of</w:t>
      </w:r>
    </w:p>
    <w:p w14:paraId="4AE4964E" w14:textId="77777777" w:rsidR="00DC3D9B" w:rsidRDefault="00DC3D9B" w:rsidP="00DC3D9B">
      <w:pPr>
        <w:jc w:val="center"/>
        <w:rPr>
          <w:rFonts w:ascii="Arial Bold" w:hAnsi="Arial Bold"/>
          <w:b/>
          <w:caps/>
        </w:rPr>
      </w:pPr>
      <w:r>
        <w:rPr>
          <w:rFonts w:ascii="Arial Bold" w:hAnsi="Arial Bold"/>
          <w:b/>
          <w:caps/>
          <w:sz w:val="28"/>
          <w:szCs w:val="28"/>
        </w:rPr>
        <w:t>Industrial Energy Users-Ohio</w:t>
      </w:r>
    </w:p>
    <w:p w14:paraId="3E670541" w14:textId="77777777" w:rsidR="00DC3D9B" w:rsidRDefault="00DC3D9B" w:rsidP="00DC3D9B">
      <w:r>
        <w:t>______________________________________________________________________</w:t>
      </w:r>
    </w:p>
    <w:p w14:paraId="11415D11" w14:textId="77777777" w:rsidR="00DC3D9B" w:rsidRDefault="00DC3D9B" w:rsidP="00DC3D9B"/>
    <w:p w14:paraId="139C0F79" w14:textId="77777777" w:rsidR="00DC3D9B" w:rsidRDefault="00DC3D9B" w:rsidP="00DC3D9B">
      <w:pPr>
        <w:widowControl w:val="0"/>
        <w:ind w:left="4320"/>
        <w:rPr>
          <w:rFonts w:eastAsia="Calibri" w:cs="Arial"/>
          <w:bCs/>
        </w:rPr>
      </w:pPr>
    </w:p>
    <w:p w14:paraId="650A5492" w14:textId="77777777" w:rsidR="00DC3D9B" w:rsidRDefault="00DC3D9B" w:rsidP="00DC3D9B">
      <w:pPr>
        <w:widowControl w:val="0"/>
        <w:ind w:left="4320"/>
        <w:rPr>
          <w:rFonts w:eastAsia="Calibri" w:cs="Arial"/>
          <w:bCs/>
        </w:rPr>
      </w:pPr>
    </w:p>
    <w:p w14:paraId="585B470B" w14:textId="77777777" w:rsidR="00DC3D9B" w:rsidRDefault="00DC3D9B" w:rsidP="00DC3D9B">
      <w:pPr>
        <w:widowControl w:val="0"/>
        <w:ind w:left="4320"/>
        <w:rPr>
          <w:rFonts w:eastAsia="Calibri" w:cs="Arial"/>
          <w:bCs/>
        </w:rPr>
      </w:pPr>
    </w:p>
    <w:p w14:paraId="40C16150" w14:textId="77777777" w:rsidR="00DC3D9B" w:rsidRDefault="00DC3D9B" w:rsidP="00DC3D9B">
      <w:pPr>
        <w:widowControl w:val="0"/>
        <w:ind w:left="4320"/>
        <w:rPr>
          <w:rFonts w:eastAsia="Calibri" w:cs="Arial"/>
          <w:bCs/>
        </w:rPr>
      </w:pPr>
    </w:p>
    <w:p w14:paraId="55BF1E9E" w14:textId="77777777" w:rsidR="00DC3D9B" w:rsidRDefault="00DC3D9B" w:rsidP="00DC3D9B">
      <w:pPr>
        <w:widowControl w:val="0"/>
        <w:ind w:left="4320"/>
        <w:rPr>
          <w:rFonts w:eastAsia="Calibri" w:cs="Arial"/>
          <w:bCs/>
        </w:rPr>
      </w:pPr>
    </w:p>
    <w:p w14:paraId="20066419" w14:textId="77777777" w:rsidR="00DC3D9B" w:rsidRDefault="00DC3D9B" w:rsidP="00DC3D9B">
      <w:pPr>
        <w:widowControl w:val="0"/>
        <w:ind w:left="4320"/>
        <w:rPr>
          <w:rFonts w:eastAsia="Calibri" w:cs="Arial"/>
          <w:bCs/>
        </w:rPr>
      </w:pPr>
    </w:p>
    <w:p w14:paraId="303ADE9C" w14:textId="77777777" w:rsidR="00DC3D9B" w:rsidRDefault="00DC3D9B" w:rsidP="00DC3D9B">
      <w:pPr>
        <w:widowControl w:val="0"/>
        <w:ind w:left="4320"/>
        <w:rPr>
          <w:rFonts w:eastAsia="Calibri" w:cs="Arial"/>
          <w:bCs/>
        </w:rPr>
      </w:pPr>
    </w:p>
    <w:p w14:paraId="5D7AE41B" w14:textId="77777777" w:rsidR="00DC3D9B" w:rsidRDefault="00DC3D9B" w:rsidP="00DC3D9B">
      <w:pPr>
        <w:widowControl w:val="0"/>
        <w:ind w:left="4320"/>
        <w:rPr>
          <w:rFonts w:eastAsia="Calibri" w:cs="Arial"/>
          <w:bCs/>
        </w:rPr>
      </w:pPr>
    </w:p>
    <w:p w14:paraId="4E8DCD0E" w14:textId="77777777" w:rsidR="00DC3D9B" w:rsidRDefault="00DC3D9B" w:rsidP="00DC3D9B">
      <w:pPr>
        <w:widowControl w:val="0"/>
        <w:ind w:left="4320"/>
        <w:rPr>
          <w:rFonts w:eastAsia="Calibri" w:cs="Arial"/>
          <w:bCs/>
        </w:rPr>
      </w:pPr>
    </w:p>
    <w:p w14:paraId="3100657B" w14:textId="77777777" w:rsidR="00DC3D9B" w:rsidRDefault="00DC3D9B" w:rsidP="00DC3D9B">
      <w:pPr>
        <w:widowControl w:val="0"/>
        <w:ind w:left="4320"/>
        <w:rPr>
          <w:rFonts w:eastAsia="Calibri" w:cs="Arial"/>
          <w:bCs/>
        </w:rPr>
      </w:pPr>
    </w:p>
    <w:p w14:paraId="7741FFE3" w14:textId="77777777" w:rsidR="00DC3D9B" w:rsidRDefault="00DC3D9B" w:rsidP="00DC3D9B">
      <w:pPr>
        <w:widowControl w:val="0"/>
        <w:ind w:left="4320"/>
        <w:rPr>
          <w:rFonts w:eastAsia="Calibri" w:cs="Arial"/>
          <w:bCs/>
        </w:rPr>
      </w:pPr>
    </w:p>
    <w:p w14:paraId="3A02B05C" w14:textId="77777777" w:rsidR="00DC3D9B" w:rsidRDefault="00DC3D9B" w:rsidP="00DC3D9B">
      <w:pPr>
        <w:widowControl w:val="0"/>
        <w:ind w:left="4320"/>
        <w:rPr>
          <w:rFonts w:eastAsia="Calibri" w:cs="Arial"/>
          <w:bCs/>
        </w:rPr>
      </w:pPr>
    </w:p>
    <w:p w14:paraId="14348DDE" w14:textId="77777777" w:rsidR="003744E5" w:rsidRDefault="003744E5" w:rsidP="00DC3D9B">
      <w:pPr>
        <w:widowControl w:val="0"/>
        <w:ind w:left="4320"/>
        <w:rPr>
          <w:rFonts w:eastAsia="Calibri" w:cs="Arial"/>
          <w:bCs/>
        </w:rPr>
      </w:pPr>
    </w:p>
    <w:p w14:paraId="3F334C53" w14:textId="77777777" w:rsidR="003744E5" w:rsidRDefault="003744E5" w:rsidP="00DC3D9B">
      <w:pPr>
        <w:widowControl w:val="0"/>
        <w:ind w:left="4320"/>
        <w:rPr>
          <w:rFonts w:eastAsia="Calibri" w:cs="Arial"/>
          <w:bCs/>
        </w:rPr>
      </w:pPr>
    </w:p>
    <w:p w14:paraId="2E03DB5A" w14:textId="77777777" w:rsidR="003744E5" w:rsidRDefault="003744E5" w:rsidP="00DC3D9B">
      <w:pPr>
        <w:widowControl w:val="0"/>
        <w:ind w:left="4320"/>
        <w:rPr>
          <w:rFonts w:eastAsia="Calibri" w:cs="Arial"/>
          <w:bCs/>
        </w:rPr>
      </w:pPr>
    </w:p>
    <w:p w14:paraId="6502E54F" w14:textId="77777777" w:rsidR="003744E5" w:rsidRDefault="003744E5" w:rsidP="00DC3D9B">
      <w:pPr>
        <w:widowControl w:val="0"/>
        <w:ind w:left="4320"/>
        <w:rPr>
          <w:rFonts w:eastAsia="Calibri" w:cs="Arial"/>
          <w:bCs/>
        </w:rPr>
      </w:pPr>
    </w:p>
    <w:p w14:paraId="3B23EAD4" w14:textId="77777777" w:rsidR="00DC3D9B" w:rsidRDefault="00DC3D9B" w:rsidP="00DC3D9B">
      <w:pPr>
        <w:widowControl w:val="0"/>
        <w:ind w:left="4320"/>
        <w:rPr>
          <w:rFonts w:eastAsia="Calibri" w:cs="Arial"/>
          <w:bCs/>
        </w:rPr>
      </w:pPr>
    </w:p>
    <w:p w14:paraId="6BF4ACC4" w14:textId="77777777" w:rsidR="00DC3D9B" w:rsidRDefault="00DC3D9B" w:rsidP="00DC3D9B">
      <w:pPr>
        <w:widowControl w:val="0"/>
        <w:ind w:left="4320"/>
        <w:rPr>
          <w:rFonts w:eastAsia="Calibri" w:cs="Arial"/>
          <w:bCs/>
        </w:rPr>
      </w:pPr>
    </w:p>
    <w:p w14:paraId="2494CEAB" w14:textId="77777777" w:rsidR="00DC3D9B" w:rsidRDefault="00DC3D9B" w:rsidP="00DC3D9B">
      <w:pPr>
        <w:widowControl w:val="0"/>
        <w:ind w:left="4320"/>
        <w:rPr>
          <w:rFonts w:eastAsia="Calibri" w:cs="Arial"/>
          <w:bCs/>
        </w:rPr>
      </w:pPr>
      <w:r>
        <w:rPr>
          <w:rFonts w:eastAsia="Calibri" w:cs="Arial"/>
          <w:bCs/>
        </w:rPr>
        <w:t>Frank P. Darr (Reg. No. 0025469)</w:t>
      </w:r>
    </w:p>
    <w:p w14:paraId="7BC94C83" w14:textId="77777777" w:rsidR="00DC3D9B" w:rsidRDefault="00DC3D9B" w:rsidP="00DC3D9B">
      <w:pPr>
        <w:widowControl w:val="0"/>
        <w:ind w:left="4320"/>
        <w:rPr>
          <w:rFonts w:eastAsia="Calibri" w:cs="Arial"/>
          <w:bCs/>
        </w:rPr>
      </w:pPr>
      <w:r>
        <w:rPr>
          <w:rFonts w:eastAsia="Calibri" w:cs="Arial"/>
          <w:bCs/>
        </w:rPr>
        <w:t>(Counsel of Record)</w:t>
      </w:r>
    </w:p>
    <w:p w14:paraId="748927FC" w14:textId="77777777" w:rsidR="00DC3D9B" w:rsidRDefault="00DC3D9B" w:rsidP="00DC3D9B">
      <w:pPr>
        <w:widowControl w:val="0"/>
        <w:ind w:left="4320"/>
        <w:rPr>
          <w:rFonts w:eastAsia="Calibri" w:cs="Arial"/>
          <w:b/>
          <w:bCs/>
        </w:rPr>
      </w:pPr>
      <w:r>
        <w:rPr>
          <w:rFonts w:eastAsia="Calibri" w:cs="Arial"/>
          <w:bCs/>
        </w:rPr>
        <w:t>Matthew R. Pritchard (Reg. No. 0088070)</w:t>
      </w:r>
    </w:p>
    <w:p w14:paraId="4CCFEC0D" w14:textId="77777777" w:rsidR="00DC3D9B" w:rsidRDefault="00DC3D9B" w:rsidP="00DC3D9B">
      <w:pPr>
        <w:widowControl w:val="0"/>
        <w:ind w:left="4320"/>
        <w:rPr>
          <w:rFonts w:eastAsia="Calibri" w:cs="Arial"/>
          <w:b/>
          <w:bCs/>
          <w:smallCaps/>
        </w:rPr>
      </w:pPr>
      <w:r>
        <w:rPr>
          <w:rFonts w:eastAsia="Calibri" w:cs="Arial"/>
          <w:bCs/>
          <w:smallCaps/>
        </w:rPr>
        <w:t>McNees Wallace &amp; Nurick LLC</w:t>
      </w:r>
    </w:p>
    <w:p w14:paraId="5F9F9227" w14:textId="77777777" w:rsidR="00DC3D9B" w:rsidRDefault="00DC3D9B" w:rsidP="00DC3D9B">
      <w:pPr>
        <w:widowControl w:val="0"/>
        <w:ind w:left="4320"/>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14:paraId="07B6BD6F" w14:textId="77777777" w:rsidR="00DC3D9B" w:rsidRDefault="00DC3D9B" w:rsidP="00DC3D9B">
      <w:pPr>
        <w:tabs>
          <w:tab w:val="left" w:pos="-1440"/>
          <w:tab w:val="left" w:pos="-720"/>
          <w:tab w:val="left" w:pos="5040"/>
          <w:tab w:val="center" w:pos="7200"/>
        </w:tabs>
        <w:overflowPunct w:val="0"/>
        <w:autoSpaceDE w:val="0"/>
        <w:autoSpaceDN w:val="0"/>
        <w:adjustRightInd w:val="0"/>
        <w:ind w:left="4320"/>
        <w:rPr>
          <w:rFonts w:eastAsia="Calibri" w:cs="Arial"/>
        </w:rPr>
      </w:pPr>
      <w:r>
        <w:rPr>
          <w:rFonts w:eastAsia="Calibri" w:cs="Arial"/>
        </w:rPr>
        <w:t>Columbus, OH  43215</w:t>
      </w:r>
    </w:p>
    <w:p w14:paraId="088E07F2" w14:textId="77777777" w:rsidR="00DC3D9B" w:rsidRDefault="00DC3D9B" w:rsidP="00DC3D9B">
      <w:pPr>
        <w:tabs>
          <w:tab w:val="left" w:pos="-1440"/>
          <w:tab w:val="left" w:pos="-720"/>
          <w:tab w:val="left" w:pos="5040"/>
          <w:tab w:val="center" w:pos="7200"/>
        </w:tabs>
        <w:overflowPunct w:val="0"/>
        <w:autoSpaceDE w:val="0"/>
        <w:autoSpaceDN w:val="0"/>
        <w:adjustRightInd w:val="0"/>
        <w:ind w:left="4320"/>
        <w:rPr>
          <w:rFonts w:eastAsia="Calibri" w:cs="Arial"/>
        </w:rPr>
      </w:pPr>
      <w:r>
        <w:rPr>
          <w:rFonts w:eastAsia="Calibri" w:cs="Arial"/>
        </w:rPr>
        <w:t>Telephone:  (614) 469-8000</w:t>
      </w:r>
    </w:p>
    <w:p w14:paraId="4BD3805E" w14:textId="77777777" w:rsidR="00DC3D9B" w:rsidRDefault="00DC3D9B" w:rsidP="00DC3D9B">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color w:val="000000"/>
        </w:rPr>
        <w:t>Telecopier:  (614) 469-4653</w:t>
      </w:r>
    </w:p>
    <w:p w14:paraId="0BF06B7F" w14:textId="77777777" w:rsidR="00DC3D9B" w:rsidRDefault="00DC3D9B" w:rsidP="00DC3D9B">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rPr>
        <w:t>fdarr@mwncmh.com</w:t>
      </w:r>
    </w:p>
    <w:p w14:paraId="21589658" w14:textId="77777777" w:rsidR="00DC3D9B" w:rsidRDefault="00DC3D9B" w:rsidP="00DC3D9B">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color w:val="000000"/>
        </w:rPr>
        <w:t>(willing to accept service by e-mail)</w:t>
      </w:r>
    </w:p>
    <w:p w14:paraId="5E8C7214" w14:textId="77777777" w:rsidR="00DC3D9B" w:rsidRDefault="00DC3D9B" w:rsidP="00DC3D9B">
      <w:pPr>
        <w:tabs>
          <w:tab w:val="left" w:pos="-1440"/>
          <w:tab w:val="left" w:pos="-720"/>
          <w:tab w:val="left" w:pos="5040"/>
          <w:tab w:val="center" w:pos="7200"/>
        </w:tabs>
        <w:overflowPunct w:val="0"/>
        <w:autoSpaceDE w:val="0"/>
        <w:autoSpaceDN w:val="0"/>
        <w:adjustRightInd w:val="0"/>
        <w:ind w:left="4320"/>
        <w:rPr>
          <w:rFonts w:eastAsia="Calibri" w:cs="Arial"/>
          <w:smallCaps/>
          <w:color w:val="000000"/>
        </w:rPr>
      </w:pPr>
      <w:r>
        <w:rPr>
          <w:rFonts w:eastAsia="Calibri" w:cs="Arial"/>
          <w:color w:val="000000"/>
        </w:rPr>
        <w:t>mpritchard@mwncmh.com</w:t>
      </w:r>
    </w:p>
    <w:p w14:paraId="4D014760" w14:textId="77777777" w:rsidR="00DC3D9B" w:rsidRDefault="00DC3D9B" w:rsidP="00DC3D9B">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color w:val="000000"/>
        </w:rPr>
        <w:t>(willing to accept service by e-mail)</w:t>
      </w:r>
    </w:p>
    <w:p w14:paraId="451C0D1C" w14:textId="77777777" w:rsidR="00DC3D9B" w:rsidRDefault="00DC3D9B" w:rsidP="00DC3D9B">
      <w:pPr>
        <w:tabs>
          <w:tab w:val="left" w:pos="-1440"/>
          <w:tab w:val="left" w:pos="-720"/>
          <w:tab w:val="left" w:pos="5040"/>
          <w:tab w:val="center" w:pos="7200"/>
        </w:tabs>
        <w:overflowPunct w:val="0"/>
        <w:autoSpaceDE w:val="0"/>
        <w:autoSpaceDN w:val="0"/>
        <w:adjustRightInd w:val="0"/>
        <w:ind w:left="4320"/>
        <w:rPr>
          <w:rFonts w:eastAsia="Calibri" w:cs="Arial"/>
          <w:color w:val="000000"/>
        </w:rPr>
      </w:pPr>
    </w:p>
    <w:p w14:paraId="602FBFD7" w14:textId="77777777" w:rsidR="00DC3D9B" w:rsidRDefault="00DC3D9B" w:rsidP="00DC3D9B">
      <w:pPr>
        <w:ind w:left="4320" w:hanging="4320"/>
        <w:rPr>
          <w:rFonts w:cs="Arial"/>
          <w:b/>
          <w:smallCaps/>
          <w:color w:val="000000"/>
        </w:rPr>
        <w:sectPr w:rsidR="00DC3D9B" w:rsidSect="003F69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26"/>
        </w:sectPr>
      </w:pPr>
      <w:r>
        <w:rPr>
          <w:rFonts w:cs="Arial"/>
          <w:b/>
          <w:smallCaps/>
          <w:color w:val="000000"/>
        </w:rPr>
        <w:t>January 2</w:t>
      </w:r>
      <w:r w:rsidR="00AB2279">
        <w:rPr>
          <w:rFonts w:cs="Arial"/>
          <w:b/>
          <w:smallCaps/>
          <w:color w:val="000000"/>
        </w:rPr>
        <w:t>1</w:t>
      </w:r>
      <w:r>
        <w:rPr>
          <w:rFonts w:cs="Arial"/>
          <w:b/>
          <w:smallCaps/>
          <w:color w:val="000000"/>
        </w:rPr>
        <w:t>, 201</w:t>
      </w:r>
      <w:r w:rsidR="00AB2279">
        <w:rPr>
          <w:rFonts w:cs="Arial"/>
          <w:b/>
          <w:smallCaps/>
          <w:color w:val="000000"/>
        </w:rPr>
        <w:t>6</w:t>
      </w:r>
      <w:r>
        <w:rPr>
          <w:rFonts w:cs="Arial"/>
          <w:b/>
          <w:smallCaps/>
          <w:color w:val="000000"/>
        </w:rPr>
        <w:tab/>
        <w:t>On Behalf of Industrial Energy Users-Ohio</w:t>
      </w:r>
    </w:p>
    <w:p w14:paraId="22DF7EB0" w14:textId="77777777" w:rsidR="00C57AF6" w:rsidRDefault="00C57AF6" w:rsidP="00C57AF6">
      <w:pPr>
        <w:jc w:val="center"/>
        <w:rPr>
          <w:b/>
        </w:rPr>
      </w:pPr>
      <w:r>
        <w:rPr>
          <w:b/>
        </w:rPr>
        <w:lastRenderedPageBreak/>
        <w:t>BEFORE</w:t>
      </w:r>
    </w:p>
    <w:p w14:paraId="730BE8C5" w14:textId="77777777" w:rsidR="00C57AF6" w:rsidRDefault="00C57AF6" w:rsidP="00C57AF6">
      <w:pPr>
        <w:jc w:val="center"/>
        <w:rPr>
          <w:b/>
        </w:rPr>
      </w:pPr>
      <w:r>
        <w:rPr>
          <w:b/>
        </w:rPr>
        <w:t>THE PUBLIC UTILITIES COMMISSION OF OHIO</w:t>
      </w:r>
    </w:p>
    <w:p w14:paraId="2AEDCEAB" w14:textId="77777777" w:rsidR="00C57AF6" w:rsidRDefault="00C57AF6" w:rsidP="00C57AF6">
      <w:pPr>
        <w:jc w:val="center"/>
        <w:rPr>
          <w:b/>
        </w:rPr>
      </w:pPr>
    </w:p>
    <w:p w14:paraId="001E4EC4" w14:textId="77777777" w:rsidR="00C57AF6" w:rsidRDefault="00C57AF6" w:rsidP="00C57AF6">
      <w:pPr>
        <w:jc w:val="center"/>
        <w:rPr>
          <w:b/>
        </w:rPr>
      </w:pPr>
    </w:p>
    <w:p w14:paraId="25C0641C" w14:textId="77777777" w:rsidR="00C57AF6" w:rsidRDefault="00C57AF6" w:rsidP="00C57AF6">
      <w:r>
        <w:t>In the Matter of the Commission’s</w:t>
      </w:r>
      <w:r>
        <w:tab/>
      </w:r>
      <w:r>
        <w:tab/>
        <w:t>)</w:t>
      </w:r>
      <w:r>
        <w:tab/>
      </w:r>
    </w:p>
    <w:p w14:paraId="60CD54C5" w14:textId="77777777" w:rsidR="00C57AF6" w:rsidRDefault="00C57AF6" w:rsidP="00C57AF6">
      <w:r>
        <w:t>Investigation of Submetering in the</w:t>
      </w:r>
      <w:r>
        <w:tab/>
        <w:t>)</w:t>
      </w:r>
      <w:r>
        <w:tab/>
      </w:r>
      <w:r w:rsidR="007260D8">
        <w:tab/>
      </w:r>
      <w:r>
        <w:t>Case No. 15-1594-AU-COI</w:t>
      </w:r>
    </w:p>
    <w:p w14:paraId="403A068C" w14:textId="77777777" w:rsidR="00C57AF6" w:rsidRDefault="00C57AF6" w:rsidP="00C57AF6">
      <w:r>
        <w:t>State of Ohio.</w:t>
      </w:r>
      <w:r>
        <w:tab/>
      </w:r>
      <w:r>
        <w:tab/>
      </w:r>
      <w:r>
        <w:tab/>
      </w:r>
      <w:r>
        <w:tab/>
        <w:t>)</w:t>
      </w:r>
    </w:p>
    <w:p w14:paraId="0D1A01CD" w14:textId="77777777" w:rsidR="00C57AF6" w:rsidRDefault="00C57AF6" w:rsidP="00C57AF6">
      <w:pPr>
        <w:rPr>
          <w:b/>
        </w:rPr>
      </w:pPr>
    </w:p>
    <w:p w14:paraId="39C3E040" w14:textId="77777777" w:rsidR="00C57AF6" w:rsidRDefault="00C57AF6" w:rsidP="00C57AF6">
      <w:r>
        <w:t>______________________________________________________________________</w:t>
      </w:r>
    </w:p>
    <w:p w14:paraId="2A7EDBBB" w14:textId="77777777" w:rsidR="00C57AF6" w:rsidRDefault="00C57AF6" w:rsidP="00C57AF6"/>
    <w:p w14:paraId="5FC05EA9" w14:textId="77777777" w:rsidR="00C57AF6" w:rsidRDefault="00C57AF6" w:rsidP="00C57AF6">
      <w:pPr>
        <w:jc w:val="center"/>
        <w:rPr>
          <w:rFonts w:ascii="Arial Bold" w:hAnsi="Arial Bold"/>
          <w:b/>
          <w:caps/>
          <w:sz w:val="28"/>
          <w:szCs w:val="28"/>
        </w:rPr>
      </w:pPr>
      <w:r>
        <w:rPr>
          <w:rFonts w:ascii="Arial Bold" w:hAnsi="Arial Bold"/>
          <w:b/>
          <w:caps/>
          <w:sz w:val="28"/>
          <w:szCs w:val="28"/>
        </w:rPr>
        <w:t>Initial Comments of</w:t>
      </w:r>
    </w:p>
    <w:p w14:paraId="71FC6F67" w14:textId="77777777" w:rsidR="00C57AF6" w:rsidRDefault="00C57AF6" w:rsidP="00C57AF6">
      <w:pPr>
        <w:jc w:val="center"/>
        <w:rPr>
          <w:rFonts w:ascii="Arial Bold" w:hAnsi="Arial Bold"/>
          <w:b/>
          <w:caps/>
        </w:rPr>
      </w:pPr>
      <w:r>
        <w:rPr>
          <w:rFonts w:ascii="Arial Bold" w:hAnsi="Arial Bold"/>
          <w:b/>
          <w:caps/>
          <w:sz w:val="28"/>
          <w:szCs w:val="28"/>
        </w:rPr>
        <w:t>Industrial Energy Users-Ohio</w:t>
      </w:r>
    </w:p>
    <w:p w14:paraId="7C4AC5D7" w14:textId="77777777" w:rsidR="00C57AF6" w:rsidRDefault="00C57AF6" w:rsidP="00C57AF6">
      <w:r>
        <w:t>______________________________________________________________________</w:t>
      </w:r>
    </w:p>
    <w:p w14:paraId="5B94BA05" w14:textId="77777777" w:rsidR="00C57AF6" w:rsidRPr="00933500" w:rsidRDefault="001C0B8C" w:rsidP="00CF26DE">
      <w:pPr>
        <w:pStyle w:val="Heading1"/>
        <w:spacing w:before="480"/>
        <w:rPr>
          <w:rFonts w:eastAsia="Times New Roman"/>
          <w:b/>
        </w:rPr>
      </w:pPr>
      <w:r w:rsidRPr="00933500">
        <w:rPr>
          <w:rFonts w:eastAsia="Times New Roman"/>
          <w:b/>
        </w:rPr>
        <w:t>INTRODUCTION</w:t>
      </w:r>
    </w:p>
    <w:p w14:paraId="73B147D3" w14:textId="0D369FB6" w:rsidR="000174A7" w:rsidRDefault="00C57AF6" w:rsidP="004B356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s="Arial"/>
        </w:rPr>
      </w:pPr>
      <w:r>
        <w:rPr>
          <w:rFonts w:eastAsia="Times New Roman" w:cs="Arial"/>
        </w:rPr>
        <w:tab/>
      </w:r>
      <w:r w:rsidR="001573AD">
        <w:rPr>
          <w:rFonts w:eastAsia="Times New Roman" w:cs="Arial"/>
        </w:rPr>
        <w:t xml:space="preserve">On December 16, 2015, the Public Utilities Commission of Ohio (“Commission”) </w:t>
      </w:r>
      <w:r w:rsidR="004E5C0C">
        <w:rPr>
          <w:rFonts w:eastAsia="Times New Roman" w:cs="Arial"/>
        </w:rPr>
        <w:t>initiated</w:t>
      </w:r>
      <w:r w:rsidR="001573AD">
        <w:rPr>
          <w:rFonts w:eastAsia="Times New Roman" w:cs="Arial"/>
        </w:rPr>
        <w:t xml:space="preserve"> an investigation regarding the proper regulatory framework that should be applied</w:t>
      </w:r>
      <w:r w:rsidR="003F4F5E">
        <w:rPr>
          <w:rFonts w:eastAsia="Times New Roman" w:cs="Arial"/>
        </w:rPr>
        <w:t xml:space="preserve"> to submetering and condominium associations in Ohio.  </w:t>
      </w:r>
      <w:r w:rsidR="005C4979" w:rsidRPr="008C5355">
        <w:rPr>
          <w:rFonts w:cs="Arial"/>
        </w:rPr>
        <w:t>Entry at 1 (Dec. 16, 2015)</w:t>
      </w:r>
      <w:r w:rsidR="005C4979">
        <w:rPr>
          <w:rFonts w:cs="Arial"/>
        </w:rPr>
        <w:t xml:space="preserve"> (“Entry”)</w:t>
      </w:r>
      <w:r w:rsidR="005C4979" w:rsidRPr="008C5355">
        <w:rPr>
          <w:rFonts w:cs="Arial"/>
        </w:rPr>
        <w:t>.</w:t>
      </w:r>
      <w:r w:rsidR="005C4979">
        <w:rPr>
          <w:rFonts w:cs="Arial"/>
        </w:rPr>
        <w:t xml:space="preserve">  </w:t>
      </w:r>
      <w:r w:rsidR="003F4F5E">
        <w:rPr>
          <w:rFonts w:eastAsia="Times New Roman" w:cs="Arial"/>
        </w:rPr>
        <w:t xml:space="preserve">The Commission requested comments and reply comments </w:t>
      </w:r>
      <w:r w:rsidR="00B974D5">
        <w:rPr>
          <w:rFonts w:eastAsia="Times New Roman" w:cs="Arial"/>
        </w:rPr>
        <w:t xml:space="preserve">on </w:t>
      </w:r>
      <w:r w:rsidR="003F4F5E">
        <w:rPr>
          <w:rFonts w:eastAsia="Times New Roman" w:cs="Arial"/>
        </w:rPr>
        <w:t>three</w:t>
      </w:r>
      <w:r w:rsidR="00B974D5">
        <w:rPr>
          <w:rFonts w:eastAsia="Times New Roman" w:cs="Arial"/>
        </w:rPr>
        <w:t xml:space="preserve"> questions:</w:t>
      </w:r>
    </w:p>
    <w:p w14:paraId="731D6D13" w14:textId="77777777" w:rsidR="00B974D5" w:rsidRDefault="00B974D5" w:rsidP="00156ADB">
      <w:pPr>
        <w:pStyle w:val="ListParagraph"/>
        <w:numPr>
          <w:ilvl w:val="0"/>
          <w:numId w:val="3"/>
        </w:numPr>
        <w:ind w:left="1440" w:hanging="720"/>
        <w:rPr>
          <w:rFonts w:eastAsia="Times New Roman" w:cs="Arial"/>
        </w:rPr>
      </w:pPr>
      <w:r w:rsidRPr="00C5114B">
        <w:rPr>
          <w:rFonts w:eastAsia="Times New Roman" w:cs="Arial"/>
        </w:rPr>
        <w:t>Are condominium associations</w:t>
      </w:r>
      <w:r>
        <w:rPr>
          <w:rFonts w:eastAsia="Times New Roman" w:cs="Arial"/>
        </w:rPr>
        <w:t xml:space="preserve"> and similarly situated entities, including third-party agents of those entities, public utilities pursuant to the Shroyer</w:t>
      </w:r>
      <w:r w:rsidR="00A41625">
        <w:rPr>
          <w:rStyle w:val="FootnoteReference"/>
          <w:rFonts w:eastAsia="Times New Roman" w:cs="Arial"/>
        </w:rPr>
        <w:footnoteReference w:id="1"/>
      </w:r>
      <w:r>
        <w:rPr>
          <w:rFonts w:eastAsia="Times New Roman" w:cs="Arial"/>
        </w:rPr>
        <w:t xml:space="preserve"> test[?]</w:t>
      </w:r>
    </w:p>
    <w:p w14:paraId="05EB8564" w14:textId="77777777" w:rsidR="00DE3D97" w:rsidRDefault="00DE3D97" w:rsidP="00375546">
      <w:pPr>
        <w:pStyle w:val="ListParagraph"/>
        <w:ind w:left="1440"/>
        <w:rPr>
          <w:rFonts w:eastAsia="Times New Roman" w:cs="Arial"/>
        </w:rPr>
      </w:pPr>
    </w:p>
    <w:p w14:paraId="4AEE62D2" w14:textId="77777777" w:rsidR="00B974D5" w:rsidRDefault="00B974D5" w:rsidP="00156ADB">
      <w:pPr>
        <w:pStyle w:val="ListParagraph"/>
        <w:numPr>
          <w:ilvl w:val="0"/>
          <w:numId w:val="3"/>
        </w:numPr>
        <w:ind w:left="1440" w:hanging="720"/>
        <w:rPr>
          <w:rFonts w:eastAsia="Times New Roman" w:cs="Arial"/>
        </w:rPr>
      </w:pPr>
      <w:r>
        <w:rPr>
          <w:rFonts w:eastAsia="Times New Roman" w:cs="Arial"/>
        </w:rPr>
        <w:t>Are there certain situations in which the Shroyer test cannot or should not be applied[?]  If the Shroyer test cannot or should not be applied, what test should the Commission apply in those situations[?]</w:t>
      </w:r>
    </w:p>
    <w:p w14:paraId="3768F3C4" w14:textId="77777777" w:rsidR="00DE3D97" w:rsidRPr="00375546" w:rsidRDefault="00DE3D97" w:rsidP="00375546">
      <w:pPr>
        <w:rPr>
          <w:rFonts w:eastAsia="Times New Roman" w:cs="Arial"/>
        </w:rPr>
      </w:pPr>
    </w:p>
    <w:p w14:paraId="3651E1F0" w14:textId="5E53A4DA" w:rsidR="00B974D5" w:rsidRDefault="00B974D5" w:rsidP="00BC3226">
      <w:pPr>
        <w:pStyle w:val="ListParagraph"/>
        <w:numPr>
          <w:ilvl w:val="0"/>
          <w:numId w:val="3"/>
        </w:numPr>
        <w:ind w:left="1440" w:hanging="720"/>
        <w:rPr>
          <w:rFonts w:eastAsia="Times New Roman" w:cs="Arial"/>
        </w:rPr>
      </w:pPr>
      <w:r>
        <w:rPr>
          <w:rFonts w:eastAsia="Times New Roman" w:cs="Arial"/>
        </w:rPr>
        <w:t>What impacts to customers and stakeholders would there be if the Commission were to assert jurisdiction over submetering in the [S]tate of Ohio[?]</w:t>
      </w:r>
    </w:p>
    <w:p w14:paraId="7E55913F" w14:textId="77777777" w:rsidR="00B17DB3" w:rsidRDefault="00B17DB3" w:rsidP="00B17DB3">
      <w:pPr>
        <w:pStyle w:val="ListParagraph"/>
        <w:jc w:val="left"/>
        <w:rPr>
          <w:rFonts w:eastAsia="Times New Roman" w:cs="Arial"/>
        </w:rPr>
      </w:pPr>
    </w:p>
    <w:p w14:paraId="50E904BE" w14:textId="448B17CB" w:rsidR="009613C8" w:rsidRPr="006A2B29" w:rsidRDefault="0027546A" w:rsidP="006A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s="Arial"/>
        </w:rPr>
      </w:pPr>
      <w:r>
        <w:rPr>
          <w:rFonts w:cs="Arial"/>
        </w:rPr>
        <w:t>Entry</w:t>
      </w:r>
      <w:r w:rsidRPr="008C5355">
        <w:rPr>
          <w:rFonts w:cs="Arial"/>
        </w:rPr>
        <w:t xml:space="preserve"> at 2-3.</w:t>
      </w:r>
      <w:r>
        <w:rPr>
          <w:rFonts w:cs="Arial"/>
        </w:rPr>
        <w:t xml:space="preserve">  </w:t>
      </w:r>
      <w:r w:rsidR="00B17DB3">
        <w:rPr>
          <w:rFonts w:eastAsia="Times New Roman" w:cs="Arial"/>
        </w:rPr>
        <w:t xml:space="preserve">Because the scope of the Commission’s response to questions raised in this investigation may impact large industrial customers in </w:t>
      </w:r>
      <w:r w:rsidR="00E62129">
        <w:rPr>
          <w:rFonts w:eastAsia="Times New Roman" w:cs="Arial"/>
        </w:rPr>
        <w:t xml:space="preserve">ways that the Commission </w:t>
      </w:r>
      <w:r w:rsidR="00E62129">
        <w:rPr>
          <w:rFonts w:eastAsia="Times New Roman" w:cs="Arial"/>
        </w:rPr>
        <w:lastRenderedPageBreak/>
        <w:t>should consider before making any broad statements of policy</w:t>
      </w:r>
      <w:r w:rsidR="00AA5985">
        <w:rPr>
          <w:rFonts w:eastAsia="Times New Roman" w:cs="Arial"/>
        </w:rPr>
        <w:t>, Industrial Energy Users-Ohio</w:t>
      </w:r>
      <w:r w:rsidR="00087746">
        <w:rPr>
          <w:rFonts w:eastAsia="Times New Roman" w:cs="Arial"/>
        </w:rPr>
        <w:t xml:space="preserve"> (“IEU-Ohio”)</w:t>
      </w:r>
      <w:r w:rsidR="00AA5985">
        <w:rPr>
          <w:rFonts w:eastAsia="Times New Roman" w:cs="Arial"/>
        </w:rPr>
        <w:t xml:space="preserve"> is submitting initial comments in response to the </w:t>
      </w:r>
      <w:r w:rsidR="00FE618C">
        <w:rPr>
          <w:rFonts w:eastAsia="Times New Roman" w:cs="Arial"/>
        </w:rPr>
        <w:t>Entry.</w:t>
      </w:r>
    </w:p>
    <w:p w14:paraId="1667D254" w14:textId="6CB8B62B" w:rsidR="00B974D5" w:rsidRDefault="009613C8" w:rsidP="004B356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s="Arial"/>
        </w:rPr>
      </w:pPr>
      <w:r>
        <w:rPr>
          <w:rFonts w:eastAsia="Times New Roman" w:cs="Arial"/>
        </w:rPr>
        <w:tab/>
      </w:r>
      <w:r w:rsidR="006A74EE">
        <w:rPr>
          <w:rFonts w:eastAsia="Times New Roman" w:cs="Arial"/>
        </w:rPr>
        <w:t xml:space="preserve">As discussed below, the regulatory framework that should be applied to submetering must conform to the jurisdictional requirements of </w:t>
      </w:r>
      <w:r w:rsidR="00013FA0">
        <w:rPr>
          <w:rFonts w:eastAsia="Times New Roman" w:cs="Arial"/>
        </w:rPr>
        <w:t xml:space="preserve">Title </w:t>
      </w:r>
      <w:r w:rsidR="006A74EE">
        <w:rPr>
          <w:rFonts w:eastAsia="Times New Roman" w:cs="Arial"/>
        </w:rPr>
        <w:t>49</w:t>
      </w:r>
      <w:r w:rsidR="00013FA0">
        <w:rPr>
          <w:rFonts w:eastAsia="Times New Roman" w:cs="Arial"/>
        </w:rPr>
        <w:t xml:space="preserve"> of the Ohio Revised Code</w:t>
      </w:r>
      <w:r w:rsidR="00F76E6F">
        <w:rPr>
          <w:rFonts w:eastAsia="Times New Roman" w:cs="Arial"/>
        </w:rPr>
        <w:t xml:space="preserve"> and the accepted legal standards used to determine whether an entity is a public utility.  </w:t>
      </w:r>
      <w:r w:rsidR="00963EB1">
        <w:rPr>
          <w:rFonts w:eastAsia="Times New Roman" w:cs="Arial"/>
        </w:rPr>
        <w:t>The application of</w:t>
      </w:r>
      <w:r w:rsidR="00F76E6F">
        <w:rPr>
          <w:rFonts w:eastAsia="Times New Roman" w:cs="Arial"/>
        </w:rPr>
        <w:t xml:space="preserve"> the legal framework to determine if an entity, or its agent, is subject to Commissi</w:t>
      </w:r>
      <w:r w:rsidR="00866C22">
        <w:rPr>
          <w:rFonts w:eastAsia="Times New Roman" w:cs="Arial"/>
        </w:rPr>
        <w:t>on jurisdiction, moreover, must be based on a review of the facts and circumstances presented by the particular activities of the entity or its agent.</w:t>
      </w:r>
      <w:r w:rsidR="00871D69">
        <w:rPr>
          <w:rFonts w:eastAsia="Times New Roman" w:cs="Arial"/>
        </w:rPr>
        <w:t xml:space="preserve">  The Commission may not extend its jurisdiction to entities or their agents that are not public utilities, and the Commission should not impose regulatory costs </w:t>
      </w:r>
      <w:r w:rsidR="00E601FA">
        <w:rPr>
          <w:rFonts w:eastAsia="Times New Roman" w:cs="Arial"/>
        </w:rPr>
        <w:t>on</w:t>
      </w:r>
      <w:r w:rsidR="00871D69">
        <w:rPr>
          <w:rFonts w:eastAsia="Times New Roman" w:cs="Arial"/>
        </w:rPr>
        <w:t xml:space="preserve"> </w:t>
      </w:r>
      <w:r w:rsidR="0053524F">
        <w:rPr>
          <w:rFonts w:eastAsia="Times New Roman" w:cs="Arial"/>
        </w:rPr>
        <w:t xml:space="preserve">parties to private </w:t>
      </w:r>
      <w:r w:rsidR="00381B27">
        <w:rPr>
          <w:rFonts w:eastAsia="Times New Roman" w:cs="Arial"/>
        </w:rPr>
        <w:t>agreements</w:t>
      </w:r>
      <w:r w:rsidR="0053524F">
        <w:rPr>
          <w:rFonts w:eastAsia="Times New Roman" w:cs="Arial"/>
        </w:rPr>
        <w:t xml:space="preserve"> such as shared services </w:t>
      </w:r>
      <w:r w:rsidR="00381B27">
        <w:rPr>
          <w:rFonts w:eastAsia="Times New Roman" w:cs="Arial"/>
        </w:rPr>
        <w:t xml:space="preserve">arrangements </w:t>
      </w:r>
      <w:r w:rsidR="0053524F">
        <w:rPr>
          <w:rFonts w:eastAsia="Times New Roman" w:cs="Arial"/>
        </w:rPr>
        <w:t>that do not affect the public interest.</w:t>
      </w:r>
    </w:p>
    <w:p w14:paraId="5858D319" w14:textId="796183D9" w:rsidR="006A2B29" w:rsidRPr="006A2B29" w:rsidRDefault="006A2B29" w:rsidP="00CF26DE">
      <w:pPr>
        <w:pStyle w:val="Heading1"/>
        <w:spacing w:before="120"/>
        <w:rPr>
          <w:rFonts w:eastAsia="Times New Roman"/>
          <w:b/>
        </w:rPr>
      </w:pPr>
      <w:r>
        <w:rPr>
          <w:rFonts w:eastAsia="Times New Roman"/>
          <w:b/>
        </w:rPr>
        <w:t>DISCUSSION</w:t>
      </w:r>
    </w:p>
    <w:p w14:paraId="27FCAA2C" w14:textId="77777777" w:rsidR="00C76639" w:rsidRPr="003067EC" w:rsidRDefault="00C76639" w:rsidP="00B07A27">
      <w:pPr>
        <w:pStyle w:val="Heading2"/>
        <w:ind w:left="1440" w:right="720" w:hanging="720"/>
        <w:jc w:val="both"/>
        <w:rPr>
          <w:rFonts w:eastAsia="Times New Roman"/>
          <w:b/>
        </w:rPr>
      </w:pPr>
      <w:r w:rsidRPr="003067EC">
        <w:rPr>
          <w:rFonts w:eastAsia="Times New Roman"/>
          <w:b/>
        </w:rPr>
        <w:t>Are condominium associations and similarly situated entities, including third-party agents of those entities, public utiliti</w:t>
      </w:r>
      <w:r w:rsidR="000E7545">
        <w:rPr>
          <w:rFonts w:eastAsia="Times New Roman"/>
          <w:b/>
        </w:rPr>
        <w:t xml:space="preserve">es pursuant to the </w:t>
      </w:r>
      <w:r w:rsidR="000E7545" w:rsidRPr="000E7545">
        <w:rPr>
          <w:rFonts w:eastAsia="Times New Roman"/>
          <w:b/>
          <w:i/>
        </w:rPr>
        <w:t>Shroyer</w:t>
      </w:r>
      <w:r w:rsidR="000E7545">
        <w:rPr>
          <w:rFonts w:eastAsia="Times New Roman"/>
          <w:b/>
        </w:rPr>
        <w:t xml:space="preserve"> test?</w:t>
      </w:r>
    </w:p>
    <w:p w14:paraId="231922AB" w14:textId="77777777" w:rsidR="00C76639" w:rsidRPr="008C5355" w:rsidRDefault="00C76639" w:rsidP="00B07A27">
      <w:pPr>
        <w:pStyle w:val="Heading2"/>
        <w:ind w:left="1440" w:right="720" w:hanging="720"/>
        <w:jc w:val="both"/>
        <w:rPr>
          <w:rFonts w:eastAsia="Times New Roman"/>
          <w:b/>
        </w:rPr>
      </w:pPr>
      <w:r w:rsidRPr="003067EC">
        <w:rPr>
          <w:rFonts w:eastAsia="Times New Roman"/>
          <w:b/>
        </w:rPr>
        <w:t xml:space="preserve">Are there certain situations in which the </w:t>
      </w:r>
      <w:r w:rsidRPr="000E7545">
        <w:rPr>
          <w:rFonts w:eastAsia="Times New Roman"/>
          <w:b/>
          <w:i/>
        </w:rPr>
        <w:t>Shroyer</w:t>
      </w:r>
      <w:r w:rsidRPr="003067EC">
        <w:rPr>
          <w:rFonts w:eastAsia="Times New Roman"/>
          <w:b/>
        </w:rPr>
        <w:t xml:space="preserve"> test ca</w:t>
      </w:r>
      <w:r w:rsidR="00737C8D">
        <w:rPr>
          <w:rFonts w:eastAsia="Times New Roman"/>
          <w:b/>
        </w:rPr>
        <w:t>nnot or should not be applied?</w:t>
      </w:r>
      <w:r w:rsidRPr="003067EC">
        <w:rPr>
          <w:rFonts w:eastAsia="Times New Roman"/>
          <w:b/>
        </w:rPr>
        <w:t xml:space="preserve">  If the </w:t>
      </w:r>
      <w:r w:rsidRPr="00737C8D">
        <w:rPr>
          <w:rFonts w:eastAsia="Times New Roman"/>
          <w:b/>
          <w:i/>
        </w:rPr>
        <w:t>Shroyer</w:t>
      </w:r>
      <w:r w:rsidRPr="003067EC">
        <w:rPr>
          <w:rFonts w:eastAsia="Times New Roman"/>
          <w:b/>
        </w:rPr>
        <w:t xml:space="preserve"> test cannot or should not be applied, what test should the Commission apply in those situ</w:t>
      </w:r>
      <w:r w:rsidR="00737C8D">
        <w:rPr>
          <w:rFonts w:eastAsia="Times New Roman"/>
          <w:b/>
        </w:rPr>
        <w:t>ations?</w:t>
      </w:r>
    </w:p>
    <w:p w14:paraId="1653B4F1" w14:textId="5EAD31C2" w:rsidR="003A05E9" w:rsidRPr="00AA59AF" w:rsidRDefault="00132186" w:rsidP="004B3565">
      <w:pPr>
        <w:spacing w:line="480" w:lineRule="auto"/>
        <w:ind w:firstLine="720"/>
        <w:rPr>
          <w:rFonts w:eastAsia="Times New Roman" w:cs="Arial"/>
        </w:rPr>
      </w:pPr>
      <w:r>
        <w:rPr>
          <w:rFonts w:eastAsia="Times New Roman" w:cs="Arial"/>
          <w:szCs w:val="20"/>
        </w:rPr>
        <w:t xml:space="preserve">Under </w:t>
      </w:r>
      <w:r w:rsidR="001B08E3">
        <w:rPr>
          <w:rFonts w:eastAsia="Times New Roman" w:cs="Arial"/>
          <w:szCs w:val="20"/>
        </w:rPr>
        <w:t>Ohio</w:t>
      </w:r>
      <w:r>
        <w:rPr>
          <w:rFonts w:eastAsia="Times New Roman" w:cs="Arial"/>
          <w:szCs w:val="20"/>
        </w:rPr>
        <w:t xml:space="preserve"> law, there is no categorical answer to the question of whether condominium associations or similarly situated entities, including their agents, are public utilities subject to Commission jurisdiction.  The determination whether</w:t>
      </w:r>
      <w:r w:rsidR="00CB39D1">
        <w:rPr>
          <w:rFonts w:eastAsia="Times New Roman" w:cs="Arial"/>
          <w:szCs w:val="20"/>
        </w:rPr>
        <w:t xml:space="preserve"> an entity </w:t>
      </w:r>
      <w:r>
        <w:rPr>
          <w:rFonts w:eastAsia="Times New Roman" w:cs="Arial"/>
          <w:szCs w:val="20"/>
        </w:rPr>
        <w:t>is or should be</w:t>
      </w:r>
      <w:r w:rsidR="00CB39D1">
        <w:rPr>
          <w:rFonts w:eastAsia="Times New Roman" w:cs="Arial"/>
          <w:szCs w:val="20"/>
        </w:rPr>
        <w:t xml:space="preserve"> subject to Commi</w:t>
      </w:r>
      <w:r w:rsidR="0055604D">
        <w:rPr>
          <w:rFonts w:eastAsia="Times New Roman" w:cs="Arial"/>
          <w:szCs w:val="20"/>
        </w:rPr>
        <w:t>ssion jurisdiction because it</w:t>
      </w:r>
      <w:r w:rsidR="00CB39D1">
        <w:rPr>
          <w:rFonts w:eastAsia="Times New Roman" w:cs="Arial"/>
          <w:szCs w:val="20"/>
        </w:rPr>
        <w:t xml:space="preserve"> operates as a public utility must be addressed on a case by case basis.  </w:t>
      </w:r>
    </w:p>
    <w:p w14:paraId="24514B95" w14:textId="235BA4CD" w:rsidR="00A41625" w:rsidRDefault="00315CBD" w:rsidP="004B356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eastAsia="Times New Roman" w:cs="Arial"/>
          <w:szCs w:val="20"/>
        </w:rPr>
      </w:pPr>
      <w:r>
        <w:rPr>
          <w:rFonts w:eastAsia="Times New Roman" w:cs="Arial"/>
        </w:rPr>
        <w:lastRenderedPageBreak/>
        <w:t xml:space="preserve">The Commission is a creature of statute; it has only that jurisdiction and authority as provided by the General Assembly.  </w:t>
      </w:r>
      <w:r w:rsidR="006D72EC" w:rsidRPr="00DB5134">
        <w:rPr>
          <w:rFonts w:eastAsia="Times New Roman" w:cs="Arial"/>
          <w:i/>
        </w:rPr>
        <w:t>Columbus S. Power Co. v. Pub. Util. Comm’n of Ohio</w:t>
      </w:r>
      <w:r w:rsidR="006D72EC">
        <w:rPr>
          <w:rFonts w:eastAsia="Times New Roman" w:cs="Arial"/>
        </w:rPr>
        <w:t xml:space="preserve">, 67 Ohio St.3d 535, 537 (1993).  </w:t>
      </w:r>
      <w:r w:rsidR="00CF2427">
        <w:rPr>
          <w:rFonts w:eastAsia="Times New Roman" w:cs="Arial"/>
        </w:rPr>
        <w:t xml:space="preserve">Ohio law limits the Commission’s jurisdiction to “public utilities” as that term is defined in </w:t>
      </w:r>
      <w:r w:rsidR="00F15D66">
        <w:rPr>
          <w:rFonts w:eastAsia="Times New Roman" w:cs="Arial"/>
        </w:rPr>
        <w:t xml:space="preserve">Title </w:t>
      </w:r>
      <w:r w:rsidR="00CF2427">
        <w:rPr>
          <w:rFonts w:eastAsia="Times New Roman" w:cs="Arial"/>
        </w:rPr>
        <w:t xml:space="preserve">49 of the </w:t>
      </w:r>
      <w:r w:rsidR="00F15D66">
        <w:rPr>
          <w:rFonts w:eastAsia="Times New Roman" w:cs="Arial"/>
        </w:rPr>
        <w:t xml:space="preserve">Ohio </w:t>
      </w:r>
      <w:r w:rsidR="00CF2427">
        <w:rPr>
          <w:rFonts w:eastAsia="Times New Roman" w:cs="Arial"/>
        </w:rPr>
        <w:t>Revised Code.</w:t>
      </w:r>
      <w:r w:rsidR="007B77F2">
        <w:rPr>
          <w:rFonts w:eastAsia="Times New Roman" w:cs="Arial"/>
        </w:rPr>
        <w:t xml:space="preserve">  </w:t>
      </w:r>
      <w:r w:rsidR="007B77F2" w:rsidRPr="00D876B8">
        <w:rPr>
          <w:rFonts w:eastAsia="Times New Roman" w:cs="Arial"/>
          <w:i/>
        </w:rPr>
        <w:t>See</w:t>
      </w:r>
      <w:r w:rsidR="007B77F2">
        <w:rPr>
          <w:rFonts w:eastAsia="Times New Roman" w:cs="Arial"/>
        </w:rPr>
        <w:t xml:space="preserve"> R.C. 4905.02 and 4905.03.</w:t>
      </w:r>
      <w:r w:rsidR="00CF2427">
        <w:rPr>
          <w:rFonts w:eastAsia="Times New Roman" w:cs="Arial"/>
        </w:rPr>
        <w:t xml:space="preserve">  </w:t>
      </w:r>
    </w:p>
    <w:p w14:paraId="2A1F7066" w14:textId="773AF227" w:rsidR="003E24F8" w:rsidRDefault="00C334DD" w:rsidP="004B356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eastAsia="Times New Roman" w:cs="Arial"/>
          <w:szCs w:val="20"/>
        </w:rPr>
      </w:pPr>
      <w:r>
        <w:rPr>
          <w:rFonts w:eastAsia="Times New Roman" w:cs="Arial"/>
          <w:szCs w:val="20"/>
        </w:rPr>
        <w:t xml:space="preserve">Under </w:t>
      </w:r>
      <w:r w:rsidR="00BF2878" w:rsidRPr="00BF2878">
        <w:rPr>
          <w:rFonts w:eastAsia="Times New Roman" w:cs="Arial"/>
          <w:szCs w:val="20"/>
        </w:rPr>
        <w:t>R.C. 4905.02</w:t>
      </w:r>
      <w:r>
        <w:rPr>
          <w:rFonts w:eastAsia="Times New Roman" w:cs="Arial"/>
          <w:szCs w:val="20"/>
        </w:rPr>
        <w:t>,</w:t>
      </w:r>
      <w:r w:rsidR="00BF2878" w:rsidRPr="00BF2878">
        <w:rPr>
          <w:rFonts w:eastAsia="Times New Roman" w:cs="Arial"/>
          <w:szCs w:val="20"/>
        </w:rPr>
        <w:t xml:space="preserve"> “every corporation, company, copartnership, person, or association, </w:t>
      </w:r>
      <w:r w:rsidR="00120A27">
        <w:rPr>
          <w:rFonts w:eastAsia="Times New Roman" w:cs="Arial"/>
          <w:szCs w:val="20"/>
        </w:rPr>
        <w:t>the</w:t>
      </w:r>
      <w:r w:rsidR="00120A27" w:rsidRPr="00BF2878">
        <w:rPr>
          <w:rFonts w:eastAsia="Times New Roman" w:cs="Arial"/>
          <w:szCs w:val="20"/>
        </w:rPr>
        <w:t xml:space="preserve"> </w:t>
      </w:r>
      <w:r w:rsidR="00BF2878" w:rsidRPr="00BF2878">
        <w:rPr>
          <w:rFonts w:eastAsia="Times New Roman" w:cs="Arial"/>
          <w:szCs w:val="20"/>
        </w:rPr>
        <w:t>lessees, trustees, or receivers</w:t>
      </w:r>
      <w:r w:rsidR="00120A27">
        <w:rPr>
          <w:rFonts w:eastAsia="Times New Roman" w:cs="Arial"/>
          <w:szCs w:val="20"/>
        </w:rPr>
        <w:t xml:space="preserve"> of the foregoing</w:t>
      </w:r>
      <w:r w:rsidR="00BF2878" w:rsidRPr="00BF2878">
        <w:rPr>
          <w:rFonts w:eastAsia="Times New Roman" w:cs="Arial"/>
          <w:szCs w:val="20"/>
        </w:rPr>
        <w:t xml:space="preserve">, defined in Section 4905.03 of the Revised Code, including </w:t>
      </w:r>
      <w:r w:rsidR="000621DF">
        <w:rPr>
          <w:rFonts w:eastAsia="Times New Roman" w:cs="Arial"/>
          <w:szCs w:val="20"/>
        </w:rPr>
        <w:t>any</w:t>
      </w:r>
      <w:r w:rsidR="000621DF" w:rsidRPr="00BF2878">
        <w:rPr>
          <w:rFonts w:eastAsia="Times New Roman" w:cs="Arial"/>
          <w:szCs w:val="20"/>
        </w:rPr>
        <w:t xml:space="preserve"> </w:t>
      </w:r>
      <w:r w:rsidR="00BF2878" w:rsidRPr="00BF2878">
        <w:rPr>
          <w:rFonts w:eastAsia="Times New Roman" w:cs="Arial"/>
          <w:szCs w:val="20"/>
        </w:rPr>
        <w:t xml:space="preserve">public </w:t>
      </w:r>
      <w:r w:rsidR="000621DF" w:rsidRPr="00BF2878">
        <w:rPr>
          <w:rFonts w:eastAsia="Times New Roman" w:cs="Arial"/>
          <w:szCs w:val="20"/>
        </w:rPr>
        <w:t>utilit</w:t>
      </w:r>
      <w:r w:rsidR="000621DF">
        <w:rPr>
          <w:rFonts w:eastAsia="Times New Roman" w:cs="Arial"/>
          <w:szCs w:val="20"/>
        </w:rPr>
        <w:t>y</w:t>
      </w:r>
      <w:r w:rsidR="000621DF" w:rsidRPr="00BF2878">
        <w:rPr>
          <w:rFonts w:eastAsia="Times New Roman" w:cs="Arial"/>
          <w:szCs w:val="20"/>
        </w:rPr>
        <w:t xml:space="preserve"> </w:t>
      </w:r>
      <w:r w:rsidR="00BF2878" w:rsidRPr="00BF2878">
        <w:rPr>
          <w:rFonts w:eastAsia="Times New Roman" w:cs="Arial"/>
          <w:szCs w:val="20"/>
        </w:rPr>
        <w:t>that operate</w:t>
      </w:r>
      <w:r w:rsidR="000621DF">
        <w:rPr>
          <w:rFonts w:eastAsia="Times New Roman" w:cs="Arial"/>
          <w:szCs w:val="20"/>
        </w:rPr>
        <w:t>s</w:t>
      </w:r>
      <w:r w:rsidR="00BF2878" w:rsidRPr="00BF2878">
        <w:rPr>
          <w:rFonts w:eastAsia="Times New Roman" w:cs="Arial"/>
          <w:szCs w:val="20"/>
        </w:rPr>
        <w:t xml:space="preserve"> </w:t>
      </w:r>
      <w:r w:rsidR="000621DF">
        <w:rPr>
          <w:rFonts w:eastAsia="Times New Roman" w:cs="Arial"/>
          <w:szCs w:val="20"/>
        </w:rPr>
        <w:t>its</w:t>
      </w:r>
      <w:r w:rsidR="000621DF" w:rsidRPr="00BF2878">
        <w:rPr>
          <w:rFonts w:eastAsia="Times New Roman" w:cs="Arial"/>
          <w:szCs w:val="20"/>
        </w:rPr>
        <w:t xml:space="preserve"> utilit</w:t>
      </w:r>
      <w:r w:rsidR="000621DF">
        <w:rPr>
          <w:rFonts w:eastAsia="Times New Roman" w:cs="Arial"/>
          <w:szCs w:val="20"/>
        </w:rPr>
        <w:t>y</w:t>
      </w:r>
      <w:r w:rsidR="000621DF" w:rsidRPr="00BF2878">
        <w:rPr>
          <w:rFonts w:eastAsia="Times New Roman" w:cs="Arial"/>
          <w:szCs w:val="20"/>
        </w:rPr>
        <w:t xml:space="preserve"> </w:t>
      </w:r>
      <w:r w:rsidR="00BF2878" w:rsidRPr="00BF2878">
        <w:rPr>
          <w:rFonts w:eastAsia="Times New Roman" w:cs="Arial"/>
          <w:szCs w:val="20"/>
        </w:rPr>
        <w:t>not for profit,”</w:t>
      </w:r>
      <w:r w:rsidR="00851ACC">
        <w:rPr>
          <w:rFonts w:eastAsia="Times New Roman" w:cs="Arial"/>
          <w:szCs w:val="20"/>
        </w:rPr>
        <w:t xml:space="preserve"> is a public utility</w:t>
      </w:r>
      <w:r w:rsidR="00BF2878" w:rsidRPr="00BF2878">
        <w:rPr>
          <w:rFonts w:eastAsia="Times New Roman" w:cs="Arial"/>
          <w:szCs w:val="20"/>
        </w:rPr>
        <w:t xml:space="preserve"> </w:t>
      </w:r>
      <w:r w:rsidR="00851ACC">
        <w:rPr>
          <w:rFonts w:eastAsia="Times New Roman" w:cs="Arial"/>
          <w:szCs w:val="20"/>
        </w:rPr>
        <w:t>(</w:t>
      </w:r>
      <w:r w:rsidR="00BF2878" w:rsidRPr="00BF2878">
        <w:rPr>
          <w:rFonts w:eastAsia="Times New Roman" w:cs="Arial"/>
          <w:szCs w:val="20"/>
        </w:rPr>
        <w:t xml:space="preserve">but </w:t>
      </w:r>
      <w:r w:rsidR="00851ACC">
        <w:rPr>
          <w:rFonts w:eastAsia="Times New Roman" w:cs="Arial"/>
          <w:szCs w:val="20"/>
        </w:rPr>
        <w:t xml:space="preserve">this section </w:t>
      </w:r>
      <w:r w:rsidR="00BF2878" w:rsidRPr="00BF2878">
        <w:rPr>
          <w:rFonts w:eastAsia="Times New Roman" w:cs="Arial"/>
          <w:szCs w:val="20"/>
        </w:rPr>
        <w:t xml:space="preserve">excludes “[e]lectric light </w:t>
      </w:r>
      <w:r w:rsidR="000621DF" w:rsidRPr="00BF2878">
        <w:rPr>
          <w:rFonts w:eastAsia="Times New Roman" w:cs="Arial"/>
          <w:szCs w:val="20"/>
        </w:rPr>
        <w:t>compan</w:t>
      </w:r>
      <w:r w:rsidR="000621DF">
        <w:rPr>
          <w:rFonts w:eastAsia="Times New Roman" w:cs="Arial"/>
          <w:szCs w:val="20"/>
        </w:rPr>
        <w:t>y</w:t>
      </w:r>
      <w:r w:rsidR="000621DF" w:rsidRPr="00BF2878">
        <w:rPr>
          <w:rFonts w:eastAsia="Times New Roman" w:cs="Arial"/>
          <w:szCs w:val="20"/>
        </w:rPr>
        <w:t xml:space="preserve"> </w:t>
      </w:r>
      <w:r w:rsidR="00BF2878" w:rsidRPr="00BF2878">
        <w:rPr>
          <w:rFonts w:eastAsia="Times New Roman" w:cs="Arial"/>
          <w:szCs w:val="20"/>
        </w:rPr>
        <w:t>that operate</w:t>
      </w:r>
      <w:r w:rsidR="0081460B">
        <w:rPr>
          <w:rFonts w:eastAsia="Times New Roman" w:cs="Arial"/>
          <w:szCs w:val="20"/>
        </w:rPr>
        <w:t>s</w:t>
      </w:r>
      <w:r w:rsidR="00BF2878" w:rsidRPr="00BF2878">
        <w:rPr>
          <w:rFonts w:eastAsia="Times New Roman" w:cs="Arial"/>
          <w:szCs w:val="20"/>
        </w:rPr>
        <w:t xml:space="preserve"> </w:t>
      </w:r>
      <w:r w:rsidR="0081460B">
        <w:rPr>
          <w:rFonts w:eastAsia="Times New Roman" w:cs="Arial"/>
          <w:szCs w:val="20"/>
        </w:rPr>
        <w:t>its</w:t>
      </w:r>
      <w:r w:rsidR="0081460B" w:rsidRPr="00BF2878">
        <w:rPr>
          <w:rFonts w:eastAsia="Times New Roman" w:cs="Arial"/>
          <w:szCs w:val="20"/>
        </w:rPr>
        <w:t xml:space="preserve"> utilit</w:t>
      </w:r>
      <w:r w:rsidR="0081460B">
        <w:rPr>
          <w:rFonts w:eastAsia="Times New Roman" w:cs="Arial"/>
          <w:szCs w:val="20"/>
        </w:rPr>
        <w:t>y</w:t>
      </w:r>
      <w:r w:rsidR="0081460B" w:rsidRPr="00BF2878">
        <w:rPr>
          <w:rFonts w:eastAsia="Times New Roman" w:cs="Arial"/>
          <w:szCs w:val="20"/>
        </w:rPr>
        <w:t xml:space="preserve"> </w:t>
      </w:r>
      <w:r w:rsidR="00BF2878" w:rsidRPr="00BF2878">
        <w:rPr>
          <w:rFonts w:eastAsia="Times New Roman" w:cs="Arial"/>
          <w:szCs w:val="20"/>
        </w:rPr>
        <w:t>not for profit</w:t>
      </w:r>
      <w:r w:rsidR="004010DA">
        <w:rPr>
          <w:rFonts w:eastAsia="Times New Roman" w:cs="Arial"/>
          <w:szCs w:val="20"/>
        </w:rPr>
        <w:t>,</w:t>
      </w:r>
      <w:r w:rsidR="00BF2878" w:rsidRPr="00BF2878">
        <w:rPr>
          <w:rFonts w:eastAsia="Times New Roman" w:cs="Arial"/>
          <w:szCs w:val="20"/>
        </w:rPr>
        <w:t xml:space="preserve">” </w:t>
      </w:r>
      <w:r w:rsidR="004010DA">
        <w:rPr>
          <w:rFonts w:eastAsia="Times New Roman" w:cs="Arial"/>
          <w:szCs w:val="20"/>
        </w:rPr>
        <w:t xml:space="preserve">a municipal utility, </w:t>
      </w:r>
      <w:r w:rsidR="00BF2878" w:rsidRPr="00BF2878">
        <w:rPr>
          <w:rFonts w:eastAsia="Times New Roman" w:cs="Arial"/>
          <w:szCs w:val="20"/>
        </w:rPr>
        <w:t>and “a public utility … that is owned and operated exclusively by and sol</w:t>
      </w:r>
      <w:r w:rsidR="00851ACC">
        <w:rPr>
          <w:rFonts w:eastAsia="Times New Roman" w:cs="Arial"/>
          <w:szCs w:val="20"/>
        </w:rPr>
        <w:t>ely for the utility’s customers</w:t>
      </w:r>
      <w:r w:rsidR="00BF2878" w:rsidRPr="00BF2878">
        <w:rPr>
          <w:rFonts w:eastAsia="Times New Roman" w:cs="Arial"/>
          <w:szCs w:val="20"/>
        </w:rPr>
        <w:t>”</w:t>
      </w:r>
      <w:r w:rsidR="00851ACC">
        <w:rPr>
          <w:rFonts w:eastAsia="Times New Roman" w:cs="Arial"/>
          <w:szCs w:val="20"/>
        </w:rPr>
        <w:t>)</w:t>
      </w:r>
      <w:r w:rsidR="0081460B">
        <w:rPr>
          <w:rFonts w:eastAsia="Times New Roman" w:cs="Arial"/>
          <w:szCs w:val="20"/>
        </w:rPr>
        <w:t>.</w:t>
      </w:r>
      <w:r w:rsidR="00BF2878" w:rsidRPr="00BF2878">
        <w:rPr>
          <w:rFonts w:eastAsia="Times New Roman" w:cs="Arial"/>
          <w:szCs w:val="20"/>
        </w:rPr>
        <w:t xml:space="preserve">  R.C. 4905.03 provides the functional or operating characteristics for various types of public utilities such as a water-works company, sewage disposal company, or an electric light company.</w:t>
      </w:r>
      <w:r w:rsidR="00BF2878" w:rsidRPr="00BF2878">
        <w:rPr>
          <w:rFonts w:eastAsia="Times New Roman" w:cs="Arial"/>
          <w:szCs w:val="20"/>
          <w:vertAlign w:val="superscript"/>
        </w:rPr>
        <w:footnoteReference w:id="2"/>
      </w:r>
      <w:r w:rsidR="00BF2878" w:rsidRPr="00BF2878">
        <w:rPr>
          <w:rFonts w:eastAsia="Times New Roman" w:cs="Arial"/>
          <w:szCs w:val="20"/>
        </w:rPr>
        <w:t xml:space="preserve">  </w:t>
      </w:r>
      <w:r w:rsidR="007D7659">
        <w:rPr>
          <w:rFonts w:eastAsia="Times New Roman" w:cs="Arial"/>
          <w:szCs w:val="20"/>
        </w:rPr>
        <w:t>The</w:t>
      </w:r>
      <w:r w:rsidR="00BF2878" w:rsidRPr="00BF2878">
        <w:rPr>
          <w:rFonts w:eastAsia="Times New Roman" w:cs="Arial"/>
          <w:szCs w:val="20"/>
        </w:rPr>
        <w:t xml:space="preserve"> functional definition</w:t>
      </w:r>
      <w:r w:rsidR="0017770F">
        <w:rPr>
          <w:rFonts w:eastAsia="Times New Roman" w:cs="Arial"/>
          <w:szCs w:val="20"/>
        </w:rPr>
        <w:t>s also specify</w:t>
      </w:r>
      <w:r w:rsidR="00BF2878" w:rsidRPr="00BF2878">
        <w:rPr>
          <w:rFonts w:eastAsia="Times New Roman" w:cs="Arial"/>
          <w:szCs w:val="20"/>
        </w:rPr>
        <w:t xml:space="preserve"> that public utility status is confined to persons engaged in the business of performing the function with regard to consumers in Ohio.  </w:t>
      </w:r>
      <w:r w:rsidR="00BF2878" w:rsidRPr="00BF2878">
        <w:rPr>
          <w:rFonts w:eastAsia="Times New Roman" w:cs="Arial"/>
          <w:i/>
          <w:szCs w:val="20"/>
        </w:rPr>
        <w:t xml:space="preserve">In the Matter of the Application of The Procter &amp; Gamble Company for Relief From </w:t>
      </w:r>
      <w:r w:rsidR="00BF2878" w:rsidRPr="00BF2878">
        <w:rPr>
          <w:rFonts w:eastAsia="Times New Roman" w:cs="Arial"/>
          <w:i/>
          <w:szCs w:val="20"/>
        </w:rPr>
        <w:lastRenderedPageBreak/>
        <w:t>Compliance With the Obligations Imposed by Title 49 of the Ohio Revised Code</w:t>
      </w:r>
      <w:r w:rsidR="00BF2878" w:rsidRPr="00BF2878">
        <w:rPr>
          <w:rFonts w:eastAsia="Times New Roman" w:cs="Arial"/>
          <w:szCs w:val="20"/>
        </w:rPr>
        <w:t xml:space="preserve">, Case No. 03-725-HC-ARJ, Entry at 2 (Apr. 10, 2003).  </w:t>
      </w:r>
    </w:p>
    <w:p w14:paraId="7A1489E3" w14:textId="499DE372" w:rsidR="003E24F8" w:rsidRDefault="003E24F8" w:rsidP="004B356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eastAsia="Times New Roman" w:cs="Arial"/>
          <w:szCs w:val="20"/>
        </w:rPr>
      </w:pPr>
      <w:r w:rsidRPr="008C5355">
        <w:rPr>
          <w:rFonts w:eastAsia="Times New Roman" w:cs="Arial"/>
        </w:rPr>
        <w:t xml:space="preserve">Statutory exceptions also may prevent the Commission from exercising regulatory authority over </w:t>
      </w:r>
      <w:r w:rsidR="0027546A">
        <w:rPr>
          <w:rFonts w:eastAsia="Times New Roman" w:cs="Arial"/>
        </w:rPr>
        <w:t xml:space="preserve">the provision of </w:t>
      </w:r>
      <w:r w:rsidRPr="008C5355">
        <w:rPr>
          <w:rFonts w:eastAsia="Times New Roman" w:cs="Arial"/>
        </w:rPr>
        <w:t xml:space="preserve">services.  </w:t>
      </w:r>
      <w:r w:rsidR="004010DA">
        <w:rPr>
          <w:rFonts w:eastAsia="Times New Roman" w:cs="Arial"/>
        </w:rPr>
        <w:t>As noted above</w:t>
      </w:r>
      <w:r>
        <w:rPr>
          <w:rFonts w:eastAsia="Times New Roman" w:cs="Arial"/>
        </w:rPr>
        <w:t xml:space="preserve">, the Commission lacks jurisdiction over cooperative and municipal electric light companies.  R.C. 4905.02(A).  </w:t>
      </w:r>
      <w:r w:rsidR="0017770F">
        <w:rPr>
          <w:rFonts w:eastAsia="Times New Roman" w:cs="Arial"/>
        </w:rPr>
        <w:t xml:space="preserve">Also, R.C. 4905.03(E) provides, </w:t>
      </w:r>
      <w:r w:rsidRPr="008C5355">
        <w:rPr>
          <w:rFonts w:eastAsia="Times New Roman" w:cs="Arial"/>
        </w:rPr>
        <w:t>“</w:t>
      </w:r>
      <w:r w:rsidR="002C4F0E" w:rsidRPr="002C4F0E">
        <w:rPr>
          <w:rFonts w:eastAsia="Times New Roman" w:cs="Arial"/>
        </w:rPr>
        <w:t>The commission, upon application made to it, may relieve any producer or gatherer of natural gas, defined in this section as a gas company or a natural gas company, of compliance with the obligations imposed by this chapter and Chapters 4901., 4903., 4907., 4909., 4921., and 4923. of the Revised Code, so long as the producer or gatherer is not affiliated with or under the control of a gas company or a natural gas company engaged in the transportation or distribution of natural gas, or so long as the producer or gatherer does not engage in the distribution of natural gas to consumers.</w:t>
      </w:r>
      <w:r w:rsidR="00413717">
        <w:rPr>
          <w:rFonts w:eastAsia="Times New Roman" w:cs="Arial"/>
        </w:rPr>
        <w:t>”</w:t>
      </w:r>
      <w:r w:rsidRPr="008C5355">
        <w:rPr>
          <w:rFonts w:eastAsia="Times New Roman" w:cs="Arial"/>
        </w:rPr>
        <w:t xml:space="preserve">  </w:t>
      </w:r>
      <w:r w:rsidRPr="008C5355">
        <w:rPr>
          <w:rFonts w:eastAsia="Times New Roman" w:cs="Arial"/>
          <w:i/>
        </w:rPr>
        <w:t>See, e.g., In the Matter of the Application of American Landfill Gas Company</w:t>
      </w:r>
      <w:r w:rsidR="007A3D4B">
        <w:rPr>
          <w:rFonts w:eastAsia="Times New Roman" w:cs="Arial"/>
          <w:i/>
        </w:rPr>
        <w:t xml:space="preserve"> </w:t>
      </w:r>
      <w:r w:rsidR="009E3AF8">
        <w:rPr>
          <w:rFonts w:eastAsia="Times New Roman" w:cs="Arial"/>
          <w:i/>
        </w:rPr>
        <w:t>for Relief from Compliance with the Obligations Imposed by Chapters 4901, 4903, 4905, 4907, 4909, 4921, and 4923 of the Ohio Revised Code</w:t>
      </w:r>
      <w:r w:rsidRPr="008C5355">
        <w:rPr>
          <w:rFonts w:eastAsia="Times New Roman" w:cs="Arial"/>
        </w:rPr>
        <w:t>, Case No. 97-194-GA-ARJ</w:t>
      </w:r>
      <w:r w:rsidR="00E77527">
        <w:rPr>
          <w:rFonts w:eastAsia="Times New Roman" w:cs="Arial"/>
        </w:rPr>
        <w:t>, Entry</w:t>
      </w:r>
      <w:r w:rsidRPr="008C5355">
        <w:rPr>
          <w:rFonts w:eastAsia="Times New Roman" w:cs="Arial"/>
        </w:rPr>
        <w:t xml:space="preserve"> at 2 (Apr. </w:t>
      </w:r>
      <w:r w:rsidR="001B13A1" w:rsidRPr="008C5355">
        <w:rPr>
          <w:rFonts w:eastAsia="Times New Roman" w:cs="Arial"/>
        </w:rPr>
        <w:t>1</w:t>
      </w:r>
      <w:r w:rsidR="001B13A1">
        <w:rPr>
          <w:rFonts w:eastAsia="Times New Roman" w:cs="Arial"/>
        </w:rPr>
        <w:t>7</w:t>
      </w:r>
      <w:r w:rsidRPr="008C5355">
        <w:rPr>
          <w:rFonts w:eastAsia="Times New Roman" w:cs="Arial"/>
        </w:rPr>
        <w:t>, 1997)</w:t>
      </w:r>
      <w:r>
        <w:rPr>
          <w:rFonts w:eastAsia="Times New Roman" w:cs="Arial"/>
        </w:rPr>
        <w:t xml:space="preserve">.  </w:t>
      </w:r>
      <w:r w:rsidRPr="008C5355">
        <w:rPr>
          <w:rFonts w:eastAsia="Times New Roman" w:cs="Arial"/>
        </w:rPr>
        <w:t xml:space="preserve">Under </w:t>
      </w:r>
      <w:r>
        <w:rPr>
          <w:rFonts w:eastAsia="Times New Roman" w:cs="Arial"/>
        </w:rPr>
        <w:t>a</w:t>
      </w:r>
      <w:r w:rsidRPr="008C5355">
        <w:rPr>
          <w:rFonts w:eastAsia="Times New Roman" w:cs="Arial"/>
        </w:rPr>
        <w:t xml:space="preserve"> statutory exception, the Commission concluded that a non-profit cooperative arrangement for the joint operation of a sewage treatment facility by industrial customers was not subject to the Commission’s regulatory jurisdiction.  </w:t>
      </w:r>
      <w:r w:rsidRPr="008C5355">
        <w:rPr>
          <w:rFonts w:eastAsia="Times New Roman" w:cs="Arial"/>
          <w:i/>
        </w:rPr>
        <w:t>In the Matter of the Application of Hissong-Kenworth, Inc. Requesting a Declaration Regarding its Public Utility Status</w:t>
      </w:r>
      <w:r w:rsidRPr="008C5355">
        <w:rPr>
          <w:rFonts w:eastAsia="Times New Roman" w:cs="Arial"/>
        </w:rPr>
        <w:t>, Case No. 84-565-ST-</w:t>
      </w:r>
      <w:r>
        <w:rPr>
          <w:rFonts w:eastAsia="Times New Roman" w:cs="Arial"/>
        </w:rPr>
        <w:t>ARJ, Entry at 1 (May 22, 1984).</w:t>
      </w:r>
      <w:r w:rsidRPr="008C5355">
        <w:rPr>
          <w:rFonts w:eastAsia="Times New Roman" w:cs="Arial"/>
        </w:rPr>
        <w:t xml:space="preserve">  </w:t>
      </w:r>
    </w:p>
    <w:p w14:paraId="29C0DB76" w14:textId="2FC5F622" w:rsidR="005741EC" w:rsidRDefault="00BF2878" w:rsidP="004B3565">
      <w:pPr>
        <w:tabs>
          <w:tab w:val="left" w:pos="720"/>
        </w:tabs>
        <w:spacing w:line="480" w:lineRule="auto"/>
        <w:ind w:firstLine="720"/>
        <w:rPr>
          <w:rFonts w:eastAsia="Times New Roman" w:cs="Arial"/>
          <w:szCs w:val="20"/>
        </w:rPr>
      </w:pPr>
      <w:r w:rsidRPr="00BF2878">
        <w:rPr>
          <w:rFonts w:eastAsia="Times New Roman" w:cs="Arial"/>
          <w:szCs w:val="20"/>
        </w:rPr>
        <w:t xml:space="preserve">“The statutory definitions, however, are not self-applying.”  </w:t>
      </w:r>
      <w:r w:rsidRPr="00BF2878">
        <w:rPr>
          <w:rFonts w:eastAsia="Times New Roman" w:cs="Arial"/>
          <w:i/>
          <w:szCs w:val="20"/>
        </w:rPr>
        <w:t>Pledger v. Pub. Util. Comm’n of Ohio</w:t>
      </w:r>
      <w:r w:rsidRPr="00BF2878">
        <w:rPr>
          <w:rFonts w:eastAsia="Times New Roman" w:cs="Arial"/>
          <w:szCs w:val="20"/>
        </w:rPr>
        <w:t>, 109 Ohio St.3d 463, 465 (2006) (“</w:t>
      </w:r>
      <w:r w:rsidRPr="00BF2878">
        <w:rPr>
          <w:rFonts w:eastAsia="Times New Roman" w:cs="Arial"/>
          <w:i/>
          <w:szCs w:val="20"/>
        </w:rPr>
        <w:t>Pledger</w:t>
      </w:r>
      <w:r w:rsidRPr="00BF2878">
        <w:rPr>
          <w:rFonts w:eastAsia="Times New Roman" w:cs="Arial"/>
          <w:szCs w:val="20"/>
        </w:rPr>
        <w:t xml:space="preserve">”).  For example, the </w:t>
      </w:r>
      <w:r w:rsidRPr="00BF2878">
        <w:rPr>
          <w:rFonts w:eastAsia="Times New Roman" w:cs="Arial"/>
          <w:szCs w:val="20"/>
        </w:rPr>
        <w:lastRenderedPageBreak/>
        <w:t xml:space="preserve">Commission applies </w:t>
      </w:r>
      <w:r w:rsidR="005741EC">
        <w:rPr>
          <w:rFonts w:eastAsia="Times New Roman" w:cs="Arial"/>
          <w:szCs w:val="20"/>
        </w:rPr>
        <w:t xml:space="preserve">the </w:t>
      </w:r>
      <w:r w:rsidR="005741EC" w:rsidRPr="005741EC">
        <w:rPr>
          <w:rFonts w:eastAsia="Times New Roman" w:cs="Arial"/>
          <w:i/>
          <w:szCs w:val="20"/>
        </w:rPr>
        <w:t>Sh</w:t>
      </w:r>
      <w:r w:rsidR="009D5B42">
        <w:rPr>
          <w:rFonts w:eastAsia="Times New Roman" w:cs="Arial"/>
          <w:i/>
          <w:szCs w:val="20"/>
        </w:rPr>
        <w:t>r</w:t>
      </w:r>
      <w:r w:rsidR="005741EC" w:rsidRPr="005741EC">
        <w:rPr>
          <w:rFonts w:eastAsia="Times New Roman" w:cs="Arial"/>
          <w:i/>
          <w:szCs w:val="20"/>
        </w:rPr>
        <w:t>oyer</w:t>
      </w:r>
      <w:r w:rsidRPr="00BF2878">
        <w:rPr>
          <w:rFonts w:eastAsia="Times New Roman" w:cs="Arial"/>
          <w:szCs w:val="20"/>
        </w:rPr>
        <w:t xml:space="preserve"> three-part test</w:t>
      </w:r>
      <w:r w:rsidRPr="00BF2878">
        <w:rPr>
          <w:rFonts w:eastAsia="Times New Roman" w:cs="Arial"/>
          <w:szCs w:val="20"/>
          <w:vertAlign w:val="superscript"/>
        </w:rPr>
        <w:footnoteReference w:id="3"/>
      </w:r>
      <w:r w:rsidRPr="00BF2878">
        <w:rPr>
          <w:rFonts w:eastAsia="Times New Roman" w:cs="Arial"/>
          <w:szCs w:val="20"/>
        </w:rPr>
        <w:t xml:space="preserve"> (that the Ohio Supreme Court (“Court”) has affirmed in </w:t>
      </w:r>
      <w:r w:rsidRPr="00BF2878">
        <w:rPr>
          <w:rFonts w:eastAsia="Times New Roman" w:cs="Arial"/>
          <w:i/>
          <w:szCs w:val="20"/>
        </w:rPr>
        <w:t>Pledger</w:t>
      </w:r>
      <w:r w:rsidRPr="00BF2878">
        <w:rPr>
          <w:rFonts w:eastAsia="Times New Roman" w:cs="Arial"/>
          <w:szCs w:val="20"/>
        </w:rPr>
        <w:t xml:space="preserve">) to determine if a landlord providing certain services to a tenant </w:t>
      </w:r>
      <w:r w:rsidR="00493CF4">
        <w:rPr>
          <w:rFonts w:eastAsia="Times New Roman" w:cs="Arial"/>
          <w:szCs w:val="20"/>
        </w:rPr>
        <w:t>fall</w:t>
      </w:r>
      <w:r w:rsidR="00E5088D">
        <w:rPr>
          <w:rFonts w:eastAsia="Times New Roman" w:cs="Arial"/>
          <w:szCs w:val="20"/>
        </w:rPr>
        <w:t>s</w:t>
      </w:r>
      <w:r w:rsidRPr="00BF2878">
        <w:rPr>
          <w:rFonts w:eastAsia="Times New Roman" w:cs="Arial"/>
          <w:szCs w:val="20"/>
        </w:rPr>
        <w:t xml:space="preserve"> within the definition of a public utility subject to the Commissi</w:t>
      </w:r>
      <w:r w:rsidR="005741EC">
        <w:rPr>
          <w:rFonts w:eastAsia="Times New Roman" w:cs="Arial"/>
          <w:szCs w:val="20"/>
        </w:rPr>
        <w:t>on’s regulation and supervision</w:t>
      </w:r>
      <w:r w:rsidR="00950A29">
        <w:rPr>
          <w:rFonts w:eastAsia="Times New Roman" w:cs="Arial"/>
          <w:szCs w:val="20"/>
        </w:rPr>
        <w:t xml:space="preserve">.  </w:t>
      </w:r>
    </w:p>
    <w:p w14:paraId="66B009C4" w14:textId="6B0656EB" w:rsidR="005741EC" w:rsidRPr="00A21CCC" w:rsidRDefault="005741EC" w:rsidP="009D5B42">
      <w:pPr>
        <w:tabs>
          <w:tab w:val="left" w:pos="1026"/>
        </w:tabs>
        <w:ind w:left="1440" w:right="806" w:hanging="720"/>
        <w:rPr>
          <w:rFonts w:eastAsia="Times New Roman" w:cs="Arial"/>
          <w:szCs w:val="20"/>
        </w:rPr>
      </w:pPr>
      <w:r w:rsidRPr="00A21CCC">
        <w:rPr>
          <w:rFonts w:eastAsia="Times New Roman" w:cs="Arial"/>
          <w:szCs w:val="20"/>
        </w:rPr>
        <w:t>1.</w:t>
      </w:r>
      <w:r w:rsidRPr="00A21CCC">
        <w:rPr>
          <w:rFonts w:eastAsia="Times New Roman" w:cs="Arial"/>
          <w:szCs w:val="14"/>
        </w:rPr>
        <w:t xml:space="preserve"> </w:t>
      </w:r>
      <w:r w:rsidR="009D5B42">
        <w:rPr>
          <w:rFonts w:eastAsia="Times New Roman" w:cs="Arial"/>
          <w:szCs w:val="14"/>
        </w:rPr>
        <w:tab/>
      </w:r>
      <w:r w:rsidRPr="00A21CCC">
        <w:rPr>
          <w:rFonts w:eastAsia="Times New Roman" w:cs="Arial"/>
          <w:szCs w:val="14"/>
        </w:rPr>
        <w:tab/>
      </w:r>
      <w:r w:rsidRPr="00A21CCC">
        <w:rPr>
          <w:rFonts w:eastAsia="Times New Roman" w:cs="Arial"/>
          <w:szCs w:val="20"/>
        </w:rPr>
        <w:t xml:space="preserve">Does the landlord </w:t>
      </w:r>
      <w:r w:rsidR="006403AC">
        <w:rPr>
          <w:rFonts w:eastAsia="Times New Roman" w:cs="Arial"/>
          <w:szCs w:val="20"/>
        </w:rPr>
        <w:t>avail itself</w:t>
      </w:r>
      <w:r w:rsidRPr="00A21CCC">
        <w:rPr>
          <w:rFonts w:eastAsia="Times New Roman" w:cs="Arial"/>
          <w:szCs w:val="20"/>
        </w:rPr>
        <w:t xml:space="preserve"> of the special benefits available to public utilities </w:t>
      </w:r>
      <w:r w:rsidR="0049418C">
        <w:rPr>
          <w:rFonts w:eastAsia="Times New Roman" w:cs="Arial"/>
          <w:szCs w:val="20"/>
        </w:rPr>
        <w:t>(e.g. -</w:t>
      </w:r>
      <w:r w:rsidRPr="00A21CCC">
        <w:rPr>
          <w:rFonts w:eastAsia="Times New Roman" w:cs="Arial"/>
          <w:szCs w:val="20"/>
        </w:rPr>
        <w:t xml:space="preserve"> public franchise</w:t>
      </w:r>
      <w:r w:rsidR="0049418C">
        <w:rPr>
          <w:rFonts w:eastAsia="Times New Roman" w:cs="Arial"/>
          <w:szCs w:val="20"/>
        </w:rPr>
        <w:t>,</w:t>
      </w:r>
      <w:r w:rsidRPr="00A21CCC">
        <w:rPr>
          <w:rFonts w:eastAsia="Times New Roman" w:cs="Arial"/>
          <w:szCs w:val="20"/>
        </w:rPr>
        <w:t xml:space="preserve"> </w:t>
      </w:r>
      <w:r w:rsidR="0049418C">
        <w:rPr>
          <w:rFonts w:eastAsia="Times New Roman" w:cs="Arial"/>
          <w:szCs w:val="20"/>
        </w:rPr>
        <w:t xml:space="preserve">public right of way, or the right of </w:t>
      </w:r>
      <w:r w:rsidRPr="00A21CCC">
        <w:rPr>
          <w:rFonts w:eastAsia="Times New Roman" w:cs="Arial"/>
          <w:szCs w:val="20"/>
        </w:rPr>
        <w:t>eminent domain in the construction or operation of its service</w:t>
      </w:r>
      <w:r w:rsidR="005064B1">
        <w:rPr>
          <w:rFonts w:eastAsia="Times New Roman" w:cs="Arial"/>
          <w:szCs w:val="20"/>
        </w:rPr>
        <w:t>)</w:t>
      </w:r>
      <w:r w:rsidRPr="00A21CCC">
        <w:rPr>
          <w:rFonts w:eastAsia="Times New Roman" w:cs="Arial"/>
          <w:szCs w:val="20"/>
        </w:rPr>
        <w:t>?</w:t>
      </w:r>
    </w:p>
    <w:p w14:paraId="0A73A47C" w14:textId="77777777" w:rsidR="005741EC" w:rsidRPr="00A21CCC" w:rsidRDefault="005741EC" w:rsidP="009D5B42">
      <w:pPr>
        <w:tabs>
          <w:tab w:val="left" w:pos="1026"/>
        </w:tabs>
        <w:ind w:left="1440" w:right="810" w:hanging="720"/>
        <w:rPr>
          <w:rFonts w:eastAsia="Times New Roman" w:cs="Arial"/>
          <w:szCs w:val="20"/>
        </w:rPr>
      </w:pPr>
    </w:p>
    <w:p w14:paraId="1179DB54" w14:textId="77777777" w:rsidR="005741EC" w:rsidRPr="00A21CCC" w:rsidRDefault="005741EC" w:rsidP="009D5B42">
      <w:pPr>
        <w:tabs>
          <w:tab w:val="left" w:pos="1026"/>
        </w:tabs>
        <w:ind w:left="1440" w:right="810" w:hanging="720"/>
        <w:rPr>
          <w:rFonts w:eastAsia="Times New Roman" w:cs="Arial"/>
          <w:szCs w:val="20"/>
        </w:rPr>
      </w:pPr>
      <w:r w:rsidRPr="00A21CCC">
        <w:rPr>
          <w:rFonts w:eastAsia="Times New Roman" w:cs="Arial"/>
          <w:szCs w:val="20"/>
        </w:rPr>
        <w:t>2.</w:t>
      </w:r>
      <w:r w:rsidRPr="00A21CCC">
        <w:rPr>
          <w:rFonts w:eastAsia="Times New Roman" w:cs="Arial"/>
          <w:szCs w:val="14"/>
        </w:rPr>
        <w:t xml:space="preserve"> </w:t>
      </w:r>
      <w:r w:rsidR="009D5B42">
        <w:rPr>
          <w:rFonts w:eastAsia="Times New Roman" w:cs="Arial"/>
          <w:szCs w:val="14"/>
        </w:rPr>
        <w:tab/>
      </w:r>
      <w:r w:rsidRPr="00A21CCC">
        <w:rPr>
          <w:rFonts w:eastAsia="Times New Roman" w:cs="Arial"/>
          <w:szCs w:val="14"/>
        </w:rPr>
        <w:tab/>
      </w:r>
      <w:r w:rsidRPr="00A21CCC">
        <w:rPr>
          <w:rFonts w:eastAsia="Times New Roman" w:cs="Arial"/>
          <w:szCs w:val="20"/>
        </w:rPr>
        <w:t>Does the landlord only provide the utility service to his tenants rather than the general public?</w:t>
      </w:r>
    </w:p>
    <w:p w14:paraId="0ADFD46D" w14:textId="77777777" w:rsidR="005741EC" w:rsidRPr="00A21CCC" w:rsidRDefault="005741EC" w:rsidP="009D5B42">
      <w:pPr>
        <w:tabs>
          <w:tab w:val="left" w:pos="1026"/>
        </w:tabs>
        <w:ind w:left="1440" w:right="810" w:hanging="720"/>
        <w:rPr>
          <w:rFonts w:eastAsia="Times New Roman" w:cs="Arial"/>
          <w:szCs w:val="20"/>
        </w:rPr>
      </w:pPr>
    </w:p>
    <w:p w14:paraId="47E501D6" w14:textId="556F08E5" w:rsidR="005741EC" w:rsidRDefault="005741EC" w:rsidP="009D5B42">
      <w:pPr>
        <w:tabs>
          <w:tab w:val="left" w:pos="1026"/>
        </w:tabs>
        <w:ind w:left="1440" w:right="810" w:hanging="720"/>
        <w:rPr>
          <w:rFonts w:eastAsia="Times New Roman" w:cs="Arial"/>
          <w:szCs w:val="20"/>
        </w:rPr>
      </w:pPr>
      <w:r w:rsidRPr="00A21CCC">
        <w:rPr>
          <w:rFonts w:eastAsia="Times New Roman" w:cs="Arial"/>
          <w:szCs w:val="20"/>
        </w:rPr>
        <w:t>3.</w:t>
      </w:r>
      <w:r w:rsidRPr="00A21CCC">
        <w:rPr>
          <w:rFonts w:eastAsia="Times New Roman" w:cs="Arial"/>
          <w:szCs w:val="14"/>
        </w:rPr>
        <w:tab/>
      </w:r>
      <w:r w:rsidR="009D5B42">
        <w:rPr>
          <w:rFonts w:eastAsia="Times New Roman" w:cs="Arial"/>
          <w:szCs w:val="14"/>
        </w:rPr>
        <w:tab/>
      </w:r>
      <w:r w:rsidRPr="00A21CCC">
        <w:rPr>
          <w:rFonts w:eastAsia="Times New Roman" w:cs="Arial"/>
          <w:szCs w:val="20"/>
        </w:rPr>
        <w:t xml:space="preserve">Is the provision of the utility service clearly ancillary to the </w:t>
      </w:r>
      <w:r w:rsidR="006403AC" w:rsidRPr="00A21CCC">
        <w:rPr>
          <w:rFonts w:eastAsia="Times New Roman" w:cs="Arial"/>
          <w:szCs w:val="20"/>
        </w:rPr>
        <w:t>landlord</w:t>
      </w:r>
      <w:r w:rsidR="00BF3139">
        <w:rPr>
          <w:rFonts w:eastAsia="Times New Roman" w:cs="Arial"/>
          <w:szCs w:val="20"/>
        </w:rPr>
        <w:t>’s</w:t>
      </w:r>
      <w:r w:rsidR="006403AC" w:rsidRPr="00A21CCC">
        <w:rPr>
          <w:rFonts w:eastAsia="Times New Roman" w:cs="Arial"/>
          <w:szCs w:val="20"/>
        </w:rPr>
        <w:t xml:space="preserve"> </w:t>
      </w:r>
      <w:r w:rsidRPr="00A21CCC">
        <w:rPr>
          <w:rFonts w:eastAsia="Times New Roman" w:cs="Arial"/>
          <w:szCs w:val="20"/>
        </w:rPr>
        <w:t>primary business?</w:t>
      </w:r>
    </w:p>
    <w:p w14:paraId="378436F9" w14:textId="77777777" w:rsidR="008F3E1E" w:rsidRDefault="008F3E1E" w:rsidP="009D5B42">
      <w:pPr>
        <w:tabs>
          <w:tab w:val="left" w:pos="1026"/>
        </w:tabs>
        <w:ind w:left="1440" w:right="810" w:hanging="720"/>
        <w:rPr>
          <w:rFonts w:eastAsia="Times New Roman" w:cs="Arial"/>
          <w:szCs w:val="20"/>
        </w:rPr>
      </w:pPr>
    </w:p>
    <w:p w14:paraId="663DCC31" w14:textId="77777777" w:rsidR="00BF2878" w:rsidRDefault="00BF2878" w:rsidP="005741EC">
      <w:pPr>
        <w:tabs>
          <w:tab w:val="left" w:pos="720"/>
        </w:tabs>
        <w:spacing w:line="480" w:lineRule="auto"/>
        <w:rPr>
          <w:rFonts w:eastAsia="Times New Roman" w:cs="Arial"/>
          <w:szCs w:val="20"/>
        </w:rPr>
      </w:pPr>
      <w:r w:rsidRPr="00BF2878">
        <w:rPr>
          <w:rFonts w:eastAsia="Times New Roman" w:cs="Arial"/>
          <w:i/>
          <w:iCs/>
          <w:szCs w:val="20"/>
        </w:rPr>
        <w:t>S</w:t>
      </w:r>
      <w:r w:rsidR="00FB29E7">
        <w:rPr>
          <w:rFonts w:eastAsia="Times New Roman" w:cs="Arial"/>
          <w:i/>
          <w:iCs/>
          <w:szCs w:val="20"/>
        </w:rPr>
        <w:t>hroyer</w:t>
      </w:r>
      <w:r w:rsidRPr="00BF2878">
        <w:rPr>
          <w:rFonts w:eastAsia="Times New Roman" w:cs="Arial"/>
          <w:szCs w:val="20"/>
        </w:rPr>
        <w:t xml:space="preserve">, </w:t>
      </w:r>
      <w:r w:rsidR="000F5733">
        <w:rPr>
          <w:rFonts w:eastAsia="Times New Roman" w:cs="Arial"/>
          <w:szCs w:val="20"/>
        </w:rPr>
        <w:t xml:space="preserve">Opinion and </w:t>
      </w:r>
      <w:r w:rsidR="00FB29E7">
        <w:rPr>
          <w:rFonts w:eastAsia="Times New Roman" w:cs="Arial"/>
          <w:szCs w:val="20"/>
        </w:rPr>
        <w:t xml:space="preserve">Order at 4 </w:t>
      </w:r>
      <w:r w:rsidRPr="00BF2878">
        <w:rPr>
          <w:rFonts w:eastAsia="Times New Roman" w:cs="Arial"/>
          <w:szCs w:val="20"/>
        </w:rPr>
        <w:t>(</w:t>
      </w:r>
      <w:r w:rsidR="000F5733">
        <w:rPr>
          <w:rFonts w:eastAsia="Times New Roman" w:cs="Arial"/>
          <w:szCs w:val="20"/>
        </w:rPr>
        <w:t>Feb.</w:t>
      </w:r>
      <w:r w:rsidRPr="00BF2878">
        <w:rPr>
          <w:rFonts w:eastAsia="Times New Roman" w:cs="Arial"/>
          <w:szCs w:val="20"/>
        </w:rPr>
        <w:t xml:space="preserve"> 27, 1992)</w:t>
      </w:r>
      <w:r w:rsidR="00950A29">
        <w:rPr>
          <w:rFonts w:eastAsia="Times New Roman" w:cs="Arial"/>
          <w:szCs w:val="20"/>
        </w:rPr>
        <w:t xml:space="preserve">.  </w:t>
      </w:r>
      <w:r w:rsidR="00950A29" w:rsidRPr="00950A29">
        <w:rPr>
          <w:rFonts w:eastAsia="Times New Roman" w:cs="Arial"/>
          <w:i/>
          <w:szCs w:val="20"/>
        </w:rPr>
        <w:t>See, also,</w:t>
      </w:r>
      <w:r w:rsidRPr="00BF2878">
        <w:rPr>
          <w:rFonts w:eastAsia="Times New Roman" w:cs="Arial"/>
          <w:szCs w:val="20"/>
        </w:rPr>
        <w:t xml:space="preserve"> </w:t>
      </w:r>
      <w:r w:rsidRPr="00BF2878">
        <w:rPr>
          <w:rFonts w:eastAsia="Times New Roman" w:cs="Arial"/>
          <w:i/>
          <w:iCs/>
          <w:szCs w:val="20"/>
        </w:rPr>
        <w:t>Brooks, et al. v. Toledo Edison Co.</w:t>
      </w:r>
      <w:r w:rsidRPr="00BF2878">
        <w:rPr>
          <w:rFonts w:eastAsia="Times New Roman" w:cs="Arial"/>
          <w:szCs w:val="20"/>
        </w:rPr>
        <w:t>,</w:t>
      </w:r>
      <w:r w:rsidRPr="00BF2878">
        <w:rPr>
          <w:rFonts w:eastAsia="Times New Roman" w:cs="Arial"/>
          <w:i/>
          <w:iCs/>
          <w:szCs w:val="20"/>
        </w:rPr>
        <w:t xml:space="preserve"> </w:t>
      </w:r>
      <w:r w:rsidR="00031565">
        <w:rPr>
          <w:rFonts w:eastAsia="Times New Roman" w:cs="Arial"/>
          <w:szCs w:val="20"/>
        </w:rPr>
        <w:t>Case No. 94-1987, Entry</w:t>
      </w:r>
      <w:r w:rsidRPr="00BF2878">
        <w:rPr>
          <w:rFonts w:eastAsia="Times New Roman" w:cs="Arial"/>
          <w:szCs w:val="20"/>
        </w:rPr>
        <w:t xml:space="preserve"> </w:t>
      </w:r>
      <w:r w:rsidR="0025794F">
        <w:rPr>
          <w:rFonts w:eastAsia="Times New Roman" w:cs="Arial"/>
          <w:szCs w:val="20"/>
        </w:rPr>
        <w:t>(</w:t>
      </w:r>
      <w:r w:rsidR="00024A90">
        <w:rPr>
          <w:rFonts w:eastAsia="Times New Roman" w:cs="Arial"/>
          <w:szCs w:val="20"/>
        </w:rPr>
        <w:t>Mar. 16, 1995)</w:t>
      </w:r>
      <w:r w:rsidR="001B7654">
        <w:rPr>
          <w:rFonts w:eastAsia="Times New Roman" w:cs="Arial"/>
          <w:szCs w:val="20"/>
        </w:rPr>
        <w:t xml:space="preserve"> (“</w:t>
      </w:r>
      <w:r w:rsidR="001B7654" w:rsidRPr="001B7654">
        <w:rPr>
          <w:rFonts w:eastAsia="Times New Roman" w:cs="Arial"/>
          <w:i/>
          <w:szCs w:val="20"/>
        </w:rPr>
        <w:t>Brooks</w:t>
      </w:r>
      <w:r w:rsidR="001B7654">
        <w:rPr>
          <w:rFonts w:eastAsia="Times New Roman" w:cs="Arial"/>
          <w:szCs w:val="20"/>
        </w:rPr>
        <w:t>”)</w:t>
      </w:r>
      <w:r w:rsidRPr="00BF2878">
        <w:rPr>
          <w:rFonts w:eastAsia="Times New Roman" w:cs="Arial"/>
          <w:szCs w:val="20"/>
        </w:rPr>
        <w:t>.</w:t>
      </w:r>
    </w:p>
    <w:p w14:paraId="6BCF568E" w14:textId="58803969" w:rsidR="001B7654" w:rsidRPr="00BF2878" w:rsidRDefault="00E5088D" w:rsidP="004B3565">
      <w:pPr>
        <w:tabs>
          <w:tab w:val="left" w:pos="720"/>
        </w:tabs>
        <w:spacing w:line="480" w:lineRule="auto"/>
        <w:ind w:firstLine="720"/>
        <w:rPr>
          <w:rFonts w:eastAsia="Times New Roman" w:cs="Arial"/>
          <w:szCs w:val="20"/>
        </w:rPr>
      </w:pPr>
      <w:r>
        <w:rPr>
          <w:rFonts w:eastAsia="Times New Roman" w:cs="Arial"/>
          <w:szCs w:val="20"/>
        </w:rPr>
        <w:t xml:space="preserve">The Commission has extended the </w:t>
      </w:r>
      <w:r w:rsidRPr="00E5088D">
        <w:rPr>
          <w:rFonts w:eastAsia="Times New Roman" w:cs="Arial"/>
          <w:i/>
          <w:szCs w:val="20"/>
        </w:rPr>
        <w:t>Shroyer</w:t>
      </w:r>
      <w:r>
        <w:rPr>
          <w:rFonts w:eastAsia="Times New Roman" w:cs="Arial"/>
          <w:szCs w:val="20"/>
        </w:rPr>
        <w:t xml:space="preserve"> test to commercial tenancies.  </w:t>
      </w:r>
      <w:r w:rsidR="00EA02BB">
        <w:rPr>
          <w:rFonts w:eastAsia="Times New Roman" w:cs="Arial"/>
          <w:szCs w:val="20"/>
        </w:rPr>
        <w:t xml:space="preserve">In </w:t>
      </w:r>
      <w:r w:rsidR="00EA02BB" w:rsidRPr="00957CC0">
        <w:rPr>
          <w:rFonts w:eastAsia="Times New Roman" w:cs="Arial"/>
          <w:i/>
          <w:szCs w:val="20"/>
        </w:rPr>
        <w:t>Brooks</w:t>
      </w:r>
      <w:r w:rsidR="00EA02BB">
        <w:rPr>
          <w:rFonts w:eastAsia="Times New Roman" w:cs="Arial"/>
          <w:szCs w:val="20"/>
        </w:rPr>
        <w:t>, commercial tenants of a mall sued the landlord</w:t>
      </w:r>
      <w:r w:rsidR="00957CC0">
        <w:rPr>
          <w:rFonts w:eastAsia="Times New Roman" w:cs="Arial"/>
          <w:szCs w:val="20"/>
        </w:rPr>
        <w:t xml:space="preserve">s, stating that the landlords were violating a resale restriction in the Toledo Edison tariffs and that the landlords were operating illegally as public utilities.  </w:t>
      </w:r>
      <w:r w:rsidR="00D03C89">
        <w:rPr>
          <w:rFonts w:eastAsia="Times New Roman" w:cs="Arial"/>
          <w:szCs w:val="20"/>
        </w:rPr>
        <w:t xml:space="preserve">The </w:t>
      </w:r>
      <w:r w:rsidR="002718A7">
        <w:rPr>
          <w:rFonts w:eastAsia="Times New Roman" w:cs="Arial"/>
          <w:szCs w:val="20"/>
        </w:rPr>
        <w:t xml:space="preserve">tenants also alleged that the landlords were operating as agents of Toledo Edison.  </w:t>
      </w:r>
      <w:r w:rsidR="00EF1FA7">
        <w:rPr>
          <w:rFonts w:eastAsia="Times New Roman" w:cs="Arial"/>
          <w:i/>
          <w:szCs w:val="20"/>
        </w:rPr>
        <w:t>Brooks</w:t>
      </w:r>
      <w:r w:rsidR="002718A7">
        <w:rPr>
          <w:rFonts w:eastAsia="Times New Roman" w:cs="Arial"/>
          <w:szCs w:val="20"/>
        </w:rPr>
        <w:t xml:space="preserve">, Entry at 2.  </w:t>
      </w:r>
      <w:r w:rsidR="00957CC0">
        <w:rPr>
          <w:rFonts w:eastAsia="Times New Roman" w:cs="Arial"/>
          <w:szCs w:val="20"/>
        </w:rPr>
        <w:t xml:space="preserve">Applying </w:t>
      </w:r>
      <w:r w:rsidR="00957CC0" w:rsidRPr="00D92196">
        <w:rPr>
          <w:rFonts w:eastAsia="Times New Roman" w:cs="Arial"/>
          <w:i/>
          <w:szCs w:val="20"/>
        </w:rPr>
        <w:t>Shroyer</w:t>
      </w:r>
      <w:r w:rsidR="00957CC0">
        <w:rPr>
          <w:rFonts w:eastAsia="Times New Roman" w:cs="Arial"/>
          <w:szCs w:val="20"/>
        </w:rPr>
        <w:t xml:space="preserve">, the Commission dismissed the </w:t>
      </w:r>
      <w:r w:rsidR="00D03C89">
        <w:rPr>
          <w:rFonts w:eastAsia="Times New Roman" w:cs="Arial"/>
          <w:szCs w:val="20"/>
        </w:rPr>
        <w:t xml:space="preserve">complaint against the landlords.  </w:t>
      </w:r>
      <w:r w:rsidR="004E4754">
        <w:rPr>
          <w:rFonts w:eastAsia="Times New Roman" w:cs="Arial"/>
          <w:szCs w:val="20"/>
        </w:rPr>
        <w:t>The Commission found</w:t>
      </w:r>
      <w:r w:rsidR="00771B6F">
        <w:rPr>
          <w:rFonts w:eastAsia="Times New Roman" w:cs="Arial"/>
          <w:szCs w:val="20"/>
        </w:rPr>
        <w:t xml:space="preserve"> that the </w:t>
      </w:r>
      <w:r w:rsidR="00771B6F" w:rsidRPr="00D92196">
        <w:rPr>
          <w:rFonts w:eastAsia="Times New Roman" w:cs="Arial"/>
          <w:i/>
          <w:szCs w:val="20"/>
        </w:rPr>
        <w:t>Sh</w:t>
      </w:r>
      <w:r w:rsidR="008D4054">
        <w:rPr>
          <w:rFonts w:eastAsia="Times New Roman" w:cs="Arial"/>
          <w:i/>
          <w:szCs w:val="20"/>
        </w:rPr>
        <w:t>r</w:t>
      </w:r>
      <w:r w:rsidR="00771B6F" w:rsidRPr="00D92196">
        <w:rPr>
          <w:rFonts w:eastAsia="Times New Roman" w:cs="Arial"/>
          <w:i/>
          <w:szCs w:val="20"/>
        </w:rPr>
        <w:t>oyer</w:t>
      </w:r>
      <w:r w:rsidR="00771B6F">
        <w:rPr>
          <w:rFonts w:eastAsia="Times New Roman" w:cs="Arial"/>
          <w:szCs w:val="20"/>
        </w:rPr>
        <w:t xml:space="preserve"> test provides adequate criteria for distinguishing entities which operate as </w:t>
      </w:r>
      <w:r w:rsidR="00771B6F" w:rsidRPr="00D92196">
        <w:rPr>
          <w:rFonts w:eastAsia="Times New Roman" w:cs="Arial"/>
          <w:i/>
          <w:szCs w:val="20"/>
        </w:rPr>
        <w:t>de facto</w:t>
      </w:r>
      <w:r w:rsidR="00771B6F">
        <w:rPr>
          <w:rFonts w:eastAsia="Times New Roman" w:cs="Arial"/>
          <w:szCs w:val="20"/>
        </w:rPr>
        <w:t xml:space="preserve"> public utilities.  </w:t>
      </w:r>
      <w:r w:rsidR="00771B6F" w:rsidRPr="00C55FAB">
        <w:rPr>
          <w:rFonts w:eastAsia="Times New Roman" w:cs="Arial"/>
          <w:i/>
          <w:szCs w:val="20"/>
        </w:rPr>
        <w:t>Id</w:t>
      </w:r>
      <w:r w:rsidR="0021691D">
        <w:rPr>
          <w:rFonts w:eastAsia="Times New Roman" w:cs="Arial"/>
          <w:szCs w:val="20"/>
        </w:rPr>
        <w:t xml:space="preserve">., Entry </w:t>
      </w:r>
      <w:r w:rsidR="00771B6F">
        <w:rPr>
          <w:rFonts w:eastAsia="Times New Roman" w:cs="Arial"/>
          <w:szCs w:val="20"/>
        </w:rPr>
        <w:t>at 6.</w:t>
      </w:r>
      <w:r w:rsidR="00AD2552">
        <w:rPr>
          <w:rFonts w:eastAsia="Times New Roman" w:cs="Arial"/>
          <w:szCs w:val="20"/>
        </w:rPr>
        <w:t xml:space="preserve">  The Commission also </w:t>
      </w:r>
      <w:r w:rsidR="006D4198">
        <w:rPr>
          <w:rFonts w:eastAsia="Times New Roman" w:cs="Arial"/>
          <w:szCs w:val="20"/>
        </w:rPr>
        <w:t>dismissed</w:t>
      </w:r>
      <w:r w:rsidR="008E35A8">
        <w:rPr>
          <w:rFonts w:eastAsia="Times New Roman" w:cs="Arial"/>
          <w:szCs w:val="20"/>
        </w:rPr>
        <w:t xml:space="preserve"> the claim that the landlords may be acting as agents of Toledo Edison</w:t>
      </w:r>
      <w:r w:rsidR="00C55FAB">
        <w:rPr>
          <w:rFonts w:eastAsia="Times New Roman" w:cs="Arial"/>
          <w:szCs w:val="20"/>
        </w:rPr>
        <w:t>; even if the landlord</w:t>
      </w:r>
      <w:r w:rsidR="006D4198">
        <w:rPr>
          <w:rFonts w:eastAsia="Times New Roman" w:cs="Arial"/>
          <w:szCs w:val="20"/>
        </w:rPr>
        <w:t>s</w:t>
      </w:r>
      <w:r w:rsidR="00C55FAB">
        <w:rPr>
          <w:rFonts w:eastAsia="Times New Roman" w:cs="Arial"/>
          <w:szCs w:val="20"/>
        </w:rPr>
        <w:t xml:space="preserve"> </w:t>
      </w:r>
      <w:r w:rsidR="006D4198">
        <w:rPr>
          <w:rFonts w:eastAsia="Times New Roman" w:cs="Arial"/>
          <w:szCs w:val="20"/>
        </w:rPr>
        <w:t>were</w:t>
      </w:r>
      <w:r w:rsidR="00C55FAB">
        <w:rPr>
          <w:rFonts w:eastAsia="Times New Roman" w:cs="Arial"/>
          <w:szCs w:val="20"/>
        </w:rPr>
        <w:t xml:space="preserve"> </w:t>
      </w:r>
      <w:r w:rsidR="006D4198">
        <w:rPr>
          <w:rFonts w:eastAsia="Times New Roman" w:cs="Arial"/>
          <w:szCs w:val="20"/>
        </w:rPr>
        <w:lastRenderedPageBreak/>
        <w:t xml:space="preserve">agents </w:t>
      </w:r>
      <w:r w:rsidR="00C55FAB">
        <w:rPr>
          <w:rFonts w:eastAsia="Times New Roman" w:cs="Arial"/>
          <w:szCs w:val="20"/>
        </w:rPr>
        <w:t xml:space="preserve">of Toledo Edison, the “assumed agency relationship does not transform [the landlord] into a public utility subject to [the Commission’s] jurisdiction.”  </w:t>
      </w:r>
      <w:r w:rsidR="00C55FAB" w:rsidRPr="0021691D">
        <w:rPr>
          <w:rFonts w:eastAsia="Times New Roman" w:cs="Arial"/>
          <w:i/>
          <w:szCs w:val="20"/>
        </w:rPr>
        <w:t>Id</w:t>
      </w:r>
      <w:r w:rsidR="00C55FAB">
        <w:rPr>
          <w:rFonts w:eastAsia="Times New Roman" w:cs="Arial"/>
          <w:szCs w:val="20"/>
        </w:rPr>
        <w:t>.</w:t>
      </w:r>
    </w:p>
    <w:p w14:paraId="0C386EDD" w14:textId="77777777" w:rsidR="00BF2878" w:rsidRDefault="001B7654" w:rsidP="00BF2878">
      <w:pPr>
        <w:spacing w:line="480" w:lineRule="auto"/>
        <w:ind w:firstLine="720"/>
        <w:rPr>
          <w:rFonts w:eastAsia="Times New Roman" w:cs="Arial"/>
          <w:szCs w:val="20"/>
        </w:rPr>
      </w:pPr>
      <w:r>
        <w:rPr>
          <w:rFonts w:eastAsia="Times New Roman" w:cs="Arial"/>
          <w:szCs w:val="20"/>
        </w:rPr>
        <w:t>T</w:t>
      </w:r>
      <w:r w:rsidR="00024A90">
        <w:rPr>
          <w:rFonts w:eastAsia="Times New Roman" w:cs="Arial"/>
          <w:szCs w:val="20"/>
        </w:rPr>
        <w:t>he</w:t>
      </w:r>
      <w:r w:rsidR="00BF2878" w:rsidRPr="00BF2878">
        <w:rPr>
          <w:rFonts w:eastAsia="Times New Roman" w:cs="Arial"/>
          <w:szCs w:val="20"/>
        </w:rPr>
        <w:t xml:space="preserve"> </w:t>
      </w:r>
      <w:r w:rsidR="00EA02BB">
        <w:rPr>
          <w:rFonts w:eastAsia="Times New Roman" w:cs="Arial"/>
          <w:szCs w:val="20"/>
        </w:rPr>
        <w:t xml:space="preserve">commercial </w:t>
      </w:r>
      <w:r w:rsidR="00BF2878" w:rsidRPr="00BF2878">
        <w:rPr>
          <w:rFonts w:eastAsia="Times New Roman" w:cs="Arial"/>
          <w:szCs w:val="20"/>
        </w:rPr>
        <w:t xml:space="preserve">tenants </w:t>
      </w:r>
      <w:r>
        <w:rPr>
          <w:rFonts w:eastAsia="Times New Roman" w:cs="Arial"/>
          <w:szCs w:val="20"/>
        </w:rPr>
        <w:t xml:space="preserve">also </w:t>
      </w:r>
      <w:r w:rsidR="00BF2878" w:rsidRPr="00BF2878">
        <w:rPr>
          <w:rFonts w:eastAsia="Times New Roman" w:cs="Arial"/>
          <w:szCs w:val="20"/>
        </w:rPr>
        <w:t>sued Toledo Edison</w:t>
      </w:r>
      <w:r w:rsidR="00615D9C">
        <w:rPr>
          <w:rFonts w:eastAsia="Times New Roman" w:cs="Arial"/>
          <w:szCs w:val="20"/>
        </w:rPr>
        <w:t xml:space="preserve"> </w:t>
      </w:r>
      <w:r w:rsidR="00BF2878" w:rsidRPr="00BF2878">
        <w:rPr>
          <w:rFonts w:eastAsia="Times New Roman" w:cs="Arial"/>
          <w:szCs w:val="20"/>
        </w:rPr>
        <w:t xml:space="preserve">because </w:t>
      </w:r>
      <w:r w:rsidR="00615D9C">
        <w:rPr>
          <w:rFonts w:eastAsia="Times New Roman" w:cs="Arial"/>
          <w:szCs w:val="20"/>
        </w:rPr>
        <w:t>Toledo Edison</w:t>
      </w:r>
      <w:r w:rsidR="00BF2878" w:rsidRPr="00BF2878">
        <w:rPr>
          <w:rFonts w:eastAsia="Times New Roman" w:cs="Arial"/>
          <w:szCs w:val="20"/>
        </w:rPr>
        <w:t xml:space="preserve"> failed to enforce its tariff that contained a restriction on resale of electric service.  </w:t>
      </w:r>
      <w:r w:rsidR="0021691D">
        <w:rPr>
          <w:rFonts w:eastAsia="Times New Roman" w:cs="Arial"/>
          <w:szCs w:val="20"/>
        </w:rPr>
        <w:t>In a separate decision, t</w:t>
      </w:r>
      <w:r w:rsidR="00BF2878" w:rsidRPr="00BF2878">
        <w:rPr>
          <w:rFonts w:eastAsia="Times New Roman" w:cs="Arial"/>
          <w:szCs w:val="20"/>
        </w:rPr>
        <w:t>he Commission dismissed the complaint</w:t>
      </w:r>
      <w:r w:rsidR="005C328A">
        <w:rPr>
          <w:rFonts w:eastAsia="Times New Roman" w:cs="Arial"/>
          <w:szCs w:val="20"/>
        </w:rPr>
        <w:t xml:space="preserve"> against Toledo Edison</w:t>
      </w:r>
      <w:r w:rsidR="00BF2878" w:rsidRPr="00BF2878">
        <w:rPr>
          <w:rFonts w:eastAsia="Times New Roman" w:cs="Arial"/>
          <w:szCs w:val="20"/>
        </w:rPr>
        <w:t xml:space="preserve">, holding that the utility company had no valid right or interest in restricting redistribution and resale by a landlord if the landlord was not acting as a public utility and the landlord owned the property on which the redistribution took place.  </w:t>
      </w:r>
      <w:r w:rsidR="00BF2878" w:rsidRPr="00BF2878">
        <w:rPr>
          <w:rFonts w:eastAsia="Times New Roman" w:cs="Arial"/>
          <w:i/>
          <w:szCs w:val="20"/>
        </w:rPr>
        <w:t>Brooks</w:t>
      </w:r>
      <w:r w:rsidR="0063001F">
        <w:rPr>
          <w:rFonts w:eastAsia="Times New Roman" w:cs="Arial"/>
          <w:i/>
          <w:szCs w:val="20"/>
        </w:rPr>
        <w:t xml:space="preserve">, </w:t>
      </w:r>
      <w:r w:rsidR="0063001F">
        <w:rPr>
          <w:rFonts w:eastAsia="Times New Roman" w:cs="Arial"/>
          <w:szCs w:val="20"/>
        </w:rPr>
        <w:t xml:space="preserve">1996 Ohio PUC </w:t>
      </w:r>
      <w:r w:rsidR="0002209A">
        <w:rPr>
          <w:rFonts w:eastAsia="Times New Roman" w:cs="Arial"/>
          <w:szCs w:val="20"/>
        </w:rPr>
        <w:t>LEXIS 292</w:t>
      </w:r>
      <w:r w:rsidR="00BF2878" w:rsidRPr="00BF2878">
        <w:rPr>
          <w:rFonts w:eastAsia="Times New Roman" w:cs="Arial"/>
          <w:szCs w:val="20"/>
        </w:rPr>
        <w:t xml:space="preserve"> at *32</w:t>
      </w:r>
      <w:r w:rsidR="0021691D">
        <w:rPr>
          <w:rFonts w:eastAsia="Times New Roman" w:cs="Arial"/>
          <w:szCs w:val="20"/>
        </w:rPr>
        <w:t xml:space="preserve"> &amp; *41</w:t>
      </w:r>
      <w:r w:rsidR="0002209A">
        <w:rPr>
          <w:rFonts w:eastAsia="Times New Roman" w:cs="Arial"/>
          <w:szCs w:val="20"/>
        </w:rPr>
        <w:t xml:space="preserve"> (May 8, 1996)</w:t>
      </w:r>
      <w:r w:rsidR="0021691D">
        <w:rPr>
          <w:rFonts w:eastAsia="Times New Roman" w:cs="Arial"/>
          <w:szCs w:val="20"/>
        </w:rPr>
        <w:t>.</w:t>
      </w:r>
      <w:r w:rsidR="00BF2878" w:rsidRPr="00BF2878">
        <w:rPr>
          <w:rFonts w:eastAsia="Times New Roman" w:cs="Arial"/>
          <w:szCs w:val="20"/>
          <w:vertAlign w:val="superscript"/>
        </w:rPr>
        <w:footnoteReference w:id="4"/>
      </w:r>
    </w:p>
    <w:p w14:paraId="6C01CFB3" w14:textId="77777777" w:rsidR="00CA6166" w:rsidRPr="00BF2878" w:rsidRDefault="00CA6166" w:rsidP="00CA6166">
      <w:pPr>
        <w:spacing w:line="480" w:lineRule="auto"/>
        <w:ind w:firstLine="720"/>
      </w:pPr>
      <w:r w:rsidRPr="00BF2878">
        <w:rPr>
          <w:rFonts w:eastAsia="Times New Roman" w:cs="Arial"/>
          <w:szCs w:val="20"/>
        </w:rPr>
        <w:t xml:space="preserve">The enactment of </w:t>
      </w:r>
      <w:r w:rsidR="0021691D">
        <w:rPr>
          <w:rFonts w:eastAsia="Times New Roman" w:cs="Arial"/>
          <w:szCs w:val="20"/>
        </w:rPr>
        <w:t xml:space="preserve">Amended Substitute </w:t>
      </w:r>
      <w:r w:rsidRPr="00BF2878">
        <w:rPr>
          <w:rFonts w:eastAsia="Times New Roman" w:cs="Arial"/>
          <w:szCs w:val="20"/>
        </w:rPr>
        <w:t>S</w:t>
      </w:r>
      <w:r w:rsidR="0021691D">
        <w:rPr>
          <w:rFonts w:eastAsia="Times New Roman" w:cs="Arial"/>
          <w:szCs w:val="20"/>
        </w:rPr>
        <w:t xml:space="preserve">enate </w:t>
      </w:r>
      <w:r w:rsidRPr="00BF2878">
        <w:rPr>
          <w:rFonts w:eastAsia="Times New Roman" w:cs="Arial"/>
          <w:szCs w:val="20"/>
        </w:rPr>
        <w:t>B</w:t>
      </w:r>
      <w:r w:rsidR="0021691D">
        <w:rPr>
          <w:rFonts w:eastAsia="Times New Roman" w:cs="Arial"/>
          <w:szCs w:val="20"/>
        </w:rPr>
        <w:t>ill</w:t>
      </w:r>
      <w:r w:rsidRPr="00BF2878">
        <w:rPr>
          <w:rFonts w:eastAsia="Times New Roman" w:cs="Arial"/>
          <w:szCs w:val="20"/>
        </w:rPr>
        <w:t xml:space="preserve"> 3 </w:t>
      </w:r>
      <w:r w:rsidR="0021691D">
        <w:rPr>
          <w:rFonts w:eastAsia="Times New Roman" w:cs="Arial"/>
          <w:szCs w:val="20"/>
        </w:rPr>
        <w:t xml:space="preserve">(“SB3”) </w:t>
      </w:r>
      <w:r w:rsidRPr="00BF2878">
        <w:rPr>
          <w:rFonts w:eastAsia="Times New Roman" w:cs="Arial"/>
          <w:szCs w:val="20"/>
        </w:rPr>
        <w:t xml:space="preserve">did not alter the Commission’s determinations regarding the nature and scope of functional activities that give rise to public utility status.  Following its decision in </w:t>
      </w:r>
      <w:r w:rsidRPr="00BF2878">
        <w:rPr>
          <w:rFonts w:eastAsia="Times New Roman" w:cs="Arial"/>
          <w:i/>
          <w:szCs w:val="20"/>
        </w:rPr>
        <w:t>Brooks</w:t>
      </w:r>
      <w:r w:rsidRPr="00BF2878">
        <w:rPr>
          <w:rFonts w:eastAsia="Times New Roman" w:cs="Arial"/>
          <w:szCs w:val="20"/>
        </w:rPr>
        <w:t xml:space="preserve">, the Commission stated, “[N]othing in SB3 … requires or warrants the Commission to change its position that such landlords are not electric light companies.”  </w:t>
      </w:r>
      <w:r w:rsidRPr="00BF2878">
        <w:rPr>
          <w:i/>
          <w:iCs/>
        </w:rPr>
        <w:t xml:space="preserve">In the Matter of the Application of First-Energy Corp. on Behalf of Ohio Edison Company, The Cleveland Electric Illuminating Company, and The Toledo Edison Company for Approval of Their Transition Plans and for Authorization to Collect Transition Revenues, </w:t>
      </w:r>
      <w:r w:rsidRPr="00BF2878">
        <w:t xml:space="preserve">PUCO Case Nos. 99-1212-EL-ETP, </w:t>
      </w:r>
      <w:r w:rsidRPr="00BF2878">
        <w:rPr>
          <w:i/>
        </w:rPr>
        <w:t>et al</w:t>
      </w:r>
      <w:r w:rsidRPr="00BF2878">
        <w:t>., Entry at 3 (January 18, 2001) (“</w:t>
      </w:r>
      <w:r w:rsidRPr="00BF2878">
        <w:rPr>
          <w:i/>
        </w:rPr>
        <w:t>FirstEnergy</w:t>
      </w:r>
      <w:r w:rsidRPr="00BF2878">
        <w:t>”).</w:t>
      </w:r>
      <w:r w:rsidRPr="00BF2878">
        <w:rPr>
          <w:vertAlign w:val="superscript"/>
        </w:rPr>
        <w:footnoteReference w:id="5"/>
      </w:r>
      <w:r w:rsidRPr="00BF2878">
        <w:t xml:space="preserve">  Additionally, the Commission concluded that a landlord was not an “aggregator” because that designation was </w:t>
      </w:r>
      <w:r w:rsidRPr="00BF2878">
        <w:lastRenderedPageBreak/>
        <w:t xml:space="preserve">inconsistent with prior holdings and would lead to unnecessary regulation and possibly costly reconfiguration of electric facilities.  </w:t>
      </w:r>
      <w:r w:rsidRPr="00BF2878">
        <w:rPr>
          <w:i/>
        </w:rPr>
        <w:t>Id</w:t>
      </w:r>
      <w:r w:rsidRPr="00BF2878">
        <w:t>.</w:t>
      </w:r>
    </w:p>
    <w:p w14:paraId="1C8A07CE" w14:textId="2144A1A5" w:rsidR="00BF2878" w:rsidRDefault="00BF2878" w:rsidP="00BF2878">
      <w:pPr>
        <w:spacing w:line="480" w:lineRule="auto"/>
        <w:ind w:firstLine="720"/>
        <w:rPr>
          <w:rFonts w:eastAsia="Times New Roman" w:cs="Arial"/>
          <w:szCs w:val="20"/>
        </w:rPr>
      </w:pPr>
      <w:r w:rsidRPr="00BF2878">
        <w:rPr>
          <w:rFonts w:eastAsia="Times New Roman" w:cs="Arial"/>
          <w:szCs w:val="20"/>
        </w:rPr>
        <w:t xml:space="preserve">The Commission’s three-part test in landlord-tenant cases follows from the Court’s admonition that the determination whether a person is a “public utility” is a mixed question of law and fact.  </w:t>
      </w:r>
      <w:r w:rsidRPr="00BF2878">
        <w:rPr>
          <w:rFonts w:eastAsia="Times New Roman" w:cs="Arial"/>
          <w:i/>
          <w:iCs/>
          <w:szCs w:val="20"/>
        </w:rPr>
        <w:t>A &amp; B Refuse Disposers, Inc. v. Board of Ravenna Twp. Trustees</w:t>
      </w:r>
      <w:r w:rsidRPr="00BF2878">
        <w:rPr>
          <w:rFonts w:eastAsia="Times New Roman" w:cs="Arial"/>
          <w:szCs w:val="20"/>
        </w:rPr>
        <w:t xml:space="preserve">, 64 Ohio St.3d 385, 387 (1992).  </w:t>
      </w:r>
      <w:r w:rsidR="00845E2B">
        <w:rPr>
          <w:rFonts w:eastAsia="Times New Roman" w:cs="Arial"/>
          <w:szCs w:val="20"/>
        </w:rPr>
        <w:t xml:space="preserve">In the determination of whether an entity is acting as a public utility, the Court stated, </w:t>
      </w:r>
      <w:r w:rsidRPr="00BF2878">
        <w:rPr>
          <w:rFonts w:eastAsia="Times New Roman" w:cs="Arial"/>
          <w:szCs w:val="20"/>
        </w:rPr>
        <w:t xml:space="preserve">“The main and frequently most important attribute of a public utility is a devotion of an essential good or service to the general public which has a legal right to demand or receive this good or service.”  </w:t>
      </w:r>
      <w:r w:rsidRPr="00BF2878">
        <w:rPr>
          <w:rFonts w:eastAsia="Times New Roman" w:cs="Arial"/>
          <w:i/>
          <w:szCs w:val="20"/>
        </w:rPr>
        <w:t>Id</w:t>
      </w:r>
      <w:r w:rsidRPr="00BF2878">
        <w:rPr>
          <w:rFonts w:eastAsia="Times New Roman" w:cs="Arial"/>
          <w:szCs w:val="20"/>
        </w:rPr>
        <w:t xml:space="preserve">.  </w:t>
      </w:r>
      <w:r w:rsidRPr="00BF2878">
        <w:rPr>
          <w:rFonts w:eastAsia="Times New Roman" w:cs="Arial"/>
          <w:i/>
          <w:iCs/>
          <w:szCs w:val="20"/>
        </w:rPr>
        <w:t xml:space="preserve">See, also, </w:t>
      </w:r>
      <w:r w:rsidRPr="00BF2878">
        <w:rPr>
          <w:rFonts w:eastAsia="Times New Roman" w:cs="Arial"/>
          <w:i/>
          <w:szCs w:val="20"/>
        </w:rPr>
        <w:t>Southern Ohio Power Co. v. Public Util. Comm. of Ohio</w:t>
      </w:r>
      <w:r w:rsidRPr="00BF2878">
        <w:rPr>
          <w:rFonts w:eastAsia="Times New Roman" w:cs="Arial"/>
          <w:szCs w:val="20"/>
        </w:rPr>
        <w:t>, 110 Ohio St. 246, 252 (1924).  This factor requires that the business, in order to qua</w:t>
      </w:r>
      <w:r w:rsidR="00BF10D5">
        <w:rPr>
          <w:rFonts w:eastAsia="Times New Roman" w:cs="Arial"/>
          <w:szCs w:val="20"/>
        </w:rPr>
        <w:t>lify as a public utility, must “</w:t>
      </w:r>
      <w:r w:rsidRPr="00BF2878">
        <w:rPr>
          <w:rFonts w:eastAsia="Times New Roman" w:cs="Arial"/>
          <w:szCs w:val="20"/>
        </w:rPr>
        <w:t>provide its good or service to the public i</w:t>
      </w:r>
      <w:r w:rsidR="00BF10D5">
        <w:rPr>
          <w:rFonts w:eastAsia="Times New Roman" w:cs="Arial"/>
          <w:szCs w:val="20"/>
        </w:rPr>
        <w:t>ndiscriminately and reasonably.”</w:t>
      </w:r>
      <w:r w:rsidRPr="00BF2878">
        <w:rPr>
          <w:rFonts w:eastAsia="Times New Roman" w:cs="Arial"/>
          <w:szCs w:val="20"/>
        </w:rPr>
        <w:t xml:space="preserve">  </w:t>
      </w:r>
      <w:r w:rsidRPr="00BF2878">
        <w:rPr>
          <w:rFonts w:eastAsia="Times New Roman" w:cs="Arial"/>
          <w:i/>
          <w:iCs/>
          <w:szCs w:val="20"/>
        </w:rPr>
        <w:t>A &amp; B Refuse Disposers</w:t>
      </w:r>
      <w:r w:rsidRPr="00BF2878">
        <w:rPr>
          <w:rFonts w:eastAsia="Times New Roman" w:cs="Arial"/>
          <w:i/>
          <w:szCs w:val="20"/>
        </w:rPr>
        <w:t>, Inc</w:t>
      </w:r>
      <w:r w:rsidRPr="00BF2878">
        <w:rPr>
          <w:rFonts w:eastAsia="Times New Roman" w:cs="Arial"/>
          <w:szCs w:val="20"/>
        </w:rPr>
        <w:t xml:space="preserve">., </w:t>
      </w:r>
      <w:r w:rsidR="00E11BB5" w:rsidRPr="00BF2878">
        <w:rPr>
          <w:rFonts w:eastAsia="Times New Roman" w:cs="Arial"/>
          <w:szCs w:val="20"/>
        </w:rPr>
        <w:t>6</w:t>
      </w:r>
      <w:r w:rsidR="00E11BB5">
        <w:rPr>
          <w:rFonts w:eastAsia="Times New Roman" w:cs="Arial"/>
          <w:szCs w:val="20"/>
        </w:rPr>
        <w:t>4</w:t>
      </w:r>
      <w:r w:rsidR="00E11BB5" w:rsidRPr="00BF2878">
        <w:rPr>
          <w:rFonts w:eastAsia="Times New Roman" w:cs="Arial"/>
          <w:szCs w:val="20"/>
        </w:rPr>
        <w:t xml:space="preserve"> </w:t>
      </w:r>
      <w:r w:rsidRPr="00BF2878">
        <w:rPr>
          <w:rFonts w:eastAsia="Times New Roman" w:cs="Arial"/>
          <w:szCs w:val="20"/>
        </w:rPr>
        <w:t xml:space="preserve">Ohio St.3d at 387.  “The second characteristic of a public utility most often addressed by courts is whether the entity, public or private, conducts its operations in such a manner as to be a matter of public concern.”  </w:t>
      </w:r>
      <w:r w:rsidRPr="00BF2878">
        <w:rPr>
          <w:rFonts w:eastAsia="Times New Roman" w:cs="Arial"/>
          <w:i/>
          <w:szCs w:val="20"/>
        </w:rPr>
        <w:t>Id</w:t>
      </w:r>
      <w:r w:rsidRPr="00BF2878">
        <w:rPr>
          <w:rFonts w:eastAsia="Times New Roman" w:cs="Arial"/>
          <w:szCs w:val="20"/>
        </w:rPr>
        <w:t xml:space="preserve">. at 388.  The Court, however, noted that no one factor is controlling and several factors must be weighed to determine whether the company’s business is conducted in such a manner as to become a matter of public concern.  </w:t>
      </w:r>
      <w:r w:rsidRPr="00BF2878">
        <w:rPr>
          <w:rFonts w:eastAsia="Times New Roman" w:cs="Arial"/>
          <w:i/>
          <w:iCs/>
          <w:szCs w:val="20"/>
        </w:rPr>
        <w:t>Id</w:t>
      </w:r>
      <w:r w:rsidRPr="00BF2878">
        <w:rPr>
          <w:rFonts w:eastAsia="Times New Roman" w:cs="Arial"/>
          <w:szCs w:val="20"/>
        </w:rPr>
        <w:t xml:space="preserve">. </w:t>
      </w:r>
    </w:p>
    <w:p w14:paraId="765A3463" w14:textId="77777777" w:rsidR="00A91810" w:rsidRDefault="00A91810" w:rsidP="00BF2878">
      <w:pPr>
        <w:spacing w:line="480" w:lineRule="auto"/>
        <w:ind w:firstLine="720"/>
        <w:rPr>
          <w:rFonts w:eastAsia="Times New Roman" w:cs="Arial"/>
          <w:szCs w:val="20"/>
        </w:rPr>
      </w:pPr>
      <w:r>
        <w:rPr>
          <w:rFonts w:eastAsia="Times New Roman" w:cs="Arial"/>
          <w:szCs w:val="20"/>
        </w:rPr>
        <w:t xml:space="preserve">As this case law demonstrates, the Court and the Commission have long recognized that factual differences matter.  </w:t>
      </w:r>
      <w:r w:rsidR="00E01731">
        <w:rPr>
          <w:rFonts w:eastAsia="Times New Roman" w:cs="Arial"/>
          <w:szCs w:val="20"/>
        </w:rPr>
        <w:t>Simply labelling something as a “utility service” is not sufficient to support a determination that a particular arrangement should be subject to and receive the benefits of public utility status.</w:t>
      </w:r>
      <w:r w:rsidR="00CE7BD6">
        <w:rPr>
          <w:rStyle w:val="FootnoteReference"/>
          <w:rFonts w:eastAsia="Times New Roman" w:cs="Arial"/>
          <w:szCs w:val="20"/>
        </w:rPr>
        <w:footnoteReference w:id="6"/>
      </w:r>
      <w:r w:rsidR="0050636A">
        <w:rPr>
          <w:rFonts w:eastAsia="Times New Roman" w:cs="Arial"/>
          <w:szCs w:val="20"/>
        </w:rPr>
        <w:t xml:space="preserve">  </w:t>
      </w:r>
    </w:p>
    <w:p w14:paraId="7D98AFE6" w14:textId="77777777" w:rsidR="00010E46" w:rsidRDefault="0050636A" w:rsidP="0050636A">
      <w:pPr>
        <w:spacing w:line="480" w:lineRule="auto"/>
        <w:ind w:firstLine="720"/>
      </w:pPr>
      <w:r>
        <w:rPr>
          <w:rFonts w:eastAsia="Times New Roman" w:cs="Arial"/>
          <w:szCs w:val="20"/>
        </w:rPr>
        <w:lastRenderedPageBreak/>
        <w:t xml:space="preserve">As a practical matter, these differences in regulation are important to business operations.  </w:t>
      </w:r>
      <w:r>
        <w:rPr>
          <w:rFonts w:eastAsia="Times New Roman" w:cs="Arial"/>
        </w:rPr>
        <w:t>Not</w:t>
      </w:r>
      <w:r>
        <w:t xml:space="preserve"> all arrangements that allow an ultimate consumer of electricity, natural gas, water, or wastewater treatment services to obtain such service from or through another consumer or separate entity have a purpose, nature, or scope that is sufficient to cause the arrangement to fall within the common law or statutory definition of a “public utility.”  It is often the case in Ohio that multiple non-residential consumers are located on property, such as a campus, which includes facilities, plant, and equipment that allow each consumer to receive electricity, natural gas, water or wastewater treatment services through a “master-meter,” or jointly or individually owned facilities, plant, or equipment.  These arrangements arise voluntarily and have become more common over time because corporations have spun off or separated individual business units that may have separate corporate identities even if commonly owned.  Typically, these arrangements are ancillary to and not the primary purpose of the relationship between the individual non-residential consumers.  </w:t>
      </w:r>
    </w:p>
    <w:p w14:paraId="65A10729" w14:textId="77777777" w:rsidR="0050636A" w:rsidRDefault="0050636A" w:rsidP="0050636A">
      <w:pPr>
        <w:spacing w:line="480" w:lineRule="auto"/>
        <w:ind w:firstLine="720"/>
        <w:rPr>
          <w:rFonts w:eastAsia="Times New Roman" w:cs="Arial"/>
        </w:rPr>
      </w:pPr>
      <w:r>
        <w:rPr>
          <w:rFonts w:eastAsia="Times New Roman" w:cs="Arial"/>
        </w:rPr>
        <w:t>Under well-understood Ohio statutes and judicial and administrative orders, these arrangements are not and should not be subject to the Commission’s regulatory supervision.</w:t>
      </w:r>
      <w:r w:rsidR="00010E46">
        <w:rPr>
          <w:rFonts w:eastAsia="Times New Roman" w:cs="Arial"/>
        </w:rPr>
        <w:t xml:space="preserve">  Under the general standards identified by the Court, the private arrangements are not provided to the public indiscriminately</w:t>
      </w:r>
      <w:r w:rsidR="00262131">
        <w:rPr>
          <w:rFonts w:eastAsia="Times New Roman" w:cs="Arial"/>
        </w:rPr>
        <w:t xml:space="preserve"> and are not a matter of general public concern.  Under the </w:t>
      </w:r>
      <w:r w:rsidR="00262131" w:rsidRPr="009F3F38">
        <w:rPr>
          <w:rFonts w:eastAsia="Times New Roman" w:cs="Arial"/>
          <w:i/>
        </w:rPr>
        <w:t>Shroyer</w:t>
      </w:r>
      <w:r w:rsidR="00262131">
        <w:rPr>
          <w:rFonts w:eastAsia="Times New Roman" w:cs="Arial"/>
        </w:rPr>
        <w:t xml:space="preserve"> test, the </w:t>
      </w:r>
      <w:r w:rsidR="009F3F38">
        <w:rPr>
          <w:rFonts w:eastAsia="Times New Roman" w:cs="Arial"/>
        </w:rPr>
        <w:t xml:space="preserve">parties to the </w:t>
      </w:r>
      <w:r w:rsidR="00262131">
        <w:rPr>
          <w:rFonts w:eastAsia="Times New Roman" w:cs="Arial"/>
        </w:rPr>
        <w:t>private arrangements</w:t>
      </w:r>
      <w:r w:rsidR="009F3F38">
        <w:rPr>
          <w:rFonts w:eastAsia="Times New Roman" w:cs="Arial"/>
        </w:rPr>
        <w:t xml:space="preserve"> do not seek to secure the benefits of utility status,</w:t>
      </w:r>
      <w:r w:rsidR="009E3CF1">
        <w:rPr>
          <w:rFonts w:eastAsia="Times New Roman" w:cs="Arial"/>
        </w:rPr>
        <w:t xml:space="preserve"> they</w:t>
      </w:r>
      <w:r w:rsidR="009F3F38">
        <w:rPr>
          <w:rFonts w:eastAsia="Times New Roman" w:cs="Arial"/>
        </w:rPr>
        <w:t xml:space="preserve"> limit the arrangements to a defined set of participants, and </w:t>
      </w:r>
      <w:r w:rsidR="009E3CF1">
        <w:rPr>
          <w:rFonts w:eastAsia="Times New Roman" w:cs="Arial"/>
        </w:rPr>
        <w:t xml:space="preserve">the shared services are ancillary to the parties’ main </w:t>
      </w:r>
      <w:r w:rsidR="009E3CF1">
        <w:rPr>
          <w:rFonts w:eastAsia="Times New Roman" w:cs="Arial"/>
        </w:rPr>
        <w:lastRenderedPageBreak/>
        <w:t>businesses.  These private arrangemen</w:t>
      </w:r>
      <w:r w:rsidR="00446D8C">
        <w:rPr>
          <w:rFonts w:eastAsia="Times New Roman" w:cs="Arial"/>
        </w:rPr>
        <w:t>ts, therefore, fall outside the factors both the Court and the Commission have used to determine whether an entity or its agent should be deemed a public utility.</w:t>
      </w:r>
    </w:p>
    <w:p w14:paraId="6D9C8C6E" w14:textId="1A59DA2D" w:rsidR="00F64C2D" w:rsidRDefault="001A0C5B" w:rsidP="0050636A">
      <w:pPr>
        <w:spacing w:line="480" w:lineRule="auto"/>
        <w:ind w:firstLine="720"/>
        <w:rPr>
          <w:rFonts w:eastAsia="Times New Roman" w:cs="Arial"/>
        </w:rPr>
      </w:pPr>
      <w:r>
        <w:rPr>
          <w:rFonts w:eastAsia="Times New Roman" w:cs="Arial"/>
        </w:rPr>
        <w:t xml:space="preserve">In summary, the Commission’s jurisdiction is defined by statute, and the Commission is without authority to expand its jurisdiction.  The application of the Commission’s </w:t>
      </w:r>
      <w:r w:rsidR="00F133D4">
        <w:rPr>
          <w:rFonts w:eastAsia="Times New Roman" w:cs="Arial"/>
        </w:rPr>
        <w:t xml:space="preserve">jurisdiction and </w:t>
      </w:r>
      <w:r>
        <w:rPr>
          <w:rFonts w:eastAsia="Times New Roman" w:cs="Arial"/>
        </w:rPr>
        <w:t>authority to regulate entities or their agents that may be</w:t>
      </w:r>
      <w:r w:rsidR="00E601FA">
        <w:rPr>
          <w:rFonts w:eastAsia="Times New Roman" w:cs="Arial"/>
        </w:rPr>
        <w:t xml:space="preserve"> providing</w:t>
      </w:r>
      <w:r>
        <w:rPr>
          <w:rFonts w:eastAsia="Times New Roman" w:cs="Arial"/>
        </w:rPr>
        <w:t xml:space="preserve"> </w:t>
      </w:r>
      <w:r w:rsidR="00C77069">
        <w:rPr>
          <w:rFonts w:eastAsia="Times New Roman" w:cs="Arial"/>
        </w:rPr>
        <w:t xml:space="preserve">submetering services </w:t>
      </w:r>
      <w:r w:rsidR="00F133D4">
        <w:rPr>
          <w:rFonts w:eastAsia="Times New Roman" w:cs="Arial"/>
        </w:rPr>
        <w:t xml:space="preserve">is a mixed question of law and fact and </w:t>
      </w:r>
      <w:r w:rsidR="00C77069">
        <w:rPr>
          <w:rFonts w:eastAsia="Times New Roman" w:cs="Arial"/>
        </w:rPr>
        <w:t xml:space="preserve">turns on whether that entity is </w:t>
      </w:r>
      <w:r w:rsidR="00E068C4">
        <w:rPr>
          <w:rFonts w:eastAsia="Times New Roman" w:cs="Arial"/>
        </w:rPr>
        <w:t xml:space="preserve">providing services “indiscriminately” </w:t>
      </w:r>
      <w:r w:rsidR="00F133D4">
        <w:rPr>
          <w:rFonts w:eastAsia="Times New Roman" w:cs="Arial"/>
        </w:rPr>
        <w:t xml:space="preserve">to the public </w:t>
      </w:r>
      <w:r w:rsidR="00E068C4">
        <w:rPr>
          <w:rFonts w:eastAsia="Times New Roman" w:cs="Arial"/>
        </w:rPr>
        <w:t xml:space="preserve">and in such a way as to be a matter of public interest.  </w:t>
      </w:r>
      <w:r w:rsidR="00672D25">
        <w:rPr>
          <w:rFonts w:eastAsia="Times New Roman" w:cs="Arial"/>
        </w:rPr>
        <w:t>P</w:t>
      </w:r>
      <w:r w:rsidR="00E068C4">
        <w:rPr>
          <w:rFonts w:eastAsia="Times New Roman" w:cs="Arial"/>
        </w:rPr>
        <w:t xml:space="preserve">rivate </w:t>
      </w:r>
      <w:r w:rsidR="007364D0">
        <w:rPr>
          <w:rFonts w:eastAsia="Times New Roman" w:cs="Arial"/>
        </w:rPr>
        <w:t>agreements such as shared service arrangements</w:t>
      </w:r>
      <w:r w:rsidR="00E068C4">
        <w:rPr>
          <w:rFonts w:eastAsia="Times New Roman" w:cs="Arial"/>
        </w:rPr>
        <w:t xml:space="preserve"> </w:t>
      </w:r>
      <w:r w:rsidR="00672D25">
        <w:rPr>
          <w:rFonts w:eastAsia="Times New Roman" w:cs="Arial"/>
        </w:rPr>
        <w:t xml:space="preserve">at industrial sites currently </w:t>
      </w:r>
      <w:r w:rsidR="00E068C4">
        <w:rPr>
          <w:rFonts w:eastAsia="Times New Roman" w:cs="Arial"/>
        </w:rPr>
        <w:t xml:space="preserve">do not trigger </w:t>
      </w:r>
      <w:r w:rsidR="00672D25">
        <w:rPr>
          <w:rFonts w:eastAsia="Times New Roman" w:cs="Arial"/>
        </w:rPr>
        <w:t>Commission supervision</w:t>
      </w:r>
      <w:r w:rsidR="00E068C4">
        <w:rPr>
          <w:rFonts w:eastAsia="Times New Roman" w:cs="Arial"/>
        </w:rPr>
        <w:t xml:space="preserve"> </w:t>
      </w:r>
      <w:r w:rsidR="00672D25">
        <w:rPr>
          <w:rFonts w:eastAsia="Times New Roman" w:cs="Arial"/>
        </w:rPr>
        <w:t>or any need for it</w:t>
      </w:r>
      <w:r w:rsidR="00E068C4">
        <w:rPr>
          <w:rFonts w:eastAsia="Times New Roman" w:cs="Arial"/>
        </w:rPr>
        <w:t>.</w:t>
      </w:r>
      <w:r w:rsidR="007E35E9">
        <w:rPr>
          <w:rFonts w:eastAsia="Times New Roman" w:cs="Arial"/>
        </w:rPr>
        <w:t xml:space="preserve">  As the Commission considers the application of the </w:t>
      </w:r>
      <w:r w:rsidR="007E35E9" w:rsidRPr="00675790">
        <w:rPr>
          <w:rFonts w:eastAsia="Times New Roman" w:cs="Arial"/>
          <w:i/>
        </w:rPr>
        <w:t>Shroyer</w:t>
      </w:r>
      <w:r w:rsidR="007E35E9">
        <w:rPr>
          <w:rFonts w:eastAsia="Times New Roman" w:cs="Arial"/>
        </w:rPr>
        <w:t xml:space="preserve"> test</w:t>
      </w:r>
      <w:r w:rsidR="007364D0">
        <w:rPr>
          <w:rFonts w:eastAsia="Times New Roman" w:cs="Arial"/>
        </w:rPr>
        <w:t xml:space="preserve"> to submetering</w:t>
      </w:r>
      <w:r w:rsidR="007E35E9">
        <w:rPr>
          <w:rFonts w:eastAsia="Times New Roman" w:cs="Arial"/>
        </w:rPr>
        <w:t xml:space="preserve">, </w:t>
      </w:r>
      <w:r w:rsidR="00136F83">
        <w:rPr>
          <w:rFonts w:eastAsia="Times New Roman" w:cs="Arial"/>
        </w:rPr>
        <w:t xml:space="preserve">therefore, </w:t>
      </w:r>
      <w:r w:rsidR="007E35E9">
        <w:rPr>
          <w:rFonts w:eastAsia="Times New Roman" w:cs="Arial"/>
        </w:rPr>
        <w:t xml:space="preserve">it should continue to assure that </w:t>
      </w:r>
      <w:r w:rsidR="00136F83">
        <w:rPr>
          <w:rFonts w:eastAsia="Times New Roman" w:cs="Arial"/>
        </w:rPr>
        <w:t>the</w:t>
      </w:r>
      <w:r w:rsidR="007E35E9">
        <w:rPr>
          <w:rFonts w:eastAsia="Times New Roman" w:cs="Arial"/>
        </w:rPr>
        <w:t xml:space="preserve"> private arrangements are not inadvertently swept under Commission jurisdiction.</w:t>
      </w:r>
    </w:p>
    <w:p w14:paraId="29C43E51" w14:textId="2CC6E651" w:rsidR="007444AD" w:rsidRPr="00062AE1" w:rsidRDefault="004D2EAD" w:rsidP="00A04B8C">
      <w:pPr>
        <w:pStyle w:val="Heading2"/>
        <w:ind w:left="1440" w:right="720" w:hanging="720"/>
        <w:rPr>
          <w:b/>
        </w:rPr>
      </w:pPr>
      <w:r w:rsidRPr="003067EC">
        <w:rPr>
          <w:b/>
        </w:rPr>
        <w:t>What impacts to customers and stakeholders would there be if the Commission were to assert jurisdiction</w:t>
      </w:r>
      <w:r w:rsidR="005B13EA" w:rsidRPr="003067EC">
        <w:rPr>
          <w:b/>
        </w:rPr>
        <w:t xml:space="preserve"> over submetering in Ohio</w:t>
      </w:r>
      <w:r w:rsidR="007444AD" w:rsidRPr="003067EC">
        <w:rPr>
          <w:b/>
        </w:rPr>
        <w:t>?</w:t>
      </w:r>
    </w:p>
    <w:p w14:paraId="689761B2" w14:textId="67511356" w:rsidR="00C27362" w:rsidRDefault="00A44E27" w:rsidP="00755D3D">
      <w:pPr>
        <w:pStyle w:val="ListParagraph"/>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pPr>
      <w:r>
        <w:rPr>
          <w:rFonts w:eastAsia="Times New Roman" w:cs="Arial"/>
          <w:szCs w:val="20"/>
        </w:rPr>
        <w:tab/>
      </w:r>
      <w:r w:rsidR="006E2BC4">
        <w:t>The Commission may assert jurisdiction as defined by statute.</w:t>
      </w:r>
      <w:r w:rsidR="0047783D">
        <w:t xml:space="preserve"> </w:t>
      </w:r>
      <w:r w:rsidR="006E2BC4">
        <w:t xml:space="preserve"> The Commission cannot exceed that jurisdiction and sweep in activities that it may find problematic, but </w:t>
      </w:r>
      <w:r w:rsidR="00BD0D11">
        <w:t xml:space="preserve">that </w:t>
      </w:r>
      <w:r w:rsidR="006E2BC4">
        <w:t>are not within its jurisdiction.  Thus, the third question the Commission has presented</w:t>
      </w:r>
      <w:r w:rsidR="00240D7B">
        <w:t xml:space="preserve"> requires first a finding that the Commission has jurisdiction over an entity that is engaged as a public utility within the meaning of Ohio law.  </w:t>
      </w:r>
      <w:r w:rsidR="00C10B53">
        <w:t>The Commission cannot “assert jurisdiction” it does not have.</w:t>
      </w:r>
    </w:p>
    <w:p w14:paraId="128BD351" w14:textId="1C9C9473" w:rsidR="009B0163" w:rsidRDefault="00C27362" w:rsidP="00755D3D">
      <w:pPr>
        <w:pStyle w:val="ListParagraph"/>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pPr>
      <w:r>
        <w:tab/>
      </w:r>
      <w:r w:rsidR="00C10B53">
        <w:t>In any case, t</w:t>
      </w:r>
      <w:r>
        <w:t xml:space="preserve">he practical consequence of a finding that an entity or its agent is a public </w:t>
      </w:r>
      <w:r w:rsidR="002369A7">
        <w:t xml:space="preserve">utility </w:t>
      </w:r>
      <w:r>
        <w:t xml:space="preserve">would </w:t>
      </w:r>
      <w:r w:rsidR="002369A7">
        <w:t>subject</w:t>
      </w:r>
      <w:r>
        <w:t xml:space="preserve"> the entity to the Commission’</w:t>
      </w:r>
      <w:r w:rsidR="00721E14">
        <w:t>s regulation</w:t>
      </w:r>
      <w:r w:rsidR="00EB1EA7">
        <w:t xml:space="preserve">.  In some instances, </w:t>
      </w:r>
      <w:r w:rsidR="003E24F8">
        <w:t xml:space="preserve">the Commission </w:t>
      </w:r>
      <w:r w:rsidR="009C49FC">
        <w:t xml:space="preserve">may be </w:t>
      </w:r>
      <w:r w:rsidR="003E24F8">
        <w:t xml:space="preserve">ill-equipped to address the matters presented by the parties to </w:t>
      </w:r>
      <w:r w:rsidR="003E24F8">
        <w:lastRenderedPageBreak/>
        <w:t xml:space="preserve">a dispute.  </w:t>
      </w:r>
      <w:r w:rsidR="00AC6D54">
        <w:t xml:space="preserve">As the Commission recognized in </w:t>
      </w:r>
      <w:r w:rsidR="00AC6D54" w:rsidRPr="002369A7">
        <w:rPr>
          <w:i/>
        </w:rPr>
        <w:t>Brooks</w:t>
      </w:r>
      <w:r w:rsidR="00AC6D54">
        <w:t xml:space="preserve">, for example, a decision to treat the commercial landlord as a public utility </w:t>
      </w:r>
      <w:r w:rsidR="00A40785">
        <w:t>would insert the Commission into the business of regulating landlord-tenant relationships</w:t>
      </w:r>
      <w:r w:rsidR="003E24F8">
        <w:t>, a role better left to the courts through the application of general civil laws</w:t>
      </w:r>
      <w:r w:rsidR="00A40785">
        <w:t>.</w:t>
      </w:r>
      <w:r w:rsidR="0095448B">
        <w:rPr>
          <w:rStyle w:val="FootnoteReference"/>
        </w:rPr>
        <w:footnoteReference w:id="7"/>
      </w:r>
      <w:r w:rsidR="007C369C">
        <w:t xml:space="preserve">  </w:t>
      </w:r>
      <w:r w:rsidR="007C369C" w:rsidRPr="009C1698">
        <w:rPr>
          <w:i/>
        </w:rPr>
        <w:t>Brooks</w:t>
      </w:r>
      <w:r w:rsidR="007C369C">
        <w:t>, Entry at 6 (Mar. 16, 1995).</w:t>
      </w:r>
      <w:r w:rsidR="00A40785">
        <w:t xml:space="preserve">  </w:t>
      </w:r>
      <w:r w:rsidR="003E24F8">
        <w:t>The Commission, thus, has noted the practical considerations that are raised by an assertion of jurisdiction into privately negotiated rental arrangements that do not affect the public interest.</w:t>
      </w:r>
    </w:p>
    <w:p w14:paraId="19368240" w14:textId="01515C04" w:rsidR="00D06540" w:rsidRDefault="001C569F" w:rsidP="00755D3D">
      <w:pPr>
        <w:pStyle w:val="ListParagraph"/>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rPr>
          <w:rFonts w:eastAsia="Times New Roman" w:cs="Arial"/>
          <w:szCs w:val="20"/>
        </w:rPr>
      </w:pPr>
      <w:r>
        <w:tab/>
      </w:r>
      <w:r w:rsidR="003E24F8">
        <w:t xml:space="preserve">In the past, the Commission has not asserted jurisdiction over privately arranged shared service agreements. </w:t>
      </w:r>
      <w:r w:rsidR="003E24F8" w:rsidRPr="003E24F8">
        <w:rPr>
          <w:i/>
        </w:rPr>
        <w:t>See</w:t>
      </w:r>
      <w:r w:rsidR="003E24F8">
        <w:t xml:space="preserve"> </w:t>
      </w:r>
      <w:r w:rsidR="00D06540" w:rsidRPr="004D2EAD">
        <w:rPr>
          <w:i/>
        </w:rPr>
        <w:t xml:space="preserve">In the Matter of the Application of The Procter &amp; Gamble Company </w:t>
      </w:r>
      <w:r w:rsidR="00D06540" w:rsidRPr="004D2EAD">
        <w:rPr>
          <w:rFonts w:eastAsia="Times New Roman" w:cs="Arial"/>
          <w:i/>
          <w:szCs w:val="20"/>
        </w:rPr>
        <w:t>for Relief From Compliance With the Obligations Imposed by Title 49 of the Ohio Revised Code</w:t>
      </w:r>
      <w:r w:rsidR="00D06540" w:rsidRPr="00BF2878">
        <w:t xml:space="preserve">, Case No. 03-725-HC-ARJ, Entry at 2 (Apr. 10, 2003). </w:t>
      </w:r>
      <w:r w:rsidR="003E24F8">
        <w:t xml:space="preserve"> The Commission has correctly found that these arrangements are ancillary and do not trigger Commission regulation.  Additionally, there is not a demonstrated public interest in regulating these arrangements.  Accordingly, the Commission should draw narrowly any claims of jurisdiction regarding submetering in this investigation so that shared service arrangements used by industrial and other customers are not drawn under Commission regulation when such supervision is not warranted.</w:t>
      </w:r>
    </w:p>
    <w:p w14:paraId="5B2F9116" w14:textId="77777777" w:rsidR="00F63861" w:rsidRPr="00EA2A5E" w:rsidRDefault="00EA2A5E" w:rsidP="00EA2A5E">
      <w:pPr>
        <w:pStyle w:val="Heading1"/>
        <w:spacing w:before="240"/>
        <w:rPr>
          <w:rFonts w:eastAsia="Times New Roman"/>
          <w:b/>
        </w:rPr>
      </w:pPr>
      <w:r w:rsidRPr="00EA2A5E">
        <w:rPr>
          <w:rFonts w:eastAsia="Times New Roman"/>
          <w:b/>
        </w:rPr>
        <w:t>CONCLUSION</w:t>
      </w:r>
    </w:p>
    <w:p w14:paraId="4ADDEFE7" w14:textId="4EDA6FB0" w:rsidR="00F63861" w:rsidRDefault="00FC6479" w:rsidP="00702A8E">
      <w:pPr>
        <w:pStyle w:val="ListParagraph"/>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rPr>
          <w:rFonts w:eastAsia="Times New Roman" w:cs="Arial"/>
          <w:szCs w:val="20"/>
        </w:rPr>
      </w:pPr>
      <w:r>
        <w:rPr>
          <w:rFonts w:eastAsia="Times New Roman" w:cs="Arial"/>
          <w:szCs w:val="20"/>
        </w:rPr>
        <w:tab/>
        <w:t xml:space="preserve">Under Ohio law, there is no categorical answer to the question of whether any entity </w:t>
      </w:r>
      <w:r w:rsidR="00755D3D">
        <w:rPr>
          <w:rFonts w:eastAsia="Times New Roman" w:cs="Arial"/>
          <w:szCs w:val="20"/>
        </w:rPr>
        <w:t>or its agent</w:t>
      </w:r>
      <w:r>
        <w:rPr>
          <w:rFonts w:eastAsia="Times New Roman" w:cs="Arial"/>
          <w:szCs w:val="20"/>
        </w:rPr>
        <w:t xml:space="preserve"> </w:t>
      </w:r>
      <w:r w:rsidR="00B30F94">
        <w:rPr>
          <w:rFonts w:eastAsia="Times New Roman" w:cs="Arial"/>
          <w:szCs w:val="20"/>
        </w:rPr>
        <w:t>is a</w:t>
      </w:r>
      <w:r>
        <w:rPr>
          <w:rFonts w:eastAsia="Times New Roman" w:cs="Arial"/>
          <w:szCs w:val="20"/>
        </w:rPr>
        <w:t xml:space="preserve"> public </w:t>
      </w:r>
      <w:r w:rsidR="00B30F94">
        <w:rPr>
          <w:rFonts w:eastAsia="Times New Roman" w:cs="Arial"/>
          <w:szCs w:val="20"/>
        </w:rPr>
        <w:t>utility</w:t>
      </w:r>
      <w:r>
        <w:rPr>
          <w:rFonts w:eastAsia="Times New Roman" w:cs="Arial"/>
          <w:szCs w:val="20"/>
        </w:rPr>
        <w:t xml:space="preserve"> subject to Commission jurisdiction.  </w:t>
      </w:r>
      <w:r w:rsidR="006C77B2">
        <w:rPr>
          <w:rFonts w:eastAsia="Times New Roman" w:cs="Arial"/>
          <w:szCs w:val="20"/>
        </w:rPr>
        <w:t>In the close case</w:t>
      </w:r>
      <w:r w:rsidR="008E5509">
        <w:rPr>
          <w:rFonts w:eastAsia="Times New Roman" w:cs="Arial"/>
          <w:szCs w:val="20"/>
        </w:rPr>
        <w:t xml:space="preserve">, </w:t>
      </w:r>
      <w:r w:rsidR="00E97802">
        <w:rPr>
          <w:rFonts w:eastAsia="Times New Roman" w:cs="Arial"/>
          <w:szCs w:val="20"/>
        </w:rPr>
        <w:t>in</w:t>
      </w:r>
      <w:r w:rsidR="00E86E64">
        <w:rPr>
          <w:rFonts w:eastAsia="Times New Roman" w:cs="Arial"/>
          <w:szCs w:val="20"/>
        </w:rPr>
        <w:t xml:space="preserve"> particular</w:t>
      </w:r>
      <w:r w:rsidR="00B30F94">
        <w:rPr>
          <w:rFonts w:eastAsia="Times New Roman" w:cs="Arial"/>
          <w:szCs w:val="20"/>
        </w:rPr>
        <w:t xml:space="preserve">, the Commission must </w:t>
      </w:r>
      <w:r w:rsidR="00F77C29">
        <w:rPr>
          <w:rFonts w:eastAsia="Times New Roman" w:cs="Arial"/>
          <w:szCs w:val="20"/>
        </w:rPr>
        <w:t xml:space="preserve">be sensitive to the variety of voluntary ancillary </w:t>
      </w:r>
      <w:r w:rsidR="00F77C29">
        <w:rPr>
          <w:rFonts w:eastAsia="Times New Roman" w:cs="Arial"/>
          <w:szCs w:val="20"/>
        </w:rPr>
        <w:lastRenderedPageBreak/>
        <w:t>relationships that have developed based on the understanding that these ancillary relationships are not subject to Commission regulation.</w:t>
      </w:r>
    </w:p>
    <w:p w14:paraId="3F4954DF" w14:textId="77777777" w:rsidR="00B51633" w:rsidRDefault="00B51633" w:rsidP="00091D23">
      <w:pPr>
        <w:pStyle w:val="ListParagraph"/>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eastAsia="Times New Roman" w:cs="Arial"/>
          <w:szCs w:val="20"/>
        </w:rPr>
      </w:pP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t>Respectfully submitted,</w:t>
      </w:r>
    </w:p>
    <w:p w14:paraId="7B49D4B0" w14:textId="77777777" w:rsidR="00B51633" w:rsidRDefault="00B51633" w:rsidP="00A44E2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rPr>
          <w:rFonts w:eastAsia="Times New Roman" w:cs="Arial"/>
          <w:szCs w:val="20"/>
        </w:rPr>
      </w:pPr>
    </w:p>
    <w:p w14:paraId="5A71506F" w14:textId="77777777" w:rsidR="00B51633" w:rsidRDefault="007104BF" w:rsidP="007104BF">
      <w:pPr>
        <w:pStyle w:val="ListParagraph"/>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eastAsia="Times New Roman" w:cs="Arial"/>
          <w:szCs w:val="20"/>
        </w:rPr>
      </w:pP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sidR="00C415B6">
        <w:rPr>
          <w:rFonts w:eastAsia="Times New Roman" w:cs="Arial"/>
          <w:szCs w:val="20"/>
          <w:u w:val="single"/>
        </w:rPr>
        <w:t xml:space="preserve">/s/ </w:t>
      </w:r>
      <w:r w:rsidR="00C415B6" w:rsidRPr="007568F8">
        <w:rPr>
          <w:rFonts w:eastAsia="Times New Roman" w:cs="Arial"/>
          <w:i/>
          <w:szCs w:val="20"/>
          <w:u w:val="single"/>
        </w:rPr>
        <w:t>Frank P. Darr</w:t>
      </w:r>
      <w:r w:rsidR="00C415B6">
        <w:rPr>
          <w:rFonts w:eastAsia="Times New Roman" w:cs="Arial"/>
          <w:szCs w:val="20"/>
          <w:u w:val="single"/>
        </w:rPr>
        <w:tab/>
      </w:r>
      <w:r w:rsidR="00C415B6">
        <w:rPr>
          <w:rFonts w:eastAsia="Times New Roman" w:cs="Arial"/>
          <w:szCs w:val="20"/>
          <w:u w:val="single"/>
        </w:rPr>
        <w:tab/>
      </w:r>
      <w:r w:rsidR="00C415B6">
        <w:rPr>
          <w:rFonts w:eastAsia="Times New Roman" w:cs="Arial"/>
          <w:szCs w:val="20"/>
          <w:u w:val="single"/>
        </w:rPr>
        <w:tab/>
      </w:r>
      <w:r w:rsidR="00C415B6">
        <w:rPr>
          <w:rFonts w:eastAsia="Times New Roman" w:cs="Arial"/>
          <w:szCs w:val="20"/>
          <w:u w:val="single"/>
        </w:rPr>
        <w:tab/>
      </w:r>
    </w:p>
    <w:p w14:paraId="48278CC3" w14:textId="77777777" w:rsidR="00AD1216" w:rsidRDefault="00AD1216" w:rsidP="00AD1216">
      <w:pPr>
        <w:widowControl w:val="0"/>
        <w:ind w:left="4320"/>
        <w:rPr>
          <w:rFonts w:eastAsia="Calibri" w:cs="Arial"/>
          <w:bCs/>
        </w:rPr>
      </w:pPr>
      <w:r>
        <w:rPr>
          <w:rFonts w:eastAsia="Calibri" w:cs="Arial"/>
          <w:bCs/>
        </w:rPr>
        <w:t>Frank P. Darr (Reg. No. 0025469)</w:t>
      </w:r>
    </w:p>
    <w:p w14:paraId="304FF7E5" w14:textId="77777777" w:rsidR="00AD1216" w:rsidRDefault="00AD1216" w:rsidP="00AD1216">
      <w:pPr>
        <w:widowControl w:val="0"/>
        <w:ind w:left="4320"/>
        <w:rPr>
          <w:rFonts w:eastAsia="Calibri" w:cs="Arial"/>
          <w:bCs/>
        </w:rPr>
      </w:pPr>
      <w:r>
        <w:rPr>
          <w:rFonts w:eastAsia="Calibri" w:cs="Arial"/>
          <w:bCs/>
        </w:rPr>
        <w:t>(Counsel of Record)</w:t>
      </w:r>
    </w:p>
    <w:p w14:paraId="06E5EAFB" w14:textId="77777777" w:rsidR="00AD1216" w:rsidRDefault="00AD1216" w:rsidP="00AD1216">
      <w:pPr>
        <w:widowControl w:val="0"/>
        <w:ind w:left="4320"/>
        <w:rPr>
          <w:rFonts w:eastAsia="Calibri" w:cs="Arial"/>
          <w:b/>
          <w:bCs/>
        </w:rPr>
      </w:pPr>
      <w:r>
        <w:rPr>
          <w:rFonts w:eastAsia="Calibri" w:cs="Arial"/>
          <w:bCs/>
        </w:rPr>
        <w:t>Matthew R. Pritchard (Reg. No. 0088070)</w:t>
      </w:r>
    </w:p>
    <w:p w14:paraId="3D744A0B" w14:textId="77777777" w:rsidR="00AD1216" w:rsidRDefault="00AD1216" w:rsidP="00AD1216">
      <w:pPr>
        <w:widowControl w:val="0"/>
        <w:ind w:left="4320"/>
        <w:rPr>
          <w:rFonts w:eastAsia="Calibri" w:cs="Arial"/>
          <w:b/>
          <w:bCs/>
          <w:smallCaps/>
        </w:rPr>
      </w:pPr>
      <w:r>
        <w:rPr>
          <w:rFonts w:eastAsia="Calibri" w:cs="Arial"/>
          <w:bCs/>
          <w:smallCaps/>
        </w:rPr>
        <w:t>McNees Wallace &amp; Nurick LLC</w:t>
      </w:r>
    </w:p>
    <w:p w14:paraId="31495DF1" w14:textId="77777777" w:rsidR="00AD1216" w:rsidRDefault="00AD1216" w:rsidP="00AD1216">
      <w:pPr>
        <w:widowControl w:val="0"/>
        <w:ind w:left="4320"/>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14:paraId="66A5A723" w14:textId="77777777" w:rsidR="00AD1216" w:rsidRDefault="00AD1216" w:rsidP="00AD1216">
      <w:pPr>
        <w:tabs>
          <w:tab w:val="left" w:pos="-1440"/>
          <w:tab w:val="left" w:pos="-720"/>
          <w:tab w:val="left" w:pos="5040"/>
          <w:tab w:val="center" w:pos="7200"/>
        </w:tabs>
        <w:overflowPunct w:val="0"/>
        <w:autoSpaceDE w:val="0"/>
        <w:autoSpaceDN w:val="0"/>
        <w:adjustRightInd w:val="0"/>
        <w:ind w:left="4320"/>
        <w:rPr>
          <w:rFonts w:eastAsia="Calibri" w:cs="Arial"/>
        </w:rPr>
      </w:pPr>
      <w:r>
        <w:rPr>
          <w:rFonts w:eastAsia="Calibri" w:cs="Arial"/>
        </w:rPr>
        <w:t>Columbus, OH  43215</w:t>
      </w:r>
    </w:p>
    <w:p w14:paraId="7C09D994" w14:textId="77777777" w:rsidR="00AD1216" w:rsidRDefault="00AD1216" w:rsidP="00AD1216">
      <w:pPr>
        <w:tabs>
          <w:tab w:val="left" w:pos="-1440"/>
          <w:tab w:val="left" w:pos="-720"/>
          <w:tab w:val="left" w:pos="5040"/>
          <w:tab w:val="center" w:pos="7200"/>
        </w:tabs>
        <w:overflowPunct w:val="0"/>
        <w:autoSpaceDE w:val="0"/>
        <w:autoSpaceDN w:val="0"/>
        <w:adjustRightInd w:val="0"/>
        <w:ind w:left="4320"/>
        <w:rPr>
          <w:rFonts w:eastAsia="Calibri" w:cs="Arial"/>
        </w:rPr>
      </w:pPr>
      <w:r>
        <w:rPr>
          <w:rFonts w:eastAsia="Calibri" w:cs="Arial"/>
        </w:rPr>
        <w:t>Telephone:  (614) 469-8000</w:t>
      </w:r>
    </w:p>
    <w:p w14:paraId="20ED0A3D" w14:textId="77777777" w:rsidR="00AD1216" w:rsidRDefault="00AD1216" w:rsidP="00AD1216">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color w:val="000000"/>
        </w:rPr>
        <w:t>Telecopier:  (614) 469-4653</w:t>
      </w:r>
    </w:p>
    <w:p w14:paraId="40AE8939" w14:textId="77777777" w:rsidR="00AD1216" w:rsidRDefault="00AD1216" w:rsidP="00AD1216">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rPr>
        <w:t>fdarr@mwncmh.com</w:t>
      </w:r>
    </w:p>
    <w:p w14:paraId="02D318FE" w14:textId="77777777" w:rsidR="00AD1216" w:rsidRDefault="00AD1216" w:rsidP="00AD1216">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color w:val="000000"/>
        </w:rPr>
        <w:t>(willing to accept service by e-mail)</w:t>
      </w:r>
    </w:p>
    <w:p w14:paraId="77726E1C" w14:textId="77777777" w:rsidR="00AD1216" w:rsidRDefault="00AD1216" w:rsidP="00AD1216">
      <w:pPr>
        <w:tabs>
          <w:tab w:val="left" w:pos="-1440"/>
          <w:tab w:val="left" w:pos="-720"/>
          <w:tab w:val="left" w:pos="5040"/>
          <w:tab w:val="center" w:pos="7200"/>
        </w:tabs>
        <w:overflowPunct w:val="0"/>
        <w:autoSpaceDE w:val="0"/>
        <w:autoSpaceDN w:val="0"/>
        <w:adjustRightInd w:val="0"/>
        <w:ind w:left="4320"/>
        <w:rPr>
          <w:rFonts w:eastAsia="Calibri" w:cs="Arial"/>
          <w:smallCaps/>
          <w:color w:val="000000"/>
        </w:rPr>
      </w:pPr>
      <w:r>
        <w:rPr>
          <w:rFonts w:eastAsia="Calibri" w:cs="Arial"/>
          <w:color w:val="000000"/>
        </w:rPr>
        <w:t>mpritchard@mwncmh.com</w:t>
      </w:r>
    </w:p>
    <w:p w14:paraId="7BF71DF5" w14:textId="77777777" w:rsidR="00AD1216" w:rsidRDefault="00AD1216" w:rsidP="00AD1216">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color w:val="000000"/>
        </w:rPr>
        <w:t>(willing to accept service by e-mail)</w:t>
      </w:r>
    </w:p>
    <w:p w14:paraId="5245459A" w14:textId="77777777" w:rsidR="00AD1216" w:rsidRDefault="00AD1216" w:rsidP="00AD1216">
      <w:pPr>
        <w:tabs>
          <w:tab w:val="left" w:pos="-1440"/>
          <w:tab w:val="left" w:pos="-720"/>
          <w:tab w:val="left" w:pos="5040"/>
          <w:tab w:val="center" w:pos="7200"/>
        </w:tabs>
        <w:overflowPunct w:val="0"/>
        <w:autoSpaceDE w:val="0"/>
        <w:autoSpaceDN w:val="0"/>
        <w:adjustRightInd w:val="0"/>
        <w:ind w:left="4320"/>
        <w:rPr>
          <w:rFonts w:eastAsia="Calibri" w:cs="Arial"/>
          <w:color w:val="000000"/>
        </w:rPr>
      </w:pPr>
    </w:p>
    <w:p w14:paraId="468BF9B0" w14:textId="77777777" w:rsidR="00AD1216" w:rsidRDefault="00AD1216" w:rsidP="00AD1216">
      <w:pPr>
        <w:ind w:left="4320" w:hanging="4320"/>
        <w:rPr>
          <w:rFonts w:cs="Arial"/>
          <w:b/>
          <w:smallCaps/>
          <w:color w:val="000000"/>
        </w:rPr>
        <w:sectPr w:rsidR="00AD1216" w:rsidSect="003F6974">
          <w:pgSz w:w="12240" w:h="15840"/>
          <w:pgMar w:top="1440" w:right="1440" w:bottom="1440" w:left="1440" w:header="720" w:footer="720" w:gutter="0"/>
          <w:pgNumType w:start="1"/>
          <w:cols w:space="720"/>
          <w:titlePg/>
          <w:docGrid w:linePitch="326"/>
        </w:sectPr>
      </w:pPr>
      <w:r>
        <w:rPr>
          <w:rFonts w:cs="Arial"/>
          <w:b/>
          <w:smallCaps/>
          <w:color w:val="000000"/>
        </w:rPr>
        <w:tab/>
        <w:t>On Behalf of Industrial Energy Users-Ohio</w:t>
      </w:r>
    </w:p>
    <w:p w14:paraId="02F6BF7D" w14:textId="77777777" w:rsidR="007C7717" w:rsidRDefault="007C7717" w:rsidP="007C7717">
      <w:pPr>
        <w:tabs>
          <w:tab w:val="left" w:pos="2160"/>
          <w:tab w:val="left" w:pos="2280"/>
        </w:tabs>
        <w:jc w:val="center"/>
        <w:rPr>
          <w:rFonts w:cs="Arial"/>
          <w:b/>
          <w:smallCaps/>
          <w:sz w:val="28"/>
          <w:u w:val="single"/>
        </w:rPr>
      </w:pPr>
      <w:r>
        <w:rPr>
          <w:rFonts w:cs="Arial"/>
          <w:b/>
          <w:smallCaps/>
          <w:sz w:val="28"/>
          <w:u w:val="single"/>
        </w:rPr>
        <w:lastRenderedPageBreak/>
        <w:t>Certificate of Service</w:t>
      </w:r>
    </w:p>
    <w:p w14:paraId="4F1CDD20" w14:textId="77777777" w:rsidR="007C7717" w:rsidRDefault="007C7717" w:rsidP="007C7717">
      <w:pPr>
        <w:rPr>
          <w:rFonts w:cs="Arial"/>
        </w:rPr>
      </w:pPr>
    </w:p>
    <w:p w14:paraId="5EA6BEB8" w14:textId="77777777" w:rsidR="00556577" w:rsidRDefault="007C7717" w:rsidP="007C7717">
      <w:pPr>
        <w:pStyle w:val="BodyText"/>
        <w:spacing w:line="480" w:lineRule="auto"/>
        <w:ind w:firstLine="720"/>
      </w:pPr>
      <w:r>
        <w:t>In accordance with Rule 4901-1-05, Ohio Administrative Code, the Commission’s e</w:t>
      </w:r>
      <w:r>
        <w:noBreakHyphen/>
        <w:t xml:space="preserve">filing system will electronically serve notice of the filing of this document.  In addition, I hereby certify that a service copy of the foregoing </w:t>
      </w:r>
      <w:r w:rsidR="001F44AD">
        <w:rPr>
          <w:i/>
        </w:rPr>
        <w:t>Initial Comments</w:t>
      </w:r>
      <w:r>
        <w:rPr>
          <w:i/>
        </w:rPr>
        <w:t xml:space="preserve"> of Industrial Energy Users-Ohio </w:t>
      </w:r>
      <w:r>
        <w:t>was sent by, or on behalf of, the undersigned counsel for IEU-Ohio to the parties of record this 2</w:t>
      </w:r>
      <w:r w:rsidR="001F44AD">
        <w:t>1</w:t>
      </w:r>
      <w:r w:rsidR="001F44AD" w:rsidRPr="001F44AD">
        <w:rPr>
          <w:vertAlign w:val="superscript"/>
        </w:rPr>
        <w:t>st</w:t>
      </w:r>
      <w:r>
        <w:t xml:space="preserve"> day of </w:t>
      </w:r>
      <w:r w:rsidR="001F44AD">
        <w:t>January</w:t>
      </w:r>
      <w:r>
        <w:t xml:space="preserve"> 201</w:t>
      </w:r>
      <w:r w:rsidR="001F44AD">
        <w:t>6</w:t>
      </w:r>
      <w:r>
        <w:t xml:space="preserve">, </w:t>
      </w:r>
      <w:r>
        <w:rPr>
          <w:i/>
        </w:rPr>
        <w:t>via</w:t>
      </w:r>
      <w:r>
        <w:t xml:space="preserve"> electronic transmission</w:t>
      </w:r>
      <w:r w:rsidR="008008AD" w:rsidRPr="008008AD">
        <w:t xml:space="preserve"> </w:t>
      </w:r>
      <w:r w:rsidR="00323637">
        <w:t>in Case No. 15-697</w:t>
      </w:r>
      <w:r w:rsidR="008008AD">
        <w:t>-</w:t>
      </w:r>
      <w:r w:rsidR="00323637">
        <w:t>EL-CSS</w:t>
      </w:r>
      <w:r>
        <w:t>.</w:t>
      </w:r>
    </w:p>
    <w:p w14:paraId="215BEFBE" w14:textId="389B87B7" w:rsidR="007C7717" w:rsidRDefault="00556577" w:rsidP="00F40EF6">
      <w:pPr>
        <w:pStyle w:val="BodyText"/>
        <w:spacing w:after="0"/>
        <w:ind w:firstLine="720"/>
        <w:rPr>
          <w:u w:val="single"/>
        </w:rPr>
      </w:pPr>
      <w:r>
        <w:tab/>
      </w:r>
      <w:r>
        <w:tab/>
      </w:r>
      <w:r>
        <w:tab/>
      </w:r>
      <w:r>
        <w:tab/>
      </w:r>
      <w:r>
        <w:tab/>
      </w:r>
      <w:r>
        <w:tab/>
      </w:r>
      <w:r w:rsidRPr="00556577">
        <w:rPr>
          <w:u w:val="single"/>
        </w:rPr>
        <w:t>/s/</w:t>
      </w:r>
      <w:r w:rsidR="007568F8">
        <w:rPr>
          <w:u w:val="single"/>
        </w:rPr>
        <w:t xml:space="preserve"> </w:t>
      </w:r>
      <w:r w:rsidRPr="00076642">
        <w:rPr>
          <w:i/>
          <w:u w:val="single"/>
        </w:rPr>
        <w:t>Frank P. Darr</w:t>
      </w:r>
      <w:r w:rsidR="00F40EF6">
        <w:rPr>
          <w:u w:val="single"/>
        </w:rPr>
        <w:tab/>
      </w:r>
      <w:r w:rsidR="00F40EF6">
        <w:rPr>
          <w:u w:val="single"/>
        </w:rPr>
        <w:tab/>
      </w:r>
      <w:r w:rsidR="00F40EF6">
        <w:rPr>
          <w:u w:val="single"/>
        </w:rPr>
        <w:tab/>
      </w:r>
      <w:r w:rsidR="00F40EF6">
        <w:rPr>
          <w:u w:val="single"/>
        </w:rPr>
        <w:tab/>
      </w:r>
    </w:p>
    <w:p w14:paraId="7788C417" w14:textId="4051BE14" w:rsidR="00F40EF6" w:rsidRDefault="00F40EF6" w:rsidP="00F40EF6">
      <w:pPr>
        <w:pStyle w:val="BodyText"/>
        <w:spacing w:after="0"/>
      </w:pPr>
      <w:r>
        <w:tab/>
      </w:r>
      <w:r>
        <w:tab/>
      </w:r>
      <w:r>
        <w:tab/>
      </w:r>
      <w:r>
        <w:tab/>
      </w:r>
      <w:r>
        <w:tab/>
      </w:r>
      <w:r>
        <w:tab/>
      </w:r>
      <w:r>
        <w:tab/>
      </w:r>
      <w:r>
        <w:tab/>
      </w:r>
      <w:r>
        <w:tab/>
        <w:t>Frank P. Darr</w:t>
      </w:r>
    </w:p>
    <w:p w14:paraId="16A3EB74" w14:textId="77777777" w:rsidR="00556577" w:rsidRDefault="00556577" w:rsidP="007C7717">
      <w:pPr>
        <w:pStyle w:val="BodyText"/>
        <w:spacing w:line="480" w:lineRule="auto"/>
        <w:ind w:firstLine="720"/>
        <w:rPr>
          <w:b/>
          <w:smallCaps/>
        </w:rPr>
      </w:pPr>
    </w:p>
    <w:p w14:paraId="658C9E6E" w14:textId="77777777" w:rsidR="00556577" w:rsidRDefault="00556577" w:rsidP="00C31270">
      <w:pPr>
        <w:tabs>
          <w:tab w:val="center" w:pos="7200"/>
          <w:tab w:val="right" w:pos="9360"/>
        </w:tabs>
        <w:rPr>
          <w:rFonts w:cs="Arial"/>
        </w:rPr>
        <w:sectPr w:rsidR="00556577" w:rsidSect="00556577">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pPr>
    </w:p>
    <w:p w14:paraId="18288890" w14:textId="2AF3C9AC" w:rsidR="00C31270" w:rsidRDefault="00C31270" w:rsidP="00C31270">
      <w:pPr>
        <w:tabs>
          <w:tab w:val="center" w:pos="7200"/>
          <w:tab w:val="right" w:pos="9360"/>
        </w:tabs>
        <w:rPr>
          <w:rFonts w:cs="Arial"/>
        </w:rPr>
      </w:pPr>
    </w:p>
    <w:p w14:paraId="440C67B8" w14:textId="77777777" w:rsidR="00556577" w:rsidRDefault="00556577" w:rsidP="00C31270">
      <w:pPr>
        <w:tabs>
          <w:tab w:val="center" w:pos="7200"/>
          <w:tab w:val="right" w:pos="9360"/>
        </w:tabs>
        <w:rPr>
          <w:rFonts w:cs="Arial"/>
        </w:rPr>
        <w:sectPr w:rsidR="00556577" w:rsidSect="00556577">
          <w:type w:val="continuous"/>
          <w:pgSz w:w="12240" w:h="15840" w:code="1"/>
          <w:pgMar w:top="1440" w:right="1440" w:bottom="1440" w:left="1440" w:header="720" w:footer="720" w:gutter="0"/>
          <w:cols w:num="2" w:space="720"/>
          <w:titlePg/>
          <w:docGrid w:linePitch="360"/>
        </w:sectPr>
      </w:pPr>
    </w:p>
    <w:p w14:paraId="65DD2BCE" w14:textId="77777777" w:rsidR="007C7717" w:rsidRDefault="007C7717" w:rsidP="007C7717">
      <w:pPr>
        <w:tabs>
          <w:tab w:val="center" w:pos="7200"/>
          <w:tab w:val="right" w:pos="9360"/>
        </w:tabs>
        <w:ind w:left="5040"/>
        <w:rPr>
          <w:rFonts w:cs="Arial"/>
        </w:rPr>
      </w:pPr>
    </w:p>
    <w:p w14:paraId="70E65A5F" w14:textId="77777777" w:rsidR="00A61A3E" w:rsidRPr="00A61A3E" w:rsidRDefault="00A61A3E" w:rsidP="00A61A3E">
      <w:pPr>
        <w:jc w:val="left"/>
        <w:rPr>
          <w:rFonts w:eastAsia="Calibri" w:cs="Times New Roman"/>
          <w:smallCaps/>
          <w:sz w:val="22"/>
          <w:szCs w:val="22"/>
        </w:rPr>
      </w:pPr>
      <w:r w:rsidRPr="00A61A3E">
        <w:rPr>
          <w:rFonts w:eastAsia="Calibri" w:cs="Times New Roman"/>
          <w:sz w:val="22"/>
          <w:szCs w:val="22"/>
        </w:rPr>
        <w:t xml:space="preserve">Mark A. Whitt </w:t>
      </w:r>
      <w:r w:rsidRPr="00A61A3E">
        <w:rPr>
          <w:rFonts w:eastAsia="Calibri" w:cs="Times New Roman"/>
          <w:smallCaps/>
          <w:sz w:val="22"/>
          <w:szCs w:val="22"/>
        </w:rPr>
        <w:t>(0067996)</w:t>
      </w:r>
    </w:p>
    <w:p w14:paraId="5025D4DD" w14:textId="77777777" w:rsidR="00A61A3E" w:rsidRPr="00A61A3E" w:rsidRDefault="00A61A3E" w:rsidP="00A61A3E">
      <w:pPr>
        <w:jc w:val="left"/>
        <w:rPr>
          <w:rFonts w:eastAsia="Calibri" w:cs="Times New Roman"/>
          <w:sz w:val="22"/>
          <w:szCs w:val="22"/>
        </w:rPr>
      </w:pPr>
      <w:r w:rsidRPr="00A61A3E">
        <w:rPr>
          <w:rFonts w:eastAsia="Calibri" w:cs="Times New Roman"/>
          <w:sz w:val="22"/>
          <w:szCs w:val="22"/>
        </w:rPr>
        <w:t>Whitt Sturtevant LLP</w:t>
      </w:r>
    </w:p>
    <w:p w14:paraId="566400EB" w14:textId="77777777" w:rsidR="00A61A3E" w:rsidRPr="00A61A3E" w:rsidRDefault="00A61A3E" w:rsidP="00A61A3E">
      <w:pPr>
        <w:jc w:val="left"/>
        <w:rPr>
          <w:rFonts w:eastAsia="Calibri" w:cs="Times New Roman"/>
          <w:sz w:val="22"/>
          <w:szCs w:val="22"/>
        </w:rPr>
      </w:pPr>
      <w:r w:rsidRPr="00A61A3E">
        <w:rPr>
          <w:rFonts w:eastAsia="Calibri" w:cs="Times New Roman"/>
          <w:sz w:val="22"/>
          <w:szCs w:val="22"/>
        </w:rPr>
        <w:t>The KeyBank Building</w:t>
      </w:r>
    </w:p>
    <w:p w14:paraId="55842105" w14:textId="77777777" w:rsidR="00A61A3E" w:rsidRPr="00A61A3E" w:rsidRDefault="00A61A3E" w:rsidP="00A61A3E">
      <w:pPr>
        <w:jc w:val="left"/>
        <w:rPr>
          <w:rFonts w:eastAsia="Calibri" w:cs="Times New Roman"/>
          <w:sz w:val="22"/>
          <w:szCs w:val="22"/>
        </w:rPr>
      </w:pPr>
      <w:r w:rsidRPr="00A61A3E">
        <w:rPr>
          <w:rFonts w:eastAsia="Calibri" w:cs="Times New Roman"/>
          <w:sz w:val="22"/>
          <w:szCs w:val="22"/>
        </w:rPr>
        <w:t>88 East Broad Street, Suite 1590</w:t>
      </w:r>
    </w:p>
    <w:p w14:paraId="48F39B00" w14:textId="77777777" w:rsidR="00A61A3E" w:rsidRPr="00A61A3E" w:rsidRDefault="00A61A3E" w:rsidP="00A61A3E">
      <w:pPr>
        <w:jc w:val="left"/>
        <w:rPr>
          <w:rFonts w:eastAsia="Calibri" w:cs="Times New Roman"/>
          <w:sz w:val="22"/>
          <w:szCs w:val="22"/>
        </w:rPr>
      </w:pPr>
      <w:r w:rsidRPr="00A61A3E">
        <w:rPr>
          <w:rFonts w:eastAsia="Calibri" w:cs="Times New Roman"/>
          <w:sz w:val="22"/>
          <w:szCs w:val="22"/>
        </w:rPr>
        <w:t>Columbus, OH  43215</w:t>
      </w:r>
    </w:p>
    <w:bookmarkStart w:id="3" w:name="_GoBack"/>
    <w:bookmarkEnd w:id="3"/>
    <w:p w14:paraId="448E3534" w14:textId="7170C85F" w:rsidR="00A61A3E" w:rsidRPr="00A61A3E" w:rsidRDefault="00117059" w:rsidP="00A61A3E">
      <w:pPr>
        <w:jc w:val="left"/>
        <w:rPr>
          <w:rFonts w:eastAsia="Calibri" w:cs="Times New Roman"/>
          <w:sz w:val="22"/>
          <w:szCs w:val="22"/>
        </w:rPr>
      </w:pPr>
      <w:r>
        <w:rPr>
          <w:rFonts w:eastAsia="Calibri" w:cs="Times New Roman"/>
          <w:color w:val="0000FF" w:themeColor="hyperlink"/>
          <w:sz w:val="22"/>
          <w:szCs w:val="22"/>
          <w:u w:val="single"/>
        </w:rPr>
        <w:fldChar w:fldCharType="begin"/>
      </w:r>
      <w:r>
        <w:rPr>
          <w:rFonts w:eastAsia="Calibri" w:cs="Times New Roman"/>
          <w:color w:val="0000FF" w:themeColor="hyperlink"/>
          <w:sz w:val="22"/>
          <w:szCs w:val="22"/>
          <w:u w:val="single"/>
        </w:rPr>
        <w:instrText xml:space="preserve"> HYPERLINK "mailto:</w:instrText>
      </w:r>
      <w:r w:rsidRPr="00A61A3E">
        <w:rPr>
          <w:rFonts w:eastAsia="Calibri" w:cs="Times New Roman"/>
          <w:color w:val="0000FF" w:themeColor="hyperlink"/>
          <w:sz w:val="22"/>
          <w:szCs w:val="22"/>
          <w:u w:val="single"/>
        </w:rPr>
        <w:instrText>whit</w:instrText>
      </w:r>
      <w:r>
        <w:rPr>
          <w:rFonts w:eastAsia="Calibri" w:cs="Times New Roman"/>
          <w:color w:val="0000FF" w:themeColor="hyperlink"/>
          <w:sz w:val="22"/>
          <w:szCs w:val="22"/>
          <w:u w:val="single"/>
        </w:rPr>
        <w:instrText>t</w:instrText>
      </w:r>
      <w:r w:rsidRPr="00A61A3E">
        <w:rPr>
          <w:rFonts w:eastAsia="Calibri" w:cs="Times New Roman"/>
          <w:color w:val="0000FF" w:themeColor="hyperlink"/>
          <w:sz w:val="22"/>
          <w:szCs w:val="22"/>
          <w:u w:val="single"/>
        </w:rPr>
        <w:instrText>@whitt-sturtevant.com</w:instrText>
      </w:r>
      <w:r>
        <w:rPr>
          <w:rFonts w:eastAsia="Calibri" w:cs="Times New Roman"/>
          <w:color w:val="0000FF" w:themeColor="hyperlink"/>
          <w:sz w:val="22"/>
          <w:szCs w:val="22"/>
          <w:u w:val="single"/>
        </w:rPr>
        <w:instrText xml:space="preserve">" </w:instrText>
      </w:r>
      <w:r>
        <w:rPr>
          <w:rFonts w:eastAsia="Calibri" w:cs="Times New Roman"/>
          <w:color w:val="0000FF" w:themeColor="hyperlink"/>
          <w:sz w:val="22"/>
          <w:szCs w:val="22"/>
          <w:u w:val="single"/>
        </w:rPr>
        <w:fldChar w:fldCharType="separate"/>
      </w:r>
      <w:r w:rsidRPr="001D4FF3">
        <w:rPr>
          <w:rStyle w:val="Hyperlink"/>
          <w:rFonts w:eastAsia="Calibri" w:cs="Times New Roman"/>
          <w:sz w:val="22"/>
          <w:szCs w:val="22"/>
        </w:rPr>
        <w:t>whitt@whitt-sturtevant.com</w:t>
      </w:r>
      <w:r>
        <w:rPr>
          <w:rFonts w:eastAsia="Calibri" w:cs="Times New Roman"/>
          <w:color w:val="0000FF" w:themeColor="hyperlink"/>
          <w:sz w:val="22"/>
          <w:szCs w:val="22"/>
          <w:u w:val="single"/>
        </w:rPr>
        <w:fldChar w:fldCharType="end"/>
      </w:r>
    </w:p>
    <w:p w14:paraId="1E9BDC71" w14:textId="77777777" w:rsidR="00A61A3E" w:rsidRPr="00A61A3E" w:rsidRDefault="00A61A3E" w:rsidP="00A61A3E">
      <w:pPr>
        <w:jc w:val="left"/>
        <w:rPr>
          <w:rFonts w:eastAsia="Calibri" w:cs="Times New Roman"/>
          <w:sz w:val="22"/>
          <w:szCs w:val="22"/>
        </w:rPr>
      </w:pPr>
    </w:p>
    <w:p w14:paraId="5C6498A4" w14:textId="77777777" w:rsidR="00A61A3E" w:rsidRPr="00A61A3E" w:rsidRDefault="00A61A3E" w:rsidP="00A61A3E">
      <w:pPr>
        <w:jc w:val="left"/>
        <w:rPr>
          <w:rFonts w:ascii="Arial Bold" w:eastAsia="Calibri" w:hAnsi="Arial Bold" w:cs="Times New Roman"/>
          <w:b/>
          <w:smallCaps/>
          <w:sz w:val="22"/>
          <w:szCs w:val="22"/>
        </w:rPr>
      </w:pPr>
      <w:r w:rsidRPr="00A61A3E">
        <w:rPr>
          <w:rFonts w:ascii="Arial Bold" w:eastAsia="Calibri" w:hAnsi="Arial Bold" w:cs="Times New Roman"/>
          <w:b/>
          <w:smallCaps/>
          <w:sz w:val="22"/>
          <w:szCs w:val="22"/>
        </w:rPr>
        <w:t>Complainant</w:t>
      </w:r>
    </w:p>
    <w:p w14:paraId="1A40B142" w14:textId="77777777" w:rsidR="00A61A3E" w:rsidRDefault="00A61A3E" w:rsidP="00A61A3E">
      <w:pPr>
        <w:jc w:val="left"/>
        <w:rPr>
          <w:rFonts w:eastAsia="Calibri" w:cs="Times New Roman"/>
          <w:sz w:val="22"/>
          <w:szCs w:val="22"/>
        </w:rPr>
      </w:pPr>
    </w:p>
    <w:p w14:paraId="5A88A6FA" w14:textId="77777777" w:rsidR="00EF408B" w:rsidRPr="00A61A3E" w:rsidRDefault="00EF408B" w:rsidP="00A61A3E">
      <w:pPr>
        <w:jc w:val="left"/>
        <w:rPr>
          <w:rFonts w:eastAsia="Calibri" w:cs="Times New Roman"/>
          <w:sz w:val="22"/>
          <w:szCs w:val="22"/>
        </w:rPr>
      </w:pPr>
    </w:p>
    <w:p w14:paraId="3EDCF71C" w14:textId="77777777" w:rsidR="00A61A3E" w:rsidRPr="00A61A3E" w:rsidRDefault="00A61A3E" w:rsidP="00A61A3E">
      <w:pPr>
        <w:jc w:val="left"/>
        <w:rPr>
          <w:rFonts w:eastAsia="Calibri" w:cs="Times New Roman"/>
          <w:sz w:val="22"/>
          <w:szCs w:val="22"/>
        </w:rPr>
      </w:pPr>
      <w:r w:rsidRPr="00A61A3E">
        <w:rPr>
          <w:rFonts w:eastAsia="Calibri" w:cs="Times New Roman"/>
          <w:sz w:val="22"/>
          <w:szCs w:val="22"/>
        </w:rPr>
        <w:t>M. Howard Petricoff</w:t>
      </w:r>
    </w:p>
    <w:p w14:paraId="3E00C79C" w14:textId="77777777" w:rsidR="00A61A3E" w:rsidRPr="00A61A3E" w:rsidRDefault="00A61A3E" w:rsidP="00A61A3E">
      <w:pPr>
        <w:jc w:val="left"/>
        <w:rPr>
          <w:rFonts w:eastAsia="Calibri" w:cs="Times New Roman"/>
          <w:sz w:val="22"/>
          <w:szCs w:val="22"/>
        </w:rPr>
      </w:pPr>
      <w:r w:rsidRPr="00A61A3E">
        <w:rPr>
          <w:rFonts w:eastAsia="Calibri" w:cs="Times New Roman"/>
          <w:sz w:val="22"/>
          <w:szCs w:val="22"/>
        </w:rPr>
        <w:t>Trial Attorney</w:t>
      </w:r>
    </w:p>
    <w:p w14:paraId="3EF68EBA" w14:textId="77777777" w:rsidR="00A61A3E" w:rsidRPr="00A61A3E" w:rsidRDefault="00A61A3E" w:rsidP="00A61A3E">
      <w:pPr>
        <w:jc w:val="left"/>
        <w:rPr>
          <w:rFonts w:eastAsia="Calibri" w:cs="Times New Roman"/>
          <w:sz w:val="22"/>
          <w:szCs w:val="22"/>
        </w:rPr>
      </w:pPr>
      <w:r w:rsidRPr="00A61A3E">
        <w:rPr>
          <w:rFonts w:eastAsia="Calibri" w:cs="Times New Roman"/>
          <w:sz w:val="22"/>
          <w:szCs w:val="22"/>
        </w:rPr>
        <w:t>Vorys, Sater, Seymour and Pease LLP</w:t>
      </w:r>
    </w:p>
    <w:p w14:paraId="13CE545C" w14:textId="77777777" w:rsidR="00A61A3E" w:rsidRPr="00A61A3E" w:rsidRDefault="00A61A3E" w:rsidP="00A61A3E">
      <w:pPr>
        <w:jc w:val="left"/>
        <w:rPr>
          <w:rFonts w:eastAsia="Calibri" w:cs="Times New Roman"/>
          <w:sz w:val="22"/>
          <w:szCs w:val="22"/>
        </w:rPr>
      </w:pPr>
      <w:r w:rsidRPr="00A61A3E">
        <w:rPr>
          <w:rFonts w:eastAsia="Calibri" w:cs="Times New Roman"/>
          <w:sz w:val="22"/>
          <w:szCs w:val="22"/>
        </w:rPr>
        <w:t>52 E. Gay Street</w:t>
      </w:r>
    </w:p>
    <w:p w14:paraId="6D86F847" w14:textId="77777777" w:rsidR="00A61A3E" w:rsidRPr="00A61A3E" w:rsidRDefault="00A61A3E" w:rsidP="00A61A3E">
      <w:pPr>
        <w:jc w:val="left"/>
        <w:rPr>
          <w:rFonts w:eastAsia="Calibri" w:cs="Times New Roman"/>
          <w:sz w:val="22"/>
          <w:szCs w:val="22"/>
        </w:rPr>
      </w:pPr>
      <w:r w:rsidRPr="00A61A3E">
        <w:rPr>
          <w:rFonts w:eastAsia="Calibri" w:cs="Times New Roman"/>
          <w:sz w:val="22"/>
          <w:szCs w:val="22"/>
        </w:rPr>
        <w:t>P.O. Box 1008</w:t>
      </w:r>
    </w:p>
    <w:p w14:paraId="6DEFB819" w14:textId="77777777" w:rsidR="00A61A3E" w:rsidRPr="00A61A3E" w:rsidRDefault="00A61A3E" w:rsidP="00A61A3E">
      <w:pPr>
        <w:jc w:val="left"/>
        <w:rPr>
          <w:rFonts w:eastAsia="Calibri" w:cs="Times New Roman"/>
          <w:sz w:val="22"/>
          <w:szCs w:val="22"/>
        </w:rPr>
      </w:pPr>
      <w:r w:rsidRPr="00A61A3E">
        <w:rPr>
          <w:rFonts w:eastAsia="Calibri" w:cs="Times New Roman"/>
          <w:sz w:val="22"/>
          <w:szCs w:val="22"/>
        </w:rPr>
        <w:t>Columbus, OH  43216-1008</w:t>
      </w:r>
    </w:p>
    <w:p w14:paraId="20767E1C" w14:textId="77777777" w:rsidR="00A61A3E" w:rsidRPr="00A61A3E" w:rsidRDefault="00117059" w:rsidP="00A61A3E">
      <w:pPr>
        <w:jc w:val="left"/>
        <w:rPr>
          <w:rFonts w:eastAsia="Calibri" w:cs="Times New Roman"/>
          <w:sz w:val="22"/>
          <w:szCs w:val="22"/>
        </w:rPr>
      </w:pPr>
      <w:hyperlink r:id="rId20" w:history="1">
        <w:r w:rsidR="00A61A3E" w:rsidRPr="00A61A3E">
          <w:rPr>
            <w:rFonts w:eastAsia="Calibri" w:cs="Times New Roman"/>
            <w:color w:val="0000FF" w:themeColor="hyperlink"/>
            <w:sz w:val="22"/>
            <w:szCs w:val="22"/>
            <w:u w:val="single"/>
          </w:rPr>
          <w:t>mhpetricoff@vorys.com</w:t>
        </w:r>
      </w:hyperlink>
    </w:p>
    <w:p w14:paraId="7CD0C8B7" w14:textId="77777777" w:rsidR="00A61A3E" w:rsidRPr="00A61A3E" w:rsidRDefault="00A61A3E" w:rsidP="00A61A3E">
      <w:pPr>
        <w:jc w:val="left"/>
        <w:rPr>
          <w:rFonts w:eastAsia="Calibri" w:cs="Times New Roman"/>
          <w:sz w:val="22"/>
          <w:szCs w:val="22"/>
        </w:rPr>
      </w:pPr>
    </w:p>
    <w:p w14:paraId="70B11ECC" w14:textId="77777777" w:rsidR="00A61A3E" w:rsidRPr="00A61A3E" w:rsidRDefault="00A61A3E" w:rsidP="00A61A3E">
      <w:pPr>
        <w:jc w:val="left"/>
        <w:rPr>
          <w:rFonts w:ascii="Arial Bold" w:eastAsia="Calibri" w:hAnsi="Arial Bold" w:cs="Times New Roman"/>
          <w:b/>
          <w:smallCaps/>
          <w:sz w:val="22"/>
          <w:szCs w:val="22"/>
        </w:rPr>
      </w:pPr>
      <w:r w:rsidRPr="00A61A3E">
        <w:rPr>
          <w:rFonts w:ascii="Arial Bold" w:eastAsia="Calibri" w:hAnsi="Arial Bold" w:cs="Times New Roman"/>
          <w:b/>
          <w:smallCaps/>
          <w:sz w:val="22"/>
          <w:szCs w:val="22"/>
        </w:rPr>
        <w:t>On Behalf of Respondent, Nationwide Energy Partners, LLC</w:t>
      </w:r>
    </w:p>
    <w:p w14:paraId="55F75DF0" w14:textId="77777777" w:rsidR="00A61A3E" w:rsidRPr="00A61A3E" w:rsidRDefault="00A61A3E" w:rsidP="00A61A3E">
      <w:pPr>
        <w:jc w:val="left"/>
        <w:rPr>
          <w:rFonts w:eastAsia="Calibri" w:cs="Times New Roman"/>
          <w:sz w:val="22"/>
          <w:szCs w:val="22"/>
        </w:rPr>
      </w:pPr>
    </w:p>
    <w:p w14:paraId="0DDB9456" w14:textId="643D2FF4" w:rsidR="00091D23" w:rsidRDefault="00091D23" w:rsidP="00A61A3E">
      <w:pPr>
        <w:jc w:val="left"/>
        <w:rPr>
          <w:rFonts w:eastAsia="Calibri" w:cs="Times New Roman"/>
          <w:sz w:val="22"/>
          <w:szCs w:val="22"/>
        </w:rPr>
      </w:pPr>
    </w:p>
    <w:p w14:paraId="3BD65A0B" w14:textId="77777777" w:rsidR="00A61A3E" w:rsidRPr="00A61A3E" w:rsidRDefault="00A61A3E" w:rsidP="00A61A3E">
      <w:pPr>
        <w:jc w:val="left"/>
        <w:rPr>
          <w:rFonts w:eastAsia="Calibri" w:cs="Times New Roman"/>
          <w:sz w:val="22"/>
          <w:szCs w:val="22"/>
        </w:rPr>
      </w:pPr>
      <w:r w:rsidRPr="00A61A3E">
        <w:rPr>
          <w:rFonts w:eastAsia="Calibri" w:cs="Times New Roman"/>
          <w:sz w:val="22"/>
          <w:szCs w:val="22"/>
        </w:rPr>
        <w:t>Bruce J. Weston</w:t>
      </w:r>
    </w:p>
    <w:p w14:paraId="294937AE" w14:textId="77777777" w:rsidR="00A61A3E" w:rsidRPr="00A61A3E" w:rsidRDefault="00A61A3E" w:rsidP="00A61A3E">
      <w:pPr>
        <w:jc w:val="left"/>
        <w:rPr>
          <w:rFonts w:eastAsia="Calibri" w:cs="Times New Roman"/>
          <w:sz w:val="22"/>
          <w:szCs w:val="22"/>
        </w:rPr>
      </w:pPr>
      <w:r w:rsidRPr="00A61A3E">
        <w:rPr>
          <w:rFonts w:eastAsia="Calibri" w:cs="Times New Roman"/>
          <w:sz w:val="22"/>
          <w:szCs w:val="22"/>
        </w:rPr>
        <w:t>Ohio Consumers’ Counsel</w:t>
      </w:r>
    </w:p>
    <w:p w14:paraId="78E9E653" w14:textId="77777777" w:rsidR="00A61A3E" w:rsidRPr="00A61A3E" w:rsidRDefault="00A61A3E" w:rsidP="00A61A3E">
      <w:pPr>
        <w:jc w:val="left"/>
        <w:rPr>
          <w:rFonts w:eastAsia="Calibri" w:cs="Times New Roman"/>
          <w:sz w:val="22"/>
          <w:szCs w:val="22"/>
        </w:rPr>
      </w:pPr>
    </w:p>
    <w:p w14:paraId="41F25E2D" w14:textId="77777777" w:rsidR="00806CDB" w:rsidRDefault="00806CDB" w:rsidP="00A61A3E">
      <w:pPr>
        <w:jc w:val="left"/>
        <w:rPr>
          <w:rFonts w:eastAsia="Calibri" w:cs="Times New Roman"/>
          <w:sz w:val="22"/>
          <w:szCs w:val="22"/>
        </w:rPr>
      </w:pPr>
      <w:r>
        <w:rPr>
          <w:rFonts w:eastAsia="Calibri" w:cs="Times New Roman"/>
          <w:sz w:val="22"/>
          <w:szCs w:val="22"/>
        </w:rPr>
        <w:br w:type="column"/>
      </w:r>
    </w:p>
    <w:p w14:paraId="4035EF5F" w14:textId="0A13C6CF" w:rsidR="00A61A3E" w:rsidRPr="00A61A3E" w:rsidRDefault="00A61A3E" w:rsidP="00A61A3E">
      <w:pPr>
        <w:jc w:val="left"/>
        <w:rPr>
          <w:rFonts w:eastAsia="Calibri" w:cs="Times New Roman"/>
          <w:sz w:val="22"/>
          <w:szCs w:val="22"/>
        </w:rPr>
      </w:pPr>
      <w:r w:rsidRPr="00A61A3E">
        <w:rPr>
          <w:rFonts w:eastAsia="Calibri" w:cs="Times New Roman"/>
          <w:sz w:val="22"/>
          <w:szCs w:val="22"/>
        </w:rPr>
        <w:t>Kyle L. Kern (0084199)</w:t>
      </w:r>
    </w:p>
    <w:p w14:paraId="702CD4AB" w14:textId="77777777" w:rsidR="00A61A3E" w:rsidRPr="00A61A3E" w:rsidRDefault="00A61A3E" w:rsidP="00A61A3E">
      <w:pPr>
        <w:jc w:val="left"/>
        <w:rPr>
          <w:rFonts w:eastAsia="Calibri" w:cs="Times New Roman"/>
          <w:sz w:val="22"/>
          <w:szCs w:val="22"/>
        </w:rPr>
      </w:pPr>
      <w:r w:rsidRPr="00A61A3E">
        <w:rPr>
          <w:rFonts w:eastAsia="Calibri" w:cs="Times New Roman"/>
          <w:sz w:val="22"/>
          <w:szCs w:val="22"/>
        </w:rPr>
        <w:t>Jodi Bair (0062921)</w:t>
      </w:r>
    </w:p>
    <w:p w14:paraId="02E79711" w14:textId="77777777" w:rsidR="00A61A3E" w:rsidRPr="00A61A3E" w:rsidRDefault="00A61A3E" w:rsidP="00A61A3E">
      <w:pPr>
        <w:jc w:val="left"/>
        <w:rPr>
          <w:rFonts w:eastAsia="Calibri" w:cs="Times New Roman"/>
          <w:sz w:val="22"/>
          <w:szCs w:val="22"/>
        </w:rPr>
      </w:pPr>
      <w:r w:rsidRPr="00A61A3E">
        <w:rPr>
          <w:rFonts w:eastAsia="Calibri" w:cs="Times New Roman"/>
          <w:sz w:val="22"/>
          <w:szCs w:val="22"/>
        </w:rPr>
        <w:t>Assistant Consumers’ Counsel</w:t>
      </w:r>
    </w:p>
    <w:p w14:paraId="099B0CDE" w14:textId="77777777" w:rsidR="00A61A3E" w:rsidRPr="00A61A3E" w:rsidRDefault="00A61A3E" w:rsidP="00A61A3E">
      <w:pPr>
        <w:jc w:val="left"/>
        <w:rPr>
          <w:rFonts w:eastAsia="Calibri" w:cs="Times New Roman"/>
          <w:sz w:val="22"/>
          <w:szCs w:val="22"/>
        </w:rPr>
      </w:pPr>
      <w:r w:rsidRPr="00A61A3E">
        <w:rPr>
          <w:rFonts w:eastAsia="Calibri" w:cs="Times New Roman"/>
          <w:sz w:val="22"/>
          <w:szCs w:val="22"/>
        </w:rPr>
        <w:t>10 West Broad Street, Suite 1800</w:t>
      </w:r>
    </w:p>
    <w:p w14:paraId="1C496224" w14:textId="77777777" w:rsidR="00A61A3E" w:rsidRPr="00A61A3E" w:rsidRDefault="00A61A3E" w:rsidP="00A61A3E">
      <w:pPr>
        <w:jc w:val="left"/>
        <w:rPr>
          <w:rFonts w:eastAsia="Calibri" w:cs="Times New Roman"/>
          <w:sz w:val="22"/>
          <w:szCs w:val="22"/>
        </w:rPr>
      </w:pPr>
      <w:r w:rsidRPr="00A61A3E">
        <w:rPr>
          <w:rFonts w:eastAsia="Calibri" w:cs="Times New Roman"/>
          <w:sz w:val="22"/>
          <w:szCs w:val="22"/>
        </w:rPr>
        <w:t>Columbus, OH  43215-3485</w:t>
      </w:r>
    </w:p>
    <w:p w14:paraId="4646C01B" w14:textId="77777777" w:rsidR="00A61A3E" w:rsidRPr="00A61A3E" w:rsidRDefault="00117059" w:rsidP="00A61A3E">
      <w:pPr>
        <w:jc w:val="left"/>
        <w:rPr>
          <w:rFonts w:eastAsia="Calibri" w:cs="Times New Roman"/>
        </w:rPr>
      </w:pPr>
      <w:hyperlink r:id="rId21" w:history="1">
        <w:r w:rsidR="00A61A3E" w:rsidRPr="00A61A3E">
          <w:rPr>
            <w:rFonts w:eastAsia="Calibri" w:cs="Times New Roman"/>
            <w:color w:val="0000FF" w:themeColor="hyperlink"/>
            <w:sz w:val="22"/>
            <w:szCs w:val="22"/>
            <w:u w:val="single"/>
          </w:rPr>
          <w:t>Kyle.kern@occ.ohio.gov</w:t>
        </w:r>
      </w:hyperlink>
    </w:p>
    <w:p w14:paraId="2344AFE1" w14:textId="77777777" w:rsidR="00A61A3E" w:rsidRPr="00C415B6" w:rsidRDefault="00117059" w:rsidP="00A61A3E">
      <w:pPr>
        <w:jc w:val="left"/>
        <w:rPr>
          <w:rFonts w:eastAsia="Calibri" w:cs="Times New Roman"/>
          <w:sz w:val="22"/>
          <w:szCs w:val="22"/>
        </w:rPr>
      </w:pPr>
      <w:hyperlink r:id="rId22" w:history="1">
        <w:r w:rsidR="00A61A3E" w:rsidRPr="00C415B6">
          <w:rPr>
            <w:rFonts w:eastAsia="Calibri" w:cs="Times New Roman"/>
            <w:color w:val="0000FF" w:themeColor="hyperlink"/>
            <w:sz w:val="22"/>
            <w:szCs w:val="22"/>
            <w:u w:val="single"/>
          </w:rPr>
          <w:t>Jodi.bair@occ.ohio.gov</w:t>
        </w:r>
      </w:hyperlink>
    </w:p>
    <w:p w14:paraId="1D1C014A" w14:textId="77777777" w:rsidR="00A61A3E" w:rsidRPr="00A61A3E" w:rsidRDefault="00A61A3E" w:rsidP="00A61A3E">
      <w:pPr>
        <w:jc w:val="left"/>
        <w:rPr>
          <w:rFonts w:eastAsia="Calibri" w:cs="Times New Roman"/>
          <w:sz w:val="22"/>
          <w:szCs w:val="22"/>
        </w:rPr>
      </w:pPr>
    </w:p>
    <w:p w14:paraId="42CDB693" w14:textId="77777777" w:rsidR="00A61A3E" w:rsidRPr="00A61A3E" w:rsidRDefault="00A61A3E" w:rsidP="00A61A3E">
      <w:pPr>
        <w:jc w:val="left"/>
        <w:rPr>
          <w:rFonts w:eastAsia="Calibri" w:cs="Times New Roman"/>
          <w:sz w:val="22"/>
          <w:szCs w:val="22"/>
        </w:rPr>
      </w:pPr>
      <w:r w:rsidRPr="00A61A3E">
        <w:rPr>
          <w:rFonts w:eastAsia="Calibri" w:cs="Times New Roman"/>
          <w:sz w:val="22"/>
          <w:szCs w:val="22"/>
        </w:rPr>
        <w:t>Kimberly W. Bojko (0069402)</w:t>
      </w:r>
    </w:p>
    <w:p w14:paraId="68E202FC" w14:textId="77777777" w:rsidR="00A61A3E" w:rsidRPr="00A61A3E" w:rsidRDefault="00A61A3E" w:rsidP="00A61A3E">
      <w:pPr>
        <w:jc w:val="left"/>
        <w:rPr>
          <w:rFonts w:eastAsia="Calibri" w:cs="Times New Roman"/>
          <w:sz w:val="22"/>
          <w:szCs w:val="22"/>
        </w:rPr>
      </w:pPr>
      <w:r w:rsidRPr="00A61A3E">
        <w:rPr>
          <w:rFonts w:eastAsia="Calibri" w:cs="Times New Roman"/>
          <w:sz w:val="22"/>
          <w:szCs w:val="22"/>
        </w:rPr>
        <w:t>Carpenter Lipps &amp; Leland LLP</w:t>
      </w:r>
    </w:p>
    <w:p w14:paraId="419978BB" w14:textId="77777777" w:rsidR="00A61A3E" w:rsidRPr="00A61A3E" w:rsidRDefault="00A61A3E" w:rsidP="00A61A3E">
      <w:pPr>
        <w:jc w:val="left"/>
        <w:rPr>
          <w:rFonts w:eastAsia="Calibri" w:cs="Times New Roman"/>
          <w:sz w:val="22"/>
          <w:szCs w:val="22"/>
        </w:rPr>
      </w:pPr>
      <w:r w:rsidRPr="00A61A3E">
        <w:rPr>
          <w:rFonts w:eastAsia="Calibri" w:cs="Times New Roman"/>
          <w:sz w:val="22"/>
          <w:szCs w:val="22"/>
        </w:rPr>
        <w:t>280 Plaza, Suite 1300</w:t>
      </w:r>
    </w:p>
    <w:p w14:paraId="37B96916" w14:textId="77777777" w:rsidR="00A61A3E" w:rsidRPr="00A61A3E" w:rsidRDefault="00A61A3E" w:rsidP="00A61A3E">
      <w:pPr>
        <w:jc w:val="left"/>
        <w:rPr>
          <w:rFonts w:eastAsia="Calibri" w:cs="Times New Roman"/>
          <w:sz w:val="22"/>
          <w:szCs w:val="22"/>
        </w:rPr>
      </w:pPr>
      <w:r w:rsidRPr="00A61A3E">
        <w:rPr>
          <w:rFonts w:eastAsia="Calibri" w:cs="Times New Roman"/>
          <w:sz w:val="22"/>
          <w:szCs w:val="22"/>
        </w:rPr>
        <w:t>280 North High Street</w:t>
      </w:r>
    </w:p>
    <w:p w14:paraId="5F0151F3" w14:textId="77777777" w:rsidR="00A61A3E" w:rsidRPr="00A61A3E" w:rsidRDefault="00A61A3E" w:rsidP="00A61A3E">
      <w:pPr>
        <w:jc w:val="left"/>
        <w:rPr>
          <w:rFonts w:eastAsia="Calibri" w:cs="Times New Roman"/>
          <w:sz w:val="22"/>
          <w:szCs w:val="22"/>
        </w:rPr>
      </w:pPr>
      <w:r w:rsidRPr="00A61A3E">
        <w:rPr>
          <w:rFonts w:eastAsia="Calibri" w:cs="Times New Roman"/>
          <w:sz w:val="22"/>
          <w:szCs w:val="22"/>
        </w:rPr>
        <w:t>Columbus, OH  43215</w:t>
      </w:r>
    </w:p>
    <w:p w14:paraId="50B1B2C4" w14:textId="77777777" w:rsidR="00A61A3E" w:rsidRPr="00A61A3E" w:rsidRDefault="00117059" w:rsidP="00A61A3E">
      <w:pPr>
        <w:jc w:val="left"/>
        <w:rPr>
          <w:rFonts w:eastAsia="Calibri" w:cs="Times New Roman"/>
          <w:sz w:val="22"/>
          <w:szCs w:val="22"/>
        </w:rPr>
      </w:pPr>
      <w:hyperlink r:id="rId23" w:history="1">
        <w:r w:rsidR="00A61A3E" w:rsidRPr="00A61A3E">
          <w:rPr>
            <w:rFonts w:eastAsia="Calibri" w:cs="Times New Roman"/>
            <w:color w:val="0000FF" w:themeColor="hyperlink"/>
            <w:sz w:val="22"/>
            <w:szCs w:val="22"/>
            <w:u w:val="single"/>
          </w:rPr>
          <w:t>Bojko@carpenterlipps.com</w:t>
        </w:r>
      </w:hyperlink>
    </w:p>
    <w:p w14:paraId="4C23DABA" w14:textId="77777777" w:rsidR="00A61A3E" w:rsidRPr="00A61A3E" w:rsidRDefault="00A61A3E" w:rsidP="00A61A3E">
      <w:pPr>
        <w:jc w:val="left"/>
        <w:rPr>
          <w:rFonts w:eastAsia="Calibri" w:cs="Times New Roman"/>
          <w:sz w:val="22"/>
          <w:szCs w:val="22"/>
        </w:rPr>
      </w:pPr>
    </w:p>
    <w:p w14:paraId="168ADD07" w14:textId="77777777" w:rsidR="00A61A3E" w:rsidRPr="00A61A3E" w:rsidRDefault="00A61A3E" w:rsidP="00A61A3E">
      <w:pPr>
        <w:jc w:val="left"/>
        <w:rPr>
          <w:rFonts w:ascii="Arial Bold" w:eastAsia="Calibri" w:hAnsi="Arial Bold" w:cs="Times New Roman"/>
          <w:b/>
          <w:smallCaps/>
          <w:sz w:val="22"/>
          <w:szCs w:val="22"/>
        </w:rPr>
      </w:pPr>
      <w:r w:rsidRPr="00A61A3E">
        <w:rPr>
          <w:rFonts w:ascii="Arial Bold" w:eastAsia="Calibri" w:hAnsi="Arial Bold" w:cs="Times New Roman"/>
          <w:b/>
          <w:smallCaps/>
          <w:sz w:val="22"/>
          <w:szCs w:val="22"/>
        </w:rPr>
        <w:t>On Behalf of the Office of the Ohio Consumers’ Counsel</w:t>
      </w:r>
    </w:p>
    <w:p w14:paraId="684E05A5" w14:textId="77777777" w:rsidR="00A61A3E" w:rsidRPr="00A61A3E" w:rsidRDefault="00A61A3E" w:rsidP="00A61A3E">
      <w:pPr>
        <w:jc w:val="left"/>
        <w:rPr>
          <w:rFonts w:eastAsia="Calibri" w:cs="Times New Roman"/>
          <w:sz w:val="22"/>
          <w:szCs w:val="22"/>
        </w:rPr>
      </w:pPr>
    </w:p>
    <w:p w14:paraId="477AA27B" w14:textId="77777777" w:rsidR="00EF408B" w:rsidRDefault="00EF408B" w:rsidP="00A61A3E">
      <w:pPr>
        <w:jc w:val="left"/>
        <w:rPr>
          <w:rFonts w:eastAsia="Calibri" w:cs="Times New Roman"/>
          <w:sz w:val="22"/>
          <w:szCs w:val="22"/>
        </w:rPr>
      </w:pPr>
    </w:p>
    <w:p w14:paraId="143B7C50" w14:textId="77777777" w:rsidR="00A61A3E" w:rsidRPr="00A61A3E" w:rsidRDefault="00A61A3E" w:rsidP="00A61A3E">
      <w:pPr>
        <w:jc w:val="left"/>
        <w:rPr>
          <w:rFonts w:eastAsia="Calibri" w:cs="Times New Roman"/>
          <w:sz w:val="22"/>
          <w:szCs w:val="22"/>
        </w:rPr>
      </w:pPr>
      <w:r w:rsidRPr="00A61A3E">
        <w:rPr>
          <w:rFonts w:eastAsia="Calibri" w:cs="Times New Roman"/>
          <w:sz w:val="22"/>
          <w:szCs w:val="22"/>
        </w:rPr>
        <w:t>Colleen L. Mooney (0015668)</w:t>
      </w:r>
    </w:p>
    <w:p w14:paraId="491CB5B8" w14:textId="77777777" w:rsidR="00A61A3E" w:rsidRPr="00A61A3E" w:rsidRDefault="00A61A3E" w:rsidP="00A61A3E">
      <w:pPr>
        <w:jc w:val="left"/>
        <w:rPr>
          <w:rFonts w:eastAsia="Calibri" w:cs="Times New Roman"/>
          <w:sz w:val="22"/>
          <w:szCs w:val="22"/>
        </w:rPr>
      </w:pPr>
      <w:r w:rsidRPr="00A61A3E">
        <w:rPr>
          <w:rFonts w:eastAsia="Calibri" w:cs="Times New Roman"/>
          <w:sz w:val="22"/>
          <w:szCs w:val="22"/>
        </w:rPr>
        <w:t>Ohio Partners for Affordable Energy</w:t>
      </w:r>
    </w:p>
    <w:p w14:paraId="6D743792" w14:textId="77777777" w:rsidR="00A61A3E" w:rsidRPr="00A61A3E" w:rsidRDefault="00A61A3E" w:rsidP="00A61A3E">
      <w:pPr>
        <w:jc w:val="left"/>
        <w:rPr>
          <w:rFonts w:eastAsia="Calibri" w:cs="Times New Roman"/>
          <w:sz w:val="22"/>
          <w:szCs w:val="22"/>
        </w:rPr>
      </w:pPr>
      <w:r w:rsidRPr="00A61A3E">
        <w:rPr>
          <w:rFonts w:eastAsia="Calibri" w:cs="Times New Roman"/>
          <w:sz w:val="22"/>
          <w:szCs w:val="22"/>
        </w:rPr>
        <w:t>231 West Lima Street</w:t>
      </w:r>
    </w:p>
    <w:p w14:paraId="1E84D32D" w14:textId="77777777" w:rsidR="00A61A3E" w:rsidRPr="00A61A3E" w:rsidRDefault="00A61A3E" w:rsidP="00A61A3E">
      <w:pPr>
        <w:jc w:val="left"/>
        <w:rPr>
          <w:rFonts w:eastAsia="Calibri" w:cs="Times New Roman"/>
          <w:sz w:val="22"/>
          <w:szCs w:val="22"/>
        </w:rPr>
      </w:pPr>
      <w:r w:rsidRPr="00A61A3E">
        <w:rPr>
          <w:rFonts w:eastAsia="Calibri" w:cs="Times New Roman"/>
          <w:sz w:val="22"/>
          <w:szCs w:val="22"/>
        </w:rPr>
        <w:t>Findlay, OH  45839-1793</w:t>
      </w:r>
    </w:p>
    <w:p w14:paraId="68A637FE" w14:textId="77777777" w:rsidR="00A61A3E" w:rsidRPr="00A61A3E" w:rsidRDefault="00117059" w:rsidP="00A61A3E">
      <w:pPr>
        <w:jc w:val="left"/>
        <w:rPr>
          <w:rFonts w:eastAsia="Calibri" w:cs="Times New Roman"/>
          <w:sz w:val="22"/>
          <w:szCs w:val="22"/>
        </w:rPr>
      </w:pPr>
      <w:hyperlink r:id="rId24" w:history="1">
        <w:r w:rsidR="00A61A3E" w:rsidRPr="00A61A3E">
          <w:rPr>
            <w:rFonts w:eastAsia="Calibri" w:cs="Times New Roman"/>
            <w:color w:val="0000FF" w:themeColor="hyperlink"/>
            <w:sz w:val="22"/>
            <w:szCs w:val="22"/>
            <w:u w:val="single"/>
          </w:rPr>
          <w:t>cmooney@ohiopartners.org</w:t>
        </w:r>
      </w:hyperlink>
    </w:p>
    <w:p w14:paraId="4BBEF286" w14:textId="77777777" w:rsidR="00A61A3E" w:rsidRPr="00A61A3E" w:rsidRDefault="00A61A3E" w:rsidP="00A61A3E">
      <w:pPr>
        <w:jc w:val="left"/>
        <w:rPr>
          <w:rFonts w:eastAsia="Calibri" w:cs="Times New Roman"/>
          <w:sz w:val="22"/>
          <w:szCs w:val="22"/>
        </w:rPr>
      </w:pPr>
    </w:p>
    <w:p w14:paraId="776AE40E" w14:textId="77777777" w:rsidR="00A61A3E" w:rsidRDefault="00A61A3E" w:rsidP="00A61A3E">
      <w:pPr>
        <w:jc w:val="left"/>
        <w:rPr>
          <w:rFonts w:ascii="Arial Bold" w:eastAsia="Calibri" w:hAnsi="Arial Bold" w:cs="Times New Roman"/>
          <w:b/>
          <w:smallCaps/>
          <w:sz w:val="22"/>
          <w:szCs w:val="22"/>
        </w:rPr>
      </w:pPr>
      <w:r w:rsidRPr="00A61A3E">
        <w:rPr>
          <w:rFonts w:ascii="Arial Bold" w:eastAsia="Calibri" w:hAnsi="Arial Bold" w:cs="Times New Roman"/>
          <w:b/>
          <w:smallCaps/>
          <w:sz w:val="22"/>
          <w:szCs w:val="22"/>
        </w:rPr>
        <w:t>On Behalf of Ohio Partners for Affordable Energy</w:t>
      </w:r>
    </w:p>
    <w:p w14:paraId="33581A16" w14:textId="77777777" w:rsidR="00C81556" w:rsidRDefault="00C81556" w:rsidP="00A61A3E">
      <w:pPr>
        <w:jc w:val="left"/>
        <w:rPr>
          <w:rFonts w:ascii="Arial Bold" w:eastAsia="Calibri" w:hAnsi="Arial Bold" w:cs="Times New Roman"/>
          <w:b/>
          <w:smallCaps/>
          <w:sz w:val="22"/>
          <w:szCs w:val="22"/>
        </w:rPr>
      </w:pPr>
    </w:p>
    <w:p w14:paraId="5ABBE412" w14:textId="77777777" w:rsidR="00A61A3E" w:rsidRPr="00A61A3E" w:rsidRDefault="00A61A3E" w:rsidP="00A61A3E">
      <w:pPr>
        <w:jc w:val="left"/>
        <w:rPr>
          <w:rFonts w:eastAsia="Calibri" w:cs="Times New Roman"/>
          <w:sz w:val="22"/>
          <w:szCs w:val="22"/>
        </w:rPr>
      </w:pPr>
      <w:r w:rsidRPr="00A61A3E">
        <w:rPr>
          <w:rFonts w:eastAsia="Calibri" w:cs="Times New Roman"/>
          <w:sz w:val="22"/>
          <w:szCs w:val="22"/>
        </w:rPr>
        <w:lastRenderedPageBreak/>
        <w:t>Steven T. Nourse</w:t>
      </w:r>
    </w:p>
    <w:p w14:paraId="75297175" w14:textId="77777777" w:rsidR="00A61A3E" w:rsidRPr="00A61A3E" w:rsidRDefault="00A61A3E" w:rsidP="00A61A3E">
      <w:pPr>
        <w:jc w:val="left"/>
        <w:rPr>
          <w:rFonts w:eastAsia="Calibri" w:cs="Times New Roman"/>
          <w:sz w:val="22"/>
          <w:szCs w:val="22"/>
        </w:rPr>
      </w:pPr>
      <w:r w:rsidRPr="00A61A3E">
        <w:rPr>
          <w:rFonts w:eastAsia="Calibri" w:cs="Times New Roman"/>
          <w:sz w:val="22"/>
          <w:szCs w:val="22"/>
        </w:rPr>
        <w:t>Matthew J. Satterwhite</w:t>
      </w:r>
    </w:p>
    <w:p w14:paraId="51F29D6C" w14:textId="77777777" w:rsidR="00691736" w:rsidRDefault="00691736" w:rsidP="00A61A3E">
      <w:pPr>
        <w:jc w:val="left"/>
        <w:rPr>
          <w:rFonts w:eastAsia="Calibri" w:cs="Times New Roman"/>
          <w:sz w:val="22"/>
          <w:szCs w:val="22"/>
        </w:rPr>
      </w:pPr>
      <w:r>
        <w:rPr>
          <w:rFonts w:eastAsia="Calibri" w:cs="Times New Roman"/>
          <w:sz w:val="22"/>
          <w:szCs w:val="22"/>
        </w:rPr>
        <w:t>Matthew S. McKenzie</w:t>
      </w:r>
    </w:p>
    <w:p w14:paraId="638E2541" w14:textId="77777777" w:rsidR="00A61A3E" w:rsidRPr="00A61A3E" w:rsidRDefault="00A61A3E" w:rsidP="00A61A3E">
      <w:pPr>
        <w:jc w:val="left"/>
        <w:rPr>
          <w:rFonts w:eastAsia="Calibri" w:cs="Times New Roman"/>
          <w:sz w:val="22"/>
          <w:szCs w:val="22"/>
        </w:rPr>
      </w:pPr>
      <w:r w:rsidRPr="00A61A3E">
        <w:rPr>
          <w:rFonts w:eastAsia="Calibri" w:cs="Times New Roman"/>
          <w:sz w:val="22"/>
          <w:szCs w:val="22"/>
        </w:rPr>
        <w:t>American Electric Power Service Corporation</w:t>
      </w:r>
    </w:p>
    <w:p w14:paraId="5F381377" w14:textId="77777777" w:rsidR="00A61A3E" w:rsidRPr="00A61A3E" w:rsidRDefault="00A61A3E" w:rsidP="00A61A3E">
      <w:pPr>
        <w:jc w:val="left"/>
        <w:rPr>
          <w:rFonts w:eastAsia="Calibri" w:cs="Times New Roman"/>
          <w:sz w:val="22"/>
          <w:szCs w:val="22"/>
        </w:rPr>
      </w:pPr>
      <w:r w:rsidRPr="00A61A3E">
        <w:rPr>
          <w:rFonts w:eastAsia="Calibri" w:cs="Times New Roman"/>
          <w:sz w:val="22"/>
          <w:szCs w:val="22"/>
        </w:rPr>
        <w:t>1 Riverside Plaza, 29</w:t>
      </w:r>
      <w:r w:rsidRPr="00A61A3E">
        <w:rPr>
          <w:rFonts w:eastAsia="Calibri" w:cs="Times New Roman"/>
          <w:sz w:val="22"/>
          <w:szCs w:val="22"/>
          <w:vertAlign w:val="superscript"/>
        </w:rPr>
        <w:t>th</w:t>
      </w:r>
      <w:r w:rsidRPr="00A61A3E">
        <w:rPr>
          <w:rFonts w:eastAsia="Calibri" w:cs="Times New Roman"/>
          <w:sz w:val="22"/>
          <w:szCs w:val="22"/>
        </w:rPr>
        <w:t xml:space="preserve"> Floor</w:t>
      </w:r>
    </w:p>
    <w:p w14:paraId="054FA8CE" w14:textId="77777777" w:rsidR="00A61A3E" w:rsidRPr="00A61A3E" w:rsidRDefault="00A61A3E" w:rsidP="00A61A3E">
      <w:pPr>
        <w:jc w:val="left"/>
        <w:rPr>
          <w:rFonts w:eastAsia="Calibri" w:cs="Times New Roman"/>
          <w:sz w:val="22"/>
          <w:szCs w:val="22"/>
        </w:rPr>
      </w:pPr>
      <w:r w:rsidRPr="00A61A3E">
        <w:rPr>
          <w:rFonts w:eastAsia="Calibri" w:cs="Times New Roman"/>
          <w:sz w:val="22"/>
          <w:szCs w:val="22"/>
        </w:rPr>
        <w:t>Columbus, OH  43215</w:t>
      </w:r>
    </w:p>
    <w:p w14:paraId="5C0BA1E1" w14:textId="77777777" w:rsidR="00A61A3E" w:rsidRPr="00A61A3E" w:rsidRDefault="00117059" w:rsidP="00A61A3E">
      <w:pPr>
        <w:jc w:val="left"/>
        <w:rPr>
          <w:rFonts w:eastAsia="Calibri" w:cs="Times New Roman"/>
          <w:sz w:val="22"/>
          <w:szCs w:val="22"/>
        </w:rPr>
      </w:pPr>
      <w:hyperlink r:id="rId25" w:history="1">
        <w:r w:rsidR="00A61A3E" w:rsidRPr="00A61A3E">
          <w:rPr>
            <w:rFonts w:eastAsia="Calibri" w:cs="Times New Roman"/>
            <w:color w:val="0000FF" w:themeColor="hyperlink"/>
            <w:sz w:val="22"/>
            <w:szCs w:val="22"/>
            <w:u w:val="single"/>
          </w:rPr>
          <w:t>stnourse@aep.com</w:t>
        </w:r>
      </w:hyperlink>
    </w:p>
    <w:p w14:paraId="454E13AC" w14:textId="77777777" w:rsidR="00A61A3E" w:rsidRPr="00A61A3E" w:rsidRDefault="00117059" w:rsidP="00A61A3E">
      <w:pPr>
        <w:jc w:val="left"/>
        <w:rPr>
          <w:rFonts w:eastAsia="Calibri" w:cs="Times New Roman"/>
          <w:sz w:val="22"/>
          <w:szCs w:val="22"/>
        </w:rPr>
      </w:pPr>
      <w:hyperlink r:id="rId26" w:history="1">
        <w:r w:rsidR="00A61A3E" w:rsidRPr="00A61A3E">
          <w:rPr>
            <w:rFonts w:eastAsia="Calibri" w:cs="Times New Roman"/>
            <w:color w:val="0000FF" w:themeColor="hyperlink"/>
            <w:sz w:val="22"/>
            <w:szCs w:val="22"/>
            <w:u w:val="single"/>
          </w:rPr>
          <w:t>mjsatterwhite@aep.com</w:t>
        </w:r>
      </w:hyperlink>
    </w:p>
    <w:p w14:paraId="5F558CA4" w14:textId="77777777" w:rsidR="00A61A3E" w:rsidRDefault="00117059" w:rsidP="00A61A3E">
      <w:pPr>
        <w:jc w:val="left"/>
        <w:rPr>
          <w:rFonts w:eastAsia="Calibri" w:cs="Times New Roman"/>
          <w:sz w:val="22"/>
          <w:szCs w:val="22"/>
        </w:rPr>
      </w:pPr>
      <w:hyperlink r:id="rId27" w:history="1">
        <w:r w:rsidR="00691736" w:rsidRPr="00630674">
          <w:rPr>
            <w:rStyle w:val="Hyperlink"/>
            <w:rFonts w:eastAsia="Calibri" w:cs="Times New Roman"/>
            <w:sz w:val="22"/>
            <w:szCs w:val="22"/>
          </w:rPr>
          <w:t>msmckenzie@aep.com</w:t>
        </w:r>
      </w:hyperlink>
    </w:p>
    <w:p w14:paraId="700163A4" w14:textId="77777777" w:rsidR="00691736" w:rsidRPr="00A61A3E" w:rsidRDefault="00691736" w:rsidP="00A61A3E">
      <w:pPr>
        <w:jc w:val="left"/>
        <w:rPr>
          <w:rFonts w:eastAsia="Calibri" w:cs="Times New Roman"/>
          <w:sz w:val="22"/>
          <w:szCs w:val="22"/>
        </w:rPr>
      </w:pPr>
    </w:p>
    <w:p w14:paraId="00587248" w14:textId="77777777" w:rsidR="00A61A3E" w:rsidRPr="00A61A3E" w:rsidRDefault="00A61A3E" w:rsidP="00A61A3E">
      <w:pPr>
        <w:jc w:val="left"/>
        <w:rPr>
          <w:rFonts w:ascii="Arial Bold" w:eastAsia="Calibri" w:hAnsi="Arial Bold" w:cs="Times New Roman"/>
          <w:b/>
          <w:smallCaps/>
          <w:sz w:val="22"/>
          <w:szCs w:val="22"/>
        </w:rPr>
      </w:pPr>
      <w:r w:rsidRPr="00A61A3E">
        <w:rPr>
          <w:rFonts w:ascii="Arial Bold" w:eastAsia="Calibri" w:hAnsi="Arial Bold" w:cs="Times New Roman"/>
          <w:b/>
          <w:smallCaps/>
          <w:sz w:val="22"/>
          <w:szCs w:val="22"/>
        </w:rPr>
        <w:t>On Behalf of Ohio Power Company</w:t>
      </w:r>
    </w:p>
    <w:p w14:paraId="5C24F69E" w14:textId="77777777" w:rsidR="00A61A3E" w:rsidRDefault="00A61A3E" w:rsidP="00A61A3E">
      <w:pPr>
        <w:jc w:val="left"/>
        <w:rPr>
          <w:rFonts w:eastAsia="Calibri" w:cs="Times New Roman"/>
          <w:sz w:val="22"/>
          <w:szCs w:val="22"/>
        </w:rPr>
      </w:pPr>
    </w:p>
    <w:p w14:paraId="46B82478" w14:textId="77777777" w:rsidR="00EF408B" w:rsidRPr="00A61A3E" w:rsidRDefault="00EF408B" w:rsidP="00A61A3E">
      <w:pPr>
        <w:jc w:val="left"/>
        <w:rPr>
          <w:rFonts w:eastAsia="Calibri" w:cs="Times New Roman"/>
          <w:sz w:val="22"/>
          <w:szCs w:val="22"/>
        </w:rPr>
      </w:pPr>
    </w:p>
    <w:p w14:paraId="2D76451E" w14:textId="77777777" w:rsidR="009B277D" w:rsidRPr="009B277D" w:rsidRDefault="009B277D" w:rsidP="009B277D">
      <w:pPr>
        <w:autoSpaceDE w:val="0"/>
        <w:autoSpaceDN w:val="0"/>
        <w:adjustRightInd w:val="0"/>
        <w:jc w:val="left"/>
        <w:rPr>
          <w:rFonts w:cs="Arial"/>
          <w:color w:val="000000"/>
          <w:sz w:val="22"/>
          <w:szCs w:val="22"/>
        </w:rPr>
      </w:pPr>
      <w:r w:rsidRPr="009B277D">
        <w:rPr>
          <w:rFonts w:cs="Arial"/>
          <w:color w:val="000000"/>
          <w:sz w:val="22"/>
          <w:szCs w:val="22"/>
        </w:rPr>
        <w:t>Glenn S. Krassen</w:t>
      </w:r>
    </w:p>
    <w:p w14:paraId="2D465762" w14:textId="77777777" w:rsidR="009B277D" w:rsidRPr="009B277D" w:rsidRDefault="009B277D" w:rsidP="009B277D">
      <w:pPr>
        <w:autoSpaceDE w:val="0"/>
        <w:autoSpaceDN w:val="0"/>
        <w:adjustRightInd w:val="0"/>
        <w:jc w:val="left"/>
        <w:rPr>
          <w:rFonts w:cs="Arial"/>
          <w:color w:val="000000"/>
          <w:sz w:val="22"/>
          <w:szCs w:val="22"/>
        </w:rPr>
      </w:pPr>
      <w:r w:rsidRPr="009B277D">
        <w:rPr>
          <w:rFonts w:cs="Arial"/>
          <w:color w:val="000000"/>
          <w:sz w:val="22"/>
          <w:szCs w:val="22"/>
        </w:rPr>
        <w:t>BRICKER &amp; ECKLER LLP</w:t>
      </w:r>
    </w:p>
    <w:p w14:paraId="7E930903" w14:textId="77777777" w:rsidR="009B277D" w:rsidRPr="009B277D" w:rsidRDefault="009B277D" w:rsidP="009B277D">
      <w:pPr>
        <w:autoSpaceDE w:val="0"/>
        <w:autoSpaceDN w:val="0"/>
        <w:adjustRightInd w:val="0"/>
        <w:jc w:val="left"/>
        <w:rPr>
          <w:rFonts w:cs="Arial"/>
          <w:color w:val="000000"/>
          <w:sz w:val="22"/>
          <w:szCs w:val="22"/>
        </w:rPr>
      </w:pPr>
      <w:r w:rsidRPr="009B277D">
        <w:rPr>
          <w:rFonts w:cs="Arial"/>
          <w:color w:val="000000"/>
          <w:sz w:val="22"/>
          <w:szCs w:val="22"/>
        </w:rPr>
        <w:t>1001 Lakeside Avenue East, Suite 1350</w:t>
      </w:r>
    </w:p>
    <w:p w14:paraId="69CDC40E" w14:textId="77777777" w:rsidR="009B277D" w:rsidRPr="009B277D" w:rsidRDefault="009B277D" w:rsidP="009B277D">
      <w:pPr>
        <w:autoSpaceDE w:val="0"/>
        <w:autoSpaceDN w:val="0"/>
        <w:adjustRightInd w:val="0"/>
        <w:jc w:val="left"/>
        <w:rPr>
          <w:rFonts w:cs="Arial"/>
          <w:color w:val="000000"/>
          <w:sz w:val="22"/>
          <w:szCs w:val="22"/>
        </w:rPr>
      </w:pPr>
      <w:r w:rsidRPr="009B277D">
        <w:rPr>
          <w:rFonts w:cs="Arial"/>
          <w:color w:val="000000"/>
          <w:sz w:val="22"/>
          <w:szCs w:val="22"/>
        </w:rPr>
        <w:t>Cleveland, Ohio 44114</w:t>
      </w:r>
    </w:p>
    <w:p w14:paraId="0ECA9CE7" w14:textId="11B01602" w:rsidR="009B277D" w:rsidRPr="009B277D" w:rsidRDefault="009B277D" w:rsidP="009B277D">
      <w:pPr>
        <w:autoSpaceDE w:val="0"/>
        <w:autoSpaceDN w:val="0"/>
        <w:adjustRightInd w:val="0"/>
        <w:jc w:val="left"/>
        <w:rPr>
          <w:rFonts w:cs="Arial"/>
          <w:color w:val="0000FF"/>
          <w:sz w:val="22"/>
          <w:szCs w:val="22"/>
        </w:rPr>
      </w:pPr>
      <w:r w:rsidRPr="009B277D">
        <w:rPr>
          <w:rFonts w:cs="Arial"/>
          <w:color w:val="0000FF"/>
          <w:sz w:val="22"/>
          <w:szCs w:val="22"/>
        </w:rPr>
        <w:t>gkrassen@bricker.com</w:t>
      </w:r>
    </w:p>
    <w:p w14:paraId="4F949926" w14:textId="77777777" w:rsidR="009B277D" w:rsidRDefault="009B277D" w:rsidP="009B277D">
      <w:pPr>
        <w:autoSpaceDE w:val="0"/>
        <w:autoSpaceDN w:val="0"/>
        <w:adjustRightInd w:val="0"/>
        <w:jc w:val="left"/>
        <w:rPr>
          <w:rFonts w:cs="Arial"/>
          <w:color w:val="000000"/>
          <w:sz w:val="22"/>
          <w:szCs w:val="22"/>
        </w:rPr>
      </w:pPr>
    </w:p>
    <w:p w14:paraId="0DF205DD" w14:textId="77777777" w:rsidR="009B277D" w:rsidRPr="009B277D" w:rsidRDefault="009B277D" w:rsidP="009B277D">
      <w:pPr>
        <w:autoSpaceDE w:val="0"/>
        <w:autoSpaceDN w:val="0"/>
        <w:adjustRightInd w:val="0"/>
        <w:jc w:val="left"/>
        <w:rPr>
          <w:rFonts w:cs="Arial"/>
          <w:color w:val="000000"/>
          <w:sz w:val="22"/>
          <w:szCs w:val="22"/>
        </w:rPr>
      </w:pPr>
      <w:r w:rsidRPr="009B277D">
        <w:rPr>
          <w:rFonts w:cs="Arial"/>
          <w:color w:val="000000"/>
          <w:sz w:val="22"/>
          <w:szCs w:val="22"/>
        </w:rPr>
        <w:t>Dane Stinson</w:t>
      </w:r>
    </w:p>
    <w:p w14:paraId="18D7AEC1" w14:textId="77777777" w:rsidR="009B277D" w:rsidRPr="009B277D" w:rsidRDefault="009B277D" w:rsidP="009B277D">
      <w:pPr>
        <w:autoSpaceDE w:val="0"/>
        <w:autoSpaceDN w:val="0"/>
        <w:adjustRightInd w:val="0"/>
        <w:jc w:val="left"/>
        <w:rPr>
          <w:rFonts w:cs="Arial"/>
          <w:color w:val="000000"/>
          <w:sz w:val="22"/>
          <w:szCs w:val="22"/>
        </w:rPr>
      </w:pPr>
      <w:r w:rsidRPr="009B277D">
        <w:rPr>
          <w:rFonts w:cs="Arial"/>
          <w:color w:val="000000"/>
          <w:sz w:val="22"/>
          <w:szCs w:val="22"/>
        </w:rPr>
        <w:t>Dylan Borchers</w:t>
      </w:r>
    </w:p>
    <w:p w14:paraId="2557CFD2" w14:textId="77777777" w:rsidR="009B277D" w:rsidRPr="009B277D" w:rsidRDefault="009B277D" w:rsidP="009B277D">
      <w:pPr>
        <w:autoSpaceDE w:val="0"/>
        <w:autoSpaceDN w:val="0"/>
        <w:adjustRightInd w:val="0"/>
        <w:jc w:val="left"/>
        <w:rPr>
          <w:rFonts w:cs="Arial"/>
          <w:color w:val="000000"/>
          <w:sz w:val="22"/>
          <w:szCs w:val="22"/>
        </w:rPr>
      </w:pPr>
      <w:r w:rsidRPr="009B277D">
        <w:rPr>
          <w:rFonts w:cs="Arial"/>
          <w:color w:val="000000"/>
          <w:sz w:val="22"/>
          <w:szCs w:val="22"/>
        </w:rPr>
        <w:t>BRICKER &amp; ECKLER LLP</w:t>
      </w:r>
    </w:p>
    <w:p w14:paraId="34CC7D7D" w14:textId="77777777" w:rsidR="009B277D" w:rsidRPr="009B277D" w:rsidRDefault="009B277D" w:rsidP="009B277D">
      <w:pPr>
        <w:autoSpaceDE w:val="0"/>
        <w:autoSpaceDN w:val="0"/>
        <w:adjustRightInd w:val="0"/>
        <w:jc w:val="left"/>
        <w:rPr>
          <w:rFonts w:cs="Arial"/>
          <w:color w:val="000000"/>
          <w:sz w:val="22"/>
          <w:szCs w:val="22"/>
        </w:rPr>
      </w:pPr>
      <w:r w:rsidRPr="009B277D">
        <w:rPr>
          <w:rFonts w:cs="Arial"/>
          <w:color w:val="000000"/>
          <w:sz w:val="22"/>
          <w:szCs w:val="22"/>
        </w:rPr>
        <w:t>100 South Third Street</w:t>
      </w:r>
    </w:p>
    <w:p w14:paraId="23F6E1DA" w14:textId="77777777" w:rsidR="009B277D" w:rsidRPr="009B277D" w:rsidRDefault="009B277D" w:rsidP="009B277D">
      <w:pPr>
        <w:autoSpaceDE w:val="0"/>
        <w:autoSpaceDN w:val="0"/>
        <w:adjustRightInd w:val="0"/>
        <w:jc w:val="left"/>
        <w:rPr>
          <w:rFonts w:cs="Arial"/>
          <w:color w:val="000000"/>
          <w:sz w:val="22"/>
          <w:szCs w:val="22"/>
        </w:rPr>
      </w:pPr>
      <w:r w:rsidRPr="009B277D">
        <w:rPr>
          <w:rFonts w:cs="Arial"/>
          <w:color w:val="000000"/>
          <w:sz w:val="22"/>
          <w:szCs w:val="22"/>
        </w:rPr>
        <w:t>Columbus, Ohio 43215</w:t>
      </w:r>
    </w:p>
    <w:p w14:paraId="2D677601" w14:textId="2B490399" w:rsidR="009B277D" w:rsidRPr="009B277D" w:rsidRDefault="009B277D" w:rsidP="009B277D">
      <w:pPr>
        <w:autoSpaceDE w:val="0"/>
        <w:autoSpaceDN w:val="0"/>
        <w:adjustRightInd w:val="0"/>
        <w:jc w:val="left"/>
        <w:rPr>
          <w:rFonts w:cs="Arial"/>
          <w:color w:val="0000FF"/>
          <w:sz w:val="22"/>
          <w:szCs w:val="22"/>
        </w:rPr>
      </w:pPr>
      <w:r w:rsidRPr="009B277D">
        <w:rPr>
          <w:rFonts w:cs="Arial"/>
          <w:color w:val="0000FF"/>
          <w:sz w:val="22"/>
          <w:szCs w:val="22"/>
        </w:rPr>
        <w:t>dstinson@bricker.com</w:t>
      </w:r>
    </w:p>
    <w:p w14:paraId="7526C818" w14:textId="6BAD2527" w:rsidR="009B277D" w:rsidRDefault="00117059" w:rsidP="009B277D">
      <w:pPr>
        <w:autoSpaceDE w:val="0"/>
        <w:autoSpaceDN w:val="0"/>
        <w:adjustRightInd w:val="0"/>
        <w:jc w:val="left"/>
        <w:rPr>
          <w:rFonts w:cs="Arial"/>
          <w:color w:val="000000"/>
          <w:sz w:val="22"/>
          <w:szCs w:val="22"/>
        </w:rPr>
      </w:pPr>
      <w:hyperlink r:id="rId28" w:history="1">
        <w:r w:rsidR="009B277D" w:rsidRPr="00442F0D">
          <w:rPr>
            <w:rStyle w:val="Hyperlink"/>
            <w:rFonts w:cs="Arial"/>
            <w:sz w:val="22"/>
            <w:szCs w:val="22"/>
          </w:rPr>
          <w:t>dborchers@bricker.com</w:t>
        </w:r>
      </w:hyperlink>
    </w:p>
    <w:p w14:paraId="12C42179" w14:textId="77777777" w:rsidR="009B277D" w:rsidRPr="009B277D" w:rsidRDefault="009B277D" w:rsidP="009B277D">
      <w:pPr>
        <w:autoSpaceDE w:val="0"/>
        <w:autoSpaceDN w:val="0"/>
        <w:adjustRightInd w:val="0"/>
        <w:jc w:val="left"/>
        <w:rPr>
          <w:rFonts w:cs="Arial"/>
          <w:color w:val="000000"/>
          <w:sz w:val="22"/>
          <w:szCs w:val="22"/>
        </w:rPr>
      </w:pPr>
    </w:p>
    <w:p w14:paraId="6BD748B6" w14:textId="77777777" w:rsidR="009B277D" w:rsidRPr="009B277D" w:rsidRDefault="009B277D" w:rsidP="009B277D">
      <w:pPr>
        <w:autoSpaceDE w:val="0"/>
        <w:autoSpaceDN w:val="0"/>
        <w:adjustRightInd w:val="0"/>
        <w:jc w:val="left"/>
        <w:rPr>
          <w:rFonts w:ascii="Arial Bold" w:hAnsi="Arial Bold" w:cs="Arial"/>
          <w:b/>
          <w:smallCaps/>
          <w:color w:val="000000"/>
          <w:sz w:val="22"/>
          <w:szCs w:val="22"/>
        </w:rPr>
      </w:pPr>
      <w:r w:rsidRPr="009B277D">
        <w:rPr>
          <w:rFonts w:ascii="Arial Bold" w:hAnsi="Arial Bold" w:cs="Arial"/>
          <w:b/>
          <w:smallCaps/>
          <w:color w:val="000000"/>
          <w:sz w:val="22"/>
          <w:szCs w:val="22"/>
        </w:rPr>
        <w:t>Attorneys for Building Owners and Managers</w:t>
      </w:r>
    </w:p>
    <w:p w14:paraId="500CA919" w14:textId="77777777" w:rsidR="009B277D" w:rsidRPr="009B277D" w:rsidRDefault="009B277D" w:rsidP="009B277D">
      <w:pPr>
        <w:jc w:val="left"/>
        <w:rPr>
          <w:rFonts w:ascii="Arial Bold" w:hAnsi="Arial Bold" w:cs="Arial"/>
          <w:b/>
          <w:smallCaps/>
          <w:color w:val="000000"/>
          <w:sz w:val="22"/>
          <w:szCs w:val="22"/>
        </w:rPr>
      </w:pPr>
      <w:r w:rsidRPr="009B277D">
        <w:rPr>
          <w:rFonts w:ascii="Arial Bold" w:hAnsi="Arial Bold" w:cs="Arial"/>
          <w:b/>
          <w:smallCaps/>
          <w:color w:val="000000"/>
          <w:sz w:val="22"/>
          <w:szCs w:val="22"/>
        </w:rPr>
        <w:t>Association of Greater Cleveland</w:t>
      </w:r>
    </w:p>
    <w:p w14:paraId="332939A1" w14:textId="77777777" w:rsidR="009B277D" w:rsidRDefault="009B277D" w:rsidP="009B277D">
      <w:pPr>
        <w:jc w:val="left"/>
        <w:rPr>
          <w:rFonts w:cs="Arial"/>
          <w:color w:val="000000"/>
          <w:sz w:val="22"/>
          <w:szCs w:val="22"/>
        </w:rPr>
      </w:pPr>
    </w:p>
    <w:p w14:paraId="611DFEEE" w14:textId="77777777" w:rsidR="0028161C" w:rsidRDefault="0028161C" w:rsidP="009B277D">
      <w:pPr>
        <w:jc w:val="left"/>
        <w:rPr>
          <w:rFonts w:cs="Arial"/>
          <w:color w:val="000000"/>
          <w:sz w:val="22"/>
          <w:szCs w:val="22"/>
        </w:rPr>
      </w:pPr>
    </w:p>
    <w:p w14:paraId="6566DC06" w14:textId="77777777" w:rsidR="0028161C" w:rsidRPr="0028161C" w:rsidRDefault="0028161C" w:rsidP="0028161C">
      <w:pPr>
        <w:autoSpaceDE w:val="0"/>
        <w:autoSpaceDN w:val="0"/>
        <w:adjustRightInd w:val="0"/>
        <w:jc w:val="left"/>
        <w:rPr>
          <w:rFonts w:cs="Arial"/>
          <w:sz w:val="22"/>
          <w:szCs w:val="22"/>
        </w:rPr>
      </w:pPr>
      <w:r w:rsidRPr="0028161C">
        <w:rPr>
          <w:rFonts w:cs="Arial"/>
          <w:sz w:val="22"/>
          <w:szCs w:val="22"/>
        </w:rPr>
        <w:t>Steven D. Lesser (0020242)</w:t>
      </w:r>
    </w:p>
    <w:p w14:paraId="3613C33F" w14:textId="77777777" w:rsidR="0028161C" w:rsidRPr="0028161C" w:rsidRDefault="0028161C" w:rsidP="0028161C">
      <w:pPr>
        <w:autoSpaceDE w:val="0"/>
        <w:autoSpaceDN w:val="0"/>
        <w:adjustRightInd w:val="0"/>
        <w:jc w:val="left"/>
        <w:rPr>
          <w:rFonts w:cs="Arial"/>
          <w:sz w:val="22"/>
          <w:szCs w:val="22"/>
        </w:rPr>
      </w:pPr>
      <w:r w:rsidRPr="0028161C">
        <w:rPr>
          <w:rFonts w:cs="Arial"/>
          <w:sz w:val="22"/>
          <w:szCs w:val="22"/>
        </w:rPr>
        <w:t>Maryellen K. Corbett (0080228)</w:t>
      </w:r>
    </w:p>
    <w:p w14:paraId="2F362566" w14:textId="77777777" w:rsidR="0028161C" w:rsidRPr="0028161C" w:rsidRDefault="0028161C" w:rsidP="0028161C">
      <w:pPr>
        <w:autoSpaceDE w:val="0"/>
        <w:autoSpaceDN w:val="0"/>
        <w:adjustRightInd w:val="0"/>
        <w:jc w:val="left"/>
        <w:rPr>
          <w:rFonts w:cs="Arial"/>
          <w:sz w:val="22"/>
          <w:szCs w:val="22"/>
        </w:rPr>
      </w:pPr>
      <w:r w:rsidRPr="0028161C">
        <w:rPr>
          <w:rFonts w:cs="Arial"/>
          <w:sz w:val="22"/>
          <w:szCs w:val="22"/>
        </w:rPr>
        <w:t>CALFEE, HALTER &amp; GRISWOLD LLP</w:t>
      </w:r>
    </w:p>
    <w:p w14:paraId="4B4587E8" w14:textId="77777777" w:rsidR="0028161C" w:rsidRPr="0028161C" w:rsidRDefault="0028161C" w:rsidP="0028161C">
      <w:pPr>
        <w:autoSpaceDE w:val="0"/>
        <w:autoSpaceDN w:val="0"/>
        <w:adjustRightInd w:val="0"/>
        <w:jc w:val="left"/>
        <w:rPr>
          <w:rFonts w:cs="Arial"/>
          <w:sz w:val="22"/>
          <w:szCs w:val="22"/>
        </w:rPr>
      </w:pPr>
      <w:r w:rsidRPr="0028161C">
        <w:rPr>
          <w:rFonts w:cs="Arial"/>
          <w:sz w:val="22"/>
          <w:szCs w:val="22"/>
        </w:rPr>
        <w:t>1200 Huntington Center</w:t>
      </w:r>
    </w:p>
    <w:p w14:paraId="457B9E8E" w14:textId="77777777" w:rsidR="0028161C" w:rsidRPr="0028161C" w:rsidRDefault="0028161C" w:rsidP="0028161C">
      <w:pPr>
        <w:autoSpaceDE w:val="0"/>
        <w:autoSpaceDN w:val="0"/>
        <w:adjustRightInd w:val="0"/>
        <w:jc w:val="left"/>
        <w:rPr>
          <w:rFonts w:cs="Arial"/>
          <w:sz w:val="22"/>
          <w:szCs w:val="22"/>
        </w:rPr>
      </w:pPr>
      <w:r w:rsidRPr="0028161C">
        <w:rPr>
          <w:rFonts w:cs="Arial"/>
          <w:sz w:val="22"/>
          <w:szCs w:val="22"/>
        </w:rPr>
        <w:t>41 South High Street</w:t>
      </w:r>
    </w:p>
    <w:p w14:paraId="327E8E2B" w14:textId="77777777" w:rsidR="0028161C" w:rsidRPr="0028161C" w:rsidRDefault="0028161C" w:rsidP="0028161C">
      <w:pPr>
        <w:autoSpaceDE w:val="0"/>
        <w:autoSpaceDN w:val="0"/>
        <w:adjustRightInd w:val="0"/>
        <w:jc w:val="left"/>
        <w:rPr>
          <w:rFonts w:cs="Arial"/>
          <w:sz w:val="22"/>
          <w:szCs w:val="22"/>
        </w:rPr>
      </w:pPr>
      <w:r w:rsidRPr="0028161C">
        <w:rPr>
          <w:rFonts w:cs="Arial"/>
          <w:sz w:val="22"/>
          <w:szCs w:val="22"/>
        </w:rPr>
        <w:t>Columbus, OH 43215</w:t>
      </w:r>
    </w:p>
    <w:p w14:paraId="101E3AFB" w14:textId="37DE8427" w:rsidR="0028161C" w:rsidRDefault="00117059" w:rsidP="0028161C">
      <w:pPr>
        <w:autoSpaceDE w:val="0"/>
        <w:autoSpaceDN w:val="0"/>
        <w:adjustRightInd w:val="0"/>
        <w:jc w:val="left"/>
        <w:rPr>
          <w:rFonts w:cs="Arial"/>
          <w:sz w:val="22"/>
          <w:szCs w:val="22"/>
        </w:rPr>
      </w:pPr>
      <w:hyperlink r:id="rId29" w:history="1">
        <w:r w:rsidR="00B018CE" w:rsidRPr="00442F0D">
          <w:rPr>
            <w:rStyle w:val="Hyperlink"/>
            <w:rFonts w:cs="Arial"/>
            <w:sz w:val="22"/>
            <w:szCs w:val="22"/>
          </w:rPr>
          <w:t>slesser@calfee.com</w:t>
        </w:r>
      </w:hyperlink>
    </w:p>
    <w:p w14:paraId="72C970E5" w14:textId="5FEDE08E" w:rsidR="0028161C" w:rsidRDefault="00117059" w:rsidP="0028161C">
      <w:pPr>
        <w:autoSpaceDE w:val="0"/>
        <w:autoSpaceDN w:val="0"/>
        <w:adjustRightInd w:val="0"/>
        <w:jc w:val="left"/>
        <w:rPr>
          <w:rFonts w:cs="Arial"/>
          <w:sz w:val="22"/>
          <w:szCs w:val="22"/>
        </w:rPr>
      </w:pPr>
      <w:hyperlink r:id="rId30" w:history="1">
        <w:r w:rsidR="00B018CE" w:rsidRPr="00442F0D">
          <w:rPr>
            <w:rStyle w:val="Hyperlink"/>
            <w:rFonts w:cs="Arial"/>
            <w:sz w:val="22"/>
            <w:szCs w:val="22"/>
          </w:rPr>
          <w:t>mcorbett@calfee.com</w:t>
        </w:r>
      </w:hyperlink>
    </w:p>
    <w:p w14:paraId="6499758B" w14:textId="77777777" w:rsidR="0028161C" w:rsidRDefault="0028161C" w:rsidP="0028161C">
      <w:pPr>
        <w:autoSpaceDE w:val="0"/>
        <w:autoSpaceDN w:val="0"/>
        <w:adjustRightInd w:val="0"/>
        <w:jc w:val="left"/>
        <w:rPr>
          <w:rFonts w:cs="Arial"/>
          <w:i/>
          <w:iCs/>
          <w:sz w:val="22"/>
          <w:szCs w:val="22"/>
        </w:rPr>
      </w:pPr>
    </w:p>
    <w:p w14:paraId="27609561" w14:textId="71977DC4" w:rsidR="0028161C" w:rsidRDefault="0028161C" w:rsidP="00B018CE">
      <w:pPr>
        <w:autoSpaceDE w:val="0"/>
        <w:autoSpaceDN w:val="0"/>
        <w:adjustRightInd w:val="0"/>
        <w:jc w:val="left"/>
        <w:rPr>
          <w:rFonts w:cs="Arial"/>
          <w:b/>
          <w:iCs/>
          <w:smallCaps/>
          <w:sz w:val="22"/>
          <w:szCs w:val="22"/>
        </w:rPr>
      </w:pPr>
      <w:r w:rsidRPr="0028161C">
        <w:rPr>
          <w:rFonts w:cs="Arial"/>
          <w:b/>
          <w:iCs/>
          <w:smallCaps/>
          <w:sz w:val="22"/>
          <w:szCs w:val="22"/>
        </w:rPr>
        <w:t>Attorneys for the Ohio Apartment Association</w:t>
      </w:r>
      <w:r>
        <w:rPr>
          <w:rFonts w:cs="Arial"/>
          <w:b/>
          <w:iCs/>
          <w:smallCaps/>
          <w:sz w:val="22"/>
          <w:szCs w:val="22"/>
        </w:rPr>
        <w:t xml:space="preserve"> </w:t>
      </w:r>
      <w:r w:rsidRPr="0028161C">
        <w:rPr>
          <w:rFonts w:cs="Arial"/>
          <w:b/>
          <w:iCs/>
          <w:smallCaps/>
          <w:sz w:val="22"/>
          <w:szCs w:val="22"/>
        </w:rPr>
        <w:t>and the International Council of Shopping</w:t>
      </w:r>
      <w:r w:rsidR="00B018CE">
        <w:rPr>
          <w:rFonts w:cs="Arial"/>
          <w:b/>
          <w:iCs/>
          <w:smallCaps/>
          <w:sz w:val="22"/>
          <w:szCs w:val="22"/>
        </w:rPr>
        <w:t xml:space="preserve"> </w:t>
      </w:r>
      <w:r w:rsidRPr="0028161C">
        <w:rPr>
          <w:rFonts w:cs="Arial"/>
          <w:b/>
          <w:iCs/>
          <w:smallCaps/>
          <w:sz w:val="22"/>
          <w:szCs w:val="22"/>
        </w:rPr>
        <w:t>Centers</w:t>
      </w:r>
    </w:p>
    <w:p w14:paraId="6E8689BC" w14:textId="77777777" w:rsidR="00F47F28" w:rsidRPr="0028161C" w:rsidRDefault="00F47F28" w:rsidP="00B018CE">
      <w:pPr>
        <w:autoSpaceDE w:val="0"/>
        <w:autoSpaceDN w:val="0"/>
        <w:adjustRightInd w:val="0"/>
        <w:jc w:val="left"/>
        <w:rPr>
          <w:rFonts w:cs="Arial"/>
          <w:b/>
          <w:iCs/>
          <w:smallCaps/>
          <w:sz w:val="22"/>
          <w:szCs w:val="22"/>
        </w:rPr>
      </w:pPr>
    </w:p>
    <w:p w14:paraId="642117C3" w14:textId="77777777" w:rsidR="0028161C" w:rsidRPr="0028161C" w:rsidRDefault="0028161C" w:rsidP="0028161C">
      <w:pPr>
        <w:jc w:val="left"/>
        <w:rPr>
          <w:rFonts w:cs="Arial"/>
          <w:b/>
          <w:iCs/>
          <w:smallCaps/>
          <w:sz w:val="22"/>
          <w:szCs w:val="22"/>
        </w:rPr>
      </w:pPr>
    </w:p>
    <w:p w14:paraId="7ECFE098" w14:textId="33BE9A3D" w:rsidR="00F47F28" w:rsidRPr="00F47F28" w:rsidRDefault="00806CDB" w:rsidP="00F47F28">
      <w:pPr>
        <w:autoSpaceDE w:val="0"/>
        <w:autoSpaceDN w:val="0"/>
        <w:adjustRightInd w:val="0"/>
        <w:jc w:val="left"/>
        <w:rPr>
          <w:rFonts w:cs="Arial"/>
          <w:sz w:val="22"/>
          <w:szCs w:val="22"/>
        </w:rPr>
      </w:pPr>
      <w:r>
        <w:rPr>
          <w:rFonts w:cs="Arial"/>
          <w:sz w:val="22"/>
          <w:szCs w:val="22"/>
        </w:rPr>
        <w:br w:type="column"/>
      </w:r>
      <w:r w:rsidR="00F47F28" w:rsidRPr="00F47F28">
        <w:rPr>
          <w:rFonts w:cs="Arial"/>
          <w:sz w:val="22"/>
          <w:szCs w:val="22"/>
        </w:rPr>
        <w:lastRenderedPageBreak/>
        <w:t>Randall V. Griffin</w:t>
      </w:r>
      <w:r w:rsidR="00CD50B9">
        <w:rPr>
          <w:rFonts w:cs="Arial"/>
          <w:sz w:val="22"/>
          <w:szCs w:val="22"/>
        </w:rPr>
        <w:t xml:space="preserve"> (0080499)</w:t>
      </w:r>
    </w:p>
    <w:p w14:paraId="07E81D29" w14:textId="77777777" w:rsidR="00F47F28" w:rsidRPr="00F47F28" w:rsidRDefault="00F47F28" w:rsidP="00F47F28">
      <w:pPr>
        <w:autoSpaceDE w:val="0"/>
        <w:autoSpaceDN w:val="0"/>
        <w:adjustRightInd w:val="0"/>
        <w:jc w:val="left"/>
        <w:rPr>
          <w:rFonts w:cs="Arial"/>
          <w:sz w:val="22"/>
          <w:szCs w:val="22"/>
        </w:rPr>
      </w:pPr>
      <w:r w:rsidRPr="00F47F28">
        <w:rPr>
          <w:rFonts w:cs="Arial"/>
          <w:sz w:val="22"/>
          <w:szCs w:val="22"/>
        </w:rPr>
        <w:t>Dayton Power and Light Company</w:t>
      </w:r>
    </w:p>
    <w:p w14:paraId="6EB35DC5" w14:textId="77777777" w:rsidR="00F47F28" w:rsidRPr="00F47F28" w:rsidRDefault="00F47F28" w:rsidP="00F47F28">
      <w:pPr>
        <w:autoSpaceDE w:val="0"/>
        <w:autoSpaceDN w:val="0"/>
        <w:adjustRightInd w:val="0"/>
        <w:jc w:val="left"/>
        <w:rPr>
          <w:rFonts w:cs="Arial"/>
          <w:sz w:val="22"/>
          <w:szCs w:val="22"/>
        </w:rPr>
      </w:pPr>
      <w:r w:rsidRPr="00F47F28">
        <w:rPr>
          <w:rFonts w:cs="Arial"/>
          <w:sz w:val="22"/>
          <w:szCs w:val="22"/>
        </w:rPr>
        <w:t>1065 Woodman Drive</w:t>
      </w:r>
    </w:p>
    <w:p w14:paraId="72215163" w14:textId="77777777" w:rsidR="00F47F28" w:rsidRPr="00F47F28" w:rsidRDefault="00F47F28" w:rsidP="00F47F28">
      <w:pPr>
        <w:autoSpaceDE w:val="0"/>
        <w:autoSpaceDN w:val="0"/>
        <w:adjustRightInd w:val="0"/>
        <w:jc w:val="left"/>
        <w:rPr>
          <w:rFonts w:cs="Arial"/>
          <w:sz w:val="22"/>
          <w:szCs w:val="22"/>
        </w:rPr>
      </w:pPr>
      <w:r w:rsidRPr="00F47F28">
        <w:rPr>
          <w:rFonts w:cs="Arial"/>
          <w:sz w:val="22"/>
          <w:szCs w:val="22"/>
        </w:rPr>
        <w:t>Dayton, OH 45432</w:t>
      </w:r>
    </w:p>
    <w:p w14:paraId="443373BE" w14:textId="6C6EF5F3" w:rsidR="00F47F28" w:rsidRDefault="00117059" w:rsidP="00F47F28">
      <w:pPr>
        <w:autoSpaceDE w:val="0"/>
        <w:autoSpaceDN w:val="0"/>
        <w:adjustRightInd w:val="0"/>
        <w:jc w:val="left"/>
        <w:rPr>
          <w:rFonts w:cs="Arial"/>
          <w:sz w:val="22"/>
          <w:szCs w:val="22"/>
        </w:rPr>
      </w:pPr>
      <w:hyperlink r:id="rId31" w:history="1">
        <w:r w:rsidR="00D97FCA" w:rsidRPr="00442F0D">
          <w:rPr>
            <w:rStyle w:val="Hyperlink"/>
            <w:rFonts w:cs="Arial"/>
            <w:sz w:val="22"/>
            <w:szCs w:val="22"/>
          </w:rPr>
          <w:t>Randall.Griffin@aes.com</w:t>
        </w:r>
      </w:hyperlink>
    </w:p>
    <w:p w14:paraId="6880B06B" w14:textId="77777777" w:rsidR="00D97FCA" w:rsidRPr="00F47F28" w:rsidRDefault="00D97FCA" w:rsidP="00F47F28">
      <w:pPr>
        <w:autoSpaceDE w:val="0"/>
        <w:autoSpaceDN w:val="0"/>
        <w:adjustRightInd w:val="0"/>
        <w:jc w:val="left"/>
        <w:rPr>
          <w:rFonts w:cs="Arial"/>
          <w:sz w:val="22"/>
          <w:szCs w:val="22"/>
        </w:rPr>
      </w:pPr>
    </w:p>
    <w:p w14:paraId="79F88725" w14:textId="2424C11A" w:rsidR="00D62984" w:rsidRPr="00D62984" w:rsidRDefault="00D62984" w:rsidP="00F47F28">
      <w:pPr>
        <w:jc w:val="left"/>
        <w:rPr>
          <w:rFonts w:ascii="Arial Bold" w:eastAsia="Calibri" w:hAnsi="Arial Bold" w:cs="Arial"/>
          <w:b/>
          <w:smallCaps/>
          <w:sz w:val="22"/>
          <w:szCs w:val="22"/>
        </w:rPr>
      </w:pPr>
      <w:r>
        <w:rPr>
          <w:rFonts w:ascii="Arial Bold" w:eastAsia="Calibri" w:hAnsi="Arial Bold" w:cs="Arial"/>
          <w:b/>
          <w:smallCaps/>
          <w:sz w:val="22"/>
          <w:szCs w:val="22"/>
        </w:rPr>
        <w:t>On Behalf Of The</w:t>
      </w:r>
      <w:r w:rsidRPr="00D62984">
        <w:rPr>
          <w:rFonts w:ascii="Arial Bold" w:eastAsia="Calibri" w:hAnsi="Arial Bold" w:cs="Arial"/>
          <w:b/>
          <w:smallCaps/>
          <w:sz w:val="22"/>
          <w:szCs w:val="22"/>
        </w:rPr>
        <w:t xml:space="preserve"> D</w:t>
      </w:r>
      <w:r>
        <w:rPr>
          <w:rFonts w:ascii="Arial Bold" w:eastAsia="Calibri" w:hAnsi="Arial Bold" w:cs="Arial"/>
          <w:b/>
          <w:smallCaps/>
          <w:sz w:val="22"/>
          <w:szCs w:val="22"/>
        </w:rPr>
        <w:t>ayton Power and Light Company</w:t>
      </w:r>
    </w:p>
    <w:p w14:paraId="26C1D2C3" w14:textId="77777777" w:rsidR="00D62984" w:rsidRDefault="00D62984" w:rsidP="00F47F28">
      <w:pPr>
        <w:jc w:val="left"/>
        <w:rPr>
          <w:rFonts w:ascii="Arial Bold" w:eastAsia="Calibri" w:hAnsi="Arial Bold" w:cs="Arial"/>
          <w:b/>
          <w:smallCaps/>
          <w:sz w:val="22"/>
          <w:szCs w:val="22"/>
        </w:rPr>
      </w:pPr>
    </w:p>
    <w:p w14:paraId="146874C4" w14:textId="77777777" w:rsidR="00C81556" w:rsidRPr="00D62984" w:rsidRDefault="00C81556" w:rsidP="00F47F28">
      <w:pPr>
        <w:jc w:val="left"/>
        <w:rPr>
          <w:rFonts w:ascii="Arial Bold" w:eastAsia="Calibri" w:hAnsi="Arial Bold" w:cs="Arial"/>
          <w:b/>
          <w:smallCaps/>
          <w:sz w:val="22"/>
          <w:szCs w:val="22"/>
        </w:rPr>
      </w:pPr>
    </w:p>
    <w:p w14:paraId="1115E9AA" w14:textId="4E657EE4" w:rsidR="00A61A3E" w:rsidRPr="00B018CE" w:rsidRDefault="00A61A3E" w:rsidP="00F47F28">
      <w:pPr>
        <w:jc w:val="left"/>
        <w:rPr>
          <w:rFonts w:eastAsia="Calibri" w:cs="Arial"/>
          <w:sz w:val="22"/>
          <w:szCs w:val="22"/>
        </w:rPr>
      </w:pPr>
      <w:r w:rsidRPr="00B018CE">
        <w:rPr>
          <w:rFonts w:eastAsia="Calibri" w:cs="Arial"/>
          <w:sz w:val="22"/>
          <w:szCs w:val="22"/>
        </w:rPr>
        <w:t>William Wright</w:t>
      </w:r>
    </w:p>
    <w:p w14:paraId="10B1CD97" w14:textId="77777777" w:rsidR="00A61A3E" w:rsidRPr="00B018CE" w:rsidRDefault="00A61A3E" w:rsidP="00A61A3E">
      <w:pPr>
        <w:jc w:val="left"/>
        <w:rPr>
          <w:rFonts w:eastAsia="Calibri" w:cs="Arial"/>
          <w:sz w:val="22"/>
          <w:szCs w:val="22"/>
        </w:rPr>
      </w:pPr>
      <w:r w:rsidRPr="00B018CE">
        <w:rPr>
          <w:rFonts w:eastAsia="Calibri" w:cs="Arial"/>
          <w:sz w:val="22"/>
          <w:szCs w:val="22"/>
        </w:rPr>
        <w:t>Attorney General’s Office</w:t>
      </w:r>
    </w:p>
    <w:p w14:paraId="1028E17D" w14:textId="77777777" w:rsidR="00A61A3E" w:rsidRPr="00B018CE" w:rsidRDefault="00A61A3E" w:rsidP="00A61A3E">
      <w:pPr>
        <w:jc w:val="left"/>
        <w:rPr>
          <w:rFonts w:eastAsia="Calibri" w:cs="Arial"/>
          <w:sz w:val="22"/>
          <w:szCs w:val="22"/>
        </w:rPr>
      </w:pPr>
      <w:r w:rsidRPr="00B018CE">
        <w:rPr>
          <w:rFonts w:eastAsia="Calibri" w:cs="Arial"/>
          <w:sz w:val="22"/>
          <w:szCs w:val="22"/>
        </w:rPr>
        <w:t>Public Utilities Commission of Ohio</w:t>
      </w:r>
    </w:p>
    <w:p w14:paraId="0B5F44C4" w14:textId="77777777" w:rsidR="00A61A3E" w:rsidRPr="00B018CE" w:rsidRDefault="00A61A3E" w:rsidP="00A61A3E">
      <w:pPr>
        <w:jc w:val="left"/>
        <w:rPr>
          <w:rFonts w:eastAsia="Calibri" w:cs="Arial"/>
          <w:sz w:val="22"/>
          <w:szCs w:val="22"/>
        </w:rPr>
      </w:pPr>
      <w:r w:rsidRPr="00B018CE">
        <w:rPr>
          <w:rFonts w:eastAsia="Calibri" w:cs="Arial"/>
          <w:sz w:val="22"/>
          <w:szCs w:val="22"/>
        </w:rPr>
        <w:t>180 E. Broad St., 6</w:t>
      </w:r>
      <w:r w:rsidRPr="00B018CE">
        <w:rPr>
          <w:rFonts w:eastAsia="Calibri" w:cs="Arial"/>
          <w:sz w:val="22"/>
          <w:szCs w:val="22"/>
          <w:vertAlign w:val="superscript"/>
        </w:rPr>
        <w:t>th</w:t>
      </w:r>
      <w:r w:rsidRPr="00B018CE">
        <w:rPr>
          <w:rFonts w:eastAsia="Calibri" w:cs="Arial"/>
          <w:sz w:val="22"/>
          <w:szCs w:val="22"/>
        </w:rPr>
        <w:t xml:space="preserve"> Floor</w:t>
      </w:r>
    </w:p>
    <w:p w14:paraId="60DDCA33" w14:textId="77777777" w:rsidR="00A61A3E" w:rsidRPr="00B018CE" w:rsidRDefault="00A61A3E" w:rsidP="00A61A3E">
      <w:pPr>
        <w:jc w:val="left"/>
        <w:rPr>
          <w:rFonts w:eastAsia="Calibri" w:cs="Arial"/>
          <w:sz w:val="22"/>
          <w:szCs w:val="22"/>
        </w:rPr>
      </w:pPr>
      <w:r w:rsidRPr="00B018CE">
        <w:rPr>
          <w:rFonts w:eastAsia="Calibri" w:cs="Arial"/>
          <w:sz w:val="22"/>
          <w:szCs w:val="22"/>
        </w:rPr>
        <w:t>Columbus, OH  43215</w:t>
      </w:r>
    </w:p>
    <w:p w14:paraId="37A2ECCE" w14:textId="77777777" w:rsidR="00A61A3E" w:rsidRPr="00B018CE" w:rsidRDefault="00117059" w:rsidP="00A61A3E">
      <w:pPr>
        <w:jc w:val="left"/>
        <w:rPr>
          <w:rFonts w:ascii="Arial Bold" w:eastAsia="Calibri" w:hAnsi="Arial Bold" w:cs="Times New Roman"/>
          <w:b/>
          <w:sz w:val="22"/>
          <w:szCs w:val="22"/>
        </w:rPr>
      </w:pPr>
      <w:hyperlink r:id="rId32" w:history="1">
        <w:r w:rsidR="00A61A3E" w:rsidRPr="00B018CE">
          <w:rPr>
            <w:rFonts w:eastAsia="Calibri" w:cs="Arial"/>
            <w:color w:val="0000FF" w:themeColor="hyperlink"/>
            <w:sz w:val="22"/>
            <w:szCs w:val="22"/>
            <w:u w:val="single"/>
          </w:rPr>
          <w:t>William.wright@puc.state.oh.us</w:t>
        </w:r>
      </w:hyperlink>
    </w:p>
    <w:p w14:paraId="0063725B" w14:textId="77777777" w:rsidR="00A61A3E" w:rsidRPr="0028161C" w:rsidRDefault="00A61A3E" w:rsidP="00A61A3E">
      <w:pPr>
        <w:jc w:val="left"/>
        <w:rPr>
          <w:rFonts w:eastAsia="Calibri" w:cs="Times New Roman"/>
          <w:b/>
          <w:smallCaps/>
          <w:sz w:val="22"/>
          <w:szCs w:val="22"/>
        </w:rPr>
      </w:pPr>
    </w:p>
    <w:p w14:paraId="0226C688" w14:textId="77777777" w:rsidR="00A61A3E" w:rsidRPr="0028161C" w:rsidRDefault="00A61A3E" w:rsidP="00A61A3E">
      <w:pPr>
        <w:jc w:val="left"/>
        <w:rPr>
          <w:rFonts w:ascii="Arial Bold" w:eastAsia="Calibri" w:hAnsi="Arial Bold" w:cs="Times New Roman"/>
          <w:b/>
          <w:smallCaps/>
          <w:sz w:val="22"/>
          <w:szCs w:val="22"/>
        </w:rPr>
      </w:pPr>
      <w:r w:rsidRPr="0028161C">
        <w:rPr>
          <w:rFonts w:ascii="Arial Bold" w:eastAsia="Calibri" w:hAnsi="Arial Bold" w:cs="Times New Roman"/>
          <w:b/>
          <w:smallCaps/>
          <w:sz w:val="22"/>
          <w:szCs w:val="22"/>
        </w:rPr>
        <w:t>On Behalf of the Public Utilities Commission of Ohio</w:t>
      </w:r>
    </w:p>
    <w:p w14:paraId="249B0F19" w14:textId="77777777" w:rsidR="00A61A3E" w:rsidRPr="0028161C" w:rsidRDefault="00A61A3E" w:rsidP="00A61A3E">
      <w:pPr>
        <w:jc w:val="left"/>
        <w:rPr>
          <w:rFonts w:eastAsia="Calibri" w:cs="Times New Roman"/>
          <w:b/>
          <w:smallCaps/>
          <w:sz w:val="22"/>
          <w:szCs w:val="22"/>
        </w:rPr>
      </w:pPr>
    </w:p>
    <w:p w14:paraId="215BFCFE" w14:textId="77777777" w:rsidR="00EF408B" w:rsidRPr="0028161C" w:rsidRDefault="00EF408B" w:rsidP="00A61A3E">
      <w:pPr>
        <w:jc w:val="left"/>
        <w:rPr>
          <w:rFonts w:eastAsia="Calibri" w:cs="Times New Roman"/>
          <w:b/>
          <w:smallCaps/>
          <w:sz w:val="22"/>
          <w:szCs w:val="22"/>
        </w:rPr>
      </w:pPr>
    </w:p>
    <w:p w14:paraId="6B9F0311" w14:textId="77777777" w:rsidR="00A61A3E" w:rsidRPr="00B018CE" w:rsidRDefault="00A61A3E" w:rsidP="00A61A3E">
      <w:pPr>
        <w:jc w:val="left"/>
        <w:rPr>
          <w:rFonts w:eastAsia="Calibri" w:cs="Times New Roman"/>
          <w:sz w:val="22"/>
          <w:szCs w:val="22"/>
        </w:rPr>
      </w:pPr>
      <w:r w:rsidRPr="00B018CE">
        <w:rPr>
          <w:rFonts w:eastAsia="Calibri" w:cs="Times New Roman"/>
          <w:sz w:val="22"/>
          <w:szCs w:val="22"/>
        </w:rPr>
        <w:t>Bryce McKenney</w:t>
      </w:r>
    </w:p>
    <w:p w14:paraId="4E458AB0" w14:textId="77777777" w:rsidR="00A61A3E" w:rsidRPr="00B018CE" w:rsidRDefault="00A61A3E" w:rsidP="00A61A3E">
      <w:pPr>
        <w:jc w:val="left"/>
        <w:rPr>
          <w:rFonts w:eastAsia="Calibri" w:cs="Times New Roman"/>
          <w:sz w:val="22"/>
          <w:szCs w:val="22"/>
        </w:rPr>
      </w:pPr>
      <w:r w:rsidRPr="00B018CE">
        <w:rPr>
          <w:rFonts w:eastAsia="Calibri" w:cs="Times New Roman"/>
          <w:sz w:val="22"/>
          <w:szCs w:val="22"/>
        </w:rPr>
        <w:t>Attorney Examiner</w:t>
      </w:r>
    </w:p>
    <w:p w14:paraId="5CE66C8F" w14:textId="77777777" w:rsidR="00A61A3E" w:rsidRPr="00B018CE" w:rsidRDefault="00A61A3E" w:rsidP="00A61A3E">
      <w:pPr>
        <w:jc w:val="left"/>
        <w:rPr>
          <w:rFonts w:eastAsia="Calibri" w:cs="Times New Roman"/>
          <w:sz w:val="22"/>
          <w:szCs w:val="22"/>
        </w:rPr>
      </w:pPr>
      <w:r w:rsidRPr="00B018CE">
        <w:rPr>
          <w:rFonts w:eastAsia="Calibri" w:cs="Times New Roman"/>
          <w:sz w:val="22"/>
          <w:szCs w:val="22"/>
        </w:rPr>
        <w:t>180 E. Broad St., 6</w:t>
      </w:r>
      <w:r w:rsidRPr="00B018CE">
        <w:rPr>
          <w:rFonts w:eastAsia="Calibri" w:cs="Times New Roman"/>
          <w:sz w:val="22"/>
          <w:szCs w:val="22"/>
          <w:vertAlign w:val="superscript"/>
        </w:rPr>
        <w:t>th</w:t>
      </w:r>
      <w:r w:rsidRPr="00B018CE">
        <w:rPr>
          <w:rFonts w:eastAsia="Calibri" w:cs="Times New Roman"/>
          <w:sz w:val="22"/>
          <w:szCs w:val="22"/>
        </w:rPr>
        <w:t xml:space="preserve"> Floor</w:t>
      </w:r>
    </w:p>
    <w:p w14:paraId="0EDF9600" w14:textId="77777777" w:rsidR="00A61A3E" w:rsidRPr="00B018CE" w:rsidRDefault="00A61A3E" w:rsidP="00A61A3E">
      <w:pPr>
        <w:jc w:val="left"/>
        <w:rPr>
          <w:rFonts w:eastAsia="Calibri" w:cs="Times New Roman"/>
          <w:sz w:val="22"/>
          <w:szCs w:val="22"/>
        </w:rPr>
      </w:pPr>
      <w:r w:rsidRPr="00B018CE">
        <w:rPr>
          <w:rFonts w:eastAsia="Calibri" w:cs="Times New Roman"/>
          <w:sz w:val="22"/>
          <w:szCs w:val="22"/>
        </w:rPr>
        <w:t>Columbus, OH  43215</w:t>
      </w:r>
    </w:p>
    <w:p w14:paraId="328A2EA1" w14:textId="77777777" w:rsidR="00A61A3E" w:rsidRPr="00B018CE" w:rsidRDefault="00117059" w:rsidP="00A61A3E">
      <w:pPr>
        <w:jc w:val="left"/>
        <w:rPr>
          <w:rFonts w:eastAsia="Calibri" w:cs="Times New Roman"/>
          <w:sz w:val="22"/>
          <w:szCs w:val="22"/>
        </w:rPr>
      </w:pPr>
      <w:hyperlink r:id="rId33" w:history="1">
        <w:r w:rsidR="00A61A3E" w:rsidRPr="00B018CE">
          <w:rPr>
            <w:rFonts w:eastAsia="Calibri" w:cs="Times New Roman"/>
            <w:color w:val="0000FF" w:themeColor="hyperlink"/>
            <w:sz w:val="22"/>
            <w:szCs w:val="22"/>
            <w:u w:val="single"/>
          </w:rPr>
          <w:t>Bryce.mckenney@puc.state.oh.us</w:t>
        </w:r>
      </w:hyperlink>
    </w:p>
    <w:p w14:paraId="7A2BABE7" w14:textId="77777777" w:rsidR="00A61A3E" w:rsidRPr="00B018CE" w:rsidRDefault="00A61A3E" w:rsidP="00A61A3E">
      <w:pPr>
        <w:jc w:val="left"/>
        <w:rPr>
          <w:rFonts w:eastAsia="Calibri" w:cs="Times New Roman"/>
          <w:sz w:val="22"/>
          <w:szCs w:val="22"/>
        </w:rPr>
      </w:pPr>
    </w:p>
    <w:p w14:paraId="786EBFD1" w14:textId="77777777" w:rsidR="00A61A3E" w:rsidRPr="0028161C" w:rsidRDefault="00A61A3E" w:rsidP="00A61A3E">
      <w:pPr>
        <w:jc w:val="left"/>
        <w:rPr>
          <w:rFonts w:ascii="Arial Bold" w:eastAsia="Calibri" w:hAnsi="Arial Bold" w:cs="Times New Roman"/>
          <w:b/>
          <w:smallCaps/>
          <w:sz w:val="22"/>
          <w:szCs w:val="22"/>
        </w:rPr>
      </w:pPr>
      <w:r w:rsidRPr="0028161C">
        <w:rPr>
          <w:rFonts w:ascii="Arial Bold" w:eastAsia="Calibri" w:hAnsi="Arial Bold" w:cs="Times New Roman"/>
          <w:b/>
          <w:smallCaps/>
          <w:sz w:val="22"/>
          <w:szCs w:val="22"/>
        </w:rPr>
        <w:t>Attorney Examiner</w:t>
      </w:r>
    </w:p>
    <w:p w14:paraId="4BC19B5A" w14:textId="77777777" w:rsidR="00AD1216" w:rsidRPr="0028161C" w:rsidRDefault="00AD1216" w:rsidP="00A61A3E">
      <w:pPr>
        <w:jc w:val="left"/>
        <w:rPr>
          <w:rFonts w:ascii="Arial Bold" w:eastAsia="Calibri" w:hAnsi="Arial Bold" w:cs="Times New Roman"/>
          <w:b/>
          <w:smallCaps/>
          <w:sz w:val="22"/>
          <w:szCs w:val="22"/>
        </w:rPr>
      </w:pPr>
    </w:p>
    <w:p w14:paraId="20B36848" w14:textId="77777777" w:rsidR="009B277D" w:rsidRPr="00A61A3E" w:rsidRDefault="009B277D" w:rsidP="00A61A3E">
      <w:pPr>
        <w:jc w:val="left"/>
        <w:rPr>
          <w:rFonts w:ascii="Arial Bold" w:eastAsia="Calibri" w:hAnsi="Arial Bold" w:cs="Times New Roman"/>
          <w:b/>
          <w:smallCaps/>
          <w:sz w:val="22"/>
          <w:szCs w:val="22"/>
        </w:rPr>
      </w:pPr>
    </w:p>
    <w:sectPr w:rsidR="009B277D" w:rsidRPr="00A61A3E" w:rsidSect="00556577">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E2FA4" w14:textId="77777777" w:rsidR="00BF2878" w:rsidRDefault="00BF2878" w:rsidP="00BF2878">
      <w:r>
        <w:separator/>
      </w:r>
    </w:p>
  </w:endnote>
  <w:endnote w:type="continuationSeparator" w:id="0">
    <w:p w14:paraId="65412B28" w14:textId="77777777" w:rsidR="00BF2878" w:rsidRDefault="00BF2878" w:rsidP="00BF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CC138" w14:textId="77777777" w:rsidR="00DE3D97" w:rsidRDefault="00DE3D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1E51A" w14:textId="5B6FF92F" w:rsidR="00474771" w:rsidRDefault="00117059" w:rsidP="00474771">
    <w:pPr>
      <w:pStyle w:val="Footer"/>
      <w:jc w:val="left"/>
      <w:rPr>
        <w:noProof/>
        <w:sz w:val="16"/>
      </w:rPr>
    </w:pPr>
    <w:r w:rsidRPr="00117059">
      <w:rPr>
        <w:noProof/>
        <w:sz w:val="16"/>
      </w:rPr>
      <w:t>{C49061: }</w:t>
    </w:r>
  </w:p>
  <w:p w14:paraId="1C47B2DB" w14:textId="4EEF980A" w:rsidR="003F6974" w:rsidRPr="00DD2063" w:rsidRDefault="00117059" w:rsidP="00BE6FEC">
    <w:pPr>
      <w:pStyle w:val="Footer"/>
      <w:jc w:val="center"/>
    </w:pPr>
    <w:sdt>
      <w:sdtPr>
        <w:id w:val="-1790115368"/>
        <w:docPartObj>
          <w:docPartGallery w:val="Page Numbers (Bottom of Page)"/>
          <w:docPartUnique/>
        </w:docPartObj>
      </w:sdtPr>
      <w:sdtEndPr>
        <w:rPr>
          <w:noProof/>
        </w:rPr>
      </w:sdtEndPr>
      <w:sdtContent>
        <w:r w:rsidR="003F6974" w:rsidRPr="00DD2063">
          <w:fldChar w:fldCharType="begin"/>
        </w:r>
        <w:r w:rsidR="003F6974" w:rsidRPr="00DD2063">
          <w:instrText xml:space="preserve"> PAGE   \* MERGEFORMAT </w:instrText>
        </w:r>
        <w:r w:rsidR="003F6974" w:rsidRPr="00DD2063">
          <w:fldChar w:fldCharType="separate"/>
        </w:r>
        <w:r>
          <w:rPr>
            <w:noProof/>
          </w:rPr>
          <w:t>11</w:t>
        </w:r>
        <w:r w:rsidR="003F6974" w:rsidRPr="00DD2063">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9575E" w14:textId="22D02E5F" w:rsidR="00DD2063" w:rsidRPr="00DD2063" w:rsidRDefault="00117059">
    <w:pPr>
      <w:pStyle w:val="Footer"/>
    </w:pPr>
    <w:r w:rsidRPr="00117059">
      <w:rPr>
        <w:noProof/>
        <w:sz w:val="16"/>
      </w:rPr>
      <w:t>{C49061: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69644" w14:textId="77777777" w:rsidR="005779FA" w:rsidRDefault="005779F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2F24E" w14:textId="0D328655" w:rsidR="005779FA" w:rsidRPr="005779FA" w:rsidRDefault="00117059">
    <w:pPr>
      <w:pStyle w:val="Footer"/>
    </w:pPr>
    <w:r w:rsidRPr="00117059">
      <w:rPr>
        <w:noProof/>
        <w:sz w:val="16"/>
      </w:rPr>
      <w:t>{C49061: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6BCDA" w14:textId="5F37E7B8" w:rsidR="005779FA" w:rsidRPr="005779FA" w:rsidRDefault="00117059">
    <w:pPr>
      <w:pStyle w:val="Footer"/>
    </w:pPr>
    <w:r w:rsidRPr="00117059">
      <w:rPr>
        <w:noProof/>
        <w:sz w:val="16"/>
      </w:rPr>
      <w:t>{C49061: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87DFE" w14:textId="77777777" w:rsidR="00BF2878" w:rsidRDefault="00BF2878" w:rsidP="00BF2878">
      <w:pPr>
        <w:rPr>
          <w:noProof/>
        </w:rPr>
      </w:pPr>
      <w:r>
        <w:rPr>
          <w:noProof/>
        </w:rPr>
        <w:separator/>
      </w:r>
    </w:p>
  </w:footnote>
  <w:footnote w:type="continuationSeparator" w:id="0">
    <w:p w14:paraId="68421C45" w14:textId="77777777" w:rsidR="00BF2878" w:rsidRDefault="00BF2878" w:rsidP="00BF2878">
      <w:r>
        <w:continuationSeparator/>
      </w:r>
    </w:p>
  </w:footnote>
  <w:footnote w:id="1">
    <w:p w14:paraId="10F52349" w14:textId="77777777" w:rsidR="00A41625" w:rsidRPr="008C5355" w:rsidRDefault="00A41625" w:rsidP="00886E7A">
      <w:pPr>
        <w:pStyle w:val="FootnoteText"/>
        <w:spacing w:after="120"/>
        <w:rPr>
          <w:rFonts w:cs="Arial"/>
        </w:rPr>
      </w:pPr>
      <w:r w:rsidRPr="008C5355">
        <w:rPr>
          <w:rStyle w:val="FootnoteReference"/>
          <w:rFonts w:cs="Arial"/>
        </w:rPr>
        <w:footnoteRef/>
      </w:r>
      <w:r w:rsidRPr="008C5355">
        <w:rPr>
          <w:rFonts w:cs="Arial"/>
        </w:rPr>
        <w:t xml:space="preserve"> </w:t>
      </w:r>
      <w:r w:rsidR="003C02F4" w:rsidRPr="008C5355">
        <w:rPr>
          <w:rFonts w:cs="Arial"/>
          <w:i/>
          <w:iCs/>
        </w:rPr>
        <w:t>In re Complaints of Inscho v. Shroyer's Mobile Homes,</w:t>
      </w:r>
      <w:r w:rsidR="003C02F4" w:rsidRPr="008C5355">
        <w:rPr>
          <w:rFonts w:cs="Arial"/>
        </w:rPr>
        <w:t xml:space="preserve"> </w:t>
      </w:r>
      <w:r w:rsidR="00A02C46" w:rsidRPr="008C5355">
        <w:rPr>
          <w:rFonts w:cs="Arial"/>
        </w:rPr>
        <w:t>Case</w:t>
      </w:r>
      <w:r w:rsidR="003C02F4" w:rsidRPr="008C5355">
        <w:rPr>
          <w:rFonts w:cs="Arial"/>
        </w:rPr>
        <w:t xml:space="preserve"> Nos. 90-182-WS-CSS, </w:t>
      </w:r>
      <w:r w:rsidR="00A02C46" w:rsidRPr="008C5355">
        <w:rPr>
          <w:rFonts w:cs="Arial"/>
          <w:i/>
        </w:rPr>
        <w:t>et al</w:t>
      </w:r>
      <w:r w:rsidR="00A02C46" w:rsidRPr="008C5355">
        <w:rPr>
          <w:rFonts w:cs="Arial"/>
        </w:rPr>
        <w:t xml:space="preserve">., </w:t>
      </w:r>
      <w:r w:rsidR="003C02F4" w:rsidRPr="008C5355">
        <w:rPr>
          <w:rFonts w:cs="Arial"/>
        </w:rPr>
        <w:t>(Feb. 27, 1992)</w:t>
      </w:r>
      <w:r w:rsidR="00A02C46" w:rsidRPr="008C5355">
        <w:rPr>
          <w:rFonts w:cs="Arial"/>
        </w:rPr>
        <w:t xml:space="preserve"> (“</w:t>
      </w:r>
      <w:r w:rsidR="00A02C46" w:rsidRPr="008C5355">
        <w:rPr>
          <w:rFonts w:cs="Arial"/>
          <w:i/>
        </w:rPr>
        <w:t>Shroyer</w:t>
      </w:r>
      <w:r w:rsidR="00A02C46" w:rsidRPr="008C5355">
        <w:rPr>
          <w:rFonts w:cs="Arial"/>
        </w:rPr>
        <w:t>”)</w:t>
      </w:r>
      <w:r w:rsidR="003C02F4" w:rsidRPr="008C5355">
        <w:rPr>
          <w:rFonts w:cs="Arial"/>
        </w:rPr>
        <w:t>.</w:t>
      </w:r>
    </w:p>
  </w:footnote>
  <w:footnote w:id="2">
    <w:p w14:paraId="5F616241" w14:textId="77777777" w:rsidR="00BF2878" w:rsidRPr="008C5355" w:rsidRDefault="00BF2878" w:rsidP="00737C8D">
      <w:pPr>
        <w:pStyle w:val="FootnoteText"/>
        <w:rPr>
          <w:rFonts w:cs="Arial"/>
        </w:rPr>
      </w:pPr>
      <w:r w:rsidRPr="008C5355">
        <w:rPr>
          <w:rStyle w:val="FootnoteReference"/>
          <w:rFonts w:cs="Arial"/>
        </w:rPr>
        <w:footnoteRef/>
      </w:r>
      <w:r w:rsidRPr="008C5355">
        <w:rPr>
          <w:rFonts w:cs="Arial"/>
        </w:rPr>
        <w:t xml:space="preserve"> R.C. 4905.03 provides:</w:t>
      </w:r>
    </w:p>
    <w:p w14:paraId="360331C1" w14:textId="77777777" w:rsidR="00BF2878" w:rsidRPr="008C5355" w:rsidRDefault="00BF2878" w:rsidP="00737C8D">
      <w:pPr>
        <w:pStyle w:val="NormalWeb"/>
        <w:shd w:val="clear" w:color="auto" w:fill="FFFFFF"/>
        <w:spacing w:line="240" w:lineRule="auto"/>
        <w:ind w:left="720" w:right="720"/>
        <w:rPr>
          <w:rFonts w:ascii="Arial" w:hAnsi="Arial" w:cs="Arial"/>
          <w:color w:val="000000"/>
          <w:sz w:val="20"/>
          <w:szCs w:val="20"/>
        </w:rPr>
      </w:pPr>
      <w:r w:rsidRPr="008C5355">
        <w:rPr>
          <w:rFonts w:ascii="Arial" w:hAnsi="Arial" w:cs="Arial"/>
          <w:color w:val="000000"/>
          <w:sz w:val="20"/>
          <w:szCs w:val="20"/>
        </w:rPr>
        <w:t>As used in this chapter, any person, firm, copartnership, voluntary association, joint-stock association, company, or corporation, wherever organized or incorporated, is:</w:t>
      </w:r>
    </w:p>
    <w:p w14:paraId="3398804C" w14:textId="77777777" w:rsidR="00BF2878" w:rsidRPr="008C5355" w:rsidRDefault="00BF2878" w:rsidP="00737C8D">
      <w:pPr>
        <w:pStyle w:val="NormalWeb"/>
        <w:shd w:val="clear" w:color="auto" w:fill="FFFFFF"/>
        <w:spacing w:line="240" w:lineRule="auto"/>
        <w:ind w:left="720" w:right="720"/>
        <w:rPr>
          <w:rFonts w:ascii="Arial" w:hAnsi="Arial" w:cs="Arial"/>
          <w:color w:val="000000"/>
          <w:sz w:val="20"/>
          <w:szCs w:val="20"/>
        </w:rPr>
      </w:pPr>
      <w:r w:rsidRPr="008C5355">
        <w:rPr>
          <w:rFonts w:ascii="Arial" w:hAnsi="Arial" w:cs="Arial"/>
          <w:color w:val="00008B"/>
          <w:sz w:val="20"/>
          <w:szCs w:val="20"/>
        </w:rPr>
        <w:t>…</w:t>
      </w:r>
    </w:p>
    <w:p w14:paraId="7C7EAC83" w14:textId="77777777" w:rsidR="00BF2878" w:rsidRPr="008C5355" w:rsidRDefault="00BF2878" w:rsidP="00737C8D">
      <w:pPr>
        <w:pStyle w:val="NormalWeb"/>
        <w:shd w:val="clear" w:color="auto" w:fill="FFFFFF"/>
        <w:spacing w:line="240" w:lineRule="auto"/>
        <w:ind w:left="720" w:right="720"/>
        <w:rPr>
          <w:rFonts w:ascii="Arial" w:hAnsi="Arial" w:cs="Arial"/>
          <w:color w:val="000000"/>
          <w:sz w:val="20"/>
          <w:szCs w:val="20"/>
        </w:rPr>
      </w:pPr>
      <w:bookmarkStart w:id="0" w:name="4905.03(C)"/>
      <w:r w:rsidRPr="008C5355">
        <w:rPr>
          <w:rFonts w:ascii="Arial" w:hAnsi="Arial" w:cs="Arial"/>
          <w:sz w:val="20"/>
          <w:szCs w:val="20"/>
        </w:rPr>
        <w:t>(C)</w:t>
      </w:r>
      <w:bookmarkEnd w:id="0"/>
      <w:r w:rsidRPr="008C5355">
        <w:rPr>
          <w:rStyle w:val="apple-converted-space"/>
          <w:rFonts w:ascii="Arial" w:hAnsi="Arial" w:cs="Arial"/>
          <w:color w:val="000000"/>
          <w:sz w:val="20"/>
          <w:szCs w:val="20"/>
        </w:rPr>
        <w:t xml:space="preserve">  </w:t>
      </w:r>
      <w:r w:rsidRPr="008C5355">
        <w:rPr>
          <w:rFonts w:ascii="Arial" w:hAnsi="Arial" w:cs="Arial"/>
          <w:color w:val="000000"/>
          <w:sz w:val="20"/>
          <w:szCs w:val="20"/>
        </w:rPr>
        <w:t>An electric light company, when engaged in the business of supplying electricity for light, heat, or power purposes to consumers within this state, including supplying electric transmission service for electricity delivered to consumers in this state, but excluding a regional transmission organization approved by the federal energy regulatory commission;</w:t>
      </w:r>
    </w:p>
    <w:p w14:paraId="22AD13AE" w14:textId="77777777" w:rsidR="00BF2878" w:rsidRPr="008C5355" w:rsidRDefault="00BF2878" w:rsidP="00737C8D">
      <w:pPr>
        <w:pStyle w:val="NormalWeb"/>
        <w:shd w:val="clear" w:color="auto" w:fill="FFFFFF"/>
        <w:spacing w:line="240" w:lineRule="auto"/>
        <w:ind w:left="720" w:right="720"/>
        <w:rPr>
          <w:rFonts w:ascii="Arial" w:hAnsi="Arial" w:cs="Arial"/>
          <w:color w:val="000000"/>
          <w:sz w:val="20"/>
          <w:szCs w:val="20"/>
        </w:rPr>
      </w:pPr>
      <w:r w:rsidRPr="008C5355">
        <w:rPr>
          <w:rFonts w:ascii="Arial" w:hAnsi="Arial" w:cs="Arial"/>
          <w:color w:val="00008B"/>
          <w:sz w:val="20"/>
          <w:szCs w:val="20"/>
        </w:rPr>
        <w:t>…</w:t>
      </w:r>
    </w:p>
    <w:p w14:paraId="64D8B7E0" w14:textId="77777777" w:rsidR="00BF2878" w:rsidRPr="008C5355" w:rsidRDefault="00BF2878" w:rsidP="00737C8D">
      <w:pPr>
        <w:pStyle w:val="NormalWeb"/>
        <w:shd w:val="clear" w:color="auto" w:fill="FFFFFF"/>
        <w:spacing w:line="240" w:lineRule="auto"/>
        <w:ind w:left="720" w:right="720"/>
        <w:rPr>
          <w:rFonts w:ascii="Arial" w:hAnsi="Arial" w:cs="Arial"/>
          <w:color w:val="000000"/>
          <w:sz w:val="20"/>
          <w:szCs w:val="20"/>
        </w:rPr>
      </w:pPr>
      <w:bookmarkStart w:id="1" w:name="4905.03(G)"/>
      <w:r w:rsidRPr="008C5355">
        <w:rPr>
          <w:rFonts w:ascii="Arial" w:hAnsi="Arial" w:cs="Arial"/>
          <w:sz w:val="20"/>
          <w:szCs w:val="20"/>
        </w:rPr>
        <w:t>(G)</w:t>
      </w:r>
      <w:bookmarkEnd w:id="1"/>
      <w:r w:rsidRPr="008C5355">
        <w:rPr>
          <w:rStyle w:val="apple-converted-space"/>
          <w:rFonts w:ascii="Arial" w:hAnsi="Arial" w:cs="Arial"/>
          <w:color w:val="000000"/>
          <w:sz w:val="20"/>
          <w:szCs w:val="20"/>
        </w:rPr>
        <w:t xml:space="preserve">  </w:t>
      </w:r>
      <w:r w:rsidRPr="008C5355">
        <w:rPr>
          <w:rFonts w:ascii="Arial" w:hAnsi="Arial" w:cs="Arial"/>
          <w:color w:val="000000"/>
          <w:sz w:val="20"/>
          <w:szCs w:val="20"/>
        </w:rPr>
        <w:t>A water-works company, when engaged in the business of supplying water through pipes or tubing, or in a similar manner, to consumers within this state;</w:t>
      </w:r>
    </w:p>
    <w:p w14:paraId="6912F905" w14:textId="77777777" w:rsidR="00BF2878" w:rsidRPr="008C5355" w:rsidRDefault="00BF2878" w:rsidP="00737C8D">
      <w:pPr>
        <w:pStyle w:val="NormalWeb"/>
        <w:shd w:val="clear" w:color="auto" w:fill="FFFFFF"/>
        <w:spacing w:line="240" w:lineRule="auto"/>
        <w:ind w:left="720" w:right="720"/>
        <w:rPr>
          <w:rFonts w:ascii="Arial" w:hAnsi="Arial" w:cs="Arial"/>
          <w:color w:val="000000"/>
          <w:sz w:val="20"/>
          <w:szCs w:val="20"/>
        </w:rPr>
      </w:pPr>
      <w:r w:rsidRPr="008C5355">
        <w:rPr>
          <w:rFonts w:ascii="Arial" w:hAnsi="Arial" w:cs="Arial"/>
          <w:color w:val="00008B"/>
          <w:sz w:val="20"/>
          <w:szCs w:val="20"/>
        </w:rPr>
        <w:t>…</w:t>
      </w:r>
    </w:p>
    <w:p w14:paraId="17E81D32" w14:textId="77777777" w:rsidR="00BF2878" w:rsidRPr="008C5355" w:rsidRDefault="00BF2878" w:rsidP="00737C8D">
      <w:pPr>
        <w:pStyle w:val="NormalWeb"/>
        <w:shd w:val="clear" w:color="auto" w:fill="FFFFFF"/>
        <w:spacing w:line="240" w:lineRule="auto"/>
        <w:ind w:left="720" w:right="720"/>
        <w:rPr>
          <w:rFonts w:ascii="Arial" w:hAnsi="Arial" w:cs="Arial"/>
        </w:rPr>
      </w:pPr>
      <w:bookmarkStart w:id="2" w:name="4905.03(M)"/>
      <w:r w:rsidRPr="008C5355">
        <w:rPr>
          <w:rFonts w:ascii="Arial" w:hAnsi="Arial" w:cs="Arial"/>
          <w:sz w:val="20"/>
          <w:szCs w:val="20"/>
        </w:rPr>
        <w:t>(M)</w:t>
      </w:r>
      <w:bookmarkEnd w:id="2"/>
      <w:r w:rsidRPr="008C5355">
        <w:rPr>
          <w:rStyle w:val="apple-converted-space"/>
          <w:rFonts w:ascii="Arial" w:hAnsi="Arial" w:cs="Arial"/>
          <w:color w:val="000000"/>
          <w:sz w:val="20"/>
          <w:szCs w:val="20"/>
        </w:rPr>
        <w:t xml:space="preserve">  </w:t>
      </w:r>
      <w:r w:rsidRPr="008C5355">
        <w:rPr>
          <w:rFonts w:ascii="Arial" w:hAnsi="Arial" w:cs="Arial"/>
          <w:color w:val="000000"/>
          <w:sz w:val="20"/>
          <w:szCs w:val="20"/>
        </w:rPr>
        <w:t>A sewage disposal system company, when engaged in the business of sewage disposal services through pipes or tubing, and treatment works, or in a similar manner, within this state.</w:t>
      </w:r>
    </w:p>
  </w:footnote>
  <w:footnote w:id="3">
    <w:p w14:paraId="3EB4BB9D" w14:textId="298D304F" w:rsidR="00BF2878" w:rsidRPr="008C5355" w:rsidRDefault="00BF2878" w:rsidP="00886E7A">
      <w:pPr>
        <w:pStyle w:val="FootnoteText"/>
        <w:spacing w:after="120"/>
        <w:rPr>
          <w:rFonts w:cs="Arial"/>
        </w:rPr>
      </w:pPr>
      <w:r w:rsidRPr="008C5355">
        <w:rPr>
          <w:rStyle w:val="FootnoteReference"/>
          <w:rFonts w:cs="Arial"/>
        </w:rPr>
        <w:footnoteRef/>
      </w:r>
      <w:r w:rsidRPr="008C5355">
        <w:rPr>
          <w:rFonts w:cs="Arial"/>
        </w:rPr>
        <w:t xml:space="preserve"> The test originally contained a fourth element addressing the reasonableness of the landlord’s charges.  The Commission </w:t>
      </w:r>
      <w:r w:rsidR="009B35F9">
        <w:rPr>
          <w:rFonts w:cs="Arial"/>
        </w:rPr>
        <w:t xml:space="preserve">subsequently eliminated the fourth </w:t>
      </w:r>
      <w:r w:rsidRPr="008C5355">
        <w:rPr>
          <w:rFonts w:cs="Arial"/>
        </w:rPr>
        <w:t xml:space="preserve">element.  </w:t>
      </w:r>
      <w:r w:rsidRPr="008C5355">
        <w:rPr>
          <w:rFonts w:cs="Arial"/>
          <w:i/>
          <w:iCs/>
        </w:rPr>
        <w:t xml:space="preserve">See Brooks, </w:t>
      </w:r>
      <w:r w:rsidRPr="008C5355">
        <w:rPr>
          <w:rFonts w:eastAsia="Times New Roman" w:cs="Arial"/>
        </w:rPr>
        <w:t>1996 Ohio PUC Lexis 292</w:t>
      </w:r>
      <w:r w:rsidRPr="008C5355">
        <w:rPr>
          <w:rFonts w:cs="Arial"/>
        </w:rPr>
        <w:t xml:space="preserve"> at *23 (May 8, 1996).</w:t>
      </w:r>
    </w:p>
  </w:footnote>
  <w:footnote w:id="4">
    <w:p w14:paraId="368E5592" w14:textId="1FF48113" w:rsidR="00BF2878" w:rsidRPr="008C5355" w:rsidRDefault="00BF2878" w:rsidP="00886E7A">
      <w:pPr>
        <w:pStyle w:val="FootnoteText"/>
        <w:spacing w:after="120"/>
        <w:rPr>
          <w:rFonts w:cs="Arial"/>
        </w:rPr>
      </w:pPr>
      <w:r w:rsidRPr="008C5355">
        <w:rPr>
          <w:rStyle w:val="FootnoteReference"/>
          <w:rFonts w:cs="Arial"/>
        </w:rPr>
        <w:footnoteRef/>
      </w:r>
      <w:r w:rsidRPr="008C5355">
        <w:rPr>
          <w:rFonts w:cs="Arial"/>
        </w:rPr>
        <w:t xml:space="preserve"> Subsequently, the General Assembly enacted R.C. 4928.40(D).  That division provides: “Beginning on the starting date of competitive retail electric service, no electric utility in this state shall prohibit the resale of electric generation service or impose unreasonable or discriminatory conditions or limitations on the resale of electric generation service.”</w:t>
      </w:r>
      <w:r w:rsidRPr="008C5355">
        <w:rPr>
          <w:rFonts w:eastAsia="Times New Roman" w:cs="Arial"/>
        </w:rPr>
        <w:t xml:space="preserve">  </w:t>
      </w:r>
    </w:p>
  </w:footnote>
  <w:footnote w:id="5">
    <w:p w14:paraId="0D758C39" w14:textId="77777777" w:rsidR="00CA6166" w:rsidRPr="008C5355" w:rsidRDefault="00CA6166" w:rsidP="00886E7A">
      <w:pPr>
        <w:pStyle w:val="FootnoteText"/>
        <w:spacing w:after="120"/>
        <w:rPr>
          <w:rFonts w:cs="Arial"/>
        </w:rPr>
      </w:pPr>
      <w:r w:rsidRPr="008C5355">
        <w:rPr>
          <w:rStyle w:val="FootnoteReference"/>
          <w:rFonts w:cs="Arial"/>
        </w:rPr>
        <w:footnoteRef/>
      </w:r>
      <w:r w:rsidRPr="008C5355">
        <w:rPr>
          <w:rFonts w:cs="Arial"/>
        </w:rPr>
        <w:t xml:space="preserve"> </w:t>
      </w:r>
      <w:r w:rsidRPr="008C5355">
        <w:rPr>
          <w:rFonts w:cs="Arial"/>
          <w:i/>
        </w:rPr>
        <w:t>See, also, Orwell Natural Gas Co. v. Fredon Corp</w:t>
      </w:r>
      <w:r w:rsidRPr="008C5355">
        <w:rPr>
          <w:rFonts w:cs="Arial"/>
        </w:rPr>
        <w:t xml:space="preserve">., 2015-Ohio-1212 ¶¶ 60-72 (11th Dist. Ct. App. </w:t>
      </w:r>
      <w:r w:rsidR="00222FB0">
        <w:rPr>
          <w:rFonts w:cs="Arial"/>
        </w:rPr>
        <w:br/>
      </w:r>
      <w:r w:rsidRPr="008C5355">
        <w:rPr>
          <w:rFonts w:cs="Arial"/>
        </w:rPr>
        <w:t>Mar. 11, 2015) (deed restriction limiting right to procure natural gas violates public policy).</w:t>
      </w:r>
    </w:p>
  </w:footnote>
  <w:footnote w:id="6">
    <w:p w14:paraId="71911370" w14:textId="6250C705" w:rsidR="00CE7BD6" w:rsidRDefault="00CE7BD6">
      <w:pPr>
        <w:pStyle w:val="FootnoteText"/>
      </w:pPr>
      <w:r>
        <w:rPr>
          <w:rStyle w:val="FootnoteReference"/>
        </w:rPr>
        <w:footnoteRef/>
      </w:r>
      <w:r>
        <w:t xml:space="preserve"> </w:t>
      </w:r>
      <w:r w:rsidRPr="00C10156">
        <w:rPr>
          <w:rFonts w:cs="Arial"/>
          <w:i/>
        </w:rPr>
        <w:t>See, also,</w:t>
      </w:r>
      <w:r w:rsidRPr="00AC13C2">
        <w:rPr>
          <w:rFonts w:cs="Arial"/>
        </w:rPr>
        <w:t xml:space="preserve"> </w:t>
      </w:r>
      <w:r w:rsidR="005E4A80">
        <w:rPr>
          <w:rStyle w:val="ssit1"/>
          <w:rFonts w:cs="Arial"/>
          <w:color w:val="373739"/>
        </w:rPr>
        <w:t xml:space="preserve">In the Matter of the </w:t>
      </w:r>
      <w:r w:rsidRPr="00AC13C2">
        <w:rPr>
          <w:rStyle w:val="ssit1"/>
          <w:rFonts w:cs="Arial"/>
          <w:color w:val="373739"/>
        </w:rPr>
        <w:t xml:space="preserve">Commission Investigation </w:t>
      </w:r>
      <w:r w:rsidR="005E4A80">
        <w:rPr>
          <w:rStyle w:val="ssit1"/>
          <w:rFonts w:cs="Arial"/>
          <w:color w:val="373739"/>
        </w:rPr>
        <w:t>into the</w:t>
      </w:r>
      <w:r w:rsidRPr="00AC13C2">
        <w:rPr>
          <w:rStyle w:val="ssit1"/>
          <w:rFonts w:cs="Arial"/>
          <w:color w:val="373739"/>
        </w:rPr>
        <w:t xml:space="preserve"> Resale and Sharing of Local Exchange Telephone Service</w:t>
      </w:r>
      <w:r w:rsidRPr="00AC13C2">
        <w:rPr>
          <w:rFonts w:cs="Arial"/>
          <w:color w:val="373739"/>
        </w:rPr>
        <w:t>, Case No. 85-1199-TP-COI</w:t>
      </w:r>
      <w:r w:rsidR="00E11BB5">
        <w:rPr>
          <w:rFonts w:cs="Arial"/>
          <w:color w:val="373739"/>
        </w:rPr>
        <w:t xml:space="preserve">, </w:t>
      </w:r>
      <w:r w:rsidR="005E4A80">
        <w:rPr>
          <w:rFonts w:cs="Arial"/>
          <w:color w:val="373739"/>
        </w:rPr>
        <w:t>1986 Ohio PUC LEXIS 39 at *12</w:t>
      </w:r>
      <w:r w:rsidRPr="00AC13C2">
        <w:rPr>
          <w:rFonts w:cs="Arial"/>
          <w:color w:val="373739"/>
        </w:rPr>
        <w:t xml:space="preserve"> (Au</w:t>
      </w:r>
      <w:r w:rsidR="00413717">
        <w:rPr>
          <w:rFonts w:cs="Arial"/>
          <w:color w:val="373739"/>
        </w:rPr>
        <w:t>g.</w:t>
      </w:r>
      <w:r w:rsidRPr="00AC13C2">
        <w:rPr>
          <w:rFonts w:cs="Arial"/>
          <w:color w:val="373739"/>
        </w:rPr>
        <w:t xml:space="preserve"> 19, 1986) (shared tenant services where a third-party provides telecommunications services to the occupants of multi-tenant buildings, complexes, or developed properties through a private branch exchange</w:t>
      </w:r>
      <w:r w:rsidR="00744CE3" w:rsidRPr="00AC13C2">
        <w:rPr>
          <w:rFonts w:cs="Arial"/>
          <w:color w:val="373739"/>
        </w:rPr>
        <w:t xml:space="preserve"> </w:t>
      </w:r>
      <w:r w:rsidR="002333DA">
        <w:rPr>
          <w:rFonts w:cs="Arial"/>
          <w:color w:val="373739"/>
        </w:rPr>
        <w:t>are</w:t>
      </w:r>
      <w:r w:rsidR="00744CE3" w:rsidRPr="00AC13C2">
        <w:rPr>
          <w:rFonts w:cs="Arial"/>
          <w:color w:val="373739"/>
        </w:rPr>
        <w:t xml:space="preserve"> not subject to Commission regulation)</w:t>
      </w:r>
      <w:r w:rsidR="005E623F">
        <w:rPr>
          <w:rFonts w:cs="Arial"/>
          <w:color w:val="373739"/>
        </w:rPr>
        <w:t xml:space="preserve"> and</w:t>
      </w:r>
      <w:r w:rsidR="00744CE3" w:rsidRPr="00AC13C2">
        <w:rPr>
          <w:rFonts w:cs="Arial"/>
          <w:color w:val="373739"/>
        </w:rPr>
        <w:t xml:space="preserve"> </w:t>
      </w:r>
      <w:r w:rsidR="00C01C97" w:rsidRPr="00AC13C2">
        <w:rPr>
          <w:rFonts w:cs="Arial"/>
          <w:color w:val="373739"/>
        </w:rPr>
        <w:t>R.C. 4905.90(K</w:t>
      </w:r>
      <w:r w:rsidR="00744CE3" w:rsidRPr="00AC13C2">
        <w:rPr>
          <w:rFonts w:cs="Arial"/>
          <w:color w:val="373739"/>
        </w:rPr>
        <w:t>) (</w:t>
      </w:r>
      <w:r w:rsidR="00C01C97" w:rsidRPr="00AC13C2">
        <w:rPr>
          <w:rFonts w:cs="Arial"/>
          <w:color w:val="373739"/>
        </w:rPr>
        <w:t>operator of a master-metered natural gas system</w:t>
      </w:r>
      <w:r w:rsidR="00AC13C2" w:rsidRPr="00AC13C2">
        <w:rPr>
          <w:rFonts w:cs="Arial"/>
          <w:color w:val="373739"/>
        </w:rPr>
        <w:t xml:space="preserve"> is not a public utility or a natural gas company</w:t>
      </w:r>
      <w:r w:rsidR="006739B7">
        <w:rPr>
          <w:rFonts w:cs="Arial"/>
          <w:color w:val="373739"/>
        </w:rPr>
        <w:t xml:space="preserve"> for purposes of R.C. 4905.90 to 4905.96</w:t>
      </w:r>
      <w:r w:rsidR="00AC13C2" w:rsidRPr="00AC13C2">
        <w:rPr>
          <w:rFonts w:cs="Arial"/>
          <w:color w:val="373739"/>
        </w:rPr>
        <w:t>).</w:t>
      </w:r>
    </w:p>
  </w:footnote>
  <w:footnote w:id="7">
    <w:p w14:paraId="65A39A62" w14:textId="62EFB2D9" w:rsidR="0095448B" w:rsidRDefault="0095448B">
      <w:pPr>
        <w:pStyle w:val="FootnoteText"/>
      </w:pPr>
      <w:r>
        <w:rPr>
          <w:rStyle w:val="FootnoteReference"/>
        </w:rPr>
        <w:footnoteRef/>
      </w:r>
      <w:r>
        <w:t xml:space="preserve"> If the particular transaction is not subject to Commission regulation, it does not follow that the parties cannot regulate themselves or seek remedies provided by </w:t>
      </w:r>
      <w:r w:rsidR="009C49FC">
        <w:t xml:space="preserve">other </w:t>
      </w:r>
      <w:r w:rsidR="00CD5DC4">
        <w:t>Ohio statutes.  For example, l</w:t>
      </w:r>
      <w:r>
        <w:t xml:space="preserve">andlord-tenant law, </w:t>
      </w:r>
      <w:r w:rsidRPr="00D06540">
        <w:rPr>
          <w:i/>
        </w:rPr>
        <w:t>see</w:t>
      </w:r>
      <w:r>
        <w:t xml:space="preserve"> R.C. Chapter 5321, condominium law, see R.C. Chapter 5311, and contract law may provide private remedies.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E3AB7" w14:textId="77777777" w:rsidR="00DE3D97" w:rsidRDefault="00DE3D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EED2E" w14:textId="77777777" w:rsidR="00DE3D97" w:rsidRDefault="00DE3D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64D3A" w14:textId="77777777" w:rsidR="00DE3D97" w:rsidRDefault="00DE3D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2ACD7" w14:textId="77777777" w:rsidR="005779FA" w:rsidRDefault="005779F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CA29E" w14:textId="77777777" w:rsidR="005779FA" w:rsidRDefault="005779F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29402" w14:textId="77777777" w:rsidR="005779FA" w:rsidRDefault="00577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716C4"/>
    <w:multiLevelType w:val="hybridMultilevel"/>
    <w:tmpl w:val="16BA5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F11B12"/>
    <w:multiLevelType w:val="hybridMultilevel"/>
    <w:tmpl w:val="9FA2A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A95043"/>
    <w:multiLevelType w:val="multilevel"/>
    <w:tmpl w:val="2EFE53F0"/>
    <w:name w:val="Outline - Litigation-Scheme 1"/>
    <w:lvl w:ilvl="0">
      <w:start w:val="1"/>
      <w:numFmt w:val="upperRoman"/>
      <w:pStyle w:val="Heading1"/>
      <w:lvlText w:val="%1."/>
      <w:lvlJc w:val="left"/>
      <w:pPr>
        <w:tabs>
          <w:tab w:val="num" w:pos="720"/>
        </w:tabs>
        <w:ind w:left="720" w:hanging="720"/>
      </w:pPr>
      <w:rPr>
        <w:caps w:val="0"/>
        <w:color w:val="010000"/>
        <w:u w:val="none"/>
      </w:rPr>
    </w:lvl>
    <w:lvl w:ilvl="1">
      <w:start w:val="1"/>
      <w:numFmt w:val="upperLetter"/>
      <w:pStyle w:val="Heading2"/>
      <w:lvlText w:val="%2."/>
      <w:lvlJc w:val="left"/>
      <w:pPr>
        <w:tabs>
          <w:tab w:val="num" w:pos="1620"/>
        </w:tabs>
        <w:ind w:left="180" w:firstLine="720"/>
      </w:pPr>
      <w:rPr>
        <w:b/>
        <w:color w:val="010000"/>
        <w:u w:val="none"/>
      </w:rPr>
    </w:lvl>
    <w:lvl w:ilvl="2">
      <w:start w:val="1"/>
      <w:numFmt w:val="decimal"/>
      <w:pStyle w:val="Heading3"/>
      <w:lvlText w:val="%3."/>
      <w:lvlJc w:val="left"/>
      <w:pPr>
        <w:tabs>
          <w:tab w:val="num" w:pos="2160"/>
        </w:tabs>
        <w:ind w:left="0" w:firstLine="1440"/>
      </w:pPr>
      <w:rPr>
        <w:color w:val="010000"/>
        <w:u w:val="none"/>
      </w:rPr>
    </w:lvl>
    <w:lvl w:ilvl="3">
      <w:start w:val="1"/>
      <w:numFmt w:val="lowerLetter"/>
      <w:pStyle w:val="Heading4"/>
      <w:lvlText w:val="(%4)"/>
      <w:lvlJc w:val="left"/>
      <w:pPr>
        <w:tabs>
          <w:tab w:val="num" w:pos="2880"/>
        </w:tabs>
        <w:ind w:left="0" w:firstLine="2160"/>
      </w:pPr>
      <w:rPr>
        <w:color w:val="010000"/>
        <w:u w:val="none"/>
      </w:rPr>
    </w:lvl>
    <w:lvl w:ilvl="4">
      <w:start w:val="1"/>
      <w:numFmt w:val="lowerRoman"/>
      <w:pStyle w:val="Heading5"/>
      <w:lvlText w:val="(%5)"/>
      <w:lvlJc w:val="left"/>
      <w:pPr>
        <w:tabs>
          <w:tab w:val="num" w:pos="3600"/>
        </w:tabs>
        <w:ind w:left="1440" w:firstLine="1440"/>
      </w:pPr>
      <w:rPr>
        <w:color w:val="010000"/>
        <w:u w:val="none"/>
      </w:rPr>
    </w:lvl>
    <w:lvl w:ilvl="5">
      <w:start w:val="1"/>
      <w:numFmt w:val="decimal"/>
      <w:pStyle w:val="Heading6"/>
      <w:lvlText w:val="(%6)"/>
      <w:lvlJc w:val="left"/>
      <w:pPr>
        <w:tabs>
          <w:tab w:val="num" w:pos="3600"/>
        </w:tabs>
        <w:ind w:left="1440" w:firstLine="1440"/>
      </w:pPr>
      <w:rPr>
        <w:color w:val="010000"/>
        <w:u w:val="none"/>
      </w:rPr>
    </w:lvl>
    <w:lvl w:ilvl="6">
      <w:start w:val="1"/>
      <w:numFmt w:val="decimal"/>
      <w:pStyle w:val="Heading7"/>
      <w:lvlText w:val="%7."/>
      <w:lvlJc w:val="left"/>
      <w:pPr>
        <w:tabs>
          <w:tab w:val="num" w:pos="4320"/>
        </w:tabs>
        <w:ind w:left="2160" w:firstLine="1440"/>
      </w:pPr>
      <w:rPr>
        <w:color w:val="010000"/>
        <w:u w:val="none"/>
      </w:rPr>
    </w:lvl>
    <w:lvl w:ilvl="7">
      <w:start w:val="1"/>
      <w:numFmt w:val="lowerRoman"/>
      <w:pStyle w:val="Heading8"/>
      <w:lvlText w:val="%8."/>
      <w:lvlJc w:val="left"/>
      <w:pPr>
        <w:tabs>
          <w:tab w:val="num" w:pos="5040"/>
        </w:tabs>
        <w:ind w:left="3600" w:firstLine="720"/>
      </w:pPr>
      <w:rPr>
        <w:color w:val="010000"/>
        <w:u w:val="none"/>
      </w:rPr>
    </w:lvl>
    <w:lvl w:ilvl="8">
      <w:start w:val="1"/>
      <w:numFmt w:val="decimal"/>
      <w:pStyle w:val="Heading9"/>
      <w:lvlText w:val="(%9)"/>
      <w:lvlJc w:val="left"/>
      <w:pPr>
        <w:tabs>
          <w:tab w:val="num" w:pos="5760"/>
        </w:tabs>
        <w:ind w:left="4320" w:firstLine="720"/>
      </w:pPr>
      <w:rPr>
        <w:color w:val="010000"/>
        <w:u w:val="none"/>
      </w:rPr>
    </w:lvl>
  </w:abstractNum>
  <w:abstractNum w:abstractNumId="3" w15:restartNumberingAfterBreak="0">
    <w:nsid w:val="5BB74568"/>
    <w:multiLevelType w:val="hybridMultilevel"/>
    <w:tmpl w:val="ADE0ED1E"/>
    <w:lvl w:ilvl="0" w:tplc="EDDEE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304698"/>
    <w:multiLevelType w:val="hybridMultilevel"/>
    <w:tmpl w:val="EA3C8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C75D22"/>
    <w:multiLevelType w:val="hybridMultilevel"/>
    <w:tmpl w:val="EA3C8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MichelleGuyot&lt;/LastUpdatedBy&gt;&lt;LastUpdated&gt;2015-05-14T15:26:06&lt;/LastUpdated&gt;&lt;NumberingSchemeID&gt;152&lt;/NumberingSchemeID&gt;&lt;SortOrder&gt;0&lt;/SortOrder&gt;&lt;Name&gt;Outline - Litigation&lt;/Name&gt;&lt;NameFrench&gt;Plan – Contentieux&lt;/NameFrench&gt;&lt;Description&gt;Numbering scheme suited for use in Litigation documents.&lt;/Description&gt;&lt;DescriptionFrench&gt;Plan adapté aux documents de contentieux.&lt;/DescriptionFrench&gt;&lt;FilterID&gt;4&lt;/FilterID&gt;&lt;FilterArray&gt;4&lt;/FilterArray&gt;&lt;DefaultNumberOfLevelsInTOC&gt;3&lt;/DefaultNumberOfLevelsInTOC&gt;&lt;CustomTOCAttached&gt;false&lt;/CustomTOCAttached&gt;&lt;DefaultTOCSchemeID&gt;0&lt;/DefaultTOCSchemeID&gt;&lt;BitMapID&gt;521&lt;/BitMapID&gt;&lt;Hidden&gt;false&lt;/Hidden&gt;&lt;ListIndexUsed&gt;0&lt;/ListIndexUsed&gt;&lt;CapturedDocument&gt;\\pcgserver\PcgStaff\MichelleGuyot\Numbering Assistant\2013\New Scheme\Outline Litigation.docx&lt;/CapturedDocument&gt;&lt;CreatedByEndUser&gt;false&lt;/CreatedByEndUser&gt;&lt;ConnectionType&gt;Application&lt;/ConnectionType&gt;&lt;EnforceSchemeFont&gt;false&lt;/EnforceSchemeFont&gt;&lt;/SelectedNumberingScheme&gt;&lt;SelectedSchemeFilter&gt;&lt;LastUpdated&gt;0001-01-01T00:00:00&lt;/LastUpdated&gt;&lt;FilterID&gt;3&lt;/FilterID&gt;&lt;FilterName&gt;All Numbering Schemes&lt;/FilterName&gt;&lt;FilterNameFrench&gt;Tous les schémas de numérotation&lt;/FilterNameFrench&gt;&lt;UserDatabaseOnly&gt;false&lt;/UserDatabaseOnly&gt;&lt;Default&gt;true&lt;/Default&gt;&lt;SortPosition&gt;0&lt;/SortPosition&gt;&lt;/SelectedSchemeFilter&gt;&lt;SelectedNumberingSchemeOptions /&gt;&lt;Index&gt;1&lt;/Index&gt;&lt;/AddedNumberingScheme&gt;&lt;/ArrayOfAddedNumberingScheme&gt;"/>
    <w:docVar w:name="EnforceSchemeFont" w:val="False"/>
    <w:docVar w:name="LastSchemeChoice" w:val="Outline - Litigation"/>
    <w:docVar w:name="LastSchemeUniqueID" w:val="152"/>
    <w:docVar w:name="LegacyNa" w:val="False"/>
  </w:docVars>
  <w:rsids>
    <w:rsidRoot w:val="00BF2878"/>
    <w:rsid w:val="00010E46"/>
    <w:rsid w:val="00013FA0"/>
    <w:rsid w:val="000174A7"/>
    <w:rsid w:val="0002209A"/>
    <w:rsid w:val="00024A90"/>
    <w:rsid w:val="000264E8"/>
    <w:rsid w:val="00031565"/>
    <w:rsid w:val="00042F61"/>
    <w:rsid w:val="000448B2"/>
    <w:rsid w:val="00055B5C"/>
    <w:rsid w:val="000621DF"/>
    <w:rsid w:val="00062AE1"/>
    <w:rsid w:val="00074F1F"/>
    <w:rsid w:val="00076642"/>
    <w:rsid w:val="00087746"/>
    <w:rsid w:val="00091D23"/>
    <w:rsid w:val="000B0FC7"/>
    <w:rsid w:val="000D4F79"/>
    <w:rsid w:val="000E7545"/>
    <w:rsid w:val="000F17BC"/>
    <w:rsid w:val="000F5733"/>
    <w:rsid w:val="00117059"/>
    <w:rsid w:val="00120A27"/>
    <w:rsid w:val="001258AE"/>
    <w:rsid w:val="0013185A"/>
    <w:rsid w:val="00132186"/>
    <w:rsid w:val="00136F83"/>
    <w:rsid w:val="001418B8"/>
    <w:rsid w:val="00147776"/>
    <w:rsid w:val="0015039B"/>
    <w:rsid w:val="00156ADB"/>
    <w:rsid w:val="001573AD"/>
    <w:rsid w:val="0017770F"/>
    <w:rsid w:val="00181A4B"/>
    <w:rsid w:val="001822B8"/>
    <w:rsid w:val="001832AC"/>
    <w:rsid w:val="00192B20"/>
    <w:rsid w:val="001A0C5B"/>
    <w:rsid w:val="001B08E3"/>
    <w:rsid w:val="001B13A1"/>
    <w:rsid w:val="001B3A4E"/>
    <w:rsid w:val="001B7654"/>
    <w:rsid w:val="001C0B8C"/>
    <w:rsid w:val="001C2589"/>
    <w:rsid w:val="001C569F"/>
    <w:rsid w:val="001C6BBE"/>
    <w:rsid w:val="001F44AD"/>
    <w:rsid w:val="002122B2"/>
    <w:rsid w:val="00215BF7"/>
    <w:rsid w:val="0021691D"/>
    <w:rsid w:val="002225D9"/>
    <w:rsid w:val="00222FB0"/>
    <w:rsid w:val="002272B6"/>
    <w:rsid w:val="00232ECC"/>
    <w:rsid w:val="002333DA"/>
    <w:rsid w:val="002369A7"/>
    <w:rsid w:val="00240D7B"/>
    <w:rsid w:val="00254A44"/>
    <w:rsid w:val="0025794F"/>
    <w:rsid w:val="00261EA7"/>
    <w:rsid w:val="00262131"/>
    <w:rsid w:val="002718A7"/>
    <w:rsid w:val="0027546A"/>
    <w:rsid w:val="00275850"/>
    <w:rsid w:val="0028161C"/>
    <w:rsid w:val="00286A14"/>
    <w:rsid w:val="00286E2E"/>
    <w:rsid w:val="002A5DBE"/>
    <w:rsid w:val="002B2BC8"/>
    <w:rsid w:val="002C4F0E"/>
    <w:rsid w:val="002D2DB0"/>
    <w:rsid w:val="002D486E"/>
    <w:rsid w:val="002E0E02"/>
    <w:rsid w:val="00305E51"/>
    <w:rsid w:val="003067EC"/>
    <w:rsid w:val="00315CBD"/>
    <w:rsid w:val="00323637"/>
    <w:rsid w:val="00326137"/>
    <w:rsid w:val="003270A6"/>
    <w:rsid w:val="003471A9"/>
    <w:rsid w:val="003744E5"/>
    <w:rsid w:val="00375546"/>
    <w:rsid w:val="00381B27"/>
    <w:rsid w:val="003A05E9"/>
    <w:rsid w:val="003C02F4"/>
    <w:rsid w:val="003D266A"/>
    <w:rsid w:val="003E24F8"/>
    <w:rsid w:val="003E5397"/>
    <w:rsid w:val="003F4F5E"/>
    <w:rsid w:val="003F6974"/>
    <w:rsid w:val="004010DA"/>
    <w:rsid w:val="00401B2C"/>
    <w:rsid w:val="00413717"/>
    <w:rsid w:val="00416C73"/>
    <w:rsid w:val="00446D8C"/>
    <w:rsid w:val="00447B6A"/>
    <w:rsid w:val="00465335"/>
    <w:rsid w:val="00474771"/>
    <w:rsid w:val="0047783D"/>
    <w:rsid w:val="00493CF4"/>
    <w:rsid w:val="0049418C"/>
    <w:rsid w:val="004952E8"/>
    <w:rsid w:val="004B1E12"/>
    <w:rsid w:val="004B3565"/>
    <w:rsid w:val="004B665A"/>
    <w:rsid w:val="004C4B7F"/>
    <w:rsid w:val="004D2EAD"/>
    <w:rsid w:val="004D6BBD"/>
    <w:rsid w:val="004D6C85"/>
    <w:rsid w:val="004E4754"/>
    <w:rsid w:val="004E5C0C"/>
    <w:rsid w:val="004E6665"/>
    <w:rsid w:val="004F4319"/>
    <w:rsid w:val="0050636A"/>
    <w:rsid w:val="005064B1"/>
    <w:rsid w:val="00511DCC"/>
    <w:rsid w:val="00516FDC"/>
    <w:rsid w:val="0053524F"/>
    <w:rsid w:val="00547881"/>
    <w:rsid w:val="0055604D"/>
    <w:rsid w:val="005562FE"/>
    <w:rsid w:val="00556577"/>
    <w:rsid w:val="005659D8"/>
    <w:rsid w:val="005741EC"/>
    <w:rsid w:val="005779FA"/>
    <w:rsid w:val="005A5743"/>
    <w:rsid w:val="005B13EA"/>
    <w:rsid w:val="005B4B2D"/>
    <w:rsid w:val="005B62F1"/>
    <w:rsid w:val="005C328A"/>
    <w:rsid w:val="005C4979"/>
    <w:rsid w:val="005D3AF2"/>
    <w:rsid w:val="005E4A80"/>
    <w:rsid w:val="005E623F"/>
    <w:rsid w:val="006146D1"/>
    <w:rsid w:val="00615D9C"/>
    <w:rsid w:val="0063001F"/>
    <w:rsid w:val="00630EAA"/>
    <w:rsid w:val="006335B4"/>
    <w:rsid w:val="006403AC"/>
    <w:rsid w:val="006523A0"/>
    <w:rsid w:val="00657EAA"/>
    <w:rsid w:val="00672D25"/>
    <w:rsid w:val="006739B7"/>
    <w:rsid w:val="0067501E"/>
    <w:rsid w:val="00675790"/>
    <w:rsid w:val="00680121"/>
    <w:rsid w:val="00685AE5"/>
    <w:rsid w:val="00691736"/>
    <w:rsid w:val="00695734"/>
    <w:rsid w:val="006A2B29"/>
    <w:rsid w:val="006A74EE"/>
    <w:rsid w:val="006B2B1F"/>
    <w:rsid w:val="006C77B2"/>
    <w:rsid w:val="006D2E53"/>
    <w:rsid w:val="006D4198"/>
    <w:rsid w:val="006D72EC"/>
    <w:rsid w:val="006E2BC4"/>
    <w:rsid w:val="00702A8E"/>
    <w:rsid w:val="007104BF"/>
    <w:rsid w:val="00717D41"/>
    <w:rsid w:val="00717F01"/>
    <w:rsid w:val="00721E14"/>
    <w:rsid w:val="0072320F"/>
    <w:rsid w:val="007260D8"/>
    <w:rsid w:val="007364D0"/>
    <w:rsid w:val="00737C8D"/>
    <w:rsid w:val="007440C6"/>
    <w:rsid w:val="007444AD"/>
    <w:rsid w:val="00744CE3"/>
    <w:rsid w:val="007466CF"/>
    <w:rsid w:val="00755D3D"/>
    <w:rsid w:val="007568F8"/>
    <w:rsid w:val="00771B6F"/>
    <w:rsid w:val="00775D6E"/>
    <w:rsid w:val="00776D17"/>
    <w:rsid w:val="00782E7B"/>
    <w:rsid w:val="007A3D4B"/>
    <w:rsid w:val="007B552A"/>
    <w:rsid w:val="007B77F2"/>
    <w:rsid w:val="007C369C"/>
    <w:rsid w:val="007C7717"/>
    <w:rsid w:val="007D7659"/>
    <w:rsid w:val="007E35E9"/>
    <w:rsid w:val="007F335D"/>
    <w:rsid w:val="008008AD"/>
    <w:rsid w:val="00806CDB"/>
    <w:rsid w:val="00811A25"/>
    <w:rsid w:val="0081460B"/>
    <w:rsid w:val="00845E2B"/>
    <w:rsid w:val="00851ACC"/>
    <w:rsid w:val="008565BC"/>
    <w:rsid w:val="00866C22"/>
    <w:rsid w:val="008719B5"/>
    <w:rsid w:val="00871D69"/>
    <w:rsid w:val="00876E7D"/>
    <w:rsid w:val="00886E7A"/>
    <w:rsid w:val="008A7661"/>
    <w:rsid w:val="008C5355"/>
    <w:rsid w:val="008D4054"/>
    <w:rsid w:val="008E35A8"/>
    <w:rsid w:val="008E3BF4"/>
    <w:rsid w:val="008E5509"/>
    <w:rsid w:val="008F3E1E"/>
    <w:rsid w:val="00900C9D"/>
    <w:rsid w:val="00933500"/>
    <w:rsid w:val="00950A29"/>
    <w:rsid w:val="00953EE4"/>
    <w:rsid w:val="0095448B"/>
    <w:rsid w:val="00956C93"/>
    <w:rsid w:val="00957CC0"/>
    <w:rsid w:val="009613C8"/>
    <w:rsid w:val="00963EB1"/>
    <w:rsid w:val="0096729C"/>
    <w:rsid w:val="009B0163"/>
    <w:rsid w:val="009B277D"/>
    <w:rsid w:val="009B35F9"/>
    <w:rsid w:val="009C1698"/>
    <w:rsid w:val="009C49FC"/>
    <w:rsid w:val="009D5B42"/>
    <w:rsid w:val="009E3AF8"/>
    <w:rsid w:val="009E3CF1"/>
    <w:rsid w:val="009F3F38"/>
    <w:rsid w:val="00A02C46"/>
    <w:rsid w:val="00A04B8C"/>
    <w:rsid w:val="00A13991"/>
    <w:rsid w:val="00A26C64"/>
    <w:rsid w:val="00A40785"/>
    <w:rsid w:val="00A41625"/>
    <w:rsid w:val="00A44E27"/>
    <w:rsid w:val="00A55AB7"/>
    <w:rsid w:val="00A61A3E"/>
    <w:rsid w:val="00A91810"/>
    <w:rsid w:val="00A93276"/>
    <w:rsid w:val="00A94D74"/>
    <w:rsid w:val="00A950B6"/>
    <w:rsid w:val="00AA24B7"/>
    <w:rsid w:val="00AA5985"/>
    <w:rsid w:val="00AA59AF"/>
    <w:rsid w:val="00AB2279"/>
    <w:rsid w:val="00AC13C2"/>
    <w:rsid w:val="00AC6D54"/>
    <w:rsid w:val="00AD1216"/>
    <w:rsid w:val="00AD2542"/>
    <w:rsid w:val="00AD2552"/>
    <w:rsid w:val="00AF597F"/>
    <w:rsid w:val="00B018CE"/>
    <w:rsid w:val="00B07A27"/>
    <w:rsid w:val="00B17DB3"/>
    <w:rsid w:val="00B20776"/>
    <w:rsid w:val="00B20C32"/>
    <w:rsid w:val="00B30F94"/>
    <w:rsid w:val="00B4183C"/>
    <w:rsid w:val="00B51633"/>
    <w:rsid w:val="00B537EA"/>
    <w:rsid w:val="00B56741"/>
    <w:rsid w:val="00B5779E"/>
    <w:rsid w:val="00B70F7B"/>
    <w:rsid w:val="00B76E28"/>
    <w:rsid w:val="00B974D5"/>
    <w:rsid w:val="00BC3226"/>
    <w:rsid w:val="00BD0D11"/>
    <w:rsid w:val="00BE6FEC"/>
    <w:rsid w:val="00BF10D5"/>
    <w:rsid w:val="00BF2878"/>
    <w:rsid w:val="00BF3139"/>
    <w:rsid w:val="00BF7925"/>
    <w:rsid w:val="00C01C97"/>
    <w:rsid w:val="00C0405A"/>
    <w:rsid w:val="00C10156"/>
    <w:rsid w:val="00C10B53"/>
    <w:rsid w:val="00C204CC"/>
    <w:rsid w:val="00C24D62"/>
    <w:rsid w:val="00C27362"/>
    <w:rsid w:val="00C31270"/>
    <w:rsid w:val="00C334DD"/>
    <w:rsid w:val="00C415B6"/>
    <w:rsid w:val="00C503E3"/>
    <w:rsid w:val="00C5114B"/>
    <w:rsid w:val="00C55EA5"/>
    <w:rsid w:val="00C55FAB"/>
    <w:rsid w:val="00C57AF6"/>
    <w:rsid w:val="00C75F8B"/>
    <w:rsid w:val="00C76639"/>
    <w:rsid w:val="00C77069"/>
    <w:rsid w:val="00C81556"/>
    <w:rsid w:val="00C81D15"/>
    <w:rsid w:val="00C87B61"/>
    <w:rsid w:val="00C918A2"/>
    <w:rsid w:val="00CA6166"/>
    <w:rsid w:val="00CB39D1"/>
    <w:rsid w:val="00CC1B4E"/>
    <w:rsid w:val="00CD50B9"/>
    <w:rsid w:val="00CD5DC4"/>
    <w:rsid w:val="00CE0474"/>
    <w:rsid w:val="00CE37A1"/>
    <w:rsid w:val="00CE7B47"/>
    <w:rsid w:val="00CE7BD6"/>
    <w:rsid w:val="00CF2427"/>
    <w:rsid w:val="00CF26DE"/>
    <w:rsid w:val="00D01B9A"/>
    <w:rsid w:val="00D03C89"/>
    <w:rsid w:val="00D06540"/>
    <w:rsid w:val="00D27B84"/>
    <w:rsid w:val="00D4411D"/>
    <w:rsid w:val="00D51331"/>
    <w:rsid w:val="00D62984"/>
    <w:rsid w:val="00D656A6"/>
    <w:rsid w:val="00D876B8"/>
    <w:rsid w:val="00D92196"/>
    <w:rsid w:val="00D96D1E"/>
    <w:rsid w:val="00D97FCA"/>
    <w:rsid w:val="00DB5134"/>
    <w:rsid w:val="00DC3D9B"/>
    <w:rsid w:val="00DC4A27"/>
    <w:rsid w:val="00DD2063"/>
    <w:rsid w:val="00DE3D97"/>
    <w:rsid w:val="00DF5FD5"/>
    <w:rsid w:val="00E01731"/>
    <w:rsid w:val="00E068C4"/>
    <w:rsid w:val="00E11BB5"/>
    <w:rsid w:val="00E304DB"/>
    <w:rsid w:val="00E5088D"/>
    <w:rsid w:val="00E601FA"/>
    <w:rsid w:val="00E62129"/>
    <w:rsid w:val="00E77527"/>
    <w:rsid w:val="00E86E64"/>
    <w:rsid w:val="00E97802"/>
    <w:rsid w:val="00EA02BB"/>
    <w:rsid w:val="00EA2A5E"/>
    <w:rsid w:val="00EB1EA7"/>
    <w:rsid w:val="00ED2A62"/>
    <w:rsid w:val="00ED6AC4"/>
    <w:rsid w:val="00EE5A98"/>
    <w:rsid w:val="00EF1FA7"/>
    <w:rsid w:val="00EF408B"/>
    <w:rsid w:val="00F03008"/>
    <w:rsid w:val="00F05BD6"/>
    <w:rsid w:val="00F12CD1"/>
    <w:rsid w:val="00F133D4"/>
    <w:rsid w:val="00F15D66"/>
    <w:rsid w:val="00F24A28"/>
    <w:rsid w:val="00F3317D"/>
    <w:rsid w:val="00F40EF6"/>
    <w:rsid w:val="00F4376A"/>
    <w:rsid w:val="00F47F28"/>
    <w:rsid w:val="00F53B12"/>
    <w:rsid w:val="00F63861"/>
    <w:rsid w:val="00F64C2D"/>
    <w:rsid w:val="00F74E09"/>
    <w:rsid w:val="00F76E6F"/>
    <w:rsid w:val="00F77C29"/>
    <w:rsid w:val="00FB29E7"/>
    <w:rsid w:val="00FC4C74"/>
    <w:rsid w:val="00FC6479"/>
    <w:rsid w:val="00FE618C"/>
    <w:rsid w:val="00FF5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EEB766"/>
  <w15:docId w15:val="{65250042-E7F9-4766-A5A1-C800C7FE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639"/>
  </w:style>
  <w:style w:type="paragraph" w:styleId="Heading1">
    <w:name w:val="heading 1"/>
    <w:basedOn w:val="Normal"/>
    <w:next w:val="BodyText"/>
    <w:link w:val="Heading1Char"/>
    <w:uiPriority w:val="9"/>
    <w:qFormat/>
    <w:rsid w:val="001C0B8C"/>
    <w:pPr>
      <w:keepLines/>
      <w:numPr>
        <w:numId w:val="7"/>
      </w:numPr>
      <w:spacing w:after="240"/>
      <w:jc w:val="left"/>
      <w:outlineLvl w:val="0"/>
    </w:pPr>
    <w:rPr>
      <w:rFonts w:eastAsiaTheme="majorEastAsia" w:cs="Arial"/>
      <w:bCs/>
      <w:szCs w:val="28"/>
      <w:u w:val="single"/>
    </w:rPr>
  </w:style>
  <w:style w:type="paragraph" w:styleId="Heading2">
    <w:name w:val="heading 2"/>
    <w:basedOn w:val="Normal"/>
    <w:next w:val="BodyText"/>
    <w:link w:val="Heading2Char"/>
    <w:uiPriority w:val="9"/>
    <w:unhideWhenUsed/>
    <w:qFormat/>
    <w:rsid w:val="001C0B8C"/>
    <w:pPr>
      <w:keepLines/>
      <w:numPr>
        <w:ilvl w:val="1"/>
        <w:numId w:val="7"/>
      </w:numPr>
      <w:tabs>
        <w:tab w:val="clear" w:pos="1620"/>
        <w:tab w:val="left" w:pos="1440"/>
        <w:tab w:val="num" w:pos="2250"/>
      </w:tabs>
      <w:spacing w:after="240"/>
      <w:ind w:left="810"/>
      <w:jc w:val="left"/>
      <w:outlineLvl w:val="1"/>
    </w:pPr>
    <w:rPr>
      <w:rFonts w:eastAsiaTheme="majorEastAsia" w:cs="Arial"/>
      <w:szCs w:val="26"/>
    </w:rPr>
  </w:style>
  <w:style w:type="paragraph" w:styleId="Heading3">
    <w:name w:val="heading 3"/>
    <w:basedOn w:val="Normal"/>
    <w:next w:val="BodyText"/>
    <w:link w:val="Heading3Char"/>
    <w:uiPriority w:val="9"/>
    <w:semiHidden/>
    <w:unhideWhenUsed/>
    <w:qFormat/>
    <w:rsid w:val="001C0B8C"/>
    <w:pPr>
      <w:numPr>
        <w:ilvl w:val="2"/>
        <w:numId w:val="7"/>
      </w:numPr>
      <w:tabs>
        <w:tab w:val="left" w:pos="2160"/>
      </w:tabs>
      <w:spacing w:after="240"/>
      <w:jc w:val="left"/>
      <w:outlineLvl w:val="2"/>
    </w:pPr>
    <w:rPr>
      <w:rFonts w:eastAsiaTheme="majorEastAsia" w:cs="Arial"/>
    </w:rPr>
  </w:style>
  <w:style w:type="paragraph" w:styleId="Heading4">
    <w:name w:val="heading 4"/>
    <w:basedOn w:val="Normal"/>
    <w:next w:val="BodyText"/>
    <w:link w:val="Heading4Char"/>
    <w:uiPriority w:val="9"/>
    <w:semiHidden/>
    <w:unhideWhenUsed/>
    <w:qFormat/>
    <w:rsid w:val="001C0B8C"/>
    <w:pPr>
      <w:numPr>
        <w:ilvl w:val="3"/>
        <w:numId w:val="7"/>
      </w:numPr>
      <w:tabs>
        <w:tab w:val="left" w:pos="2880"/>
      </w:tabs>
      <w:spacing w:after="240"/>
      <w:jc w:val="left"/>
      <w:outlineLvl w:val="3"/>
    </w:pPr>
    <w:rPr>
      <w:rFonts w:eastAsiaTheme="majorEastAsia" w:cs="Arial"/>
      <w:iCs/>
    </w:rPr>
  </w:style>
  <w:style w:type="paragraph" w:styleId="Heading5">
    <w:name w:val="heading 5"/>
    <w:basedOn w:val="Normal"/>
    <w:next w:val="BodyText"/>
    <w:link w:val="Heading5Char"/>
    <w:uiPriority w:val="9"/>
    <w:semiHidden/>
    <w:unhideWhenUsed/>
    <w:qFormat/>
    <w:rsid w:val="001C0B8C"/>
    <w:pPr>
      <w:numPr>
        <w:ilvl w:val="4"/>
        <w:numId w:val="7"/>
      </w:numPr>
      <w:tabs>
        <w:tab w:val="left" w:pos="3600"/>
      </w:tabs>
      <w:spacing w:after="240"/>
      <w:jc w:val="left"/>
      <w:outlineLvl w:val="4"/>
    </w:pPr>
    <w:rPr>
      <w:rFonts w:eastAsiaTheme="majorEastAsia" w:cs="Arial"/>
    </w:rPr>
  </w:style>
  <w:style w:type="paragraph" w:styleId="Heading6">
    <w:name w:val="heading 6"/>
    <w:basedOn w:val="Normal"/>
    <w:next w:val="BodyText"/>
    <w:link w:val="Heading6Char"/>
    <w:uiPriority w:val="9"/>
    <w:semiHidden/>
    <w:unhideWhenUsed/>
    <w:qFormat/>
    <w:rsid w:val="001C0B8C"/>
    <w:pPr>
      <w:numPr>
        <w:ilvl w:val="5"/>
        <w:numId w:val="7"/>
      </w:numPr>
      <w:tabs>
        <w:tab w:val="left" w:pos="3600"/>
      </w:tabs>
      <w:spacing w:after="240"/>
      <w:jc w:val="left"/>
      <w:outlineLvl w:val="5"/>
    </w:pPr>
    <w:rPr>
      <w:rFonts w:eastAsiaTheme="majorEastAsia" w:cs="Arial"/>
    </w:rPr>
  </w:style>
  <w:style w:type="paragraph" w:styleId="Heading7">
    <w:name w:val="heading 7"/>
    <w:basedOn w:val="Normal"/>
    <w:next w:val="BodyText"/>
    <w:link w:val="Heading7Char"/>
    <w:uiPriority w:val="9"/>
    <w:semiHidden/>
    <w:unhideWhenUsed/>
    <w:qFormat/>
    <w:rsid w:val="001C0B8C"/>
    <w:pPr>
      <w:numPr>
        <w:ilvl w:val="6"/>
        <w:numId w:val="7"/>
      </w:numPr>
      <w:tabs>
        <w:tab w:val="left" w:pos="4320"/>
      </w:tabs>
      <w:spacing w:after="240"/>
      <w:jc w:val="left"/>
      <w:outlineLvl w:val="6"/>
    </w:pPr>
    <w:rPr>
      <w:rFonts w:eastAsiaTheme="majorEastAsia" w:cs="Arial"/>
      <w:iCs/>
    </w:rPr>
  </w:style>
  <w:style w:type="paragraph" w:styleId="Heading8">
    <w:name w:val="heading 8"/>
    <w:basedOn w:val="Normal"/>
    <w:next w:val="BodyText"/>
    <w:link w:val="Heading8Char"/>
    <w:uiPriority w:val="9"/>
    <w:semiHidden/>
    <w:unhideWhenUsed/>
    <w:qFormat/>
    <w:rsid w:val="001C0B8C"/>
    <w:pPr>
      <w:numPr>
        <w:ilvl w:val="7"/>
        <w:numId w:val="7"/>
      </w:numPr>
      <w:tabs>
        <w:tab w:val="left" w:pos="5040"/>
      </w:tabs>
      <w:spacing w:after="240"/>
      <w:jc w:val="left"/>
      <w:outlineLvl w:val="7"/>
    </w:pPr>
    <w:rPr>
      <w:rFonts w:eastAsiaTheme="majorEastAsia" w:cs="Arial"/>
      <w:szCs w:val="21"/>
    </w:rPr>
  </w:style>
  <w:style w:type="paragraph" w:styleId="Heading9">
    <w:name w:val="heading 9"/>
    <w:basedOn w:val="Normal"/>
    <w:next w:val="BodyText"/>
    <w:link w:val="Heading9Char"/>
    <w:uiPriority w:val="9"/>
    <w:semiHidden/>
    <w:unhideWhenUsed/>
    <w:qFormat/>
    <w:rsid w:val="001C0B8C"/>
    <w:pPr>
      <w:numPr>
        <w:ilvl w:val="8"/>
        <w:numId w:val="7"/>
      </w:numPr>
      <w:tabs>
        <w:tab w:val="left" w:pos="5760"/>
      </w:tabs>
      <w:spacing w:after="240"/>
      <w:jc w:val="left"/>
      <w:outlineLvl w:val="8"/>
    </w:pPr>
    <w:rPr>
      <w:rFonts w:eastAsiaTheme="majorEastAsia" w:cs="Arial"/>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F2878"/>
    <w:rPr>
      <w:sz w:val="20"/>
      <w:szCs w:val="20"/>
    </w:rPr>
  </w:style>
  <w:style w:type="character" w:customStyle="1" w:styleId="FootnoteTextChar">
    <w:name w:val="Footnote Text Char"/>
    <w:basedOn w:val="DefaultParagraphFont"/>
    <w:link w:val="FootnoteText"/>
    <w:uiPriority w:val="99"/>
    <w:semiHidden/>
    <w:rsid w:val="00BF2878"/>
    <w:rPr>
      <w:sz w:val="20"/>
      <w:szCs w:val="20"/>
    </w:rPr>
  </w:style>
  <w:style w:type="character" w:styleId="FootnoteReference">
    <w:name w:val="footnote reference"/>
    <w:aliases w:val="o,fr,(NECG) Footnote Reference,Style 17,Style 20,Style 13,Style 12,o1,fr1,o2,fr2,o3,fr3,Style 15,Style 8,Style 9,Style 18,Style 7,Style 19,Style 28,Style 42"/>
    <w:unhideWhenUsed/>
    <w:rsid w:val="00BF2878"/>
    <w:rPr>
      <w:vertAlign w:val="superscript"/>
    </w:rPr>
  </w:style>
  <w:style w:type="paragraph" w:styleId="NormalWeb">
    <w:name w:val="Normal (Web)"/>
    <w:basedOn w:val="Normal"/>
    <w:uiPriority w:val="99"/>
    <w:unhideWhenUsed/>
    <w:rsid w:val="00BF2878"/>
    <w:pPr>
      <w:spacing w:line="480" w:lineRule="auto"/>
    </w:pPr>
    <w:rPr>
      <w:rFonts w:ascii="Times New Roman" w:hAnsi="Times New Roman" w:cs="Times New Roman"/>
    </w:rPr>
  </w:style>
  <w:style w:type="character" w:customStyle="1" w:styleId="apple-converted-space">
    <w:name w:val="apple-converted-space"/>
    <w:basedOn w:val="DefaultParagraphFont"/>
    <w:rsid w:val="00BF2878"/>
  </w:style>
  <w:style w:type="paragraph" w:styleId="ListParagraph">
    <w:name w:val="List Paragraph"/>
    <w:basedOn w:val="Normal"/>
    <w:uiPriority w:val="34"/>
    <w:qFormat/>
    <w:rsid w:val="00BF2878"/>
    <w:pPr>
      <w:ind w:left="720"/>
      <w:contextualSpacing/>
    </w:pPr>
  </w:style>
  <w:style w:type="character" w:customStyle="1" w:styleId="Heading1Char">
    <w:name w:val="Heading 1 Char"/>
    <w:basedOn w:val="DefaultParagraphFont"/>
    <w:link w:val="Heading1"/>
    <w:uiPriority w:val="9"/>
    <w:rsid w:val="005779FA"/>
    <w:rPr>
      <w:rFonts w:eastAsiaTheme="majorEastAsia" w:cs="Arial"/>
      <w:bCs/>
      <w:szCs w:val="28"/>
      <w:u w:val="single"/>
    </w:rPr>
  </w:style>
  <w:style w:type="paragraph" w:styleId="Header">
    <w:name w:val="header"/>
    <w:basedOn w:val="Normal"/>
    <w:link w:val="HeaderChar"/>
    <w:uiPriority w:val="99"/>
    <w:unhideWhenUsed/>
    <w:rsid w:val="005779FA"/>
    <w:pPr>
      <w:tabs>
        <w:tab w:val="center" w:pos="4680"/>
        <w:tab w:val="right" w:pos="9360"/>
      </w:tabs>
    </w:pPr>
  </w:style>
  <w:style w:type="character" w:customStyle="1" w:styleId="HeaderChar">
    <w:name w:val="Header Char"/>
    <w:basedOn w:val="DefaultParagraphFont"/>
    <w:link w:val="Header"/>
    <w:uiPriority w:val="99"/>
    <w:rsid w:val="005779FA"/>
  </w:style>
  <w:style w:type="paragraph" w:styleId="Footer">
    <w:name w:val="footer"/>
    <w:basedOn w:val="Normal"/>
    <w:link w:val="FooterChar"/>
    <w:uiPriority w:val="99"/>
    <w:unhideWhenUsed/>
    <w:rsid w:val="005779FA"/>
    <w:pPr>
      <w:tabs>
        <w:tab w:val="center" w:pos="4680"/>
        <w:tab w:val="right" w:pos="9360"/>
      </w:tabs>
    </w:pPr>
  </w:style>
  <w:style w:type="character" w:customStyle="1" w:styleId="FooterChar">
    <w:name w:val="Footer Char"/>
    <w:basedOn w:val="DefaultParagraphFont"/>
    <w:link w:val="Footer"/>
    <w:uiPriority w:val="99"/>
    <w:rsid w:val="005779FA"/>
  </w:style>
  <w:style w:type="character" w:customStyle="1" w:styleId="Heading2Char">
    <w:name w:val="Heading 2 Char"/>
    <w:basedOn w:val="DefaultParagraphFont"/>
    <w:link w:val="Heading2"/>
    <w:uiPriority w:val="9"/>
    <w:rsid w:val="001C0B8C"/>
    <w:rPr>
      <w:rFonts w:eastAsiaTheme="majorEastAsia" w:cs="Arial"/>
      <w:szCs w:val="26"/>
    </w:rPr>
  </w:style>
  <w:style w:type="character" w:customStyle="1" w:styleId="Heading3Char">
    <w:name w:val="Heading 3 Char"/>
    <w:basedOn w:val="DefaultParagraphFont"/>
    <w:link w:val="Heading3"/>
    <w:uiPriority w:val="9"/>
    <w:semiHidden/>
    <w:rsid w:val="001C0B8C"/>
    <w:rPr>
      <w:rFonts w:eastAsiaTheme="majorEastAsia" w:cs="Arial"/>
    </w:rPr>
  </w:style>
  <w:style w:type="character" w:customStyle="1" w:styleId="Heading4Char">
    <w:name w:val="Heading 4 Char"/>
    <w:basedOn w:val="DefaultParagraphFont"/>
    <w:link w:val="Heading4"/>
    <w:uiPriority w:val="9"/>
    <w:semiHidden/>
    <w:rsid w:val="001C0B8C"/>
    <w:rPr>
      <w:rFonts w:eastAsiaTheme="majorEastAsia" w:cs="Arial"/>
      <w:iCs/>
    </w:rPr>
  </w:style>
  <w:style w:type="character" w:customStyle="1" w:styleId="Heading5Char">
    <w:name w:val="Heading 5 Char"/>
    <w:basedOn w:val="DefaultParagraphFont"/>
    <w:link w:val="Heading5"/>
    <w:uiPriority w:val="9"/>
    <w:semiHidden/>
    <w:rsid w:val="001C0B8C"/>
    <w:rPr>
      <w:rFonts w:eastAsiaTheme="majorEastAsia" w:cs="Arial"/>
    </w:rPr>
  </w:style>
  <w:style w:type="character" w:customStyle="1" w:styleId="Heading6Char">
    <w:name w:val="Heading 6 Char"/>
    <w:basedOn w:val="DefaultParagraphFont"/>
    <w:link w:val="Heading6"/>
    <w:uiPriority w:val="9"/>
    <w:semiHidden/>
    <w:rsid w:val="001C0B8C"/>
    <w:rPr>
      <w:rFonts w:eastAsiaTheme="majorEastAsia" w:cs="Arial"/>
    </w:rPr>
  </w:style>
  <w:style w:type="character" w:customStyle="1" w:styleId="Heading7Char">
    <w:name w:val="Heading 7 Char"/>
    <w:basedOn w:val="DefaultParagraphFont"/>
    <w:link w:val="Heading7"/>
    <w:uiPriority w:val="9"/>
    <w:semiHidden/>
    <w:rsid w:val="001C0B8C"/>
    <w:rPr>
      <w:rFonts w:eastAsiaTheme="majorEastAsia" w:cs="Arial"/>
      <w:iCs/>
    </w:rPr>
  </w:style>
  <w:style w:type="character" w:customStyle="1" w:styleId="Heading8Char">
    <w:name w:val="Heading 8 Char"/>
    <w:basedOn w:val="DefaultParagraphFont"/>
    <w:link w:val="Heading8"/>
    <w:uiPriority w:val="9"/>
    <w:semiHidden/>
    <w:rsid w:val="001C0B8C"/>
    <w:rPr>
      <w:rFonts w:eastAsiaTheme="majorEastAsia" w:cs="Arial"/>
      <w:szCs w:val="21"/>
    </w:rPr>
  </w:style>
  <w:style w:type="character" w:customStyle="1" w:styleId="Heading9Char">
    <w:name w:val="Heading 9 Char"/>
    <w:basedOn w:val="DefaultParagraphFont"/>
    <w:link w:val="Heading9"/>
    <w:uiPriority w:val="9"/>
    <w:semiHidden/>
    <w:rsid w:val="001C0B8C"/>
    <w:rPr>
      <w:rFonts w:eastAsiaTheme="majorEastAsia" w:cs="Arial"/>
      <w:iCs/>
      <w:szCs w:val="21"/>
    </w:rPr>
  </w:style>
  <w:style w:type="paragraph" w:styleId="BodyText">
    <w:name w:val="Body Text"/>
    <w:basedOn w:val="Normal"/>
    <w:link w:val="BodyTextChar"/>
    <w:uiPriority w:val="99"/>
    <w:semiHidden/>
    <w:unhideWhenUsed/>
    <w:rsid w:val="001C0B8C"/>
    <w:pPr>
      <w:spacing w:after="120"/>
    </w:pPr>
  </w:style>
  <w:style w:type="character" w:customStyle="1" w:styleId="BodyTextChar">
    <w:name w:val="Body Text Char"/>
    <w:basedOn w:val="DefaultParagraphFont"/>
    <w:link w:val="BodyText"/>
    <w:uiPriority w:val="99"/>
    <w:semiHidden/>
    <w:rsid w:val="001C0B8C"/>
  </w:style>
  <w:style w:type="character" w:customStyle="1" w:styleId="ssit1">
    <w:name w:val="ss_it1"/>
    <w:basedOn w:val="DefaultParagraphFont"/>
    <w:rsid w:val="00CE7BD6"/>
    <w:rPr>
      <w:i/>
      <w:iCs/>
    </w:rPr>
  </w:style>
  <w:style w:type="character" w:styleId="CommentReference">
    <w:name w:val="annotation reference"/>
    <w:basedOn w:val="DefaultParagraphFont"/>
    <w:uiPriority w:val="99"/>
    <w:semiHidden/>
    <w:unhideWhenUsed/>
    <w:rsid w:val="00305E51"/>
    <w:rPr>
      <w:sz w:val="16"/>
      <w:szCs w:val="16"/>
    </w:rPr>
  </w:style>
  <w:style w:type="paragraph" w:styleId="CommentText">
    <w:name w:val="annotation text"/>
    <w:basedOn w:val="Normal"/>
    <w:link w:val="CommentTextChar"/>
    <w:uiPriority w:val="99"/>
    <w:semiHidden/>
    <w:unhideWhenUsed/>
    <w:rsid w:val="00305E51"/>
    <w:rPr>
      <w:sz w:val="20"/>
      <w:szCs w:val="20"/>
    </w:rPr>
  </w:style>
  <w:style w:type="character" w:customStyle="1" w:styleId="CommentTextChar">
    <w:name w:val="Comment Text Char"/>
    <w:basedOn w:val="DefaultParagraphFont"/>
    <w:link w:val="CommentText"/>
    <w:uiPriority w:val="99"/>
    <w:semiHidden/>
    <w:rsid w:val="00305E51"/>
    <w:rPr>
      <w:sz w:val="20"/>
      <w:szCs w:val="20"/>
    </w:rPr>
  </w:style>
  <w:style w:type="paragraph" w:styleId="CommentSubject">
    <w:name w:val="annotation subject"/>
    <w:basedOn w:val="CommentText"/>
    <w:next w:val="CommentText"/>
    <w:link w:val="CommentSubjectChar"/>
    <w:uiPriority w:val="99"/>
    <w:semiHidden/>
    <w:unhideWhenUsed/>
    <w:rsid w:val="00305E51"/>
    <w:rPr>
      <w:b/>
      <w:bCs/>
    </w:rPr>
  </w:style>
  <w:style w:type="character" w:customStyle="1" w:styleId="CommentSubjectChar">
    <w:name w:val="Comment Subject Char"/>
    <w:basedOn w:val="CommentTextChar"/>
    <w:link w:val="CommentSubject"/>
    <w:uiPriority w:val="99"/>
    <w:semiHidden/>
    <w:rsid w:val="00305E51"/>
    <w:rPr>
      <w:b/>
      <w:bCs/>
      <w:sz w:val="20"/>
      <w:szCs w:val="20"/>
    </w:rPr>
  </w:style>
  <w:style w:type="paragraph" w:styleId="BalloonText">
    <w:name w:val="Balloon Text"/>
    <w:basedOn w:val="Normal"/>
    <w:link w:val="BalloonTextChar"/>
    <w:uiPriority w:val="99"/>
    <w:semiHidden/>
    <w:unhideWhenUsed/>
    <w:rsid w:val="00305E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51"/>
    <w:rPr>
      <w:rFonts w:ascii="Segoe UI" w:hAnsi="Segoe UI" w:cs="Segoe UI"/>
      <w:sz w:val="18"/>
      <w:szCs w:val="18"/>
    </w:rPr>
  </w:style>
  <w:style w:type="character" w:styleId="Hyperlink">
    <w:name w:val="Hyperlink"/>
    <w:basedOn w:val="DefaultParagraphFont"/>
    <w:uiPriority w:val="99"/>
    <w:unhideWhenUsed/>
    <w:rsid w:val="006917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9091">
      <w:bodyDiv w:val="1"/>
      <w:marLeft w:val="0"/>
      <w:marRight w:val="0"/>
      <w:marTop w:val="0"/>
      <w:marBottom w:val="0"/>
      <w:divBdr>
        <w:top w:val="none" w:sz="0" w:space="0" w:color="auto"/>
        <w:left w:val="none" w:sz="0" w:space="0" w:color="auto"/>
        <w:bottom w:val="none" w:sz="0" w:space="0" w:color="auto"/>
        <w:right w:val="none" w:sz="0" w:space="0" w:color="auto"/>
      </w:divBdr>
    </w:div>
    <w:div w:id="399837550">
      <w:bodyDiv w:val="1"/>
      <w:marLeft w:val="0"/>
      <w:marRight w:val="0"/>
      <w:marTop w:val="0"/>
      <w:marBottom w:val="0"/>
      <w:divBdr>
        <w:top w:val="none" w:sz="0" w:space="0" w:color="auto"/>
        <w:left w:val="none" w:sz="0" w:space="0" w:color="auto"/>
        <w:bottom w:val="none" w:sz="0" w:space="0" w:color="auto"/>
        <w:right w:val="none" w:sz="0" w:space="0" w:color="auto"/>
      </w:divBdr>
    </w:div>
    <w:div w:id="193994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mailto:mjsatterwhite@aep.com" TargetMode="External"/><Relationship Id="rId3" Type="http://schemas.openxmlformats.org/officeDocument/2006/relationships/styles" Target="styles.xml"/><Relationship Id="rId21" Type="http://schemas.openxmlformats.org/officeDocument/2006/relationships/hyperlink" Target="mailto:Michael.schuler@occ.ohio.go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mailto:stnourse@aep.com" TargetMode="External"/><Relationship Id="rId33" Type="http://schemas.openxmlformats.org/officeDocument/2006/relationships/hyperlink" Target="mailto:Bryce.mckenney@puc.state.oh.us"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mhpetricoff@vorys.com" TargetMode="External"/><Relationship Id="rId29" Type="http://schemas.openxmlformats.org/officeDocument/2006/relationships/hyperlink" Target="mailto:slesser@calfe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cmooney@ohiopartners.org" TargetMode="External"/><Relationship Id="rId32" Type="http://schemas.openxmlformats.org/officeDocument/2006/relationships/hyperlink" Target="mailto:William.wright@puc.state.oh.us"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Bojko@carpenterlipps.com" TargetMode="External"/><Relationship Id="rId28" Type="http://schemas.openxmlformats.org/officeDocument/2006/relationships/hyperlink" Target="mailto:dborchers@bricker.com"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mailto:Randall.Griffin@aes.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Jodi.bair@occ.ohio.gov" TargetMode="External"/><Relationship Id="rId27" Type="http://schemas.openxmlformats.org/officeDocument/2006/relationships/hyperlink" Target="mailto:msmckenzie@aep.com" TargetMode="External"/><Relationship Id="rId30" Type="http://schemas.openxmlformats.org/officeDocument/2006/relationships/hyperlink" Target="mailto:mcorbett@calfee.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43A2B-2F0B-4397-BCDA-545E87C2F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1156</TotalTime>
  <Pages>14</Pages>
  <Words>3102</Words>
  <Characters>17465</Characters>
  <Application>Microsoft Office Word</Application>
  <DocSecurity>0</DocSecurity>
  <PresentationFormat/>
  <Lines>445</Lines>
  <Paragraphs>172</Paragraphs>
  <ScaleCrop>false</ScaleCrop>
  <HeadingPairs>
    <vt:vector size="2" baseType="variant">
      <vt:variant>
        <vt:lpstr>Title</vt:lpstr>
      </vt:variant>
      <vt:variant>
        <vt:i4>1</vt:i4>
      </vt:variant>
    </vt:vector>
  </HeadingPairs>
  <TitlesOfParts>
    <vt:vector size="1" baseType="lpstr">
      <vt:lpstr>submetering initial comments (C49061).DOCX</vt:lpstr>
    </vt:vector>
  </TitlesOfParts>
  <Company>Some Company, Inc.</Company>
  <LinksUpToDate>false</LinksUpToDate>
  <CharactersWithSpaces>20547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submetering initial comments (C49061).DOCX</dc:title>
  <dc:subject>C49061: /font=8</dc:subject>
  <dc:creator>Frank Darr</dc:creator>
  <cp:keywords/>
  <dc:description/>
  <cp:lastModifiedBy>Vicki Leach-Payne</cp:lastModifiedBy>
  <cp:revision>55</cp:revision>
  <cp:lastPrinted>2016-01-19T13:50:00Z</cp:lastPrinted>
  <dcterms:created xsi:type="dcterms:W3CDTF">2015-12-28T17:49:00Z</dcterms:created>
  <dcterms:modified xsi:type="dcterms:W3CDTF">2016-01-21T20:23:00Z</dcterms:modified>
</cp:coreProperties>
</file>