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83744" w:rsidRPr="008C4285" w14:paraId="08A7F070" w14:textId="627CA1FC">
      <w:pPr>
        <w:pStyle w:val="List"/>
        <w:ind w:left="0" w:firstLine="0"/>
        <w:jc w:val="center"/>
        <w:rPr>
          <w:b/>
          <w:szCs w:val="24"/>
        </w:rPr>
      </w:pPr>
      <w:r w:rsidRPr="008C4285">
        <w:rPr>
          <w:b/>
          <w:szCs w:val="24"/>
        </w:rPr>
        <w:t>BEFORE</w:t>
      </w:r>
    </w:p>
    <w:p w:rsidR="00983744" w:rsidRPr="008C4285" w14:paraId="2DBF9E27" w14:textId="77777777">
      <w:pPr>
        <w:pStyle w:val="List"/>
        <w:ind w:left="0" w:firstLine="0"/>
        <w:jc w:val="center"/>
        <w:rPr>
          <w:szCs w:val="24"/>
        </w:rPr>
      </w:pPr>
      <w:r w:rsidRPr="008C4285">
        <w:rPr>
          <w:b/>
          <w:szCs w:val="24"/>
        </w:rPr>
        <w:t>THE PUBLIC UTILITIES COMMISSION OF OHIO</w:t>
      </w:r>
    </w:p>
    <w:p w:rsidR="00983744" w:rsidRPr="008C4285" w14:paraId="2B23111D" w14:textId="77777777">
      <w:pPr>
        <w:pStyle w:val="HTMLPreformatted"/>
        <w:rPr>
          <w:rFonts w:ascii="Times New Roman" w:hAnsi="Times New Roman" w:cs="Times New Roman"/>
          <w:sz w:val="24"/>
          <w:szCs w:val="24"/>
        </w:rPr>
      </w:pPr>
    </w:p>
    <w:tbl>
      <w:tblPr>
        <w:tblW w:w="8838" w:type="dxa"/>
        <w:tblLook w:val="01E0"/>
      </w:tblPr>
      <w:tblGrid>
        <w:gridCol w:w="4230"/>
        <w:gridCol w:w="540"/>
        <w:gridCol w:w="4068"/>
      </w:tblGrid>
      <w:tr w14:paraId="4FB5128F" w14:textId="77777777" w:rsidTr="00B162F3">
        <w:tblPrEx>
          <w:tblW w:w="8838" w:type="dxa"/>
          <w:tblLook w:val="01E0"/>
        </w:tblPrEx>
        <w:trPr>
          <w:trHeight w:val="807"/>
        </w:trPr>
        <w:tc>
          <w:tcPr>
            <w:tcW w:w="4230" w:type="dxa"/>
            <w:shd w:val="clear" w:color="auto" w:fill="auto"/>
          </w:tcPr>
          <w:p w:rsidR="00983744" w:rsidRPr="008C4285" w14:paraId="7B54624B" w14:textId="77777777">
            <w:pPr>
              <w:autoSpaceDE w:val="0"/>
              <w:autoSpaceDN w:val="0"/>
              <w:adjustRightInd w:val="0"/>
              <w:rPr>
                <w:sz w:val="24"/>
                <w:szCs w:val="24"/>
              </w:rPr>
            </w:pPr>
            <w:r w:rsidRPr="008C4285">
              <w:rPr>
                <w:sz w:val="24"/>
                <w:szCs w:val="24"/>
              </w:rPr>
              <w:t>In the Matter of the Certification of Northeast Ohio Public Energy Council as a Governmental Aggregator.</w:t>
            </w:r>
          </w:p>
        </w:tc>
        <w:tc>
          <w:tcPr>
            <w:tcW w:w="540" w:type="dxa"/>
            <w:shd w:val="clear" w:color="auto" w:fill="auto"/>
          </w:tcPr>
          <w:p w:rsidR="00983744" w:rsidRPr="008C4285" w14:paraId="6F4BD28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8C4285">
              <w:rPr>
                <w:rFonts w:eastAsia="Courier New"/>
                <w:sz w:val="24"/>
                <w:szCs w:val="24"/>
              </w:rPr>
              <w:t>)</w:t>
            </w:r>
          </w:p>
          <w:p w:rsidR="00983744" w:rsidRPr="008C4285" w14:paraId="4AD7710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8C4285">
              <w:rPr>
                <w:rFonts w:eastAsia="Courier New"/>
                <w:sz w:val="24"/>
                <w:szCs w:val="24"/>
              </w:rPr>
              <w:t>)</w:t>
            </w:r>
          </w:p>
          <w:p w:rsidR="00983744" w:rsidRPr="008C4285" w14:paraId="4619305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8C4285">
              <w:rPr>
                <w:rFonts w:eastAsia="Courier New"/>
                <w:sz w:val="24"/>
                <w:szCs w:val="24"/>
              </w:rPr>
              <w:t>)</w:t>
            </w:r>
          </w:p>
        </w:tc>
        <w:tc>
          <w:tcPr>
            <w:tcW w:w="4068" w:type="dxa"/>
            <w:shd w:val="clear" w:color="auto" w:fill="auto"/>
          </w:tcPr>
          <w:p w:rsidR="00983744" w:rsidRPr="008C4285" w14:paraId="4F5FE53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983744" w:rsidRPr="008C4285" w14:paraId="2CE9AC5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8C4285">
              <w:rPr>
                <w:rFonts w:eastAsia="Courier New"/>
                <w:sz w:val="24"/>
                <w:szCs w:val="24"/>
              </w:rPr>
              <w:t>Case No. 00-2317-EL-GAG</w:t>
            </w:r>
          </w:p>
          <w:p w:rsidR="00983744" w:rsidRPr="008C4285" w14:paraId="1B84C63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tc>
      </w:tr>
    </w:tbl>
    <w:p w:rsidR="00983744" w:rsidRPr="008C4285" w14:paraId="2605AB40" w14:textId="77777777">
      <w:pPr>
        <w:widowControl w:val="0"/>
        <w:pBdr>
          <w:bottom w:val="single" w:sz="12" w:space="1" w:color="auto"/>
        </w:pBdr>
        <w:autoSpaceDE w:val="0"/>
        <w:autoSpaceDN w:val="0"/>
        <w:adjustRightInd w:val="0"/>
        <w:rPr>
          <w:b/>
          <w:sz w:val="24"/>
          <w:szCs w:val="24"/>
        </w:rPr>
      </w:pPr>
    </w:p>
    <w:p w:rsidR="00983744" w:rsidRPr="008C4285" w14:paraId="428771BE" w14:textId="77777777">
      <w:pPr>
        <w:widowControl w:val="0"/>
        <w:autoSpaceDE w:val="0"/>
        <w:autoSpaceDN w:val="0"/>
        <w:adjustRightInd w:val="0"/>
        <w:rPr>
          <w:b/>
          <w:sz w:val="24"/>
          <w:szCs w:val="24"/>
        </w:rPr>
      </w:pPr>
    </w:p>
    <w:p w:rsidR="006204BD" w:rsidRPr="008C4285" w14:paraId="4FEAEF70" w14:textId="46423D1E">
      <w:pPr>
        <w:widowControl w:val="0"/>
        <w:pBdr>
          <w:bottom w:val="single" w:sz="12" w:space="1" w:color="auto"/>
        </w:pBdr>
        <w:autoSpaceDE w:val="0"/>
        <w:autoSpaceDN w:val="0"/>
        <w:adjustRightInd w:val="0"/>
        <w:jc w:val="center"/>
        <w:rPr>
          <w:b/>
          <w:sz w:val="24"/>
          <w:szCs w:val="24"/>
        </w:rPr>
      </w:pPr>
      <w:bookmarkStart w:id="0" w:name="_Hlk130809126"/>
      <w:bookmarkStart w:id="1" w:name="_Hlk130999281"/>
      <w:r w:rsidRPr="008C4285">
        <w:rPr>
          <w:b/>
          <w:sz w:val="24"/>
          <w:szCs w:val="24"/>
        </w:rPr>
        <w:t xml:space="preserve">REPLY </w:t>
      </w:r>
      <w:r w:rsidRPr="008C4285">
        <w:rPr>
          <w:b/>
          <w:sz w:val="24"/>
          <w:szCs w:val="24"/>
        </w:rPr>
        <w:t>TO</w:t>
      </w:r>
      <w:r w:rsidRPr="008C4285" w:rsidR="00B162F3">
        <w:rPr>
          <w:b/>
          <w:sz w:val="24"/>
          <w:szCs w:val="24"/>
        </w:rPr>
        <w:t xml:space="preserve"> </w:t>
      </w:r>
      <w:r w:rsidRPr="008C4285">
        <w:rPr>
          <w:b/>
          <w:sz w:val="24"/>
          <w:szCs w:val="24"/>
        </w:rPr>
        <w:t>DYNEGY’S MEMORANDUM CONTRA OCC’S MOTION FOR LEAVE TO FILE MEMORANDUM CONTRA TO DYNEGY'S OBJECTIONS</w:t>
      </w:r>
    </w:p>
    <w:bookmarkEnd w:id="0"/>
    <w:p w:rsidR="00983744" w:rsidRPr="008C4285" w14:paraId="26692437" w14:textId="77777777">
      <w:pPr>
        <w:widowControl w:val="0"/>
        <w:pBdr>
          <w:bottom w:val="single" w:sz="12" w:space="1" w:color="auto"/>
        </w:pBdr>
        <w:autoSpaceDE w:val="0"/>
        <w:autoSpaceDN w:val="0"/>
        <w:adjustRightInd w:val="0"/>
        <w:jc w:val="center"/>
        <w:rPr>
          <w:b/>
          <w:sz w:val="24"/>
          <w:szCs w:val="24"/>
        </w:rPr>
      </w:pPr>
      <w:r w:rsidRPr="008C4285">
        <w:rPr>
          <w:b/>
          <w:sz w:val="24"/>
          <w:szCs w:val="24"/>
        </w:rPr>
        <w:t>BY</w:t>
      </w:r>
    </w:p>
    <w:p w:rsidR="00983744" w:rsidRPr="008C4285" w14:paraId="2A9F21EE" w14:textId="77777777">
      <w:pPr>
        <w:widowControl w:val="0"/>
        <w:pBdr>
          <w:bottom w:val="single" w:sz="12" w:space="1" w:color="auto"/>
        </w:pBdr>
        <w:autoSpaceDE w:val="0"/>
        <w:autoSpaceDN w:val="0"/>
        <w:adjustRightInd w:val="0"/>
        <w:jc w:val="center"/>
        <w:rPr>
          <w:b/>
          <w:sz w:val="24"/>
          <w:szCs w:val="24"/>
        </w:rPr>
      </w:pPr>
      <w:r w:rsidRPr="008C4285">
        <w:rPr>
          <w:b/>
          <w:sz w:val="24"/>
          <w:szCs w:val="24"/>
        </w:rPr>
        <w:t>OFFICE OF THE OHIO CONSUMERS’ COUNSEL</w:t>
      </w:r>
    </w:p>
    <w:bookmarkEnd w:id="1"/>
    <w:p w:rsidR="00983744" w:rsidRPr="008C4285" w14:paraId="35E57A08" w14:textId="77777777">
      <w:pPr>
        <w:widowControl w:val="0"/>
        <w:pBdr>
          <w:bottom w:val="single" w:sz="12" w:space="1" w:color="auto"/>
        </w:pBdr>
        <w:autoSpaceDE w:val="0"/>
        <w:autoSpaceDN w:val="0"/>
        <w:adjustRightInd w:val="0"/>
        <w:jc w:val="center"/>
        <w:rPr>
          <w:b/>
          <w:sz w:val="24"/>
          <w:szCs w:val="24"/>
        </w:rPr>
      </w:pPr>
    </w:p>
    <w:p w:rsidR="00983744" w:rsidRPr="008C4285" w14:paraId="3F876531" w14:textId="77777777">
      <w:pPr>
        <w:rPr>
          <w:sz w:val="24"/>
          <w:szCs w:val="24"/>
        </w:rPr>
      </w:pPr>
    </w:p>
    <w:p w:rsidR="000B3542" w:rsidRPr="008C4285" w:rsidP="005B72BB" w14:paraId="2BDECEF4" w14:textId="2C51090C">
      <w:pPr>
        <w:pStyle w:val="Heading1"/>
      </w:pPr>
      <w:r w:rsidRPr="008C4285">
        <w:t>INTRODUCTION</w:t>
      </w:r>
    </w:p>
    <w:p w:rsidR="00D43416" w:rsidRPr="008C4285" w:rsidP="002D7E0C" w14:paraId="13D5A5C0" w14:textId="44751BE4">
      <w:pPr>
        <w:spacing w:line="480" w:lineRule="auto"/>
        <w:ind w:firstLine="720"/>
        <w:rPr>
          <w:sz w:val="24"/>
          <w:szCs w:val="24"/>
        </w:rPr>
      </w:pPr>
      <w:r w:rsidRPr="008C4285">
        <w:rPr>
          <w:sz w:val="24"/>
          <w:szCs w:val="24"/>
        </w:rPr>
        <w:t xml:space="preserve">On March 24, 2023, </w:t>
      </w:r>
      <w:r w:rsidRPr="008C4285" w:rsidR="00D56215">
        <w:rPr>
          <w:sz w:val="24"/>
          <w:szCs w:val="24"/>
        </w:rPr>
        <w:t>it was announced</w:t>
      </w:r>
      <w:r w:rsidRPr="008C4285">
        <w:rPr>
          <w:sz w:val="24"/>
          <w:szCs w:val="24"/>
        </w:rPr>
        <w:t xml:space="preserve"> by NOPEC</w:t>
      </w:r>
      <w:r w:rsidRPr="008C4285" w:rsidR="00D56215">
        <w:rPr>
          <w:sz w:val="24"/>
          <w:szCs w:val="24"/>
        </w:rPr>
        <w:t xml:space="preserve"> that many consumers in communities</w:t>
      </w:r>
      <w:r w:rsidRPr="008C4285">
        <w:rPr>
          <w:sz w:val="24"/>
          <w:szCs w:val="24"/>
        </w:rPr>
        <w:t xml:space="preserve"> where it serves</w:t>
      </w:r>
      <w:r w:rsidRPr="008C4285" w:rsidR="00D56215">
        <w:rPr>
          <w:sz w:val="24"/>
          <w:szCs w:val="24"/>
        </w:rPr>
        <w:t xml:space="preserve"> will benefit from electricity prices that are dramatically </w:t>
      </w:r>
      <w:r w:rsidRPr="008C4285" w:rsidR="00A23FE8">
        <w:rPr>
          <w:sz w:val="24"/>
          <w:szCs w:val="24"/>
        </w:rPr>
        <w:t>lower than</w:t>
      </w:r>
      <w:r w:rsidRPr="008C4285" w:rsidR="00D56215">
        <w:rPr>
          <w:sz w:val="24"/>
          <w:szCs w:val="24"/>
        </w:rPr>
        <w:t xml:space="preserve"> the expected standard offers of FirstEnergy and AEP.</w:t>
      </w:r>
      <w:r>
        <w:rPr>
          <w:rStyle w:val="FootnoteReference"/>
          <w:sz w:val="24"/>
          <w:szCs w:val="24"/>
        </w:rPr>
        <w:footnoteReference w:id="2"/>
      </w:r>
      <w:r w:rsidRPr="008C4285" w:rsidR="00D56215">
        <w:rPr>
          <w:sz w:val="24"/>
          <w:szCs w:val="24"/>
        </w:rPr>
        <w:t xml:space="preserve"> </w:t>
      </w:r>
      <w:r w:rsidRPr="008C4285" w:rsidR="0061629F">
        <w:rPr>
          <w:sz w:val="24"/>
          <w:szCs w:val="24"/>
        </w:rPr>
        <w:t xml:space="preserve">This significant benefit for hundreds of thousands of Ohio electric consumers is what Dynegy </w:t>
      </w:r>
      <w:r w:rsidRPr="008C4285" w:rsidR="00580991">
        <w:rPr>
          <w:sz w:val="24"/>
          <w:szCs w:val="24"/>
        </w:rPr>
        <w:t xml:space="preserve">wrongly </w:t>
      </w:r>
      <w:r w:rsidRPr="008C4285" w:rsidR="0061629F">
        <w:rPr>
          <w:sz w:val="24"/>
          <w:szCs w:val="24"/>
        </w:rPr>
        <w:t xml:space="preserve">tried to convince the PUCO to </w:t>
      </w:r>
      <w:r w:rsidRPr="008C4285" w:rsidR="00F56BAF">
        <w:rPr>
          <w:sz w:val="24"/>
          <w:szCs w:val="24"/>
        </w:rPr>
        <w:t>deny</w:t>
      </w:r>
      <w:r w:rsidRPr="008C4285" w:rsidR="00A23FE8">
        <w:rPr>
          <w:sz w:val="24"/>
          <w:szCs w:val="24"/>
        </w:rPr>
        <w:t xml:space="preserve"> them</w:t>
      </w:r>
      <w:r w:rsidRPr="008C4285" w:rsidR="0061629F">
        <w:rPr>
          <w:sz w:val="24"/>
          <w:szCs w:val="24"/>
        </w:rPr>
        <w:t xml:space="preserve">. </w:t>
      </w:r>
      <w:r w:rsidRPr="008C4285" w:rsidR="00F56BAF">
        <w:rPr>
          <w:sz w:val="24"/>
          <w:szCs w:val="24"/>
        </w:rPr>
        <w:t>Shame on Dynegy.</w:t>
      </w:r>
      <w:r w:rsidRPr="008C4285" w:rsidR="00D56215">
        <w:rPr>
          <w:sz w:val="24"/>
          <w:szCs w:val="24"/>
        </w:rPr>
        <w:t xml:space="preserve"> </w:t>
      </w:r>
    </w:p>
    <w:p w:rsidR="00B4517D" w:rsidRPr="008C4285" w:rsidP="002D7E0C" w14:paraId="6151E811" w14:textId="126D3085">
      <w:pPr>
        <w:spacing w:line="480" w:lineRule="auto"/>
        <w:ind w:firstLine="720"/>
        <w:rPr>
          <w:sz w:val="24"/>
          <w:szCs w:val="24"/>
        </w:rPr>
      </w:pPr>
      <w:r w:rsidRPr="008C4285">
        <w:rPr>
          <w:sz w:val="24"/>
          <w:szCs w:val="24"/>
        </w:rPr>
        <w:t>Dynegy’s</w:t>
      </w:r>
      <w:r w:rsidRPr="008C4285" w:rsidR="00760C83">
        <w:rPr>
          <w:sz w:val="24"/>
          <w:szCs w:val="24"/>
        </w:rPr>
        <w:t xml:space="preserve"> attack against NOPEC sought to use the government (PUCO), instead of the market, for competitive gain. That was anti-market, not pro-market. By law, Ohio is a pro-market state for </w:t>
      </w:r>
      <w:r w:rsidRPr="008C4285" w:rsidR="00E12130">
        <w:rPr>
          <w:sz w:val="24"/>
          <w:szCs w:val="24"/>
        </w:rPr>
        <w:t>electricity</w:t>
      </w:r>
      <w:r w:rsidRPr="008C4285" w:rsidR="00760C83">
        <w:rPr>
          <w:sz w:val="24"/>
          <w:szCs w:val="24"/>
        </w:rPr>
        <w:t>.</w:t>
      </w:r>
      <w:r>
        <w:rPr>
          <w:rStyle w:val="FootnoteReference"/>
          <w:sz w:val="24"/>
          <w:szCs w:val="24"/>
        </w:rPr>
        <w:footnoteReference w:id="3"/>
      </w:r>
      <w:r w:rsidR="008C4285">
        <w:rPr>
          <w:sz w:val="24"/>
          <w:szCs w:val="24"/>
        </w:rPr>
        <w:t xml:space="preserve"> </w:t>
      </w:r>
    </w:p>
    <w:p w:rsidR="00812829" w:rsidRPr="008C4285" w:rsidP="002D7E0C" w14:paraId="67A3F06E" w14:textId="2E4CBADA">
      <w:pPr>
        <w:spacing w:line="480" w:lineRule="auto"/>
        <w:ind w:firstLine="720"/>
        <w:rPr>
          <w:sz w:val="24"/>
          <w:szCs w:val="24"/>
        </w:rPr>
      </w:pPr>
      <w:r w:rsidRPr="008C4285">
        <w:rPr>
          <w:sz w:val="24"/>
          <w:szCs w:val="24"/>
        </w:rPr>
        <w:t>Then, just before the PUCO rendered its decision on Dynegy’s protracted litigation</w:t>
      </w:r>
      <w:r w:rsidRPr="008C4285" w:rsidR="00B4517D">
        <w:rPr>
          <w:sz w:val="24"/>
          <w:szCs w:val="24"/>
        </w:rPr>
        <w:t xml:space="preserve"> against NOPEC</w:t>
      </w:r>
      <w:r w:rsidRPr="008C4285">
        <w:rPr>
          <w:sz w:val="24"/>
          <w:szCs w:val="24"/>
        </w:rPr>
        <w:t xml:space="preserve">, </w:t>
      </w:r>
      <w:r w:rsidRPr="008C4285" w:rsidR="00B4517D">
        <w:rPr>
          <w:sz w:val="24"/>
          <w:szCs w:val="24"/>
        </w:rPr>
        <w:t>it was</w:t>
      </w:r>
      <w:r w:rsidRPr="008C4285">
        <w:rPr>
          <w:sz w:val="24"/>
          <w:szCs w:val="24"/>
        </w:rPr>
        <w:t xml:space="preserve"> </w:t>
      </w:r>
      <w:r w:rsidRPr="008C4285" w:rsidR="00B4517D">
        <w:rPr>
          <w:sz w:val="24"/>
          <w:szCs w:val="24"/>
        </w:rPr>
        <w:t>announced</w:t>
      </w:r>
      <w:r w:rsidRPr="008C4285">
        <w:rPr>
          <w:sz w:val="24"/>
          <w:szCs w:val="24"/>
        </w:rPr>
        <w:t xml:space="preserve"> that </w:t>
      </w:r>
      <w:r w:rsidRPr="008C4285" w:rsidR="008C049B">
        <w:rPr>
          <w:sz w:val="24"/>
          <w:szCs w:val="24"/>
        </w:rPr>
        <w:t>Vistra/Dynegy</w:t>
      </w:r>
      <w:r w:rsidRPr="008C4285" w:rsidR="00B4517D">
        <w:rPr>
          <w:sz w:val="24"/>
          <w:szCs w:val="24"/>
        </w:rPr>
        <w:t xml:space="preserve"> intends to </w:t>
      </w:r>
      <w:r w:rsidRPr="008C4285" w:rsidR="008C049B">
        <w:rPr>
          <w:sz w:val="24"/>
          <w:szCs w:val="24"/>
        </w:rPr>
        <w:t>acqui</w:t>
      </w:r>
      <w:r w:rsidRPr="008C4285" w:rsidR="00B4517D">
        <w:rPr>
          <w:sz w:val="24"/>
          <w:szCs w:val="24"/>
        </w:rPr>
        <w:t>re</w:t>
      </w:r>
      <w:r w:rsidRPr="008C4285" w:rsidR="008C049B">
        <w:rPr>
          <w:sz w:val="24"/>
          <w:szCs w:val="24"/>
        </w:rPr>
        <w:t xml:space="preserve"> </w:t>
      </w:r>
      <w:r w:rsidRPr="008C4285" w:rsidR="00B4517D">
        <w:rPr>
          <w:sz w:val="24"/>
          <w:szCs w:val="24"/>
        </w:rPr>
        <w:t>a major</w:t>
      </w:r>
      <w:r w:rsidRPr="008C4285" w:rsidR="008C049B">
        <w:rPr>
          <w:sz w:val="24"/>
          <w:szCs w:val="24"/>
        </w:rPr>
        <w:t xml:space="preserve"> competitor, Energy Harbor</w:t>
      </w:r>
      <w:r w:rsidRPr="008C4285" w:rsidR="00B4517D">
        <w:rPr>
          <w:sz w:val="24"/>
          <w:szCs w:val="24"/>
        </w:rPr>
        <w:t xml:space="preserve"> (the company holding the nuclear plants that were a subject of tainted House Bill 6). That acquisition would</w:t>
      </w:r>
      <w:r w:rsidRPr="008C4285" w:rsidR="008C049B">
        <w:rPr>
          <w:sz w:val="24"/>
          <w:szCs w:val="24"/>
        </w:rPr>
        <w:t xml:space="preserve"> reduce the already limited number of competing suppliers </w:t>
      </w:r>
      <w:r w:rsidRPr="008C4285" w:rsidR="00B4517D">
        <w:rPr>
          <w:sz w:val="24"/>
          <w:szCs w:val="24"/>
        </w:rPr>
        <w:t>for</w:t>
      </w:r>
      <w:r w:rsidRPr="008C4285" w:rsidR="008C049B">
        <w:rPr>
          <w:sz w:val="24"/>
          <w:szCs w:val="24"/>
        </w:rPr>
        <w:t xml:space="preserve"> </w:t>
      </w:r>
      <w:r w:rsidRPr="008C4285" w:rsidR="00B4517D">
        <w:rPr>
          <w:sz w:val="24"/>
          <w:szCs w:val="24"/>
        </w:rPr>
        <w:t xml:space="preserve">electric </w:t>
      </w:r>
      <w:r w:rsidRPr="008C4285" w:rsidR="000E2AC5">
        <w:rPr>
          <w:sz w:val="24"/>
          <w:szCs w:val="24"/>
        </w:rPr>
        <w:t>aggregations</w:t>
      </w:r>
      <w:r w:rsidRPr="008C4285" w:rsidR="008C049B">
        <w:rPr>
          <w:sz w:val="24"/>
          <w:szCs w:val="24"/>
        </w:rPr>
        <w:t xml:space="preserve"> in northern Ohio (if not in the </w:t>
      </w:r>
      <w:r w:rsidRPr="008C4285" w:rsidR="008C049B">
        <w:rPr>
          <w:sz w:val="24"/>
          <w:szCs w:val="24"/>
        </w:rPr>
        <w:t>entire state of Ohio)</w:t>
      </w:r>
      <w:r w:rsidRPr="008C4285" w:rsidR="00FF4667">
        <w:rPr>
          <w:sz w:val="24"/>
          <w:szCs w:val="24"/>
        </w:rPr>
        <w:t>.</w:t>
      </w:r>
      <w:r w:rsidRPr="008C4285" w:rsidR="00D41847">
        <w:rPr>
          <w:sz w:val="24"/>
          <w:szCs w:val="24"/>
        </w:rPr>
        <w:t xml:space="preserve"> </w:t>
      </w:r>
      <w:r w:rsidRPr="008C4285" w:rsidR="00B4517D">
        <w:rPr>
          <w:sz w:val="24"/>
          <w:szCs w:val="24"/>
        </w:rPr>
        <w:t>The limiting of competition for consumers in the acquisition of Energy Harbor would have been greatly exacerbated by preventing NOPEC’s operations for consumers. All this was at a time of soaring energy prices for Ohioans.</w:t>
      </w:r>
    </w:p>
    <w:p w:rsidR="005B72BB" w:rsidP="00B53515" w14:paraId="203E5973" w14:textId="3208A4C5">
      <w:pPr>
        <w:spacing w:line="480" w:lineRule="auto"/>
        <w:ind w:firstLine="720"/>
        <w:rPr>
          <w:sz w:val="24"/>
          <w:szCs w:val="24"/>
        </w:rPr>
      </w:pPr>
      <w:r w:rsidRPr="008C4285">
        <w:rPr>
          <w:sz w:val="24"/>
          <w:szCs w:val="24"/>
        </w:rPr>
        <w:t>Accordingly,</w:t>
      </w:r>
      <w:r w:rsidRPr="008C4285" w:rsidR="005925BF">
        <w:rPr>
          <w:sz w:val="24"/>
          <w:szCs w:val="24"/>
        </w:rPr>
        <w:t xml:space="preserve"> and contrary to Dynegy’s memorandum contra</w:t>
      </w:r>
      <w:r w:rsidRPr="008C4285" w:rsidR="00B33CA8">
        <w:rPr>
          <w:sz w:val="24"/>
          <w:szCs w:val="24"/>
        </w:rPr>
        <w:t>, t</w:t>
      </w:r>
      <w:r w:rsidRPr="008C4285" w:rsidR="000117A5">
        <w:rPr>
          <w:sz w:val="24"/>
          <w:szCs w:val="24"/>
        </w:rPr>
        <w:t xml:space="preserve">he PUCO should grant OCC’s </w:t>
      </w:r>
      <w:r w:rsidR="006F56AF">
        <w:rPr>
          <w:sz w:val="24"/>
          <w:szCs w:val="24"/>
        </w:rPr>
        <w:t>r</w:t>
      </w:r>
      <w:r w:rsidR="00E2221F">
        <w:rPr>
          <w:sz w:val="24"/>
          <w:szCs w:val="24"/>
        </w:rPr>
        <w:t>equest</w:t>
      </w:r>
      <w:r w:rsidRPr="008C4285" w:rsidR="005A369E">
        <w:rPr>
          <w:sz w:val="24"/>
          <w:szCs w:val="24"/>
        </w:rPr>
        <w:t xml:space="preserve"> to open an investigation</w:t>
      </w:r>
      <w:r w:rsidRPr="008C4285" w:rsidR="00B33CA8">
        <w:rPr>
          <w:sz w:val="24"/>
          <w:szCs w:val="24"/>
        </w:rPr>
        <w:t>. The PUCO, per its market-monitoring authority, should</w:t>
      </w:r>
      <w:r w:rsidRPr="008C4285" w:rsidR="005A369E">
        <w:rPr>
          <w:sz w:val="24"/>
          <w:szCs w:val="24"/>
        </w:rPr>
        <w:t xml:space="preserve"> require Vistra/Dynegy to show cause why its planned acquisition of Energy Harbor will not adversely affect </w:t>
      </w:r>
      <w:r w:rsidRPr="008C4285" w:rsidR="008C049B">
        <w:rPr>
          <w:sz w:val="24"/>
          <w:szCs w:val="24"/>
        </w:rPr>
        <w:t>the competitive governmental aggregation market and the retail market generally</w:t>
      </w:r>
      <w:r w:rsidRPr="008C4285" w:rsidR="005A369E">
        <w:rPr>
          <w:sz w:val="24"/>
          <w:szCs w:val="24"/>
        </w:rPr>
        <w:t>.</w:t>
      </w:r>
      <w:r w:rsidRPr="008C4285" w:rsidR="00537146">
        <w:rPr>
          <w:sz w:val="24"/>
          <w:szCs w:val="24"/>
        </w:rPr>
        <w:t xml:space="preserve"> </w:t>
      </w:r>
      <w:r w:rsidRPr="008C4285" w:rsidR="004844F9">
        <w:rPr>
          <w:sz w:val="24"/>
          <w:szCs w:val="24"/>
        </w:rPr>
        <w:t xml:space="preserve">Of course, this investigation at the PUCO </w:t>
      </w:r>
      <w:r w:rsidRPr="008C4285" w:rsidR="00CF4FE5">
        <w:rPr>
          <w:sz w:val="24"/>
          <w:szCs w:val="24"/>
        </w:rPr>
        <w:t>would not satisfy the need for investigations at the federal level.</w:t>
      </w:r>
    </w:p>
    <w:p w:rsidR="00B53515" w:rsidRPr="008C4285" w:rsidP="00B53515" w14:paraId="005238E3" w14:textId="77777777">
      <w:pPr>
        <w:ind w:firstLine="720"/>
        <w:rPr>
          <w:sz w:val="24"/>
          <w:szCs w:val="24"/>
        </w:rPr>
      </w:pPr>
    </w:p>
    <w:p w:rsidR="00812829" w:rsidRPr="008C4285" w:rsidP="005B72BB" w14:paraId="08D8BD0E" w14:textId="09BAB742">
      <w:pPr>
        <w:pStyle w:val="Heading1"/>
      </w:pPr>
      <w:r w:rsidRPr="008C4285">
        <w:t>DISCUSSION</w:t>
      </w:r>
    </w:p>
    <w:p w:rsidR="00421BB3" w:rsidRPr="008C4285" w:rsidP="002D7E0C" w14:paraId="26720D54" w14:textId="66047CC6">
      <w:pPr>
        <w:spacing w:line="480" w:lineRule="auto"/>
        <w:ind w:firstLine="720"/>
        <w:rPr>
          <w:sz w:val="24"/>
          <w:szCs w:val="24"/>
        </w:rPr>
      </w:pPr>
      <w:r w:rsidRPr="008C4285">
        <w:rPr>
          <w:sz w:val="24"/>
          <w:szCs w:val="24"/>
        </w:rPr>
        <w:t>As described above, NOPEC will offer prices beginning in June that are dramatically lower than the expected standard offers of FirstEnergy and AEP.</w:t>
      </w:r>
      <w:r>
        <w:rPr>
          <w:rStyle w:val="FootnoteReference"/>
          <w:sz w:val="24"/>
          <w:szCs w:val="24"/>
        </w:rPr>
        <w:footnoteReference w:id="4"/>
      </w:r>
      <w:r w:rsidRPr="008C4285" w:rsidR="00537146">
        <w:rPr>
          <w:sz w:val="24"/>
          <w:szCs w:val="24"/>
        </w:rPr>
        <w:t xml:space="preserve"> </w:t>
      </w:r>
      <w:r w:rsidRPr="008C4285" w:rsidR="00D87847">
        <w:rPr>
          <w:sz w:val="24"/>
          <w:szCs w:val="24"/>
        </w:rPr>
        <w:t>Recent news reports bear out that</w:t>
      </w:r>
      <w:r w:rsidRPr="008C4285" w:rsidR="005925BF">
        <w:rPr>
          <w:sz w:val="24"/>
          <w:szCs w:val="24"/>
        </w:rPr>
        <w:t>, by comparison,</w:t>
      </w:r>
      <w:r w:rsidRPr="008C4285" w:rsidR="00D87847">
        <w:rPr>
          <w:sz w:val="24"/>
          <w:szCs w:val="24"/>
        </w:rPr>
        <w:t xml:space="preserve"> FirstEnergy</w:t>
      </w:r>
      <w:r w:rsidRPr="008C4285" w:rsidR="005925BF">
        <w:rPr>
          <w:sz w:val="24"/>
          <w:szCs w:val="24"/>
        </w:rPr>
        <w:t>’s</w:t>
      </w:r>
      <w:r w:rsidRPr="008C4285" w:rsidR="00D87847">
        <w:rPr>
          <w:sz w:val="24"/>
          <w:szCs w:val="24"/>
        </w:rPr>
        <w:t xml:space="preserve"> electricity </w:t>
      </w:r>
      <w:r w:rsidRPr="008C4285" w:rsidR="005925BF">
        <w:rPr>
          <w:sz w:val="24"/>
          <w:szCs w:val="24"/>
        </w:rPr>
        <w:t>prices</w:t>
      </w:r>
      <w:r w:rsidRPr="008C4285" w:rsidR="00D87847">
        <w:rPr>
          <w:sz w:val="24"/>
          <w:szCs w:val="24"/>
        </w:rPr>
        <w:t xml:space="preserve"> for standard offer consumers will nearly double in June.</w:t>
      </w:r>
      <w:r>
        <w:rPr>
          <w:rStyle w:val="FootnoteReference"/>
          <w:sz w:val="24"/>
          <w:szCs w:val="24"/>
        </w:rPr>
        <w:footnoteReference w:id="5"/>
      </w:r>
      <w:r w:rsidRPr="008C4285" w:rsidR="00537146">
        <w:rPr>
          <w:sz w:val="24"/>
          <w:szCs w:val="24"/>
        </w:rPr>
        <w:t xml:space="preserve"> </w:t>
      </w:r>
      <w:r w:rsidRPr="008C4285" w:rsidR="005925BF">
        <w:rPr>
          <w:sz w:val="24"/>
          <w:szCs w:val="24"/>
        </w:rPr>
        <w:t>FirstEnergy’s</w:t>
      </w:r>
      <w:r w:rsidRPr="008C4285">
        <w:rPr>
          <w:sz w:val="24"/>
          <w:szCs w:val="24"/>
        </w:rPr>
        <w:t xml:space="preserve"> average weighted base price in June will rise to at least 10.1 cents per kwh from the </w:t>
      </w:r>
      <w:r w:rsidRPr="008C4285" w:rsidR="000E2AC5">
        <w:rPr>
          <w:sz w:val="24"/>
          <w:szCs w:val="24"/>
        </w:rPr>
        <w:t>current</w:t>
      </w:r>
      <w:r w:rsidRPr="008C4285">
        <w:rPr>
          <w:sz w:val="24"/>
          <w:szCs w:val="24"/>
        </w:rPr>
        <w:t xml:space="preserve"> price of 5.3 </w:t>
      </w:r>
      <w:r w:rsidRPr="008C4285" w:rsidR="000E2AC5">
        <w:rPr>
          <w:sz w:val="24"/>
          <w:szCs w:val="24"/>
        </w:rPr>
        <w:t>cents</w:t>
      </w:r>
      <w:r w:rsidR="0096725F">
        <w:rPr>
          <w:sz w:val="24"/>
          <w:szCs w:val="24"/>
        </w:rPr>
        <w:t xml:space="preserve"> per </w:t>
      </w:r>
      <w:r w:rsidRPr="008C4285">
        <w:rPr>
          <w:sz w:val="24"/>
          <w:szCs w:val="24"/>
        </w:rPr>
        <w:t xml:space="preserve">kwh- a 91 </w:t>
      </w:r>
      <w:r w:rsidRPr="008C4285" w:rsidR="000E2AC5">
        <w:rPr>
          <w:sz w:val="24"/>
          <w:szCs w:val="24"/>
        </w:rPr>
        <w:t>percent</w:t>
      </w:r>
      <w:r w:rsidRPr="008C4285">
        <w:rPr>
          <w:sz w:val="24"/>
          <w:szCs w:val="24"/>
        </w:rPr>
        <w:t xml:space="preserve"> increase.</w:t>
      </w:r>
      <w:r>
        <w:rPr>
          <w:rStyle w:val="FootnoteReference"/>
          <w:sz w:val="24"/>
          <w:szCs w:val="24"/>
        </w:rPr>
        <w:footnoteReference w:id="6"/>
      </w:r>
    </w:p>
    <w:p w:rsidR="005A369E" w:rsidRPr="008C4285" w:rsidP="002D7E0C" w14:paraId="050651A3" w14:textId="47A45D4F">
      <w:pPr>
        <w:spacing w:line="480" w:lineRule="auto"/>
        <w:ind w:firstLine="720"/>
        <w:rPr>
          <w:sz w:val="24"/>
          <w:szCs w:val="24"/>
        </w:rPr>
      </w:pPr>
      <w:r w:rsidRPr="008C4285">
        <w:rPr>
          <w:sz w:val="24"/>
          <w:szCs w:val="24"/>
        </w:rPr>
        <w:t>Consumers benefit from having competitive alternatives</w:t>
      </w:r>
      <w:r w:rsidRPr="008C4285" w:rsidR="005925BF">
        <w:rPr>
          <w:sz w:val="24"/>
          <w:szCs w:val="24"/>
        </w:rPr>
        <w:t xml:space="preserve"> like NOPEC</w:t>
      </w:r>
      <w:r w:rsidRPr="008C4285">
        <w:rPr>
          <w:sz w:val="24"/>
          <w:szCs w:val="24"/>
        </w:rPr>
        <w:t xml:space="preserve"> to the </w:t>
      </w:r>
      <w:r w:rsidRPr="008C4285" w:rsidR="005925BF">
        <w:rPr>
          <w:sz w:val="24"/>
          <w:szCs w:val="24"/>
        </w:rPr>
        <w:t xml:space="preserve">utility’s </w:t>
      </w:r>
      <w:r w:rsidRPr="008C4285">
        <w:rPr>
          <w:sz w:val="24"/>
          <w:szCs w:val="24"/>
        </w:rPr>
        <w:t>standard service offer.</w:t>
      </w:r>
      <w:r w:rsidRPr="008C4285" w:rsidR="00537146">
        <w:rPr>
          <w:sz w:val="24"/>
          <w:szCs w:val="24"/>
        </w:rPr>
        <w:t xml:space="preserve"> </w:t>
      </w:r>
      <w:r w:rsidRPr="008C4285">
        <w:rPr>
          <w:sz w:val="24"/>
          <w:szCs w:val="24"/>
        </w:rPr>
        <w:t xml:space="preserve">Competition </w:t>
      </w:r>
      <w:r w:rsidRPr="008C4285" w:rsidR="005925BF">
        <w:rPr>
          <w:sz w:val="24"/>
          <w:szCs w:val="24"/>
        </w:rPr>
        <w:t xml:space="preserve">should </w:t>
      </w:r>
      <w:r w:rsidRPr="008C4285">
        <w:rPr>
          <w:sz w:val="24"/>
          <w:szCs w:val="24"/>
        </w:rPr>
        <w:t>lead to lower prices than would occur in the absence of competition.</w:t>
      </w:r>
      <w:r w:rsidRPr="008C4285" w:rsidR="00537146">
        <w:rPr>
          <w:sz w:val="24"/>
          <w:szCs w:val="24"/>
        </w:rPr>
        <w:t xml:space="preserve"> </w:t>
      </w:r>
    </w:p>
    <w:p w:rsidR="005925BF" w:rsidRPr="008C4285" w:rsidP="002D7E0C" w14:paraId="23FB8306" w14:textId="079C75CC">
      <w:pPr>
        <w:spacing w:line="480" w:lineRule="auto"/>
        <w:ind w:firstLine="720"/>
        <w:rPr>
          <w:sz w:val="24"/>
          <w:szCs w:val="24"/>
        </w:rPr>
      </w:pPr>
      <w:r w:rsidRPr="008C4285">
        <w:rPr>
          <w:sz w:val="24"/>
          <w:szCs w:val="24"/>
        </w:rPr>
        <w:t>Vistra/Dynegy</w:t>
      </w:r>
      <w:r w:rsidRPr="008C4285">
        <w:rPr>
          <w:sz w:val="24"/>
          <w:szCs w:val="24"/>
        </w:rPr>
        <w:t xml:space="preserve"> announced that it would</w:t>
      </w:r>
      <w:r w:rsidRPr="008C4285">
        <w:rPr>
          <w:sz w:val="24"/>
          <w:szCs w:val="24"/>
        </w:rPr>
        <w:t xml:space="preserve"> acquire Energy Harbor</w:t>
      </w:r>
      <w:r w:rsidRPr="008C4285">
        <w:rPr>
          <w:sz w:val="24"/>
          <w:szCs w:val="24"/>
        </w:rPr>
        <w:t>,</w:t>
      </w:r>
      <w:r w:rsidRPr="008C4285">
        <w:rPr>
          <w:sz w:val="24"/>
          <w:szCs w:val="24"/>
        </w:rPr>
        <w:t xml:space="preserve"> on March 6, 2023.</w:t>
      </w:r>
      <w:r>
        <w:rPr>
          <w:rStyle w:val="FootnoteReference"/>
          <w:sz w:val="24"/>
          <w:szCs w:val="24"/>
        </w:rPr>
        <w:footnoteReference w:id="7"/>
      </w:r>
      <w:r w:rsidRPr="008C4285" w:rsidR="00537146">
        <w:rPr>
          <w:sz w:val="24"/>
          <w:szCs w:val="24"/>
        </w:rPr>
        <w:t xml:space="preserve"> </w:t>
      </w:r>
      <w:r w:rsidRPr="008C4285" w:rsidR="000E2AC5">
        <w:rPr>
          <w:sz w:val="24"/>
          <w:szCs w:val="24"/>
        </w:rPr>
        <w:t>Energy Harbor is a supplier to aggregations in northern Ohio.</w:t>
      </w:r>
      <w:r w:rsidRPr="008C4285" w:rsidR="00537146">
        <w:rPr>
          <w:sz w:val="24"/>
          <w:szCs w:val="24"/>
        </w:rPr>
        <w:t xml:space="preserve"> </w:t>
      </w:r>
    </w:p>
    <w:p w:rsidR="00F86908" w:rsidRPr="008C4285" w:rsidP="00AE69E1" w14:paraId="5379CB30" w14:textId="18281DD4">
      <w:pPr>
        <w:spacing w:line="480" w:lineRule="auto"/>
        <w:ind w:firstLine="720"/>
        <w:rPr>
          <w:sz w:val="24"/>
          <w:szCs w:val="24"/>
        </w:rPr>
      </w:pPr>
      <w:r w:rsidRPr="008C4285">
        <w:rPr>
          <w:sz w:val="24"/>
          <w:szCs w:val="24"/>
        </w:rPr>
        <w:t>Contrary to Dynegy’s memorandum contra, t</w:t>
      </w:r>
      <w:r w:rsidRPr="008C4285" w:rsidR="00E05B13">
        <w:rPr>
          <w:sz w:val="24"/>
          <w:szCs w:val="24"/>
        </w:rPr>
        <w:t>he PUCO should</w:t>
      </w:r>
      <w:r w:rsidRPr="008C4285" w:rsidR="00DE68BC">
        <w:rPr>
          <w:sz w:val="24"/>
          <w:szCs w:val="24"/>
        </w:rPr>
        <w:t xml:space="preserve"> use its market-monitoring authority to</w:t>
      </w:r>
      <w:r w:rsidRPr="008C4285" w:rsidR="00E05B13">
        <w:rPr>
          <w:sz w:val="24"/>
          <w:szCs w:val="24"/>
        </w:rPr>
        <w:t xml:space="preserve"> </w:t>
      </w:r>
      <w:r w:rsidRPr="008C4285" w:rsidR="00AF25D4">
        <w:rPr>
          <w:sz w:val="24"/>
          <w:szCs w:val="24"/>
        </w:rPr>
        <w:t>investigate what seems to be a concentration of market power through</w:t>
      </w:r>
      <w:r w:rsidRPr="008C4285" w:rsidR="00DE68BC">
        <w:rPr>
          <w:sz w:val="24"/>
          <w:szCs w:val="24"/>
        </w:rPr>
        <w:t xml:space="preserve"> the Vistra/Dynegy acquisition of Energy Harbor. Ohio consumers </w:t>
      </w:r>
      <w:r w:rsidRPr="008C4285" w:rsidR="00E05B13">
        <w:rPr>
          <w:sz w:val="24"/>
          <w:szCs w:val="24"/>
        </w:rPr>
        <w:t>have a</w:t>
      </w:r>
      <w:r w:rsidRPr="008C4285" w:rsidR="00DE68BC">
        <w:rPr>
          <w:sz w:val="24"/>
          <w:szCs w:val="24"/>
        </w:rPr>
        <w:t xml:space="preserve"> substantial</w:t>
      </w:r>
      <w:r w:rsidRPr="008C4285" w:rsidR="00E05B13">
        <w:rPr>
          <w:sz w:val="24"/>
          <w:szCs w:val="24"/>
        </w:rPr>
        <w:t xml:space="preserve"> interest in </w:t>
      </w:r>
      <w:r w:rsidRPr="008C4285" w:rsidR="00DE68BC">
        <w:rPr>
          <w:sz w:val="24"/>
          <w:szCs w:val="24"/>
        </w:rPr>
        <w:t>the furtherance, not inhibition, of electric competition. The investigation should include review of the Vistra/Dynegy acquisition of Energy Harbor</w:t>
      </w:r>
      <w:r w:rsidRPr="008C4285" w:rsidR="00FD22CF">
        <w:rPr>
          <w:sz w:val="24"/>
          <w:szCs w:val="24"/>
        </w:rPr>
        <w:t xml:space="preserve"> (which would seem to have been ongoing during the Dynegy litigation against NOPEC). The context includes that</w:t>
      </w:r>
      <w:r w:rsidRPr="008C4285" w:rsidR="00DE68BC">
        <w:rPr>
          <w:sz w:val="24"/>
          <w:szCs w:val="24"/>
        </w:rPr>
        <w:t xml:space="preserve"> Dynegy</w:t>
      </w:r>
      <w:r w:rsidR="00FC0A0A">
        <w:rPr>
          <w:sz w:val="24"/>
          <w:szCs w:val="24"/>
        </w:rPr>
        <w:t>’s</w:t>
      </w:r>
      <w:r w:rsidRPr="008C4285" w:rsidR="00DE68BC">
        <w:rPr>
          <w:sz w:val="24"/>
          <w:szCs w:val="24"/>
        </w:rPr>
        <w:t xml:space="preserve"> anti-competitive litigation </w:t>
      </w:r>
      <w:r w:rsidRPr="008C4285" w:rsidR="00FD22CF">
        <w:rPr>
          <w:sz w:val="24"/>
          <w:szCs w:val="24"/>
        </w:rPr>
        <w:t>against NOPEC would have denied</w:t>
      </w:r>
      <w:r w:rsidRPr="008C4285" w:rsidR="00DE68BC">
        <w:rPr>
          <w:sz w:val="24"/>
          <w:szCs w:val="24"/>
        </w:rPr>
        <w:t xml:space="preserve"> consumers the services of </w:t>
      </w:r>
      <w:r w:rsidRPr="008C4285" w:rsidR="00FD22CF">
        <w:rPr>
          <w:sz w:val="24"/>
          <w:szCs w:val="24"/>
        </w:rPr>
        <w:t>a</w:t>
      </w:r>
      <w:r w:rsidRPr="008C4285" w:rsidR="00DE68BC">
        <w:rPr>
          <w:sz w:val="24"/>
          <w:szCs w:val="24"/>
        </w:rPr>
        <w:t xml:space="preserve"> supplier, NOPEC</w:t>
      </w:r>
      <w:r w:rsidRPr="008C4285" w:rsidR="00411CA6">
        <w:rPr>
          <w:sz w:val="24"/>
          <w:szCs w:val="24"/>
        </w:rPr>
        <w:t xml:space="preserve">, </w:t>
      </w:r>
      <w:r w:rsidRPr="008C4285" w:rsidR="00FD22CF">
        <w:rPr>
          <w:sz w:val="24"/>
          <w:szCs w:val="24"/>
        </w:rPr>
        <w:t>that</w:t>
      </w:r>
      <w:r w:rsidRPr="008C4285" w:rsidR="00411CA6">
        <w:rPr>
          <w:sz w:val="24"/>
          <w:szCs w:val="24"/>
        </w:rPr>
        <w:t xml:space="preserve"> is a competitor to Energy Harbor</w:t>
      </w:r>
      <w:r w:rsidRPr="008C4285" w:rsidR="00DE68BC">
        <w:rPr>
          <w:sz w:val="24"/>
          <w:szCs w:val="24"/>
        </w:rPr>
        <w:t>.</w:t>
      </w:r>
      <w:r w:rsidR="008C4285">
        <w:rPr>
          <w:sz w:val="24"/>
          <w:szCs w:val="24"/>
        </w:rPr>
        <w:t xml:space="preserve"> </w:t>
      </w:r>
    </w:p>
    <w:p w:rsidR="00AC3461" w:rsidRPr="008C4285" w:rsidP="00FD22CF" w14:paraId="3F478713" w14:textId="11617B30">
      <w:pPr>
        <w:spacing w:line="480" w:lineRule="auto"/>
        <w:ind w:firstLine="720"/>
        <w:rPr>
          <w:sz w:val="24"/>
          <w:szCs w:val="24"/>
        </w:rPr>
      </w:pPr>
      <w:r w:rsidRPr="008C4285">
        <w:rPr>
          <w:sz w:val="24"/>
          <w:szCs w:val="24"/>
        </w:rPr>
        <w:t xml:space="preserve">Therefore, the </w:t>
      </w:r>
      <w:r w:rsidRPr="008C4285" w:rsidR="00F86908">
        <w:rPr>
          <w:sz w:val="24"/>
          <w:szCs w:val="24"/>
        </w:rPr>
        <w:t>PUCO should issue the show-cause order requested by OCC.</w:t>
      </w:r>
      <w:r w:rsidRPr="008C4285" w:rsidR="00537146">
        <w:rPr>
          <w:sz w:val="24"/>
          <w:szCs w:val="24"/>
        </w:rPr>
        <w:t xml:space="preserve"> </w:t>
      </w:r>
      <w:r w:rsidRPr="008C4285">
        <w:rPr>
          <w:sz w:val="24"/>
          <w:szCs w:val="24"/>
        </w:rPr>
        <w:t xml:space="preserve">The PUCO has statutory authority for market-monitoring per </w:t>
      </w:r>
      <w:r w:rsidRPr="008C4285" w:rsidR="006A0287">
        <w:rPr>
          <w:sz w:val="24"/>
          <w:szCs w:val="24"/>
        </w:rPr>
        <w:t>R</w:t>
      </w:r>
      <w:r w:rsidRPr="008C4285">
        <w:rPr>
          <w:sz w:val="24"/>
          <w:szCs w:val="24"/>
        </w:rPr>
        <w:t>.C. 4928.06.</w:t>
      </w:r>
      <w:r w:rsidRPr="008C4285" w:rsidR="00537146">
        <w:rPr>
          <w:sz w:val="24"/>
          <w:szCs w:val="24"/>
        </w:rPr>
        <w:t xml:space="preserve"> </w:t>
      </w:r>
      <w:r w:rsidRPr="008C4285">
        <w:rPr>
          <w:sz w:val="24"/>
          <w:szCs w:val="24"/>
        </w:rPr>
        <w:t xml:space="preserve">The PUCO should open an investigation and require Vistra/Dynegy to show cause why its acquisition of Energy Harbor will not adversely affect the </w:t>
      </w:r>
      <w:r w:rsidRPr="008C4285" w:rsidR="00DB48A0">
        <w:rPr>
          <w:sz w:val="24"/>
          <w:szCs w:val="24"/>
        </w:rPr>
        <w:t>Ohio</w:t>
      </w:r>
      <w:r w:rsidRPr="008C4285">
        <w:rPr>
          <w:sz w:val="24"/>
          <w:szCs w:val="24"/>
        </w:rPr>
        <w:t xml:space="preserve"> retail electric market, especially including the governmental aggregation market and the </w:t>
      </w:r>
      <w:r w:rsidRPr="008C4285">
        <w:rPr>
          <w:sz w:val="24"/>
          <w:szCs w:val="24"/>
        </w:rPr>
        <w:t xml:space="preserve">many Ohio </w:t>
      </w:r>
      <w:r w:rsidRPr="008C4285">
        <w:rPr>
          <w:sz w:val="24"/>
          <w:szCs w:val="24"/>
        </w:rPr>
        <w:t>consumers served by it.</w:t>
      </w:r>
      <w:r w:rsidRPr="008C4285" w:rsidR="00537146">
        <w:rPr>
          <w:sz w:val="24"/>
          <w:szCs w:val="24"/>
        </w:rPr>
        <w:t xml:space="preserve"> </w:t>
      </w:r>
    </w:p>
    <w:p w:rsidR="00DB48A0" w:rsidRPr="008C4285" w:rsidP="00DB48A0" w14:paraId="5DBE0674" w14:textId="77777777">
      <w:pPr>
        <w:ind w:firstLine="720"/>
        <w:rPr>
          <w:sz w:val="24"/>
          <w:szCs w:val="24"/>
        </w:rPr>
      </w:pPr>
    </w:p>
    <w:p w:rsidR="00026AD3" w:rsidRPr="008C4285" w:rsidP="00DB48A0" w14:paraId="47C87DC2" w14:textId="70EA97E7">
      <w:pPr>
        <w:pStyle w:val="Heading1"/>
        <w:numPr>
          <w:ilvl w:val="0"/>
          <w:numId w:val="0"/>
        </w:numPr>
        <w:ind w:left="720" w:hanging="720"/>
      </w:pPr>
      <w:r w:rsidRPr="008C4285">
        <w:t>III.</w:t>
      </w:r>
      <w:r w:rsidRPr="008C4285">
        <w:tab/>
      </w:r>
      <w:r w:rsidRPr="008C4285">
        <w:t>CONCLUSION</w:t>
      </w:r>
    </w:p>
    <w:p w:rsidR="00983744" w:rsidRPr="008C4285" w:rsidP="00DD4063" w14:paraId="5A4C76DF" w14:textId="7432B2EA">
      <w:pPr>
        <w:spacing w:line="480" w:lineRule="auto"/>
        <w:ind w:firstLine="720"/>
        <w:rPr>
          <w:sz w:val="24"/>
          <w:szCs w:val="24"/>
        </w:rPr>
      </w:pPr>
      <w:r w:rsidRPr="008C4285">
        <w:rPr>
          <w:color w:val="000000" w:themeColor="text1"/>
          <w:sz w:val="24"/>
          <w:szCs w:val="24"/>
        </w:rPr>
        <w:t xml:space="preserve">Based on the foregoing, </w:t>
      </w:r>
      <w:r w:rsidRPr="008C4285" w:rsidR="00925865">
        <w:rPr>
          <w:color w:val="000000" w:themeColor="text1"/>
          <w:sz w:val="24"/>
          <w:szCs w:val="24"/>
        </w:rPr>
        <w:t xml:space="preserve">the PUCO </w:t>
      </w:r>
      <w:r w:rsidRPr="008C4285" w:rsidR="00BA4A14">
        <w:rPr>
          <w:color w:val="000000" w:themeColor="text1"/>
          <w:sz w:val="24"/>
          <w:szCs w:val="24"/>
        </w:rPr>
        <w:t xml:space="preserve">should </w:t>
      </w:r>
      <w:r w:rsidRPr="008C4285" w:rsidR="00925865">
        <w:rPr>
          <w:sz w:val="24"/>
          <w:szCs w:val="24"/>
        </w:rPr>
        <w:t xml:space="preserve">grant OCC’s </w:t>
      </w:r>
      <w:r w:rsidR="00415D13">
        <w:rPr>
          <w:sz w:val="24"/>
          <w:szCs w:val="24"/>
        </w:rPr>
        <w:t>r</w:t>
      </w:r>
      <w:r w:rsidR="004B48FA">
        <w:rPr>
          <w:sz w:val="24"/>
          <w:szCs w:val="24"/>
        </w:rPr>
        <w:t>equest</w:t>
      </w:r>
      <w:r w:rsidRPr="008C4285" w:rsidR="00925865">
        <w:rPr>
          <w:sz w:val="24"/>
          <w:szCs w:val="24"/>
        </w:rPr>
        <w:t xml:space="preserve"> to open an investigation and require Vistra/Dynegy to show cause why its planned acquisition of Energy Harbor will not adversely affect competition.</w:t>
      </w:r>
      <w:r w:rsidRPr="008C4285" w:rsidR="00537146">
        <w:rPr>
          <w:sz w:val="24"/>
          <w:szCs w:val="24"/>
        </w:rPr>
        <w:t xml:space="preserve"> </w:t>
      </w:r>
    </w:p>
    <w:p w:rsidR="00DB48A0" w:rsidRPr="008C4285" w14:paraId="7C01BA6A" w14:textId="77777777">
      <w:pPr>
        <w:rPr>
          <w:sz w:val="24"/>
          <w:szCs w:val="24"/>
        </w:rPr>
      </w:pPr>
      <w:r w:rsidRPr="008C4285">
        <w:rPr>
          <w:sz w:val="24"/>
          <w:szCs w:val="24"/>
        </w:rPr>
        <w:br w:type="page"/>
      </w:r>
    </w:p>
    <w:p w:rsidR="00983744" w:rsidRPr="008C4285" w14:paraId="42793CED" w14:textId="169F6566">
      <w:pPr>
        <w:ind w:left="3514" w:firstLine="720"/>
        <w:rPr>
          <w:sz w:val="24"/>
          <w:szCs w:val="24"/>
        </w:rPr>
      </w:pPr>
      <w:r w:rsidRPr="008C4285">
        <w:rPr>
          <w:sz w:val="24"/>
          <w:szCs w:val="24"/>
        </w:rPr>
        <w:t>Respectfully submitted,</w:t>
      </w:r>
    </w:p>
    <w:p w:rsidR="00983744" w:rsidRPr="008C4285" w14:paraId="402329DD" w14:textId="77777777">
      <w:pPr>
        <w:widowControl w:val="0"/>
        <w:ind w:left="4234" w:right="-672"/>
        <w:rPr>
          <w:sz w:val="24"/>
          <w:szCs w:val="24"/>
        </w:rPr>
      </w:pPr>
    </w:p>
    <w:p w:rsidR="00983744" w:rsidRPr="008C4285" w14:paraId="2009CDFE" w14:textId="77777777">
      <w:pPr>
        <w:tabs>
          <w:tab w:val="left" w:pos="4320"/>
        </w:tabs>
        <w:ind w:left="4234"/>
        <w:rPr>
          <w:sz w:val="24"/>
          <w:szCs w:val="24"/>
        </w:rPr>
      </w:pPr>
      <w:bookmarkStart w:id="2" w:name="_Hlk125725493"/>
      <w:r w:rsidRPr="008C4285">
        <w:rPr>
          <w:sz w:val="24"/>
          <w:szCs w:val="24"/>
        </w:rPr>
        <w:t>Bruce Weston (0016973)</w:t>
      </w:r>
    </w:p>
    <w:p w:rsidR="00983744" w:rsidRPr="008C4285" w14:paraId="3330406C" w14:textId="77777777">
      <w:pPr>
        <w:tabs>
          <w:tab w:val="left" w:pos="4320"/>
        </w:tabs>
        <w:ind w:left="4234"/>
        <w:rPr>
          <w:sz w:val="24"/>
          <w:szCs w:val="24"/>
        </w:rPr>
      </w:pPr>
      <w:r w:rsidRPr="008C4285">
        <w:rPr>
          <w:sz w:val="24"/>
          <w:szCs w:val="24"/>
        </w:rPr>
        <w:t>Ohio Consumers’ Counsel</w:t>
      </w:r>
      <w:r w:rsidRPr="008C4285">
        <w:rPr>
          <w:sz w:val="24"/>
          <w:szCs w:val="24"/>
        </w:rPr>
        <w:tab/>
      </w:r>
    </w:p>
    <w:p w:rsidR="00983744" w:rsidRPr="008C4285" w14:paraId="5D243D15" w14:textId="77777777">
      <w:pPr>
        <w:tabs>
          <w:tab w:val="left" w:pos="4320"/>
        </w:tabs>
        <w:ind w:left="4234"/>
        <w:rPr>
          <w:sz w:val="24"/>
          <w:szCs w:val="24"/>
        </w:rPr>
      </w:pPr>
      <w:r w:rsidRPr="008C4285">
        <w:rPr>
          <w:sz w:val="24"/>
          <w:szCs w:val="24"/>
        </w:rPr>
        <w:tab/>
      </w:r>
    </w:p>
    <w:p w:rsidR="00983744" w:rsidRPr="008C4285" w14:paraId="52484444" w14:textId="77777777">
      <w:pPr>
        <w:tabs>
          <w:tab w:val="left" w:pos="4320"/>
        </w:tabs>
        <w:ind w:left="4234"/>
        <w:rPr>
          <w:i/>
          <w:iCs/>
          <w:sz w:val="24"/>
          <w:szCs w:val="24"/>
          <w:u w:val="single"/>
        </w:rPr>
      </w:pPr>
      <w:r w:rsidRPr="008C4285">
        <w:rPr>
          <w:i/>
          <w:iCs/>
          <w:sz w:val="24"/>
          <w:szCs w:val="24"/>
          <w:u w:val="single"/>
        </w:rPr>
        <w:t>/s/ John Finnigan</w:t>
      </w:r>
    </w:p>
    <w:p w:rsidR="00983744" w:rsidRPr="008C4285" w14:paraId="396FC549" w14:textId="77777777">
      <w:pPr>
        <w:tabs>
          <w:tab w:val="left" w:pos="4320"/>
        </w:tabs>
        <w:ind w:left="4234"/>
        <w:rPr>
          <w:sz w:val="24"/>
          <w:szCs w:val="24"/>
        </w:rPr>
      </w:pPr>
      <w:r w:rsidRPr="008C4285">
        <w:rPr>
          <w:sz w:val="24"/>
          <w:szCs w:val="24"/>
        </w:rPr>
        <w:t>John Finnigan (0018689)</w:t>
      </w:r>
    </w:p>
    <w:p w:rsidR="00983744" w:rsidRPr="008C4285" w14:paraId="0FF06088" w14:textId="77777777">
      <w:pPr>
        <w:tabs>
          <w:tab w:val="left" w:pos="4320"/>
        </w:tabs>
        <w:ind w:left="4234"/>
        <w:rPr>
          <w:sz w:val="24"/>
          <w:szCs w:val="24"/>
        </w:rPr>
      </w:pPr>
      <w:r w:rsidRPr="008C4285">
        <w:rPr>
          <w:sz w:val="24"/>
          <w:szCs w:val="24"/>
        </w:rPr>
        <w:t xml:space="preserve">Counsel of Record </w:t>
      </w:r>
    </w:p>
    <w:p w:rsidR="00983744" w:rsidRPr="008C4285" w14:paraId="13B4012C" w14:textId="77777777">
      <w:pPr>
        <w:tabs>
          <w:tab w:val="left" w:pos="4320"/>
        </w:tabs>
        <w:ind w:left="4234"/>
        <w:rPr>
          <w:sz w:val="24"/>
          <w:szCs w:val="24"/>
        </w:rPr>
      </w:pPr>
      <w:r w:rsidRPr="008C4285">
        <w:rPr>
          <w:sz w:val="24"/>
          <w:szCs w:val="24"/>
        </w:rPr>
        <w:t>Maureen R. Willis (0020847)</w:t>
      </w:r>
    </w:p>
    <w:p w:rsidR="00983744" w:rsidRPr="008C4285" w14:paraId="7B9DBE90" w14:textId="77777777">
      <w:pPr>
        <w:tabs>
          <w:tab w:val="left" w:pos="4320"/>
        </w:tabs>
        <w:ind w:left="4234"/>
        <w:rPr>
          <w:sz w:val="24"/>
          <w:szCs w:val="24"/>
        </w:rPr>
      </w:pPr>
      <w:r w:rsidRPr="008C4285">
        <w:rPr>
          <w:sz w:val="24"/>
          <w:szCs w:val="24"/>
        </w:rPr>
        <w:t>Assistant Consumers’ Counsel</w:t>
      </w:r>
    </w:p>
    <w:p w:rsidR="00983744" w:rsidRPr="008C4285" w14:paraId="6DA48263" w14:textId="77777777">
      <w:pPr>
        <w:ind w:left="4230"/>
        <w:rPr>
          <w:sz w:val="24"/>
          <w:szCs w:val="24"/>
        </w:rPr>
      </w:pPr>
      <w:r w:rsidRPr="008C4285">
        <w:rPr>
          <w:sz w:val="24"/>
          <w:szCs w:val="24"/>
        </w:rPr>
        <w:tab/>
      </w:r>
    </w:p>
    <w:p w:rsidR="00983744" w:rsidRPr="008C4285" w14:paraId="5B2AF557" w14:textId="77777777">
      <w:pPr>
        <w:ind w:left="4230"/>
        <w:rPr>
          <w:b/>
          <w:bCs/>
          <w:sz w:val="24"/>
          <w:szCs w:val="24"/>
        </w:rPr>
      </w:pPr>
      <w:bookmarkStart w:id="3" w:name="_Toc125725817"/>
      <w:r w:rsidRPr="008C4285">
        <w:rPr>
          <w:b/>
          <w:bCs/>
          <w:sz w:val="24"/>
          <w:szCs w:val="24"/>
        </w:rPr>
        <w:t>Office of the Ohio Consumers’ Counsel</w:t>
      </w:r>
      <w:bookmarkEnd w:id="3"/>
    </w:p>
    <w:p w:rsidR="00983744" w:rsidRPr="008C4285" w14:paraId="1A1301AB" w14:textId="77777777">
      <w:pPr>
        <w:ind w:left="4230"/>
        <w:rPr>
          <w:sz w:val="24"/>
          <w:szCs w:val="24"/>
        </w:rPr>
      </w:pPr>
      <w:bookmarkStart w:id="4" w:name="_Toc125725818"/>
      <w:r w:rsidRPr="008C4285">
        <w:rPr>
          <w:sz w:val="24"/>
          <w:szCs w:val="24"/>
        </w:rPr>
        <w:t>65 East State Street, Suite 700</w:t>
      </w:r>
      <w:bookmarkEnd w:id="4"/>
    </w:p>
    <w:p w:rsidR="00983744" w:rsidRPr="008C4285" w14:paraId="6633C8A6" w14:textId="77777777">
      <w:pPr>
        <w:ind w:left="4230"/>
        <w:rPr>
          <w:sz w:val="24"/>
          <w:szCs w:val="24"/>
        </w:rPr>
      </w:pPr>
      <w:bookmarkStart w:id="5" w:name="_Toc125725819"/>
      <w:r w:rsidRPr="008C4285">
        <w:rPr>
          <w:sz w:val="24"/>
          <w:szCs w:val="24"/>
        </w:rPr>
        <w:t>Columbus, Ohio 43215</w:t>
      </w:r>
      <w:bookmarkEnd w:id="5"/>
    </w:p>
    <w:p w:rsidR="00983744" w:rsidRPr="008C4285" w14:paraId="6BA565BD" w14:textId="77777777">
      <w:pPr>
        <w:autoSpaceDE w:val="0"/>
        <w:autoSpaceDN w:val="0"/>
        <w:adjustRightInd w:val="0"/>
        <w:ind w:left="4234"/>
        <w:rPr>
          <w:sz w:val="24"/>
          <w:szCs w:val="24"/>
        </w:rPr>
      </w:pPr>
      <w:r w:rsidRPr="008C4285">
        <w:rPr>
          <w:sz w:val="24"/>
          <w:szCs w:val="24"/>
        </w:rPr>
        <w:t>Telephone [Finnigan]: (614) 466-9585</w:t>
      </w:r>
    </w:p>
    <w:p w:rsidR="00983744" w:rsidRPr="008C4285" w14:paraId="433CF0E8" w14:textId="77777777">
      <w:pPr>
        <w:autoSpaceDE w:val="0"/>
        <w:autoSpaceDN w:val="0"/>
        <w:adjustRightInd w:val="0"/>
        <w:ind w:left="4234"/>
        <w:rPr>
          <w:sz w:val="24"/>
          <w:szCs w:val="24"/>
        </w:rPr>
      </w:pPr>
      <w:r w:rsidRPr="008C4285">
        <w:rPr>
          <w:sz w:val="24"/>
          <w:szCs w:val="24"/>
        </w:rPr>
        <w:t>Telephone [Willis]: (614) 466-9567</w:t>
      </w:r>
    </w:p>
    <w:p w:rsidR="00983744" w:rsidRPr="008C4285" w14:paraId="13F2C7D4" w14:textId="77777777">
      <w:pPr>
        <w:ind w:left="4234"/>
        <w:rPr>
          <w:sz w:val="24"/>
          <w:szCs w:val="24"/>
        </w:rPr>
      </w:pPr>
      <w:hyperlink r:id="rId6" w:history="1">
        <w:r w:rsidRPr="008C4285" w:rsidR="00F95735">
          <w:rPr>
            <w:color w:val="0000FF"/>
            <w:sz w:val="24"/>
            <w:szCs w:val="24"/>
            <w:u w:val="single"/>
          </w:rPr>
          <w:t>john.finnigan@occ.ohio.gov</w:t>
        </w:r>
      </w:hyperlink>
    </w:p>
    <w:p w:rsidR="00983744" w:rsidRPr="008C4285" w14:paraId="63E8D7CC" w14:textId="77777777">
      <w:pPr>
        <w:ind w:left="4234"/>
        <w:rPr>
          <w:sz w:val="24"/>
          <w:szCs w:val="24"/>
        </w:rPr>
      </w:pPr>
      <w:hyperlink r:id="rId7" w:history="1">
        <w:r w:rsidRPr="008C4285" w:rsidR="00F95735">
          <w:rPr>
            <w:color w:val="0000FF"/>
            <w:sz w:val="24"/>
            <w:szCs w:val="24"/>
            <w:u w:val="single"/>
          </w:rPr>
          <w:t>maureen.willis@occ.ohio.gov</w:t>
        </w:r>
      </w:hyperlink>
    </w:p>
    <w:p w:rsidR="00983744" w:rsidRPr="008C4285" w14:paraId="76AB8765" w14:textId="77777777">
      <w:pPr>
        <w:ind w:left="4234"/>
        <w:rPr>
          <w:sz w:val="24"/>
          <w:szCs w:val="24"/>
        </w:rPr>
      </w:pPr>
      <w:r w:rsidRPr="008C4285">
        <w:rPr>
          <w:sz w:val="24"/>
          <w:szCs w:val="24"/>
        </w:rPr>
        <w:t>(willing to accept service by e-mail)</w:t>
      </w:r>
    </w:p>
    <w:bookmarkEnd w:id="2"/>
    <w:p w:rsidR="00983744" w:rsidRPr="008C4285" w14:paraId="2D76292D" w14:textId="77777777">
      <w:pPr>
        <w:pStyle w:val="Footer"/>
        <w:tabs>
          <w:tab w:val="left" w:pos="4320"/>
          <w:tab w:val="clear" w:pos="8640"/>
        </w:tabs>
        <w:rPr>
          <w:sz w:val="24"/>
          <w:szCs w:val="24"/>
        </w:rPr>
      </w:pPr>
    </w:p>
    <w:p w:rsidR="00983744" w:rsidRPr="008C4285" w14:paraId="29166403" w14:textId="77777777">
      <w:pPr>
        <w:rPr>
          <w:b/>
          <w:sz w:val="24"/>
          <w:szCs w:val="24"/>
          <w:u w:val="single"/>
        </w:rPr>
      </w:pPr>
      <w:r w:rsidRPr="008C4285">
        <w:rPr>
          <w:b/>
          <w:sz w:val="24"/>
          <w:szCs w:val="24"/>
          <w:u w:val="single"/>
        </w:rPr>
        <w:br w:type="page"/>
      </w:r>
    </w:p>
    <w:p w:rsidR="00983744" w:rsidRPr="008C4285" w14:paraId="5B079790" w14:textId="77777777">
      <w:pPr>
        <w:pStyle w:val="Footer"/>
        <w:tabs>
          <w:tab w:val="left" w:pos="4320"/>
          <w:tab w:val="clear" w:pos="8640"/>
        </w:tabs>
        <w:jc w:val="center"/>
        <w:rPr>
          <w:sz w:val="24"/>
          <w:szCs w:val="24"/>
        </w:rPr>
      </w:pPr>
      <w:r w:rsidRPr="008C4285">
        <w:rPr>
          <w:b/>
          <w:sz w:val="24"/>
          <w:szCs w:val="24"/>
          <w:u w:val="single"/>
        </w:rPr>
        <w:t>CERTIFICATE OF SERVICE</w:t>
      </w:r>
    </w:p>
    <w:p w:rsidR="00983744" w:rsidRPr="008C4285" w14:paraId="4D4E4C4C" w14:textId="77777777">
      <w:pPr>
        <w:autoSpaceDE w:val="0"/>
        <w:autoSpaceDN w:val="0"/>
        <w:adjustRightInd w:val="0"/>
        <w:ind w:firstLine="4320"/>
        <w:jc w:val="center"/>
        <w:rPr>
          <w:sz w:val="24"/>
          <w:szCs w:val="24"/>
          <w:u w:val="single"/>
        </w:rPr>
      </w:pPr>
    </w:p>
    <w:p w:rsidR="00983744" w:rsidRPr="008C4285" w14:paraId="4FD1E968" w14:textId="1FCD4B8C">
      <w:pPr>
        <w:spacing w:line="480" w:lineRule="auto"/>
        <w:ind w:firstLine="720"/>
        <w:rPr>
          <w:b/>
          <w:sz w:val="24"/>
          <w:szCs w:val="24"/>
        </w:rPr>
      </w:pPr>
      <w:r w:rsidRPr="008C4285">
        <w:rPr>
          <w:sz w:val="24"/>
          <w:szCs w:val="24"/>
        </w:rPr>
        <w:t xml:space="preserve">I hereby certify that a copy of the foregoing </w:t>
      </w:r>
      <w:r w:rsidRPr="00A116E0" w:rsidR="00A116E0">
        <w:rPr>
          <w:sz w:val="24"/>
          <w:szCs w:val="24"/>
        </w:rPr>
        <w:t xml:space="preserve">Reply to Dynegy’s Memorandum Contra OCC’s Motion for Leave to File Memorandum Contra to Dynegy's Objections </w:t>
      </w:r>
      <w:r w:rsidRPr="008C4285">
        <w:rPr>
          <w:sz w:val="24"/>
          <w:szCs w:val="24"/>
        </w:rPr>
        <w:t xml:space="preserve">was served via electronic transmission upon the parties this </w:t>
      </w:r>
      <w:r w:rsidRPr="008C4285" w:rsidR="00E42DA6">
        <w:rPr>
          <w:sz w:val="24"/>
          <w:szCs w:val="24"/>
        </w:rPr>
        <w:t>29</w:t>
      </w:r>
      <w:r w:rsidRPr="008C4285" w:rsidR="008519AB">
        <w:rPr>
          <w:sz w:val="24"/>
          <w:szCs w:val="24"/>
          <w:vertAlign w:val="superscript"/>
        </w:rPr>
        <w:t>th</w:t>
      </w:r>
      <w:r w:rsidRPr="008C4285" w:rsidR="008519AB">
        <w:rPr>
          <w:sz w:val="24"/>
          <w:szCs w:val="24"/>
        </w:rPr>
        <w:t xml:space="preserve"> </w:t>
      </w:r>
      <w:r w:rsidRPr="008C4285">
        <w:rPr>
          <w:sz w:val="24"/>
          <w:szCs w:val="24"/>
        </w:rPr>
        <w:t xml:space="preserve">day of </w:t>
      </w:r>
      <w:r w:rsidRPr="008C4285" w:rsidR="00E42DA6">
        <w:rPr>
          <w:sz w:val="24"/>
          <w:szCs w:val="24"/>
        </w:rPr>
        <w:t>March</w:t>
      </w:r>
      <w:r w:rsidRPr="008C4285">
        <w:rPr>
          <w:sz w:val="24"/>
          <w:szCs w:val="24"/>
        </w:rPr>
        <w:t xml:space="preserve"> 2023. </w:t>
      </w:r>
    </w:p>
    <w:p w:rsidR="00983744" w:rsidRPr="008C4285" w14:paraId="42F426E7" w14:textId="77777777">
      <w:pPr>
        <w:tabs>
          <w:tab w:val="left" w:pos="4320"/>
        </w:tabs>
        <w:rPr>
          <w:i/>
          <w:iCs/>
          <w:sz w:val="24"/>
          <w:szCs w:val="24"/>
          <w:u w:val="single"/>
        </w:rPr>
      </w:pPr>
      <w:r w:rsidRPr="008C4285">
        <w:rPr>
          <w:sz w:val="24"/>
          <w:szCs w:val="24"/>
        </w:rPr>
        <w:tab/>
      </w:r>
      <w:r w:rsidRPr="008C4285">
        <w:rPr>
          <w:i/>
          <w:iCs/>
          <w:sz w:val="24"/>
          <w:szCs w:val="24"/>
          <w:u w:val="single"/>
        </w:rPr>
        <w:t xml:space="preserve">/s/ John Finnigan </w:t>
      </w:r>
    </w:p>
    <w:p w:rsidR="00983744" w:rsidRPr="008C4285" w14:paraId="2B8549E1" w14:textId="77777777">
      <w:pPr>
        <w:tabs>
          <w:tab w:val="left" w:pos="4320"/>
        </w:tabs>
        <w:rPr>
          <w:sz w:val="24"/>
          <w:szCs w:val="24"/>
        </w:rPr>
      </w:pPr>
      <w:r w:rsidRPr="008C4285">
        <w:rPr>
          <w:sz w:val="24"/>
          <w:szCs w:val="24"/>
        </w:rPr>
        <w:tab/>
        <w:t>John Finnigan</w:t>
      </w:r>
    </w:p>
    <w:p w:rsidR="00983744" w:rsidRPr="008C4285" w14:paraId="33700E09" w14:textId="77777777">
      <w:pPr>
        <w:tabs>
          <w:tab w:val="left" w:pos="4320"/>
        </w:tabs>
        <w:rPr>
          <w:sz w:val="24"/>
          <w:szCs w:val="24"/>
        </w:rPr>
      </w:pPr>
      <w:r w:rsidRPr="008C4285">
        <w:rPr>
          <w:sz w:val="24"/>
          <w:szCs w:val="24"/>
        </w:rPr>
        <w:tab/>
        <w:t>Assistant Consumers’ Counsel</w:t>
      </w:r>
    </w:p>
    <w:p w:rsidR="00983744" w:rsidRPr="008C4285" w14:paraId="6CD74C2E" w14:textId="77777777">
      <w:pPr>
        <w:tabs>
          <w:tab w:val="left" w:pos="4320"/>
        </w:tabs>
        <w:rPr>
          <w:sz w:val="24"/>
          <w:szCs w:val="24"/>
        </w:rPr>
      </w:pPr>
    </w:p>
    <w:p w:rsidR="00983744" w:rsidRPr="008C4285" w14:paraId="1A92638B" w14:textId="77777777">
      <w:pPr>
        <w:pStyle w:val="CommentText"/>
        <w:rPr>
          <w:sz w:val="24"/>
          <w:szCs w:val="24"/>
        </w:rPr>
      </w:pPr>
      <w:r w:rsidRPr="008C4285">
        <w:rPr>
          <w:sz w:val="24"/>
          <w:szCs w:val="24"/>
        </w:rPr>
        <w:t>The PUCO’s e-filing system will electronically serve notice of the filing of this document on the following parties:</w:t>
      </w:r>
    </w:p>
    <w:p w:rsidR="00983744" w:rsidRPr="008C4285" w14:paraId="7D019572" w14:textId="77777777">
      <w:pPr>
        <w:pStyle w:val="CommentText"/>
        <w:rPr>
          <w:b/>
          <w:sz w:val="24"/>
          <w:szCs w:val="24"/>
          <w:u w:val="single"/>
        </w:rPr>
      </w:pPr>
    </w:p>
    <w:p w:rsidR="00983744" w:rsidRPr="008C4285" w14:paraId="40CF4155" w14:textId="77777777">
      <w:pPr>
        <w:pStyle w:val="CommentText"/>
        <w:jc w:val="center"/>
        <w:rPr>
          <w:b/>
          <w:sz w:val="24"/>
          <w:szCs w:val="24"/>
          <w:u w:val="single"/>
        </w:rPr>
      </w:pPr>
      <w:r w:rsidRPr="008C4285">
        <w:rPr>
          <w:b/>
          <w:sz w:val="24"/>
          <w:szCs w:val="24"/>
          <w:u w:val="single"/>
        </w:rPr>
        <w:t>SERVICE LIST</w:t>
      </w:r>
    </w:p>
    <w:p w:rsidR="00983744" w:rsidRPr="008C4285" w14:paraId="6A0A2AB9" w14:textId="77777777">
      <w:pPr>
        <w:pStyle w:val="CommentText"/>
        <w:jc w:val="center"/>
        <w:rPr>
          <w:b/>
          <w:sz w:val="24"/>
          <w:szCs w:val="24"/>
          <w:u w:val="single"/>
        </w:rPr>
      </w:pPr>
    </w:p>
    <w:tbl>
      <w:tblPr>
        <w:tblW w:w="0" w:type="auto"/>
        <w:tblLook w:val="01E0"/>
      </w:tblPr>
      <w:tblGrid>
        <w:gridCol w:w="4335"/>
        <w:gridCol w:w="4305"/>
      </w:tblGrid>
      <w:tr w14:paraId="7444819B" w14:textId="77777777" w:rsidTr="002D45B9">
        <w:tblPrEx>
          <w:tblW w:w="0" w:type="auto"/>
          <w:tblLook w:val="01E0"/>
        </w:tblPrEx>
        <w:tc>
          <w:tcPr>
            <w:tcW w:w="4428" w:type="dxa"/>
            <w:shd w:val="clear" w:color="auto" w:fill="auto"/>
          </w:tcPr>
          <w:p w:rsidR="00FD0FAA" w:rsidRPr="008C4285" w:rsidP="002D45B9" w14:paraId="515435AB" w14:textId="77777777">
            <w:pPr>
              <w:rPr>
                <w:color w:val="0000FF"/>
                <w:sz w:val="24"/>
                <w:szCs w:val="24"/>
                <w:u w:val="single"/>
              </w:rPr>
            </w:pPr>
            <w:r w:rsidRPr="008C4285">
              <w:rPr>
                <w:color w:val="0000FF"/>
                <w:sz w:val="24"/>
                <w:szCs w:val="24"/>
                <w:u w:val="single"/>
              </w:rPr>
              <w:t>thomas.lindgren@ohioago.gov</w:t>
            </w:r>
          </w:p>
          <w:p w:rsidR="00FD0FAA" w:rsidRPr="008C4285" w:rsidP="002D45B9" w14:paraId="269BC7A0" w14:textId="77777777">
            <w:pPr>
              <w:rPr>
                <w:color w:val="0000FF"/>
                <w:sz w:val="24"/>
                <w:szCs w:val="24"/>
                <w:u w:val="single"/>
              </w:rPr>
            </w:pPr>
            <w:hyperlink r:id="rId8" w:history="1">
              <w:r w:rsidRPr="008C4285">
                <w:rPr>
                  <w:color w:val="0000FF"/>
                  <w:sz w:val="24"/>
                  <w:szCs w:val="24"/>
                  <w:u w:val="single"/>
                </w:rPr>
                <w:t>rhiannon.plant@ohioago.gov</w:t>
              </w:r>
            </w:hyperlink>
          </w:p>
          <w:p w:rsidR="00FD0FAA" w:rsidRPr="008C4285" w:rsidP="002D45B9" w14:paraId="41460B2F" w14:textId="77777777">
            <w:pPr>
              <w:rPr>
                <w:sz w:val="24"/>
                <w:szCs w:val="24"/>
              </w:rPr>
            </w:pPr>
            <w:hyperlink r:id="rId9" w:history="1">
              <w:r w:rsidRPr="008C4285">
                <w:rPr>
                  <w:color w:val="0000FF"/>
                  <w:sz w:val="24"/>
                  <w:szCs w:val="24"/>
                  <w:u w:val="single"/>
                </w:rPr>
                <w:t>dproano@bakerlaw.com</w:t>
              </w:r>
            </w:hyperlink>
          </w:p>
          <w:p w:rsidR="00FD0FAA" w:rsidRPr="008C4285" w:rsidP="002D45B9" w14:paraId="3727DD8C" w14:textId="77777777">
            <w:pPr>
              <w:rPr>
                <w:sz w:val="24"/>
                <w:szCs w:val="24"/>
              </w:rPr>
            </w:pPr>
            <w:hyperlink r:id="rId10" w:history="1">
              <w:r w:rsidRPr="008C4285">
                <w:rPr>
                  <w:color w:val="0000FF"/>
                  <w:sz w:val="24"/>
                  <w:szCs w:val="24"/>
                  <w:u w:val="single"/>
                </w:rPr>
                <w:t>jrollinson@bakerlaw.com</w:t>
              </w:r>
            </w:hyperlink>
          </w:p>
          <w:p w:rsidR="00FD0FAA" w:rsidRPr="008C4285" w:rsidP="002D45B9" w14:paraId="0F6B04AD" w14:textId="77777777">
            <w:pPr>
              <w:rPr>
                <w:sz w:val="24"/>
                <w:szCs w:val="24"/>
              </w:rPr>
            </w:pPr>
            <w:hyperlink r:id="rId11" w:history="1">
              <w:r w:rsidRPr="008C4285">
                <w:rPr>
                  <w:color w:val="0000FF"/>
                  <w:sz w:val="24"/>
                  <w:szCs w:val="24"/>
                  <w:u w:val="single"/>
                </w:rPr>
                <w:t>plewis@bakerlaw.com</w:t>
              </w:r>
            </w:hyperlink>
          </w:p>
          <w:p w:rsidR="00FD0FAA" w:rsidRPr="008C4285" w:rsidP="002D45B9" w14:paraId="179F18E6" w14:textId="77777777">
            <w:pPr>
              <w:rPr>
                <w:sz w:val="24"/>
                <w:szCs w:val="24"/>
              </w:rPr>
            </w:pPr>
            <w:hyperlink r:id="rId12" w:history="1">
              <w:r w:rsidRPr="008C4285">
                <w:rPr>
                  <w:color w:val="0000FF"/>
                  <w:sz w:val="24"/>
                  <w:szCs w:val="24"/>
                  <w:u w:val="single"/>
                </w:rPr>
                <w:t>kcutts@bakerlaw.com</w:t>
              </w:r>
            </w:hyperlink>
          </w:p>
          <w:p w:rsidR="00FD0FAA" w:rsidRPr="008C4285" w:rsidP="002D45B9" w14:paraId="4D8ADDEF" w14:textId="77777777">
            <w:pPr>
              <w:rPr>
                <w:sz w:val="24"/>
                <w:szCs w:val="24"/>
              </w:rPr>
            </w:pPr>
            <w:hyperlink r:id="rId13" w:history="1">
              <w:r w:rsidRPr="008C4285">
                <w:rPr>
                  <w:color w:val="0000FF"/>
                  <w:sz w:val="24"/>
                  <w:szCs w:val="24"/>
                  <w:u w:val="single"/>
                </w:rPr>
                <w:t>tathompson@bakerlaw.com</w:t>
              </w:r>
            </w:hyperlink>
          </w:p>
          <w:p w:rsidR="00FD0FAA" w:rsidRPr="008C4285" w:rsidP="002D45B9" w14:paraId="6371045F" w14:textId="77777777">
            <w:pPr>
              <w:rPr>
                <w:color w:val="0000FF"/>
                <w:sz w:val="24"/>
                <w:szCs w:val="24"/>
                <w:u w:val="single"/>
              </w:rPr>
            </w:pPr>
            <w:hyperlink r:id="rId14" w:history="1">
              <w:r w:rsidRPr="008C4285">
                <w:rPr>
                  <w:color w:val="0000FF"/>
                  <w:sz w:val="24"/>
                  <w:szCs w:val="24"/>
                  <w:u w:val="single"/>
                </w:rPr>
                <w:t>ahaque@bakerlaw.com</w:t>
              </w:r>
            </w:hyperlink>
          </w:p>
          <w:p w:rsidR="00FD0FAA" w:rsidRPr="008C4285" w:rsidP="002D45B9" w14:paraId="01C19598" w14:textId="77777777">
            <w:pPr>
              <w:rPr>
                <w:color w:val="0000FF"/>
                <w:sz w:val="24"/>
                <w:szCs w:val="24"/>
                <w:u w:val="single"/>
              </w:rPr>
            </w:pPr>
            <w:r w:rsidRPr="008C4285">
              <w:rPr>
                <w:color w:val="0000FF"/>
                <w:sz w:val="24"/>
                <w:szCs w:val="24"/>
                <w:u w:val="single"/>
              </w:rPr>
              <w:t>gbenson@bakerlaw.com</w:t>
            </w:r>
          </w:p>
          <w:p w:rsidR="00FD0FAA" w:rsidRPr="008C4285" w:rsidP="002D45B9" w14:paraId="7A949CF7" w14:textId="77777777">
            <w:pPr>
              <w:rPr>
                <w:sz w:val="24"/>
                <w:szCs w:val="24"/>
              </w:rPr>
            </w:pPr>
            <w:hyperlink r:id="rId15" w:history="1">
              <w:r w:rsidRPr="008C4285">
                <w:rPr>
                  <w:rStyle w:val="Hyperlink"/>
                  <w:sz w:val="24"/>
                  <w:szCs w:val="24"/>
                </w:rPr>
                <w:t>michael.yuffee@bakerbotts.com</w:t>
              </w:r>
            </w:hyperlink>
          </w:p>
          <w:p w:rsidR="00FD0FAA" w:rsidRPr="008C4285" w:rsidP="002D45B9" w14:paraId="3256AB24" w14:textId="77777777">
            <w:pPr>
              <w:rPr>
                <w:color w:val="0000FF"/>
                <w:sz w:val="24"/>
                <w:szCs w:val="24"/>
                <w:u w:val="single"/>
              </w:rPr>
            </w:pPr>
            <w:hyperlink r:id="rId16" w:history="1">
              <w:r w:rsidRPr="008C4285">
                <w:rPr>
                  <w:rStyle w:val="Hyperlink"/>
                  <w:sz w:val="24"/>
                  <w:szCs w:val="24"/>
                </w:rPr>
                <w:t>ryan.norfolk@bakerbotts.com</w:t>
              </w:r>
            </w:hyperlink>
          </w:p>
          <w:p w:rsidR="00FD0FAA" w:rsidRPr="008C4285" w:rsidP="002D45B9" w14:paraId="41F054C7" w14:textId="77777777">
            <w:pPr>
              <w:rPr>
                <w:color w:val="0000FF"/>
                <w:sz w:val="24"/>
                <w:szCs w:val="24"/>
                <w:u w:val="single"/>
              </w:rPr>
            </w:pPr>
            <w:hyperlink r:id="rId17" w:history="1">
              <w:r w:rsidRPr="008C4285">
                <w:rPr>
                  <w:rStyle w:val="Hyperlink"/>
                  <w:sz w:val="24"/>
                  <w:szCs w:val="24"/>
                </w:rPr>
                <w:t>mrgladman@jonesday.com</w:t>
              </w:r>
            </w:hyperlink>
          </w:p>
          <w:p w:rsidR="00FD0FAA" w:rsidRPr="008C4285" w:rsidP="002D45B9" w14:paraId="3BF121D2" w14:textId="77777777">
            <w:pPr>
              <w:rPr>
                <w:color w:val="0000FF"/>
                <w:sz w:val="24"/>
                <w:szCs w:val="24"/>
                <w:u w:val="single"/>
              </w:rPr>
            </w:pPr>
            <w:hyperlink r:id="rId18" w:history="1">
              <w:r w:rsidRPr="008C4285">
                <w:rPr>
                  <w:rStyle w:val="Hyperlink"/>
                  <w:sz w:val="24"/>
                  <w:szCs w:val="24"/>
                </w:rPr>
                <w:t>sgoyal@jonesday.com</w:t>
              </w:r>
            </w:hyperlink>
          </w:p>
          <w:p w:rsidR="00FD0FAA" w:rsidRPr="008C4285" w:rsidP="002D45B9" w14:paraId="2CAB52BA" w14:textId="77777777">
            <w:pPr>
              <w:rPr>
                <w:color w:val="0000FF"/>
                <w:sz w:val="24"/>
                <w:szCs w:val="24"/>
                <w:u w:val="single"/>
              </w:rPr>
            </w:pPr>
            <w:hyperlink r:id="rId19" w:history="1">
              <w:r w:rsidRPr="008C4285">
                <w:rPr>
                  <w:rStyle w:val="Hyperlink"/>
                  <w:sz w:val="24"/>
                  <w:szCs w:val="24"/>
                </w:rPr>
                <w:t>mdengler@jonesday.com</w:t>
              </w:r>
            </w:hyperlink>
          </w:p>
          <w:p w:rsidR="00FD0FAA" w:rsidRPr="008C4285" w:rsidP="002D45B9" w14:paraId="43917074" w14:textId="77777777">
            <w:pPr>
              <w:rPr>
                <w:color w:val="0000FF"/>
                <w:sz w:val="24"/>
                <w:szCs w:val="24"/>
                <w:u w:val="single"/>
              </w:rPr>
            </w:pPr>
            <w:hyperlink r:id="rId20" w:history="1">
              <w:r w:rsidRPr="008C4285">
                <w:rPr>
                  <w:rStyle w:val="Hyperlink"/>
                  <w:sz w:val="24"/>
                  <w:szCs w:val="24"/>
                </w:rPr>
                <w:t>radoringo@jonesday.com</w:t>
              </w:r>
            </w:hyperlink>
          </w:p>
          <w:p w:rsidR="00FD0FAA" w:rsidRPr="008C4285" w:rsidP="002D45B9" w14:paraId="3D93E589" w14:textId="77777777">
            <w:pPr>
              <w:rPr>
                <w:color w:val="0000FF"/>
                <w:sz w:val="24"/>
                <w:szCs w:val="24"/>
                <w:u w:val="single"/>
              </w:rPr>
            </w:pPr>
            <w:hyperlink r:id="rId21" w:history="1">
              <w:r w:rsidRPr="008C4285">
                <w:rPr>
                  <w:rStyle w:val="Hyperlink"/>
                  <w:sz w:val="24"/>
                  <w:szCs w:val="24"/>
                </w:rPr>
                <w:t>cwatchorn@firstenergycorp.com</w:t>
              </w:r>
            </w:hyperlink>
          </w:p>
          <w:p w:rsidR="00FD0FAA" w:rsidRPr="008C4285" w:rsidP="002D45B9" w14:paraId="6DD998FA" w14:textId="77777777">
            <w:pPr>
              <w:rPr>
                <w:color w:val="0000FF"/>
                <w:sz w:val="24"/>
                <w:szCs w:val="24"/>
                <w:u w:val="single"/>
              </w:rPr>
            </w:pPr>
            <w:r w:rsidRPr="008C4285">
              <w:rPr>
                <w:color w:val="0000FF"/>
                <w:sz w:val="24"/>
                <w:szCs w:val="24"/>
                <w:u w:val="single"/>
              </w:rPr>
              <w:t>zwoltz@firstenergycorp.com</w:t>
            </w:r>
          </w:p>
          <w:p w:rsidR="00FD0FAA" w:rsidRPr="008C4285" w:rsidP="002D45B9" w14:paraId="4FCE915A" w14:textId="77777777">
            <w:pPr>
              <w:rPr>
                <w:color w:val="0000FF"/>
                <w:sz w:val="24"/>
                <w:szCs w:val="24"/>
                <w:u w:val="single"/>
              </w:rPr>
            </w:pPr>
          </w:p>
          <w:p w:rsidR="00FD0FAA" w:rsidRPr="008C4285" w:rsidP="002D45B9" w14:paraId="42AAFE24" w14:textId="77777777">
            <w:pPr>
              <w:rPr>
                <w:sz w:val="24"/>
                <w:szCs w:val="24"/>
              </w:rPr>
            </w:pPr>
            <w:r w:rsidRPr="008C4285">
              <w:rPr>
                <w:sz w:val="24"/>
                <w:szCs w:val="24"/>
              </w:rPr>
              <w:t>Attorney Examiners:</w:t>
            </w:r>
          </w:p>
          <w:p w:rsidR="00FD0FAA" w:rsidRPr="008C4285" w:rsidP="002D45B9" w14:paraId="34E479C1" w14:textId="77777777">
            <w:pPr>
              <w:rPr>
                <w:sz w:val="24"/>
                <w:szCs w:val="24"/>
              </w:rPr>
            </w:pPr>
            <w:hyperlink r:id="rId22" w:history="1">
              <w:r w:rsidRPr="008C4285">
                <w:rPr>
                  <w:color w:val="0000FF"/>
                  <w:sz w:val="24"/>
                  <w:szCs w:val="24"/>
                  <w:u w:val="single"/>
                </w:rPr>
                <w:t>megan.addison@puco.ohio.gov</w:t>
              </w:r>
            </w:hyperlink>
          </w:p>
          <w:p w:rsidR="00FD0FAA" w:rsidRPr="008C4285" w:rsidP="002D45B9" w14:paraId="3FF30A80" w14:textId="77777777">
            <w:pPr>
              <w:rPr>
                <w:color w:val="0000FF"/>
                <w:sz w:val="24"/>
                <w:szCs w:val="24"/>
                <w:u w:val="single"/>
              </w:rPr>
            </w:pPr>
            <w:hyperlink r:id="rId23" w:history="1">
              <w:r w:rsidRPr="008C4285">
                <w:rPr>
                  <w:color w:val="0000FF"/>
                  <w:sz w:val="24"/>
                  <w:szCs w:val="24"/>
                  <w:u w:val="single"/>
                </w:rPr>
                <w:t>greg.price@puco.ohio.gov</w:t>
              </w:r>
            </w:hyperlink>
          </w:p>
          <w:p w:rsidR="00FD0FAA" w:rsidRPr="008C4285" w:rsidP="002D45B9" w14:paraId="74BD423C" w14:textId="74545D8B">
            <w:pPr>
              <w:rPr>
                <w:sz w:val="24"/>
                <w:szCs w:val="24"/>
              </w:rPr>
            </w:pPr>
            <w:hyperlink r:id="rId24" w:history="1">
              <w:r w:rsidRPr="008C4285">
                <w:rPr>
                  <w:rStyle w:val="Hyperlink"/>
                  <w:sz w:val="24"/>
                  <w:szCs w:val="24"/>
                </w:rPr>
                <w:t>jacqueline.st.john@puco.ohio.gov</w:t>
              </w:r>
            </w:hyperlink>
          </w:p>
          <w:p w:rsidR="00FD0FAA" w:rsidRPr="008C4285" w:rsidP="002D45B9" w14:paraId="3C1FB050" w14:textId="7D45AAFA">
            <w:pPr>
              <w:rPr>
                <w:sz w:val="24"/>
                <w:szCs w:val="24"/>
              </w:rPr>
            </w:pPr>
          </w:p>
        </w:tc>
        <w:tc>
          <w:tcPr>
            <w:tcW w:w="4428" w:type="dxa"/>
            <w:shd w:val="clear" w:color="auto" w:fill="auto"/>
          </w:tcPr>
          <w:p w:rsidR="00FD0FAA" w:rsidRPr="008C4285" w:rsidP="002D45B9" w14:paraId="26BBC6AE" w14:textId="77777777">
            <w:pPr>
              <w:ind w:left="570"/>
              <w:jc w:val="both"/>
              <w:rPr>
                <w:sz w:val="24"/>
                <w:szCs w:val="24"/>
              </w:rPr>
            </w:pPr>
            <w:hyperlink r:id="rId25" w:history="1">
              <w:r w:rsidRPr="008C4285">
                <w:rPr>
                  <w:color w:val="0000FF"/>
                  <w:sz w:val="24"/>
                  <w:szCs w:val="24"/>
                  <w:u w:val="single"/>
                </w:rPr>
                <w:t>dstinson@bricker.com</w:t>
              </w:r>
            </w:hyperlink>
          </w:p>
          <w:p w:rsidR="00FD0FAA" w:rsidRPr="008C4285" w:rsidP="002D45B9" w14:paraId="0CC1BDFB" w14:textId="77777777">
            <w:pPr>
              <w:ind w:left="570"/>
              <w:jc w:val="both"/>
              <w:rPr>
                <w:color w:val="0000FF"/>
                <w:sz w:val="24"/>
                <w:szCs w:val="24"/>
                <w:u w:val="single"/>
              </w:rPr>
            </w:pPr>
            <w:hyperlink r:id="rId26" w:history="1">
              <w:r w:rsidRPr="008C4285">
                <w:rPr>
                  <w:color w:val="0000FF"/>
                  <w:sz w:val="24"/>
                  <w:szCs w:val="24"/>
                  <w:u w:val="single"/>
                </w:rPr>
                <w:t>dparram@bricker.com</w:t>
              </w:r>
            </w:hyperlink>
          </w:p>
          <w:p w:rsidR="00FD0FAA" w:rsidRPr="008C4285" w:rsidP="002D45B9" w14:paraId="7FA20592" w14:textId="77777777">
            <w:pPr>
              <w:ind w:left="570"/>
              <w:jc w:val="both"/>
              <w:rPr>
                <w:sz w:val="24"/>
                <w:szCs w:val="24"/>
              </w:rPr>
            </w:pPr>
            <w:hyperlink r:id="rId27" w:history="1">
              <w:r w:rsidRPr="008C4285">
                <w:rPr>
                  <w:rStyle w:val="Hyperlink"/>
                  <w:sz w:val="24"/>
                  <w:szCs w:val="24"/>
                </w:rPr>
                <w:t>dcampbell@bricker.com</w:t>
              </w:r>
            </w:hyperlink>
          </w:p>
          <w:p w:rsidR="00FD0FAA" w:rsidRPr="008C4285" w:rsidP="002D45B9" w14:paraId="05BCA582" w14:textId="77777777">
            <w:pPr>
              <w:ind w:left="570"/>
              <w:jc w:val="both"/>
              <w:rPr>
                <w:color w:val="0000FF"/>
                <w:sz w:val="24"/>
                <w:szCs w:val="24"/>
                <w:u w:val="single"/>
              </w:rPr>
            </w:pPr>
            <w:hyperlink r:id="rId28" w:history="1">
              <w:r w:rsidRPr="008C4285">
                <w:rPr>
                  <w:color w:val="0000FF"/>
                  <w:sz w:val="24"/>
                  <w:szCs w:val="24"/>
                  <w:u w:val="single"/>
                </w:rPr>
                <w:t>mwarnock@bricker.com</w:t>
              </w:r>
            </w:hyperlink>
          </w:p>
          <w:p w:rsidR="00FD0FAA" w:rsidRPr="008C4285" w:rsidP="002D45B9" w14:paraId="31261C42" w14:textId="77777777">
            <w:pPr>
              <w:ind w:left="570"/>
              <w:jc w:val="both"/>
              <w:rPr>
                <w:sz w:val="24"/>
                <w:szCs w:val="24"/>
              </w:rPr>
            </w:pPr>
            <w:hyperlink r:id="rId29" w:history="1">
              <w:r w:rsidRPr="008C4285">
                <w:rPr>
                  <w:rStyle w:val="Hyperlink"/>
                  <w:sz w:val="24"/>
                  <w:szCs w:val="24"/>
                </w:rPr>
                <w:t>gkrassen@nopec.org</w:t>
              </w:r>
            </w:hyperlink>
          </w:p>
          <w:p w:rsidR="00FD0FAA" w:rsidRPr="008C4285" w:rsidP="002D45B9" w14:paraId="1E16D404" w14:textId="77777777">
            <w:pPr>
              <w:ind w:left="570"/>
              <w:jc w:val="both"/>
              <w:rPr>
                <w:sz w:val="24"/>
                <w:szCs w:val="24"/>
              </w:rPr>
            </w:pPr>
            <w:hyperlink r:id="rId30" w:history="1">
              <w:r w:rsidRPr="008C4285">
                <w:rPr>
                  <w:color w:val="0000FF"/>
                  <w:sz w:val="24"/>
                  <w:szCs w:val="24"/>
                  <w:u w:val="single"/>
                </w:rPr>
                <w:t>jlang@calfee.com</w:t>
              </w:r>
            </w:hyperlink>
          </w:p>
          <w:p w:rsidR="00FD0FAA" w:rsidRPr="008C4285" w:rsidP="002D45B9" w14:paraId="6CD04E3B" w14:textId="77777777">
            <w:pPr>
              <w:ind w:left="570"/>
              <w:jc w:val="both"/>
              <w:rPr>
                <w:sz w:val="24"/>
                <w:szCs w:val="24"/>
              </w:rPr>
            </w:pPr>
            <w:hyperlink r:id="rId31" w:history="1">
              <w:r w:rsidRPr="008C4285">
                <w:rPr>
                  <w:color w:val="0000FF"/>
                  <w:sz w:val="24"/>
                  <w:szCs w:val="24"/>
                  <w:u w:val="single"/>
                </w:rPr>
                <w:t>lmcbride@calfee.com</w:t>
              </w:r>
            </w:hyperlink>
          </w:p>
          <w:p w:rsidR="00FD0FAA" w:rsidRPr="008C4285" w:rsidP="002D45B9" w14:paraId="0E5610CB" w14:textId="77777777">
            <w:pPr>
              <w:ind w:left="570"/>
              <w:jc w:val="both"/>
              <w:rPr>
                <w:sz w:val="24"/>
                <w:szCs w:val="24"/>
              </w:rPr>
            </w:pPr>
            <w:hyperlink r:id="rId32" w:history="1">
              <w:r w:rsidRPr="008C4285">
                <w:rPr>
                  <w:color w:val="0000FF"/>
                  <w:sz w:val="24"/>
                  <w:szCs w:val="24"/>
                  <w:u w:val="single"/>
                </w:rPr>
                <w:t>jejadwin@aep.com</w:t>
              </w:r>
            </w:hyperlink>
          </w:p>
          <w:p w:rsidR="00FD0FAA" w:rsidRPr="008C4285" w:rsidP="002D45B9" w14:paraId="16CEE9D4" w14:textId="77777777">
            <w:pPr>
              <w:ind w:left="570"/>
              <w:jc w:val="both"/>
              <w:rPr>
                <w:sz w:val="24"/>
                <w:szCs w:val="24"/>
              </w:rPr>
            </w:pPr>
            <w:hyperlink r:id="rId33" w:history="1">
              <w:r w:rsidRPr="008C4285">
                <w:rPr>
                  <w:color w:val="0000FF"/>
                  <w:sz w:val="24"/>
                  <w:szCs w:val="24"/>
                  <w:u w:val="single"/>
                </w:rPr>
                <w:t>stnourse@aep.com</w:t>
              </w:r>
            </w:hyperlink>
          </w:p>
          <w:p w:rsidR="00FD0FAA" w:rsidRPr="008C4285" w:rsidP="002D45B9" w14:paraId="1AED38B1" w14:textId="77777777">
            <w:pPr>
              <w:ind w:left="570"/>
              <w:jc w:val="both"/>
              <w:rPr>
                <w:sz w:val="24"/>
                <w:szCs w:val="24"/>
              </w:rPr>
            </w:pPr>
            <w:hyperlink r:id="rId34" w:history="1">
              <w:r w:rsidRPr="008C4285">
                <w:rPr>
                  <w:color w:val="0000FF"/>
                  <w:sz w:val="24"/>
                  <w:szCs w:val="24"/>
                  <w:u w:val="single"/>
                </w:rPr>
                <w:t>mdortch@kravitzllc.com</w:t>
              </w:r>
            </w:hyperlink>
          </w:p>
          <w:p w:rsidR="00FD0FAA" w:rsidRPr="008C4285" w:rsidP="002D45B9" w14:paraId="19A4AD81" w14:textId="77777777">
            <w:pPr>
              <w:ind w:left="570"/>
              <w:jc w:val="both"/>
              <w:rPr>
                <w:sz w:val="24"/>
                <w:szCs w:val="24"/>
              </w:rPr>
            </w:pPr>
            <w:hyperlink r:id="rId35" w:history="1">
              <w:r w:rsidRPr="008C4285">
                <w:rPr>
                  <w:color w:val="0000FF"/>
                  <w:sz w:val="24"/>
                  <w:szCs w:val="24"/>
                  <w:u w:val="single"/>
                </w:rPr>
                <w:t>jdortch@kravitzllc.com</w:t>
              </w:r>
            </w:hyperlink>
          </w:p>
          <w:p w:rsidR="00FD0FAA" w:rsidRPr="008C4285" w:rsidP="002D45B9" w14:paraId="5DA0E11D" w14:textId="77777777">
            <w:pPr>
              <w:ind w:left="570"/>
              <w:jc w:val="both"/>
              <w:rPr>
                <w:sz w:val="24"/>
                <w:szCs w:val="24"/>
              </w:rPr>
            </w:pPr>
            <w:hyperlink r:id="rId36" w:history="1">
              <w:r w:rsidRPr="008C4285">
                <w:rPr>
                  <w:color w:val="0000FF"/>
                  <w:sz w:val="24"/>
                  <w:szCs w:val="24"/>
                  <w:u w:val="single"/>
                </w:rPr>
                <w:t>rparsons@kravitzllc.com</w:t>
              </w:r>
            </w:hyperlink>
          </w:p>
          <w:p w:rsidR="00FD0FAA" w:rsidRPr="008C4285" w:rsidP="002D45B9" w14:paraId="7FE8F8A9" w14:textId="77777777">
            <w:pPr>
              <w:ind w:left="570"/>
              <w:jc w:val="both"/>
              <w:rPr>
                <w:sz w:val="24"/>
                <w:szCs w:val="24"/>
              </w:rPr>
            </w:pPr>
            <w:hyperlink r:id="rId37" w:history="1">
              <w:r w:rsidRPr="008C4285">
                <w:rPr>
                  <w:color w:val="0000FF"/>
                  <w:sz w:val="24"/>
                  <w:szCs w:val="24"/>
                  <w:u w:val="single"/>
                </w:rPr>
                <w:t>amy.spiller@duke-energy.com</w:t>
              </w:r>
            </w:hyperlink>
          </w:p>
          <w:p w:rsidR="00FD0FAA" w:rsidRPr="008C4285" w:rsidP="002D45B9" w14:paraId="27987783" w14:textId="77777777">
            <w:pPr>
              <w:ind w:left="570"/>
              <w:jc w:val="both"/>
              <w:rPr>
                <w:sz w:val="24"/>
                <w:szCs w:val="24"/>
              </w:rPr>
            </w:pPr>
            <w:hyperlink r:id="rId38" w:history="1">
              <w:r w:rsidRPr="008C4285">
                <w:rPr>
                  <w:color w:val="0000FF"/>
                  <w:sz w:val="24"/>
                  <w:szCs w:val="24"/>
                  <w:u w:val="single"/>
                </w:rPr>
                <w:t>evan.betterton@igs.com</w:t>
              </w:r>
            </w:hyperlink>
          </w:p>
          <w:p w:rsidR="00FD0FAA" w:rsidRPr="008C4285" w:rsidP="002D45B9" w14:paraId="1F2DA9D8" w14:textId="77777777">
            <w:pPr>
              <w:ind w:left="570"/>
              <w:jc w:val="both"/>
              <w:rPr>
                <w:color w:val="0000FF"/>
                <w:sz w:val="24"/>
                <w:szCs w:val="24"/>
                <w:u w:val="single"/>
              </w:rPr>
            </w:pPr>
            <w:hyperlink r:id="rId39" w:history="1">
              <w:r w:rsidRPr="008C4285">
                <w:rPr>
                  <w:color w:val="0000FF"/>
                  <w:sz w:val="24"/>
                  <w:szCs w:val="24"/>
                  <w:u w:val="single"/>
                </w:rPr>
                <w:t>stacie.cathcart@igs.com</w:t>
              </w:r>
            </w:hyperlink>
          </w:p>
          <w:p w:rsidR="00FD0FAA" w:rsidRPr="008C4285" w:rsidP="002D45B9" w14:paraId="35D9815C" w14:textId="77777777">
            <w:pPr>
              <w:jc w:val="both"/>
              <w:rPr>
                <w:sz w:val="24"/>
                <w:szCs w:val="24"/>
              </w:rPr>
            </w:pPr>
          </w:p>
        </w:tc>
      </w:tr>
      <w:tr w14:paraId="364EB890" w14:textId="77777777" w:rsidTr="002D45B9">
        <w:tblPrEx>
          <w:tblW w:w="0" w:type="auto"/>
          <w:tblLook w:val="01E0"/>
        </w:tblPrEx>
        <w:tc>
          <w:tcPr>
            <w:tcW w:w="4428" w:type="dxa"/>
            <w:shd w:val="clear" w:color="auto" w:fill="auto"/>
          </w:tcPr>
          <w:p w:rsidR="00FD0FAA" w:rsidRPr="008C4285" w:rsidP="002D45B9" w14:paraId="032D19B0" w14:textId="77777777">
            <w:pPr>
              <w:rPr>
                <w:sz w:val="24"/>
                <w:szCs w:val="24"/>
              </w:rPr>
            </w:pPr>
          </w:p>
        </w:tc>
        <w:tc>
          <w:tcPr>
            <w:tcW w:w="4428" w:type="dxa"/>
            <w:shd w:val="clear" w:color="auto" w:fill="auto"/>
          </w:tcPr>
          <w:p w:rsidR="00FD0FAA" w:rsidRPr="008C4285" w:rsidP="002D45B9" w14:paraId="743F2A82" w14:textId="77777777">
            <w:pPr>
              <w:rPr>
                <w:bCs/>
                <w:sz w:val="24"/>
                <w:szCs w:val="24"/>
              </w:rPr>
            </w:pPr>
          </w:p>
        </w:tc>
      </w:tr>
    </w:tbl>
    <w:p w:rsidR="00983744" w:rsidRPr="008C4285" w14:paraId="11587034" w14:textId="77777777">
      <w:pPr>
        <w:rPr>
          <w:sz w:val="24"/>
          <w:szCs w:val="24"/>
        </w:rPr>
      </w:pPr>
    </w:p>
    <w:sectPr>
      <w:footerReference w:type="default" r:id="rId40"/>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527296919"/>
      <w:docPartObj>
        <w:docPartGallery w:val="Page Numbers (Bottom of Page)"/>
        <w:docPartUnique/>
      </w:docPartObj>
    </w:sdtPr>
    <w:sdtEndPr>
      <w:rPr>
        <w:noProof/>
      </w:rPr>
    </w:sdtEndPr>
    <w:sdtContent>
      <w:p w:rsidR="00D56491" w:rsidRPr="000F5311" w14:paraId="5BD8DD09" w14:textId="76F4C841">
        <w:pPr>
          <w:pStyle w:val="Footer"/>
          <w:jc w:val="center"/>
          <w:rPr>
            <w:sz w:val="24"/>
            <w:szCs w:val="24"/>
          </w:rPr>
        </w:pPr>
        <w:r w:rsidRPr="000F5311">
          <w:rPr>
            <w:sz w:val="24"/>
            <w:szCs w:val="24"/>
          </w:rPr>
          <w:fldChar w:fldCharType="begin"/>
        </w:r>
        <w:r w:rsidRPr="000F5311">
          <w:rPr>
            <w:sz w:val="24"/>
            <w:szCs w:val="24"/>
          </w:rPr>
          <w:instrText xml:space="preserve"> PAGE   \* MERGEFORMAT </w:instrText>
        </w:r>
        <w:r w:rsidRPr="000F5311">
          <w:rPr>
            <w:sz w:val="24"/>
            <w:szCs w:val="24"/>
          </w:rPr>
          <w:fldChar w:fldCharType="separate"/>
        </w:r>
        <w:r w:rsidRPr="000F5311">
          <w:rPr>
            <w:noProof/>
            <w:sz w:val="24"/>
            <w:szCs w:val="24"/>
          </w:rPr>
          <w:t>2</w:t>
        </w:r>
        <w:r w:rsidRPr="000F5311">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22C6" w14:paraId="2C0A1F08" w14:textId="77777777">
      <w:r>
        <w:separator/>
      </w:r>
    </w:p>
  </w:footnote>
  <w:footnote w:type="continuationSeparator" w:id="1">
    <w:p w:rsidR="001022C6" w14:paraId="2FFB856D" w14:textId="77777777">
      <w:r>
        <w:continuationSeparator/>
      </w:r>
    </w:p>
  </w:footnote>
  <w:footnote w:id="2">
    <w:p w:rsidR="003E654E" w:rsidP="008C4285" w14:paraId="7721BE9A" w14:textId="039BA57E">
      <w:pPr>
        <w:pStyle w:val="FootnoteText"/>
        <w:spacing w:after="120"/>
      </w:pPr>
      <w:r>
        <w:rPr>
          <w:rStyle w:val="FootnoteReference"/>
        </w:rPr>
        <w:footnoteRef/>
      </w:r>
      <w:r>
        <w:t xml:space="preserve"> NOPEC’</w:t>
      </w:r>
      <w:r w:rsidR="00805BD3">
        <w:t>s</w:t>
      </w:r>
      <w:r>
        <w:t xml:space="preserve"> Opt-Out No</w:t>
      </w:r>
      <w:r w:rsidR="00AA03A7">
        <w:t>tice for Standard Program Customers, PUCO Case 00-2317-EL-GAG, (March 24, 2023)</w:t>
      </w:r>
      <w:r w:rsidR="00B41FF9">
        <w:t xml:space="preserve"> (</w:t>
      </w:r>
      <w:r w:rsidR="009A6E1B">
        <w:t xml:space="preserve">NOPEC </w:t>
      </w:r>
      <w:r w:rsidR="00805BD3">
        <w:t xml:space="preserve">is </w:t>
      </w:r>
      <w:r w:rsidR="009A6E1B">
        <w:t xml:space="preserve">offering </w:t>
      </w:r>
      <w:r w:rsidR="00B41FF9">
        <w:t>6.45 cent</w:t>
      </w:r>
      <w:r w:rsidR="0061629F">
        <w:t>s</w:t>
      </w:r>
      <w:r w:rsidR="00B41FF9">
        <w:t xml:space="preserve"> per kWh for the six months beginning June 2023). </w:t>
      </w:r>
    </w:p>
  </w:footnote>
  <w:footnote w:id="3">
    <w:p w:rsidR="004641E3" w:rsidP="008C4285" w14:paraId="1FB2E5AA" w14:textId="0DB438CF">
      <w:pPr>
        <w:pStyle w:val="FootnoteText"/>
        <w:spacing w:after="120"/>
      </w:pPr>
      <w:r>
        <w:rPr>
          <w:rStyle w:val="FootnoteReference"/>
        </w:rPr>
        <w:footnoteRef/>
      </w:r>
      <w:r>
        <w:t xml:space="preserve"> R.C. Chapter 4928.</w:t>
      </w:r>
    </w:p>
  </w:footnote>
  <w:footnote w:id="4">
    <w:p w:rsidR="00ED21A8" w:rsidP="008C4285" w14:paraId="1883AA4A" w14:textId="12AAD1A2">
      <w:pPr>
        <w:pStyle w:val="FootnoteText"/>
        <w:spacing w:after="120"/>
      </w:pPr>
      <w:r>
        <w:rPr>
          <w:rStyle w:val="FootnoteReference"/>
        </w:rPr>
        <w:footnoteRef/>
      </w:r>
      <w:r>
        <w:t xml:space="preserve"> NOPEC’s Opt-Out Notice for Standard Program Customers, PUCO Case 00-2317-EL-GAG, (March 24, 2023) (NOPEC </w:t>
      </w:r>
      <w:r w:rsidR="009F2B4E">
        <w:t xml:space="preserve">is </w:t>
      </w:r>
      <w:r>
        <w:t xml:space="preserve">offering 6.45 cents per kWh for the six months beginning June 2023). </w:t>
      </w:r>
    </w:p>
  </w:footnote>
  <w:footnote w:id="5">
    <w:p w:rsidR="00D87847" w:rsidP="008C4285" w14:paraId="5E6012A5" w14:textId="6D229C9C">
      <w:pPr>
        <w:pStyle w:val="FootnoteText"/>
        <w:spacing w:after="120"/>
      </w:pPr>
      <w:r w:rsidRPr="00AE69E1">
        <w:rPr>
          <w:rStyle w:val="FootnoteReference"/>
          <w:i/>
          <w:iCs/>
        </w:rPr>
        <w:footnoteRef/>
      </w:r>
      <w:r w:rsidRPr="00AE69E1">
        <w:rPr>
          <w:i/>
          <w:iCs/>
        </w:rPr>
        <w:t xml:space="preserve"> FirstEnergy default electricity prices will double in June. Here’s why</w:t>
      </w:r>
      <w:r w:rsidR="001D1F13">
        <w:t>,</w:t>
      </w:r>
      <w:r>
        <w:t xml:space="preserve"> Betty Lin-Fisher, Akron Beacon Journal (March 25, 2023</w:t>
      </w:r>
      <w:r w:rsidR="00F8000F">
        <w:t>).</w:t>
      </w:r>
    </w:p>
  </w:footnote>
  <w:footnote w:id="6">
    <w:p w:rsidR="00421BB3" w:rsidP="008C4285" w14:paraId="73886765" w14:textId="753186E6">
      <w:pPr>
        <w:pStyle w:val="FootnoteText"/>
        <w:spacing w:after="120"/>
      </w:pPr>
      <w:r>
        <w:rPr>
          <w:rStyle w:val="FootnoteReference"/>
        </w:rPr>
        <w:footnoteRef/>
      </w:r>
      <w:r>
        <w:t xml:space="preserve"> </w:t>
      </w:r>
      <w:r w:rsidRPr="003A37CC">
        <w:rPr>
          <w:i/>
          <w:iCs/>
        </w:rPr>
        <w:t>Id</w:t>
      </w:r>
      <w:r>
        <w:t>.</w:t>
      </w:r>
      <w:r w:rsidR="00537146">
        <w:t xml:space="preserve"> </w:t>
      </w:r>
    </w:p>
  </w:footnote>
  <w:footnote w:id="7">
    <w:p w:rsidR="00812829" w:rsidP="008C4285" w14:paraId="64CECD0E" w14:textId="01A7838B">
      <w:pPr>
        <w:pStyle w:val="FootnoteText"/>
        <w:spacing w:after="120"/>
      </w:pPr>
      <w:r>
        <w:rPr>
          <w:rStyle w:val="FootnoteReference"/>
        </w:rPr>
        <w:footnoteRef/>
      </w:r>
      <w:r>
        <w:t xml:space="preserve"> Vistra Corp. Form 8-K (Mar</w:t>
      </w:r>
      <w:r w:rsidR="005772BC">
        <w:t>ch</w:t>
      </w:r>
      <w:r>
        <w:t xml:space="preserve"> 7,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306D9"/>
    <w:multiLevelType w:val="hybridMultilevel"/>
    <w:tmpl w:val="CCAED562"/>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200A6C"/>
    <w:multiLevelType w:val="hybridMultilevel"/>
    <w:tmpl w:val="9DC40F06"/>
    <w:lvl w:ilvl="0">
      <w:start w:val="1"/>
      <w:numFmt w:val="decimal"/>
      <w:lvlText w:val="%1."/>
      <w:lvlJc w:val="left"/>
      <w:pPr>
        <w:ind w:left="4500" w:hanging="360"/>
      </w:pPr>
      <w:rPr>
        <w:rFonts w:hint="default"/>
      </w:rPr>
    </w:lvl>
    <w:lvl w:ilvl="1" w:tentative="1">
      <w:start w:val="1"/>
      <w:numFmt w:val="lowerLetter"/>
      <w:lvlText w:val="%2."/>
      <w:lvlJc w:val="left"/>
      <w:pPr>
        <w:ind w:left="5310" w:hanging="360"/>
      </w:pPr>
    </w:lvl>
    <w:lvl w:ilvl="2" w:tentative="1">
      <w:start w:val="1"/>
      <w:numFmt w:val="lowerRoman"/>
      <w:lvlText w:val="%3."/>
      <w:lvlJc w:val="right"/>
      <w:pPr>
        <w:ind w:left="6030" w:hanging="180"/>
      </w:pPr>
    </w:lvl>
    <w:lvl w:ilvl="3" w:tentative="1">
      <w:start w:val="1"/>
      <w:numFmt w:val="decimal"/>
      <w:lvlText w:val="%4."/>
      <w:lvlJc w:val="left"/>
      <w:pPr>
        <w:ind w:left="6750" w:hanging="360"/>
      </w:pPr>
    </w:lvl>
    <w:lvl w:ilvl="4" w:tentative="1">
      <w:start w:val="1"/>
      <w:numFmt w:val="lowerLetter"/>
      <w:lvlText w:val="%5."/>
      <w:lvlJc w:val="left"/>
      <w:pPr>
        <w:ind w:left="7470" w:hanging="360"/>
      </w:pPr>
    </w:lvl>
    <w:lvl w:ilvl="5" w:tentative="1">
      <w:start w:val="1"/>
      <w:numFmt w:val="lowerRoman"/>
      <w:lvlText w:val="%6."/>
      <w:lvlJc w:val="right"/>
      <w:pPr>
        <w:ind w:left="8190" w:hanging="180"/>
      </w:pPr>
    </w:lvl>
    <w:lvl w:ilvl="6" w:tentative="1">
      <w:start w:val="1"/>
      <w:numFmt w:val="decimal"/>
      <w:lvlText w:val="%7."/>
      <w:lvlJc w:val="left"/>
      <w:pPr>
        <w:ind w:left="8910" w:hanging="360"/>
      </w:pPr>
    </w:lvl>
    <w:lvl w:ilvl="7" w:tentative="1">
      <w:start w:val="1"/>
      <w:numFmt w:val="lowerLetter"/>
      <w:lvlText w:val="%8."/>
      <w:lvlJc w:val="left"/>
      <w:pPr>
        <w:ind w:left="9630" w:hanging="360"/>
      </w:pPr>
    </w:lvl>
    <w:lvl w:ilvl="8" w:tentative="1">
      <w:start w:val="1"/>
      <w:numFmt w:val="lowerRoman"/>
      <w:lvlText w:val="%9."/>
      <w:lvlJc w:val="right"/>
      <w:pPr>
        <w:ind w:left="10350" w:hanging="180"/>
      </w:pPr>
    </w:lvl>
  </w:abstractNum>
  <w:abstractNum w:abstractNumId="2">
    <w:nsid w:val="2FCE2AF8"/>
    <w:multiLevelType w:val="hybridMultilevel"/>
    <w:tmpl w:val="4808B18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31263564"/>
    <w:multiLevelType w:val="hybridMultilevel"/>
    <w:tmpl w:val="BA2EE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65452E8"/>
    <w:multiLevelType w:val="hybridMultilevel"/>
    <w:tmpl w:val="52C853F0"/>
    <w:lvl w:ilvl="0">
      <w:start w:val="3"/>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71B125D"/>
    <w:multiLevelType w:val="hybridMultilevel"/>
    <w:tmpl w:val="9A72875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71E13B1"/>
    <w:multiLevelType w:val="hybridMultilevel"/>
    <w:tmpl w:val="2070CD6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7850A1E"/>
    <w:multiLevelType w:val="hybridMultilevel"/>
    <w:tmpl w:val="80523D2A"/>
    <w:lvl w:ilvl="0">
      <w:start w:val="1"/>
      <w:numFmt w:val="upperRoman"/>
      <w:lvlText w:val="%1."/>
      <w:lvlJc w:val="left"/>
      <w:pPr>
        <w:ind w:left="126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7EA204A"/>
    <w:multiLevelType w:val="hybridMultilevel"/>
    <w:tmpl w:val="738A19C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60393BC1"/>
    <w:multiLevelType w:val="hybridMultilevel"/>
    <w:tmpl w:val="DA523656"/>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622D2F9D"/>
    <w:multiLevelType w:val="hybridMultilevel"/>
    <w:tmpl w:val="8948F8CE"/>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625E0DB5"/>
    <w:multiLevelType w:val="hybridMultilevel"/>
    <w:tmpl w:val="9C563C4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9287BF3"/>
    <w:multiLevelType w:val="hybridMultilevel"/>
    <w:tmpl w:val="1E727634"/>
    <w:lvl w:ilvl="0">
      <w:start w:val="3"/>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1"/>
  </w:num>
  <w:num w:numId="5">
    <w:abstractNumId w:val="6"/>
  </w:num>
  <w:num w:numId="6">
    <w:abstractNumId w:val="4"/>
  </w:num>
  <w:num w:numId="7">
    <w:abstractNumId w:val="9"/>
  </w:num>
  <w:num w:numId="8">
    <w:abstractNumId w:val="12"/>
  </w:num>
  <w:num w:numId="9">
    <w:abstractNumId w:val="2"/>
  </w:num>
  <w:num w:numId="10">
    <w:abstractNumId w:val="0"/>
  </w:num>
  <w:num w:numId="11">
    <w:abstractNumId w:val="1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44"/>
    <w:rsid w:val="000117A5"/>
    <w:rsid w:val="000176E3"/>
    <w:rsid w:val="00026A1F"/>
    <w:rsid w:val="00026AD3"/>
    <w:rsid w:val="00040197"/>
    <w:rsid w:val="00060A3F"/>
    <w:rsid w:val="00064A06"/>
    <w:rsid w:val="00072D37"/>
    <w:rsid w:val="00074C36"/>
    <w:rsid w:val="00076FA4"/>
    <w:rsid w:val="000B3542"/>
    <w:rsid w:val="000C211D"/>
    <w:rsid w:val="000E2AC5"/>
    <w:rsid w:val="000E5019"/>
    <w:rsid w:val="000F5311"/>
    <w:rsid w:val="001022C6"/>
    <w:rsid w:val="00105A6A"/>
    <w:rsid w:val="00114D93"/>
    <w:rsid w:val="001359F0"/>
    <w:rsid w:val="0015050F"/>
    <w:rsid w:val="001840B0"/>
    <w:rsid w:val="001C32F0"/>
    <w:rsid w:val="001C36E6"/>
    <w:rsid w:val="001D1F13"/>
    <w:rsid w:val="001F2247"/>
    <w:rsid w:val="001F2581"/>
    <w:rsid w:val="00234765"/>
    <w:rsid w:val="00235C2B"/>
    <w:rsid w:val="00253464"/>
    <w:rsid w:val="00272654"/>
    <w:rsid w:val="00276692"/>
    <w:rsid w:val="00284A29"/>
    <w:rsid w:val="00284E9A"/>
    <w:rsid w:val="002B428B"/>
    <w:rsid w:val="002C556B"/>
    <w:rsid w:val="002D45B9"/>
    <w:rsid w:val="002D7E0C"/>
    <w:rsid w:val="002F530F"/>
    <w:rsid w:val="00301E0D"/>
    <w:rsid w:val="00312042"/>
    <w:rsid w:val="00316070"/>
    <w:rsid w:val="00371D93"/>
    <w:rsid w:val="00374D51"/>
    <w:rsid w:val="00381D9B"/>
    <w:rsid w:val="00387B62"/>
    <w:rsid w:val="003914C2"/>
    <w:rsid w:val="003963D0"/>
    <w:rsid w:val="003A0563"/>
    <w:rsid w:val="003A37CC"/>
    <w:rsid w:val="003D4741"/>
    <w:rsid w:val="003E1922"/>
    <w:rsid w:val="003E654E"/>
    <w:rsid w:val="0040117F"/>
    <w:rsid w:val="00405EC0"/>
    <w:rsid w:val="00411CA6"/>
    <w:rsid w:val="00414D76"/>
    <w:rsid w:val="00415D13"/>
    <w:rsid w:val="00421BB3"/>
    <w:rsid w:val="004369EE"/>
    <w:rsid w:val="0045424B"/>
    <w:rsid w:val="004641E3"/>
    <w:rsid w:val="004658C8"/>
    <w:rsid w:val="00467A0A"/>
    <w:rsid w:val="00476FDC"/>
    <w:rsid w:val="004844F9"/>
    <w:rsid w:val="0049351A"/>
    <w:rsid w:val="004A095E"/>
    <w:rsid w:val="004A2B79"/>
    <w:rsid w:val="004B4192"/>
    <w:rsid w:val="004B48FA"/>
    <w:rsid w:val="004B5A51"/>
    <w:rsid w:val="004C5199"/>
    <w:rsid w:val="004D0A4B"/>
    <w:rsid w:val="00535791"/>
    <w:rsid w:val="00537146"/>
    <w:rsid w:val="005772BC"/>
    <w:rsid w:val="00580991"/>
    <w:rsid w:val="005925BF"/>
    <w:rsid w:val="00596E22"/>
    <w:rsid w:val="005A369E"/>
    <w:rsid w:val="005A6387"/>
    <w:rsid w:val="005B67EC"/>
    <w:rsid w:val="005B72BB"/>
    <w:rsid w:val="005C0B98"/>
    <w:rsid w:val="005C46EB"/>
    <w:rsid w:val="005E6BD1"/>
    <w:rsid w:val="005F017C"/>
    <w:rsid w:val="00613498"/>
    <w:rsid w:val="00614EF8"/>
    <w:rsid w:val="0061629F"/>
    <w:rsid w:val="006204BD"/>
    <w:rsid w:val="00621A44"/>
    <w:rsid w:val="00623B7C"/>
    <w:rsid w:val="00647375"/>
    <w:rsid w:val="006517D9"/>
    <w:rsid w:val="0067520E"/>
    <w:rsid w:val="006813A0"/>
    <w:rsid w:val="00681FEA"/>
    <w:rsid w:val="00683DC6"/>
    <w:rsid w:val="0069589A"/>
    <w:rsid w:val="006A0287"/>
    <w:rsid w:val="006C36FB"/>
    <w:rsid w:val="006D205C"/>
    <w:rsid w:val="006D4951"/>
    <w:rsid w:val="006F56AF"/>
    <w:rsid w:val="007021B7"/>
    <w:rsid w:val="00747794"/>
    <w:rsid w:val="00760100"/>
    <w:rsid w:val="00760C83"/>
    <w:rsid w:val="007B59D2"/>
    <w:rsid w:val="007B7272"/>
    <w:rsid w:val="007C39F4"/>
    <w:rsid w:val="007C4983"/>
    <w:rsid w:val="00801636"/>
    <w:rsid w:val="00805BD3"/>
    <w:rsid w:val="008060CE"/>
    <w:rsid w:val="00812829"/>
    <w:rsid w:val="00813773"/>
    <w:rsid w:val="00836BD9"/>
    <w:rsid w:val="00847636"/>
    <w:rsid w:val="008479E8"/>
    <w:rsid w:val="008519AB"/>
    <w:rsid w:val="00855B57"/>
    <w:rsid w:val="00866391"/>
    <w:rsid w:val="0088123A"/>
    <w:rsid w:val="008A2318"/>
    <w:rsid w:val="008A4F28"/>
    <w:rsid w:val="008B2AE8"/>
    <w:rsid w:val="008C03A0"/>
    <w:rsid w:val="008C049B"/>
    <w:rsid w:val="008C4285"/>
    <w:rsid w:val="00915980"/>
    <w:rsid w:val="00925865"/>
    <w:rsid w:val="0093002B"/>
    <w:rsid w:val="00940AF4"/>
    <w:rsid w:val="00943CA5"/>
    <w:rsid w:val="00944104"/>
    <w:rsid w:val="0094426E"/>
    <w:rsid w:val="0096725F"/>
    <w:rsid w:val="00983744"/>
    <w:rsid w:val="00983FFF"/>
    <w:rsid w:val="00991CC9"/>
    <w:rsid w:val="009A6E1B"/>
    <w:rsid w:val="009B2F9D"/>
    <w:rsid w:val="009E1BA6"/>
    <w:rsid w:val="009F2B4E"/>
    <w:rsid w:val="00A116E0"/>
    <w:rsid w:val="00A23FE8"/>
    <w:rsid w:val="00A56499"/>
    <w:rsid w:val="00A80031"/>
    <w:rsid w:val="00AA03A7"/>
    <w:rsid w:val="00AC0C33"/>
    <w:rsid w:val="00AC3461"/>
    <w:rsid w:val="00AD027B"/>
    <w:rsid w:val="00AE69E1"/>
    <w:rsid w:val="00AF25D4"/>
    <w:rsid w:val="00B162F3"/>
    <w:rsid w:val="00B30AEE"/>
    <w:rsid w:val="00B33CA8"/>
    <w:rsid w:val="00B3658C"/>
    <w:rsid w:val="00B41FF9"/>
    <w:rsid w:val="00B4517D"/>
    <w:rsid w:val="00B53515"/>
    <w:rsid w:val="00B825B5"/>
    <w:rsid w:val="00B87C88"/>
    <w:rsid w:val="00B9369D"/>
    <w:rsid w:val="00BA4A14"/>
    <w:rsid w:val="00BB7835"/>
    <w:rsid w:val="00BD34DC"/>
    <w:rsid w:val="00BD57C3"/>
    <w:rsid w:val="00C0617B"/>
    <w:rsid w:val="00C21AD2"/>
    <w:rsid w:val="00C27337"/>
    <w:rsid w:val="00C27779"/>
    <w:rsid w:val="00C3709B"/>
    <w:rsid w:val="00C972E2"/>
    <w:rsid w:val="00CD2AAF"/>
    <w:rsid w:val="00CF4FE5"/>
    <w:rsid w:val="00D2467D"/>
    <w:rsid w:val="00D27949"/>
    <w:rsid w:val="00D32E2F"/>
    <w:rsid w:val="00D41847"/>
    <w:rsid w:val="00D43416"/>
    <w:rsid w:val="00D56215"/>
    <w:rsid w:val="00D56491"/>
    <w:rsid w:val="00D61B92"/>
    <w:rsid w:val="00D87847"/>
    <w:rsid w:val="00DB48A0"/>
    <w:rsid w:val="00DB5B48"/>
    <w:rsid w:val="00DD2ADE"/>
    <w:rsid w:val="00DD3C4E"/>
    <w:rsid w:val="00DD4063"/>
    <w:rsid w:val="00DE2BD3"/>
    <w:rsid w:val="00DE68BC"/>
    <w:rsid w:val="00E003C8"/>
    <w:rsid w:val="00E05B13"/>
    <w:rsid w:val="00E12130"/>
    <w:rsid w:val="00E12207"/>
    <w:rsid w:val="00E132D2"/>
    <w:rsid w:val="00E138B9"/>
    <w:rsid w:val="00E2221F"/>
    <w:rsid w:val="00E34352"/>
    <w:rsid w:val="00E42DA6"/>
    <w:rsid w:val="00E81025"/>
    <w:rsid w:val="00EA17A5"/>
    <w:rsid w:val="00EC367E"/>
    <w:rsid w:val="00EC66A7"/>
    <w:rsid w:val="00ED21A8"/>
    <w:rsid w:val="00EE2FCD"/>
    <w:rsid w:val="00F117B3"/>
    <w:rsid w:val="00F266DA"/>
    <w:rsid w:val="00F40931"/>
    <w:rsid w:val="00F56BAF"/>
    <w:rsid w:val="00F71281"/>
    <w:rsid w:val="00F8000F"/>
    <w:rsid w:val="00F800C0"/>
    <w:rsid w:val="00F86908"/>
    <w:rsid w:val="00F95735"/>
    <w:rsid w:val="00FA217C"/>
    <w:rsid w:val="00FC0A0A"/>
    <w:rsid w:val="00FD07D3"/>
    <w:rsid w:val="00FD0FAA"/>
    <w:rsid w:val="00FD22CF"/>
    <w:rsid w:val="00FD2D7E"/>
    <w:rsid w:val="00FF2B23"/>
    <w:rsid w:val="00FF46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qFormat/>
    <w:rsid w:val="005B72BB"/>
    <w:pPr>
      <w:numPr>
        <w:numId w:val="10"/>
      </w:numPr>
      <w:spacing w:after="240"/>
      <w:ind w:left="720"/>
      <w:outlineLvl w:val="0"/>
    </w:pPr>
    <w:rPr>
      <w:b/>
      <w:bCs/>
      <w:sz w:val="24"/>
      <w:szCs w:val="24"/>
    </w:rPr>
  </w:style>
  <w:style w:type="paragraph" w:styleId="Heading2">
    <w:name w:val="heading 2"/>
    <w:basedOn w:val="Normal"/>
    <w:next w:val="Normal"/>
    <w:link w:val="Heading2Char"/>
    <w:unhideWhenUsed/>
    <w:qFormat/>
    <w:pPr>
      <w:spacing w:after="240"/>
      <w:ind w:left="1440" w:hanging="720"/>
      <w:outlineLvl w:val="1"/>
    </w:pPr>
    <w:rPr>
      <w:rFonts w:ascii="Times New Roman Bold" w:hAnsi="Times New Roman Bold"/>
      <w:b/>
      <w:bCs/>
      <w:sz w:val="24"/>
      <w:szCs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qFormat/>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rPr>
      <w:sz w:val="24"/>
    </w:rPr>
  </w:style>
  <w:style w:type="paragraph" w:styleId="Date">
    <w:name w:val="Date"/>
    <w:basedOn w:val="Normal"/>
    <w:next w:val="Normal"/>
    <w:rPr>
      <w:sz w:val="24"/>
    </w:rPr>
  </w:style>
  <w:style w:type="paragraph" w:customStyle="1" w:styleId="ShortReturnAddress">
    <w:name w:val="Short Return Address"/>
    <w:basedOn w:val="Normal"/>
    <w:rPr>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Indent3">
    <w:name w:val="Body Text Indent 3"/>
    <w:basedOn w:val="Normal"/>
    <w:link w:val="BodyTextIndent3Char"/>
    <w:pPr>
      <w:spacing w:line="480" w:lineRule="atLeast"/>
      <w:ind w:firstLine="720"/>
    </w:pPr>
    <w:rPr>
      <w:sz w:val="24"/>
    </w:rPr>
  </w:style>
  <w:style w:type="paragraph" w:styleId="BodyText">
    <w:name w:val="Body Text"/>
    <w:basedOn w:val="Normal"/>
    <w:pPr>
      <w:spacing w:after="120"/>
    </w:pPr>
  </w:style>
  <w:style w:type="character" w:styleId="Hyperlink">
    <w:name w:val="Hyperlink"/>
    <w:uiPriority w:val="99"/>
    <w:rPr>
      <w:color w:val="0000FF"/>
      <w:u w:val="single"/>
    </w:rPr>
  </w:style>
  <w:style w:type="paragraph" w:styleId="EndnoteText">
    <w:name w:val="endnote text"/>
    <w:basedOn w:val="Normal"/>
    <w:semiHidden/>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HTMLPreformattedChar">
    <w:name w:val="HTML Preformatted Char"/>
    <w:link w:val="HTMLPreformatted"/>
    <w:locked/>
    <w:rPr>
      <w:rFonts w:ascii="Courier New" w:eastAsia="Courier New" w:hAnsi="Courier New" w:cs="Courier New"/>
      <w:lang w:val="en-US" w:eastAsia="en-US" w:bidi="ar-SA"/>
    </w:rPr>
  </w:style>
  <w:style w:type="paragraph" w:styleId="CommentText">
    <w:name w:val="annotation text"/>
    <w:basedOn w:val="Normal"/>
    <w:link w:val="CommentTextCha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CharChar">
    <w:name w:val="Char Char"/>
    <w:semiHidden/>
    <w:locked/>
    <w:rPr>
      <w:rFonts w:ascii="Courier New" w:eastAsia="Courier New" w:hAnsi="Courier New" w:cs="Courier New"/>
      <w:lang w:val="en-US" w:eastAsia="en-US" w:bidi="ar-SA"/>
    </w:rPr>
  </w:style>
  <w:style w:type="character" w:styleId="Strong">
    <w:name w:val="Strong"/>
    <w:uiPriority w:val="22"/>
    <w:qFormat/>
    <w:rPr>
      <w:b/>
      <w:bCs/>
    </w:rPr>
  </w:style>
  <w:style w:type="character" w:customStyle="1" w:styleId="CharChar1">
    <w:name w:val="Char Char1"/>
    <w:rPr>
      <w:rFonts w:ascii="Courier New" w:hAnsi="Courier New" w:cs="Courier New"/>
      <w:lang w:val="en-US" w:eastAsia="en-US" w:bidi="ar-SA"/>
    </w:rPr>
  </w:style>
  <w:style w:type="character" w:customStyle="1" w:styleId="CommentTextChar">
    <w:name w:val="Comment Text Char"/>
    <w:link w:val="CommentTex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uiPriority w:val="99"/>
  </w:style>
  <w:style w:type="paragraph" w:styleId="Revision">
    <w:name w:val="Revision"/>
    <w:hidden/>
    <w:uiPriority w:val="99"/>
    <w:semiHidden/>
  </w:style>
  <w:style w:type="character" w:customStyle="1" w:styleId="BodyTextIndent3Char">
    <w:name w:val="Body Text Indent 3 Char"/>
    <w:basedOn w:val="DefaultParagraphFont"/>
    <w:link w:val="BodyTextIndent3"/>
    <w:rPr>
      <w:sz w:val="24"/>
    </w:rPr>
  </w:style>
  <w:style w:type="character" w:customStyle="1" w:styleId="UnresolvedMention2">
    <w:name w:val="Unresolved Mention2"/>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style>
  <w:style w:type="character" w:styleId="FootnoteReference">
    <w:name w:val="footnote reference"/>
    <w:basedOn w:val="DefaultParagraphFont"/>
    <w:uiPriority w:val="99"/>
    <w:unhideWhenUsed/>
    <w:rPr>
      <w:vertAlign w:val="superscript"/>
    </w:rPr>
  </w:style>
  <w:style w:type="paragraph" w:styleId="NormalWeb">
    <w:name w:val="Normal (Web)"/>
    <w:basedOn w:val="Normal"/>
    <w:uiPriority w:val="99"/>
    <w:unhideWhenUsed/>
    <w:pPr>
      <w:spacing w:before="100" w:beforeAutospacing="1" w:after="100" w:afterAutospacing="1"/>
    </w:pPr>
    <w:rPr>
      <w:sz w:val="24"/>
      <w:szCs w:val="24"/>
    </w:rPr>
  </w:style>
  <w:style w:type="character" w:styleId="FollowedHyperlink">
    <w:name w:val="FollowedHyperlink"/>
    <w:basedOn w:val="DefaultParagraphFont"/>
    <w:rPr>
      <w:color w:val="954F72" w:themeColor="followedHyperlink"/>
      <w:u w:val="single"/>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2Char">
    <w:name w:val="Heading 2 Char"/>
    <w:basedOn w:val="DefaultParagraphFont"/>
    <w:link w:val="Heading2"/>
    <w:rPr>
      <w:rFonts w:ascii="Times New Roman Bold" w:hAnsi="Times New Roman Bold"/>
      <w:b/>
      <w:bCs/>
      <w:sz w:val="24"/>
      <w:szCs w:val="24"/>
    </w:rPr>
  </w:style>
  <w:style w:type="character" w:customStyle="1" w:styleId="cf01">
    <w:name w:val="cf01"/>
    <w:basedOn w:val="DefaultParagraphFont"/>
    <w:rPr>
      <w:rFonts w:ascii="Segoe UI" w:hAnsi="Segoe UI" w:cs="Segoe UI" w:hint="default"/>
      <w:sz w:val="18"/>
      <w:szCs w:val="18"/>
    </w:rPr>
  </w:style>
  <w:style w:type="character" w:customStyle="1" w:styleId="cf11">
    <w:name w:val="cf11"/>
    <w:basedOn w:val="DefaultParagraphFont"/>
    <w:rPr>
      <w:rFonts w:ascii="Segoe UI" w:hAnsi="Segoe UI" w:cs="Segoe UI" w:hint="default"/>
      <w:i/>
      <w:iCs/>
      <w:sz w:val="18"/>
      <w:szCs w:val="18"/>
    </w:rPr>
  </w:style>
  <w:style w:type="character" w:customStyle="1" w:styleId="cf21">
    <w:name w:val="cf21"/>
    <w:basedOn w:val="DefaultParagraphFont"/>
    <w:rPr>
      <w:rFonts w:ascii="Segoe UI" w:hAnsi="Segoe UI" w:cs="Segoe UI" w:hint="default"/>
      <w:sz w:val="18"/>
      <w:szCs w:val="18"/>
    </w:rPr>
  </w:style>
  <w:style w:type="paragraph" w:styleId="TOC1">
    <w:name w:val="toc 1"/>
    <w:basedOn w:val="Normal"/>
    <w:next w:val="Normal"/>
    <w:autoRedefine/>
    <w:uiPriority w:val="39"/>
    <w:pPr>
      <w:tabs>
        <w:tab w:val="decimal" w:leader="dot" w:pos="8640"/>
      </w:tabs>
      <w:spacing w:after="240"/>
      <w:ind w:left="720" w:hanging="720"/>
    </w:pPr>
    <w:rPr>
      <w:smallCaps/>
      <w:sz w:val="24"/>
    </w:rPr>
  </w:style>
  <w:style w:type="paragraph" w:styleId="TOC2">
    <w:name w:val="toc 2"/>
    <w:basedOn w:val="Normal"/>
    <w:next w:val="Normal"/>
    <w:autoRedefine/>
    <w:uiPriority w:val="39"/>
    <w:pPr>
      <w:tabs>
        <w:tab w:val="left" w:pos="720"/>
        <w:tab w:val="left" w:pos="1440"/>
        <w:tab w:val="decimal" w:leader="dot" w:pos="8640"/>
      </w:tabs>
      <w:spacing w:after="240"/>
      <w:ind w:left="1440" w:hanging="720"/>
    </w:pPr>
    <w:rPr>
      <w:sz w:val="24"/>
    </w:rPr>
  </w:style>
  <w:style w:type="character" w:customStyle="1" w:styleId="UnresolvedMention">
    <w:name w:val="Unresolved Mention"/>
    <w:basedOn w:val="DefaultParagraphFont"/>
    <w:rsid w:val="000E5019"/>
    <w:rPr>
      <w:color w:val="605E5C"/>
      <w:shd w:val="clear" w:color="auto" w:fill="E1DFDD"/>
    </w:rPr>
  </w:style>
  <w:style w:type="paragraph" w:customStyle="1" w:styleId="xmsonormal">
    <w:name w:val="x_msonormal"/>
    <w:basedOn w:val="Normal"/>
    <w:rsid w:val="001C36E6"/>
    <w:rPr>
      <w:rFonts w:ascii="Calibri" w:hAnsi="Calibri"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rollinson@bakerlaw.com" TargetMode="External" /><Relationship Id="rId11" Type="http://schemas.openxmlformats.org/officeDocument/2006/relationships/hyperlink" Target="mailto:plewis@bakerlaw.com" TargetMode="External" /><Relationship Id="rId12" Type="http://schemas.openxmlformats.org/officeDocument/2006/relationships/hyperlink" Target="mailto:kcutts@bakerlaw.com" TargetMode="External" /><Relationship Id="rId13" Type="http://schemas.openxmlformats.org/officeDocument/2006/relationships/hyperlink" Target="mailto:tathompson@bakerlaw.com" TargetMode="External" /><Relationship Id="rId14" Type="http://schemas.openxmlformats.org/officeDocument/2006/relationships/hyperlink" Target="mailto:ahaque@bakerlaw.com" TargetMode="External" /><Relationship Id="rId15" Type="http://schemas.openxmlformats.org/officeDocument/2006/relationships/hyperlink" Target="mailto:michael.yuffee@bakerbotts.com" TargetMode="External" /><Relationship Id="rId16" Type="http://schemas.openxmlformats.org/officeDocument/2006/relationships/hyperlink" Target="mailto:ryan.norfolk@bakerbotts.com" TargetMode="External" /><Relationship Id="rId17" Type="http://schemas.openxmlformats.org/officeDocument/2006/relationships/hyperlink" Target="mailto:mrgladman@jonesday.com" TargetMode="External" /><Relationship Id="rId18" Type="http://schemas.openxmlformats.org/officeDocument/2006/relationships/hyperlink" Target="mailto:sgoyal@jonesday.com" TargetMode="External" /><Relationship Id="rId19" Type="http://schemas.openxmlformats.org/officeDocument/2006/relationships/hyperlink" Target="mailto:mdengler@jonesday.com" TargetMode="External" /><Relationship Id="rId2" Type="http://schemas.openxmlformats.org/officeDocument/2006/relationships/settings" Target="settings.xml" /><Relationship Id="rId20" Type="http://schemas.openxmlformats.org/officeDocument/2006/relationships/hyperlink" Target="mailto:radoringo@jonesday.com" TargetMode="External" /><Relationship Id="rId21" Type="http://schemas.openxmlformats.org/officeDocument/2006/relationships/hyperlink" Target="mailto:cwatchorn@firstenergycorp.com" TargetMode="External" /><Relationship Id="rId22" Type="http://schemas.openxmlformats.org/officeDocument/2006/relationships/hyperlink" Target="mailto:megan.addison@puco.ohio.gov" TargetMode="External" /><Relationship Id="rId23" Type="http://schemas.openxmlformats.org/officeDocument/2006/relationships/hyperlink" Target="mailto:greg.price@puco.ohio.gov" TargetMode="External" /><Relationship Id="rId24" Type="http://schemas.openxmlformats.org/officeDocument/2006/relationships/hyperlink" Target="mailto:jacqueline.st.john@puco.ohio.gov" TargetMode="External" /><Relationship Id="rId25" Type="http://schemas.openxmlformats.org/officeDocument/2006/relationships/hyperlink" Target="mailto:dstinson@bricker.com" TargetMode="External" /><Relationship Id="rId26" Type="http://schemas.openxmlformats.org/officeDocument/2006/relationships/hyperlink" Target="mailto:dparram@bricker.com" TargetMode="External" /><Relationship Id="rId27" Type="http://schemas.openxmlformats.org/officeDocument/2006/relationships/hyperlink" Target="mailto:dcampbell@bricker.com" TargetMode="External" /><Relationship Id="rId28" Type="http://schemas.openxmlformats.org/officeDocument/2006/relationships/hyperlink" Target="mailto:mwarnock@bricker.com" TargetMode="External" /><Relationship Id="rId29" Type="http://schemas.openxmlformats.org/officeDocument/2006/relationships/hyperlink" Target="mailto:gkrassen@nopec.org" TargetMode="External" /><Relationship Id="rId3" Type="http://schemas.openxmlformats.org/officeDocument/2006/relationships/webSettings" Target="webSettings.xml" /><Relationship Id="rId30" Type="http://schemas.openxmlformats.org/officeDocument/2006/relationships/hyperlink" Target="mailto:jlang@calfee.com" TargetMode="External" /><Relationship Id="rId31" Type="http://schemas.openxmlformats.org/officeDocument/2006/relationships/hyperlink" Target="mailto:lmcbride@calfee.com" TargetMode="External" /><Relationship Id="rId32" Type="http://schemas.openxmlformats.org/officeDocument/2006/relationships/hyperlink" Target="mailto:jejadwin@aep.com" TargetMode="External" /><Relationship Id="rId33" Type="http://schemas.openxmlformats.org/officeDocument/2006/relationships/hyperlink" Target="mailto:stnourse@aep.com" TargetMode="External" /><Relationship Id="rId34" Type="http://schemas.openxmlformats.org/officeDocument/2006/relationships/hyperlink" Target="mailto:mdortch@kravitzllc.com" TargetMode="External" /><Relationship Id="rId35" Type="http://schemas.openxmlformats.org/officeDocument/2006/relationships/hyperlink" Target="mailto:jdortch@kravitzllc.com" TargetMode="External" /><Relationship Id="rId36" Type="http://schemas.openxmlformats.org/officeDocument/2006/relationships/hyperlink" Target="mailto:rparsons@kravitzllc.com" TargetMode="External" /><Relationship Id="rId37" Type="http://schemas.openxmlformats.org/officeDocument/2006/relationships/hyperlink" Target="mailto:amy.spiller@duke-energy.com" TargetMode="External" /><Relationship Id="rId38" Type="http://schemas.openxmlformats.org/officeDocument/2006/relationships/hyperlink" Target="mailto:evan.betterton@igs.com" TargetMode="External" /><Relationship Id="rId39" Type="http://schemas.openxmlformats.org/officeDocument/2006/relationships/hyperlink" Target="mailto:stacie.cathcart@igs.com" TargetMode="External" /><Relationship Id="rId4" Type="http://schemas.openxmlformats.org/officeDocument/2006/relationships/fontTable" Target="fontTable.xml" /><Relationship Id="rId40" Type="http://schemas.openxmlformats.org/officeDocument/2006/relationships/footer" Target="footer1.xml" /><Relationship Id="rId41" Type="http://schemas.openxmlformats.org/officeDocument/2006/relationships/theme" Target="theme/theme1.xml" /><Relationship Id="rId42" Type="http://schemas.openxmlformats.org/officeDocument/2006/relationships/numbering" Target="numbering.xml" /><Relationship Id="rId43"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john.finnigan@occ.ohio.gov" TargetMode="External" /><Relationship Id="rId7" Type="http://schemas.openxmlformats.org/officeDocument/2006/relationships/hyperlink" Target="mailto:maureen.willis@occ.ohio.gov" TargetMode="External" /><Relationship Id="rId8" Type="http://schemas.openxmlformats.org/officeDocument/2006/relationships/hyperlink" Target="mailto:rhiannon.plant@ohioago.gov" TargetMode="External" /><Relationship Id="rId9" Type="http://schemas.openxmlformats.org/officeDocument/2006/relationships/hyperlink" Target="mailto:dproano@bakerlaw.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DB197-36BA-4CC2-8079-29860420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2023-03-29T20:44:38Z</dcterms:created>
  <dcterms:modified xsi:type="dcterms:W3CDTF">2023-03-29T20:44:38Z</dcterms:modified>
</cp:coreProperties>
</file>