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C0" w:rsidRDefault="00A377C0" w:rsidP="00A377C0">
      <w:pPr>
        <w:pStyle w:val="Title"/>
        <w:rPr>
          <w:sz w:val="24"/>
        </w:rPr>
      </w:pPr>
      <w:bookmarkStart w:id="0" w:name="_GoBack"/>
      <w:bookmarkEnd w:id="0"/>
      <w:r>
        <w:rPr>
          <w:sz w:val="24"/>
        </w:rPr>
        <w:t>BEFORE</w:t>
      </w:r>
    </w:p>
    <w:p w:rsidR="00A377C0" w:rsidRDefault="00A377C0" w:rsidP="00A377C0">
      <w:pPr>
        <w:jc w:val="center"/>
        <w:rPr>
          <w:b/>
        </w:rPr>
      </w:pPr>
      <w:r>
        <w:rPr>
          <w:b/>
        </w:rPr>
        <w:t>THE PUBLIC UTILITIES COMMISSION OF OHIO</w:t>
      </w:r>
    </w:p>
    <w:p w:rsidR="00A377C0" w:rsidRDefault="00A377C0" w:rsidP="00A377C0">
      <w:pPr>
        <w:jc w:val="center"/>
        <w:rPr>
          <w:b/>
        </w:rPr>
      </w:pPr>
    </w:p>
    <w:tbl>
      <w:tblPr>
        <w:tblW w:w="9092" w:type="dxa"/>
        <w:tblLook w:val="01E0" w:firstRow="1" w:lastRow="1" w:firstColumn="1" w:lastColumn="1" w:noHBand="0" w:noVBand="0"/>
      </w:tblPr>
      <w:tblGrid>
        <w:gridCol w:w="4332"/>
        <w:gridCol w:w="360"/>
        <w:gridCol w:w="4400"/>
      </w:tblGrid>
      <w:tr w:rsidR="00A377C0" w:rsidTr="00A377C0">
        <w:trPr>
          <w:trHeight w:val="807"/>
        </w:trPr>
        <w:tc>
          <w:tcPr>
            <w:tcW w:w="4332" w:type="dxa"/>
            <w:hideMark/>
          </w:tcPr>
          <w:p w:rsidR="00A377C0" w:rsidRDefault="00A377C0">
            <w:pPr>
              <w:pStyle w:val="HTMLPreformatted"/>
              <w:rPr>
                <w:rFonts w:ascii="Times New Roman" w:hAnsi="Times New Roman"/>
                <w:sz w:val="24"/>
                <w:szCs w:val="24"/>
              </w:rPr>
            </w:pPr>
            <w:r>
              <w:rPr>
                <w:rFonts w:ascii="Times New Roman" w:hAnsi="Times New Roman" w:cs="Times New Roman"/>
                <w:sz w:val="24"/>
                <w:szCs w:val="24"/>
              </w:rPr>
              <w:t>In the Matter of the Commission-Ordered Investigation of Marketing Practices in the Competitive Retail Electric Service Market.</w:t>
            </w:r>
          </w:p>
        </w:tc>
        <w:tc>
          <w:tcPr>
            <w:tcW w:w="360" w:type="dxa"/>
            <w:hideMark/>
          </w:tcPr>
          <w:p w:rsidR="00A377C0" w:rsidRDefault="00A377C0">
            <w:pPr>
              <w:pStyle w:val="HTMLPreformatted"/>
              <w:rPr>
                <w:rFonts w:ascii="Times New Roman" w:hAnsi="Times New Roman"/>
                <w:sz w:val="24"/>
              </w:rPr>
            </w:pPr>
            <w:r>
              <w:rPr>
                <w:rFonts w:ascii="Times New Roman" w:hAnsi="Times New Roman"/>
                <w:sz w:val="24"/>
              </w:rPr>
              <w:t>)</w:t>
            </w:r>
          </w:p>
          <w:p w:rsidR="00A377C0" w:rsidRDefault="00A377C0">
            <w:pPr>
              <w:pStyle w:val="HTMLPreformatted"/>
              <w:rPr>
                <w:rFonts w:ascii="Times New Roman" w:hAnsi="Times New Roman"/>
                <w:sz w:val="24"/>
              </w:rPr>
            </w:pPr>
            <w:r>
              <w:rPr>
                <w:rFonts w:ascii="Times New Roman" w:hAnsi="Times New Roman"/>
                <w:sz w:val="24"/>
              </w:rPr>
              <w:t>)</w:t>
            </w:r>
          </w:p>
          <w:p w:rsidR="00A377C0" w:rsidRDefault="00A377C0">
            <w:pPr>
              <w:pStyle w:val="HTMLPreformatted"/>
              <w:rPr>
                <w:rFonts w:ascii="Times New Roman" w:hAnsi="Times New Roman"/>
                <w:sz w:val="24"/>
              </w:rPr>
            </w:pPr>
            <w:r>
              <w:rPr>
                <w:rFonts w:ascii="Times New Roman" w:hAnsi="Times New Roman"/>
                <w:sz w:val="24"/>
              </w:rPr>
              <w:t>)</w:t>
            </w:r>
          </w:p>
          <w:p w:rsidR="00A377C0" w:rsidRDefault="00A377C0">
            <w:pPr>
              <w:pStyle w:val="HTMLPreformatted"/>
              <w:rPr>
                <w:rFonts w:ascii="Times New Roman" w:hAnsi="Times New Roman"/>
                <w:sz w:val="24"/>
              </w:rPr>
            </w:pPr>
            <w:r>
              <w:rPr>
                <w:rFonts w:ascii="Times New Roman" w:hAnsi="Times New Roman"/>
                <w:sz w:val="24"/>
              </w:rPr>
              <w:t>)</w:t>
            </w:r>
          </w:p>
        </w:tc>
        <w:tc>
          <w:tcPr>
            <w:tcW w:w="4400" w:type="dxa"/>
          </w:tcPr>
          <w:p w:rsidR="00A377C0" w:rsidRDefault="00A377C0">
            <w:pPr>
              <w:pStyle w:val="HTMLPreformatted"/>
              <w:rPr>
                <w:rFonts w:ascii="Times New Roman" w:hAnsi="Times New Roman"/>
                <w:sz w:val="24"/>
              </w:rPr>
            </w:pPr>
          </w:p>
          <w:p w:rsidR="00A377C0" w:rsidRDefault="00A377C0">
            <w:pPr>
              <w:pStyle w:val="HTMLPreformatted"/>
              <w:rPr>
                <w:rFonts w:ascii="Times New Roman" w:hAnsi="Times New Roman"/>
                <w:sz w:val="24"/>
              </w:rPr>
            </w:pPr>
            <w:r>
              <w:rPr>
                <w:rFonts w:ascii="Times New Roman" w:hAnsi="Times New Roman"/>
                <w:sz w:val="24"/>
              </w:rPr>
              <w:t>Case No. 14-568-EL-COI</w:t>
            </w:r>
          </w:p>
          <w:p w:rsidR="00A377C0" w:rsidRDefault="00A377C0">
            <w:pPr>
              <w:pStyle w:val="HTMLPreformatted"/>
              <w:rPr>
                <w:rFonts w:ascii="Times New Roman" w:hAnsi="Times New Roman"/>
                <w:sz w:val="24"/>
              </w:rPr>
            </w:pPr>
          </w:p>
          <w:p w:rsidR="00A377C0" w:rsidRDefault="00A377C0">
            <w:pPr>
              <w:pStyle w:val="HTMLPreformatted"/>
              <w:rPr>
                <w:rFonts w:ascii="Times New Roman" w:hAnsi="Times New Roman"/>
                <w:sz w:val="24"/>
              </w:rPr>
            </w:pPr>
          </w:p>
        </w:tc>
      </w:tr>
    </w:tbl>
    <w:p w:rsidR="00A377C0" w:rsidRDefault="00A377C0" w:rsidP="00A377C0"/>
    <w:p w:rsidR="00A377C0" w:rsidRDefault="00A377C0" w:rsidP="00A377C0">
      <w:pPr>
        <w:pBdr>
          <w:top w:val="single" w:sz="12" w:space="1" w:color="auto"/>
        </w:pBdr>
      </w:pPr>
    </w:p>
    <w:p w:rsidR="00A377C0" w:rsidRDefault="00A377C0" w:rsidP="00A377C0">
      <w:pPr>
        <w:jc w:val="center"/>
        <w:rPr>
          <w:b/>
          <w:szCs w:val="24"/>
        </w:rPr>
      </w:pPr>
      <w:r>
        <w:rPr>
          <w:b/>
          <w:szCs w:val="24"/>
        </w:rPr>
        <w:t>MEMORANDUM CONTRA APPLICATIONS FOR REHEARING</w:t>
      </w:r>
      <w:r w:rsidR="00382793">
        <w:rPr>
          <w:b/>
          <w:szCs w:val="24"/>
        </w:rPr>
        <w:t xml:space="preserve"> FILED BY FIRSTENERGY SOLUTIONS CORP., INTERSTATE GAS SUPPLY, INC., NOBLE AMERICAS ENERGY SOLUTIONS LLC, AND THE RETAIL ENERGY SUPPLY ASSOCIATION</w:t>
      </w:r>
    </w:p>
    <w:p w:rsidR="00A377C0" w:rsidRDefault="00A377C0" w:rsidP="00A377C0">
      <w:pPr>
        <w:jc w:val="center"/>
        <w:rPr>
          <w:b/>
        </w:rPr>
      </w:pPr>
      <w:r>
        <w:rPr>
          <w:b/>
        </w:rPr>
        <w:t>BY</w:t>
      </w:r>
    </w:p>
    <w:p w:rsidR="00A377C0" w:rsidRDefault="00A377C0" w:rsidP="00A377C0">
      <w:pPr>
        <w:jc w:val="center"/>
        <w:rPr>
          <w:b/>
        </w:rPr>
      </w:pPr>
      <w:r>
        <w:rPr>
          <w:b/>
        </w:rPr>
        <w:t>THE OFFICE OF THE OHIO CONSUMERS’ COUNSEL</w:t>
      </w:r>
    </w:p>
    <w:p w:rsidR="00A377C0" w:rsidRDefault="00A377C0" w:rsidP="00A377C0">
      <w:pPr>
        <w:pBdr>
          <w:bottom w:val="single" w:sz="12" w:space="1" w:color="auto"/>
        </w:pBdr>
      </w:pPr>
    </w:p>
    <w:p w:rsidR="00A377C0" w:rsidRDefault="00A377C0" w:rsidP="00A377C0"/>
    <w:p w:rsidR="00A377C0" w:rsidRDefault="00A377C0" w:rsidP="00466A5F">
      <w:pPr>
        <w:pStyle w:val="Heading1"/>
        <w:numPr>
          <w:ilvl w:val="0"/>
          <w:numId w:val="1"/>
        </w:numPr>
        <w:spacing w:after="0" w:line="480" w:lineRule="auto"/>
        <w:ind w:left="720"/>
      </w:pPr>
      <w:r>
        <w:t>INTRODUCTION</w:t>
      </w:r>
    </w:p>
    <w:p w:rsidR="005C4BEC" w:rsidRDefault="00A377C0" w:rsidP="00A377C0">
      <w:pPr>
        <w:spacing w:line="480" w:lineRule="auto"/>
        <w:rPr>
          <w:rFonts w:eastAsia="Calibri"/>
          <w:szCs w:val="24"/>
        </w:rPr>
        <w:sectPr w:rsidR="005C4BEC" w:rsidSect="00466A5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pPr>
      <w:r>
        <w:rPr>
          <w:rFonts w:eastAsia="Calibri"/>
          <w:szCs w:val="24"/>
        </w:rPr>
        <w:tab/>
        <w:t>On April 9, 2014, the Public Utilities Commission of Ohio (“PUCO”) opened this docket to investigate whether it was unfair, misleading, deceptive or unconscionable for consumers to be marketed contracts as “fixed-rate contracts” or “percentage-off the price-to-compare contracts” when such contracts included “pass-through” provisions.</w:t>
      </w:r>
      <w:r>
        <w:rPr>
          <w:rFonts w:eastAsia="Calibri"/>
          <w:szCs w:val="24"/>
          <w:vertAlign w:val="superscript"/>
        </w:rPr>
        <w:footnoteReference w:id="1"/>
      </w:r>
      <w:r>
        <w:rPr>
          <w:rFonts w:eastAsia="Calibri"/>
          <w:szCs w:val="24"/>
        </w:rPr>
        <w:t xml:space="preserve"> On November 18, 2015, the PUCO issued a Finding and Order</w:t>
      </w:r>
      <w:r w:rsidR="00C03374">
        <w:rPr>
          <w:rFonts w:eastAsia="Calibri"/>
          <w:szCs w:val="24"/>
        </w:rPr>
        <w:t xml:space="preserve"> (“Order”)</w:t>
      </w:r>
      <w:r>
        <w:rPr>
          <w:rFonts w:eastAsia="Calibri"/>
          <w:szCs w:val="24"/>
        </w:rPr>
        <w:t xml:space="preserve">, and held that “CRES providers may not include a pass-through clause in a contract labeled as “fixed-rate.” The PUCO found that “CRES shall have until January 1, 2016, to bring all marketing materials for contracts into compliance with the “fixed-means-fixed” guidelines set forth in this </w:t>
      </w:r>
      <w:r w:rsidR="00C03374">
        <w:rPr>
          <w:rFonts w:eastAsia="Calibri"/>
          <w:szCs w:val="24"/>
        </w:rPr>
        <w:t>Order</w:t>
      </w:r>
      <w:r>
        <w:rPr>
          <w:rFonts w:eastAsia="Calibri"/>
          <w:szCs w:val="24"/>
        </w:rPr>
        <w:t>.”</w:t>
      </w:r>
      <w:r>
        <w:rPr>
          <w:rFonts w:eastAsia="Calibri"/>
          <w:szCs w:val="24"/>
          <w:vertAlign w:val="superscript"/>
        </w:rPr>
        <w:footnoteReference w:id="2"/>
      </w:r>
      <w:r>
        <w:rPr>
          <w:rFonts w:eastAsia="Calibri"/>
          <w:szCs w:val="24"/>
        </w:rPr>
        <w:t xml:space="preserve"> And the Order also stated that changes to the PUCO’s current rules should be initiated to provide clearer, more specific guidance for customers and CRES providers in the future.</w:t>
      </w:r>
      <w:r>
        <w:rPr>
          <w:rFonts w:eastAsia="Calibri"/>
          <w:szCs w:val="24"/>
          <w:vertAlign w:val="superscript"/>
        </w:rPr>
        <w:footnoteReference w:id="3"/>
      </w:r>
      <w:r>
        <w:rPr>
          <w:rFonts w:eastAsia="Calibri"/>
          <w:szCs w:val="24"/>
        </w:rPr>
        <w:t xml:space="preserve"> The PUCO’s Order was effective November 18, 2015</w:t>
      </w:r>
      <w:r w:rsidR="001058EB">
        <w:rPr>
          <w:rFonts w:eastAsia="Calibri"/>
          <w:szCs w:val="24"/>
        </w:rPr>
        <w:t xml:space="preserve">. </w:t>
      </w:r>
    </w:p>
    <w:p w:rsidR="00A377C0" w:rsidRDefault="00661D51" w:rsidP="00A377C0">
      <w:pPr>
        <w:spacing w:line="480" w:lineRule="auto"/>
        <w:rPr>
          <w:rFonts w:eastAsia="Calibri"/>
          <w:szCs w:val="24"/>
        </w:rPr>
      </w:pPr>
      <w:r>
        <w:rPr>
          <w:rFonts w:eastAsia="Calibri"/>
          <w:szCs w:val="24"/>
        </w:rPr>
        <w:lastRenderedPageBreak/>
        <w:tab/>
      </w:r>
      <w:r w:rsidR="001058EB">
        <w:rPr>
          <w:rFonts w:eastAsia="Calibri"/>
          <w:szCs w:val="24"/>
        </w:rPr>
        <w:t>On December 18, 2015, FirstEnergy Solutions Corp. (“FES”), Interstate Gas Supply, Inc. (</w:t>
      </w:r>
      <w:r w:rsidR="00BD5707">
        <w:rPr>
          <w:rFonts w:eastAsia="Calibri"/>
          <w:szCs w:val="24"/>
        </w:rPr>
        <w:t>“</w:t>
      </w:r>
      <w:r w:rsidR="001058EB">
        <w:rPr>
          <w:rFonts w:eastAsia="Calibri"/>
          <w:szCs w:val="24"/>
        </w:rPr>
        <w:t>IGS”), Noble Americas Energy Solutions LLC (“Noble”), and the Retail Energy Supply Association (“RESA”) filed Applications for Rehearing of the PUCO’s November 18, 2015 Order.</w:t>
      </w:r>
      <w:r w:rsidR="001058EB">
        <w:rPr>
          <w:rStyle w:val="FootnoteReference"/>
          <w:rFonts w:eastAsia="Calibri"/>
          <w:szCs w:val="24"/>
        </w:rPr>
        <w:footnoteReference w:id="4"/>
      </w:r>
      <w:r w:rsidR="001058EB">
        <w:rPr>
          <w:rFonts w:eastAsia="Calibri"/>
          <w:szCs w:val="24"/>
        </w:rPr>
        <w:t xml:space="preserve"> </w:t>
      </w:r>
      <w:r w:rsidR="00711C1B">
        <w:rPr>
          <w:rFonts w:eastAsia="Calibri"/>
          <w:szCs w:val="24"/>
        </w:rPr>
        <w:t>These parties raise no new issues</w:t>
      </w:r>
      <w:r>
        <w:rPr>
          <w:rFonts w:eastAsia="Calibri"/>
          <w:szCs w:val="24"/>
        </w:rPr>
        <w:t>. T</w:t>
      </w:r>
      <w:r w:rsidR="00711C1B">
        <w:rPr>
          <w:rFonts w:eastAsia="Calibri"/>
          <w:szCs w:val="24"/>
        </w:rPr>
        <w:t xml:space="preserve">he PUCO should deny their requests for rehearing. </w:t>
      </w:r>
    </w:p>
    <w:p w:rsidR="00B97C24" w:rsidRDefault="00B97C24" w:rsidP="00B97C24">
      <w:pPr>
        <w:rPr>
          <w:szCs w:val="24"/>
        </w:rPr>
      </w:pPr>
    </w:p>
    <w:p w:rsidR="00052661" w:rsidRPr="00711C1B" w:rsidRDefault="00466A5F" w:rsidP="00466A5F">
      <w:pPr>
        <w:pStyle w:val="Heading1"/>
      </w:pPr>
      <w:r>
        <w:t>II.</w:t>
      </w:r>
      <w:r>
        <w:tab/>
      </w:r>
      <w:r w:rsidR="00711C1B" w:rsidRPr="00711C1B">
        <w:t>ARGUMENT</w:t>
      </w:r>
    </w:p>
    <w:p w:rsidR="00711C1B" w:rsidRDefault="00711C1B" w:rsidP="00466A5F">
      <w:pPr>
        <w:pStyle w:val="Heading2"/>
      </w:pPr>
      <w:r w:rsidRPr="00711C1B">
        <w:t>A</w:t>
      </w:r>
      <w:r>
        <w:t xml:space="preserve">. </w:t>
      </w:r>
      <w:r w:rsidR="00466A5F">
        <w:tab/>
      </w:r>
      <w:r>
        <w:t>The PUCO’s Order does not need to comply with R.C. 119.03 because there were no rules established by the November 18, 2015 Order.</w:t>
      </w:r>
    </w:p>
    <w:p w:rsidR="00CA7FDC" w:rsidRDefault="00711C1B" w:rsidP="00A377C0">
      <w:pPr>
        <w:spacing w:line="480" w:lineRule="auto"/>
      </w:pPr>
      <w:r>
        <w:tab/>
      </w:r>
      <w:r w:rsidR="00EE666D">
        <w:t xml:space="preserve">FES </w:t>
      </w:r>
      <w:r w:rsidR="009C73E0">
        <w:t>argues</w:t>
      </w:r>
      <w:r w:rsidR="00EE666D">
        <w:t xml:space="preserve"> that the PUCO’s Order initiated a rule change proceeding and thereby must comply with the statutory obligation to provide notice and an opportunity to be hear</w:t>
      </w:r>
      <w:r w:rsidR="009C73E0">
        <w:t>d</w:t>
      </w:r>
      <w:r w:rsidR="00727544">
        <w:t xml:space="preserve">.  FES alleges that such a process would have to </w:t>
      </w:r>
      <w:r w:rsidR="00EE666D">
        <w:t>include a business impact analysis and recommendations for the common sense initiative office.</w:t>
      </w:r>
      <w:r w:rsidR="00EE666D">
        <w:rPr>
          <w:rStyle w:val="FootnoteReference"/>
        </w:rPr>
        <w:footnoteReference w:id="5"/>
      </w:r>
      <w:r w:rsidR="00EE666D">
        <w:t xml:space="preserve"> </w:t>
      </w:r>
      <w:r>
        <w:t>FES is correct that the PUCO Order require</w:t>
      </w:r>
      <w:r w:rsidR="00A87BD6">
        <w:t>d</w:t>
      </w:r>
      <w:r>
        <w:t xml:space="preserve"> that a rules proceeding should be commenced;</w:t>
      </w:r>
      <w:r w:rsidR="00F26482">
        <w:rPr>
          <w:rStyle w:val="FootnoteReference"/>
        </w:rPr>
        <w:footnoteReference w:id="6"/>
      </w:r>
      <w:r>
        <w:t xml:space="preserve"> </w:t>
      </w:r>
      <w:r w:rsidR="00EE666D">
        <w:t>however</w:t>
      </w:r>
      <w:r>
        <w:t>, th</w:t>
      </w:r>
      <w:r w:rsidR="009C73E0">
        <w:t>e</w:t>
      </w:r>
      <w:r>
        <w:t xml:space="preserve"> November 18</w:t>
      </w:r>
      <w:r w:rsidRPr="00711C1B">
        <w:rPr>
          <w:vertAlign w:val="superscript"/>
        </w:rPr>
        <w:t>th</w:t>
      </w:r>
      <w:r>
        <w:t xml:space="preserve"> Order made no new rules. </w:t>
      </w:r>
      <w:r w:rsidR="00A87BD6">
        <w:t xml:space="preserve">In fact, the PUCO Order interpreted </w:t>
      </w:r>
      <w:r w:rsidR="00EE666D">
        <w:t>already existing</w:t>
      </w:r>
      <w:r w:rsidR="00A87BD6">
        <w:t xml:space="preserve"> rules. The PUCO found “that the ‘fixed-means-fixed’ guidelines discussed represent our </w:t>
      </w:r>
      <w:r w:rsidR="00A87BD6" w:rsidRPr="00A87BD6">
        <w:rPr>
          <w:i/>
        </w:rPr>
        <w:t>interpretation</w:t>
      </w:r>
      <w:r w:rsidR="00A87BD6">
        <w:t>.”</w:t>
      </w:r>
      <w:r w:rsidR="00EE666D">
        <w:rPr>
          <w:rStyle w:val="FootnoteReference"/>
        </w:rPr>
        <w:footnoteReference w:id="7"/>
      </w:r>
      <w:r w:rsidR="00EE666D">
        <w:t xml:space="preserve"> </w:t>
      </w:r>
      <w:r w:rsidR="009C73E0">
        <w:t>And the Order states that</w:t>
      </w:r>
      <w:r w:rsidR="00CA7FDC">
        <w:t>:</w:t>
      </w:r>
    </w:p>
    <w:p w:rsidR="00711C1B" w:rsidRDefault="00CA7FDC" w:rsidP="00466A5F">
      <w:pPr>
        <w:ind w:left="1440" w:right="720"/>
      </w:pPr>
      <w:r>
        <w:t>[T]</w:t>
      </w:r>
      <w:r w:rsidR="009C73E0">
        <w:t xml:space="preserve">he commission finds that changes to the Commission’s current rules </w:t>
      </w:r>
      <w:r w:rsidR="00310D19">
        <w:t>should</w:t>
      </w:r>
      <w:r w:rsidR="009C73E0">
        <w:t xml:space="preserve"> be initiate</w:t>
      </w:r>
      <w:r w:rsidR="00D573FD">
        <w:t>d</w:t>
      </w:r>
      <w:r w:rsidR="009C73E0">
        <w:t xml:space="preserve"> in order to provide clearer, more specific guidance for </w:t>
      </w:r>
      <w:r w:rsidR="00310D19">
        <w:t>customer</w:t>
      </w:r>
      <w:r w:rsidR="009C73E0">
        <w:t xml:space="preserve"> and CRES providers in the future. The Commission notes that the comments filed in this case indicate that there are divergent interpretations of the terms ‘fixed-means-</w:t>
      </w:r>
      <w:r w:rsidR="00310D19">
        <w:t>fixed</w:t>
      </w:r>
      <w:r w:rsidR="008C4B4A">
        <w:t xml:space="preserve">’ </w:t>
      </w:r>
      <w:r w:rsidR="00310D19">
        <w:t>and</w:t>
      </w:r>
      <w:r w:rsidR="009C73E0">
        <w:t xml:space="preserve"> ‘variable-price.” </w:t>
      </w:r>
      <w:r w:rsidR="00310D19">
        <w:t>While</w:t>
      </w:r>
      <w:r w:rsidR="009C73E0">
        <w:t xml:space="preserve"> the Commission’s rules governing CRES in Ohio Adm. Code Chapter 4901:1-21 do not define these terms, the following definitions are available on the Commission’s Energy Choice Ohio Website.</w:t>
      </w:r>
      <w:r w:rsidR="00D573FD">
        <w:rPr>
          <w:rStyle w:val="FootnoteReference"/>
        </w:rPr>
        <w:footnoteReference w:id="8"/>
      </w:r>
    </w:p>
    <w:p w:rsidR="00466A5F" w:rsidRDefault="00466A5F" w:rsidP="00466A5F">
      <w:pPr>
        <w:ind w:left="1440" w:right="720"/>
      </w:pPr>
    </w:p>
    <w:p w:rsidR="009C73E0" w:rsidRDefault="009C73E0" w:rsidP="00A377C0">
      <w:pPr>
        <w:spacing w:line="480" w:lineRule="auto"/>
      </w:pPr>
      <w:r>
        <w:t>As expressly provided in the Order</w:t>
      </w:r>
      <w:r w:rsidR="008C4B4A">
        <w:t>,</w:t>
      </w:r>
      <w:r>
        <w:t xml:space="preserve"> the PUCO performed its statutory duty to interpret the terms o</w:t>
      </w:r>
      <w:r w:rsidR="00727544">
        <w:t>f</w:t>
      </w:r>
      <w:r>
        <w:t xml:space="preserve"> a contract. The PUCO made no pretense of creating a rule. There was no obligation under R. C. 119.03 to follow the rulemaking requirements.</w:t>
      </w:r>
      <w:r w:rsidR="00727544">
        <w:t xml:space="preserve"> FES' arguments should be rejected. </w:t>
      </w:r>
    </w:p>
    <w:p w:rsidR="00CA7FDC" w:rsidRDefault="00CA7FDC" w:rsidP="00466A5F">
      <w:pPr>
        <w:pStyle w:val="Heading2"/>
      </w:pPr>
      <w:r w:rsidRPr="00323CDD">
        <w:t>B</w:t>
      </w:r>
      <w:r>
        <w:t>.</w:t>
      </w:r>
      <w:r w:rsidR="00466A5F">
        <w:tab/>
      </w:r>
      <w:r>
        <w:t xml:space="preserve">The PUCO’s </w:t>
      </w:r>
      <w:r w:rsidR="00C03374">
        <w:t>Order determining</w:t>
      </w:r>
      <w:r>
        <w:t xml:space="preserve"> that fixed-means-fixed will not cause </w:t>
      </w:r>
      <w:r w:rsidR="00727544">
        <w:t>customers</w:t>
      </w:r>
      <w:r w:rsidR="00C03374">
        <w:t>’</w:t>
      </w:r>
      <w:r w:rsidR="00727544">
        <w:t xml:space="preserve"> rates</w:t>
      </w:r>
      <w:r>
        <w:t xml:space="preserve"> to rise.</w:t>
      </w:r>
    </w:p>
    <w:p w:rsidR="00CA7FDC" w:rsidRDefault="00CA7FDC" w:rsidP="00A377C0">
      <w:pPr>
        <w:spacing w:line="480" w:lineRule="auto"/>
      </w:pPr>
      <w:r>
        <w:tab/>
        <w:t xml:space="preserve">FES claims that the PUCO </w:t>
      </w:r>
      <w:r w:rsidR="00C03374">
        <w:t>Order</w:t>
      </w:r>
      <w:r>
        <w:t xml:space="preserve"> will prevent new suppliers from entering Ohio and that the price all customers will pay for CRES will increase.</w:t>
      </w:r>
      <w:r w:rsidR="00727544">
        <w:rPr>
          <w:rStyle w:val="FootnoteReference"/>
        </w:rPr>
        <w:footnoteReference w:id="9"/>
      </w:r>
      <w:r>
        <w:t xml:space="preserve"> But</w:t>
      </w:r>
      <w:r w:rsidR="00727544">
        <w:t xml:space="preserve"> FES does not explain </w:t>
      </w:r>
      <w:r w:rsidR="007D0255">
        <w:t xml:space="preserve">why labeling a contract fixed-means-fixed </w:t>
      </w:r>
      <w:r w:rsidR="00727544">
        <w:t>will cause customer</w:t>
      </w:r>
      <w:r w:rsidR="008C4B4A">
        <w:t>s</w:t>
      </w:r>
      <w:r w:rsidR="00727544">
        <w:t xml:space="preserve"> to pay more. </w:t>
      </w:r>
      <w:r>
        <w:t>If FES</w:t>
      </w:r>
      <w:r w:rsidR="00854CC5">
        <w:t xml:space="preserve"> or any other CRES </w:t>
      </w:r>
      <w:r w:rsidR="00BD5707">
        <w:t>chooses</w:t>
      </w:r>
      <w:r>
        <w:t xml:space="preserve"> to pass non-fixed costs on to CRES </w:t>
      </w:r>
      <w:r w:rsidR="007D0255">
        <w:t>customers</w:t>
      </w:r>
      <w:r w:rsidR="00854CC5">
        <w:t>, they</w:t>
      </w:r>
      <w:r>
        <w:t xml:space="preserve"> can do so in a variable contract. The solution is simple – to pass on unexpected and changing costs, use a variable contract. The PUCO ruled that </w:t>
      </w:r>
      <w:r w:rsidR="00CA34B0">
        <w:t>CRES provider may not include a pass-through clause in a contract labeled as “fixed-rate.” While CRES providers may continue to offer products contain</w:t>
      </w:r>
      <w:r w:rsidR="007D0255">
        <w:t>ing</w:t>
      </w:r>
      <w:r w:rsidR="00CA34B0">
        <w:t xml:space="preserve"> pass-</w:t>
      </w:r>
      <w:r w:rsidR="007D0255">
        <w:t>through</w:t>
      </w:r>
      <w:r w:rsidR="00CA34B0">
        <w:t xml:space="preserve"> </w:t>
      </w:r>
      <w:r w:rsidR="007D0255">
        <w:t>provisions</w:t>
      </w:r>
      <w:r w:rsidR="00CA34B0">
        <w:t>, they must be labeled appropriately as variable or introductory rates.”</w:t>
      </w:r>
      <w:r w:rsidR="007D0255">
        <w:rPr>
          <w:rStyle w:val="FootnoteReference"/>
        </w:rPr>
        <w:footnoteReference w:id="10"/>
      </w:r>
      <w:r w:rsidR="00CA34B0">
        <w:t xml:space="preserve"> FES and all other CRES </w:t>
      </w:r>
      <w:r w:rsidR="00C03374">
        <w:t xml:space="preserve">providers </w:t>
      </w:r>
      <w:r w:rsidR="00CA34B0">
        <w:t xml:space="preserve">can pass through variable costs.  How this will </w:t>
      </w:r>
      <w:r w:rsidR="007D0255">
        <w:t>cause</w:t>
      </w:r>
      <w:r w:rsidR="00CA34B0">
        <w:t xml:space="preserve"> prices to increase is a mystery</w:t>
      </w:r>
      <w:r w:rsidR="007D0255">
        <w:t>. FES offered no explanation of the cost increase relationship</w:t>
      </w:r>
      <w:r w:rsidR="00CA34B0">
        <w:t xml:space="preserve"> </w:t>
      </w:r>
      <w:r w:rsidR="007D0255">
        <w:t>to the PUCO Order. FES</w:t>
      </w:r>
      <w:r w:rsidR="00C8254C">
        <w:t>’</w:t>
      </w:r>
      <w:r w:rsidR="007D0255">
        <w:t xml:space="preserve"> argument that the Order is unreasonable because it will needlessly cause prices to rise should</w:t>
      </w:r>
      <w:r w:rsidR="00323CDD">
        <w:t xml:space="preserve"> be dismissed.</w:t>
      </w:r>
    </w:p>
    <w:p w:rsidR="00323CDD" w:rsidRDefault="00323CDD" w:rsidP="00466A5F">
      <w:pPr>
        <w:pStyle w:val="Heading2"/>
      </w:pPr>
      <w:r w:rsidRPr="00A25C47">
        <w:t>C</w:t>
      </w:r>
      <w:r>
        <w:t>.</w:t>
      </w:r>
      <w:r>
        <w:tab/>
        <w:t>The PUCO followed the mandate of the Ohio Adm. Code 4901-21-05 when it held that pass-through provisions are prohibited in fixed-price contracts</w:t>
      </w:r>
      <w:r w:rsidR="00727544">
        <w:t xml:space="preserve"> offered to customers</w:t>
      </w:r>
      <w:r>
        <w:t xml:space="preserve">. </w:t>
      </w:r>
    </w:p>
    <w:p w:rsidR="00727544" w:rsidRDefault="00323CDD" w:rsidP="00A377C0">
      <w:pPr>
        <w:spacing w:line="480" w:lineRule="auto"/>
      </w:pPr>
      <w:r>
        <w:tab/>
      </w:r>
      <w:r w:rsidR="0063192D">
        <w:t xml:space="preserve">IGS </w:t>
      </w:r>
      <w:r w:rsidR="00727544">
        <w:t>argues t</w:t>
      </w:r>
      <w:r w:rsidR="0063192D">
        <w:t xml:space="preserve">hat because Ohio Adm. Code 4901:1-21-05 contains a provision stating that in CRES contracts, offers must include “[t]he amount of any other recurring or nonrecurring CRES provider charges” and also a “statement of any contact contingencies or </w:t>
      </w:r>
      <w:r w:rsidR="002E18E7">
        <w:t>conditions precedent</w:t>
      </w:r>
      <w:r w:rsidR="0063192D">
        <w:t>”</w:t>
      </w:r>
      <w:r w:rsidR="0063192D">
        <w:rPr>
          <w:rStyle w:val="FootnoteReference"/>
        </w:rPr>
        <w:footnoteReference w:id="11"/>
      </w:r>
      <w:r w:rsidR="002E18E7">
        <w:t xml:space="preserve"> that fixed contracts must be allowed </w:t>
      </w:r>
      <w:r w:rsidR="00727544">
        <w:t xml:space="preserve">to </w:t>
      </w:r>
      <w:r w:rsidR="002E18E7">
        <w:t>contain these variable terms in fixed contracts.</w:t>
      </w:r>
      <w:r w:rsidR="0063192D">
        <w:t xml:space="preserve"> </w:t>
      </w:r>
      <w:r w:rsidR="002E18E7">
        <w:t>IGS</w:t>
      </w:r>
      <w:r w:rsidR="008C4B4A">
        <w:t>’</w:t>
      </w:r>
      <w:r w:rsidR="005C4BEC">
        <w:t xml:space="preserve"> </w:t>
      </w:r>
      <w:r w:rsidR="002E18E7">
        <w:t>argument is that because the rule defines variable and contingencies, the PUCO intended to allow these terms in a fixed-rate contract.</w:t>
      </w:r>
    </w:p>
    <w:p w:rsidR="00323CDD" w:rsidRDefault="00727544" w:rsidP="00A377C0">
      <w:pPr>
        <w:spacing w:line="480" w:lineRule="auto"/>
      </w:pPr>
      <w:r>
        <w:tab/>
      </w:r>
      <w:r w:rsidR="002E18E7">
        <w:t xml:space="preserve"> </w:t>
      </w:r>
      <w:r w:rsidR="0063192D">
        <w:t>However, the same rule that IGS cites</w:t>
      </w:r>
      <w:r w:rsidR="002E18E7">
        <w:t>,</w:t>
      </w:r>
      <w:r w:rsidR="0063192D">
        <w:t xml:space="preserve"> </w:t>
      </w:r>
      <w:r w:rsidR="002E18E7">
        <w:t xml:space="preserve">also provides that </w:t>
      </w:r>
      <w:r w:rsidR="0063192D">
        <w:t>CRES offers shall include “[f]or a variable rate offers, a clear and understandable explanation of the factors that will cause the price to vary, including any related indices, and how often the price can change.”</w:t>
      </w:r>
      <w:r w:rsidR="0063192D">
        <w:rPr>
          <w:rStyle w:val="FootnoteReference"/>
        </w:rPr>
        <w:footnoteReference w:id="12"/>
      </w:r>
      <w:r>
        <w:t xml:space="preserve"> Thus, t</w:t>
      </w:r>
      <w:r w:rsidR="0063192D">
        <w:t>he Ohio Adm. Code 4901:1-21-05 specifically allows CRES providers to include</w:t>
      </w:r>
      <w:r w:rsidR="002E18E7">
        <w:t xml:space="preserve"> varying pricing in their contracts, but </w:t>
      </w:r>
      <w:r w:rsidR="00854CC5">
        <w:t xml:space="preserve">variable rate contracts cannot be marketed as fixed rate contracts. </w:t>
      </w:r>
      <w:r w:rsidR="002E18E7">
        <w:t>IGS</w:t>
      </w:r>
      <w:r w:rsidR="00C8254C">
        <w:t>’</w:t>
      </w:r>
      <w:r w:rsidR="002E18E7">
        <w:t xml:space="preserve"> statement in its Application for Rehearing that “[t]he specific language of that portion of the rule, however, indicates that suppliers may include a properly disclosed pass-through clause”</w:t>
      </w:r>
      <w:r w:rsidR="002E18E7">
        <w:rPr>
          <w:rStyle w:val="FootnoteReference"/>
        </w:rPr>
        <w:footnoteReference w:id="13"/>
      </w:r>
      <w:r w:rsidR="002E18E7">
        <w:t xml:space="preserve"> is correct – that </w:t>
      </w:r>
      <w:r w:rsidR="008C4B4A">
        <w:t xml:space="preserve">a </w:t>
      </w:r>
      <w:r w:rsidR="002E18E7">
        <w:t xml:space="preserve">pass-through clause </w:t>
      </w:r>
      <w:r>
        <w:t xml:space="preserve">though </w:t>
      </w:r>
      <w:r w:rsidR="002E18E7">
        <w:t xml:space="preserve">cannot be </w:t>
      </w:r>
      <w:r w:rsidR="00C03374">
        <w:t xml:space="preserve">included in a contract </w:t>
      </w:r>
      <w:r w:rsidR="002E18E7">
        <w:t>labeled as fixed.</w:t>
      </w:r>
      <w:r w:rsidR="00A25C47">
        <w:t xml:space="preserve"> IGS misapplies Ohio Adm. Code 4901:1-21-05</w:t>
      </w:r>
      <w:r>
        <w:t>.  I</w:t>
      </w:r>
      <w:r w:rsidR="00A25C47">
        <w:t>ts request for rehearing should be rejected.</w:t>
      </w:r>
    </w:p>
    <w:p w:rsidR="00A25C47" w:rsidRDefault="009F636D" w:rsidP="00466A5F">
      <w:pPr>
        <w:pStyle w:val="Heading2"/>
      </w:pPr>
      <w:r w:rsidRPr="007F732E">
        <w:t>D</w:t>
      </w:r>
      <w:r w:rsidR="00466A5F">
        <w:t>.</w:t>
      </w:r>
      <w:r>
        <w:tab/>
      </w:r>
      <w:r w:rsidR="007F732E">
        <w:t>The PUCO’s Order applying to contract</w:t>
      </w:r>
      <w:r w:rsidR="002E7243">
        <w:t>s</w:t>
      </w:r>
      <w:r w:rsidR="007F732E">
        <w:t xml:space="preserve"> entered into prior to the Order </w:t>
      </w:r>
      <w:r w:rsidR="00373D94">
        <w:t xml:space="preserve">date </w:t>
      </w:r>
      <w:r w:rsidR="007F732E">
        <w:t>does not violate the Ohio Constitution’s prohibition against retroactive application of laws because the Order interprets</w:t>
      </w:r>
      <w:r w:rsidR="00373D94">
        <w:t xml:space="preserve"> and clarifies</w:t>
      </w:r>
      <w:r w:rsidR="007F732E">
        <w:t xml:space="preserve"> the language and does not alter the contracts.</w:t>
      </w:r>
    </w:p>
    <w:p w:rsidR="007F732E" w:rsidRPr="008021BF" w:rsidRDefault="007F732E" w:rsidP="007F732E">
      <w:pPr>
        <w:spacing w:line="480" w:lineRule="auto"/>
        <w:rPr>
          <w:szCs w:val="24"/>
        </w:rPr>
      </w:pPr>
      <w:r>
        <w:tab/>
      </w:r>
      <w:r w:rsidR="00EB2CD6">
        <w:t>IGS claims that “[i]n this instance, retroactive application of the new regulation would be arbitrary and capricious.”</w:t>
      </w:r>
      <w:r w:rsidR="00EB2CD6">
        <w:rPr>
          <w:rStyle w:val="FootnoteReference"/>
        </w:rPr>
        <w:footnoteReference w:id="14"/>
      </w:r>
      <w:r w:rsidR="00EB2CD6">
        <w:t xml:space="preserve"> IGS misconstrues the PUCO Order in this proceeding. The PUCO Order, by no means, established a “new regulation.” </w:t>
      </w:r>
      <w:r w:rsidRPr="008021BF">
        <w:rPr>
          <w:szCs w:val="24"/>
        </w:rPr>
        <w:t>The PUCO Order affirmatively found that there is a need for straightforward language and terms for CRES customers.</w:t>
      </w:r>
      <w:r w:rsidRPr="008021BF">
        <w:rPr>
          <w:rStyle w:val="FootnoteReference"/>
          <w:rFonts w:eastAsia="Courier New"/>
          <w:szCs w:val="24"/>
        </w:rPr>
        <w:footnoteReference w:id="15"/>
      </w:r>
      <w:r w:rsidRPr="008021BF">
        <w:rPr>
          <w:szCs w:val="24"/>
        </w:rPr>
        <w:t xml:space="preserve"> The Order stated:</w:t>
      </w:r>
    </w:p>
    <w:p w:rsidR="007F732E" w:rsidRDefault="007F732E" w:rsidP="007F732E">
      <w:pPr>
        <w:ind w:left="1440" w:right="720"/>
        <w:rPr>
          <w:szCs w:val="24"/>
        </w:rPr>
      </w:pPr>
      <w:r w:rsidRPr="008021BF">
        <w:rPr>
          <w:szCs w:val="24"/>
        </w:rPr>
        <w:t>[O]n a going-forward basis, CRES providers may not include a pass-through clause in a contract labeled as ‘fixed-rate’. While CRES providers may continue to offer products containing pass-through provisions, they must be labeled appropriately as variable or introductory rates.”</w:t>
      </w:r>
      <w:r w:rsidRPr="008021BF">
        <w:rPr>
          <w:rStyle w:val="FootnoteReference"/>
          <w:rFonts w:eastAsia="Courier New"/>
          <w:szCs w:val="24"/>
        </w:rPr>
        <w:footnoteReference w:id="16"/>
      </w:r>
    </w:p>
    <w:p w:rsidR="002E7243" w:rsidRPr="008021BF" w:rsidRDefault="002E7243" w:rsidP="007F732E">
      <w:pPr>
        <w:ind w:left="1440" w:right="720"/>
        <w:rPr>
          <w:szCs w:val="24"/>
        </w:rPr>
      </w:pPr>
    </w:p>
    <w:p w:rsidR="007F732E" w:rsidRDefault="00854CC5" w:rsidP="002E7243">
      <w:pPr>
        <w:spacing w:line="480" w:lineRule="auto"/>
        <w:rPr>
          <w:szCs w:val="24"/>
        </w:rPr>
      </w:pPr>
      <w:r>
        <w:rPr>
          <w:szCs w:val="24"/>
        </w:rPr>
        <w:t>Ohio law requires the PUCO to establish CRES rules that ensure consumers are provided with adequate, accurate, and understandable pricing and terms and conditions of service.</w:t>
      </w:r>
      <w:r>
        <w:rPr>
          <w:rStyle w:val="FootnoteReference"/>
          <w:szCs w:val="24"/>
        </w:rPr>
        <w:footnoteReference w:id="17"/>
      </w:r>
      <w:r>
        <w:rPr>
          <w:szCs w:val="24"/>
        </w:rPr>
        <w:t xml:space="preserve"> </w:t>
      </w:r>
      <w:r w:rsidR="007F732E" w:rsidRPr="008021BF">
        <w:rPr>
          <w:szCs w:val="24"/>
        </w:rPr>
        <w:t>The PUCO opened this case to determine whether it is unfair, misleading, deceptive, or unconscionable to market contracts as fixed-rate contracts or as variable contracts with a guaranteed percent off the SSO rate when the contracts included pass-through clauses.</w:t>
      </w:r>
      <w:r w:rsidR="007F732E" w:rsidRPr="008021BF">
        <w:rPr>
          <w:rStyle w:val="FootnoteReference"/>
          <w:rFonts w:eastAsia="Courier New"/>
          <w:szCs w:val="24"/>
        </w:rPr>
        <w:footnoteReference w:id="18"/>
      </w:r>
      <w:r w:rsidR="007F732E" w:rsidRPr="008021BF">
        <w:rPr>
          <w:szCs w:val="24"/>
        </w:rPr>
        <w:t xml:space="preserve"> The PUCO concluded that “in all CRES contracts, whether residential, commercial, or industrial, fixed should mean fixed.”</w:t>
      </w:r>
      <w:r w:rsidR="007F732E" w:rsidRPr="008021BF">
        <w:rPr>
          <w:rStyle w:val="FootnoteReference"/>
          <w:rFonts w:eastAsia="Courier New"/>
          <w:szCs w:val="24"/>
        </w:rPr>
        <w:footnoteReference w:id="19"/>
      </w:r>
      <w:r w:rsidR="007F732E" w:rsidRPr="008021BF">
        <w:rPr>
          <w:szCs w:val="24"/>
        </w:rPr>
        <w:t xml:space="preserve">  Therefore, if there are contracts in existence today where there was any question about the meaning of the “fixed” contract, there is now an answer. </w:t>
      </w:r>
      <w:r w:rsidR="007F732E">
        <w:rPr>
          <w:szCs w:val="24"/>
        </w:rPr>
        <w:t>W</w:t>
      </w:r>
      <w:r w:rsidR="007F732E" w:rsidRPr="008021BF">
        <w:rPr>
          <w:szCs w:val="24"/>
        </w:rPr>
        <w:t>hen interpreting “fixed” contracts</w:t>
      </w:r>
      <w:r w:rsidR="007F732E">
        <w:rPr>
          <w:szCs w:val="24"/>
        </w:rPr>
        <w:t>,</w:t>
      </w:r>
      <w:r w:rsidR="007F732E" w:rsidRPr="008021BF">
        <w:rPr>
          <w:szCs w:val="24"/>
        </w:rPr>
        <w:t xml:space="preserve"> the PUCO clarified that fixed contracts do not contain variable terms. </w:t>
      </w:r>
    </w:p>
    <w:p w:rsidR="007F732E" w:rsidRDefault="007F732E" w:rsidP="007F732E">
      <w:pPr>
        <w:spacing w:line="480" w:lineRule="auto"/>
        <w:ind w:firstLine="720"/>
        <w:rPr>
          <w:szCs w:val="24"/>
        </w:rPr>
      </w:pPr>
      <w:r w:rsidRPr="008021BF">
        <w:rPr>
          <w:szCs w:val="24"/>
        </w:rPr>
        <w:t>In keeping with the Ohio Adm. Code Section 4901:1-21-05(C), no CRES provider may engage in practices which are unfair, misleading, deceptive, or unconscionable.</w:t>
      </w:r>
      <w:r w:rsidRPr="008021BF">
        <w:rPr>
          <w:rStyle w:val="FootnoteReference"/>
          <w:rFonts w:eastAsia="Courier New"/>
          <w:szCs w:val="24"/>
        </w:rPr>
        <w:footnoteReference w:id="20"/>
      </w:r>
      <w:r w:rsidRPr="008021BF">
        <w:rPr>
          <w:szCs w:val="24"/>
        </w:rPr>
        <w:t xml:space="preserve"> The PUCO has now clearly opined that in interpreting the terms of CRES contracts, fixed means fixed, which means that fixed contracts cannot contain any pass-through provisions. This holding became effective on November 18, 2015. </w:t>
      </w:r>
      <w:r w:rsidR="00EB2CD6">
        <w:rPr>
          <w:szCs w:val="24"/>
        </w:rPr>
        <w:t>Unlike IGS’ claim, the PUCO holding interprets the terms of CRES contracts</w:t>
      </w:r>
      <w:r w:rsidR="008C4B4A">
        <w:rPr>
          <w:szCs w:val="24"/>
        </w:rPr>
        <w:t xml:space="preserve"> and</w:t>
      </w:r>
      <w:r w:rsidR="00EB2CD6">
        <w:rPr>
          <w:szCs w:val="24"/>
        </w:rPr>
        <w:t xml:space="preserve"> does not create a new regulation. </w:t>
      </w:r>
      <w:r w:rsidRPr="008021BF">
        <w:rPr>
          <w:szCs w:val="24"/>
        </w:rPr>
        <w:t>There is no longer an</w:t>
      </w:r>
      <w:r>
        <w:rPr>
          <w:szCs w:val="24"/>
        </w:rPr>
        <w:t>y</w:t>
      </w:r>
      <w:r w:rsidRPr="008021BF">
        <w:rPr>
          <w:szCs w:val="24"/>
        </w:rPr>
        <w:t xml:space="preserve"> ambiguity regarding the meaning of fixed. The PUCO’s orders are effective when issued.</w:t>
      </w:r>
      <w:r w:rsidRPr="008021BF">
        <w:rPr>
          <w:rStyle w:val="FootnoteReference"/>
          <w:rFonts w:eastAsia="Courier New"/>
          <w:szCs w:val="24"/>
        </w:rPr>
        <w:footnoteReference w:id="21"/>
      </w:r>
      <w:r w:rsidRPr="008021BF">
        <w:rPr>
          <w:szCs w:val="24"/>
        </w:rPr>
        <w:t xml:space="preserve">  The</w:t>
      </w:r>
      <w:r>
        <w:rPr>
          <w:szCs w:val="24"/>
        </w:rPr>
        <w:t>refore, the</w:t>
      </w:r>
      <w:r w:rsidRPr="008021BF">
        <w:rPr>
          <w:szCs w:val="24"/>
        </w:rPr>
        <w:t xml:space="preserve"> PUCO </w:t>
      </w:r>
      <w:r>
        <w:rPr>
          <w:szCs w:val="24"/>
        </w:rPr>
        <w:t xml:space="preserve">should </w:t>
      </w:r>
      <w:r w:rsidR="000C431C">
        <w:rPr>
          <w:szCs w:val="24"/>
        </w:rPr>
        <w:t>dismiss the IGS argument that the November 18</w:t>
      </w:r>
      <w:r w:rsidR="000C431C" w:rsidRPr="000C431C">
        <w:rPr>
          <w:szCs w:val="24"/>
          <w:vertAlign w:val="superscript"/>
        </w:rPr>
        <w:t>th</w:t>
      </w:r>
      <w:r w:rsidR="000C431C">
        <w:rPr>
          <w:szCs w:val="24"/>
        </w:rPr>
        <w:t xml:space="preserve"> Order constitutes the retroactive application of a new regulation in </w:t>
      </w:r>
      <w:r w:rsidR="008972A2">
        <w:rPr>
          <w:szCs w:val="24"/>
        </w:rPr>
        <w:t>contravention of the Ohio Constit</w:t>
      </w:r>
      <w:r w:rsidR="000C431C">
        <w:rPr>
          <w:szCs w:val="24"/>
        </w:rPr>
        <w:t>ution.</w:t>
      </w:r>
    </w:p>
    <w:p w:rsidR="000C431C" w:rsidRDefault="000C431C" w:rsidP="00466A5F">
      <w:pPr>
        <w:pStyle w:val="Heading2"/>
      </w:pPr>
      <w:r w:rsidRPr="00660255">
        <w:t>E</w:t>
      </w:r>
      <w:r w:rsidR="00466A5F">
        <w:t>.</w:t>
      </w:r>
      <w:r>
        <w:tab/>
      </w:r>
      <w:r w:rsidR="000045E3">
        <w:t>The PUCO’s proceeding was not an investigation into the CRES providers’ response to additional PJM charges</w:t>
      </w:r>
      <w:r w:rsidR="007D22F9">
        <w:t xml:space="preserve"> as asserted by RESA</w:t>
      </w:r>
      <w:r w:rsidR="006A4E82">
        <w:t>.  T</w:t>
      </w:r>
      <w:r w:rsidR="007D22F9">
        <w:t xml:space="preserve">herefore </w:t>
      </w:r>
      <w:r w:rsidR="006A4E82">
        <w:t xml:space="preserve">there </w:t>
      </w:r>
      <w:r w:rsidR="007D22F9">
        <w:t>is no requirement that the record contain cites to PJM’s Polar Vortex charges.</w:t>
      </w:r>
    </w:p>
    <w:p w:rsidR="007D22F9" w:rsidRDefault="007D22F9" w:rsidP="000C431C">
      <w:pPr>
        <w:spacing w:line="480" w:lineRule="auto"/>
        <w:rPr>
          <w:szCs w:val="24"/>
        </w:rPr>
      </w:pPr>
      <w:r>
        <w:rPr>
          <w:szCs w:val="24"/>
        </w:rPr>
        <w:tab/>
        <w:t>RESA states that ‘[t]here is nothing in the record to demonstrate, that on a widespread basis, CRES providers inappropriately responded after they incurred the additional PJM charges following the Polar Vortex.”</w:t>
      </w:r>
      <w:r>
        <w:rPr>
          <w:rStyle w:val="FootnoteReference"/>
          <w:szCs w:val="24"/>
        </w:rPr>
        <w:footnoteReference w:id="22"/>
      </w:r>
      <w:r>
        <w:rPr>
          <w:szCs w:val="24"/>
        </w:rPr>
        <w:t xml:space="preserve"> </w:t>
      </w:r>
      <w:r w:rsidR="006A4E82">
        <w:rPr>
          <w:szCs w:val="24"/>
        </w:rPr>
        <w:t xml:space="preserve">RESA mistakes the scope and purpose of the PUCO's investigation here. There was neither intent nor any requirement that the PUCO analyze or investigate the PJM charges following the Polar Vortex. </w:t>
      </w:r>
      <w:r w:rsidR="00EA2D05">
        <w:rPr>
          <w:szCs w:val="24"/>
        </w:rPr>
        <w:t>T</w:t>
      </w:r>
      <w:r w:rsidR="006A4E82">
        <w:rPr>
          <w:szCs w:val="24"/>
        </w:rPr>
        <w:t>he intent behind this case is whether CRES contracts are unfair, misleading, deceptive, and unconscionable, in contravention of the Ohio Adm. Code 4901:1-21.</w:t>
      </w:r>
      <w:r w:rsidR="00854CC5">
        <w:rPr>
          <w:szCs w:val="24"/>
        </w:rPr>
        <w:t xml:space="preserve"> </w:t>
      </w:r>
      <w:r w:rsidR="008972A2">
        <w:rPr>
          <w:szCs w:val="24"/>
        </w:rPr>
        <w:t>The PUCO record in this case contains evidence necessary to make the finding that it mad</w:t>
      </w:r>
      <w:r w:rsidR="006A4E82">
        <w:rPr>
          <w:szCs w:val="24"/>
        </w:rPr>
        <w:t>e</w:t>
      </w:r>
      <w:r w:rsidR="008972A2">
        <w:rPr>
          <w:szCs w:val="24"/>
        </w:rPr>
        <w:t xml:space="preserve"> – fixed-means-fixed. </w:t>
      </w:r>
      <w:r w:rsidR="006A4E82">
        <w:rPr>
          <w:szCs w:val="24"/>
        </w:rPr>
        <w:t xml:space="preserve">RESA's application </w:t>
      </w:r>
      <w:r w:rsidR="00EA2D05">
        <w:rPr>
          <w:szCs w:val="24"/>
        </w:rPr>
        <w:t xml:space="preserve">for rehearing </w:t>
      </w:r>
      <w:r w:rsidR="006A4E82">
        <w:rPr>
          <w:szCs w:val="24"/>
        </w:rPr>
        <w:t xml:space="preserve">should be denied.  </w:t>
      </w:r>
    </w:p>
    <w:p w:rsidR="00660255" w:rsidRDefault="00660255" w:rsidP="00466A5F">
      <w:pPr>
        <w:pStyle w:val="Heading2"/>
      </w:pPr>
      <w:r w:rsidRPr="006C486C">
        <w:t>F</w:t>
      </w:r>
      <w:r w:rsidR="00466A5F">
        <w:t>.</w:t>
      </w:r>
      <w:r>
        <w:tab/>
      </w:r>
      <w:r w:rsidR="008E74B0">
        <w:t xml:space="preserve">The PUCO’s </w:t>
      </w:r>
      <w:r w:rsidR="00EA2D05">
        <w:t>Order</w:t>
      </w:r>
      <w:r w:rsidR="008E74B0">
        <w:t xml:space="preserve"> that fixed-means-fixed in CRES contracts does not conflict with the treatment of utility fixed-price offerings.</w:t>
      </w:r>
    </w:p>
    <w:p w:rsidR="008E74B0" w:rsidRDefault="008E74B0" w:rsidP="000C431C">
      <w:pPr>
        <w:spacing w:line="480" w:lineRule="auto"/>
        <w:rPr>
          <w:szCs w:val="24"/>
        </w:rPr>
      </w:pPr>
      <w:r>
        <w:rPr>
          <w:szCs w:val="24"/>
        </w:rPr>
        <w:tab/>
        <w:t>RESA argues that the PUC</w:t>
      </w:r>
      <w:r w:rsidR="00820100">
        <w:rPr>
          <w:szCs w:val="24"/>
        </w:rPr>
        <w:t>O</w:t>
      </w:r>
      <w:r>
        <w:rPr>
          <w:szCs w:val="24"/>
        </w:rPr>
        <w:t xml:space="preserve"> finding that “fixed-means-fixed” is inconsistent with the labeling approved in the past by the PUCO for utility-offered services and provides an example of Ohio Edison’s Advanced Metering Infrastructure Rider. The tariff language states that the charge is a fixed monthly charge, however, it is updated and reconciled on quarterly bas</w:t>
      </w:r>
      <w:r w:rsidR="008C4B4A">
        <w:rPr>
          <w:szCs w:val="24"/>
        </w:rPr>
        <w:t>i</w:t>
      </w:r>
      <w:r>
        <w:rPr>
          <w:szCs w:val="24"/>
        </w:rPr>
        <w:t xml:space="preserve">s. </w:t>
      </w:r>
      <w:r w:rsidR="006A4E82">
        <w:rPr>
          <w:szCs w:val="24"/>
        </w:rPr>
        <w:t xml:space="preserve">But this is not </w:t>
      </w:r>
      <w:r>
        <w:rPr>
          <w:szCs w:val="24"/>
        </w:rPr>
        <w:t xml:space="preserve">an apples-to-apples comparison.  </w:t>
      </w:r>
    </w:p>
    <w:p w:rsidR="005C4BEC" w:rsidRDefault="000045E3" w:rsidP="005C4BEC">
      <w:pPr>
        <w:spacing w:line="480" w:lineRule="auto"/>
        <w:rPr>
          <w:szCs w:val="24"/>
        </w:rPr>
      </w:pPr>
      <w:r>
        <w:rPr>
          <w:szCs w:val="24"/>
        </w:rPr>
        <w:tab/>
      </w:r>
      <w:r w:rsidR="00854CC5">
        <w:rPr>
          <w:szCs w:val="24"/>
        </w:rPr>
        <w:t>Unlike CRES rates charged to custom</w:t>
      </w:r>
      <w:r w:rsidR="008C4B4A">
        <w:rPr>
          <w:szCs w:val="24"/>
        </w:rPr>
        <w:t>ers,</w:t>
      </w:r>
      <w:r w:rsidR="00854CC5">
        <w:rPr>
          <w:szCs w:val="24"/>
        </w:rPr>
        <w:t xml:space="preserve"> </w:t>
      </w:r>
      <w:r w:rsidR="008C4B4A">
        <w:rPr>
          <w:szCs w:val="24"/>
        </w:rPr>
        <w:t>t</w:t>
      </w:r>
      <w:r w:rsidR="00854CC5">
        <w:rPr>
          <w:szCs w:val="24"/>
        </w:rPr>
        <w:t>he rate that a utility charges for a</w:t>
      </w:r>
      <w:r w:rsidR="00A76C89">
        <w:rPr>
          <w:szCs w:val="24"/>
        </w:rPr>
        <w:t xml:space="preserve"> </w:t>
      </w:r>
      <w:r w:rsidR="00854CC5">
        <w:rPr>
          <w:szCs w:val="24"/>
        </w:rPr>
        <w:t xml:space="preserve">service </w:t>
      </w:r>
      <w:r w:rsidR="00EA2D05">
        <w:rPr>
          <w:szCs w:val="24"/>
        </w:rPr>
        <w:t>(Advanced Metering Infrastructure Rider)</w:t>
      </w:r>
      <w:r w:rsidR="00AE6D73" w:rsidRPr="00AE6D73">
        <w:rPr>
          <w:szCs w:val="24"/>
        </w:rPr>
        <w:t xml:space="preserve"> is subject to regula</w:t>
      </w:r>
      <w:r w:rsidR="00AE6D73">
        <w:rPr>
          <w:szCs w:val="24"/>
        </w:rPr>
        <w:t xml:space="preserve">tory oversight </w:t>
      </w:r>
      <w:r w:rsidR="00A76C89">
        <w:rPr>
          <w:szCs w:val="24"/>
        </w:rPr>
        <w:t>and approval by the PUCO. Prior to approving a utility rate,</w:t>
      </w:r>
      <w:r w:rsidR="00AE6D73">
        <w:rPr>
          <w:szCs w:val="24"/>
        </w:rPr>
        <w:t xml:space="preserve"> </w:t>
      </w:r>
      <w:r w:rsidR="00A76C89">
        <w:rPr>
          <w:szCs w:val="24"/>
        </w:rPr>
        <w:t>a</w:t>
      </w:r>
      <w:r w:rsidR="00AE6D73">
        <w:rPr>
          <w:szCs w:val="24"/>
        </w:rPr>
        <w:t xml:space="preserve"> case </w:t>
      </w:r>
      <w:r w:rsidR="001008BB">
        <w:rPr>
          <w:szCs w:val="24"/>
        </w:rPr>
        <w:t>is opened at the</w:t>
      </w:r>
      <w:r w:rsidR="00AE6D73">
        <w:rPr>
          <w:szCs w:val="24"/>
        </w:rPr>
        <w:t xml:space="preserve"> PUCO. </w:t>
      </w:r>
      <w:r w:rsidR="00C22C6F">
        <w:rPr>
          <w:szCs w:val="24"/>
        </w:rPr>
        <w:t>Parties</w:t>
      </w:r>
      <w:r w:rsidR="00AE6D73">
        <w:rPr>
          <w:szCs w:val="24"/>
        </w:rPr>
        <w:t xml:space="preserve"> </w:t>
      </w:r>
      <w:r w:rsidR="001008BB">
        <w:rPr>
          <w:szCs w:val="24"/>
        </w:rPr>
        <w:t xml:space="preserve">may </w:t>
      </w:r>
      <w:r w:rsidR="00AE6D73">
        <w:rPr>
          <w:szCs w:val="24"/>
        </w:rPr>
        <w:t xml:space="preserve">intervene, conduct discovery, </w:t>
      </w:r>
      <w:r w:rsidR="00C22C6F">
        <w:rPr>
          <w:szCs w:val="24"/>
        </w:rPr>
        <w:t>and present</w:t>
      </w:r>
      <w:r w:rsidR="00AE6D73">
        <w:rPr>
          <w:szCs w:val="24"/>
        </w:rPr>
        <w:t xml:space="preserve"> evidence </w:t>
      </w:r>
      <w:r w:rsidR="00C22C6F">
        <w:rPr>
          <w:szCs w:val="24"/>
        </w:rPr>
        <w:t xml:space="preserve">to the PUCO. </w:t>
      </w:r>
      <w:r w:rsidR="001008BB">
        <w:rPr>
          <w:szCs w:val="24"/>
        </w:rPr>
        <w:t xml:space="preserve">Parties are given the opportunity to argue about the costs that the utility passes on to customers. This situation is not at all comparable to CRES </w:t>
      </w:r>
      <w:r w:rsidR="008C4B4A">
        <w:rPr>
          <w:szCs w:val="24"/>
        </w:rPr>
        <w:t xml:space="preserve">rates that </w:t>
      </w:r>
      <w:r w:rsidR="001008BB">
        <w:rPr>
          <w:szCs w:val="24"/>
        </w:rPr>
        <w:t>includ</w:t>
      </w:r>
      <w:r w:rsidR="008C4B4A">
        <w:rPr>
          <w:szCs w:val="24"/>
        </w:rPr>
        <w:t>e</w:t>
      </w:r>
      <w:r w:rsidR="001008BB">
        <w:rPr>
          <w:szCs w:val="24"/>
        </w:rPr>
        <w:t xml:space="preserve"> pass-through </w:t>
      </w:r>
      <w:r w:rsidR="00A76C89">
        <w:rPr>
          <w:szCs w:val="24"/>
        </w:rPr>
        <w:t>charges</w:t>
      </w:r>
      <w:r w:rsidR="001008BB">
        <w:rPr>
          <w:szCs w:val="24"/>
        </w:rPr>
        <w:t xml:space="preserve"> on a fixed CRES contract. That CRES </w:t>
      </w:r>
      <w:r w:rsidR="00A76C89">
        <w:rPr>
          <w:szCs w:val="24"/>
        </w:rPr>
        <w:t>rate is</w:t>
      </w:r>
      <w:r w:rsidR="001008BB">
        <w:rPr>
          <w:szCs w:val="24"/>
        </w:rPr>
        <w:t xml:space="preserve"> not subject to </w:t>
      </w:r>
      <w:r w:rsidR="00A76C89">
        <w:rPr>
          <w:szCs w:val="24"/>
        </w:rPr>
        <w:t>the same regulatory transparency requirements or a thorough examination of costs</w:t>
      </w:r>
      <w:r w:rsidR="001008BB">
        <w:rPr>
          <w:szCs w:val="24"/>
        </w:rPr>
        <w:t>. RESA’s argument that the PUCO’s November 18</w:t>
      </w:r>
      <w:r w:rsidR="001008BB" w:rsidRPr="001008BB">
        <w:rPr>
          <w:szCs w:val="24"/>
          <w:vertAlign w:val="superscript"/>
        </w:rPr>
        <w:t>th</w:t>
      </w:r>
      <w:r w:rsidR="001008BB">
        <w:rPr>
          <w:szCs w:val="24"/>
        </w:rPr>
        <w:t xml:space="preserve"> Order is discriminatory to CRES suppliers is inaccurate and should be rejected.</w:t>
      </w:r>
    </w:p>
    <w:p w:rsidR="007F732E" w:rsidRPr="005C4BEC" w:rsidRDefault="006C486C" w:rsidP="005C4BEC">
      <w:pPr>
        <w:pStyle w:val="Heading2"/>
        <w:rPr>
          <w:szCs w:val="24"/>
        </w:rPr>
      </w:pPr>
      <w:r w:rsidRPr="00373D94">
        <w:t>G</w:t>
      </w:r>
      <w:r w:rsidR="00466A5F">
        <w:t>.</w:t>
      </w:r>
      <w:r>
        <w:tab/>
        <w:t>Imposing a limited set of labe</w:t>
      </w:r>
      <w:r w:rsidR="00820100">
        <w:t>l</w:t>
      </w:r>
      <w:r>
        <w:t xml:space="preserve">s applicable to all Ohio CRES contracts </w:t>
      </w:r>
      <w:r w:rsidR="00820100">
        <w:t>provides cust</w:t>
      </w:r>
      <w:r w:rsidR="00373D94">
        <w:t>om</w:t>
      </w:r>
      <w:r w:rsidR="00820100">
        <w:t>ers with a clear understanding of the CRES product.</w:t>
      </w:r>
    </w:p>
    <w:p w:rsidR="00820100" w:rsidRDefault="00820100" w:rsidP="00A377C0">
      <w:pPr>
        <w:spacing w:line="480" w:lineRule="auto"/>
      </w:pPr>
      <w:r>
        <w:tab/>
        <w:t xml:space="preserve">RESA states that the definitions adopted in the November 18, 2015 decision </w:t>
      </w:r>
      <w:r w:rsidR="00373D94">
        <w:t>are too limited and do not allow for consideration of hybrid products.</w:t>
      </w:r>
      <w:r w:rsidR="00373D94">
        <w:rPr>
          <w:rStyle w:val="FootnoteReference"/>
        </w:rPr>
        <w:footnoteReference w:id="23"/>
      </w:r>
      <w:r w:rsidR="00373D94">
        <w:t xml:space="preserve"> RESA further contends </w:t>
      </w:r>
      <w:r w:rsidR="00781AB7">
        <w:t>that the definitions adopted we</w:t>
      </w:r>
      <w:r w:rsidR="00373D94">
        <w:t>r</w:t>
      </w:r>
      <w:r w:rsidR="00781AB7">
        <w:t>e</w:t>
      </w:r>
      <w:r w:rsidR="00373D94">
        <w:t xml:space="preserve"> done outside of a</w:t>
      </w:r>
      <w:r w:rsidR="00781AB7">
        <w:t xml:space="preserve"> rule review proceeding and</w:t>
      </w:r>
      <w:r w:rsidR="00373D94">
        <w:t xml:space="preserve"> </w:t>
      </w:r>
      <w:r w:rsidR="006A4E82">
        <w:t xml:space="preserve">parties had no </w:t>
      </w:r>
      <w:r w:rsidR="00373D94">
        <w:t>opportunity to address them.</w:t>
      </w:r>
      <w:r w:rsidR="00373D94">
        <w:rPr>
          <w:rStyle w:val="FootnoteReference"/>
        </w:rPr>
        <w:footnoteReference w:id="24"/>
      </w:r>
      <w:r w:rsidR="00373D94">
        <w:t xml:space="preserve"> </w:t>
      </w:r>
      <w:r w:rsidR="00781AB7">
        <w:t xml:space="preserve">The PUCO’s Order could not be </w:t>
      </w:r>
      <w:r w:rsidR="00C96E2D">
        <w:t>clearer</w:t>
      </w:r>
      <w:r w:rsidR="00781AB7">
        <w:t>. CRES providers may not include a pass-through clause in a contract labeled as “fixed-rate.”</w:t>
      </w:r>
      <w:r w:rsidR="00781AB7">
        <w:rPr>
          <w:rStyle w:val="FootnoteReference"/>
        </w:rPr>
        <w:footnoteReference w:id="25"/>
      </w:r>
      <w:r w:rsidR="00781AB7">
        <w:t xml:space="preserve"> While CRES providers may continue to offer products</w:t>
      </w:r>
      <w:r w:rsidR="00C96E2D">
        <w:t xml:space="preserve"> containing pass-through provision, they must be labeled appropriately as variable or introductory rates.</w:t>
      </w:r>
      <w:r w:rsidR="00C96E2D">
        <w:rPr>
          <w:rStyle w:val="FootnoteReference"/>
        </w:rPr>
        <w:footnoteReference w:id="26"/>
      </w:r>
      <w:r w:rsidR="00C96E2D">
        <w:t xml:space="preserve"> Additionally, the PUCO found that changes to the current rules needed to be initiated in order to provide clearer, more specific guidance for customers and CRES providers.</w:t>
      </w:r>
      <w:r w:rsidR="00C96E2D">
        <w:rPr>
          <w:rStyle w:val="FootnoteReference"/>
        </w:rPr>
        <w:footnoteReference w:id="27"/>
      </w:r>
      <w:r w:rsidR="00C96E2D">
        <w:t xml:space="preserve"> RESA will have an opportunity to address its concerns regarding the hybrid products and other issues relating to providing a variety of CRES products</w:t>
      </w:r>
      <w:r w:rsidR="00C8254C">
        <w:t xml:space="preserve"> in the upcoming rule proceeding that the PUCO ordered to be initiated.</w:t>
      </w:r>
      <w:r w:rsidR="00C8254C">
        <w:rPr>
          <w:rStyle w:val="FootnoteReference"/>
        </w:rPr>
        <w:footnoteReference w:id="28"/>
      </w:r>
      <w:r w:rsidR="00C96E2D">
        <w:t xml:space="preserve"> But the holding of the November 18</w:t>
      </w:r>
      <w:r w:rsidR="00C96E2D" w:rsidRPr="00C96E2D">
        <w:rPr>
          <w:vertAlign w:val="superscript"/>
        </w:rPr>
        <w:t>th</w:t>
      </w:r>
      <w:r w:rsidR="00C96E2D">
        <w:t xml:space="preserve"> Order protects the interests of consumers because it clarifies the definition of fixed CRES contracts. </w:t>
      </w:r>
    </w:p>
    <w:p w:rsidR="00466A5F" w:rsidRDefault="00466A5F" w:rsidP="00466A5F"/>
    <w:p w:rsidR="00C96E2D" w:rsidRPr="00382793" w:rsidRDefault="00466A5F" w:rsidP="00466A5F">
      <w:pPr>
        <w:pStyle w:val="Heading1"/>
      </w:pPr>
      <w:r>
        <w:t>iII.</w:t>
      </w:r>
      <w:r>
        <w:tab/>
      </w:r>
      <w:r w:rsidR="00C96E2D" w:rsidRPr="00382793">
        <w:t>CONCLUSION</w:t>
      </w:r>
    </w:p>
    <w:p w:rsidR="00C96E2D" w:rsidRDefault="00382793" w:rsidP="00A377C0">
      <w:pPr>
        <w:spacing w:line="480" w:lineRule="auto"/>
      </w:pPr>
      <w:r>
        <w:tab/>
        <w:t xml:space="preserve">OCC </w:t>
      </w:r>
      <w:r w:rsidR="006A4E82">
        <w:t xml:space="preserve">appreciates </w:t>
      </w:r>
      <w:r>
        <w:t xml:space="preserve">the PUCO </w:t>
      </w:r>
      <w:r w:rsidR="006A4E82">
        <w:t xml:space="preserve">Order in this case </w:t>
      </w:r>
      <w:r w:rsidR="008C4B4A">
        <w:t>that</w:t>
      </w:r>
      <w:r w:rsidR="006A4E82">
        <w:t xml:space="preserve"> is </w:t>
      </w:r>
      <w:r>
        <w:t>intended to protect Ohio’s consumers. The protection established by the PUCO’s November 18, 2015 Order</w:t>
      </w:r>
      <w:r w:rsidR="006A4E82">
        <w:t>--</w:t>
      </w:r>
      <w:r>
        <w:t xml:space="preserve"> that fixed-means-fixed</w:t>
      </w:r>
      <w:r w:rsidR="006A4E82">
        <w:t>--</w:t>
      </w:r>
      <w:r>
        <w:t xml:space="preserve"> is needed to prevent </w:t>
      </w:r>
      <w:r w:rsidR="006A4E82">
        <w:t xml:space="preserve">customers from being victims of </w:t>
      </w:r>
      <w:r>
        <w:t xml:space="preserve">unfair, deceptive, misleading, and unconscionable </w:t>
      </w:r>
      <w:r w:rsidR="006A4E82">
        <w:t xml:space="preserve">terms </w:t>
      </w:r>
      <w:r w:rsidR="00D5047D">
        <w:t>in CRE</w:t>
      </w:r>
      <w:r w:rsidR="00B97C24">
        <w:t>S</w:t>
      </w:r>
      <w:r w:rsidR="00D5047D">
        <w:t xml:space="preserve"> supplier contracts</w:t>
      </w:r>
      <w:r>
        <w:t>. For the reasons discussed in this Memorandum, the</w:t>
      </w:r>
      <w:r w:rsidR="00D5047D">
        <w:t xml:space="preserve"> OCC respectfully requests that the</w:t>
      </w:r>
      <w:r>
        <w:t xml:space="preserve"> PUCO deny the Applications for Rehearing filed by FES, IGS, Noble, and RESA.</w:t>
      </w:r>
    </w:p>
    <w:p w:rsidR="00B97C24" w:rsidRDefault="005C4BEC" w:rsidP="005C4BEC">
      <w:pPr>
        <w:spacing w:after="200" w:line="276" w:lineRule="auto"/>
      </w:pPr>
      <w:r>
        <w:tab/>
      </w:r>
      <w:r>
        <w:tab/>
      </w:r>
      <w:r>
        <w:tab/>
      </w:r>
      <w:r>
        <w:tab/>
      </w:r>
      <w:r>
        <w:tab/>
      </w:r>
      <w:r>
        <w:tab/>
      </w:r>
      <w:r w:rsidR="00B97C24">
        <w:t>Respectfully submitted,</w:t>
      </w:r>
    </w:p>
    <w:p w:rsidR="00B97C24" w:rsidRDefault="00B97C24" w:rsidP="00B97C24">
      <w:pPr>
        <w:pStyle w:val="Date"/>
        <w:ind w:left="4320"/>
      </w:pPr>
      <w:r>
        <w:t>BRUCE J. WESTON (0016973)</w:t>
      </w:r>
    </w:p>
    <w:p w:rsidR="00B97C24" w:rsidRDefault="00B97C24" w:rsidP="00B97C24">
      <w:pPr>
        <w:ind w:left="4320"/>
      </w:pPr>
      <w:r>
        <w:t>OHIO CONSUMERS’ COUNSEL</w:t>
      </w:r>
    </w:p>
    <w:p w:rsidR="00B97C24" w:rsidRDefault="00B97C24" w:rsidP="00B97C24">
      <w:pPr>
        <w:ind w:left="4320"/>
      </w:pPr>
    </w:p>
    <w:p w:rsidR="00B97C24" w:rsidRPr="007E7FF1" w:rsidRDefault="00B97C24" w:rsidP="00B97C24">
      <w:pPr>
        <w:ind w:left="4320" w:right="-378"/>
        <w:rPr>
          <w:i/>
          <w:u w:val="single"/>
        </w:rPr>
      </w:pPr>
      <w:r>
        <w:rPr>
          <w:i/>
          <w:u w:val="single"/>
        </w:rPr>
        <w:t>/s/ Jodi Bair</w:t>
      </w:r>
      <w:r>
        <w:rPr>
          <w:i/>
          <w:u w:val="single"/>
        </w:rPr>
        <w:tab/>
      </w:r>
      <w:r>
        <w:rPr>
          <w:i/>
          <w:u w:val="single"/>
        </w:rPr>
        <w:tab/>
      </w:r>
      <w:r>
        <w:rPr>
          <w:i/>
          <w:u w:val="single"/>
        </w:rPr>
        <w:tab/>
      </w:r>
    </w:p>
    <w:p w:rsidR="00B97C24" w:rsidRDefault="00B97C24" w:rsidP="00B97C24">
      <w:pPr>
        <w:pStyle w:val="ShortReturnAddress"/>
        <w:ind w:left="4320"/>
      </w:pPr>
      <w:r>
        <w:t>Jodi Bair (0062921), Counsel of Record</w:t>
      </w:r>
    </w:p>
    <w:p w:rsidR="00B97C24" w:rsidRDefault="00B97C24" w:rsidP="00B97C24">
      <w:pPr>
        <w:pStyle w:val="ShortReturnAddress"/>
        <w:ind w:left="4320"/>
      </w:pPr>
      <w:r>
        <w:t>Assistant Consumers’ Counsel</w:t>
      </w:r>
    </w:p>
    <w:p w:rsidR="00B97C24" w:rsidRDefault="00B97C24" w:rsidP="00B97C24">
      <w:pPr>
        <w:pStyle w:val="ShortReturnAddress"/>
        <w:ind w:left="4320"/>
      </w:pPr>
    </w:p>
    <w:p w:rsidR="00B97C24" w:rsidRDefault="00B97C24" w:rsidP="00B97C24">
      <w:pPr>
        <w:pStyle w:val="ShortReturnAddress"/>
        <w:ind w:left="4320" w:right="-180"/>
      </w:pPr>
      <w:r>
        <w:rPr>
          <w:b/>
        </w:rPr>
        <w:t>Office of the Ohio Consumers’ Counsel</w:t>
      </w:r>
    </w:p>
    <w:p w:rsidR="00B97C24" w:rsidRDefault="00B97C24" w:rsidP="00B97C24">
      <w:pPr>
        <w:pStyle w:val="ShortReturnAddress"/>
        <w:ind w:left="4320"/>
      </w:pPr>
      <w:r>
        <w:t>10 West Broad Street, Suite 1800</w:t>
      </w:r>
    </w:p>
    <w:p w:rsidR="00B97C24" w:rsidRDefault="00B97C24" w:rsidP="00B97C24">
      <w:pPr>
        <w:pStyle w:val="ShortReturnAddress"/>
        <w:ind w:left="4320"/>
      </w:pPr>
      <w:r>
        <w:t>Columbus, Ohio 43215-3485</w:t>
      </w:r>
    </w:p>
    <w:p w:rsidR="00B97C24" w:rsidRDefault="00B97C24" w:rsidP="00B97C24">
      <w:pPr>
        <w:pStyle w:val="Date"/>
        <w:ind w:left="4320"/>
      </w:pPr>
      <w:r>
        <w:t>(614) 466-9559 – Telephone (Bair Direct)</w:t>
      </w:r>
    </w:p>
    <w:p w:rsidR="00B97C24" w:rsidRDefault="00B97C24" w:rsidP="00B97C24">
      <w:r>
        <w:tab/>
      </w:r>
      <w:r>
        <w:tab/>
      </w:r>
      <w:r>
        <w:tab/>
      </w:r>
      <w:r>
        <w:tab/>
      </w:r>
      <w:r>
        <w:tab/>
      </w:r>
      <w:r>
        <w:tab/>
      </w:r>
      <w:hyperlink r:id="rId14" w:history="1">
        <w:r w:rsidRPr="009B03BC">
          <w:rPr>
            <w:rStyle w:val="Hyperlink"/>
          </w:rPr>
          <w:t>Jodi.bair@occ.ohio.gov</w:t>
        </w:r>
      </w:hyperlink>
    </w:p>
    <w:p w:rsidR="00B97C24" w:rsidRDefault="00B97C24" w:rsidP="00B97C24">
      <w:r>
        <w:tab/>
      </w:r>
      <w:r>
        <w:tab/>
      </w:r>
      <w:r>
        <w:tab/>
      </w:r>
      <w:r>
        <w:tab/>
      </w:r>
      <w:r>
        <w:tab/>
      </w:r>
      <w:r>
        <w:tab/>
        <w:t>(will accept service via email)</w:t>
      </w:r>
    </w:p>
    <w:p w:rsidR="00B97C24" w:rsidRDefault="00B97C24" w:rsidP="00B97C24"/>
    <w:p w:rsidR="00B97C24" w:rsidRDefault="00B97C24" w:rsidP="00B97C24">
      <w:pPr>
        <w:jc w:val="center"/>
        <w:rPr>
          <w:b/>
        </w:rPr>
      </w:pPr>
      <w:r>
        <w:rPr>
          <w:b/>
        </w:rPr>
        <w:br w:type="page"/>
        <w:t>CERTIFICATE OF SERVICE</w:t>
      </w:r>
    </w:p>
    <w:p w:rsidR="00B97C24" w:rsidRDefault="00B97C24" w:rsidP="00B97C24">
      <w:pPr>
        <w:tabs>
          <w:tab w:val="left" w:pos="4500"/>
        </w:tabs>
        <w:jc w:val="center"/>
      </w:pPr>
    </w:p>
    <w:p w:rsidR="00B97C24" w:rsidRDefault="00B97C24" w:rsidP="00B97C24">
      <w:pPr>
        <w:spacing w:line="480" w:lineRule="auto"/>
      </w:pPr>
      <w:r>
        <w:tab/>
        <w:t>I hereby certify that a copy of the Memorandum Contra has been served via electronic service upon the following parties of record this 28th day of December, 2015.</w:t>
      </w:r>
    </w:p>
    <w:p w:rsidR="00B97C24" w:rsidRDefault="00B97C24" w:rsidP="00B97C24"/>
    <w:p w:rsidR="00B97C24" w:rsidRPr="007E7FF1" w:rsidRDefault="00B97C24" w:rsidP="00B97C24">
      <w:pPr>
        <w:rPr>
          <w:i/>
          <w:u w:val="single"/>
        </w:rPr>
      </w:pPr>
      <w:r>
        <w:tab/>
      </w:r>
      <w:r>
        <w:tab/>
      </w:r>
      <w:r>
        <w:tab/>
      </w:r>
      <w:r>
        <w:tab/>
      </w:r>
      <w:r>
        <w:tab/>
      </w:r>
      <w:r>
        <w:tab/>
      </w:r>
      <w:r>
        <w:rPr>
          <w:i/>
          <w:u w:val="single"/>
        </w:rPr>
        <w:t>/s/ Jodi Bair</w:t>
      </w:r>
      <w:r>
        <w:rPr>
          <w:i/>
          <w:u w:val="single"/>
        </w:rPr>
        <w:tab/>
      </w:r>
      <w:r>
        <w:rPr>
          <w:i/>
          <w:u w:val="single"/>
        </w:rPr>
        <w:tab/>
      </w:r>
      <w:r>
        <w:rPr>
          <w:i/>
          <w:u w:val="single"/>
        </w:rPr>
        <w:tab/>
      </w:r>
    </w:p>
    <w:p w:rsidR="00B97C24" w:rsidRDefault="00B97C24" w:rsidP="00B97C24">
      <w:r>
        <w:tab/>
      </w:r>
      <w:r>
        <w:tab/>
      </w:r>
      <w:r>
        <w:tab/>
      </w:r>
      <w:r>
        <w:tab/>
      </w:r>
      <w:r>
        <w:tab/>
      </w:r>
      <w:r>
        <w:tab/>
        <w:t>Jodi Bair</w:t>
      </w:r>
    </w:p>
    <w:p w:rsidR="00B97C24" w:rsidRDefault="00B97C24" w:rsidP="00B97C24">
      <w:r>
        <w:tab/>
      </w:r>
      <w:r>
        <w:tab/>
      </w:r>
      <w:r>
        <w:tab/>
      </w:r>
      <w:r>
        <w:tab/>
      </w:r>
      <w:r>
        <w:tab/>
      </w:r>
      <w:r>
        <w:tab/>
        <w:t>Assistant Consumers’ Counsel</w:t>
      </w:r>
    </w:p>
    <w:p w:rsidR="00B97C24" w:rsidRDefault="00B97C24" w:rsidP="00B97C24">
      <w:pPr>
        <w:tabs>
          <w:tab w:val="left" w:pos="-720"/>
        </w:tabs>
        <w:suppressAutoHyphens/>
        <w:spacing w:line="240" w:lineRule="atLeast"/>
        <w:jc w:val="center"/>
        <w:rPr>
          <w:b/>
          <w:color w:val="000000"/>
          <w:szCs w:val="24"/>
          <w:u w:val="single"/>
        </w:rPr>
      </w:pPr>
    </w:p>
    <w:p w:rsidR="00B97C24" w:rsidRDefault="00B97C24" w:rsidP="00B97C24">
      <w:pPr>
        <w:tabs>
          <w:tab w:val="left" w:pos="-720"/>
        </w:tabs>
        <w:suppressAutoHyphens/>
        <w:spacing w:line="240" w:lineRule="atLeast"/>
        <w:jc w:val="center"/>
        <w:rPr>
          <w:b/>
          <w:color w:val="000000"/>
          <w:szCs w:val="24"/>
          <w:u w:val="single"/>
        </w:rPr>
      </w:pPr>
    </w:p>
    <w:p w:rsidR="00B97C24" w:rsidRDefault="00B97C24" w:rsidP="00B97C24">
      <w:pPr>
        <w:tabs>
          <w:tab w:val="left" w:pos="-720"/>
        </w:tabs>
        <w:suppressAutoHyphens/>
        <w:spacing w:line="240" w:lineRule="atLeast"/>
        <w:jc w:val="center"/>
        <w:rPr>
          <w:b/>
          <w:color w:val="000000"/>
          <w:szCs w:val="24"/>
          <w:u w:val="single"/>
        </w:rPr>
      </w:pPr>
      <w:r>
        <w:rPr>
          <w:b/>
          <w:color w:val="000000"/>
          <w:szCs w:val="24"/>
          <w:u w:val="single"/>
        </w:rPr>
        <w:t>SERVICE LIST</w:t>
      </w:r>
    </w:p>
    <w:p w:rsidR="00B97C24" w:rsidRDefault="00B97C24" w:rsidP="00B97C24">
      <w:pPr>
        <w:jc w:val="center"/>
      </w:pPr>
    </w:p>
    <w:tbl>
      <w:tblPr>
        <w:tblW w:w="0" w:type="auto"/>
        <w:tblLook w:val="01E0" w:firstRow="1" w:lastRow="1" w:firstColumn="1" w:lastColumn="1" w:noHBand="0" w:noVBand="0"/>
      </w:tblPr>
      <w:tblGrid>
        <w:gridCol w:w="4428"/>
        <w:gridCol w:w="4428"/>
      </w:tblGrid>
      <w:tr w:rsidR="00B97C24" w:rsidRPr="00A96E48" w:rsidTr="000E58F6">
        <w:tc>
          <w:tcPr>
            <w:tcW w:w="4428" w:type="dxa"/>
          </w:tcPr>
          <w:p w:rsidR="00B97C24" w:rsidRPr="00A96E48" w:rsidRDefault="00BD3C92" w:rsidP="000E58F6">
            <w:pPr>
              <w:autoSpaceDE w:val="0"/>
              <w:autoSpaceDN w:val="0"/>
              <w:adjustRightInd w:val="0"/>
              <w:rPr>
                <w:rFonts w:eastAsia="Calibri"/>
                <w:bCs/>
                <w:szCs w:val="24"/>
              </w:rPr>
            </w:pPr>
            <w:hyperlink r:id="rId15" w:history="1">
              <w:r w:rsidR="00B97C24" w:rsidRPr="00A96E48">
                <w:rPr>
                  <w:rFonts w:eastAsia="Calibri"/>
                  <w:bCs/>
                  <w:color w:val="0000FF"/>
                  <w:szCs w:val="24"/>
                  <w:u w:val="single"/>
                </w:rPr>
                <w:t>William.wright@puc.state.oh.us</w:t>
              </w:r>
            </w:hyperlink>
          </w:p>
          <w:p w:rsidR="00B97C24" w:rsidRPr="00A96E48" w:rsidRDefault="00BD3C92" w:rsidP="000E58F6">
            <w:pPr>
              <w:autoSpaceDE w:val="0"/>
              <w:autoSpaceDN w:val="0"/>
              <w:adjustRightInd w:val="0"/>
              <w:rPr>
                <w:rFonts w:eastAsia="Calibri"/>
                <w:bCs/>
                <w:szCs w:val="24"/>
              </w:rPr>
            </w:pPr>
            <w:hyperlink r:id="rId16" w:history="1">
              <w:r w:rsidR="00B97C24" w:rsidRPr="00A96E48">
                <w:rPr>
                  <w:rFonts w:eastAsia="Calibri"/>
                  <w:bCs/>
                  <w:color w:val="0000FF"/>
                  <w:szCs w:val="24"/>
                  <w:u w:val="single"/>
                </w:rPr>
                <w:t>kjoseph@napower.com</w:t>
              </w:r>
            </w:hyperlink>
          </w:p>
          <w:p w:rsidR="00B97C24" w:rsidRPr="00A96E48" w:rsidRDefault="00BD3C92" w:rsidP="000E58F6">
            <w:pPr>
              <w:autoSpaceDE w:val="0"/>
              <w:autoSpaceDN w:val="0"/>
              <w:adjustRightInd w:val="0"/>
              <w:rPr>
                <w:rFonts w:eastAsia="Calibri"/>
                <w:bCs/>
                <w:szCs w:val="24"/>
              </w:rPr>
            </w:pPr>
            <w:hyperlink r:id="rId17" w:history="1">
              <w:r w:rsidR="00B97C24" w:rsidRPr="00A96E48">
                <w:rPr>
                  <w:rFonts w:eastAsia="Calibri"/>
                  <w:bCs/>
                  <w:color w:val="0000FF"/>
                  <w:szCs w:val="24"/>
                  <w:u w:val="single"/>
                </w:rPr>
                <w:t>cgelo@napower.com</w:t>
              </w:r>
            </w:hyperlink>
          </w:p>
          <w:p w:rsidR="00B97C24" w:rsidRPr="00A96E48" w:rsidRDefault="00BD3C92" w:rsidP="000E58F6">
            <w:pPr>
              <w:autoSpaceDE w:val="0"/>
              <w:autoSpaceDN w:val="0"/>
              <w:adjustRightInd w:val="0"/>
              <w:rPr>
                <w:rFonts w:eastAsia="Calibri"/>
                <w:bCs/>
                <w:szCs w:val="24"/>
              </w:rPr>
            </w:pPr>
            <w:hyperlink r:id="rId18" w:history="1">
              <w:r w:rsidR="00B97C24" w:rsidRPr="00A96E48">
                <w:rPr>
                  <w:rFonts w:eastAsia="Calibri"/>
                  <w:bCs/>
                  <w:color w:val="0000FF"/>
                  <w:szCs w:val="24"/>
                  <w:u w:val="single"/>
                </w:rPr>
                <w:t>shopson@napower.com</w:t>
              </w:r>
            </w:hyperlink>
          </w:p>
          <w:p w:rsidR="00B97C24" w:rsidRPr="00A96E48" w:rsidRDefault="00BD3C92" w:rsidP="000E58F6">
            <w:pPr>
              <w:autoSpaceDE w:val="0"/>
              <w:autoSpaceDN w:val="0"/>
              <w:adjustRightInd w:val="0"/>
              <w:rPr>
                <w:rFonts w:eastAsia="Calibri"/>
                <w:bCs/>
                <w:szCs w:val="24"/>
              </w:rPr>
            </w:pPr>
            <w:hyperlink r:id="rId19" w:history="1">
              <w:r w:rsidR="00B97C24" w:rsidRPr="00A96E48">
                <w:rPr>
                  <w:rFonts w:eastAsia="Calibri"/>
                  <w:bCs/>
                  <w:color w:val="0000FF"/>
                  <w:szCs w:val="24"/>
                  <w:u w:val="single"/>
                </w:rPr>
                <w:t>arobinson@napower.com</w:t>
              </w:r>
            </w:hyperlink>
          </w:p>
          <w:p w:rsidR="00B97C24" w:rsidRPr="00A96E48" w:rsidRDefault="00BD3C92" w:rsidP="000E58F6">
            <w:pPr>
              <w:autoSpaceDE w:val="0"/>
              <w:autoSpaceDN w:val="0"/>
              <w:adjustRightInd w:val="0"/>
              <w:rPr>
                <w:rFonts w:eastAsia="Calibri"/>
                <w:color w:val="0000FF"/>
                <w:szCs w:val="24"/>
              </w:rPr>
            </w:pPr>
            <w:hyperlink r:id="rId20" w:history="1">
              <w:r w:rsidR="00B97C24" w:rsidRPr="00A96E48">
                <w:rPr>
                  <w:rFonts w:eastAsia="Calibri"/>
                  <w:color w:val="0000FF"/>
                  <w:szCs w:val="24"/>
                  <w:u w:val="single"/>
                </w:rPr>
                <w:t>cmooney@ohiopartners.org</w:t>
              </w:r>
            </w:hyperlink>
          </w:p>
          <w:p w:rsidR="00B97C24" w:rsidRPr="00A96E48" w:rsidRDefault="00BD3C92" w:rsidP="000E58F6">
            <w:pPr>
              <w:autoSpaceDE w:val="0"/>
              <w:autoSpaceDN w:val="0"/>
              <w:adjustRightInd w:val="0"/>
              <w:rPr>
                <w:rFonts w:eastAsia="Calibri"/>
                <w:color w:val="0000FF"/>
                <w:szCs w:val="24"/>
              </w:rPr>
            </w:pPr>
            <w:hyperlink r:id="rId21" w:history="1">
              <w:r w:rsidR="00B97C24" w:rsidRPr="00A96E48">
                <w:rPr>
                  <w:rFonts w:eastAsia="Calibri"/>
                  <w:color w:val="0000FF"/>
                  <w:szCs w:val="24"/>
                  <w:u w:val="single"/>
                </w:rPr>
                <w:t>mhpetricoff@vorys.com</w:t>
              </w:r>
            </w:hyperlink>
          </w:p>
          <w:p w:rsidR="00B97C24" w:rsidRPr="00A96E48" w:rsidRDefault="00BD3C92" w:rsidP="000E58F6">
            <w:pPr>
              <w:autoSpaceDE w:val="0"/>
              <w:autoSpaceDN w:val="0"/>
              <w:adjustRightInd w:val="0"/>
              <w:rPr>
                <w:rFonts w:eastAsia="Calibri"/>
                <w:color w:val="0000FF"/>
                <w:szCs w:val="24"/>
              </w:rPr>
            </w:pPr>
            <w:hyperlink r:id="rId22" w:history="1">
              <w:r w:rsidR="00B97C24" w:rsidRPr="00A96E48">
                <w:rPr>
                  <w:rFonts w:eastAsia="Calibri"/>
                  <w:color w:val="0000FF"/>
                  <w:szCs w:val="24"/>
                  <w:u w:val="single"/>
                </w:rPr>
                <w:t>glpetrucci@vorys.com</w:t>
              </w:r>
            </w:hyperlink>
          </w:p>
          <w:p w:rsidR="00B97C24" w:rsidRPr="00A96E48" w:rsidRDefault="00BD3C92" w:rsidP="000E58F6">
            <w:pPr>
              <w:autoSpaceDE w:val="0"/>
              <w:autoSpaceDN w:val="0"/>
              <w:adjustRightInd w:val="0"/>
              <w:rPr>
                <w:rFonts w:eastAsia="Calibri"/>
                <w:szCs w:val="24"/>
              </w:rPr>
            </w:pPr>
            <w:hyperlink r:id="rId23" w:history="1">
              <w:r w:rsidR="00B97C24" w:rsidRPr="00A96E48">
                <w:rPr>
                  <w:rFonts w:eastAsia="Calibri"/>
                  <w:color w:val="0000FF"/>
                  <w:szCs w:val="24"/>
                  <w:u w:val="single"/>
                </w:rPr>
                <w:t>gkrassen@bricker.com</w:t>
              </w:r>
            </w:hyperlink>
          </w:p>
          <w:p w:rsidR="00B97C24" w:rsidRPr="00A96E48" w:rsidRDefault="00BD3C92" w:rsidP="000E58F6">
            <w:pPr>
              <w:autoSpaceDE w:val="0"/>
              <w:autoSpaceDN w:val="0"/>
              <w:adjustRightInd w:val="0"/>
              <w:rPr>
                <w:rFonts w:eastAsia="Calibri"/>
                <w:szCs w:val="24"/>
              </w:rPr>
            </w:pPr>
            <w:hyperlink r:id="rId24" w:history="1">
              <w:r w:rsidR="00B97C24" w:rsidRPr="00A96E48">
                <w:rPr>
                  <w:rFonts w:eastAsia="Calibri"/>
                  <w:color w:val="0000FF"/>
                  <w:szCs w:val="24"/>
                  <w:u w:val="single"/>
                </w:rPr>
                <w:t>dstinson@bricker.com</w:t>
              </w:r>
            </w:hyperlink>
          </w:p>
          <w:p w:rsidR="00B97C24" w:rsidRPr="00A96E48" w:rsidRDefault="00BD3C92" w:rsidP="000E58F6">
            <w:pPr>
              <w:autoSpaceDE w:val="0"/>
              <w:autoSpaceDN w:val="0"/>
              <w:adjustRightInd w:val="0"/>
              <w:rPr>
                <w:rFonts w:eastAsia="Calibri"/>
                <w:bCs/>
                <w:szCs w:val="24"/>
              </w:rPr>
            </w:pPr>
            <w:hyperlink r:id="rId25" w:history="1">
              <w:r w:rsidR="00B97C24" w:rsidRPr="00A96E48">
                <w:rPr>
                  <w:rFonts w:eastAsia="Calibri"/>
                  <w:bCs/>
                  <w:color w:val="0000FF"/>
                  <w:szCs w:val="24"/>
                  <w:u w:val="single"/>
                </w:rPr>
                <w:t>mberedo@ci.perrysburg.oh.us</w:t>
              </w:r>
            </w:hyperlink>
          </w:p>
          <w:p w:rsidR="00B97C24" w:rsidRPr="00A96E48" w:rsidRDefault="00BD3C92" w:rsidP="000E58F6">
            <w:pPr>
              <w:autoSpaceDE w:val="0"/>
              <w:autoSpaceDN w:val="0"/>
              <w:adjustRightInd w:val="0"/>
              <w:rPr>
                <w:rFonts w:eastAsia="Calibri"/>
                <w:bCs/>
                <w:szCs w:val="24"/>
              </w:rPr>
            </w:pPr>
            <w:hyperlink r:id="rId26" w:history="1">
              <w:r w:rsidR="00B97C24" w:rsidRPr="00A96E48">
                <w:rPr>
                  <w:rFonts w:eastAsia="Calibri"/>
                  <w:bCs/>
                  <w:color w:val="0000FF"/>
                  <w:szCs w:val="24"/>
                  <w:u w:val="single"/>
                </w:rPr>
                <w:t>smhoward@vorys.com</w:t>
              </w:r>
            </w:hyperlink>
          </w:p>
          <w:p w:rsidR="00B97C24" w:rsidRPr="00A96E48" w:rsidRDefault="00BD3C92" w:rsidP="000E58F6">
            <w:pPr>
              <w:autoSpaceDE w:val="0"/>
              <w:autoSpaceDN w:val="0"/>
              <w:adjustRightInd w:val="0"/>
              <w:rPr>
                <w:rFonts w:eastAsia="Calibri"/>
                <w:szCs w:val="24"/>
              </w:rPr>
            </w:pPr>
            <w:hyperlink r:id="rId27" w:history="1">
              <w:r w:rsidR="00B97C24" w:rsidRPr="00A96E48">
                <w:rPr>
                  <w:rFonts w:eastAsia="Calibri"/>
                  <w:color w:val="0000FF"/>
                  <w:szCs w:val="24"/>
                  <w:u w:val="single"/>
                </w:rPr>
                <w:t>trhayslaw@gmail.com</w:t>
              </w:r>
            </w:hyperlink>
          </w:p>
          <w:p w:rsidR="00B97C24" w:rsidRPr="00A96E48" w:rsidRDefault="00BD3C92" w:rsidP="000E58F6">
            <w:pPr>
              <w:autoSpaceDE w:val="0"/>
              <w:autoSpaceDN w:val="0"/>
              <w:adjustRightInd w:val="0"/>
              <w:rPr>
                <w:rFonts w:eastAsia="Calibri"/>
                <w:szCs w:val="24"/>
              </w:rPr>
            </w:pPr>
            <w:hyperlink r:id="rId28" w:history="1">
              <w:r w:rsidR="00B97C24" w:rsidRPr="00A96E48">
                <w:rPr>
                  <w:rFonts w:eastAsia="Calibri"/>
                  <w:color w:val="0000FF"/>
                  <w:szCs w:val="24"/>
                  <w:u w:val="single"/>
                </w:rPr>
                <w:t>LESLIE.KOVACIK@toledo.oh.gov</w:t>
              </w:r>
            </w:hyperlink>
          </w:p>
          <w:p w:rsidR="00B97C24" w:rsidRPr="00A96E48" w:rsidRDefault="00BD3C92" w:rsidP="000E58F6">
            <w:pPr>
              <w:autoSpaceDE w:val="0"/>
              <w:autoSpaceDN w:val="0"/>
              <w:adjustRightInd w:val="0"/>
              <w:rPr>
                <w:rFonts w:eastAsia="Calibri"/>
                <w:szCs w:val="24"/>
              </w:rPr>
            </w:pPr>
            <w:hyperlink r:id="rId29" w:history="1">
              <w:r w:rsidR="00B97C24" w:rsidRPr="00A96E48">
                <w:rPr>
                  <w:rFonts w:eastAsia="Calibri"/>
                  <w:color w:val="0000FF"/>
                  <w:szCs w:val="24"/>
                  <w:u w:val="single"/>
                </w:rPr>
                <w:t>joliker@igsenergy.com</w:t>
              </w:r>
            </w:hyperlink>
          </w:p>
          <w:p w:rsidR="00B97C24" w:rsidRPr="00A96E48" w:rsidRDefault="00BD3C92" w:rsidP="000E58F6">
            <w:pPr>
              <w:autoSpaceDE w:val="0"/>
              <w:autoSpaceDN w:val="0"/>
              <w:adjustRightInd w:val="0"/>
              <w:rPr>
                <w:rFonts w:eastAsia="Calibri"/>
                <w:szCs w:val="24"/>
              </w:rPr>
            </w:pPr>
            <w:hyperlink r:id="rId30" w:history="1">
              <w:r w:rsidR="00B97C24" w:rsidRPr="00A96E48">
                <w:rPr>
                  <w:rFonts w:eastAsia="Calibri"/>
                  <w:color w:val="0000FF"/>
                  <w:szCs w:val="24"/>
                  <w:u w:val="single"/>
                </w:rPr>
                <w:t>mswhite@igsenergy.com</w:t>
              </w:r>
            </w:hyperlink>
          </w:p>
          <w:p w:rsidR="00B97C24" w:rsidRPr="00A96E48" w:rsidRDefault="00BD3C92" w:rsidP="000E58F6">
            <w:pPr>
              <w:autoSpaceDE w:val="0"/>
              <w:autoSpaceDN w:val="0"/>
              <w:adjustRightInd w:val="0"/>
              <w:rPr>
                <w:rFonts w:eastAsia="Calibri"/>
                <w:color w:val="0000FF"/>
                <w:szCs w:val="24"/>
              </w:rPr>
            </w:pPr>
            <w:hyperlink r:id="rId31" w:history="1">
              <w:r w:rsidR="00B97C24" w:rsidRPr="00A96E48">
                <w:rPr>
                  <w:rFonts w:eastAsia="Calibri"/>
                  <w:color w:val="0000FF"/>
                  <w:szCs w:val="24"/>
                  <w:u w:val="single"/>
                </w:rPr>
                <w:t>haydenm@firstenergycorp.com</w:t>
              </w:r>
            </w:hyperlink>
          </w:p>
          <w:p w:rsidR="00B97C24" w:rsidRPr="00A96E48" w:rsidRDefault="00BD3C92" w:rsidP="000E58F6">
            <w:pPr>
              <w:autoSpaceDE w:val="0"/>
              <w:autoSpaceDN w:val="0"/>
              <w:adjustRightInd w:val="0"/>
              <w:rPr>
                <w:rFonts w:eastAsia="Calibri"/>
                <w:color w:val="0000FF"/>
                <w:szCs w:val="24"/>
              </w:rPr>
            </w:pPr>
            <w:hyperlink r:id="rId32" w:history="1">
              <w:r w:rsidR="00B97C24" w:rsidRPr="00A96E48">
                <w:rPr>
                  <w:rFonts w:eastAsia="Calibri"/>
                  <w:color w:val="0000FF"/>
                  <w:szCs w:val="24"/>
                  <w:u w:val="single"/>
                </w:rPr>
                <w:t>jmcdermott@firstenergycorp.com</w:t>
              </w:r>
            </w:hyperlink>
          </w:p>
          <w:p w:rsidR="00B97C24" w:rsidRPr="00A96E48" w:rsidRDefault="00BD3C92" w:rsidP="000E58F6">
            <w:pPr>
              <w:autoSpaceDE w:val="0"/>
              <w:autoSpaceDN w:val="0"/>
              <w:adjustRightInd w:val="0"/>
              <w:rPr>
                <w:rFonts w:eastAsia="Calibri"/>
                <w:color w:val="0000FF"/>
                <w:szCs w:val="24"/>
              </w:rPr>
            </w:pPr>
            <w:hyperlink r:id="rId33" w:history="1">
              <w:r w:rsidR="00B97C24" w:rsidRPr="00A96E48">
                <w:rPr>
                  <w:rFonts w:eastAsia="Calibri"/>
                  <w:color w:val="0000FF"/>
                  <w:szCs w:val="24"/>
                  <w:u w:val="single"/>
                </w:rPr>
                <w:t>scasto@firstenergycorp.com</w:t>
              </w:r>
            </w:hyperlink>
          </w:p>
          <w:p w:rsidR="00B97C24" w:rsidRPr="00A96E48" w:rsidRDefault="00B97C24" w:rsidP="000E58F6">
            <w:pPr>
              <w:autoSpaceDE w:val="0"/>
              <w:autoSpaceDN w:val="0"/>
              <w:adjustRightInd w:val="0"/>
              <w:rPr>
                <w:rFonts w:eastAsia="Calibri"/>
                <w:bCs/>
                <w:szCs w:val="24"/>
              </w:rPr>
            </w:pPr>
          </w:p>
          <w:p w:rsidR="00B97C24" w:rsidRPr="00A96E48" w:rsidRDefault="00B97C24" w:rsidP="000E58F6">
            <w:pPr>
              <w:autoSpaceDE w:val="0"/>
              <w:autoSpaceDN w:val="0"/>
              <w:adjustRightInd w:val="0"/>
              <w:rPr>
                <w:rFonts w:eastAsia="Calibri"/>
                <w:bCs/>
                <w:szCs w:val="24"/>
              </w:rPr>
            </w:pPr>
          </w:p>
          <w:p w:rsidR="00B97C24" w:rsidRPr="00A96E48" w:rsidRDefault="00B97C24" w:rsidP="000E58F6">
            <w:pPr>
              <w:autoSpaceDE w:val="0"/>
              <w:autoSpaceDN w:val="0"/>
              <w:adjustRightInd w:val="0"/>
              <w:rPr>
                <w:rFonts w:eastAsia="Calibri"/>
                <w:bCs/>
                <w:szCs w:val="24"/>
              </w:rPr>
            </w:pPr>
            <w:r w:rsidRPr="00A96E48">
              <w:rPr>
                <w:rFonts w:eastAsia="Calibri"/>
                <w:bCs/>
                <w:szCs w:val="24"/>
              </w:rPr>
              <w:t>Attorney Examiner:</w:t>
            </w:r>
          </w:p>
          <w:p w:rsidR="00B97C24" w:rsidRPr="00A96E48" w:rsidRDefault="00B97C24" w:rsidP="000E58F6">
            <w:pPr>
              <w:autoSpaceDE w:val="0"/>
              <w:autoSpaceDN w:val="0"/>
              <w:adjustRightInd w:val="0"/>
              <w:rPr>
                <w:rFonts w:eastAsia="Calibri"/>
                <w:bCs/>
                <w:szCs w:val="24"/>
              </w:rPr>
            </w:pPr>
          </w:p>
          <w:p w:rsidR="00B97C24" w:rsidRPr="00A96E48" w:rsidRDefault="00BD3C92" w:rsidP="000E58F6">
            <w:pPr>
              <w:autoSpaceDE w:val="0"/>
              <w:autoSpaceDN w:val="0"/>
              <w:adjustRightInd w:val="0"/>
              <w:rPr>
                <w:rFonts w:eastAsia="Calibri"/>
                <w:bCs/>
                <w:szCs w:val="24"/>
              </w:rPr>
            </w:pPr>
            <w:hyperlink r:id="rId34" w:history="1">
              <w:r w:rsidR="00B97C24" w:rsidRPr="00A96E48">
                <w:rPr>
                  <w:rFonts w:eastAsia="Calibri"/>
                  <w:bCs/>
                  <w:color w:val="0000FF"/>
                  <w:szCs w:val="24"/>
                  <w:u w:val="single"/>
                </w:rPr>
                <w:t>Mandy.willey@puc.state.oh.us</w:t>
              </w:r>
            </w:hyperlink>
          </w:p>
          <w:p w:rsidR="00B97C24" w:rsidRPr="00A96E48" w:rsidRDefault="00B97C24" w:rsidP="000E58F6">
            <w:pPr>
              <w:autoSpaceDE w:val="0"/>
              <w:autoSpaceDN w:val="0"/>
              <w:adjustRightInd w:val="0"/>
              <w:rPr>
                <w:rFonts w:eastAsia="Calibri"/>
                <w:bCs/>
                <w:szCs w:val="24"/>
              </w:rPr>
            </w:pPr>
          </w:p>
          <w:p w:rsidR="00B97C24" w:rsidRPr="00A96E48" w:rsidRDefault="00B97C24" w:rsidP="000E58F6">
            <w:pPr>
              <w:autoSpaceDE w:val="0"/>
              <w:autoSpaceDN w:val="0"/>
              <w:adjustRightInd w:val="0"/>
              <w:rPr>
                <w:rFonts w:eastAsia="Calibri"/>
                <w:bCs/>
                <w:szCs w:val="24"/>
              </w:rPr>
            </w:pPr>
          </w:p>
        </w:tc>
        <w:tc>
          <w:tcPr>
            <w:tcW w:w="4428" w:type="dxa"/>
          </w:tcPr>
          <w:p w:rsidR="00B97C24" w:rsidRPr="00A96E48" w:rsidRDefault="00BD3C92" w:rsidP="000E58F6">
            <w:pPr>
              <w:autoSpaceDE w:val="0"/>
              <w:autoSpaceDN w:val="0"/>
              <w:adjustRightInd w:val="0"/>
              <w:rPr>
                <w:rFonts w:eastAsia="Calibri"/>
                <w:szCs w:val="24"/>
              </w:rPr>
            </w:pPr>
            <w:hyperlink r:id="rId35" w:history="1">
              <w:r w:rsidR="00B97C24" w:rsidRPr="00A96E48">
                <w:rPr>
                  <w:rFonts w:eastAsia="Calibri"/>
                  <w:color w:val="0000FF"/>
                  <w:szCs w:val="24"/>
                  <w:u w:val="single"/>
                </w:rPr>
                <w:t>dboehm@BKLlawfirm.com</w:t>
              </w:r>
            </w:hyperlink>
          </w:p>
          <w:p w:rsidR="00B97C24" w:rsidRPr="00A96E48" w:rsidRDefault="00BD3C92" w:rsidP="000E58F6">
            <w:pPr>
              <w:autoSpaceDE w:val="0"/>
              <w:autoSpaceDN w:val="0"/>
              <w:adjustRightInd w:val="0"/>
              <w:rPr>
                <w:rFonts w:eastAsia="Calibri"/>
                <w:szCs w:val="24"/>
              </w:rPr>
            </w:pPr>
            <w:hyperlink r:id="rId36" w:history="1">
              <w:r w:rsidR="00B97C24" w:rsidRPr="00A96E48">
                <w:rPr>
                  <w:rFonts w:eastAsia="Calibri"/>
                  <w:color w:val="0000FF"/>
                  <w:szCs w:val="24"/>
                  <w:u w:val="single"/>
                </w:rPr>
                <w:t>mkurtz@BKLlawfirm.com</w:t>
              </w:r>
            </w:hyperlink>
          </w:p>
          <w:p w:rsidR="00B97C24" w:rsidRPr="00A96E48" w:rsidRDefault="00BD3C92" w:rsidP="000E58F6">
            <w:pPr>
              <w:jc w:val="both"/>
              <w:rPr>
                <w:rFonts w:eastAsia="Calibri"/>
                <w:szCs w:val="24"/>
              </w:rPr>
            </w:pPr>
            <w:hyperlink r:id="rId37" w:history="1">
              <w:r w:rsidR="00B97C24" w:rsidRPr="00A96E48">
                <w:rPr>
                  <w:rFonts w:eastAsia="Calibri"/>
                  <w:color w:val="0000FF"/>
                  <w:szCs w:val="24"/>
                  <w:u w:val="single"/>
                </w:rPr>
                <w:t>jkylercohn@BKLlawfirm.com</w:t>
              </w:r>
            </w:hyperlink>
          </w:p>
          <w:p w:rsidR="00B97C24" w:rsidRPr="00A96E48" w:rsidRDefault="00BD3C92" w:rsidP="000E58F6">
            <w:pPr>
              <w:autoSpaceDE w:val="0"/>
              <w:autoSpaceDN w:val="0"/>
              <w:adjustRightInd w:val="0"/>
              <w:rPr>
                <w:rFonts w:eastAsia="Calibri"/>
                <w:bCs/>
                <w:szCs w:val="24"/>
              </w:rPr>
            </w:pPr>
            <w:hyperlink r:id="rId38" w:history="1">
              <w:r w:rsidR="00B97C24" w:rsidRPr="00A96E48">
                <w:rPr>
                  <w:rFonts w:eastAsia="Calibri"/>
                  <w:bCs/>
                  <w:color w:val="0000FF"/>
                  <w:szCs w:val="24"/>
                  <w:u w:val="single"/>
                </w:rPr>
                <w:t>mayorsoffice@cityofparma-oh.gov</w:t>
              </w:r>
            </w:hyperlink>
          </w:p>
          <w:p w:rsidR="00B97C24" w:rsidRPr="00A96E48" w:rsidRDefault="00BD3C92" w:rsidP="000E58F6">
            <w:pPr>
              <w:autoSpaceDE w:val="0"/>
              <w:autoSpaceDN w:val="0"/>
              <w:adjustRightInd w:val="0"/>
              <w:rPr>
                <w:rFonts w:eastAsia="Calibri"/>
                <w:bCs/>
                <w:szCs w:val="24"/>
              </w:rPr>
            </w:pPr>
            <w:hyperlink r:id="rId39" w:history="1">
              <w:r w:rsidR="00B97C24" w:rsidRPr="00A96E48">
                <w:rPr>
                  <w:rFonts w:eastAsia="Calibri"/>
                  <w:bCs/>
                  <w:color w:val="0000FF"/>
                  <w:szCs w:val="24"/>
                  <w:u w:val="single"/>
                </w:rPr>
                <w:t>tdobeck@parmalaw.org</w:t>
              </w:r>
            </w:hyperlink>
          </w:p>
          <w:p w:rsidR="00B97C24" w:rsidRPr="00A96E48" w:rsidRDefault="00BD3C92" w:rsidP="000E58F6">
            <w:pPr>
              <w:autoSpaceDE w:val="0"/>
              <w:autoSpaceDN w:val="0"/>
              <w:adjustRightInd w:val="0"/>
              <w:rPr>
                <w:rFonts w:eastAsia="Calibri"/>
                <w:bCs/>
                <w:szCs w:val="24"/>
              </w:rPr>
            </w:pPr>
            <w:hyperlink r:id="rId40" w:history="1">
              <w:r w:rsidR="00B97C24" w:rsidRPr="00A96E48">
                <w:rPr>
                  <w:rFonts w:eastAsia="Calibri"/>
                  <w:bCs/>
                  <w:color w:val="0000FF"/>
                  <w:szCs w:val="24"/>
                  <w:u w:val="single"/>
                </w:rPr>
                <w:t>jmills@city.cleveland.oh.us</w:t>
              </w:r>
            </w:hyperlink>
          </w:p>
          <w:p w:rsidR="00B97C24" w:rsidRPr="00A96E48" w:rsidRDefault="00BD3C92" w:rsidP="000E58F6">
            <w:pPr>
              <w:autoSpaceDE w:val="0"/>
              <w:autoSpaceDN w:val="0"/>
              <w:adjustRightInd w:val="0"/>
              <w:rPr>
                <w:rFonts w:eastAsia="Calibri"/>
                <w:szCs w:val="24"/>
              </w:rPr>
            </w:pPr>
            <w:hyperlink r:id="rId41" w:history="1">
              <w:r w:rsidR="00B97C24" w:rsidRPr="00A96E48">
                <w:rPr>
                  <w:rFonts w:eastAsia="Calibri"/>
                  <w:color w:val="0000FF"/>
                  <w:szCs w:val="24"/>
                  <w:u w:val="single"/>
                </w:rPr>
                <w:t>cgoodman@energymarketers.com</w:t>
              </w:r>
            </w:hyperlink>
          </w:p>
          <w:p w:rsidR="00B97C24" w:rsidRPr="00A96E48" w:rsidRDefault="00BD3C92" w:rsidP="000E58F6">
            <w:pPr>
              <w:autoSpaceDE w:val="0"/>
              <w:autoSpaceDN w:val="0"/>
              <w:adjustRightInd w:val="0"/>
              <w:rPr>
                <w:rFonts w:eastAsia="Calibri"/>
                <w:szCs w:val="24"/>
              </w:rPr>
            </w:pPr>
            <w:hyperlink r:id="rId42" w:history="1">
              <w:r w:rsidR="00B97C24" w:rsidRPr="00A96E48">
                <w:rPr>
                  <w:rFonts w:eastAsia="Calibri"/>
                  <w:color w:val="0000FF"/>
                  <w:szCs w:val="24"/>
                  <w:u w:val="single"/>
                </w:rPr>
                <w:t>srantala@energymarketers.com</w:t>
              </w:r>
            </w:hyperlink>
          </w:p>
          <w:p w:rsidR="00B97C24" w:rsidRPr="00A96E48" w:rsidRDefault="00BD3C92" w:rsidP="000E58F6">
            <w:pPr>
              <w:autoSpaceDE w:val="0"/>
              <w:autoSpaceDN w:val="0"/>
              <w:adjustRightInd w:val="0"/>
              <w:rPr>
                <w:rFonts w:eastAsia="Calibri"/>
                <w:bCs/>
                <w:szCs w:val="24"/>
              </w:rPr>
            </w:pPr>
            <w:hyperlink r:id="rId43" w:history="1">
              <w:r w:rsidR="00B97C24" w:rsidRPr="00A96E48">
                <w:rPr>
                  <w:rFonts w:eastAsia="Calibri"/>
                  <w:bCs/>
                  <w:color w:val="0000FF"/>
                  <w:szCs w:val="24"/>
                  <w:u w:val="single"/>
                </w:rPr>
                <w:t>Bojko@carpenterlipps.com</w:t>
              </w:r>
            </w:hyperlink>
          </w:p>
          <w:p w:rsidR="00B97C24" w:rsidRPr="00A96E48" w:rsidRDefault="00BD3C92" w:rsidP="000E58F6">
            <w:pPr>
              <w:autoSpaceDE w:val="0"/>
              <w:autoSpaceDN w:val="0"/>
              <w:adjustRightInd w:val="0"/>
              <w:rPr>
                <w:rFonts w:eastAsia="Calibri"/>
                <w:szCs w:val="24"/>
              </w:rPr>
            </w:pPr>
            <w:hyperlink r:id="rId44" w:history="1">
              <w:r w:rsidR="00B97C24" w:rsidRPr="00A96E48">
                <w:rPr>
                  <w:rFonts w:eastAsia="Calibri"/>
                  <w:color w:val="0000FF"/>
                  <w:szCs w:val="24"/>
                  <w:u w:val="single"/>
                </w:rPr>
                <w:t>ghiloni@carpenterlipps.com</w:t>
              </w:r>
            </w:hyperlink>
          </w:p>
          <w:p w:rsidR="00B97C24" w:rsidRPr="00A96E48" w:rsidRDefault="00BD3C92" w:rsidP="000E58F6">
            <w:pPr>
              <w:autoSpaceDE w:val="0"/>
              <w:autoSpaceDN w:val="0"/>
              <w:adjustRightInd w:val="0"/>
              <w:rPr>
                <w:rFonts w:eastAsia="Calibri"/>
                <w:bCs/>
                <w:szCs w:val="24"/>
              </w:rPr>
            </w:pPr>
            <w:hyperlink r:id="rId45" w:history="1">
              <w:r w:rsidR="00B97C24" w:rsidRPr="00A96E48">
                <w:rPr>
                  <w:rFonts w:eastAsia="Calibri"/>
                  <w:bCs/>
                  <w:color w:val="0000FF"/>
                  <w:szCs w:val="24"/>
                  <w:u w:val="single"/>
                </w:rPr>
                <w:t>mohler@carpenterlipps.com</w:t>
              </w:r>
            </w:hyperlink>
          </w:p>
          <w:p w:rsidR="00B97C24" w:rsidRPr="00A96E48" w:rsidRDefault="00BD3C92" w:rsidP="000E58F6">
            <w:pPr>
              <w:autoSpaceDE w:val="0"/>
              <w:autoSpaceDN w:val="0"/>
              <w:adjustRightInd w:val="0"/>
              <w:rPr>
                <w:rFonts w:eastAsia="Calibri"/>
                <w:color w:val="0000FF"/>
                <w:szCs w:val="24"/>
              </w:rPr>
            </w:pPr>
            <w:hyperlink r:id="rId46" w:history="1">
              <w:r w:rsidR="00B97C24" w:rsidRPr="00A96E48">
                <w:rPr>
                  <w:rFonts w:eastAsia="Calibri"/>
                  <w:color w:val="0000FF"/>
                  <w:szCs w:val="24"/>
                  <w:u w:val="single"/>
                </w:rPr>
                <w:t>Schmidt@sppgrp.com</w:t>
              </w:r>
            </w:hyperlink>
          </w:p>
          <w:p w:rsidR="00B97C24" w:rsidRPr="00A96E48" w:rsidRDefault="00BD3C92" w:rsidP="000E58F6">
            <w:pPr>
              <w:autoSpaceDE w:val="0"/>
              <w:autoSpaceDN w:val="0"/>
              <w:adjustRightInd w:val="0"/>
              <w:rPr>
                <w:rFonts w:eastAsia="Calibri"/>
                <w:bCs/>
                <w:szCs w:val="24"/>
              </w:rPr>
            </w:pPr>
            <w:hyperlink r:id="rId47" w:history="1">
              <w:r w:rsidR="00B97C24" w:rsidRPr="00A96E48">
                <w:rPr>
                  <w:rFonts w:eastAsia="Calibri"/>
                  <w:bCs/>
                  <w:color w:val="0000FF"/>
                  <w:szCs w:val="24"/>
                  <w:u w:val="single"/>
                </w:rPr>
                <w:t>eagleenergy@fuse.net</w:t>
              </w:r>
            </w:hyperlink>
          </w:p>
          <w:p w:rsidR="00B97C24" w:rsidRPr="00A96E48" w:rsidRDefault="00BD3C92" w:rsidP="000E58F6">
            <w:pPr>
              <w:autoSpaceDE w:val="0"/>
              <w:autoSpaceDN w:val="0"/>
              <w:adjustRightInd w:val="0"/>
              <w:rPr>
                <w:rFonts w:eastAsia="Calibri"/>
                <w:szCs w:val="24"/>
              </w:rPr>
            </w:pPr>
            <w:hyperlink r:id="rId48" w:history="1">
              <w:r w:rsidR="00B97C24" w:rsidRPr="00A96E48">
                <w:rPr>
                  <w:rFonts w:eastAsia="Calibri"/>
                  <w:color w:val="0000FF"/>
                  <w:szCs w:val="24"/>
                  <w:u w:val="single"/>
                </w:rPr>
                <w:t>judi.sobecki@aes.com</w:t>
              </w:r>
            </w:hyperlink>
          </w:p>
          <w:p w:rsidR="00B97C24" w:rsidRPr="00A96E48" w:rsidRDefault="00BD3C92" w:rsidP="000E58F6">
            <w:pPr>
              <w:autoSpaceDE w:val="0"/>
              <w:autoSpaceDN w:val="0"/>
              <w:adjustRightInd w:val="0"/>
              <w:rPr>
                <w:rFonts w:eastAsia="Calibri"/>
                <w:color w:val="0000FF"/>
                <w:szCs w:val="24"/>
                <w:u w:val="single"/>
              </w:rPr>
            </w:pPr>
            <w:hyperlink r:id="rId49" w:history="1">
              <w:r w:rsidR="00B97C24" w:rsidRPr="00A96E48">
                <w:rPr>
                  <w:rFonts w:eastAsia="Calibri"/>
                  <w:color w:val="0000FF"/>
                  <w:szCs w:val="24"/>
                  <w:u w:val="single"/>
                </w:rPr>
                <w:t>mkimbrough@keglerbrown.com</w:t>
              </w:r>
            </w:hyperlink>
          </w:p>
          <w:p w:rsidR="00B97C24" w:rsidRPr="00A96E48" w:rsidRDefault="00BD3C92" w:rsidP="000E58F6">
            <w:pPr>
              <w:autoSpaceDE w:val="0"/>
              <w:autoSpaceDN w:val="0"/>
              <w:adjustRightInd w:val="0"/>
              <w:rPr>
                <w:rFonts w:eastAsia="Calibri"/>
                <w:color w:val="0000FF"/>
                <w:szCs w:val="24"/>
                <w:u w:val="single"/>
              </w:rPr>
            </w:pPr>
            <w:hyperlink r:id="rId50" w:history="1">
              <w:r w:rsidR="00B97C24" w:rsidRPr="00A96E48">
                <w:rPr>
                  <w:rFonts w:eastAsia="Calibri"/>
                  <w:color w:val="0000FF"/>
                  <w:szCs w:val="24"/>
                  <w:u w:val="single"/>
                </w:rPr>
                <w:t>callwein@keglerbrown.com</w:t>
              </w:r>
            </w:hyperlink>
          </w:p>
          <w:p w:rsidR="00B97C24" w:rsidRPr="00A96E48" w:rsidRDefault="00BD3C92" w:rsidP="000E58F6">
            <w:pPr>
              <w:autoSpaceDE w:val="0"/>
              <w:autoSpaceDN w:val="0"/>
              <w:adjustRightInd w:val="0"/>
              <w:rPr>
                <w:rFonts w:eastAsia="Calibri"/>
                <w:bCs/>
                <w:szCs w:val="24"/>
              </w:rPr>
            </w:pPr>
            <w:hyperlink r:id="rId51" w:history="1">
              <w:r w:rsidR="00B97C24" w:rsidRPr="00A96E48">
                <w:rPr>
                  <w:rFonts w:eastAsia="Calibri"/>
                  <w:bCs/>
                  <w:color w:val="0000FF"/>
                  <w:szCs w:val="24"/>
                  <w:u w:val="single"/>
                </w:rPr>
                <w:t>lrussell@aarp.org</w:t>
              </w:r>
            </w:hyperlink>
          </w:p>
          <w:p w:rsidR="00B97C24" w:rsidRPr="00A96E48" w:rsidRDefault="00BD3C92" w:rsidP="000E58F6">
            <w:pPr>
              <w:autoSpaceDE w:val="0"/>
              <w:autoSpaceDN w:val="0"/>
              <w:adjustRightInd w:val="0"/>
              <w:rPr>
                <w:rFonts w:eastAsia="Calibri"/>
                <w:bCs/>
                <w:szCs w:val="24"/>
              </w:rPr>
            </w:pPr>
            <w:hyperlink r:id="rId52" w:history="1">
              <w:r w:rsidR="00B97C24" w:rsidRPr="00A96E48">
                <w:rPr>
                  <w:rFonts w:eastAsia="Calibri"/>
                  <w:bCs/>
                  <w:color w:val="0000FF"/>
                  <w:szCs w:val="24"/>
                  <w:u w:val="single"/>
                </w:rPr>
                <w:t>anita.lewis@championenergyservices.com</w:t>
              </w:r>
            </w:hyperlink>
          </w:p>
          <w:p w:rsidR="00B97C24" w:rsidRPr="00A96E48" w:rsidRDefault="00B97C24" w:rsidP="000E58F6">
            <w:pPr>
              <w:autoSpaceDE w:val="0"/>
              <w:autoSpaceDN w:val="0"/>
              <w:adjustRightInd w:val="0"/>
              <w:rPr>
                <w:rFonts w:eastAsia="Calibri"/>
                <w:bCs/>
                <w:szCs w:val="24"/>
              </w:rPr>
            </w:pPr>
          </w:p>
        </w:tc>
      </w:tr>
    </w:tbl>
    <w:p w:rsidR="00B97C24" w:rsidRDefault="00B97C24" w:rsidP="00B97C24">
      <w:pPr>
        <w:tabs>
          <w:tab w:val="left" w:pos="-720"/>
        </w:tabs>
        <w:suppressAutoHyphens/>
        <w:spacing w:line="240" w:lineRule="atLeast"/>
        <w:jc w:val="center"/>
        <w:rPr>
          <w:b/>
          <w:color w:val="000000"/>
          <w:szCs w:val="24"/>
          <w:u w:val="single"/>
        </w:rPr>
      </w:pPr>
    </w:p>
    <w:p w:rsidR="00B97C24" w:rsidRDefault="00B97C24" w:rsidP="00B97C24">
      <w:pPr>
        <w:tabs>
          <w:tab w:val="left" w:pos="-720"/>
        </w:tabs>
        <w:suppressAutoHyphens/>
        <w:spacing w:line="240" w:lineRule="atLeast"/>
        <w:jc w:val="center"/>
        <w:rPr>
          <w:b/>
          <w:color w:val="000000"/>
          <w:szCs w:val="24"/>
          <w:u w:val="single"/>
        </w:rPr>
      </w:pPr>
    </w:p>
    <w:p w:rsidR="00B97C24" w:rsidRDefault="00B97C24" w:rsidP="00B97C24">
      <w:pPr>
        <w:tabs>
          <w:tab w:val="left" w:pos="-720"/>
        </w:tabs>
        <w:suppressAutoHyphens/>
        <w:spacing w:line="240" w:lineRule="atLeast"/>
        <w:jc w:val="center"/>
        <w:rPr>
          <w:b/>
          <w:color w:val="000000"/>
          <w:szCs w:val="24"/>
          <w:u w:val="single"/>
        </w:rPr>
      </w:pPr>
    </w:p>
    <w:tbl>
      <w:tblPr>
        <w:tblW w:w="0" w:type="auto"/>
        <w:tblLook w:val="01E0" w:firstRow="1" w:lastRow="1" w:firstColumn="1" w:lastColumn="1" w:noHBand="0" w:noVBand="0"/>
      </w:tblPr>
      <w:tblGrid>
        <w:gridCol w:w="4428"/>
        <w:gridCol w:w="4428"/>
      </w:tblGrid>
      <w:tr w:rsidR="00B97C24" w:rsidTr="000E58F6">
        <w:tc>
          <w:tcPr>
            <w:tcW w:w="4428" w:type="dxa"/>
          </w:tcPr>
          <w:p w:rsidR="00B97C24" w:rsidRDefault="00B97C24" w:rsidP="000E58F6">
            <w:pPr>
              <w:autoSpaceDE w:val="0"/>
              <w:autoSpaceDN w:val="0"/>
              <w:adjustRightInd w:val="0"/>
              <w:rPr>
                <w:bCs/>
                <w:szCs w:val="24"/>
              </w:rPr>
            </w:pPr>
          </w:p>
        </w:tc>
        <w:tc>
          <w:tcPr>
            <w:tcW w:w="4428" w:type="dxa"/>
          </w:tcPr>
          <w:p w:rsidR="00B97C24" w:rsidRDefault="00B97C24" w:rsidP="000E58F6">
            <w:pPr>
              <w:autoSpaceDE w:val="0"/>
              <w:autoSpaceDN w:val="0"/>
              <w:adjustRightInd w:val="0"/>
              <w:rPr>
                <w:bCs/>
                <w:szCs w:val="24"/>
              </w:rPr>
            </w:pPr>
          </w:p>
        </w:tc>
      </w:tr>
    </w:tbl>
    <w:p w:rsidR="00B97C24" w:rsidRDefault="00B97C24" w:rsidP="00B97C24">
      <w:pPr>
        <w:tabs>
          <w:tab w:val="left" w:pos="-720"/>
        </w:tabs>
        <w:suppressAutoHyphens/>
        <w:spacing w:line="240" w:lineRule="atLeast"/>
        <w:jc w:val="center"/>
        <w:rPr>
          <w:b/>
          <w:color w:val="000000"/>
          <w:szCs w:val="24"/>
          <w:u w:val="single"/>
        </w:rPr>
      </w:pPr>
    </w:p>
    <w:p w:rsidR="00B97C24" w:rsidRDefault="00B97C24" w:rsidP="00A377C0">
      <w:pPr>
        <w:spacing w:line="480" w:lineRule="auto"/>
      </w:pPr>
    </w:p>
    <w:sectPr w:rsidR="00B97C24" w:rsidSect="00466A5F">
      <w:headerReference w:type="default" r:id="rId53"/>
      <w:footerReference w:type="default" r:id="rId5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6F1" w:rsidRDefault="00A336F1" w:rsidP="00A377C0">
      <w:r>
        <w:separator/>
      </w:r>
    </w:p>
  </w:endnote>
  <w:endnote w:type="continuationSeparator" w:id="0">
    <w:p w:rsidR="00A336F1" w:rsidRDefault="00A336F1" w:rsidP="00A37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86" w:rsidRDefault="006271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EC" w:rsidRDefault="005C4BEC">
    <w:pPr>
      <w:pStyle w:val="Footer"/>
      <w:jc w:val="center"/>
    </w:pPr>
  </w:p>
  <w:p w:rsidR="00B97C24" w:rsidRDefault="00B97C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86" w:rsidRDefault="006271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041035"/>
      <w:docPartObj>
        <w:docPartGallery w:val="Page Numbers (Bottom of Page)"/>
        <w:docPartUnique/>
      </w:docPartObj>
    </w:sdtPr>
    <w:sdtEndPr>
      <w:rPr>
        <w:noProof/>
      </w:rPr>
    </w:sdtEndPr>
    <w:sdtContent>
      <w:p w:rsidR="005C4BEC" w:rsidRDefault="005C4BEC">
        <w:pPr>
          <w:pStyle w:val="Footer"/>
          <w:jc w:val="center"/>
        </w:pPr>
        <w:r>
          <w:fldChar w:fldCharType="begin"/>
        </w:r>
        <w:r>
          <w:instrText xml:space="preserve"> PAGE   \* MERGEFORMAT </w:instrText>
        </w:r>
        <w:r>
          <w:fldChar w:fldCharType="separate"/>
        </w:r>
        <w:r w:rsidR="00BD5707">
          <w:rPr>
            <w:noProof/>
          </w:rPr>
          <w:t>2</w:t>
        </w:r>
        <w:r>
          <w:rPr>
            <w:noProof/>
          </w:rPr>
          <w:fldChar w:fldCharType="end"/>
        </w:r>
      </w:p>
    </w:sdtContent>
  </w:sdt>
  <w:p w:rsidR="005C4BEC" w:rsidRDefault="005C4B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6F1" w:rsidRDefault="00A336F1" w:rsidP="00A377C0">
      <w:r>
        <w:separator/>
      </w:r>
    </w:p>
  </w:footnote>
  <w:footnote w:type="continuationSeparator" w:id="0">
    <w:p w:rsidR="00A336F1" w:rsidRDefault="00A336F1" w:rsidP="00A377C0">
      <w:r>
        <w:continuationSeparator/>
      </w:r>
    </w:p>
  </w:footnote>
  <w:footnote w:id="1">
    <w:p w:rsidR="00A377C0" w:rsidRPr="009F6A60" w:rsidRDefault="00A377C0" w:rsidP="009F6A60">
      <w:pPr>
        <w:pStyle w:val="FootnoteText"/>
        <w:spacing w:after="120" w:line="240" w:lineRule="auto"/>
        <w:rPr>
          <w:sz w:val="20"/>
        </w:rPr>
      </w:pPr>
      <w:r w:rsidRPr="009F6A60">
        <w:rPr>
          <w:rStyle w:val="FootnoteReference"/>
          <w:sz w:val="20"/>
        </w:rPr>
        <w:footnoteRef/>
      </w:r>
      <w:r w:rsidRPr="009F6A60">
        <w:rPr>
          <w:sz w:val="20"/>
        </w:rPr>
        <w:t xml:space="preserve"> Entry at 2.</w:t>
      </w:r>
    </w:p>
  </w:footnote>
  <w:footnote w:id="2">
    <w:p w:rsidR="00A377C0" w:rsidRPr="009F6A60" w:rsidRDefault="00A377C0" w:rsidP="009F6A60">
      <w:pPr>
        <w:pStyle w:val="FootnoteText"/>
        <w:spacing w:after="120" w:line="240" w:lineRule="auto"/>
        <w:rPr>
          <w:sz w:val="20"/>
        </w:rPr>
      </w:pPr>
      <w:r w:rsidRPr="009F6A60">
        <w:rPr>
          <w:rStyle w:val="FootnoteReference"/>
          <w:sz w:val="20"/>
        </w:rPr>
        <w:footnoteRef/>
      </w:r>
      <w:r w:rsidRPr="009F6A60">
        <w:rPr>
          <w:sz w:val="20"/>
        </w:rPr>
        <w:t xml:space="preserve"> Order at 13.</w:t>
      </w:r>
    </w:p>
  </w:footnote>
  <w:footnote w:id="3">
    <w:p w:rsidR="00A377C0" w:rsidRPr="009F6A60" w:rsidRDefault="00A377C0" w:rsidP="009F6A60">
      <w:pPr>
        <w:pStyle w:val="FootnoteText"/>
        <w:spacing w:after="120" w:line="240" w:lineRule="auto"/>
        <w:rPr>
          <w:sz w:val="20"/>
        </w:rPr>
      </w:pPr>
      <w:r w:rsidRPr="009F6A60">
        <w:rPr>
          <w:rStyle w:val="FootnoteReference"/>
          <w:sz w:val="20"/>
        </w:rPr>
        <w:footnoteRef/>
      </w:r>
      <w:r w:rsidRPr="009F6A60">
        <w:rPr>
          <w:sz w:val="20"/>
        </w:rPr>
        <w:t xml:space="preserve"> </w:t>
      </w:r>
      <w:r w:rsidRPr="009F6A60">
        <w:rPr>
          <w:i/>
          <w:sz w:val="20"/>
        </w:rPr>
        <w:t>Id</w:t>
      </w:r>
      <w:r w:rsidRPr="009F6A60">
        <w:rPr>
          <w:sz w:val="20"/>
        </w:rPr>
        <w:t>.</w:t>
      </w:r>
    </w:p>
  </w:footnote>
  <w:footnote w:id="4">
    <w:p w:rsidR="001058EB" w:rsidRPr="009F6A60" w:rsidRDefault="001058EB" w:rsidP="009F6A60">
      <w:pPr>
        <w:pStyle w:val="FootnoteText"/>
        <w:spacing w:after="120" w:line="240" w:lineRule="auto"/>
        <w:rPr>
          <w:sz w:val="20"/>
        </w:rPr>
      </w:pPr>
      <w:r w:rsidRPr="009F6A60">
        <w:rPr>
          <w:rStyle w:val="FootnoteReference"/>
          <w:sz w:val="20"/>
        </w:rPr>
        <w:footnoteRef/>
      </w:r>
      <w:r w:rsidRPr="009F6A60">
        <w:rPr>
          <w:sz w:val="20"/>
        </w:rPr>
        <w:t xml:space="preserve"> </w:t>
      </w:r>
      <w:r w:rsidRPr="009F6A60">
        <w:rPr>
          <w:rFonts w:eastAsia="Calibri"/>
          <w:sz w:val="20"/>
        </w:rPr>
        <w:t>Direct Energy Business LLC</w:t>
      </w:r>
      <w:r w:rsidR="00711C1B" w:rsidRPr="009F6A60">
        <w:rPr>
          <w:rFonts w:eastAsia="Calibri"/>
          <w:sz w:val="20"/>
        </w:rPr>
        <w:t xml:space="preserve"> (“Direct”)</w:t>
      </w:r>
      <w:r w:rsidRPr="009F6A60">
        <w:rPr>
          <w:rFonts w:eastAsia="Calibri"/>
          <w:sz w:val="20"/>
        </w:rPr>
        <w:t xml:space="preserve"> missed the filing deadline for Applications for Rehearing and filed a correspondence letter on December 22, 2015, five days after Applications for Rehearing were due, attempting to make its request for rehearing through a letter. Direct’s backdoor attempt at rehearing must be ignored as it was untimely and improper according to R.C. 4903.10.</w:t>
      </w:r>
      <w:r w:rsidR="00727544" w:rsidRPr="009F6A60">
        <w:rPr>
          <w:rFonts w:eastAsia="Calibri"/>
          <w:sz w:val="20"/>
        </w:rPr>
        <w:t xml:space="preserve">  Because the deadline for rehearing is controlled by statute, and Direct missed the statutory deadline, the PUCO has no jurisdiction to entertain Direct's arguments.  </w:t>
      </w:r>
    </w:p>
  </w:footnote>
  <w:footnote w:id="5">
    <w:p w:rsidR="00EE666D" w:rsidRPr="009F6A60" w:rsidRDefault="00EE666D" w:rsidP="009F6A60">
      <w:pPr>
        <w:pStyle w:val="FootnoteText"/>
        <w:spacing w:after="120" w:line="240" w:lineRule="auto"/>
        <w:rPr>
          <w:sz w:val="20"/>
        </w:rPr>
      </w:pPr>
      <w:r w:rsidRPr="009F6A60">
        <w:rPr>
          <w:rStyle w:val="FootnoteReference"/>
          <w:sz w:val="20"/>
        </w:rPr>
        <w:footnoteRef/>
      </w:r>
      <w:r w:rsidRPr="009F6A60">
        <w:rPr>
          <w:sz w:val="20"/>
        </w:rPr>
        <w:t xml:space="preserve"> FES Application for Rehearing at 4.</w:t>
      </w:r>
    </w:p>
  </w:footnote>
  <w:footnote w:id="6">
    <w:p w:rsidR="00F26482" w:rsidRPr="009F6A60" w:rsidRDefault="00F26482" w:rsidP="009F6A60">
      <w:pPr>
        <w:pStyle w:val="FootnoteText"/>
        <w:spacing w:after="120" w:line="240" w:lineRule="auto"/>
        <w:rPr>
          <w:sz w:val="20"/>
        </w:rPr>
      </w:pPr>
      <w:r w:rsidRPr="009F6A60">
        <w:rPr>
          <w:rStyle w:val="FootnoteReference"/>
          <w:sz w:val="20"/>
        </w:rPr>
        <w:footnoteRef/>
      </w:r>
      <w:r w:rsidRPr="009F6A60">
        <w:rPr>
          <w:sz w:val="20"/>
        </w:rPr>
        <w:t xml:space="preserve"> Order at 14.</w:t>
      </w:r>
    </w:p>
  </w:footnote>
  <w:footnote w:id="7">
    <w:p w:rsidR="00EE666D" w:rsidRPr="009F6A60" w:rsidRDefault="00EE666D" w:rsidP="009F6A60">
      <w:pPr>
        <w:pStyle w:val="FootnoteText"/>
        <w:spacing w:after="120" w:line="240" w:lineRule="auto"/>
        <w:rPr>
          <w:sz w:val="20"/>
        </w:rPr>
      </w:pPr>
      <w:r w:rsidRPr="009F6A60">
        <w:rPr>
          <w:rStyle w:val="FootnoteReference"/>
          <w:sz w:val="20"/>
        </w:rPr>
        <w:footnoteRef/>
      </w:r>
      <w:r w:rsidRPr="009F6A60">
        <w:rPr>
          <w:sz w:val="20"/>
        </w:rPr>
        <w:t xml:space="preserve"> Order at 13 (emphasis added).</w:t>
      </w:r>
    </w:p>
  </w:footnote>
  <w:footnote w:id="8">
    <w:p w:rsidR="00D573FD" w:rsidRPr="009F6A60" w:rsidRDefault="00D573FD" w:rsidP="009F6A60">
      <w:pPr>
        <w:pStyle w:val="FootnoteText"/>
        <w:spacing w:after="120" w:line="240" w:lineRule="auto"/>
        <w:rPr>
          <w:sz w:val="20"/>
        </w:rPr>
      </w:pPr>
      <w:r w:rsidRPr="009F6A60">
        <w:rPr>
          <w:rStyle w:val="FootnoteReference"/>
          <w:sz w:val="20"/>
        </w:rPr>
        <w:footnoteRef/>
      </w:r>
      <w:r w:rsidRPr="009F6A60">
        <w:rPr>
          <w:sz w:val="20"/>
        </w:rPr>
        <w:t xml:space="preserve"> Order at 13.</w:t>
      </w:r>
    </w:p>
  </w:footnote>
  <w:footnote w:id="9">
    <w:p w:rsidR="00727544" w:rsidRPr="009F6A60" w:rsidRDefault="00727544" w:rsidP="009F6A60">
      <w:pPr>
        <w:pStyle w:val="FootnoteText"/>
        <w:spacing w:after="120" w:line="240" w:lineRule="auto"/>
        <w:rPr>
          <w:sz w:val="20"/>
        </w:rPr>
      </w:pPr>
      <w:r w:rsidRPr="009F6A60">
        <w:rPr>
          <w:rStyle w:val="FootnoteReference"/>
          <w:sz w:val="20"/>
        </w:rPr>
        <w:footnoteRef/>
      </w:r>
      <w:r w:rsidRPr="009F6A60">
        <w:rPr>
          <w:sz w:val="20"/>
        </w:rPr>
        <w:t xml:space="preserve"> </w:t>
      </w:r>
      <w:r w:rsidR="008C4B4A" w:rsidRPr="009F6A60">
        <w:rPr>
          <w:sz w:val="20"/>
        </w:rPr>
        <w:t>FES Application for Rehearing at 1</w:t>
      </w:r>
    </w:p>
  </w:footnote>
  <w:footnote w:id="10">
    <w:p w:rsidR="007D0255" w:rsidRPr="009F6A60" w:rsidRDefault="007D0255" w:rsidP="009F6A60">
      <w:pPr>
        <w:pStyle w:val="FootnoteText"/>
        <w:spacing w:after="120" w:line="240" w:lineRule="auto"/>
        <w:rPr>
          <w:sz w:val="20"/>
        </w:rPr>
      </w:pPr>
      <w:r w:rsidRPr="009F6A60">
        <w:rPr>
          <w:rStyle w:val="FootnoteReference"/>
          <w:sz w:val="20"/>
        </w:rPr>
        <w:footnoteRef/>
      </w:r>
      <w:r w:rsidRPr="009F6A60">
        <w:rPr>
          <w:sz w:val="20"/>
        </w:rPr>
        <w:t xml:space="preserve"> Order at 11 – 12.</w:t>
      </w:r>
    </w:p>
  </w:footnote>
  <w:footnote w:id="11">
    <w:p w:rsidR="0063192D" w:rsidRPr="009F6A60" w:rsidRDefault="0063192D" w:rsidP="009F6A60">
      <w:pPr>
        <w:pStyle w:val="FootnoteText"/>
        <w:spacing w:after="120" w:line="240" w:lineRule="auto"/>
        <w:rPr>
          <w:sz w:val="20"/>
        </w:rPr>
      </w:pPr>
      <w:r w:rsidRPr="009F6A60">
        <w:rPr>
          <w:rStyle w:val="FootnoteReference"/>
          <w:sz w:val="20"/>
        </w:rPr>
        <w:footnoteRef/>
      </w:r>
      <w:r w:rsidRPr="009F6A60">
        <w:rPr>
          <w:sz w:val="20"/>
        </w:rPr>
        <w:t xml:space="preserve"> IG</w:t>
      </w:r>
      <w:r w:rsidR="002E18E7" w:rsidRPr="009F6A60">
        <w:rPr>
          <w:sz w:val="20"/>
        </w:rPr>
        <w:t>S</w:t>
      </w:r>
      <w:r w:rsidR="00494DC6" w:rsidRPr="009F6A60">
        <w:rPr>
          <w:sz w:val="20"/>
        </w:rPr>
        <w:t xml:space="preserve"> Application for</w:t>
      </w:r>
      <w:r w:rsidRPr="009F6A60">
        <w:rPr>
          <w:sz w:val="20"/>
        </w:rPr>
        <w:t xml:space="preserve"> Reh</w:t>
      </w:r>
      <w:r w:rsidR="00494DC6" w:rsidRPr="009F6A60">
        <w:rPr>
          <w:sz w:val="20"/>
        </w:rPr>
        <w:t>e</w:t>
      </w:r>
      <w:r w:rsidRPr="009F6A60">
        <w:rPr>
          <w:sz w:val="20"/>
        </w:rPr>
        <w:t>aring at 10.</w:t>
      </w:r>
    </w:p>
  </w:footnote>
  <w:footnote w:id="12">
    <w:p w:rsidR="0063192D" w:rsidRPr="009F6A60" w:rsidRDefault="0063192D" w:rsidP="009F6A60">
      <w:pPr>
        <w:pStyle w:val="FootnoteText"/>
        <w:spacing w:after="120" w:line="240" w:lineRule="auto"/>
        <w:rPr>
          <w:sz w:val="20"/>
        </w:rPr>
      </w:pPr>
      <w:r w:rsidRPr="009F6A60">
        <w:rPr>
          <w:rStyle w:val="FootnoteReference"/>
          <w:sz w:val="20"/>
        </w:rPr>
        <w:footnoteRef/>
      </w:r>
      <w:r w:rsidRPr="009F6A60">
        <w:rPr>
          <w:sz w:val="20"/>
        </w:rPr>
        <w:t xml:space="preserve"> Ohio Adm. Code 4901:1-21-05(3).</w:t>
      </w:r>
    </w:p>
  </w:footnote>
  <w:footnote w:id="13">
    <w:p w:rsidR="002E18E7" w:rsidRPr="009F6A60" w:rsidRDefault="002E18E7" w:rsidP="009F6A60">
      <w:pPr>
        <w:pStyle w:val="FootnoteText"/>
        <w:spacing w:after="120" w:line="240" w:lineRule="auto"/>
        <w:rPr>
          <w:sz w:val="20"/>
        </w:rPr>
      </w:pPr>
      <w:r w:rsidRPr="009F6A60">
        <w:rPr>
          <w:rStyle w:val="FootnoteReference"/>
          <w:sz w:val="20"/>
        </w:rPr>
        <w:footnoteRef/>
      </w:r>
      <w:r w:rsidR="009F636D" w:rsidRPr="009F6A60">
        <w:rPr>
          <w:sz w:val="20"/>
        </w:rPr>
        <w:t xml:space="preserve"> IGS Application fo</w:t>
      </w:r>
      <w:r w:rsidRPr="009F6A60">
        <w:rPr>
          <w:sz w:val="20"/>
        </w:rPr>
        <w:t>r Rehearing at 9.</w:t>
      </w:r>
    </w:p>
  </w:footnote>
  <w:footnote w:id="14">
    <w:p w:rsidR="00EB2CD6" w:rsidRPr="009F6A60" w:rsidRDefault="00EB2CD6" w:rsidP="009F6A60">
      <w:pPr>
        <w:pStyle w:val="FootnoteText"/>
        <w:spacing w:after="120" w:line="240" w:lineRule="auto"/>
        <w:rPr>
          <w:sz w:val="20"/>
        </w:rPr>
      </w:pPr>
      <w:r w:rsidRPr="009F6A60">
        <w:rPr>
          <w:rStyle w:val="FootnoteReference"/>
          <w:sz w:val="20"/>
        </w:rPr>
        <w:footnoteRef/>
      </w:r>
      <w:r w:rsidRPr="009F6A60">
        <w:rPr>
          <w:sz w:val="20"/>
        </w:rPr>
        <w:t xml:space="preserve"> IGS Application for Rehearing at 17.</w:t>
      </w:r>
    </w:p>
  </w:footnote>
  <w:footnote w:id="15">
    <w:p w:rsidR="007F732E" w:rsidRPr="009F6A60" w:rsidRDefault="007F732E" w:rsidP="009F6A60">
      <w:pPr>
        <w:pStyle w:val="FootnoteText"/>
        <w:spacing w:after="120" w:line="240" w:lineRule="auto"/>
        <w:rPr>
          <w:sz w:val="20"/>
        </w:rPr>
      </w:pPr>
      <w:r w:rsidRPr="009F6A60">
        <w:rPr>
          <w:rStyle w:val="FootnoteReference"/>
          <w:rFonts w:eastAsia="Courier New"/>
          <w:sz w:val="20"/>
        </w:rPr>
        <w:footnoteRef/>
      </w:r>
      <w:r w:rsidRPr="009F6A60">
        <w:rPr>
          <w:sz w:val="20"/>
        </w:rPr>
        <w:t xml:space="preserve"> Order at 11.</w:t>
      </w:r>
    </w:p>
  </w:footnote>
  <w:footnote w:id="16">
    <w:p w:rsidR="007F732E" w:rsidRPr="009F6A60" w:rsidRDefault="007F732E" w:rsidP="009F6A60">
      <w:pPr>
        <w:pStyle w:val="FootnoteText"/>
        <w:spacing w:after="120" w:line="240" w:lineRule="auto"/>
        <w:rPr>
          <w:sz w:val="20"/>
        </w:rPr>
      </w:pPr>
      <w:r w:rsidRPr="009F6A60">
        <w:rPr>
          <w:rStyle w:val="FootnoteReference"/>
          <w:rFonts w:eastAsia="Courier New"/>
          <w:sz w:val="20"/>
        </w:rPr>
        <w:footnoteRef/>
      </w:r>
      <w:r w:rsidRPr="009F6A60">
        <w:rPr>
          <w:sz w:val="20"/>
        </w:rPr>
        <w:t xml:space="preserve"> </w:t>
      </w:r>
      <w:r w:rsidR="008C4B4A" w:rsidRPr="009F6A60">
        <w:rPr>
          <w:i/>
          <w:sz w:val="20"/>
        </w:rPr>
        <w:t>Id</w:t>
      </w:r>
      <w:r w:rsidR="008C4B4A" w:rsidRPr="009F6A60">
        <w:rPr>
          <w:sz w:val="20"/>
        </w:rPr>
        <w:t>.</w:t>
      </w:r>
      <w:r w:rsidRPr="009F6A60">
        <w:rPr>
          <w:sz w:val="20"/>
        </w:rPr>
        <w:t xml:space="preserve"> at 12.</w:t>
      </w:r>
    </w:p>
  </w:footnote>
  <w:footnote w:id="17">
    <w:p w:rsidR="00854CC5" w:rsidRPr="009F6A60" w:rsidRDefault="00854CC5" w:rsidP="009F6A60">
      <w:pPr>
        <w:pStyle w:val="FootnoteText"/>
        <w:spacing w:after="120" w:line="240" w:lineRule="auto"/>
        <w:rPr>
          <w:sz w:val="20"/>
        </w:rPr>
      </w:pPr>
      <w:r w:rsidRPr="009F6A60">
        <w:rPr>
          <w:rStyle w:val="FootnoteReference"/>
          <w:sz w:val="20"/>
        </w:rPr>
        <w:footnoteRef/>
      </w:r>
      <w:r w:rsidRPr="009F6A60">
        <w:rPr>
          <w:sz w:val="20"/>
        </w:rPr>
        <w:t xml:space="preserve"> Ohio Rev. Code 4928.10(A)(1).</w:t>
      </w:r>
    </w:p>
  </w:footnote>
  <w:footnote w:id="18">
    <w:p w:rsidR="007F732E" w:rsidRPr="009F6A60" w:rsidRDefault="007F732E" w:rsidP="009F6A60">
      <w:pPr>
        <w:pStyle w:val="FootnoteText"/>
        <w:spacing w:after="120" w:line="240" w:lineRule="auto"/>
        <w:rPr>
          <w:sz w:val="20"/>
        </w:rPr>
      </w:pPr>
      <w:r w:rsidRPr="009F6A60">
        <w:rPr>
          <w:rStyle w:val="FootnoteReference"/>
          <w:rFonts w:eastAsia="Courier New"/>
          <w:sz w:val="20"/>
        </w:rPr>
        <w:footnoteRef/>
      </w:r>
      <w:r w:rsidRPr="009F6A60">
        <w:rPr>
          <w:sz w:val="20"/>
        </w:rPr>
        <w:t xml:space="preserve"> Order at 2.</w:t>
      </w:r>
    </w:p>
  </w:footnote>
  <w:footnote w:id="19">
    <w:p w:rsidR="007F732E" w:rsidRPr="009F6A60" w:rsidRDefault="007F732E" w:rsidP="009F6A60">
      <w:pPr>
        <w:pStyle w:val="FootnoteText"/>
        <w:spacing w:after="120" w:line="240" w:lineRule="auto"/>
        <w:rPr>
          <w:sz w:val="20"/>
        </w:rPr>
      </w:pPr>
      <w:r w:rsidRPr="009F6A60">
        <w:rPr>
          <w:rStyle w:val="FootnoteReference"/>
          <w:rFonts w:eastAsia="Courier New"/>
          <w:sz w:val="20"/>
        </w:rPr>
        <w:footnoteRef/>
      </w:r>
      <w:r w:rsidRPr="009F6A60">
        <w:rPr>
          <w:sz w:val="20"/>
        </w:rPr>
        <w:t xml:space="preserve"> </w:t>
      </w:r>
      <w:r w:rsidR="008C4B4A" w:rsidRPr="009F6A60">
        <w:rPr>
          <w:i/>
          <w:sz w:val="20"/>
        </w:rPr>
        <w:t>Id</w:t>
      </w:r>
      <w:r w:rsidR="008C4B4A" w:rsidRPr="009F6A60">
        <w:rPr>
          <w:sz w:val="20"/>
        </w:rPr>
        <w:t>.</w:t>
      </w:r>
      <w:r w:rsidRPr="009F6A60">
        <w:rPr>
          <w:sz w:val="20"/>
        </w:rPr>
        <w:t xml:space="preserve"> at 11.</w:t>
      </w:r>
    </w:p>
  </w:footnote>
  <w:footnote w:id="20">
    <w:p w:rsidR="007F732E" w:rsidRPr="009F6A60" w:rsidRDefault="007F732E" w:rsidP="009F6A60">
      <w:pPr>
        <w:pStyle w:val="FootnoteText"/>
        <w:spacing w:after="120" w:line="240" w:lineRule="auto"/>
        <w:rPr>
          <w:sz w:val="20"/>
        </w:rPr>
      </w:pPr>
      <w:r w:rsidRPr="009F6A60">
        <w:rPr>
          <w:rStyle w:val="FootnoteReference"/>
          <w:rFonts w:eastAsia="Courier New"/>
          <w:sz w:val="20"/>
        </w:rPr>
        <w:footnoteRef/>
      </w:r>
      <w:r w:rsidRPr="009F6A60">
        <w:rPr>
          <w:sz w:val="20"/>
        </w:rPr>
        <w:t xml:space="preserve"> Ohio Adm. Code 4901:1-21-05(7)(C).</w:t>
      </w:r>
    </w:p>
  </w:footnote>
  <w:footnote w:id="21">
    <w:p w:rsidR="007F732E" w:rsidRPr="009F6A60" w:rsidRDefault="007F732E" w:rsidP="009F6A60">
      <w:pPr>
        <w:pStyle w:val="FootnoteText"/>
        <w:spacing w:after="120" w:line="240" w:lineRule="auto"/>
        <w:rPr>
          <w:sz w:val="20"/>
        </w:rPr>
      </w:pPr>
      <w:r w:rsidRPr="009F6A60">
        <w:rPr>
          <w:rStyle w:val="FootnoteReference"/>
          <w:rFonts w:eastAsia="Courier New"/>
          <w:sz w:val="20"/>
        </w:rPr>
        <w:footnoteRef/>
      </w:r>
      <w:r w:rsidRPr="009F6A60">
        <w:rPr>
          <w:sz w:val="20"/>
        </w:rPr>
        <w:t xml:space="preserve"> Ohio Rev. Code 4903.15.</w:t>
      </w:r>
    </w:p>
  </w:footnote>
  <w:footnote w:id="22">
    <w:p w:rsidR="007D22F9" w:rsidRPr="009F6A60" w:rsidRDefault="007D22F9" w:rsidP="009F6A60">
      <w:pPr>
        <w:pStyle w:val="FootnoteText"/>
        <w:spacing w:after="120" w:line="240" w:lineRule="auto"/>
        <w:rPr>
          <w:sz w:val="20"/>
        </w:rPr>
      </w:pPr>
      <w:r w:rsidRPr="009F6A60">
        <w:rPr>
          <w:rStyle w:val="FootnoteReference"/>
          <w:sz w:val="20"/>
        </w:rPr>
        <w:footnoteRef/>
      </w:r>
      <w:r w:rsidRPr="009F6A60">
        <w:rPr>
          <w:sz w:val="20"/>
        </w:rPr>
        <w:t xml:space="preserve"> RESA Application for Rehearing at 5.</w:t>
      </w:r>
    </w:p>
  </w:footnote>
  <w:footnote w:id="23">
    <w:p w:rsidR="00373D94" w:rsidRPr="009F6A60" w:rsidRDefault="00373D94" w:rsidP="009F6A60">
      <w:pPr>
        <w:pStyle w:val="FootnoteText"/>
        <w:spacing w:after="120" w:line="240" w:lineRule="auto"/>
        <w:rPr>
          <w:sz w:val="20"/>
        </w:rPr>
      </w:pPr>
      <w:r w:rsidRPr="009F6A60">
        <w:rPr>
          <w:rStyle w:val="FootnoteReference"/>
          <w:sz w:val="20"/>
        </w:rPr>
        <w:footnoteRef/>
      </w:r>
      <w:r w:rsidRPr="009F6A60">
        <w:rPr>
          <w:sz w:val="20"/>
        </w:rPr>
        <w:t xml:space="preserve"> RESA Application for Rehearing at 9. </w:t>
      </w:r>
    </w:p>
  </w:footnote>
  <w:footnote w:id="24">
    <w:p w:rsidR="00373D94" w:rsidRPr="009F6A60" w:rsidRDefault="00373D94" w:rsidP="009F6A60">
      <w:pPr>
        <w:pStyle w:val="FootnoteText"/>
        <w:spacing w:after="120" w:line="240" w:lineRule="auto"/>
        <w:rPr>
          <w:sz w:val="20"/>
        </w:rPr>
      </w:pPr>
      <w:r w:rsidRPr="009F6A60">
        <w:rPr>
          <w:rStyle w:val="FootnoteReference"/>
          <w:sz w:val="20"/>
        </w:rPr>
        <w:footnoteRef/>
      </w:r>
      <w:r w:rsidRPr="009F6A60">
        <w:rPr>
          <w:sz w:val="20"/>
        </w:rPr>
        <w:t xml:space="preserve"> </w:t>
      </w:r>
      <w:r w:rsidR="008C4B4A" w:rsidRPr="009F6A60">
        <w:rPr>
          <w:i/>
          <w:sz w:val="20"/>
        </w:rPr>
        <w:t>Id</w:t>
      </w:r>
      <w:r w:rsidR="008C4B4A" w:rsidRPr="009F6A60">
        <w:rPr>
          <w:sz w:val="20"/>
        </w:rPr>
        <w:t>.</w:t>
      </w:r>
      <w:r w:rsidR="00C96E2D" w:rsidRPr="009F6A60">
        <w:rPr>
          <w:sz w:val="20"/>
        </w:rPr>
        <w:t xml:space="preserve"> at 10.</w:t>
      </w:r>
    </w:p>
  </w:footnote>
  <w:footnote w:id="25">
    <w:p w:rsidR="00781AB7" w:rsidRPr="009F6A60" w:rsidRDefault="00781AB7" w:rsidP="009F6A60">
      <w:pPr>
        <w:pStyle w:val="FootnoteText"/>
        <w:spacing w:after="120" w:line="240" w:lineRule="auto"/>
        <w:rPr>
          <w:sz w:val="20"/>
        </w:rPr>
      </w:pPr>
      <w:r w:rsidRPr="009F6A60">
        <w:rPr>
          <w:rStyle w:val="FootnoteReference"/>
          <w:sz w:val="20"/>
        </w:rPr>
        <w:footnoteRef/>
      </w:r>
      <w:r w:rsidRPr="009F6A60">
        <w:rPr>
          <w:sz w:val="20"/>
        </w:rPr>
        <w:t xml:space="preserve"> Order at 11.</w:t>
      </w:r>
    </w:p>
  </w:footnote>
  <w:footnote w:id="26">
    <w:p w:rsidR="00C96E2D" w:rsidRPr="009F6A60" w:rsidRDefault="00C96E2D" w:rsidP="009F6A60">
      <w:pPr>
        <w:pStyle w:val="FootnoteText"/>
        <w:spacing w:after="120" w:line="240" w:lineRule="auto"/>
        <w:rPr>
          <w:sz w:val="20"/>
        </w:rPr>
      </w:pPr>
      <w:r w:rsidRPr="009F6A60">
        <w:rPr>
          <w:rStyle w:val="FootnoteReference"/>
          <w:sz w:val="20"/>
        </w:rPr>
        <w:footnoteRef/>
      </w:r>
      <w:r w:rsidRPr="009F6A60">
        <w:rPr>
          <w:sz w:val="20"/>
        </w:rPr>
        <w:t xml:space="preserve"> </w:t>
      </w:r>
      <w:r w:rsidRPr="009F6A60">
        <w:rPr>
          <w:i/>
          <w:sz w:val="20"/>
        </w:rPr>
        <w:t>Id</w:t>
      </w:r>
      <w:r w:rsidRPr="009F6A60">
        <w:rPr>
          <w:sz w:val="20"/>
        </w:rPr>
        <w:t>.</w:t>
      </w:r>
    </w:p>
  </w:footnote>
  <w:footnote w:id="27">
    <w:p w:rsidR="00C96E2D" w:rsidRPr="009F6A60" w:rsidRDefault="00C96E2D" w:rsidP="009F6A60">
      <w:pPr>
        <w:pStyle w:val="FootnoteText"/>
        <w:spacing w:after="120" w:line="240" w:lineRule="auto"/>
        <w:rPr>
          <w:sz w:val="20"/>
        </w:rPr>
      </w:pPr>
      <w:r w:rsidRPr="009F6A60">
        <w:rPr>
          <w:rStyle w:val="FootnoteReference"/>
          <w:sz w:val="20"/>
        </w:rPr>
        <w:footnoteRef/>
      </w:r>
      <w:r w:rsidRPr="009F6A60">
        <w:rPr>
          <w:sz w:val="20"/>
        </w:rPr>
        <w:t xml:space="preserve"> </w:t>
      </w:r>
      <w:r w:rsidR="008C4B4A" w:rsidRPr="009F6A60">
        <w:rPr>
          <w:i/>
          <w:sz w:val="20"/>
        </w:rPr>
        <w:t>Id</w:t>
      </w:r>
      <w:r w:rsidR="008C4B4A" w:rsidRPr="009F6A60">
        <w:rPr>
          <w:sz w:val="20"/>
        </w:rPr>
        <w:t>.</w:t>
      </w:r>
      <w:r w:rsidRPr="009F6A60">
        <w:rPr>
          <w:sz w:val="20"/>
        </w:rPr>
        <w:t xml:space="preserve"> at 13.</w:t>
      </w:r>
    </w:p>
  </w:footnote>
  <w:footnote w:id="28">
    <w:p w:rsidR="00C8254C" w:rsidRPr="009F6A60" w:rsidRDefault="00C8254C" w:rsidP="009F6A60">
      <w:pPr>
        <w:pStyle w:val="FootnoteText"/>
        <w:spacing w:after="120" w:line="240" w:lineRule="auto"/>
        <w:rPr>
          <w:sz w:val="20"/>
        </w:rPr>
      </w:pPr>
      <w:r w:rsidRPr="009F6A60">
        <w:rPr>
          <w:rStyle w:val="FootnoteReference"/>
          <w:sz w:val="20"/>
        </w:rPr>
        <w:footnoteRef/>
      </w:r>
      <w:r w:rsidRPr="009F6A60">
        <w:rPr>
          <w:sz w:val="20"/>
        </w:rPr>
        <w:t xml:space="preserve"> </w:t>
      </w:r>
      <w:r w:rsidRPr="009F6A60">
        <w:rPr>
          <w:i/>
          <w:sz w:val="20"/>
        </w:rPr>
        <w:t>Id</w:t>
      </w:r>
      <w:r w:rsidRPr="009F6A60">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86" w:rsidRDefault="006271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86" w:rsidRDefault="006271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186" w:rsidRDefault="006271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BEC" w:rsidRDefault="005C4B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F1E3C"/>
    <w:multiLevelType w:val="hybridMultilevel"/>
    <w:tmpl w:val="89B4257E"/>
    <w:lvl w:ilvl="0" w:tplc="965852D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C0"/>
    <w:rsid w:val="000045E3"/>
    <w:rsid w:val="00052661"/>
    <w:rsid w:val="00057C05"/>
    <w:rsid w:val="0009008D"/>
    <w:rsid w:val="000C431C"/>
    <w:rsid w:val="000E3A3E"/>
    <w:rsid w:val="000F407C"/>
    <w:rsid w:val="001008BB"/>
    <w:rsid w:val="001058EB"/>
    <w:rsid w:val="00130597"/>
    <w:rsid w:val="00195816"/>
    <w:rsid w:val="001A57F0"/>
    <w:rsid w:val="002E18E7"/>
    <w:rsid w:val="002E7243"/>
    <w:rsid w:val="00310D19"/>
    <w:rsid w:val="00311A2F"/>
    <w:rsid w:val="00323CDD"/>
    <w:rsid w:val="00373D94"/>
    <w:rsid w:val="00382793"/>
    <w:rsid w:val="00466A5F"/>
    <w:rsid w:val="00490717"/>
    <w:rsid w:val="00494DC6"/>
    <w:rsid w:val="005022A7"/>
    <w:rsid w:val="005C4BEC"/>
    <w:rsid w:val="00627186"/>
    <w:rsid w:val="0063192D"/>
    <w:rsid w:val="00660255"/>
    <w:rsid w:val="00661D51"/>
    <w:rsid w:val="006769F0"/>
    <w:rsid w:val="006A4E82"/>
    <w:rsid w:val="006C486C"/>
    <w:rsid w:val="00711C1B"/>
    <w:rsid w:val="00727544"/>
    <w:rsid w:val="0077791A"/>
    <w:rsid w:val="00781AB7"/>
    <w:rsid w:val="007D0255"/>
    <w:rsid w:val="007D22F9"/>
    <w:rsid w:val="007F732E"/>
    <w:rsid w:val="00820100"/>
    <w:rsid w:val="00854CC5"/>
    <w:rsid w:val="008972A2"/>
    <w:rsid w:val="008C4B4A"/>
    <w:rsid w:val="008E74B0"/>
    <w:rsid w:val="009C73E0"/>
    <w:rsid w:val="009F636D"/>
    <w:rsid w:val="009F6A60"/>
    <w:rsid w:val="00A25C47"/>
    <w:rsid w:val="00A336F1"/>
    <w:rsid w:val="00A377C0"/>
    <w:rsid w:val="00A76C89"/>
    <w:rsid w:val="00A87BD6"/>
    <w:rsid w:val="00AE6D73"/>
    <w:rsid w:val="00B149CD"/>
    <w:rsid w:val="00B97C24"/>
    <w:rsid w:val="00BD3C92"/>
    <w:rsid w:val="00BD5707"/>
    <w:rsid w:val="00C03374"/>
    <w:rsid w:val="00C22C6F"/>
    <w:rsid w:val="00C8254C"/>
    <w:rsid w:val="00C96E2D"/>
    <w:rsid w:val="00CA34B0"/>
    <w:rsid w:val="00CA7FDC"/>
    <w:rsid w:val="00D5047D"/>
    <w:rsid w:val="00D573FD"/>
    <w:rsid w:val="00E57A45"/>
    <w:rsid w:val="00EA2D05"/>
    <w:rsid w:val="00EB2CD6"/>
    <w:rsid w:val="00EE666D"/>
    <w:rsid w:val="00F26482"/>
    <w:rsid w:val="00F80DCF"/>
    <w:rsid w:val="00F95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C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377C0"/>
    <w:pPr>
      <w:keepNext/>
      <w:widowControl w:val="0"/>
      <w:snapToGrid w:val="0"/>
      <w:spacing w:after="240"/>
      <w:ind w:left="720" w:hanging="720"/>
      <w:outlineLvl w:val="0"/>
    </w:pPr>
    <w:rPr>
      <w:b/>
      <w:caps/>
    </w:rPr>
  </w:style>
  <w:style w:type="paragraph" w:styleId="Heading2">
    <w:name w:val="heading 2"/>
    <w:basedOn w:val="Normal"/>
    <w:next w:val="Normal"/>
    <w:link w:val="Heading2Char"/>
    <w:autoRedefine/>
    <w:uiPriority w:val="9"/>
    <w:unhideWhenUsed/>
    <w:qFormat/>
    <w:rsid w:val="00466A5F"/>
    <w:pPr>
      <w:keepNext/>
      <w:keepLines/>
      <w:spacing w:after="240"/>
      <w:ind w:left="1440" w:righ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466A5F"/>
    <w:pPr>
      <w:keepNext/>
      <w:keepLines/>
      <w:spacing w:after="240"/>
      <w:ind w:left="2160" w:hanging="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7C0"/>
    <w:rPr>
      <w:rFonts w:ascii="Times New Roman" w:eastAsia="Times New Roman" w:hAnsi="Times New Roman" w:cs="Times New Roman"/>
      <w:b/>
      <w:caps/>
      <w:sz w:val="24"/>
      <w:szCs w:val="20"/>
    </w:rPr>
  </w:style>
  <w:style w:type="paragraph" w:styleId="HTMLPreformatted">
    <w:name w:val="HTML Preformatted"/>
    <w:basedOn w:val="Normal"/>
    <w:link w:val="HTMLPreformattedChar"/>
    <w:unhideWhenUsed/>
    <w:rsid w:val="00A3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A377C0"/>
    <w:rPr>
      <w:rFonts w:ascii="Courier New" w:eastAsia="Courier New" w:hAnsi="Courier New" w:cs="Courier New"/>
      <w:sz w:val="20"/>
      <w:szCs w:val="20"/>
    </w:rPr>
  </w:style>
  <w:style w:type="paragraph" w:styleId="FootnoteText">
    <w:name w:val="footnote text"/>
    <w:basedOn w:val="Normal"/>
    <w:link w:val="FootnoteTextChar"/>
    <w:semiHidden/>
    <w:unhideWhenUsed/>
    <w:rsid w:val="00A377C0"/>
    <w:pPr>
      <w:spacing w:line="480" w:lineRule="auto"/>
    </w:pPr>
  </w:style>
  <w:style w:type="character" w:customStyle="1" w:styleId="FootnoteTextChar">
    <w:name w:val="Footnote Text Char"/>
    <w:basedOn w:val="DefaultParagraphFont"/>
    <w:link w:val="FootnoteText"/>
    <w:semiHidden/>
    <w:rsid w:val="00A377C0"/>
    <w:rPr>
      <w:rFonts w:ascii="Times New Roman" w:eastAsia="Times New Roman" w:hAnsi="Times New Roman" w:cs="Times New Roman"/>
      <w:sz w:val="24"/>
      <w:szCs w:val="20"/>
    </w:rPr>
  </w:style>
  <w:style w:type="paragraph" w:styleId="Title">
    <w:name w:val="Title"/>
    <w:basedOn w:val="Normal"/>
    <w:link w:val="TitleChar"/>
    <w:qFormat/>
    <w:rsid w:val="00A377C0"/>
    <w:pPr>
      <w:jc w:val="center"/>
    </w:pPr>
    <w:rPr>
      <w:b/>
      <w:sz w:val="22"/>
    </w:rPr>
  </w:style>
  <w:style w:type="character" w:customStyle="1" w:styleId="TitleChar">
    <w:name w:val="Title Char"/>
    <w:basedOn w:val="DefaultParagraphFont"/>
    <w:link w:val="Title"/>
    <w:rsid w:val="00A377C0"/>
    <w:rPr>
      <w:rFonts w:ascii="Times New Roman" w:eastAsia="Times New Roman" w:hAnsi="Times New Roman" w:cs="Times New Roman"/>
      <w:b/>
      <w:szCs w:val="20"/>
    </w:rPr>
  </w:style>
  <w:style w:type="character" w:styleId="FootnoteReference">
    <w:name w:val="footnote reference"/>
    <w:semiHidden/>
    <w:unhideWhenUsed/>
    <w:rsid w:val="00A377C0"/>
    <w:rPr>
      <w:vertAlign w:val="superscript"/>
    </w:rPr>
  </w:style>
  <w:style w:type="character" w:customStyle="1" w:styleId="Heading2Char">
    <w:name w:val="Heading 2 Char"/>
    <w:basedOn w:val="DefaultParagraphFont"/>
    <w:link w:val="Heading2"/>
    <w:uiPriority w:val="9"/>
    <w:rsid w:val="00466A5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466A5F"/>
    <w:rPr>
      <w:rFonts w:ascii="Times New Roman" w:eastAsiaTheme="majorEastAsia" w:hAnsi="Times New Roman" w:cstheme="majorBidi"/>
      <w:b/>
      <w:bCs/>
      <w:sz w:val="24"/>
      <w:szCs w:val="20"/>
    </w:rPr>
  </w:style>
  <w:style w:type="paragraph" w:styleId="Header">
    <w:name w:val="header"/>
    <w:basedOn w:val="Normal"/>
    <w:link w:val="HeaderChar"/>
    <w:uiPriority w:val="99"/>
    <w:unhideWhenUsed/>
    <w:rsid w:val="00B97C24"/>
    <w:pPr>
      <w:tabs>
        <w:tab w:val="center" w:pos="4680"/>
        <w:tab w:val="right" w:pos="9360"/>
      </w:tabs>
    </w:pPr>
  </w:style>
  <w:style w:type="character" w:customStyle="1" w:styleId="HeaderChar">
    <w:name w:val="Header Char"/>
    <w:basedOn w:val="DefaultParagraphFont"/>
    <w:link w:val="Header"/>
    <w:uiPriority w:val="99"/>
    <w:rsid w:val="00B97C2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97C24"/>
    <w:pPr>
      <w:tabs>
        <w:tab w:val="center" w:pos="4680"/>
        <w:tab w:val="right" w:pos="9360"/>
      </w:tabs>
    </w:pPr>
  </w:style>
  <w:style w:type="character" w:customStyle="1" w:styleId="FooterChar">
    <w:name w:val="Footer Char"/>
    <w:basedOn w:val="DefaultParagraphFont"/>
    <w:link w:val="Footer"/>
    <w:uiPriority w:val="99"/>
    <w:rsid w:val="00B97C24"/>
    <w:rPr>
      <w:rFonts w:ascii="Times New Roman" w:eastAsia="Times New Roman" w:hAnsi="Times New Roman" w:cs="Times New Roman"/>
      <w:sz w:val="24"/>
      <w:szCs w:val="20"/>
    </w:rPr>
  </w:style>
  <w:style w:type="character" w:styleId="Hyperlink">
    <w:name w:val="Hyperlink"/>
    <w:uiPriority w:val="99"/>
    <w:rsid w:val="00B97C24"/>
    <w:rPr>
      <w:color w:val="0000FF"/>
      <w:u w:val="single"/>
    </w:rPr>
  </w:style>
  <w:style w:type="paragraph" w:styleId="Date">
    <w:name w:val="Date"/>
    <w:basedOn w:val="Normal"/>
    <w:next w:val="Normal"/>
    <w:link w:val="DateChar"/>
    <w:rsid w:val="00B97C24"/>
  </w:style>
  <w:style w:type="character" w:customStyle="1" w:styleId="DateChar">
    <w:name w:val="Date Char"/>
    <w:basedOn w:val="DefaultParagraphFont"/>
    <w:link w:val="Date"/>
    <w:rsid w:val="00B97C24"/>
    <w:rPr>
      <w:rFonts w:ascii="Times New Roman" w:eastAsia="Times New Roman" w:hAnsi="Times New Roman" w:cs="Times New Roman"/>
      <w:sz w:val="24"/>
      <w:szCs w:val="20"/>
    </w:rPr>
  </w:style>
  <w:style w:type="paragraph" w:customStyle="1" w:styleId="ShortReturnAddress">
    <w:name w:val="Short Return Address"/>
    <w:basedOn w:val="Normal"/>
    <w:rsid w:val="00B97C24"/>
  </w:style>
  <w:style w:type="paragraph" w:styleId="BalloonText">
    <w:name w:val="Balloon Text"/>
    <w:basedOn w:val="Normal"/>
    <w:link w:val="BalloonTextChar"/>
    <w:uiPriority w:val="99"/>
    <w:semiHidden/>
    <w:unhideWhenUsed/>
    <w:rsid w:val="00661D51"/>
    <w:rPr>
      <w:rFonts w:ascii="Tahoma" w:hAnsi="Tahoma" w:cs="Tahoma"/>
      <w:sz w:val="16"/>
      <w:szCs w:val="16"/>
    </w:rPr>
  </w:style>
  <w:style w:type="character" w:customStyle="1" w:styleId="BalloonTextChar">
    <w:name w:val="Balloon Text Char"/>
    <w:basedOn w:val="DefaultParagraphFont"/>
    <w:link w:val="BalloonText"/>
    <w:uiPriority w:val="99"/>
    <w:semiHidden/>
    <w:rsid w:val="00661D5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27544"/>
    <w:rPr>
      <w:sz w:val="16"/>
      <w:szCs w:val="16"/>
    </w:rPr>
  </w:style>
  <w:style w:type="paragraph" w:styleId="CommentText">
    <w:name w:val="annotation text"/>
    <w:basedOn w:val="Normal"/>
    <w:link w:val="CommentTextChar"/>
    <w:uiPriority w:val="99"/>
    <w:semiHidden/>
    <w:unhideWhenUsed/>
    <w:rsid w:val="00727544"/>
    <w:rPr>
      <w:sz w:val="20"/>
    </w:rPr>
  </w:style>
  <w:style w:type="character" w:customStyle="1" w:styleId="CommentTextChar">
    <w:name w:val="Comment Text Char"/>
    <w:basedOn w:val="DefaultParagraphFont"/>
    <w:link w:val="CommentText"/>
    <w:uiPriority w:val="99"/>
    <w:semiHidden/>
    <w:rsid w:val="007275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544"/>
    <w:rPr>
      <w:b/>
      <w:bCs/>
    </w:rPr>
  </w:style>
  <w:style w:type="character" w:customStyle="1" w:styleId="CommentSubjectChar">
    <w:name w:val="Comment Subject Char"/>
    <w:basedOn w:val="CommentTextChar"/>
    <w:link w:val="CommentSubject"/>
    <w:uiPriority w:val="99"/>
    <w:semiHidden/>
    <w:rsid w:val="00727544"/>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7C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A377C0"/>
    <w:pPr>
      <w:keepNext/>
      <w:widowControl w:val="0"/>
      <w:snapToGrid w:val="0"/>
      <w:spacing w:after="240"/>
      <w:ind w:left="720" w:hanging="720"/>
      <w:outlineLvl w:val="0"/>
    </w:pPr>
    <w:rPr>
      <w:b/>
      <w:caps/>
    </w:rPr>
  </w:style>
  <w:style w:type="paragraph" w:styleId="Heading2">
    <w:name w:val="heading 2"/>
    <w:basedOn w:val="Normal"/>
    <w:next w:val="Normal"/>
    <w:link w:val="Heading2Char"/>
    <w:autoRedefine/>
    <w:uiPriority w:val="9"/>
    <w:unhideWhenUsed/>
    <w:qFormat/>
    <w:rsid w:val="00466A5F"/>
    <w:pPr>
      <w:keepNext/>
      <w:keepLines/>
      <w:spacing w:after="240"/>
      <w:ind w:left="1440" w:right="720" w:hanging="720"/>
      <w:outlineLvl w:val="1"/>
    </w:pPr>
    <w:rPr>
      <w:rFonts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466A5F"/>
    <w:pPr>
      <w:keepNext/>
      <w:keepLines/>
      <w:spacing w:after="240"/>
      <w:ind w:left="2160" w:hanging="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77C0"/>
    <w:rPr>
      <w:rFonts w:ascii="Times New Roman" w:eastAsia="Times New Roman" w:hAnsi="Times New Roman" w:cs="Times New Roman"/>
      <w:b/>
      <w:caps/>
      <w:sz w:val="24"/>
      <w:szCs w:val="20"/>
    </w:rPr>
  </w:style>
  <w:style w:type="paragraph" w:styleId="HTMLPreformatted">
    <w:name w:val="HTML Preformatted"/>
    <w:basedOn w:val="Normal"/>
    <w:link w:val="HTMLPreformattedChar"/>
    <w:unhideWhenUsed/>
    <w:rsid w:val="00A37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character" w:customStyle="1" w:styleId="HTMLPreformattedChar">
    <w:name w:val="HTML Preformatted Char"/>
    <w:basedOn w:val="DefaultParagraphFont"/>
    <w:link w:val="HTMLPreformatted"/>
    <w:rsid w:val="00A377C0"/>
    <w:rPr>
      <w:rFonts w:ascii="Courier New" w:eastAsia="Courier New" w:hAnsi="Courier New" w:cs="Courier New"/>
      <w:sz w:val="20"/>
      <w:szCs w:val="20"/>
    </w:rPr>
  </w:style>
  <w:style w:type="paragraph" w:styleId="FootnoteText">
    <w:name w:val="footnote text"/>
    <w:basedOn w:val="Normal"/>
    <w:link w:val="FootnoteTextChar"/>
    <w:semiHidden/>
    <w:unhideWhenUsed/>
    <w:rsid w:val="00A377C0"/>
    <w:pPr>
      <w:spacing w:line="480" w:lineRule="auto"/>
    </w:pPr>
  </w:style>
  <w:style w:type="character" w:customStyle="1" w:styleId="FootnoteTextChar">
    <w:name w:val="Footnote Text Char"/>
    <w:basedOn w:val="DefaultParagraphFont"/>
    <w:link w:val="FootnoteText"/>
    <w:semiHidden/>
    <w:rsid w:val="00A377C0"/>
    <w:rPr>
      <w:rFonts w:ascii="Times New Roman" w:eastAsia="Times New Roman" w:hAnsi="Times New Roman" w:cs="Times New Roman"/>
      <w:sz w:val="24"/>
      <w:szCs w:val="20"/>
    </w:rPr>
  </w:style>
  <w:style w:type="paragraph" w:styleId="Title">
    <w:name w:val="Title"/>
    <w:basedOn w:val="Normal"/>
    <w:link w:val="TitleChar"/>
    <w:qFormat/>
    <w:rsid w:val="00A377C0"/>
    <w:pPr>
      <w:jc w:val="center"/>
    </w:pPr>
    <w:rPr>
      <w:b/>
      <w:sz w:val="22"/>
    </w:rPr>
  </w:style>
  <w:style w:type="character" w:customStyle="1" w:styleId="TitleChar">
    <w:name w:val="Title Char"/>
    <w:basedOn w:val="DefaultParagraphFont"/>
    <w:link w:val="Title"/>
    <w:rsid w:val="00A377C0"/>
    <w:rPr>
      <w:rFonts w:ascii="Times New Roman" w:eastAsia="Times New Roman" w:hAnsi="Times New Roman" w:cs="Times New Roman"/>
      <w:b/>
      <w:szCs w:val="20"/>
    </w:rPr>
  </w:style>
  <w:style w:type="character" w:styleId="FootnoteReference">
    <w:name w:val="footnote reference"/>
    <w:semiHidden/>
    <w:unhideWhenUsed/>
    <w:rsid w:val="00A377C0"/>
    <w:rPr>
      <w:vertAlign w:val="superscript"/>
    </w:rPr>
  </w:style>
  <w:style w:type="character" w:customStyle="1" w:styleId="Heading2Char">
    <w:name w:val="Heading 2 Char"/>
    <w:basedOn w:val="DefaultParagraphFont"/>
    <w:link w:val="Heading2"/>
    <w:uiPriority w:val="9"/>
    <w:rsid w:val="00466A5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sid w:val="00466A5F"/>
    <w:rPr>
      <w:rFonts w:ascii="Times New Roman" w:eastAsiaTheme="majorEastAsia" w:hAnsi="Times New Roman" w:cstheme="majorBidi"/>
      <w:b/>
      <w:bCs/>
      <w:sz w:val="24"/>
      <w:szCs w:val="20"/>
    </w:rPr>
  </w:style>
  <w:style w:type="paragraph" w:styleId="Header">
    <w:name w:val="header"/>
    <w:basedOn w:val="Normal"/>
    <w:link w:val="HeaderChar"/>
    <w:uiPriority w:val="99"/>
    <w:unhideWhenUsed/>
    <w:rsid w:val="00B97C24"/>
    <w:pPr>
      <w:tabs>
        <w:tab w:val="center" w:pos="4680"/>
        <w:tab w:val="right" w:pos="9360"/>
      </w:tabs>
    </w:pPr>
  </w:style>
  <w:style w:type="character" w:customStyle="1" w:styleId="HeaderChar">
    <w:name w:val="Header Char"/>
    <w:basedOn w:val="DefaultParagraphFont"/>
    <w:link w:val="Header"/>
    <w:uiPriority w:val="99"/>
    <w:rsid w:val="00B97C24"/>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97C24"/>
    <w:pPr>
      <w:tabs>
        <w:tab w:val="center" w:pos="4680"/>
        <w:tab w:val="right" w:pos="9360"/>
      </w:tabs>
    </w:pPr>
  </w:style>
  <w:style w:type="character" w:customStyle="1" w:styleId="FooterChar">
    <w:name w:val="Footer Char"/>
    <w:basedOn w:val="DefaultParagraphFont"/>
    <w:link w:val="Footer"/>
    <w:uiPriority w:val="99"/>
    <w:rsid w:val="00B97C24"/>
    <w:rPr>
      <w:rFonts w:ascii="Times New Roman" w:eastAsia="Times New Roman" w:hAnsi="Times New Roman" w:cs="Times New Roman"/>
      <w:sz w:val="24"/>
      <w:szCs w:val="20"/>
    </w:rPr>
  </w:style>
  <w:style w:type="character" w:styleId="Hyperlink">
    <w:name w:val="Hyperlink"/>
    <w:uiPriority w:val="99"/>
    <w:rsid w:val="00B97C24"/>
    <w:rPr>
      <w:color w:val="0000FF"/>
      <w:u w:val="single"/>
    </w:rPr>
  </w:style>
  <w:style w:type="paragraph" w:styleId="Date">
    <w:name w:val="Date"/>
    <w:basedOn w:val="Normal"/>
    <w:next w:val="Normal"/>
    <w:link w:val="DateChar"/>
    <w:rsid w:val="00B97C24"/>
  </w:style>
  <w:style w:type="character" w:customStyle="1" w:styleId="DateChar">
    <w:name w:val="Date Char"/>
    <w:basedOn w:val="DefaultParagraphFont"/>
    <w:link w:val="Date"/>
    <w:rsid w:val="00B97C24"/>
    <w:rPr>
      <w:rFonts w:ascii="Times New Roman" w:eastAsia="Times New Roman" w:hAnsi="Times New Roman" w:cs="Times New Roman"/>
      <w:sz w:val="24"/>
      <w:szCs w:val="20"/>
    </w:rPr>
  </w:style>
  <w:style w:type="paragraph" w:customStyle="1" w:styleId="ShortReturnAddress">
    <w:name w:val="Short Return Address"/>
    <w:basedOn w:val="Normal"/>
    <w:rsid w:val="00B97C24"/>
  </w:style>
  <w:style w:type="paragraph" w:styleId="BalloonText">
    <w:name w:val="Balloon Text"/>
    <w:basedOn w:val="Normal"/>
    <w:link w:val="BalloonTextChar"/>
    <w:uiPriority w:val="99"/>
    <w:semiHidden/>
    <w:unhideWhenUsed/>
    <w:rsid w:val="00661D51"/>
    <w:rPr>
      <w:rFonts w:ascii="Tahoma" w:hAnsi="Tahoma" w:cs="Tahoma"/>
      <w:sz w:val="16"/>
      <w:szCs w:val="16"/>
    </w:rPr>
  </w:style>
  <w:style w:type="character" w:customStyle="1" w:styleId="BalloonTextChar">
    <w:name w:val="Balloon Text Char"/>
    <w:basedOn w:val="DefaultParagraphFont"/>
    <w:link w:val="BalloonText"/>
    <w:uiPriority w:val="99"/>
    <w:semiHidden/>
    <w:rsid w:val="00661D5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27544"/>
    <w:rPr>
      <w:sz w:val="16"/>
      <w:szCs w:val="16"/>
    </w:rPr>
  </w:style>
  <w:style w:type="paragraph" w:styleId="CommentText">
    <w:name w:val="annotation text"/>
    <w:basedOn w:val="Normal"/>
    <w:link w:val="CommentTextChar"/>
    <w:uiPriority w:val="99"/>
    <w:semiHidden/>
    <w:unhideWhenUsed/>
    <w:rsid w:val="00727544"/>
    <w:rPr>
      <w:sz w:val="20"/>
    </w:rPr>
  </w:style>
  <w:style w:type="character" w:customStyle="1" w:styleId="CommentTextChar">
    <w:name w:val="Comment Text Char"/>
    <w:basedOn w:val="DefaultParagraphFont"/>
    <w:link w:val="CommentText"/>
    <w:uiPriority w:val="99"/>
    <w:semiHidden/>
    <w:rsid w:val="0072754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544"/>
    <w:rPr>
      <w:b/>
      <w:bCs/>
    </w:rPr>
  </w:style>
  <w:style w:type="character" w:customStyle="1" w:styleId="CommentSubjectChar">
    <w:name w:val="Comment Subject Char"/>
    <w:basedOn w:val="CommentTextChar"/>
    <w:link w:val="CommentSubject"/>
    <w:uiPriority w:val="99"/>
    <w:semiHidden/>
    <w:rsid w:val="0072754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shopson@napower.com" TargetMode="External"/><Relationship Id="rId26" Type="http://schemas.openxmlformats.org/officeDocument/2006/relationships/hyperlink" Target="mailto:smhoward@vorys.com" TargetMode="External"/><Relationship Id="rId39" Type="http://schemas.openxmlformats.org/officeDocument/2006/relationships/hyperlink" Target="mailto:tdobeck@parmalaw.org" TargetMode="External"/><Relationship Id="rId21" Type="http://schemas.openxmlformats.org/officeDocument/2006/relationships/hyperlink" Target="mailto:mhpetricoff@vorys.com" TargetMode="External"/><Relationship Id="rId34" Type="http://schemas.openxmlformats.org/officeDocument/2006/relationships/hyperlink" Target="mailto:Mandy.willey@puc.state.oh.us" TargetMode="External"/><Relationship Id="rId42" Type="http://schemas.openxmlformats.org/officeDocument/2006/relationships/hyperlink" Target="mailto:srantala@energymarketers.com" TargetMode="External"/><Relationship Id="rId47" Type="http://schemas.openxmlformats.org/officeDocument/2006/relationships/hyperlink" Target="mailto:eagleenergy@fuse.net" TargetMode="External"/><Relationship Id="rId50" Type="http://schemas.openxmlformats.org/officeDocument/2006/relationships/hyperlink" Target="mailto:callwein@keglerbrown.com"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gelo@napower.com" TargetMode="External"/><Relationship Id="rId25" Type="http://schemas.openxmlformats.org/officeDocument/2006/relationships/hyperlink" Target="mailto:mberedo@ci.perrysburg.oh.us" TargetMode="External"/><Relationship Id="rId33" Type="http://schemas.openxmlformats.org/officeDocument/2006/relationships/hyperlink" Target="mailto:scasto@firstenergycorp.com" TargetMode="External"/><Relationship Id="rId38" Type="http://schemas.openxmlformats.org/officeDocument/2006/relationships/hyperlink" Target="mailto:mayorsoffice@cityofparma-oh.gov" TargetMode="External"/><Relationship Id="rId46" Type="http://schemas.openxmlformats.org/officeDocument/2006/relationships/hyperlink" Target="mailto:Schmidt@sppgrp.com" TargetMode="External"/><Relationship Id="rId2" Type="http://schemas.openxmlformats.org/officeDocument/2006/relationships/styles" Target="styles.xml"/><Relationship Id="rId16" Type="http://schemas.openxmlformats.org/officeDocument/2006/relationships/hyperlink" Target="mailto:kjoseph@napower.com" TargetMode="External"/><Relationship Id="rId20" Type="http://schemas.openxmlformats.org/officeDocument/2006/relationships/hyperlink" Target="mailto:cmooney@ohiopartners.org" TargetMode="External"/><Relationship Id="rId29" Type="http://schemas.openxmlformats.org/officeDocument/2006/relationships/hyperlink" Target="mailto:joliker@igsenergy.com" TargetMode="External"/><Relationship Id="rId41" Type="http://schemas.openxmlformats.org/officeDocument/2006/relationships/hyperlink" Target="mailto:cgoodman@energymarketers.com"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dstinson@bricker.com" TargetMode="External"/><Relationship Id="rId32" Type="http://schemas.openxmlformats.org/officeDocument/2006/relationships/hyperlink" Target="mailto:jmcdermott@firstenergycorp.com" TargetMode="External"/><Relationship Id="rId37" Type="http://schemas.openxmlformats.org/officeDocument/2006/relationships/hyperlink" Target="mailto:jkylercohn@BKLlawfirm.com" TargetMode="External"/><Relationship Id="rId40" Type="http://schemas.openxmlformats.org/officeDocument/2006/relationships/hyperlink" Target="mailto:jmills@city.cleveland.oh.us" TargetMode="External"/><Relationship Id="rId45" Type="http://schemas.openxmlformats.org/officeDocument/2006/relationships/hyperlink" Target="mailto:mohler@carpenterlipps.com" TargetMode="External"/><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William.wright@puc.state.oh.us" TargetMode="External"/><Relationship Id="rId23" Type="http://schemas.openxmlformats.org/officeDocument/2006/relationships/hyperlink" Target="mailto:gkrassen@bricker.com" TargetMode="External"/><Relationship Id="rId28" Type="http://schemas.openxmlformats.org/officeDocument/2006/relationships/hyperlink" Target="mailto:LESLIE.KOVACIK@toledo.oh.gov" TargetMode="External"/><Relationship Id="rId36" Type="http://schemas.openxmlformats.org/officeDocument/2006/relationships/hyperlink" Target="mailto:mkurtz@BKLlawfirm.com" TargetMode="External"/><Relationship Id="rId49" Type="http://schemas.openxmlformats.org/officeDocument/2006/relationships/hyperlink" Target="mailto:mkimbrough@keglerbrown.com" TargetMode="External"/><Relationship Id="rId10" Type="http://schemas.openxmlformats.org/officeDocument/2006/relationships/footer" Target="footer1.xml"/><Relationship Id="rId19" Type="http://schemas.openxmlformats.org/officeDocument/2006/relationships/hyperlink" Target="mailto:arobinson@napower.com" TargetMode="External"/><Relationship Id="rId31" Type="http://schemas.openxmlformats.org/officeDocument/2006/relationships/hyperlink" Target="mailto:haydenm@firstenergycorp.com" TargetMode="External"/><Relationship Id="rId44" Type="http://schemas.openxmlformats.org/officeDocument/2006/relationships/hyperlink" Target="mailto:ghiloni@carpenterlipps.com" TargetMode="External"/><Relationship Id="rId52" Type="http://schemas.openxmlformats.org/officeDocument/2006/relationships/hyperlink" Target="mailto:anita.lewis@championenergyservices.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odi.bair@occ.ohio.gov" TargetMode="External"/><Relationship Id="rId22" Type="http://schemas.openxmlformats.org/officeDocument/2006/relationships/hyperlink" Target="mailto:glpetrucci@vorys.com" TargetMode="External"/><Relationship Id="rId27" Type="http://schemas.openxmlformats.org/officeDocument/2006/relationships/hyperlink" Target="mailto:trhayslaw@gmail.com" TargetMode="External"/><Relationship Id="rId30" Type="http://schemas.openxmlformats.org/officeDocument/2006/relationships/hyperlink" Target="mailto:mswhite@igsenergy.com" TargetMode="External"/><Relationship Id="rId35" Type="http://schemas.openxmlformats.org/officeDocument/2006/relationships/hyperlink" Target="mailto:dboehm@BKLlawfirm.com" TargetMode="External"/><Relationship Id="rId43" Type="http://schemas.openxmlformats.org/officeDocument/2006/relationships/hyperlink" Target="mailto:Bojko@carpenterlipps.com" TargetMode="External"/><Relationship Id="rId48" Type="http://schemas.openxmlformats.org/officeDocument/2006/relationships/hyperlink" Target="mailto:judi.sobecki@aes.com" TargetMode="Externa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mailto:lrussell@aarp.org"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2054</Words>
  <Characters>12077</Characters>
  <Application>Microsoft Office Word</Application>
  <DocSecurity>0</DocSecurity>
  <Lines>276</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14112</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2015-12-28T17:04:00Z</cp:lastPrinted>
  <dcterms:created xsi:type="dcterms:W3CDTF">2015-12-28T19:44:00Z</dcterms:created>
  <dcterms:modified xsi:type="dcterms:W3CDTF">2015-12-28T19:44:00Z</dcterms:modified>
  <cp:category> </cp:category>
  <cp:contentStatus> </cp:contentStatus>
</cp:coreProperties>
</file>