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F4EA1" w:rsidRPr="00BE3FD7" w:rsidP="009F4EA1">
      <w:pPr>
        <w:tabs>
          <w:tab w:val="left" w:pos="0"/>
          <w:tab w:val="left" w:pos="720"/>
        </w:tabs>
        <w:spacing w:after="0" w:line="240" w:lineRule="auto"/>
        <w:jc w:val="center"/>
        <w:rPr>
          <w:rFonts w:ascii="Times New Roman" w:eastAsia="Times New Roman" w:hAnsi="Times New Roman" w:cs="Times New Roman"/>
          <w:b/>
          <w:sz w:val="24"/>
          <w:szCs w:val="24"/>
        </w:rPr>
      </w:pPr>
      <w:bookmarkStart w:id="0" w:name="_GoBack"/>
      <w:bookmarkEnd w:id="0"/>
      <w:r w:rsidRPr="00BE3FD7">
        <w:rPr>
          <w:rFonts w:ascii="Times New Roman" w:eastAsia="Times New Roman" w:hAnsi="Times New Roman" w:cs="Times New Roman"/>
          <w:b/>
          <w:sz w:val="24"/>
          <w:szCs w:val="24"/>
        </w:rPr>
        <w:t>BEFORE</w:t>
      </w:r>
    </w:p>
    <w:p w:rsidR="009F4EA1" w:rsidRPr="00BE3FD7" w:rsidP="009F4EA1">
      <w:pPr>
        <w:tabs>
          <w:tab w:val="left" w:pos="0"/>
          <w:tab w:val="left" w:pos="720"/>
        </w:tabs>
        <w:spacing w:after="0" w:line="240" w:lineRule="auto"/>
        <w:jc w:val="center"/>
        <w:rPr>
          <w:rFonts w:ascii="Times New Roman" w:eastAsia="Times New Roman" w:hAnsi="Times New Roman" w:cs="Times New Roman"/>
          <w:b/>
          <w:sz w:val="24"/>
          <w:szCs w:val="24"/>
        </w:rPr>
      </w:pPr>
      <w:r w:rsidRPr="00BE3FD7">
        <w:rPr>
          <w:rFonts w:ascii="Times New Roman" w:eastAsia="Times New Roman" w:hAnsi="Times New Roman" w:cs="Times New Roman"/>
          <w:b/>
          <w:sz w:val="24"/>
          <w:szCs w:val="24"/>
        </w:rPr>
        <w:t>THE PUBLIC UTILITIES COMMISSION OF OHIO</w:t>
      </w:r>
    </w:p>
    <w:p w:rsidR="009F4EA1" w:rsidRPr="00BE3FD7" w:rsidP="009F4EA1">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9F4EA1">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In the Matter of the Application of Ohio Edison Company, The Cleveland Electric Illuminating Company and The Toledo Edison Company for Authority to Provide a Standard Service Offer Pursuant to R.C. § 4928.143 in the Form of an Electric Security Plan.</w:t>
            </w:r>
          </w:p>
        </w:tc>
        <w:tc>
          <w:tcPr>
            <w:tcW w:w="360" w:type="dxa"/>
            <w:shd w:val="clear" w:color="auto" w:fill="auto"/>
          </w:tcPr>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tc>
        <w:tc>
          <w:tcPr>
            <w:tcW w:w="4400" w:type="dxa"/>
            <w:shd w:val="clear" w:color="auto" w:fill="auto"/>
          </w:tcPr>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Case No. 14-1297-EL-SSO</w:t>
            </w:r>
          </w:p>
        </w:tc>
      </w:tr>
    </w:tbl>
    <w:p w:rsidR="009F4EA1" w:rsidRPr="00BE3FD7" w:rsidP="009F4EA1">
      <w:pPr>
        <w:pBdr>
          <w:bottom w:val="single" w:sz="12" w:space="1" w:color="auto"/>
        </w:pBdr>
        <w:spacing w:after="0" w:line="240" w:lineRule="auto"/>
        <w:jc w:val="center"/>
        <w:rPr>
          <w:rFonts w:ascii="Times New Roman" w:eastAsia="Times New Roman" w:hAnsi="Times New Roman" w:cs="Times New Roman"/>
          <w:sz w:val="24"/>
          <w:szCs w:val="24"/>
        </w:rPr>
      </w:pPr>
    </w:p>
    <w:p w:rsidR="009F4EA1" w:rsidRPr="00BE3FD7" w:rsidP="009F4EA1">
      <w:pPr>
        <w:pBdr>
          <w:top w:val="single" w:sz="4" w:space="1" w:color="auto"/>
        </w:pBdr>
        <w:spacing w:line="240" w:lineRule="auto"/>
        <w:jc w:val="center"/>
        <w:rPr>
          <w:rFonts w:ascii="Times New Roman" w:hAnsi="Times New Roman" w:cs="Times New Roman"/>
          <w:b/>
          <w:sz w:val="24"/>
          <w:szCs w:val="24"/>
        </w:rPr>
      </w:pPr>
    </w:p>
    <w:p w:rsidR="009F4EA1" w:rsidRPr="00BE3FD7" w:rsidP="009F4EA1">
      <w:pPr>
        <w:pBdr>
          <w:top w:val="single" w:sz="4" w:space="1" w:color="auto"/>
        </w:pBd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MEMORANDUM CONTRA</w:t>
      </w:r>
    </w:p>
    <w:p w:rsidR="009F4EA1" w:rsidRPr="00BE3FD7" w:rsidP="009F4EA1">
      <w:pPr>
        <w:pBdr>
          <w:top w:val="single" w:sz="4" w:space="1" w:color="auto"/>
        </w:pBd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APPLICATIONS FOR REHEARING</w:t>
      </w:r>
    </w:p>
    <w:p w:rsidR="009F4EA1" w:rsidRPr="00BE3FD7" w:rsidP="009F4EA1">
      <w:pP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BY</w:t>
      </w:r>
    </w:p>
    <w:p w:rsidR="009F4EA1" w:rsidRPr="00BE3FD7" w:rsidP="009F4EA1">
      <w:pP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THE OFFICE OF THE OHIO CONSUMERS’ COUNSEL AND THE NORTHWEST OHIO AGGREGATION COALITION AND</w:t>
      </w:r>
    </w:p>
    <w:p w:rsidR="009F4EA1" w:rsidRPr="00BE3FD7" w:rsidP="009F4EA1">
      <w:pP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NOAC COMMUNITIES INDIVIDUALLY</w:t>
      </w:r>
    </w:p>
    <w:p w:rsidR="009F4EA1" w:rsidRPr="00BE3FD7" w:rsidP="009F4EA1">
      <w:pPr>
        <w:pBdr>
          <w:bottom w:val="single" w:sz="12" w:space="1" w:color="auto"/>
        </w:pBdr>
        <w:spacing w:after="0" w:line="240" w:lineRule="auto"/>
        <w:jc w:val="center"/>
        <w:rPr>
          <w:rFonts w:ascii="Times New Roman" w:eastAsia="Times New Roman" w:hAnsi="Times New Roman" w:cs="Times New Roman"/>
          <w:b/>
          <w:sz w:val="24"/>
          <w:szCs w:val="24"/>
        </w:rPr>
      </w:pPr>
    </w:p>
    <w:p w:rsidR="009F4EA1" w:rsidRPr="00BE3FD7" w:rsidP="009F4EA1">
      <w:pPr>
        <w:tabs>
          <w:tab w:val="left" w:pos="0"/>
          <w:tab w:val="left" w:pos="720"/>
        </w:tabs>
        <w:spacing w:after="0" w:line="240" w:lineRule="auto"/>
        <w:rPr>
          <w:rFonts w:ascii="Times New Roman" w:eastAsia="Times New Roman" w:hAnsi="Times New Roman" w:cs="Times New Roman"/>
          <w:b/>
          <w:sz w:val="24"/>
          <w:szCs w:val="24"/>
        </w:rPr>
      </w:pPr>
    </w:p>
    <w:p w:rsidR="009F4EA1" w:rsidRPr="00BE3FD7" w:rsidP="009F4EA1">
      <w:pPr>
        <w:tabs>
          <w:tab w:val="left" w:pos="0"/>
          <w:tab w:val="left" w:pos="720"/>
        </w:tabs>
        <w:spacing w:after="0" w:line="240" w:lineRule="auto"/>
        <w:rPr>
          <w:rFonts w:ascii="Times New Roman" w:hAnsi="Times New Roman" w:cs="Times New Roman"/>
          <w:sz w:val="24"/>
          <w:szCs w:val="24"/>
        </w:rPr>
      </w:pPr>
      <w:r w:rsidRPr="00BE3FD7">
        <w:rPr>
          <w:rFonts w:ascii="Times New Roman" w:eastAsia="Times New Roman" w:hAnsi="Times New Roman" w:cs="Times New Roman"/>
          <w:b/>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t>BRUCE WESTON (0016973)</w:t>
      </w:r>
    </w:p>
    <w:p w:rsidR="009F4EA1" w:rsidRPr="00BE3FD7" w:rsidP="009F4EA1">
      <w:pPr>
        <w:pStyle w:val="Footer"/>
        <w:tabs>
          <w:tab w:val="left" w:pos="4320"/>
          <w:tab w:val="clear" w:pos="8640"/>
        </w:tabs>
        <w:contextualSpacing/>
      </w:pPr>
      <w:r w:rsidRPr="00BE3FD7">
        <w:tab/>
        <w:t>OHIO CONSUMERS’ COUNSEL</w:t>
      </w:r>
    </w:p>
    <w:p w:rsidR="009F4EA1" w:rsidRPr="00BE3FD7" w:rsidP="009F4EA1">
      <w:pPr>
        <w:tabs>
          <w:tab w:val="left" w:pos="4230"/>
          <w:tab w:val="left" w:pos="4320"/>
        </w:tabs>
        <w:spacing w:after="0" w:line="240" w:lineRule="auto"/>
        <w:ind w:left="4320"/>
        <w:contextualSpacing/>
        <w:rPr>
          <w:rFonts w:ascii="Times New Roman" w:hAnsi="Times New Roman" w:cs="Times New Roman"/>
          <w:sz w:val="24"/>
          <w:szCs w:val="24"/>
        </w:rPr>
      </w:pPr>
    </w:p>
    <w:p w:rsidR="009F4EA1" w:rsidRPr="00BE3FD7" w:rsidP="009F4EA1">
      <w:pPr>
        <w:tabs>
          <w:tab w:val="left" w:pos="4230"/>
        </w:tabs>
        <w:spacing w:after="0" w:line="240" w:lineRule="auto"/>
        <w:ind w:left="4320"/>
        <w:contextualSpacing/>
        <w:rPr>
          <w:rFonts w:ascii="Times New Roman" w:hAnsi="Times New Roman" w:cs="Times New Roman"/>
          <w:sz w:val="24"/>
          <w:szCs w:val="24"/>
        </w:rPr>
      </w:pPr>
      <w:r w:rsidRPr="00BE3FD7">
        <w:rPr>
          <w:rFonts w:ascii="Times New Roman" w:hAnsi="Times New Roman" w:cs="Times New Roman"/>
          <w:sz w:val="24"/>
          <w:szCs w:val="24"/>
        </w:rPr>
        <w:t>Larry S. Sauer (0039223)</w:t>
      </w:r>
    </w:p>
    <w:p w:rsidR="009F4EA1" w:rsidP="009F4EA1">
      <w:pPr>
        <w:tabs>
          <w:tab w:val="left" w:pos="4230"/>
        </w:tabs>
        <w:spacing w:after="0" w:line="240" w:lineRule="auto"/>
        <w:ind w:left="4320"/>
        <w:contextualSpacing/>
        <w:rPr>
          <w:rFonts w:ascii="Times New Roman" w:hAnsi="Times New Roman" w:cs="Times New Roman"/>
          <w:sz w:val="24"/>
          <w:szCs w:val="24"/>
        </w:rPr>
      </w:pPr>
      <w:r w:rsidRPr="00BE3FD7">
        <w:rPr>
          <w:rFonts w:ascii="Times New Roman" w:hAnsi="Times New Roman" w:cs="Times New Roman"/>
          <w:sz w:val="24"/>
          <w:szCs w:val="24"/>
        </w:rPr>
        <w:t>Counsel of Record</w:t>
      </w:r>
    </w:p>
    <w:p w:rsidR="00AB39DC" w:rsidRPr="00BE3FD7" w:rsidP="009F4EA1">
      <w:pPr>
        <w:tabs>
          <w:tab w:val="left" w:pos="4230"/>
        </w:tabs>
        <w:spacing w:after="0" w:line="240" w:lineRule="auto"/>
        <w:ind w:left="4320"/>
        <w:contextualSpacing/>
        <w:rPr>
          <w:rFonts w:ascii="Times New Roman" w:hAnsi="Times New Roman" w:cs="Times New Roman"/>
          <w:sz w:val="24"/>
          <w:szCs w:val="24"/>
        </w:rPr>
      </w:pPr>
      <w:r>
        <w:rPr>
          <w:rFonts w:ascii="Times New Roman" w:hAnsi="Times New Roman" w:cs="Times New Roman"/>
          <w:sz w:val="24"/>
          <w:szCs w:val="24"/>
        </w:rPr>
        <w:t>Deputy Consumers’ Counsel</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Maureen R. Willis (0020847)</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William J. Michael (0070921)</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Kevin F. Moore (0089228)</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Ajay Kumar (0092208)</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Assistant Consumers’ Counsel</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p>
    <w:p w:rsidR="009F4EA1" w:rsidRPr="00BE3FD7" w:rsidP="009F4EA1">
      <w:pPr>
        <w:autoSpaceDE w:val="0"/>
        <w:autoSpaceDN w:val="0"/>
        <w:adjustRightInd w:val="0"/>
        <w:spacing w:after="0" w:line="240" w:lineRule="auto"/>
        <w:ind w:left="4320"/>
        <w:rPr>
          <w:rFonts w:ascii="Times New Roman" w:hAnsi="Times New Roman" w:cs="Times New Roman"/>
          <w:b/>
          <w:sz w:val="24"/>
          <w:szCs w:val="24"/>
        </w:rPr>
      </w:pPr>
      <w:r w:rsidRPr="00BE3FD7">
        <w:rPr>
          <w:rFonts w:ascii="Times New Roman" w:hAnsi="Times New Roman" w:cs="Times New Roman"/>
          <w:b/>
          <w:sz w:val="24"/>
          <w:szCs w:val="24"/>
        </w:rPr>
        <w:t>Office of the Ohio Consumers’ Counsel</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10 West Broad Street, Suite 1800</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Columbus, Ohio 43215-3485</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[Sauer]: (614) 466-1312</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[Willis]: (614) 466-9567</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[Michael]: (614) 466-1291</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[Moore]: (614) 387-2965</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[Kumar]: (614) 466-1292</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"mailto:Larry.sauer@occ.ohio.gov" </w:instrText>
      </w:r>
      <w:r>
        <w:fldChar w:fldCharType="separate"/>
      </w:r>
      <w:r w:rsidRPr="00BE3FD7" w:rsidR="007508A1">
        <w:rPr>
          <w:rStyle w:val="Hyperlink"/>
          <w:rFonts w:ascii="Times New Roman" w:hAnsi="Times New Roman" w:cs="Times New Roman"/>
          <w:color w:val="auto"/>
          <w:sz w:val="24"/>
          <w:szCs w:val="24"/>
        </w:rPr>
        <w:t>Larry.sauer@occ.ohio.gov</w:t>
      </w:r>
      <w:r>
        <w:fldChar w:fldCharType="end"/>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"mailto:Maureen.willis@occ.ohio.gov" </w:instrText>
      </w:r>
      <w:r>
        <w:fldChar w:fldCharType="separate"/>
      </w:r>
      <w:r w:rsidRPr="00BE3FD7" w:rsidR="007508A1">
        <w:rPr>
          <w:rStyle w:val="Hyperlink"/>
          <w:rFonts w:ascii="Times New Roman" w:hAnsi="Times New Roman" w:cs="Times New Roman"/>
          <w:color w:val="auto"/>
          <w:sz w:val="24"/>
          <w:szCs w:val="24"/>
        </w:rPr>
        <w:t>Maureen.willis@occ.ohio.gov</w:t>
      </w:r>
      <w:r>
        <w:fldChar w:fldCharType="end"/>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BE3FD7" w:rsidR="007508A1">
        <w:rPr>
          <w:rStyle w:val="Hyperlink"/>
          <w:rFonts w:ascii="Times New Roman" w:hAnsi="Times New Roman" w:cs="Times New Roman"/>
          <w:color w:val="auto"/>
          <w:sz w:val="24"/>
          <w:szCs w:val="24"/>
        </w:rPr>
        <w:t>William.michael@occ.ohio.gov</w:t>
      </w:r>
      <w:r>
        <w:fldChar w:fldCharType="end"/>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"mailto:Kevin.moore@occ.ohio.gov" </w:instrText>
      </w:r>
      <w:r>
        <w:fldChar w:fldCharType="separate"/>
      </w:r>
      <w:r w:rsidRPr="00BE3FD7" w:rsidR="007508A1">
        <w:rPr>
          <w:rStyle w:val="Hyperlink"/>
          <w:rFonts w:ascii="Times New Roman" w:hAnsi="Times New Roman" w:cs="Times New Roman"/>
          <w:color w:val="auto"/>
          <w:sz w:val="24"/>
          <w:szCs w:val="24"/>
        </w:rPr>
        <w:t>Kevin.moore@occ.ohio.gov</w:t>
      </w:r>
      <w:r>
        <w:fldChar w:fldCharType="end"/>
      </w:r>
    </w:p>
    <w:p w:rsidR="009F4EA1" w:rsidRPr="00BE3FD7" w:rsidP="009F4EA1">
      <w:pPr>
        <w:autoSpaceDE w:val="0"/>
        <w:autoSpaceDN w:val="0"/>
        <w:adjustRightInd w:val="0"/>
        <w:spacing w:after="0" w:line="240" w:lineRule="auto"/>
        <w:ind w:left="4320"/>
        <w:rPr>
          <w:rStyle w:val="Hyperlink"/>
          <w:rFonts w:ascii="Times New Roman" w:hAnsi="Times New Roman" w:cs="Times New Roman"/>
          <w:color w:val="auto"/>
          <w:sz w:val="24"/>
          <w:szCs w:val="24"/>
        </w:rPr>
      </w:pPr>
      <w:r>
        <w:fldChar w:fldCharType="begin"/>
      </w:r>
      <w:r>
        <w:instrText xml:space="preserve"> HYPERLINK "mailto:Ajay.kumar@occ.ohio.gov" </w:instrText>
      </w:r>
      <w:r>
        <w:fldChar w:fldCharType="separate"/>
      </w:r>
      <w:r w:rsidRPr="00BE3FD7" w:rsidR="007508A1">
        <w:rPr>
          <w:rStyle w:val="Hyperlink"/>
          <w:rFonts w:ascii="Times New Roman" w:hAnsi="Times New Roman" w:cs="Times New Roman"/>
          <w:color w:val="auto"/>
          <w:sz w:val="24"/>
          <w:szCs w:val="24"/>
        </w:rPr>
        <w:t>Ajay.kumar@occ.ohio.gov</w:t>
      </w:r>
      <w:r>
        <w:fldChar w:fldCharType="end"/>
      </w:r>
    </w:p>
    <w:p w:rsidR="009F4EA1" w:rsidRPr="00BE3FD7" w:rsidP="009F4EA1">
      <w:pPr>
        <w:spacing w:after="0" w:line="240" w:lineRule="auto"/>
        <w:ind w:left="4320"/>
        <w:rPr>
          <w:rFonts w:ascii="Times New Roman" w:hAnsi="Times New Roman" w:cs="Times New Roman"/>
          <w:spacing w:val="26"/>
          <w:w w:val="99"/>
          <w:sz w:val="24"/>
          <w:szCs w:val="24"/>
        </w:rPr>
      </w:pPr>
      <w:r w:rsidRPr="00BE3FD7">
        <w:rPr>
          <w:rFonts w:ascii="Times New Roman" w:hAnsi="Times New Roman" w:cs="Times New Roman"/>
          <w:spacing w:val="-1"/>
          <w:sz w:val="24"/>
          <w:szCs w:val="24"/>
        </w:rPr>
        <w:br w:type="page"/>
      </w:r>
      <w:r w:rsidRPr="00BE3FD7">
        <w:rPr>
          <w:rFonts w:ascii="Times New Roman" w:hAnsi="Times New Roman" w:cs="Times New Roman"/>
          <w:spacing w:val="-1"/>
          <w:sz w:val="24"/>
          <w:szCs w:val="24"/>
        </w:rPr>
        <w:t>Thomas</w:t>
      </w:r>
      <w:r w:rsidRPr="00BE3FD7">
        <w:rPr>
          <w:rFonts w:ascii="Times New Roman" w:hAnsi="Times New Roman" w:cs="Times New Roman"/>
          <w:spacing w:val="-9"/>
          <w:sz w:val="24"/>
          <w:szCs w:val="24"/>
        </w:rPr>
        <w:t xml:space="preserve"> </w:t>
      </w:r>
      <w:r w:rsidRPr="00BE3FD7">
        <w:rPr>
          <w:rFonts w:ascii="Times New Roman" w:hAnsi="Times New Roman" w:cs="Times New Roman"/>
          <w:sz w:val="24"/>
          <w:szCs w:val="24"/>
        </w:rPr>
        <w:t>R.</w:t>
      </w:r>
      <w:r w:rsidRPr="00BE3FD7">
        <w:rPr>
          <w:rFonts w:ascii="Times New Roman" w:hAnsi="Times New Roman" w:cs="Times New Roman"/>
          <w:spacing w:val="-8"/>
          <w:sz w:val="24"/>
          <w:szCs w:val="24"/>
        </w:rPr>
        <w:t xml:space="preserve"> </w:t>
      </w:r>
      <w:r w:rsidRPr="00BE3FD7">
        <w:rPr>
          <w:rFonts w:ascii="Times New Roman" w:hAnsi="Times New Roman" w:cs="Times New Roman"/>
          <w:spacing w:val="-1"/>
          <w:sz w:val="24"/>
          <w:szCs w:val="24"/>
        </w:rPr>
        <w:t>Hays</w:t>
      </w:r>
      <w:r w:rsidRPr="00BE3FD7">
        <w:rPr>
          <w:rFonts w:ascii="Times New Roman" w:hAnsi="Times New Roman" w:cs="Times New Roman"/>
          <w:spacing w:val="-7"/>
          <w:sz w:val="24"/>
          <w:szCs w:val="24"/>
        </w:rPr>
        <w:t xml:space="preserve"> </w:t>
      </w:r>
      <w:r w:rsidRPr="00BE3FD7">
        <w:rPr>
          <w:rFonts w:ascii="Times New Roman" w:hAnsi="Times New Roman" w:cs="Times New Roman"/>
          <w:sz w:val="24"/>
          <w:szCs w:val="24"/>
        </w:rPr>
        <w:t>(0054062),</w:t>
      </w:r>
      <w:r w:rsidRPr="00BE3FD7">
        <w:rPr>
          <w:rFonts w:ascii="Times New Roman" w:hAnsi="Times New Roman" w:cs="Times New Roman"/>
          <w:spacing w:val="26"/>
          <w:w w:val="99"/>
          <w:sz w:val="24"/>
          <w:szCs w:val="24"/>
        </w:rPr>
        <w:t xml:space="preserve"> </w:t>
      </w:r>
    </w:p>
    <w:p w:rsidR="009F4EA1" w:rsidRPr="00BE3FD7" w:rsidP="009F4EA1">
      <w:pPr>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Counsel</w:t>
      </w:r>
      <w:r w:rsidRPr="00BE3FD7">
        <w:rPr>
          <w:rFonts w:ascii="Times New Roman" w:hAnsi="Times New Roman" w:cs="Times New Roman"/>
          <w:spacing w:val="-9"/>
          <w:sz w:val="24"/>
          <w:szCs w:val="24"/>
        </w:rPr>
        <w:t xml:space="preserve"> </w:t>
      </w:r>
      <w:r w:rsidRPr="00BE3FD7">
        <w:rPr>
          <w:rFonts w:ascii="Times New Roman" w:hAnsi="Times New Roman" w:cs="Times New Roman"/>
          <w:sz w:val="24"/>
          <w:szCs w:val="24"/>
        </w:rPr>
        <w:t>of</w:t>
      </w:r>
      <w:r w:rsidRPr="00BE3FD7">
        <w:rPr>
          <w:rFonts w:ascii="Times New Roman" w:hAnsi="Times New Roman" w:cs="Times New Roman"/>
          <w:spacing w:val="-9"/>
          <w:sz w:val="24"/>
          <w:szCs w:val="24"/>
        </w:rPr>
        <w:t xml:space="preserve"> </w:t>
      </w:r>
      <w:r w:rsidRPr="00BE3FD7">
        <w:rPr>
          <w:rFonts w:ascii="Times New Roman" w:hAnsi="Times New Roman" w:cs="Times New Roman"/>
          <w:spacing w:val="-1"/>
          <w:sz w:val="24"/>
          <w:szCs w:val="24"/>
        </w:rPr>
        <w:t>Record</w:t>
      </w:r>
    </w:p>
    <w:p w:rsidR="009F4EA1" w:rsidRPr="00BE3FD7" w:rsidP="009F4EA1">
      <w:pPr>
        <w:pStyle w:val="BodyText"/>
        <w:spacing w:after="0" w:line="240" w:lineRule="auto"/>
        <w:ind w:left="4320" w:right="1384"/>
        <w:rPr>
          <w:rFonts w:ascii="Times New Roman" w:hAnsi="Times New Roman" w:cs="Times New Roman"/>
          <w:sz w:val="24"/>
          <w:szCs w:val="24"/>
        </w:rPr>
      </w:pPr>
      <w:r w:rsidRPr="00BE3FD7">
        <w:rPr>
          <w:rFonts w:ascii="Times New Roman" w:hAnsi="Times New Roman" w:cs="Times New Roman"/>
          <w:spacing w:val="-1"/>
          <w:sz w:val="24"/>
          <w:szCs w:val="24"/>
        </w:rPr>
        <w:t>For</w:t>
      </w:r>
      <w:r w:rsidRPr="00BE3FD7">
        <w:rPr>
          <w:rFonts w:ascii="Times New Roman" w:hAnsi="Times New Roman" w:cs="Times New Roman"/>
          <w:spacing w:val="-8"/>
          <w:sz w:val="24"/>
          <w:szCs w:val="24"/>
        </w:rPr>
        <w:t xml:space="preserve"> </w:t>
      </w:r>
      <w:r w:rsidRPr="00BE3FD7">
        <w:rPr>
          <w:rFonts w:ascii="Times New Roman" w:hAnsi="Times New Roman" w:cs="Times New Roman"/>
          <w:sz w:val="24"/>
          <w:szCs w:val="24"/>
        </w:rPr>
        <w:t>NOAC</w:t>
      </w:r>
      <w:r w:rsidRPr="00BE3FD7">
        <w:rPr>
          <w:rFonts w:ascii="Times New Roman" w:hAnsi="Times New Roman" w:cs="Times New Roman"/>
          <w:spacing w:val="-6"/>
          <w:sz w:val="24"/>
          <w:szCs w:val="24"/>
        </w:rPr>
        <w:t xml:space="preserve"> </w:t>
      </w:r>
      <w:r w:rsidRPr="00BE3FD7">
        <w:rPr>
          <w:rFonts w:ascii="Times New Roman" w:hAnsi="Times New Roman" w:cs="Times New Roman"/>
          <w:spacing w:val="-1"/>
          <w:sz w:val="24"/>
          <w:szCs w:val="24"/>
        </w:rPr>
        <w:t>and</w:t>
      </w:r>
      <w:r w:rsidRPr="00BE3FD7">
        <w:rPr>
          <w:rFonts w:ascii="Times New Roman" w:hAnsi="Times New Roman" w:cs="Times New Roman"/>
          <w:spacing w:val="-6"/>
          <w:sz w:val="24"/>
          <w:szCs w:val="24"/>
        </w:rPr>
        <w:t xml:space="preserve"> </w:t>
      </w:r>
      <w:r w:rsidRPr="00BE3FD7">
        <w:rPr>
          <w:rFonts w:ascii="Times New Roman" w:hAnsi="Times New Roman" w:cs="Times New Roman"/>
          <w:sz w:val="24"/>
          <w:szCs w:val="24"/>
        </w:rPr>
        <w:t>the</w:t>
      </w:r>
      <w:r w:rsidRPr="00BE3FD7">
        <w:rPr>
          <w:rFonts w:ascii="Times New Roman" w:hAnsi="Times New Roman" w:cs="Times New Roman"/>
          <w:spacing w:val="-6"/>
          <w:sz w:val="24"/>
          <w:szCs w:val="24"/>
        </w:rPr>
        <w:t xml:space="preserve"> </w:t>
      </w:r>
      <w:r w:rsidRPr="00BE3FD7">
        <w:rPr>
          <w:rFonts w:ascii="Times New Roman" w:hAnsi="Times New Roman" w:cs="Times New Roman"/>
          <w:spacing w:val="-1"/>
          <w:sz w:val="24"/>
          <w:szCs w:val="24"/>
        </w:rPr>
        <w:t>Individual</w:t>
      </w:r>
      <w:r w:rsidRPr="00BE3FD7">
        <w:rPr>
          <w:rFonts w:ascii="Times New Roman" w:hAnsi="Times New Roman" w:cs="Times New Roman"/>
          <w:spacing w:val="23"/>
          <w:w w:val="99"/>
          <w:sz w:val="24"/>
          <w:szCs w:val="24"/>
        </w:rPr>
        <w:t xml:space="preserve"> </w:t>
      </w:r>
      <w:r w:rsidRPr="00BE3FD7">
        <w:rPr>
          <w:rFonts w:ascii="Times New Roman" w:hAnsi="Times New Roman" w:cs="Times New Roman"/>
          <w:sz w:val="24"/>
          <w:szCs w:val="24"/>
        </w:rPr>
        <w:t>Communities</w:t>
      </w:r>
    </w:p>
    <w:p w:rsidR="009F4EA1" w:rsidRPr="00BE3FD7" w:rsidP="009F4EA1">
      <w:pPr>
        <w:pStyle w:val="BodyText"/>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8355</w:t>
      </w:r>
      <w:r w:rsidRPr="00BE3FD7">
        <w:rPr>
          <w:rFonts w:ascii="Times New Roman" w:hAnsi="Times New Roman" w:cs="Times New Roman"/>
          <w:spacing w:val="-6"/>
          <w:sz w:val="24"/>
          <w:szCs w:val="24"/>
        </w:rPr>
        <w:t xml:space="preserve"> </w:t>
      </w:r>
      <w:r w:rsidRPr="00BE3FD7">
        <w:rPr>
          <w:rFonts w:ascii="Times New Roman" w:hAnsi="Times New Roman" w:cs="Times New Roman"/>
          <w:spacing w:val="-2"/>
          <w:sz w:val="24"/>
          <w:szCs w:val="24"/>
        </w:rPr>
        <w:t>Island</w:t>
      </w:r>
      <w:r w:rsidRPr="00BE3FD7">
        <w:rPr>
          <w:rFonts w:ascii="Times New Roman" w:hAnsi="Times New Roman" w:cs="Times New Roman"/>
          <w:spacing w:val="-3"/>
          <w:sz w:val="24"/>
          <w:szCs w:val="24"/>
        </w:rPr>
        <w:t xml:space="preserve"> </w:t>
      </w:r>
      <w:r w:rsidRPr="00BE3FD7">
        <w:rPr>
          <w:rFonts w:ascii="Times New Roman" w:hAnsi="Times New Roman" w:cs="Times New Roman"/>
          <w:spacing w:val="-1"/>
          <w:sz w:val="24"/>
          <w:szCs w:val="24"/>
        </w:rPr>
        <w:t>Lane</w:t>
      </w:r>
    </w:p>
    <w:p w:rsidR="009F4EA1" w:rsidRPr="00BE3FD7" w:rsidP="009F4EA1">
      <w:pPr>
        <w:pStyle w:val="BodyText"/>
        <w:spacing w:after="0" w:line="240" w:lineRule="auto"/>
        <w:ind w:left="4320"/>
        <w:rPr>
          <w:rFonts w:ascii="Times New Roman" w:hAnsi="Times New Roman" w:cs="Times New Roman"/>
          <w:sz w:val="24"/>
          <w:szCs w:val="24"/>
        </w:rPr>
      </w:pPr>
      <w:r w:rsidRPr="00BE3FD7">
        <w:rPr>
          <w:rFonts w:ascii="Times New Roman" w:hAnsi="Times New Roman" w:cs="Times New Roman"/>
          <w:spacing w:val="-1"/>
          <w:sz w:val="24"/>
          <w:szCs w:val="24"/>
        </w:rPr>
        <w:t>Maineville,</w:t>
      </w:r>
      <w:r w:rsidRPr="00BE3FD7">
        <w:rPr>
          <w:rFonts w:ascii="Times New Roman" w:hAnsi="Times New Roman" w:cs="Times New Roman"/>
          <w:spacing w:val="-11"/>
          <w:sz w:val="24"/>
          <w:szCs w:val="24"/>
        </w:rPr>
        <w:t xml:space="preserve"> </w:t>
      </w:r>
      <w:r w:rsidRPr="00BE3FD7">
        <w:rPr>
          <w:rFonts w:ascii="Times New Roman" w:hAnsi="Times New Roman" w:cs="Times New Roman"/>
          <w:spacing w:val="-1"/>
          <w:sz w:val="24"/>
          <w:szCs w:val="24"/>
        </w:rPr>
        <w:t>Ohio</w:t>
      </w:r>
      <w:r w:rsidRPr="00BE3FD7">
        <w:rPr>
          <w:rFonts w:ascii="Times New Roman" w:hAnsi="Times New Roman" w:cs="Times New Roman"/>
          <w:spacing w:val="-11"/>
          <w:sz w:val="24"/>
          <w:szCs w:val="24"/>
        </w:rPr>
        <w:t xml:space="preserve"> </w:t>
      </w:r>
      <w:r w:rsidRPr="00BE3FD7">
        <w:rPr>
          <w:rFonts w:ascii="Times New Roman" w:hAnsi="Times New Roman" w:cs="Times New Roman"/>
          <w:sz w:val="24"/>
          <w:szCs w:val="24"/>
        </w:rPr>
        <w:t>45039</w:t>
      </w:r>
    </w:p>
    <w:p w:rsidR="009F4EA1" w:rsidRPr="00BE3FD7" w:rsidP="009F4EA1">
      <w:pPr>
        <w:pStyle w:val="BodyText"/>
        <w:spacing w:after="0" w:line="240" w:lineRule="auto"/>
        <w:ind w:left="4320" w:right="1384"/>
        <w:rPr>
          <w:rFonts w:ascii="Times New Roman" w:hAnsi="Times New Roman" w:cs="Times New Roman"/>
          <w:spacing w:val="-1"/>
          <w:sz w:val="24"/>
          <w:szCs w:val="24"/>
          <w:u w:val="single" w:color="0000FF"/>
        </w:rPr>
      </w:pPr>
      <w:r w:rsidRPr="00BE3FD7">
        <w:rPr>
          <w:rFonts w:ascii="Times New Roman" w:hAnsi="Times New Roman" w:cs="Times New Roman"/>
          <w:spacing w:val="-1"/>
          <w:sz w:val="24"/>
          <w:szCs w:val="24"/>
        </w:rPr>
        <w:t>Telephone:</w:t>
      </w:r>
      <w:r w:rsidRPr="00BE3FD7">
        <w:rPr>
          <w:rFonts w:ascii="Times New Roman" w:hAnsi="Times New Roman" w:cs="Times New Roman"/>
          <w:spacing w:val="-25"/>
          <w:sz w:val="24"/>
          <w:szCs w:val="24"/>
        </w:rPr>
        <w:t xml:space="preserve"> </w:t>
      </w:r>
      <w:r w:rsidRPr="00BE3FD7">
        <w:rPr>
          <w:rFonts w:ascii="Times New Roman" w:hAnsi="Times New Roman" w:cs="Times New Roman"/>
          <w:sz w:val="24"/>
          <w:szCs w:val="24"/>
        </w:rPr>
        <w:t>419-410-7069</w:t>
      </w:r>
      <w:r w:rsidRPr="00BE3FD7">
        <w:rPr>
          <w:rFonts w:ascii="Times New Roman" w:hAnsi="Times New Roman" w:cs="Times New Roman"/>
          <w:w w:val="99"/>
          <w:sz w:val="24"/>
          <w:szCs w:val="24"/>
        </w:rPr>
        <w:t xml:space="preserve"> </w:t>
      </w:r>
      <w:r>
        <w:fldChar w:fldCharType="begin"/>
      </w:r>
      <w:r>
        <w:instrText xml:space="preserve"> HYPERLINK "mailto:trhayslaw@gmail.com" </w:instrText>
      </w:r>
      <w:r>
        <w:fldChar w:fldCharType="separate"/>
      </w:r>
      <w:r w:rsidRPr="00BE3FD7">
        <w:rPr>
          <w:rFonts w:ascii="Times New Roman" w:hAnsi="Times New Roman" w:cs="Times New Roman"/>
          <w:spacing w:val="-1"/>
          <w:sz w:val="24"/>
          <w:szCs w:val="24"/>
          <w:u w:val="single" w:color="0000FF"/>
        </w:rPr>
        <w:t>trhayslaw@gmail.com</w:t>
      </w:r>
      <w:r>
        <w:fldChar w:fldCharType="end"/>
      </w:r>
    </w:p>
    <w:p w:rsidR="009F4EA1" w:rsidRPr="00BE3FD7" w:rsidP="009F4EA1">
      <w:pPr>
        <w:pStyle w:val="BodyText"/>
        <w:spacing w:after="0" w:line="240" w:lineRule="auto"/>
        <w:ind w:left="4320" w:right="1384"/>
        <w:rPr>
          <w:rFonts w:ascii="Times New Roman" w:hAnsi="Times New Roman" w:cs="Times New Roman"/>
          <w:sz w:val="24"/>
          <w:szCs w:val="24"/>
        </w:rPr>
      </w:pPr>
    </w:p>
    <w:p w:rsidR="009F4EA1" w:rsidRPr="00BE3FD7" w:rsidP="009F4EA1">
      <w:pPr>
        <w:rPr>
          <w:rFonts w:ascii="Times New Roman" w:hAnsi="Times New Roman" w:cs="Times New Roman"/>
          <w:sz w:val="24"/>
          <w:szCs w:val="24"/>
        </w:rPr>
        <w:sectPr w:rsidSect="009F4EA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0" w:footer="1049" w:gutter="0"/>
          <w:cols w:space="720"/>
        </w:sectPr>
      </w:pPr>
    </w:p>
    <w:p w:rsidR="009F4EA1" w:rsidRPr="00BE3FD7" w:rsidP="009F4EA1">
      <w:pPr>
        <w:tabs>
          <w:tab w:val="left" w:pos="0"/>
          <w:tab w:val="left" w:pos="720"/>
        </w:tabs>
        <w:spacing w:after="0" w:line="240" w:lineRule="auto"/>
        <w:jc w:val="center"/>
        <w:rPr>
          <w:rFonts w:ascii="Times New Roman" w:eastAsia="Times New Roman" w:hAnsi="Times New Roman" w:cs="Times New Roman"/>
          <w:b/>
          <w:sz w:val="24"/>
          <w:szCs w:val="24"/>
        </w:rPr>
      </w:pPr>
      <w:r w:rsidRPr="00BE3FD7">
        <w:rPr>
          <w:rFonts w:ascii="Times New Roman" w:eastAsia="Times New Roman" w:hAnsi="Times New Roman" w:cs="Times New Roman"/>
          <w:b/>
          <w:sz w:val="24"/>
          <w:szCs w:val="24"/>
        </w:rPr>
        <w:t>TABLE OF CONTENTS</w:t>
      </w:r>
    </w:p>
    <w:p w:rsidR="009F4EA1" w:rsidRPr="00BE3FD7" w:rsidP="009F4EA1">
      <w:pPr>
        <w:tabs>
          <w:tab w:val="left" w:pos="0"/>
          <w:tab w:val="left" w:pos="720"/>
        </w:tabs>
        <w:spacing w:after="0" w:line="240" w:lineRule="auto"/>
        <w:jc w:val="center"/>
        <w:rPr>
          <w:rFonts w:ascii="Times New Roman" w:eastAsia="Times New Roman" w:hAnsi="Times New Roman" w:cs="Times New Roman"/>
          <w:sz w:val="24"/>
          <w:szCs w:val="24"/>
        </w:rPr>
      </w:pPr>
    </w:p>
    <w:p w:rsidR="009F4EA1" w:rsidRPr="00BE3FD7" w:rsidP="009F4EA1">
      <w:pPr>
        <w:tabs>
          <w:tab w:val="left" w:pos="0"/>
          <w:tab w:val="left" w:pos="720"/>
        </w:tabs>
        <w:spacing w:after="0" w:line="240" w:lineRule="auto"/>
        <w:jc w:val="center"/>
        <w:rPr>
          <w:rFonts w:ascii="Times New Roman" w:eastAsia="Times New Roman" w:hAnsi="Times New Roman" w:cs="Times New Roman"/>
          <w:b/>
          <w:sz w:val="24"/>
          <w:szCs w:val="24"/>
        </w:rPr>
      </w:pP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sz w:val="24"/>
          <w:szCs w:val="24"/>
        </w:rPr>
        <w:tab/>
      </w:r>
      <w:r w:rsidRPr="00BE3FD7">
        <w:rPr>
          <w:rFonts w:ascii="Times New Roman" w:eastAsia="Times New Roman" w:hAnsi="Times New Roman" w:cs="Times New Roman"/>
          <w:b/>
          <w:sz w:val="24"/>
          <w:szCs w:val="24"/>
        </w:rPr>
        <w:t>PAGE</w:t>
      </w:r>
    </w:p>
    <w:p w:rsidR="009F4EA1" w:rsidRPr="00BE3FD7" w:rsidP="009F4EA1">
      <w:pPr>
        <w:tabs>
          <w:tab w:val="left" w:pos="0"/>
          <w:tab w:val="left" w:pos="720"/>
        </w:tabs>
        <w:spacing w:after="0" w:line="240" w:lineRule="auto"/>
        <w:jc w:val="center"/>
        <w:rPr>
          <w:rFonts w:ascii="Times New Roman" w:eastAsia="Times New Roman" w:hAnsi="Times New Roman" w:cs="Times New Roman"/>
          <w:sz w:val="24"/>
          <w:szCs w:val="24"/>
        </w:rPr>
      </w:pPr>
    </w:p>
    <w:p w:rsidR="007437FF">
      <w:pPr>
        <w:pStyle w:val="TOC1"/>
        <w:rPr>
          <w:rFonts w:asciiTheme="minorHAnsi" w:eastAsiaTheme="minorEastAsia" w:hAnsiTheme="minorHAnsi"/>
          <w:caps w:val="0"/>
          <w:noProof/>
          <w:sz w:val="22"/>
        </w:rPr>
      </w:pPr>
      <w:r>
        <w:rPr>
          <w:rFonts w:eastAsia="Times New Roman" w:cs="Times New Roman"/>
          <w:caps w:val="0"/>
          <w:szCs w:val="24"/>
        </w:rPr>
        <w:fldChar w:fldCharType="begin"/>
      </w:r>
      <w:r>
        <w:rPr>
          <w:rFonts w:eastAsia="Times New Roman" w:cs="Times New Roman"/>
          <w:caps w:val="0"/>
          <w:szCs w:val="24"/>
        </w:rPr>
        <w:instrText xml:space="preserve"> TOC \o "1-3" \h \z \u </w:instrText>
      </w:r>
      <w:r>
        <w:rPr>
          <w:rFonts w:eastAsia="Times New Roman" w:cs="Times New Roman"/>
          <w:caps w:val="0"/>
          <w:szCs w:val="24"/>
        </w:rPr>
        <w:fldChar w:fldCharType="separate"/>
      </w:r>
      <w:r>
        <w:fldChar w:fldCharType="begin"/>
      </w:r>
      <w:r>
        <w:instrText xml:space="preserve"> HYPERLINK \l "_Toc467842232" </w:instrText>
      </w:r>
      <w:r>
        <w:fldChar w:fldCharType="separate"/>
      </w:r>
      <w:r w:rsidRPr="000747E8">
        <w:rPr>
          <w:rStyle w:val="Hyperlink"/>
          <w:noProof/>
        </w:rPr>
        <w:t>I.</w:t>
      </w:r>
      <w:r>
        <w:rPr>
          <w:rFonts w:asciiTheme="minorHAnsi" w:eastAsiaTheme="minorEastAsia" w:hAnsiTheme="minorHAnsi"/>
          <w:caps w:val="0"/>
          <w:noProof/>
          <w:sz w:val="22"/>
        </w:rPr>
        <w:tab/>
      </w:r>
      <w:r w:rsidRPr="000747E8">
        <w:rPr>
          <w:rStyle w:val="Hyperlink"/>
          <w:noProof/>
        </w:rPr>
        <w:t>INTRODUCTION</w:t>
      </w:r>
      <w:r>
        <w:rPr>
          <w:noProof/>
          <w:webHidden/>
        </w:rPr>
        <w:tab/>
      </w:r>
      <w:r>
        <w:rPr>
          <w:noProof/>
          <w:webHidden/>
        </w:rPr>
        <w:fldChar w:fldCharType="begin"/>
      </w:r>
      <w:r>
        <w:rPr>
          <w:noProof/>
          <w:webHidden/>
        </w:rPr>
        <w:instrText xml:space="preserve"> PAGEREF _Toc467842232 \h </w:instrText>
      </w:r>
      <w:r>
        <w:rPr>
          <w:noProof/>
          <w:webHidden/>
        </w:rPr>
        <w:fldChar w:fldCharType="separate"/>
      </w:r>
      <w:r>
        <w:rPr>
          <w:noProof/>
          <w:webHidden/>
        </w:rPr>
        <w:t>1</w:t>
      </w:r>
      <w:r>
        <w:rPr>
          <w:noProof/>
          <w:webHidden/>
        </w:rPr>
        <w:fldChar w:fldCharType="end"/>
      </w:r>
      <w:r>
        <w:fldChar w:fldCharType="end"/>
      </w:r>
    </w:p>
    <w:p w:rsidR="007437FF">
      <w:pPr>
        <w:pStyle w:val="TOC1"/>
        <w:rPr>
          <w:rFonts w:asciiTheme="minorHAnsi" w:eastAsiaTheme="minorEastAsia" w:hAnsiTheme="minorHAnsi"/>
          <w:caps w:val="0"/>
          <w:noProof/>
          <w:sz w:val="22"/>
        </w:rPr>
      </w:pPr>
      <w:r>
        <w:fldChar w:fldCharType="begin"/>
      </w:r>
      <w:r>
        <w:instrText xml:space="preserve"> HYPERLINK \l "_Toc467842233" </w:instrText>
      </w:r>
      <w:r>
        <w:fldChar w:fldCharType="separate"/>
      </w:r>
      <w:r w:rsidRPr="000747E8" w:rsidR="007508A1">
        <w:rPr>
          <w:rStyle w:val="Hyperlink"/>
          <w:noProof/>
        </w:rPr>
        <w:t xml:space="preserve">II. </w:t>
      </w:r>
      <w:r w:rsidR="007508A1">
        <w:rPr>
          <w:rFonts w:asciiTheme="minorHAnsi" w:eastAsiaTheme="minorEastAsia" w:hAnsiTheme="minorHAnsi"/>
          <w:caps w:val="0"/>
          <w:noProof/>
          <w:sz w:val="22"/>
        </w:rPr>
        <w:tab/>
      </w:r>
      <w:r w:rsidRPr="000747E8" w:rsidR="007508A1">
        <w:rPr>
          <w:rStyle w:val="Hyperlink"/>
          <w:noProof/>
        </w:rPr>
        <w:t>RECOMMENDATIONS</w:t>
      </w:r>
      <w:r w:rsidR="007508A1">
        <w:rPr>
          <w:noProof/>
          <w:webHidden/>
        </w:rPr>
        <w:tab/>
      </w:r>
      <w:r w:rsidR="007508A1">
        <w:rPr>
          <w:noProof/>
          <w:webHidden/>
        </w:rPr>
        <w:fldChar w:fldCharType="begin"/>
      </w:r>
      <w:r w:rsidR="007508A1">
        <w:rPr>
          <w:noProof/>
          <w:webHidden/>
        </w:rPr>
        <w:instrText xml:space="preserve"> PAGEREF _Toc467842233 \h </w:instrText>
      </w:r>
      <w:r w:rsidR="007508A1">
        <w:rPr>
          <w:noProof/>
          <w:webHidden/>
        </w:rPr>
        <w:fldChar w:fldCharType="separate"/>
      </w:r>
      <w:r w:rsidR="007508A1">
        <w:rPr>
          <w:noProof/>
          <w:webHidden/>
        </w:rPr>
        <w:t>2</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"_Toc467842234" </w:instrText>
      </w:r>
      <w:r>
        <w:fldChar w:fldCharType="separate"/>
      </w:r>
      <w:r w:rsidRPr="000747E8" w:rsidR="007508A1">
        <w:rPr>
          <w:rStyle w:val="Hyperlink"/>
          <w:noProof/>
        </w:rPr>
        <w:t>A.</w:t>
      </w:r>
      <w:r w:rsidR="007508A1">
        <w:rPr>
          <w:rFonts w:asciiTheme="minorHAnsi" w:eastAsiaTheme="minorEastAsia" w:hAnsiTheme="minorHAnsi"/>
          <w:noProof/>
          <w:sz w:val="22"/>
        </w:rPr>
        <w:tab/>
      </w:r>
      <w:r w:rsidRPr="000747E8" w:rsidR="007508A1">
        <w:rPr>
          <w:rStyle w:val="Hyperlink"/>
          <w:noProof/>
        </w:rPr>
        <w:t>FirstEnergy’s Application for Rehearing does not satisfy the requirements of R.C. 4903.10 because it failed to set forth specifically how the PUCO’s Fifth Entry on Rehearing was unlawful or unreasonable.</w:t>
      </w:r>
      <w:r w:rsidR="007508A1">
        <w:rPr>
          <w:noProof/>
          <w:webHidden/>
        </w:rPr>
        <w:tab/>
      </w:r>
      <w:r w:rsidR="007508A1">
        <w:rPr>
          <w:noProof/>
          <w:webHidden/>
        </w:rPr>
        <w:fldChar w:fldCharType="begin"/>
      </w:r>
      <w:r w:rsidR="007508A1">
        <w:rPr>
          <w:noProof/>
          <w:webHidden/>
        </w:rPr>
        <w:instrText xml:space="preserve"> PAGEREF _Toc467842234 \h </w:instrText>
      </w:r>
      <w:r w:rsidR="007508A1">
        <w:rPr>
          <w:noProof/>
          <w:webHidden/>
        </w:rPr>
        <w:fldChar w:fldCharType="separate"/>
      </w:r>
      <w:r w:rsidR="007508A1">
        <w:rPr>
          <w:noProof/>
          <w:webHidden/>
        </w:rPr>
        <w:t>2</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"_Toc467842235" </w:instrText>
      </w:r>
      <w:r>
        <w:fldChar w:fldCharType="separate"/>
      </w:r>
      <w:r w:rsidRPr="000747E8" w:rsidR="007508A1">
        <w:rPr>
          <w:rStyle w:val="Hyperlink"/>
          <w:rFonts w:cs="Times New Roman"/>
          <w:noProof/>
        </w:rPr>
        <w:t>B.</w:t>
      </w:r>
      <w:r w:rsidR="007508A1">
        <w:rPr>
          <w:rFonts w:asciiTheme="minorHAnsi" w:eastAsiaTheme="minorEastAsia" w:hAnsiTheme="minorHAnsi"/>
          <w:noProof/>
          <w:sz w:val="22"/>
        </w:rPr>
        <w:tab/>
      </w:r>
      <w:r w:rsidRPr="000747E8" w:rsidR="007508A1">
        <w:rPr>
          <w:rStyle w:val="Hyperlink"/>
          <w:rFonts w:cs="Times New Roman"/>
          <w:noProof/>
        </w:rPr>
        <w:t>The PUCO’s failure to adopt FirstEnergy’s recommended Modifications to the proposed PUCO Staff Credit Support Rider was not unreasonable or unlawful.</w:t>
      </w:r>
      <w:r w:rsidR="007508A1">
        <w:rPr>
          <w:noProof/>
          <w:webHidden/>
        </w:rPr>
        <w:tab/>
      </w:r>
      <w:r w:rsidR="007508A1">
        <w:rPr>
          <w:noProof/>
          <w:webHidden/>
        </w:rPr>
        <w:fldChar w:fldCharType="begin"/>
      </w:r>
      <w:r w:rsidR="007508A1">
        <w:rPr>
          <w:noProof/>
          <w:webHidden/>
        </w:rPr>
        <w:instrText xml:space="preserve"> PAGEREF _Toc467842235 \h </w:instrText>
      </w:r>
      <w:r w:rsidR="007508A1">
        <w:rPr>
          <w:noProof/>
          <w:webHidden/>
        </w:rPr>
        <w:fldChar w:fldCharType="separate"/>
      </w:r>
      <w:r w:rsidR="007508A1">
        <w:rPr>
          <w:noProof/>
          <w:webHidden/>
        </w:rPr>
        <w:t>4</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"_Toc467842236" </w:instrText>
      </w:r>
      <w:r>
        <w:fldChar w:fldCharType="separate"/>
      </w:r>
      <w:r w:rsidRPr="000747E8" w:rsidR="007508A1">
        <w:rPr>
          <w:rStyle w:val="Hyperlink"/>
          <w:noProof/>
        </w:rPr>
        <w:t>1.</w:t>
      </w:r>
      <w:r w:rsidR="007508A1">
        <w:rPr>
          <w:rFonts w:asciiTheme="minorHAnsi" w:eastAsiaTheme="minorEastAsia" w:hAnsiTheme="minorHAnsi"/>
          <w:noProof/>
          <w:sz w:val="22"/>
        </w:rPr>
        <w:tab/>
      </w:r>
      <w:r w:rsidRPr="000747E8" w:rsidR="007508A1">
        <w:rPr>
          <w:rStyle w:val="Hyperlink"/>
          <w:noProof/>
        </w:rPr>
        <w:t>The PUCO’s refusal to approve the Credit Support Rider for eight years as FirstEnergy recommends was not unreasonable or unlawful.</w:t>
      </w:r>
      <w:r w:rsidR="007508A1">
        <w:rPr>
          <w:noProof/>
          <w:webHidden/>
        </w:rPr>
        <w:tab/>
      </w:r>
      <w:r w:rsidR="007508A1">
        <w:rPr>
          <w:noProof/>
          <w:webHidden/>
        </w:rPr>
        <w:fldChar w:fldCharType="begin"/>
      </w:r>
      <w:r w:rsidR="007508A1">
        <w:rPr>
          <w:noProof/>
          <w:webHidden/>
        </w:rPr>
        <w:instrText xml:space="preserve"> PAGEREF _Toc467842236 \h </w:instrText>
      </w:r>
      <w:r w:rsidR="007508A1">
        <w:rPr>
          <w:noProof/>
          <w:webHidden/>
        </w:rPr>
        <w:fldChar w:fldCharType="separate"/>
      </w:r>
      <w:r w:rsidR="007508A1">
        <w:rPr>
          <w:noProof/>
          <w:webHidden/>
        </w:rPr>
        <w:t>4</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"_Toc467842237" </w:instrText>
      </w:r>
      <w:r>
        <w:fldChar w:fldCharType="separate"/>
      </w:r>
      <w:r w:rsidRPr="000747E8" w:rsidR="007508A1">
        <w:rPr>
          <w:rStyle w:val="Hyperlink"/>
          <w:noProof/>
        </w:rPr>
        <w:t>2.</w:t>
      </w:r>
      <w:r w:rsidR="007508A1">
        <w:rPr>
          <w:rFonts w:asciiTheme="minorHAnsi" w:eastAsiaTheme="minorEastAsia" w:hAnsiTheme="minorHAnsi"/>
          <w:noProof/>
          <w:sz w:val="22"/>
        </w:rPr>
        <w:tab/>
      </w:r>
      <w:r w:rsidRPr="000747E8" w:rsidR="007508A1">
        <w:rPr>
          <w:rStyle w:val="Hyperlink"/>
          <w:noProof/>
        </w:rPr>
        <w:t>The PUCO’s failure to adopt FirstEnergy’s recommendation to collect more money from customers for maintaining their headquarters in Akron, Ohio was not unreasonable or unlawful.</w:t>
      </w:r>
      <w:r w:rsidR="007508A1">
        <w:rPr>
          <w:noProof/>
          <w:webHidden/>
        </w:rPr>
        <w:tab/>
      </w:r>
      <w:r w:rsidR="007508A1">
        <w:rPr>
          <w:noProof/>
          <w:webHidden/>
        </w:rPr>
        <w:fldChar w:fldCharType="begin"/>
      </w:r>
      <w:r w:rsidR="007508A1">
        <w:rPr>
          <w:noProof/>
          <w:webHidden/>
        </w:rPr>
        <w:instrText xml:space="preserve"> PAGEREF _Toc467842237 \h </w:instrText>
      </w:r>
      <w:r w:rsidR="007508A1">
        <w:rPr>
          <w:noProof/>
          <w:webHidden/>
        </w:rPr>
        <w:fldChar w:fldCharType="separate"/>
      </w:r>
      <w:r w:rsidR="007508A1">
        <w:rPr>
          <w:noProof/>
          <w:webHidden/>
        </w:rPr>
        <w:t>6</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"_Toc467842238" </w:instrText>
      </w:r>
      <w:r>
        <w:fldChar w:fldCharType="separate"/>
      </w:r>
      <w:r w:rsidRPr="000747E8" w:rsidR="007508A1">
        <w:rPr>
          <w:rStyle w:val="Hyperlink"/>
          <w:noProof/>
        </w:rPr>
        <w:t>3.</w:t>
      </w:r>
      <w:r w:rsidR="007508A1">
        <w:rPr>
          <w:rFonts w:asciiTheme="minorHAnsi" w:eastAsiaTheme="minorEastAsia" w:hAnsiTheme="minorHAnsi"/>
          <w:noProof/>
          <w:sz w:val="22"/>
        </w:rPr>
        <w:tab/>
      </w:r>
      <w:r w:rsidRPr="000747E8" w:rsidR="007508A1">
        <w:rPr>
          <w:rStyle w:val="Hyperlink"/>
          <w:noProof/>
        </w:rPr>
        <w:t>The PUCO’s failure to adopt FirstEnergy’s recommended CFO to debt ratio was not unreasonable or unlawful.</w:t>
      </w:r>
      <w:r w:rsidR="007508A1">
        <w:rPr>
          <w:noProof/>
          <w:webHidden/>
        </w:rPr>
        <w:tab/>
      </w:r>
      <w:r w:rsidR="007508A1">
        <w:rPr>
          <w:noProof/>
          <w:webHidden/>
        </w:rPr>
        <w:fldChar w:fldCharType="begin"/>
      </w:r>
      <w:r w:rsidR="007508A1">
        <w:rPr>
          <w:noProof/>
          <w:webHidden/>
        </w:rPr>
        <w:instrText xml:space="preserve"> PAGEREF _Toc467842238 \h </w:instrText>
      </w:r>
      <w:r w:rsidR="007508A1">
        <w:rPr>
          <w:noProof/>
          <w:webHidden/>
        </w:rPr>
        <w:fldChar w:fldCharType="separate"/>
      </w:r>
      <w:r w:rsidR="007508A1">
        <w:rPr>
          <w:noProof/>
          <w:webHidden/>
        </w:rPr>
        <w:t>7</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"_Toc467842239" </w:instrText>
      </w:r>
      <w:r>
        <w:fldChar w:fldCharType="separate"/>
      </w:r>
      <w:r w:rsidRPr="000747E8" w:rsidR="007508A1">
        <w:rPr>
          <w:rStyle w:val="Hyperlink"/>
          <w:noProof/>
        </w:rPr>
        <w:t>4.</w:t>
      </w:r>
      <w:r w:rsidR="007508A1">
        <w:rPr>
          <w:rFonts w:asciiTheme="minorHAnsi" w:eastAsiaTheme="minorEastAsia" w:hAnsiTheme="minorHAnsi"/>
          <w:noProof/>
          <w:sz w:val="22"/>
        </w:rPr>
        <w:tab/>
      </w:r>
      <w:r w:rsidRPr="000747E8" w:rsidR="007508A1">
        <w:rPr>
          <w:rStyle w:val="Hyperlink"/>
          <w:noProof/>
        </w:rPr>
        <w:t>The PUCO’s failure to adopt FirstEnergy’s recommendation to shift more costs of credit support to Ohio customers was not unreasonable or unlawful.</w:t>
      </w:r>
      <w:r w:rsidR="007508A1">
        <w:rPr>
          <w:noProof/>
          <w:webHidden/>
        </w:rPr>
        <w:tab/>
      </w:r>
      <w:r w:rsidR="007508A1">
        <w:rPr>
          <w:noProof/>
          <w:webHidden/>
        </w:rPr>
        <w:fldChar w:fldCharType="begin"/>
      </w:r>
      <w:r w:rsidR="007508A1">
        <w:rPr>
          <w:noProof/>
          <w:webHidden/>
        </w:rPr>
        <w:instrText xml:space="preserve"> PAGEREF _Toc467842239 \h </w:instrText>
      </w:r>
      <w:r w:rsidR="007508A1">
        <w:rPr>
          <w:noProof/>
          <w:webHidden/>
        </w:rPr>
        <w:fldChar w:fldCharType="separate"/>
      </w:r>
      <w:r w:rsidR="007508A1">
        <w:rPr>
          <w:noProof/>
          <w:webHidden/>
        </w:rPr>
        <w:t>8</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"_Toc467842240" </w:instrText>
      </w:r>
      <w:r>
        <w:fldChar w:fldCharType="separate"/>
      </w:r>
      <w:r w:rsidRPr="000747E8" w:rsidR="007508A1">
        <w:rPr>
          <w:rStyle w:val="Hyperlink"/>
          <w:noProof/>
        </w:rPr>
        <w:t>5.</w:t>
      </w:r>
      <w:r w:rsidR="007508A1">
        <w:rPr>
          <w:rFonts w:asciiTheme="minorHAnsi" w:eastAsiaTheme="minorEastAsia" w:hAnsiTheme="minorHAnsi"/>
          <w:noProof/>
          <w:sz w:val="22"/>
        </w:rPr>
        <w:tab/>
      </w:r>
      <w:r w:rsidRPr="000747E8" w:rsidR="007508A1">
        <w:rPr>
          <w:rStyle w:val="Hyperlink"/>
          <w:noProof/>
        </w:rPr>
        <w:t>The PUCO adoption of FirstEnergy’s proposal regarding the exclusion of the Credit Support Rider revenues from the Significantly Excessive Earnings Test (“SEET”) was unreasonable and unlawful.</w:t>
      </w:r>
      <w:r w:rsidR="007508A1">
        <w:rPr>
          <w:noProof/>
          <w:webHidden/>
        </w:rPr>
        <w:tab/>
      </w:r>
      <w:r w:rsidR="007508A1">
        <w:rPr>
          <w:noProof/>
          <w:webHidden/>
        </w:rPr>
        <w:fldChar w:fldCharType="begin"/>
      </w:r>
      <w:r w:rsidR="007508A1">
        <w:rPr>
          <w:noProof/>
          <w:webHidden/>
        </w:rPr>
        <w:instrText xml:space="preserve"> PAGEREF _Toc467842240 \h </w:instrText>
      </w:r>
      <w:r w:rsidR="007508A1">
        <w:rPr>
          <w:noProof/>
          <w:webHidden/>
        </w:rPr>
        <w:fldChar w:fldCharType="separate"/>
      </w:r>
      <w:r w:rsidR="007508A1">
        <w:rPr>
          <w:noProof/>
          <w:webHidden/>
        </w:rPr>
        <w:t>10</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"_Toc467842241" </w:instrText>
      </w:r>
      <w:r>
        <w:fldChar w:fldCharType="separate"/>
      </w:r>
      <w:r w:rsidRPr="000747E8" w:rsidR="007508A1">
        <w:rPr>
          <w:rStyle w:val="Hyperlink"/>
          <w:rFonts w:cs="Times New Roman"/>
          <w:noProof/>
        </w:rPr>
        <w:t>C.</w:t>
      </w:r>
      <w:r w:rsidR="007508A1">
        <w:rPr>
          <w:rFonts w:asciiTheme="minorHAnsi" w:eastAsiaTheme="minorEastAsia" w:hAnsiTheme="minorHAnsi"/>
          <w:noProof/>
          <w:sz w:val="22"/>
        </w:rPr>
        <w:tab/>
      </w:r>
      <w:r w:rsidRPr="000747E8" w:rsidR="007508A1">
        <w:rPr>
          <w:rStyle w:val="Hyperlink"/>
          <w:rFonts w:cs="Times New Roman"/>
          <w:noProof/>
        </w:rPr>
        <w:t>The “sufficient progress” standard should be kept, if the PUCO intends to allow the Credit Support Rider (over OCC/NOAC objections), because it is just and reasonable and provides some protection to customers.</w:t>
      </w:r>
      <w:r w:rsidR="007508A1">
        <w:rPr>
          <w:noProof/>
          <w:webHidden/>
        </w:rPr>
        <w:tab/>
      </w:r>
      <w:r w:rsidR="007508A1">
        <w:rPr>
          <w:noProof/>
          <w:webHidden/>
        </w:rPr>
        <w:fldChar w:fldCharType="begin"/>
      </w:r>
      <w:r w:rsidR="007508A1">
        <w:rPr>
          <w:noProof/>
          <w:webHidden/>
        </w:rPr>
        <w:instrText xml:space="preserve"> PAGEREF _Toc467842241 \h </w:instrText>
      </w:r>
      <w:r w:rsidR="007508A1">
        <w:rPr>
          <w:noProof/>
          <w:webHidden/>
        </w:rPr>
        <w:fldChar w:fldCharType="separate"/>
      </w:r>
      <w:r w:rsidR="007508A1">
        <w:rPr>
          <w:noProof/>
          <w:webHidden/>
        </w:rPr>
        <w:t>12</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"_Toc467842242" </w:instrText>
      </w:r>
      <w:r>
        <w:fldChar w:fldCharType="separate"/>
      </w:r>
      <w:r w:rsidRPr="000747E8" w:rsidR="007508A1">
        <w:rPr>
          <w:rStyle w:val="Hyperlink"/>
          <w:noProof/>
        </w:rPr>
        <w:t>1.</w:t>
      </w:r>
      <w:r w:rsidR="007508A1">
        <w:rPr>
          <w:rFonts w:asciiTheme="minorHAnsi" w:eastAsiaTheme="minorEastAsia" w:hAnsiTheme="minorHAnsi"/>
          <w:noProof/>
          <w:sz w:val="22"/>
        </w:rPr>
        <w:tab/>
      </w:r>
      <w:r w:rsidRPr="000747E8" w:rsidR="007508A1">
        <w:rPr>
          <w:rStyle w:val="Hyperlink"/>
          <w:noProof/>
        </w:rPr>
        <w:t>The PUCO’s failure to find the Credit Support Rider is not authorized under R.C. 4928.143(B)(2)(i) was not unreasonable or unlawful.</w:t>
      </w:r>
      <w:r w:rsidR="007508A1">
        <w:rPr>
          <w:noProof/>
          <w:webHidden/>
        </w:rPr>
        <w:tab/>
      </w:r>
      <w:r w:rsidR="007508A1">
        <w:rPr>
          <w:noProof/>
          <w:webHidden/>
        </w:rPr>
        <w:fldChar w:fldCharType="begin"/>
      </w:r>
      <w:r w:rsidR="007508A1">
        <w:rPr>
          <w:noProof/>
          <w:webHidden/>
        </w:rPr>
        <w:instrText xml:space="preserve"> PAGEREF _Toc467842242 \h </w:instrText>
      </w:r>
      <w:r w:rsidR="007508A1">
        <w:rPr>
          <w:noProof/>
          <w:webHidden/>
        </w:rPr>
        <w:fldChar w:fldCharType="separate"/>
      </w:r>
      <w:r w:rsidR="007508A1">
        <w:rPr>
          <w:noProof/>
          <w:webHidden/>
        </w:rPr>
        <w:t>15</w:t>
      </w:r>
      <w:r w:rsidR="007508A1">
        <w:rPr>
          <w:noProof/>
          <w:webHidden/>
        </w:rPr>
        <w:fldChar w:fldCharType="end"/>
      </w:r>
      <w:r>
        <w:fldChar w:fldCharType="end"/>
      </w:r>
    </w:p>
    <w:p w:rsidR="007437FF">
      <w:pPr>
        <w:pStyle w:val="TOC3"/>
        <w:tabs>
          <w:tab w:val="left" w:pos="2160"/>
        </w:tabs>
        <w:rPr>
          <w:rFonts w:asciiTheme="minorHAnsi" w:eastAsiaTheme="minorEastAsia" w:hAnsiTheme="minorHAnsi"/>
          <w:noProof/>
          <w:sz w:val="22"/>
        </w:rPr>
      </w:pPr>
      <w:r>
        <w:fldChar w:fldCharType="begin"/>
      </w:r>
      <w:r>
        <w:instrText xml:space="preserve"> HYPERLINK \l "_Toc467842243" </w:instrText>
      </w:r>
      <w:r>
        <w:fldChar w:fldCharType="separate"/>
      </w:r>
      <w:r w:rsidRPr="000747E8" w:rsidR="007508A1">
        <w:rPr>
          <w:rStyle w:val="Hyperlink"/>
          <w:noProof/>
        </w:rPr>
        <w:t xml:space="preserve">2.  </w:t>
      </w:r>
      <w:r w:rsidR="007508A1">
        <w:rPr>
          <w:rFonts w:asciiTheme="minorHAnsi" w:eastAsiaTheme="minorEastAsia" w:hAnsiTheme="minorHAnsi"/>
          <w:noProof/>
          <w:sz w:val="22"/>
        </w:rPr>
        <w:tab/>
      </w:r>
      <w:r w:rsidRPr="000747E8" w:rsidR="007508A1">
        <w:rPr>
          <w:rStyle w:val="Hyperlink"/>
          <w:noProof/>
        </w:rPr>
        <w:t>Credit Support Rider revenues could not be collected from customers under an MRO as part of a distribution case; there is no alternative basis for determining that Rider DMR would have no quantitative effect on the ESP v. MRO test.</w:t>
      </w:r>
      <w:r w:rsidR="007508A1">
        <w:rPr>
          <w:noProof/>
          <w:webHidden/>
        </w:rPr>
        <w:tab/>
      </w:r>
      <w:r w:rsidR="007508A1">
        <w:rPr>
          <w:noProof/>
          <w:webHidden/>
        </w:rPr>
        <w:fldChar w:fldCharType="begin"/>
      </w:r>
      <w:r w:rsidR="007508A1">
        <w:rPr>
          <w:noProof/>
          <w:webHidden/>
        </w:rPr>
        <w:instrText xml:space="preserve"> PAGEREF _Toc467842243 \h </w:instrText>
      </w:r>
      <w:r w:rsidR="007508A1">
        <w:rPr>
          <w:noProof/>
          <w:webHidden/>
        </w:rPr>
        <w:fldChar w:fldCharType="separate"/>
      </w:r>
      <w:r w:rsidR="007508A1">
        <w:rPr>
          <w:noProof/>
          <w:webHidden/>
        </w:rPr>
        <w:t>16</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"_Toc467842244" </w:instrText>
      </w:r>
      <w:r>
        <w:fldChar w:fldCharType="separate"/>
      </w:r>
      <w:r w:rsidRPr="000747E8" w:rsidR="007508A1">
        <w:rPr>
          <w:rStyle w:val="Hyperlink"/>
          <w:rFonts w:cs="Times New Roman"/>
          <w:noProof/>
        </w:rPr>
        <w:t>D.</w:t>
      </w:r>
      <w:r w:rsidR="007508A1">
        <w:rPr>
          <w:rFonts w:asciiTheme="minorHAnsi" w:eastAsiaTheme="minorEastAsia" w:hAnsiTheme="minorHAnsi"/>
          <w:noProof/>
          <w:sz w:val="22"/>
        </w:rPr>
        <w:tab/>
      </w:r>
      <w:r w:rsidRPr="000747E8" w:rsidR="007508A1">
        <w:rPr>
          <w:rStyle w:val="Hyperlink"/>
          <w:rFonts w:cs="Times New Roman"/>
          <w:noProof/>
        </w:rPr>
        <w:t>It was reasonable and lawful for the PUCO to protect customers from a 150% increase in the amount of profit (shared savings) that they pay to FirstEnergy for its energy efficiency programs.</w:t>
      </w:r>
      <w:r w:rsidR="007508A1">
        <w:rPr>
          <w:noProof/>
          <w:webHidden/>
        </w:rPr>
        <w:tab/>
      </w:r>
      <w:r w:rsidR="007508A1">
        <w:rPr>
          <w:noProof/>
          <w:webHidden/>
        </w:rPr>
        <w:fldChar w:fldCharType="begin"/>
      </w:r>
      <w:r w:rsidR="007508A1">
        <w:rPr>
          <w:noProof/>
          <w:webHidden/>
        </w:rPr>
        <w:instrText xml:space="preserve"> PAGEREF _Toc467842244 \h </w:instrText>
      </w:r>
      <w:r w:rsidR="007508A1">
        <w:rPr>
          <w:noProof/>
          <w:webHidden/>
        </w:rPr>
        <w:fldChar w:fldCharType="separate"/>
      </w:r>
      <w:r w:rsidR="007508A1">
        <w:rPr>
          <w:noProof/>
          <w:webHidden/>
        </w:rPr>
        <w:t>18</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"_Toc467842245" </w:instrText>
      </w:r>
      <w:r>
        <w:fldChar w:fldCharType="separate"/>
      </w:r>
      <w:r w:rsidRPr="000747E8" w:rsidR="007508A1">
        <w:rPr>
          <w:rStyle w:val="Hyperlink"/>
          <w:rFonts w:cs="Times New Roman"/>
          <w:noProof/>
        </w:rPr>
        <w:t>E.</w:t>
      </w:r>
      <w:r w:rsidR="007508A1">
        <w:rPr>
          <w:rFonts w:asciiTheme="minorHAnsi" w:eastAsiaTheme="minorEastAsia" w:hAnsiTheme="minorHAnsi"/>
          <w:noProof/>
          <w:sz w:val="22"/>
        </w:rPr>
        <w:tab/>
      </w:r>
      <w:r w:rsidRPr="000747E8" w:rsidR="007508A1">
        <w:rPr>
          <w:rStyle w:val="Hyperlink"/>
          <w:rFonts w:cs="Times New Roman"/>
          <w:noProof/>
        </w:rPr>
        <w:t>It was reasonable and lawful for the PUCO to conclude that customers should pay for energy efficiency programs that target the statutory benchmark and not for programs that target the much higher goal of 800,000 MWh annually.</w:t>
      </w:r>
      <w:r w:rsidR="007508A1">
        <w:rPr>
          <w:noProof/>
          <w:webHidden/>
        </w:rPr>
        <w:tab/>
      </w:r>
      <w:r w:rsidR="007508A1">
        <w:rPr>
          <w:noProof/>
          <w:webHidden/>
        </w:rPr>
        <w:fldChar w:fldCharType="begin"/>
      </w:r>
      <w:r w:rsidR="007508A1">
        <w:rPr>
          <w:noProof/>
          <w:webHidden/>
        </w:rPr>
        <w:instrText xml:space="preserve"> PAGEREF _Toc467842245 \h </w:instrText>
      </w:r>
      <w:r w:rsidR="007508A1">
        <w:rPr>
          <w:noProof/>
          <w:webHidden/>
        </w:rPr>
        <w:fldChar w:fldCharType="separate"/>
      </w:r>
      <w:r w:rsidR="007508A1">
        <w:rPr>
          <w:noProof/>
          <w:webHidden/>
        </w:rPr>
        <w:t>19</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"_Toc467842246" </w:instrText>
      </w:r>
      <w:r>
        <w:fldChar w:fldCharType="separate"/>
      </w:r>
      <w:r w:rsidRPr="000747E8" w:rsidR="007508A1">
        <w:rPr>
          <w:rStyle w:val="Hyperlink"/>
          <w:noProof/>
        </w:rPr>
        <w:t>F.</w:t>
      </w:r>
      <w:r w:rsidR="007508A1">
        <w:rPr>
          <w:rFonts w:asciiTheme="minorHAnsi" w:eastAsiaTheme="minorEastAsia" w:hAnsiTheme="minorHAnsi"/>
          <w:noProof/>
          <w:sz w:val="22"/>
        </w:rPr>
        <w:tab/>
      </w:r>
      <w:r w:rsidRPr="000747E8" w:rsidR="007508A1">
        <w:rPr>
          <w:rStyle w:val="Hyperlink"/>
          <w:noProof/>
        </w:rPr>
        <w:t>The PUCO’s decision to remove the 50 basis point adder to return on equity (profit) in the calculation for the Advanced Metering Infrastructure/Modern Grid Rider (“Rider AMI”) was not unlawful or unreasonable as FirstEnergy contends.</w:t>
      </w:r>
      <w:r w:rsidR="007508A1">
        <w:rPr>
          <w:noProof/>
          <w:webHidden/>
        </w:rPr>
        <w:tab/>
      </w:r>
      <w:r w:rsidR="007508A1">
        <w:rPr>
          <w:noProof/>
          <w:webHidden/>
        </w:rPr>
        <w:fldChar w:fldCharType="begin"/>
      </w:r>
      <w:r w:rsidR="007508A1">
        <w:rPr>
          <w:noProof/>
          <w:webHidden/>
        </w:rPr>
        <w:instrText xml:space="preserve"> PAGEREF _Toc467842246 \h </w:instrText>
      </w:r>
      <w:r w:rsidR="007508A1">
        <w:rPr>
          <w:noProof/>
          <w:webHidden/>
        </w:rPr>
        <w:fldChar w:fldCharType="separate"/>
      </w:r>
      <w:r w:rsidR="007508A1">
        <w:rPr>
          <w:noProof/>
          <w:webHidden/>
        </w:rPr>
        <w:t>22</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"_Toc467842247" </w:instrText>
      </w:r>
      <w:r>
        <w:fldChar w:fldCharType="separate"/>
      </w:r>
      <w:r w:rsidRPr="000747E8" w:rsidR="007508A1">
        <w:rPr>
          <w:rStyle w:val="Hyperlink"/>
          <w:noProof/>
        </w:rPr>
        <w:t>G.</w:t>
      </w:r>
      <w:r w:rsidR="007508A1">
        <w:rPr>
          <w:rFonts w:asciiTheme="minorHAnsi" w:eastAsiaTheme="minorEastAsia" w:hAnsiTheme="minorHAnsi"/>
          <w:noProof/>
          <w:sz w:val="22"/>
        </w:rPr>
        <w:tab/>
      </w:r>
      <w:r w:rsidRPr="000747E8" w:rsidR="007508A1">
        <w:rPr>
          <w:rStyle w:val="Hyperlink"/>
          <w:noProof/>
        </w:rPr>
        <w:t>The PUCO’s decision that directed the Utilities to file a base distribution rate case for rates to be in effect after the expiration of ESP IV was not unlawful or unreasonable as FirstEnergy contends.</w:t>
      </w:r>
      <w:r w:rsidR="007508A1">
        <w:rPr>
          <w:noProof/>
          <w:webHidden/>
        </w:rPr>
        <w:tab/>
      </w:r>
      <w:r w:rsidR="007508A1">
        <w:rPr>
          <w:noProof/>
          <w:webHidden/>
        </w:rPr>
        <w:fldChar w:fldCharType="begin"/>
      </w:r>
      <w:r w:rsidR="007508A1">
        <w:rPr>
          <w:noProof/>
          <w:webHidden/>
        </w:rPr>
        <w:instrText xml:space="preserve"> PAGEREF _Toc467842247 \h </w:instrText>
      </w:r>
      <w:r w:rsidR="007508A1">
        <w:rPr>
          <w:noProof/>
          <w:webHidden/>
        </w:rPr>
        <w:fldChar w:fldCharType="separate"/>
      </w:r>
      <w:r w:rsidR="007508A1">
        <w:rPr>
          <w:noProof/>
          <w:webHidden/>
        </w:rPr>
        <w:t>24</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"_Toc467842248" </w:instrText>
      </w:r>
      <w:r>
        <w:fldChar w:fldCharType="separate"/>
      </w:r>
      <w:r w:rsidRPr="000747E8" w:rsidR="007508A1">
        <w:rPr>
          <w:rStyle w:val="Hyperlink"/>
          <w:noProof/>
        </w:rPr>
        <w:t>H.</w:t>
      </w:r>
      <w:r w:rsidR="007508A1">
        <w:rPr>
          <w:rFonts w:asciiTheme="minorHAnsi" w:eastAsiaTheme="minorEastAsia" w:hAnsiTheme="minorHAnsi"/>
          <w:noProof/>
          <w:sz w:val="22"/>
        </w:rPr>
        <w:tab/>
      </w:r>
      <w:r w:rsidRPr="000747E8" w:rsidR="007508A1">
        <w:rPr>
          <w:rStyle w:val="Hyperlink"/>
          <w:noProof/>
        </w:rPr>
        <w:t>The PUCO did not act unreasonably or unlawfully when it ordered that increases in revenue caps that customers pay under the Delivery Capital Recovery Rider (“Rider DCR”) would be terminated if ESP IV was terminated before its eight-year term.</w:t>
      </w:r>
      <w:r w:rsidR="007508A1">
        <w:rPr>
          <w:noProof/>
          <w:webHidden/>
        </w:rPr>
        <w:tab/>
      </w:r>
      <w:r w:rsidR="007508A1">
        <w:rPr>
          <w:noProof/>
          <w:webHidden/>
        </w:rPr>
        <w:fldChar w:fldCharType="begin"/>
      </w:r>
      <w:r w:rsidR="007508A1">
        <w:rPr>
          <w:noProof/>
          <w:webHidden/>
        </w:rPr>
        <w:instrText xml:space="preserve"> PAGEREF _Toc467842248 \h </w:instrText>
      </w:r>
      <w:r w:rsidR="007508A1">
        <w:rPr>
          <w:noProof/>
          <w:webHidden/>
        </w:rPr>
        <w:fldChar w:fldCharType="separate"/>
      </w:r>
      <w:r w:rsidR="007508A1">
        <w:rPr>
          <w:noProof/>
          <w:webHidden/>
        </w:rPr>
        <w:t>25</w:t>
      </w:r>
      <w:r w:rsidR="007508A1">
        <w:rPr>
          <w:noProof/>
          <w:webHidden/>
        </w:rPr>
        <w:fldChar w:fldCharType="end"/>
      </w:r>
      <w:r>
        <w:fldChar w:fldCharType="end"/>
      </w:r>
    </w:p>
    <w:p w:rsidR="007437FF">
      <w:pPr>
        <w:pStyle w:val="TOC2"/>
        <w:tabs>
          <w:tab w:val="left" w:pos="1440"/>
        </w:tabs>
        <w:rPr>
          <w:rFonts w:asciiTheme="minorHAnsi" w:eastAsiaTheme="minorEastAsia" w:hAnsiTheme="minorHAnsi"/>
          <w:noProof/>
          <w:sz w:val="22"/>
        </w:rPr>
      </w:pPr>
      <w:r>
        <w:fldChar w:fldCharType="begin"/>
      </w:r>
      <w:r>
        <w:instrText xml:space="preserve"> HYPERLINK \l "_Toc467842249" </w:instrText>
      </w:r>
      <w:r>
        <w:fldChar w:fldCharType="separate"/>
      </w:r>
      <w:r w:rsidRPr="000747E8" w:rsidR="007508A1">
        <w:rPr>
          <w:rStyle w:val="Hyperlink"/>
          <w:rFonts w:cs="Times New Roman"/>
          <w:noProof/>
        </w:rPr>
        <w:t>I.</w:t>
      </w:r>
      <w:r w:rsidR="007508A1">
        <w:rPr>
          <w:rFonts w:asciiTheme="minorHAnsi" w:eastAsiaTheme="minorEastAsia" w:hAnsiTheme="minorHAnsi"/>
          <w:noProof/>
          <w:sz w:val="22"/>
        </w:rPr>
        <w:tab/>
      </w:r>
      <w:r w:rsidRPr="000747E8" w:rsidR="007508A1">
        <w:rPr>
          <w:rStyle w:val="Hyperlink"/>
          <w:rFonts w:cs="Times New Roman"/>
          <w:noProof/>
        </w:rPr>
        <w:t>The PUCO did not act unreasonably or unlawfully when it determined that the record evidence does not support the authorization of a placeholder Retail Competition Enhancement Rider (“Rider RCE”).</w:t>
      </w:r>
      <w:r w:rsidR="007508A1">
        <w:rPr>
          <w:noProof/>
          <w:webHidden/>
        </w:rPr>
        <w:tab/>
      </w:r>
      <w:r w:rsidR="007508A1">
        <w:rPr>
          <w:noProof/>
          <w:webHidden/>
        </w:rPr>
        <w:fldChar w:fldCharType="begin"/>
      </w:r>
      <w:r w:rsidR="007508A1">
        <w:rPr>
          <w:noProof/>
          <w:webHidden/>
        </w:rPr>
        <w:instrText xml:space="preserve"> PAGEREF _Toc467842249 \h </w:instrText>
      </w:r>
      <w:r w:rsidR="007508A1">
        <w:rPr>
          <w:noProof/>
          <w:webHidden/>
        </w:rPr>
        <w:fldChar w:fldCharType="separate"/>
      </w:r>
      <w:r w:rsidR="007508A1">
        <w:rPr>
          <w:noProof/>
          <w:webHidden/>
        </w:rPr>
        <w:t>27</w:t>
      </w:r>
      <w:r w:rsidR="007508A1">
        <w:rPr>
          <w:noProof/>
          <w:webHidden/>
        </w:rPr>
        <w:fldChar w:fldCharType="end"/>
      </w:r>
      <w:r>
        <w:fldChar w:fldCharType="end"/>
      </w:r>
    </w:p>
    <w:p w:rsidR="007437FF">
      <w:pPr>
        <w:pStyle w:val="TOC1"/>
        <w:rPr>
          <w:rFonts w:asciiTheme="minorHAnsi" w:eastAsiaTheme="minorEastAsia" w:hAnsiTheme="minorHAnsi"/>
          <w:caps w:val="0"/>
          <w:noProof/>
          <w:sz w:val="22"/>
        </w:rPr>
      </w:pPr>
      <w:r>
        <w:fldChar w:fldCharType="begin"/>
      </w:r>
      <w:r>
        <w:instrText xml:space="preserve"> HYPERLINK \l "_Toc467842250" </w:instrText>
      </w:r>
      <w:r>
        <w:fldChar w:fldCharType="separate"/>
      </w:r>
      <w:r w:rsidRPr="000747E8" w:rsidR="007508A1">
        <w:rPr>
          <w:rStyle w:val="Hyperlink"/>
          <w:noProof/>
        </w:rPr>
        <w:t>III.</w:t>
      </w:r>
      <w:r w:rsidR="007508A1">
        <w:rPr>
          <w:rFonts w:asciiTheme="minorHAnsi" w:eastAsiaTheme="minorEastAsia" w:hAnsiTheme="minorHAnsi"/>
          <w:caps w:val="0"/>
          <w:noProof/>
          <w:sz w:val="22"/>
        </w:rPr>
        <w:tab/>
      </w:r>
      <w:r w:rsidRPr="000747E8" w:rsidR="007508A1">
        <w:rPr>
          <w:rStyle w:val="Hyperlink"/>
          <w:noProof/>
        </w:rPr>
        <w:t>CONCLUSION</w:t>
      </w:r>
      <w:r w:rsidR="007508A1">
        <w:rPr>
          <w:noProof/>
          <w:webHidden/>
        </w:rPr>
        <w:tab/>
      </w:r>
      <w:r w:rsidR="007508A1">
        <w:rPr>
          <w:noProof/>
          <w:webHidden/>
        </w:rPr>
        <w:fldChar w:fldCharType="begin"/>
      </w:r>
      <w:r w:rsidR="007508A1">
        <w:rPr>
          <w:noProof/>
          <w:webHidden/>
        </w:rPr>
        <w:instrText xml:space="preserve"> PAGEREF _Toc467842250 \h </w:instrText>
      </w:r>
      <w:r w:rsidR="007508A1">
        <w:rPr>
          <w:noProof/>
          <w:webHidden/>
        </w:rPr>
        <w:fldChar w:fldCharType="separate"/>
      </w:r>
      <w:r w:rsidR="007508A1">
        <w:rPr>
          <w:noProof/>
          <w:webHidden/>
        </w:rPr>
        <w:t>28</w:t>
      </w:r>
      <w:r w:rsidR="007508A1">
        <w:rPr>
          <w:noProof/>
          <w:webHidden/>
        </w:rPr>
        <w:fldChar w:fldCharType="end"/>
      </w:r>
      <w:r>
        <w:fldChar w:fldCharType="end"/>
      </w:r>
    </w:p>
    <w:p w:rsidR="009F4EA1" w:rsidRPr="00BE3FD7" w:rsidP="009F4EA1">
      <w:pPr>
        <w:tabs>
          <w:tab w:val="left" w:pos="0"/>
          <w:tab w:val="left" w:pos="720"/>
        </w:tabs>
        <w:spacing w:after="0" w:line="240" w:lineRule="auto"/>
        <w:jc w:val="center"/>
        <w:rPr>
          <w:rFonts w:ascii="Times New Roman" w:eastAsia="Times New Roman" w:hAnsi="Times New Roman" w:cs="Times New Roman"/>
          <w:sz w:val="24"/>
          <w:szCs w:val="24"/>
        </w:rPr>
        <w:sectPr w:rsidSect="009F4EA1">
          <w:headerReference w:type="even" r:id="rId11"/>
          <w:headerReference w:type="default" r:id="rId12"/>
          <w:footerReference w:type="default" r:id="rId13"/>
          <w:headerReference w:type="first" r:id="rId14"/>
          <w:pgSz w:w="12240" w:h="15840"/>
          <w:pgMar w:top="1440" w:right="1800" w:bottom="1440" w:left="1800" w:header="720" w:footer="720" w:gutter="0"/>
          <w:pgNumType w:fmt="lowerRoman" w:start="1"/>
          <w:cols w:space="720"/>
          <w:docGrid w:linePitch="360"/>
        </w:sectPr>
      </w:pPr>
      <w:r>
        <w:rPr>
          <w:rFonts w:ascii="Times New Roman" w:eastAsia="Times New Roman" w:hAnsi="Times New Roman" w:cs="Times New Roman"/>
          <w:caps/>
          <w:sz w:val="24"/>
          <w:szCs w:val="24"/>
        </w:rPr>
        <w:fldChar w:fldCharType="end"/>
      </w:r>
    </w:p>
    <w:p w:rsidR="009F4EA1" w:rsidRPr="00BE3FD7" w:rsidP="009F4EA1">
      <w:pPr>
        <w:tabs>
          <w:tab w:val="left" w:pos="0"/>
          <w:tab w:val="left" w:pos="720"/>
        </w:tabs>
        <w:spacing w:after="0" w:line="240" w:lineRule="auto"/>
        <w:jc w:val="center"/>
        <w:rPr>
          <w:rFonts w:ascii="Times New Roman" w:eastAsia="Times New Roman" w:hAnsi="Times New Roman" w:cs="Times New Roman"/>
          <w:b/>
          <w:sz w:val="24"/>
          <w:szCs w:val="24"/>
        </w:rPr>
      </w:pPr>
      <w:r w:rsidRPr="00BE3FD7">
        <w:rPr>
          <w:rFonts w:ascii="Times New Roman" w:eastAsia="Times New Roman" w:hAnsi="Times New Roman" w:cs="Times New Roman"/>
          <w:b/>
          <w:sz w:val="24"/>
          <w:szCs w:val="24"/>
        </w:rPr>
        <w:t>BEFORE</w:t>
      </w:r>
    </w:p>
    <w:p w:rsidR="009F4EA1" w:rsidRPr="00BE3FD7" w:rsidP="009F4EA1">
      <w:pPr>
        <w:tabs>
          <w:tab w:val="left" w:pos="0"/>
          <w:tab w:val="left" w:pos="720"/>
        </w:tabs>
        <w:spacing w:after="0" w:line="240" w:lineRule="auto"/>
        <w:jc w:val="center"/>
        <w:rPr>
          <w:rFonts w:ascii="Times New Roman" w:eastAsia="Times New Roman" w:hAnsi="Times New Roman" w:cs="Times New Roman"/>
          <w:b/>
          <w:sz w:val="24"/>
          <w:szCs w:val="24"/>
        </w:rPr>
      </w:pPr>
      <w:r w:rsidRPr="00BE3FD7">
        <w:rPr>
          <w:rFonts w:ascii="Times New Roman" w:eastAsia="Times New Roman" w:hAnsi="Times New Roman" w:cs="Times New Roman"/>
          <w:b/>
          <w:sz w:val="24"/>
          <w:szCs w:val="24"/>
        </w:rPr>
        <w:t>THE PUBLIC UTILITIES COMMISSION OF OHIO</w:t>
      </w:r>
    </w:p>
    <w:tbl>
      <w:tblPr>
        <w:tblW w:w="9092" w:type="dxa"/>
        <w:tblInd w:w="0" w:type="dxa"/>
        <w:tblCellMar>
          <w:top w:w="0" w:type="dxa"/>
          <w:left w:w="108" w:type="dxa"/>
          <w:bottom w:w="0" w:type="dxa"/>
          <w:right w:w="108" w:type="dxa"/>
        </w:tblCellMar>
        <w:tblLook w:val="01E0"/>
      </w:tblPr>
      <w:tblGrid>
        <w:gridCol w:w="4332"/>
        <w:gridCol w:w="360"/>
        <w:gridCol w:w="4400"/>
      </w:tblGrid>
      <w:tr w:rsidTr="009F4EA1">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In the Matter of the Application of Ohio Edison Company, The Cleveland Electric Illuminating Company and The Toledo Edison Company for Authority to Provide a Standard Service Offer Pursuant to R.C. § 4928.143 in the Form of an Electric Security Plan.</w:t>
            </w:r>
          </w:p>
        </w:tc>
        <w:tc>
          <w:tcPr>
            <w:tcW w:w="360" w:type="dxa"/>
            <w:shd w:val="clear" w:color="auto" w:fill="auto"/>
          </w:tcPr>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w:t>
            </w:r>
          </w:p>
        </w:tc>
        <w:tc>
          <w:tcPr>
            <w:tcW w:w="4400" w:type="dxa"/>
            <w:shd w:val="clear" w:color="auto" w:fill="auto"/>
          </w:tcPr>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9F4EA1" w:rsidRPr="00BE3FD7" w:rsidP="009F4E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BE3FD7">
              <w:rPr>
                <w:rFonts w:ascii="Times New Roman" w:eastAsia="Courier New" w:hAnsi="Times New Roman" w:cs="Times New Roman"/>
                <w:sz w:val="24"/>
                <w:szCs w:val="24"/>
                <w:lang w:val="en-US" w:eastAsia="en-US" w:bidi="ar-SA"/>
              </w:rPr>
              <w:t>Case No. 14-1297-EL-SSO</w:t>
            </w:r>
          </w:p>
        </w:tc>
      </w:tr>
    </w:tbl>
    <w:p w:rsidR="009F4EA1" w:rsidRPr="00BE3FD7" w:rsidP="009F4EA1">
      <w:pPr>
        <w:pBdr>
          <w:bottom w:val="single" w:sz="12" w:space="1" w:color="auto"/>
        </w:pBdr>
        <w:spacing w:after="0" w:line="240" w:lineRule="auto"/>
        <w:jc w:val="center"/>
        <w:rPr>
          <w:rFonts w:ascii="Times New Roman" w:eastAsia="Times New Roman" w:hAnsi="Times New Roman" w:cs="Times New Roman"/>
          <w:sz w:val="24"/>
          <w:szCs w:val="24"/>
        </w:rPr>
      </w:pPr>
    </w:p>
    <w:p w:rsidR="009F4EA1" w:rsidRPr="00BE3FD7" w:rsidP="009F4EA1">
      <w:pPr>
        <w:pBdr>
          <w:top w:val="single" w:sz="4" w:space="1" w:color="auto"/>
        </w:pBdr>
        <w:spacing w:after="0" w:line="240" w:lineRule="auto"/>
        <w:jc w:val="center"/>
        <w:rPr>
          <w:rFonts w:ascii="Times New Roman" w:hAnsi="Times New Roman" w:cs="Times New Roman"/>
          <w:b/>
          <w:sz w:val="24"/>
          <w:szCs w:val="24"/>
        </w:rPr>
      </w:pPr>
    </w:p>
    <w:p w:rsidR="009F4EA1" w:rsidRPr="00BE3FD7" w:rsidP="009F4EA1">
      <w:pPr>
        <w:pBdr>
          <w:top w:val="single" w:sz="4" w:space="1" w:color="auto"/>
        </w:pBd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MEMORANDUM CONTRA</w:t>
      </w:r>
    </w:p>
    <w:p w:rsidR="009F4EA1" w:rsidRPr="00BE3FD7" w:rsidP="009F4EA1">
      <w:pPr>
        <w:pBdr>
          <w:top w:val="single" w:sz="4" w:space="1" w:color="auto"/>
        </w:pBd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APPLICATIONS FOR REHEARING</w:t>
      </w:r>
    </w:p>
    <w:p w:rsidR="009F4EA1" w:rsidRPr="00BE3FD7" w:rsidP="009F4EA1">
      <w:pP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BY</w:t>
      </w:r>
    </w:p>
    <w:p w:rsidR="009F4EA1" w:rsidRPr="00BE3FD7" w:rsidP="009F4EA1">
      <w:pP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THE OFFICE OF THE OHIO CONSUMERS’ COUNSEL AND THE NORTHWEST OHIO AGGREGATION COALITION</w:t>
      </w:r>
      <w:r w:rsidRPr="00BE3FD7">
        <w:rPr>
          <w:rFonts w:ascii="Times New Roman" w:hAnsi="Times New Roman" w:cs="Times New Roman"/>
          <w:sz w:val="24"/>
          <w:szCs w:val="24"/>
        </w:rPr>
        <w:t xml:space="preserve"> </w:t>
      </w:r>
      <w:r w:rsidRPr="00BE3FD7">
        <w:rPr>
          <w:rFonts w:ascii="Times New Roman" w:hAnsi="Times New Roman" w:cs="Times New Roman"/>
          <w:b/>
          <w:sz w:val="24"/>
          <w:szCs w:val="24"/>
        </w:rPr>
        <w:t>AND</w:t>
      </w:r>
    </w:p>
    <w:p w:rsidR="009F4EA1" w:rsidRPr="00BE3FD7" w:rsidP="009F4EA1">
      <w:pPr>
        <w:spacing w:after="0" w:line="240" w:lineRule="auto"/>
        <w:jc w:val="center"/>
        <w:rPr>
          <w:rFonts w:ascii="Times New Roman" w:hAnsi="Times New Roman" w:cs="Times New Roman"/>
          <w:b/>
          <w:sz w:val="24"/>
          <w:szCs w:val="24"/>
        </w:rPr>
      </w:pPr>
      <w:r w:rsidRPr="00BE3FD7">
        <w:rPr>
          <w:rFonts w:ascii="Times New Roman" w:hAnsi="Times New Roman" w:cs="Times New Roman"/>
          <w:b/>
          <w:sz w:val="24"/>
          <w:szCs w:val="24"/>
        </w:rPr>
        <w:t>NOAC COMMUNITIES INDIVIDUALLY</w:t>
      </w:r>
    </w:p>
    <w:p w:rsidR="009F4EA1" w:rsidRPr="00BE3FD7" w:rsidP="009F4EA1">
      <w:pPr>
        <w:pBdr>
          <w:bottom w:val="single" w:sz="12" w:space="1" w:color="auto"/>
        </w:pBdr>
        <w:spacing w:after="0" w:line="240" w:lineRule="auto"/>
        <w:jc w:val="center"/>
        <w:rPr>
          <w:rFonts w:ascii="Times New Roman" w:eastAsia="Times New Roman" w:hAnsi="Times New Roman" w:cs="Times New Roman"/>
          <w:b/>
          <w:sz w:val="24"/>
          <w:szCs w:val="24"/>
        </w:rPr>
      </w:pPr>
    </w:p>
    <w:p w:rsidR="009F4EA1" w:rsidRPr="00BE3FD7" w:rsidP="009F4EA1">
      <w:pPr>
        <w:tabs>
          <w:tab w:val="left" w:pos="0"/>
          <w:tab w:val="left" w:pos="720"/>
        </w:tabs>
        <w:spacing w:after="0" w:line="240" w:lineRule="auto"/>
        <w:rPr>
          <w:rFonts w:ascii="Times New Roman" w:eastAsia="Times New Roman" w:hAnsi="Times New Roman" w:cs="Times New Roman"/>
          <w:b/>
          <w:sz w:val="24"/>
          <w:szCs w:val="24"/>
        </w:rPr>
      </w:pPr>
    </w:p>
    <w:p w:rsidR="009F4EA1" w:rsidRPr="00BE3FD7" w:rsidP="009F4EA1">
      <w:pPr>
        <w:pStyle w:val="Heading1"/>
        <w:rPr>
          <w:rFonts w:ascii="Times New Roman" w:hAnsi="Times New Roman"/>
        </w:rPr>
      </w:pPr>
      <w:bookmarkStart w:id="1" w:name="_Toc450832985"/>
      <w:bookmarkStart w:id="2" w:name="_Toc467842232"/>
      <w:r w:rsidRPr="00BE3FD7">
        <w:rPr>
          <w:rFonts w:ascii="Times New Roman" w:hAnsi="Times New Roman"/>
        </w:rPr>
        <w:t>I.</w:t>
      </w:r>
      <w:r w:rsidRPr="00BE3FD7">
        <w:rPr>
          <w:rFonts w:ascii="Times New Roman" w:hAnsi="Times New Roman"/>
        </w:rPr>
        <w:tab/>
        <w:t>INTRODUCTION</w:t>
      </w:r>
      <w:bookmarkEnd w:id="1"/>
      <w:bookmarkEnd w:id="2"/>
    </w:p>
    <w:p w:rsidR="009F4EA1" w:rsidRPr="00BE3FD7" w:rsidP="009F4EA1">
      <w:pPr>
        <w:spacing w:after="120" w:line="480" w:lineRule="auto"/>
        <w:rPr>
          <w:rFonts w:ascii="Times New Roman" w:hAnsi="Times New Roman" w:cs="Times New Roman"/>
          <w:sz w:val="24"/>
          <w:szCs w:val="24"/>
        </w:rPr>
      </w:pPr>
      <w:r w:rsidRPr="00BE3FD7">
        <w:rPr>
          <w:rFonts w:ascii="Times New Roman" w:hAnsi="Times New Roman" w:cs="Times New Roman"/>
          <w:sz w:val="24"/>
          <w:szCs w:val="24"/>
        </w:rPr>
        <w:tab/>
        <w:t>In response to legal action</w:t>
      </w:r>
      <w:r>
        <w:rPr>
          <w:rStyle w:val="FootnoteReference"/>
          <w:rFonts w:ascii="Times New Roman" w:hAnsi="Times New Roman" w:cs="Times New Roman"/>
          <w:sz w:val="24"/>
          <w:szCs w:val="24"/>
        </w:rPr>
        <w:footnoteReference w:id="2"/>
      </w:r>
      <w:r w:rsidRPr="00BE3FD7">
        <w:rPr>
          <w:rFonts w:ascii="Times New Roman" w:hAnsi="Times New Roman" w:cs="Times New Roman"/>
          <w:sz w:val="24"/>
          <w:szCs w:val="24"/>
        </w:rPr>
        <w:t xml:space="preserve"> by the</w:t>
      </w:r>
      <w:r>
        <w:rPr>
          <w:rFonts w:ascii="Times New Roman" w:hAnsi="Times New Roman" w:cs="Times New Roman"/>
          <w:sz w:val="24"/>
          <w:szCs w:val="24"/>
        </w:rPr>
        <w:t xml:space="preserve"> Office of the</w:t>
      </w:r>
      <w:r w:rsidRPr="00BE3FD7">
        <w:rPr>
          <w:rFonts w:ascii="Times New Roman" w:hAnsi="Times New Roman" w:cs="Times New Roman"/>
          <w:sz w:val="24"/>
          <w:szCs w:val="24"/>
        </w:rPr>
        <w:t xml:space="preserve"> Ohio Consumers’ Counsel</w:t>
      </w:r>
      <w:r>
        <w:rPr>
          <w:rFonts w:ascii="Times New Roman" w:hAnsi="Times New Roman" w:cs="Times New Roman"/>
          <w:sz w:val="24"/>
          <w:szCs w:val="24"/>
        </w:rPr>
        <w:t xml:space="preserve"> (“OCC”), the Northwest Ohio Aggregation Coalition (“NOAC”)</w:t>
      </w:r>
      <w:r w:rsidRPr="00BE3FD7">
        <w:rPr>
          <w:rFonts w:ascii="Times New Roman" w:hAnsi="Times New Roman" w:cs="Times New Roman"/>
          <w:sz w:val="24"/>
          <w:szCs w:val="24"/>
        </w:rPr>
        <w:t xml:space="preserve"> and others, the Federal Energy Regulatory Commission (FERC) issued orders to provide Ohioans the benefits of competitive markets and lower electric rates.</w:t>
      </w:r>
      <w:r>
        <w:rPr>
          <w:rStyle w:val="FootnoteReference"/>
          <w:rFonts w:ascii="Times New Roman" w:hAnsi="Times New Roman" w:cs="Times New Roman"/>
          <w:sz w:val="24"/>
          <w:szCs w:val="24"/>
        </w:rPr>
        <w:footnoteReference w:id="3"/>
      </w:r>
      <w:r w:rsidRPr="00BE3FD7">
        <w:rPr>
          <w:rFonts w:ascii="Times New Roman" w:hAnsi="Times New Roman" w:cs="Times New Roman"/>
          <w:sz w:val="24"/>
          <w:szCs w:val="24"/>
        </w:rPr>
        <w:t xml:space="preserve"> FERC</w:t>
      </w:r>
      <w:r>
        <w:rPr>
          <w:rFonts w:ascii="Times New Roman" w:hAnsi="Times New Roman" w:cs="Times New Roman"/>
          <w:sz w:val="24"/>
          <w:szCs w:val="24"/>
        </w:rPr>
        <w:t>’</w:t>
      </w:r>
      <w:r w:rsidRPr="00BE3FD7">
        <w:rPr>
          <w:rFonts w:ascii="Times New Roman" w:hAnsi="Times New Roman" w:cs="Times New Roman"/>
          <w:sz w:val="24"/>
          <w:szCs w:val="24"/>
        </w:rPr>
        <w:t>s ruling protected captive customers of monopoly utilities (like FirstEnergy) from cross-subsidizing the utilities’ power sales with affiliates (like FirstEnergy Solutions). FERC's ruling has the potential to save each of FirstEnergy</w:t>
      </w:r>
      <w:r>
        <w:rPr>
          <w:rFonts w:ascii="Times New Roman" w:hAnsi="Times New Roman" w:cs="Times New Roman"/>
          <w:sz w:val="24"/>
          <w:szCs w:val="24"/>
        </w:rPr>
        <w:t>’</w:t>
      </w:r>
      <w:r w:rsidRPr="00BE3FD7">
        <w:rPr>
          <w:rFonts w:ascii="Times New Roman" w:hAnsi="Times New Roman" w:cs="Times New Roman"/>
          <w:sz w:val="24"/>
          <w:szCs w:val="24"/>
        </w:rPr>
        <w:t xml:space="preserve">s 1.9 million </w:t>
      </w:r>
      <w:r>
        <w:rPr>
          <w:rFonts w:ascii="Times New Roman" w:hAnsi="Times New Roman" w:cs="Times New Roman"/>
          <w:sz w:val="24"/>
          <w:szCs w:val="24"/>
        </w:rPr>
        <w:t xml:space="preserve">captive </w:t>
      </w:r>
      <w:r w:rsidRPr="00BE3FD7">
        <w:rPr>
          <w:rFonts w:ascii="Times New Roman" w:hAnsi="Times New Roman" w:cs="Times New Roman"/>
          <w:sz w:val="24"/>
          <w:szCs w:val="24"/>
        </w:rPr>
        <w:t xml:space="preserve">electric consumers hundreds of dollars </w:t>
      </w:r>
      <w:r>
        <w:rPr>
          <w:rFonts w:ascii="Times New Roman" w:hAnsi="Times New Roman" w:cs="Times New Roman"/>
          <w:sz w:val="24"/>
          <w:szCs w:val="24"/>
        </w:rPr>
        <w:t xml:space="preserve">in above-market subsidies </w:t>
      </w:r>
      <w:r w:rsidRPr="00BE3FD7">
        <w:rPr>
          <w:rFonts w:ascii="Times New Roman" w:hAnsi="Times New Roman" w:cs="Times New Roman"/>
          <w:sz w:val="24"/>
          <w:szCs w:val="24"/>
        </w:rPr>
        <w:t xml:space="preserve">over the next eight years, while advancing the competitive market envisioned by the Ohio legislature.  </w:t>
      </w:r>
    </w:p>
    <w:p w:rsidR="009F4EA1" w:rsidP="009F4EA1">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Yet, the </w:t>
      </w:r>
      <w:r>
        <w:rPr>
          <w:rFonts w:ascii="Times New Roman" w:hAnsi="Times New Roman" w:cs="Times New Roman"/>
          <w:sz w:val="24"/>
          <w:szCs w:val="24"/>
        </w:rPr>
        <w:t xml:space="preserve">subsidy </w:t>
      </w:r>
      <w:r w:rsidRPr="00BE3FD7">
        <w:rPr>
          <w:rFonts w:ascii="Times New Roman" w:hAnsi="Times New Roman" w:cs="Times New Roman"/>
          <w:sz w:val="24"/>
          <w:szCs w:val="24"/>
        </w:rPr>
        <w:t xml:space="preserve">saga continues for FirstEnergy's </w:t>
      </w:r>
      <w:r>
        <w:rPr>
          <w:rFonts w:ascii="Times New Roman" w:hAnsi="Times New Roman" w:cs="Times New Roman"/>
          <w:sz w:val="24"/>
          <w:szCs w:val="24"/>
        </w:rPr>
        <w:t xml:space="preserve">captive </w:t>
      </w:r>
      <w:r w:rsidRPr="00BE3FD7">
        <w:rPr>
          <w:rFonts w:ascii="Times New Roman" w:hAnsi="Times New Roman" w:cs="Times New Roman"/>
          <w:sz w:val="24"/>
          <w:szCs w:val="24"/>
        </w:rPr>
        <w:t xml:space="preserve">customers. </w:t>
      </w:r>
      <w:r>
        <w:rPr>
          <w:rFonts w:ascii="Times New Roman" w:hAnsi="Times New Roman" w:cs="Times New Roman"/>
          <w:sz w:val="24"/>
          <w:szCs w:val="24"/>
        </w:rPr>
        <w:t xml:space="preserve">The PUCO </w:t>
      </w:r>
      <w:r w:rsidRPr="00BE3FD7">
        <w:rPr>
          <w:rFonts w:ascii="Times New Roman" w:hAnsi="Times New Roman" w:cs="Times New Roman"/>
          <w:sz w:val="24"/>
          <w:szCs w:val="24"/>
        </w:rPr>
        <w:t xml:space="preserve">has </w:t>
      </w:r>
      <w:r>
        <w:rPr>
          <w:rFonts w:ascii="Times New Roman" w:hAnsi="Times New Roman" w:cs="Times New Roman"/>
          <w:sz w:val="24"/>
          <w:szCs w:val="24"/>
        </w:rPr>
        <w:t>done</w:t>
      </w:r>
      <w:r w:rsidRPr="00BE3FD7">
        <w:rPr>
          <w:rFonts w:ascii="Times New Roman" w:hAnsi="Times New Roman" w:cs="Times New Roman"/>
          <w:sz w:val="24"/>
          <w:szCs w:val="24"/>
        </w:rPr>
        <w:t xml:space="preserve"> an end-run around the FERC ruling. It </w:t>
      </w:r>
      <w:r>
        <w:rPr>
          <w:rFonts w:ascii="Times New Roman" w:hAnsi="Times New Roman" w:cs="Times New Roman"/>
          <w:sz w:val="24"/>
          <w:szCs w:val="24"/>
        </w:rPr>
        <w:t>approved a so-called Distribution Modernization Rider (aka "Credit Support Rider") that customers must fund</w:t>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in the amount of $204 million per year for at least the next three years (with the potential for a two-year extension). But that is apparently not enough for FirstEnergy. FirstEnergy, in its Application for Rehearing, seeks to collect even more from customers. The </w:t>
      </w:r>
      <w:r w:rsidRPr="00BE3FD7">
        <w:rPr>
          <w:rFonts w:ascii="Times New Roman" w:hAnsi="Times New Roman" w:cs="Times New Roman"/>
          <w:sz w:val="24"/>
          <w:szCs w:val="24"/>
        </w:rPr>
        <w:t xml:space="preserve">PUCO should reject </w:t>
      </w:r>
      <w:r>
        <w:rPr>
          <w:rFonts w:ascii="Times New Roman" w:hAnsi="Times New Roman" w:cs="Times New Roman"/>
          <w:sz w:val="24"/>
          <w:szCs w:val="24"/>
        </w:rPr>
        <w:t xml:space="preserve">such efforts, and deny </w:t>
      </w:r>
      <w:r w:rsidRPr="00BE3FD7">
        <w:rPr>
          <w:rFonts w:ascii="Times New Roman" w:hAnsi="Times New Roman" w:cs="Times New Roman"/>
          <w:sz w:val="24"/>
          <w:szCs w:val="24"/>
        </w:rPr>
        <w:t xml:space="preserve">FirstEnergy's </w:t>
      </w:r>
      <w:r>
        <w:rPr>
          <w:rFonts w:ascii="Times New Roman" w:hAnsi="Times New Roman" w:cs="Times New Roman"/>
          <w:sz w:val="24"/>
          <w:szCs w:val="24"/>
        </w:rPr>
        <w:t xml:space="preserve">Application for Rehearing. </w:t>
      </w:r>
      <w:r w:rsidRPr="00BE3FD7">
        <w:rPr>
          <w:rFonts w:ascii="Times New Roman" w:hAnsi="Times New Roman" w:cs="Times New Roman"/>
          <w:sz w:val="24"/>
          <w:szCs w:val="24"/>
        </w:rPr>
        <w:t xml:space="preserve">The OCC and </w:t>
      </w:r>
      <w:r>
        <w:rPr>
          <w:rFonts w:ascii="Times New Roman" w:hAnsi="Times New Roman" w:cs="Times New Roman"/>
          <w:sz w:val="24"/>
          <w:szCs w:val="24"/>
        </w:rPr>
        <w:t>NOAC primarily</w:t>
      </w:r>
      <w:r>
        <w:rPr>
          <w:rStyle w:val="FootnoteReference"/>
          <w:rFonts w:ascii="Times New Roman" w:hAnsi="Times New Roman" w:cs="Times New Roman"/>
          <w:sz w:val="24"/>
          <w:szCs w:val="24"/>
        </w:rPr>
        <w:footnoteReference w:id="4"/>
      </w:r>
      <w:r w:rsidRPr="00BE3FD7">
        <w:rPr>
          <w:rFonts w:ascii="Times New Roman" w:hAnsi="Times New Roman" w:cs="Times New Roman"/>
          <w:sz w:val="24"/>
          <w:szCs w:val="24"/>
        </w:rPr>
        <w:t xml:space="preserve"> file this Memorandum Contra the FirstEnergy Utilities (“Utilities or “FirstEnergy”) Application for Rehearing. We oppose, inter alia, the Utility’s attempt to </w:t>
      </w:r>
      <w:r>
        <w:rPr>
          <w:rFonts w:ascii="Times New Roman" w:hAnsi="Times New Roman" w:cs="Times New Roman"/>
          <w:sz w:val="24"/>
          <w:szCs w:val="24"/>
        </w:rPr>
        <w:t>make electric service even more expensive for the Ohioans they serve.</w:t>
      </w:r>
      <w:r w:rsidRPr="00BE3FD7">
        <w:rPr>
          <w:rFonts w:ascii="Times New Roman" w:hAnsi="Times New Roman" w:cs="Times New Roman"/>
          <w:sz w:val="24"/>
          <w:szCs w:val="24"/>
        </w:rPr>
        <w:t xml:space="preserve"> </w:t>
      </w:r>
    </w:p>
    <w:p w:rsidR="00C56E55" w:rsidP="00C56E55">
      <w:pPr>
        <w:spacing w:after="0" w:line="240" w:lineRule="auto"/>
        <w:rPr>
          <w:rFonts w:ascii="Times New Roman" w:hAnsi="Times New Roman" w:cs="Times New Roman"/>
          <w:sz w:val="24"/>
          <w:szCs w:val="24"/>
        </w:rPr>
      </w:pPr>
    </w:p>
    <w:p w:rsidR="0008636E" w:rsidRPr="00BE3FD7" w:rsidP="0008636E">
      <w:pPr>
        <w:pStyle w:val="Heading1"/>
        <w:rPr>
          <w:rFonts w:ascii="Times New Roman" w:hAnsi="Times New Roman"/>
        </w:rPr>
      </w:pPr>
      <w:bookmarkStart w:id="3" w:name="_Toc467842233"/>
      <w:r w:rsidRPr="00BE3FD7">
        <w:rPr>
          <w:rFonts w:ascii="Times New Roman" w:hAnsi="Times New Roman"/>
        </w:rPr>
        <w:t xml:space="preserve">II. </w:t>
      </w:r>
      <w:r w:rsidRPr="00BE3FD7">
        <w:rPr>
          <w:rFonts w:ascii="Times New Roman" w:hAnsi="Times New Roman"/>
        </w:rPr>
        <w:tab/>
        <w:t>RECOMMENDATIONS</w:t>
      </w:r>
      <w:bookmarkEnd w:id="3"/>
    </w:p>
    <w:p w:rsidR="00DA494D" w:rsidRPr="00940732" w:rsidP="00940732">
      <w:pPr>
        <w:pStyle w:val="Heading2"/>
      </w:pPr>
      <w:bookmarkStart w:id="4" w:name="_Toc467842234"/>
      <w:bookmarkStart w:id="5" w:name="_Toc450832986"/>
      <w:r>
        <w:t>A.</w:t>
      </w:r>
      <w:r>
        <w:tab/>
      </w:r>
      <w:r w:rsidRPr="00940732">
        <w:t xml:space="preserve">FirstEnergy’s </w:t>
      </w:r>
      <w:r>
        <w:t>A</w:t>
      </w:r>
      <w:r w:rsidRPr="00940732">
        <w:t xml:space="preserve">pplication for </w:t>
      </w:r>
      <w:r>
        <w:t>R</w:t>
      </w:r>
      <w:r w:rsidRPr="00940732">
        <w:t xml:space="preserve">ehearing does not satisfy the requirements of R.C. 4903.10 because it failed to set forth specifically how the PUCO’s Fifth Entry on Rehearing </w:t>
      </w:r>
      <w:r>
        <w:t>wa</w:t>
      </w:r>
      <w:r w:rsidRPr="00940732">
        <w:t>s unlawful or unreasonable.</w:t>
      </w:r>
      <w:bookmarkEnd w:id="4"/>
    </w:p>
    <w:p w:rsidR="00DA494D" w:rsidP="00DA494D">
      <w:pPr>
        <w:spacing w:line="480" w:lineRule="auto"/>
        <w:ind w:firstLine="720"/>
        <w:contextualSpacing/>
        <w:rPr>
          <w:rFonts w:ascii="Times New Roman" w:hAnsi="Times New Roman" w:cs="Times New Roman"/>
          <w:sz w:val="24"/>
          <w:szCs w:val="24"/>
          <w:bdr w:val="none" w:sz="0" w:space="0" w:color="auto" w:frame="1"/>
          <w:shd w:val="clear" w:color="auto" w:fill="FFFFFF"/>
        </w:rPr>
      </w:pPr>
      <w:r w:rsidRPr="00BE3FD7">
        <w:rPr>
          <w:rFonts w:ascii="Times New Roman" w:hAnsi="Times New Roman" w:cs="Times New Roman"/>
          <w:sz w:val="24"/>
          <w:szCs w:val="24"/>
          <w:shd w:val="clear" w:color="auto" w:fill="FFFFFF"/>
        </w:rPr>
        <w:t>Where a right to appeal is conferred by statute, the exercise of that right is conditioned upon compl</w:t>
      </w:r>
      <w:r>
        <w:rPr>
          <w:rFonts w:ascii="Times New Roman" w:hAnsi="Times New Roman" w:cs="Times New Roman"/>
          <w:sz w:val="24"/>
          <w:szCs w:val="24"/>
          <w:shd w:val="clear" w:color="auto" w:fill="FFFFFF"/>
        </w:rPr>
        <w:t xml:space="preserve">ying </w:t>
      </w:r>
      <w:r w:rsidRPr="00BE3FD7">
        <w:rPr>
          <w:rFonts w:ascii="Times New Roman" w:hAnsi="Times New Roman" w:cs="Times New Roman"/>
          <w:sz w:val="24"/>
          <w:szCs w:val="24"/>
          <w:shd w:val="clear" w:color="auto" w:fill="FFFFFF"/>
        </w:rPr>
        <w:t>with the accompanying mandatory requirements.</w:t>
      </w:r>
      <w:r>
        <w:rPr>
          <w:rFonts w:ascii="Times New Roman" w:hAnsi="Times New Roman" w:cs="Times New Roman"/>
          <w:sz w:val="24"/>
          <w:szCs w:val="24"/>
          <w:shd w:val="clear" w:color="auto" w:fill="FFFFFF"/>
          <w:vertAlign w:val="superscript"/>
        </w:rPr>
        <w:footnoteReference w:id="5"/>
      </w:r>
      <w:r w:rsidRPr="00BE3FD7">
        <w:rPr>
          <w:rFonts w:ascii="Times New Roman" w:hAnsi="Times New Roman" w:cs="Times New Roman"/>
          <w:sz w:val="24"/>
          <w:szCs w:val="24"/>
          <w:shd w:val="clear" w:color="auto" w:fill="FFFFFF"/>
        </w:rPr>
        <w:t xml:space="preserve"> </w:t>
      </w:r>
      <w:r w:rsidRPr="00BE3FD7">
        <w:rPr>
          <w:rFonts w:ascii="Times New Roman" w:hAnsi="Times New Roman" w:cs="Times New Roman"/>
          <w:sz w:val="24"/>
          <w:szCs w:val="24"/>
        </w:rPr>
        <w:t>Under R.C. 4903.10, an application for rehearing must set forth specifically the ground or grounds on which the applicant considers the order to be unreasonable or unlawful</w:t>
      </w:r>
      <w:r>
        <w:rPr>
          <w:rFonts w:ascii="Times New Roman" w:hAnsi="Times New Roman" w:cs="Times New Roman"/>
          <w:sz w:val="24"/>
          <w:szCs w:val="24"/>
        </w:rPr>
        <w:t xml:space="preserve"> and </w:t>
      </w:r>
      <w:r w:rsidRPr="00BE3FD7">
        <w:rPr>
          <w:rFonts w:ascii="Times New Roman" w:hAnsi="Times New Roman" w:cs="Times New Roman"/>
          <w:sz w:val="24"/>
          <w:szCs w:val="24"/>
        </w:rPr>
        <w:t>no</w:t>
      </w:r>
      <w:r>
        <w:rPr>
          <w:rFonts w:ascii="Times New Roman" w:hAnsi="Times New Roman" w:cs="Times New Roman"/>
          <w:sz w:val="24"/>
          <w:szCs w:val="24"/>
        </w:rPr>
        <w:t xml:space="preserve"> </w:t>
      </w:r>
      <w:r w:rsidRPr="00BE3FD7">
        <w:rPr>
          <w:rFonts w:ascii="Times New Roman" w:hAnsi="Times New Roman" w:cs="Times New Roman"/>
          <w:sz w:val="24"/>
          <w:szCs w:val="24"/>
        </w:rPr>
        <w:t>party shall in any court urge or rely on any ground for reversal, vacation, or modification not so set forth in the application.</w:t>
      </w:r>
      <w:r>
        <w:rPr>
          <w:rFonts w:ascii="Times New Roman" w:hAnsi="Times New Roman" w:cs="Times New Roman"/>
          <w:sz w:val="24"/>
          <w:szCs w:val="24"/>
          <w:vertAlign w:val="superscript"/>
        </w:rPr>
        <w:footnoteReference w:id="6"/>
      </w:r>
      <w:r w:rsidRPr="00BE3FD7">
        <w:rPr>
          <w:rFonts w:ascii="Times New Roman" w:hAnsi="Times New Roman" w:cs="Times New Roman"/>
          <w:sz w:val="24"/>
          <w:szCs w:val="24"/>
        </w:rPr>
        <w:t xml:space="preserve"> W</w:t>
      </w:r>
      <w:r w:rsidRPr="00BE3FD7">
        <w:rPr>
          <w:rFonts w:ascii="Times New Roman" w:hAnsi="Times New Roman" w:cs="Times New Roman"/>
          <w:sz w:val="24"/>
          <w:szCs w:val="24"/>
          <w:bdr w:val="none" w:sz="0" w:space="0" w:color="auto" w:frame="1"/>
          <w:shd w:val="clear" w:color="auto" w:fill="FFFFFF"/>
        </w:rPr>
        <w:t>hen an appellant's grounds for rehearing fail to specifically allege in what respect the PUCO's order was unreasonable or unlawful, the requirements of R.C. 4903.10 have not been met.</w:t>
      </w:r>
      <w:r>
        <w:rPr>
          <w:rFonts w:ascii="Times New Roman" w:hAnsi="Times New Roman" w:cs="Times New Roman"/>
          <w:sz w:val="24"/>
          <w:szCs w:val="24"/>
          <w:bdr w:val="none" w:sz="0" w:space="0" w:color="auto" w:frame="1"/>
          <w:shd w:val="clear" w:color="auto" w:fill="FFFFFF"/>
          <w:vertAlign w:val="superscript"/>
        </w:rPr>
        <w:footnoteReference w:id="7"/>
      </w:r>
      <w:r w:rsidRPr="00BE3FD7">
        <w:rPr>
          <w:rFonts w:ascii="Times New Roman" w:hAnsi="Times New Roman" w:cs="Times New Roman"/>
          <w:sz w:val="24"/>
          <w:szCs w:val="24"/>
          <w:bdr w:val="none" w:sz="0" w:space="0" w:color="auto" w:frame="1"/>
          <w:shd w:val="clear" w:color="auto" w:fill="FFFFFF"/>
        </w:rPr>
        <w:t xml:space="preserve"> </w:t>
      </w:r>
    </w:p>
    <w:p w:rsidR="00DA494D" w:rsidP="00940732">
      <w:pPr>
        <w:spacing w:line="480" w:lineRule="auto"/>
        <w:ind w:firstLine="720"/>
        <w:contextualSpacing/>
        <w:rPr>
          <w:rFonts w:ascii="Times New Roman" w:hAnsi="Times New Roman"/>
          <w:bdr w:val="none" w:sz="0" w:space="0" w:color="auto" w:frame="1"/>
          <w:shd w:val="clear" w:color="auto" w:fill="FFFFFF"/>
        </w:rPr>
      </w:pPr>
      <w:r w:rsidRPr="00BE3FD7">
        <w:rPr>
          <w:rFonts w:ascii="Times New Roman" w:hAnsi="Times New Roman" w:cs="Times New Roman"/>
          <w:sz w:val="24"/>
          <w:szCs w:val="24"/>
          <w:bdr w:val="none" w:sz="0" w:space="0" w:color="auto" w:frame="1"/>
          <w:shd w:val="clear" w:color="auto" w:fill="FFFFFF"/>
        </w:rPr>
        <w:t>The Ohio Supreme Court has strictly construed the specificity test set forth in R.C. 4903.10.</w:t>
      </w:r>
      <w:r>
        <w:rPr>
          <w:rFonts w:ascii="Times New Roman" w:hAnsi="Times New Roman" w:cs="Times New Roman"/>
          <w:sz w:val="24"/>
          <w:szCs w:val="24"/>
          <w:bdr w:val="none" w:sz="0" w:space="0" w:color="auto" w:frame="1"/>
          <w:shd w:val="clear" w:color="auto" w:fill="FFFFFF"/>
          <w:vertAlign w:val="superscript"/>
        </w:rPr>
        <w:footnoteReference w:id="8"/>
      </w:r>
      <w:r w:rsidRPr="00BE3FD7">
        <w:rPr>
          <w:rFonts w:ascii="Times New Roman" w:hAnsi="Times New Roman" w:cs="Times New Roman"/>
          <w:sz w:val="24"/>
          <w:szCs w:val="24"/>
          <w:bdr w:val="none" w:sz="0" w:space="0" w:color="auto" w:frame="1"/>
          <w:shd w:val="clear" w:color="auto" w:fill="FFFFFF"/>
        </w:rPr>
        <w:t> Indeed, the Court has explained that, in its use of the language in the statute, “the General Assembly indicated clearly its intention to deny the right to raise a question on appeal where the appellant's application for rehearing used a shotgun instead of a rifle to hit that question.”</w:t>
      </w:r>
      <w:r>
        <w:rPr>
          <w:rFonts w:ascii="Times New Roman" w:hAnsi="Times New Roman" w:cs="Times New Roman"/>
          <w:sz w:val="24"/>
          <w:szCs w:val="24"/>
          <w:bdr w:val="none" w:sz="0" w:space="0" w:color="auto" w:frame="1"/>
          <w:shd w:val="clear" w:color="auto" w:fill="FFFFFF"/>
          <w:vertAlign w:val="superscript"/>
        </w:rPr>
        <w:footnoteReference w:id="9"/>
      </w:r>
    </w:p>
    <w:p w:rsidR="00DA494D" w:rsidRPr="00940732" w:rsidP="00940732">
      <w:pPr>
        <w:spacing w:after="0" w:line="480" w:lineRule="auto"/>
        <w:ind w:firstLine="720"/>
        <w:contextualSpacing/>
        <w:rPr>
          <w:rFonts w:ascii="Times New Roman" w:hAnsi="Times New Roman"/>
          <w:bdr w:val="none" w:sz="0" w:space="0" w:color="auto" w:frame="1"/>
          <w:shd w:val="clear" w:color="auto" w:fill="FFFFFF"/>
        </w:rPr>
      </w:pPr>
      <w:r w:rsidRPr="00BE3FD7">
        <w:rPr>
          <w:rFonts w:ascii="Times New Roman" w:hAnsi="Times New Roman" w:cs="Times New Roman"/>
          <w:sz w:val="24"/>
          <w:szCs w:val="24"/>
          <w:bdr w:val="none" w:sz="0" w:space="0" w:color="auto" w:frame="1"/>
          <w:shd w:val="clear" w:color="auto" w:fill="FFFFFF"/>
        </w:rPr>
        <w:t>In its application for rehearing, FirstEnergy used a shotgun, not a rifle. That is, FirstEnergy’s application is vague and unspecific. For example, FirstEnergy assignment of error 9 states: “</w:t>
      </w:r>
      <w:r w:rsidRPr="00BE3FD7">
        <w:rPr>
          <w:rFonts w:ascii="Times New Roman" w:hAnsi="Times New Roman" w:cs="Times New Roman"/>
          <w:sz w:val="24"/>
          <w:szCs w:val="24"/>
        </w:rPr>
        <w:t>The Fifth Entry on Rehearing is unlawful and unreasonable because the Commission erroneously and improperly failed to adopt a placeholder retail competition incentive mechanism set at zero as described in the Competitive Market Enhancement Agreement.”</w:t>
      </w:r>
      <w:r>
        <w:rPr>
          <w:rFonts w:ascii="Times New Roman" w:hAnsi="Times New Roman" w:cs="Times New Roman"/>
          <w:sz w:val="24"/>
          <w:szCs w:val="24"/>
          <w:vertAlign w:val="superscript"/>
        </w:rPr>
        <w:footnoteReference w:id="10"/>
      </w:r>
      <w:r w:rsidRPr="00BE3FD7">
        <w:rPr>
          <w:rFonts w:ascii="Times New Roman" w:hAnsi="Times New Roman" w:cs="Times New Roman"/>
          <w:sz w:val="24"/>
          <w:szCs w:val="24"/>
        </w:rPr>
        <w:t xml:space="preserve"> This assignment of error is so vague that it does not even include an explanation as to why the PUCO Entry is unlawful and unreasonable. The rest of the FirstEnergy Application for Rehearing is equally as vague and unspecific.</w:t>
      </w:r>
      <w:r>
        <w:rPr>
          <w:rFonts w:ascii="Times New Roman" w:hAnsi="Times New Roman" w:cs="Times New Roman"/>
          <w:sz w:val="24"/>
          <w:szCs w:val="24"/>
          <w:vertAlign w:val="superscript"/>
        </w:rPr>
        <w:footnoteReference w:id="11"/>
      </w:r>
      <w:r w:rsidRPr="00BE3FD7">
        <w:rPr>
          <w:rFonts w:ascii="Times New Roman" w:hAnsi="Times New Roman" w:cs="Times New Roman"/>
          <w:sz w:val="24"/>
          <w:szCs w:val="24"/>
        </w:rPr>
        <w:t xml:space="preserve"> Therefore, the PUCO should deny the FirstEnergy application for rehearing because it does not satisfy the requirements under R.C. 4903.10.</w:t>
      </w:r>
    </w:p>
    <w:p w:rsidR="009F4EA1" w:rsidRPr="00BE3FD7" w:rsidP="009F4EA1">
      <w:pPr>
        <w:pStyle w:val="Heading2"/>
        <w:rPr>
          <w:rFonts w:ascii="Times New Roman" w:hAnsi="Times New Roman" w:cs="Times New Roman"/>
          <w:szCs w:val="24"/>
        </w:rPr>
      </w:pPr>
      <w:bookmarkStart w:id="6" w:name="_Toc467842235"/>
      <w:bookmarkEnd w:id="5"/>
      <w:r>
        <w:rPr>
          <w:rFonts w:ascii="Times New Roman" w:hAnsi="Times New Roman" w:cs="Times New Roman"/>
          <w:szCs w:val="24"/>
        </w:rPr>
        <w:t>B</w:t>
      </w:r>
      <w:r w:rsidRPr="00BE3FD7">
        <w:rPr>
          <w:rFonts w:ascii="Times New Roman" w:hAnsi="Times New Roman" w:cs="Times New Roman"/>
          <w:szCs w:val="24"/>
        </w:rPr>
        <w:t>.</w:t>
      </w:r>
      <w:r w:rsidRPr="00BE3FD7">
        <w:rPr>
          <w:rFonts w:ascii="Times New Roman" w:hAnsi="Times New Roman" w:cs="Times New Roman"/>
          <w:szCs w:val="24"/>
        </w:rPr>
        <w:tab/>
      </w:r>
      <w:r>
        <w:rPr>
          <w:rFonts w:ascii="Times New Roman" w:hAnsi="Times New Roman" w:cs="Times New Roman"/>
          <w:szCs w:val="24"/>
        </w:rPr>
        <w:t xml:space="preserve">The PUCO’s failure to adopt </w:t>
      </w:r>
      <w:r w:rsidRPr="00BE3FD7">
        <w:rPr>
          <w:rFonts w:ascii="Times New Roman" w:hAnsi="Times New Roman" w:cs="Times New Roman"/>
          <w:szCs w:val="24"/>
        </w:rPr>
        <w:t xml:space="preserve">FirstEnergy’s </w:t>
      </w:r>
      <w:r>
        <w:rPr>
          <w:rFonts w:ascii="Times New Roman" w:hAnsi="Times New Roman" w:cs="Times New Roman"/>
          <w:szCs w:val="24"/>
        </w:rPr>
        <w:t>recommended Modifications to the proposed PUCO Staff Credit Support Rider was not unreasonable or unlawful.</w:t>
      </w:r>
      <w:bookmarkEnd w:id="6"/>
      <w:r>
        <w:rPr>
          <w:rFonts w:ascii="Times New Roman" w:hAnsi="Times New Roman" w:cs="Times New Roman"/>
          <w:szCs w:val="24"/>
        </w:rPr>
        <w:t xml:space="preserve">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In their first assignment of error, FirstEnergy states that the PUCO erred by not adopting the changes suggested by the </w:t>
      </w:r>
      <w:r>
        <w:rPr>
          <w:rFonts w:ascii="Times New Roman" w:hAnsi="Times New Roman" w:cs="Times New Roman"/>
          <w:sz w:val="24"/>
          <w:szCs w:val="24"/>
        </w:rPr>
        <w:t>U</w:t>
      </w:r>
      <w:r w:rsidRPr="00BE3FD7">
        <w:rPr>
          <w:rFonts w:ascii="Times New Roman" w:hAnsi="Times New Roman" w:cs="Times New Roman"/>
          <w:sz w:val="24"/>
          <w:szCs w:val="24"/>
        </w:rPr>
        <w:t>tilities to Staff’s proposed Distribution Modernization Rider (“Rider DMR” or “Credit Support Rider”).</w:t>
      </w:r>
      <w:r>
        <w:rPr>
          <w:rStyle w:val="FootnoteReference"/>
          <w:rFonts w:ascii="Times New Roman" w:hAnsi="Times New Roman" w:cs="Times New Roman"/>
          <w:sz w:val="24"/>
          <w:szCs w:val="24"/>
        </w:rPr>
        <w:footnoteReference w:id="12"/>
      </w:r>
      <w:r w:rsidRPr="00BE3FD7">
        <w:rPr>
          <w:rFonts w:ascii="Times New Roman" w:hAnsi="Times New Roman" w:cs="Times New Roman"/>
          <w:sz w:val="24"/>
          <w:szCs w:val="24"/>
        </w:rPr>
        <w:t xml:space="preserve"> But, FirstEnergy’s proposed changes to the Credit Support Rider have one inevitable result, more money inappropriately being </w:t>
      </w:r>
      <w:r>
        <w:rPr>
          <w:rFonts w:ascii="Times New Roman" w:hAnsi="Times New Roman" w:cs="Times New Roman"/>
          <w:sz w:val="24"/>
          <w:szCs w:val="24"/>
        </w:rPr>
        <w:t>collected from</w:t>
      </w:r>
      <w:r w:rsidRPr="00BE3FD7">
        <w:rPr>
          <w:rFonts w:ascii="Times New Roman" w:hAnsi="Times New Roman" w:cs="Times New Roman"/>
          <w:sz w:val="24"/>
          <w:szCs w:val="24"/>
        </w:rPr>
        <w:t xml:space="preserve"> consumers.</w:t>
      </w:r>
      <w:r>
        <w:rPr>
          <w:rFonts w:ascii="Times New Roman" w:hAnsi="Times New Roman" w:cs="Times New Roman"/>
          <w:sz w:val="24"/>
          <w:szCs w:val="24"/>
          <w:vertAlign w:val="superscript"/>
        </w:rPr>
        <w:footnoteReference w:id="13"/>
      </w:r>
      <w:r w:rsidRPr="00BE3FD7">
        <w:rPr>
          <w:rFonts w:ascii="Times New Roman" w:hAnsi="Times New Roman" w:cs="Times New Roman"/>
          <w:sz w:val="24"/>
          <w:szCs w:val="24"/>
        </w:rPr>
        <w:t xml:space="preserve"> The Credit Support Rider as approved by the PUCO is illegal, and FirstEnergy’s proposed modifications are even more </w:t>
      </w:r>
      <w:r>
        <w:rPr>
          <w:rFonts w:ascii="Times New Roman" w:hAnsi="Times New Roman" w:cs="Times New Roman"/>
          <w:sz w:val="24"/>
          <w:szCs w:val="24"/>
        </w:rPr>
        <w:t>harmful to customers. T</w:t>
      </w:r>
      <w:r w:rsidRPr="00BE3FD7">
        <w:rPr>
          <w:rFonts w:ascii="Times New Roman" w:hAnsi="Times New Roman" w:cs="Times New Roman"/>
          <w:sz w:val="24"/>
          <w:szCs w:val="24"/>
        </w:rPr>
        <w:t xml:space="preserve">he PUCO should reject </w:t>
      </w:r>
      <w:r>
        <w:rPr>
          <w:rFonts w:ascii="Times New Roman" w:hAnsi="Times New Roman" w:cs="Times New Roman"/>
          <w:sz w:val="24"/>
          <w:szCs w:val="24"/>
        </w:rPr>
        <w:t>the Credit Support Rider altogether as discussed by OCC/NOAC in their A</w:t>
      </w:r>
      <w:r w:rsidRPr="00BE3FD7">
        <w:rPr>
          <w:rFonts w:ascii="Times New Roman" w:hAnsi="Times New Roman" w:cs="Times New Roman"/>
          <w:sz w:val="24"/>
          <w:szCs w:val="24"/>
        </w:rPr>
        <w:t>pplication for Rehearing.</w:t>
      </w:r>
      <w:r>
        <w:rPr>
          <w:rFonts w:ascii="Times New Roman" w:hAnsi="Times New Roman" w:cs="Times New Roman"/>
          <w:sz w:val="24"/>
          <w:szCs w:val="24"/>
          <w:vertAlign w:val="superscript"/>
        </w:rPr>
        <w:footnoteReference w:id="14"/>
      </w:r>
    </w:p>
    <w:p w:rsidR="009F4EA1" w:rsidRPr="00BE3FD7" w:rsidP="009F4EA1">
      <w:pPr>
        <w:pStyle w:val="Heading3"/>
      </w:pPr>
      <w:bookmarkStart w:id="7" w:name="_Toc467842236"/>
      <w:r w:rsidRPr="00BE3FD7">
        <w:t>1.</w:t>
      </w:r>
      <w:r w:rsidRPr="00BE3FD7">
        <w:tab/>
      </w:r>
      <w:r>
        <w:t>The PUCO’s refusal to approve the Credit Support Rider for</w:t>
      </w:r>
      <w:r w:rsidRPr="00BE3FD7">
        <w:t xml:space="preserve"> eight</w:t>
      </w:r>
      <w:r>
        <w:t xml:space="preserve"> </w:t>
      </w:r>
      <w:r w:rsidRPr="00BE3FD7">
        <w:t>year</w:t>
      </w:r>
      <w:r>
        <w:t>s as FirstEnergy recommends was not unreasonable or unlawful</w:t>
      </w:r>
      <w:r w:rsidRPr="00BE3FD7">
        <w:t>.</w:t>
      </w:r>
      <w:bookmarkEnd w:id="7"/>
      <w:r w:rsidRPr="00BE3FD7">
        <w:t xml:space="preserve"> </w:t>
      </w:r>
    </w:p>
    <w:p w:rsidR="0097329B"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FirstEnergy proposes to modify the PUCO </w:t>
      </w:r>
      <w:r>
        <w:rPr>
          <w:rFonts w:ascii="Times New Roman" w:hAnsi="Times New Roman" w:cs="Times New Roman"/>
          <w:sz w:val="24"/>
          <w:szCs w:val="24"/>
        </w:rPr>
        <w:t xml:space="preserve">approved </w:t>
      </w:r>
      <w:r w:rsidRPr="00BE3FD7">
        <w:rPr>
          <w:rFonts w:ascii="Times New Roman" w:hAnsi="Times New Roman" w:cs="Times New Roman"/>
          <w:sz w:val="24"/>
          <w:szCs w:val="24"/>
        </w:rPr>
        <w:t>Credit Support Rider by extending it to cover the entire term of the Electric Security Plan (“ESP”).</w:t>
      </w:r>
      <w:r>
        <w:rPr>
          <w:rStyle w:val="FootnoteReference"/>
          <w:rFonts w:ascii="Times New Roman" w:hAnsi="Times New Roman" w:cs="Times New Roman"/>
          <w:sz w:val="24"/>
          <w:szCs w:val="24"/>
        </w:rPr>
        <w:footnoteReference w:id="15"/>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This would mean that the rider would collect funds from customers for eight years, instead of 3 (or five, if extended). </w:t>
      </w:r>
    </w:p>
    <w:p w:rsidR="0097329B"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However, FirstEnergy provides no evidence to show that the PUCO’s approved timeline was unlawful</w:t>
      </w:r>
      <w:r>
        <w:rPr>
          <w:rFonts w:ascii="Times New Roman" w:hAnsi="Times New Roman" w:cs="Times New Roman"/>
          <w:sz w:val="24"/>
          <w:szCs w:val="24"/>
        </w:rPr>
        <w:t xml:space="preserve"> or unreasonable. FirstEnergy fails to meet the rehearing standard (unreasonable or unlawful) required under R.C. 4903.10</w:t>
      </w:r>
      <w:r w:rsidRPr="00BE3FD7">
        <w:rPr>
          <w:rFonts w:ascii="Times New Roman" w:hAnsi="Times New Roman" w:cs="Times New Roman"/>
          <w:sz w:val="24"/>
          <w:szCs w:val="24"/>
        </w:rPr>
        <w:t>.</w:t>
      </w:r>
      <w:r>
        <w:rPr>
          <w:rFonts w:ascii="Times New Roman" w:hAnsi="Times New Roman" w:cs="Times New Roman"/>
          <w:sz w:val="24"/>
          <w:szCs w:val="24"/>
        </w:rPr>
        <w:t xml:space="preserve"> Therefore, FirstEnergy’s rehearing request should be denied.</w:t>
      </w:r>
    </w:p>
    <w:p w:rsidR="009F4EA1" w:rsidRPr="00BE3FD7" w:rsidP="009407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regard to their failure to support their rehearing claim, t</w:t>
      </w:r>
      <w:r w:rsidRPr="00BE3FD7">
        <w:rPr>
          <w:rFonts w:ascii="Times New Roman" w:hAnsi="Times New Roman" w:cs="Times New Roman"/>
          <w:sz w:val="24"/>
          <w:szCs w:val="24"/>
        </w:rPr>
        <w:t xml:space="preserve">heir only </w:t>
      </w:r>
      <w:r>
        <w:rPr>
          <w:rFonts w:ascii="Times New Roman" w:hAnsi="Times New Roman" w:cs="Times New Roman"/>
          <w:sz w:val="24"/>
          <w:szCs w:val="24"/>
        </w:rPr>
        <w:t xml:space="preserve">argument </w:t>
      </w:r>
      <w:r w:rsidRPr="00BE3FD7">
        <w:rPr>
          <w:rFonts w:ascii="Times New Roman" w:hAnsi="Times New Roman" w:cs="Times New Roman"/>
          <w:sz w:val="24"/>
          <w:szCs w:val="24"/>
        </w:rPr>
        <w:t>is that it will not achieve its purpose. This assertion is unsupported</w:t>
      </w:r>
      <w:r>
        <w:rPr>
          <w:rFonts w:ascii="Times New Roman" w:hAnsi="Times New Roman" w:cs="Times New Roman"/>
          <w:sz w:val="24"/>
          <w:szCs w:val="24"/>
        </w:rPr>
        <w:t xml:space="preserve"> PUCO </w:t>
      </w:r>
      <w:r w:rsidRPr="00BE3FD7">
        <w:rPr>
          <w:rFonts w:ascii="Times New Roman" w:hAnsi="Times New Roman" w:cs="Times New Roman"/>
          <w:sz w:val="24"/>
          <w:szCs w:val="24"/>
        </w:rPr>
        <w:t>Staff thought three years was an adequate period of time for FirstEnergy Corp. to improve its credit ratings.</w:t>
      </w:r>
      <w:r>
        <w:rPr>
          <w:rFonts w:ascii="Times New Roman" w:hAnsi="Times New Roman" w:cs="Times New Roman"/>
          <w:sz w:val="24"/>
          <w:szCs w:val="24"/>
          <w:vertAlign w:val="superscript"/>
        </w:rPr>
        <w:footnoteReference w:id="16"/>
      </w:r>
      <w:r w:rsidRPr="00BE3FD7">
        <w:rPr>
          <w:rFonts w:ascii="Times New Roman" w:hAnsi="Times New Roman" w:cs="Times New Roman"/>
          <w:sz w:val="24"/>
          <w:szCs w:val="24"/>
        </w:rPr>
        <w:t xml:space="preserve"> Staff suggested that a two year extension could be requested if FirstEnergy Corp.’s credit position had not improved after three years.</w:t>
      </w:r>
      <w:r>
        <w:rPr>
          <w:rFonts w:ascii="Times New Roman" w:hAnsi="Times New Roman" w:cs="Times New Roman"/>
          <w:sz w:val="24"/>
          <w:szCs w:val="24"/>
          <w:vertAlign w:val="superscript"/>
        </w:rPr>
        <w:footnoteReference w:id="17"/>
      </w:r>
      <w:r w:rsidRPr="00BE3FD7">
        <w:rPr>
          <w:rFonts w:ascii="Times New Roman" w:hAnsi="Times New Roman" w:cs="Times New Roman"/>
          <w:sz w:val="24"/>
          <w:szCs w:val="24"/>
        </w:rPr>
        <w:t xml:space="preserve"> Nevertheless, the two year extension was not guaranteed, but merely suggested by </w:t>
      </w:r>
      <w:r>
        <w:rPr>
          <w:rFonts w:ascii="Times New Roman" w:hAnsi="Times New Roman" w:cs="Times New Roman"/>
          <w:sz w:val="24"/>
          <w:szCs w:val="24"/>
        </w:rPr>
        <w:t xml:space="preserve">PUCO </w:t>
      </w:r>
      <w:r w:rsidRPr="00BE3FD7">
        <w:rPr>
          <w:rFonts w:ascii="Times New Roman" w:hAnsi="Times New Roman" w:cs="Times New Roman"/>
          <w:sz w:val="24"/>
          <w:szCs w:val="24"/>
        </w:rPr>
        <w:t xml:space="preserve">Staff that FirstEnergy could request it if needed. It is expected that FirstEnergy would need to demonstrate the request, for the two year extension, to be just and reasonable before being approved by the PUCO. </w:t>
      </w:r>
    </w:p>
    <w:p w:rsidR="009920CC"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w:t>
      </w:r>
      <w:r w:rsidRPr="00BE3FD7">
        <w:rPr>
          <w:rFonts w:ascii="Times New Roman" w:hAnsi="Times New Roman" w:cs="Times New Roman"/>
          <w:sz w:val="24"/>
          <w:szCs w:val="24"/>
        </w:rPr>
        <w:t xml:space="preserve"> FirstEnergy’s requested </w:t>
      </w:r>
      <w:r>
        <w:rPr>
          <w:rFonts w:ascii="Times New Roman" w:hAnsi="Times New Roman" w:cs="Times New Roman"/>
          <w:sz w:val="24"/>
          <w:szCs w:val="24"/>
        </w:rPr>
        <w:t xml:space="preserve">eight year </w:t>
      </w:r>
      <w:r w:rsidRPr="00BE3FD7">
        <w:rPr>
          <w:rFonts w:ascii="Times New Roman" w:hAnsi="Times New Roman" w:cs="Times New Roman"/>
          <w:sz w:val="24"/>
          <w:szCs w:val="24"/>
        </w:rPr>
        <w:t>term is arbitrary</w:t>
      </w:r>
      <w:r>
        <w:rPr>
          <w:rFonts w:ascii="Times New Roman" w:hAnsi="Times New Roman" w:cs="Times New Roman"/>
          <w:sz w:val="24"/>
          <w:szCs w:val="24"/>
        </w:rPr>
        <w:t>--</w:t>
      </w:r>
      <w:r w:rsidRPr="00BE3FD7">
        <w:rPr>
          <w:rFonts w:ascii="Times New Roman" w:hAnsi="Times New Roman" w:cs="Times New Roman"/>
          <w:sz w:val="24"/>
          <w:szCs w:val="24"/>
        </w:rPr>
        <w:t xml:space="preserve">FirstEnergy </w:t>
      </w:r>
      <w:r>
        <w:rPr>
          <w:rFonts w:ascii="Times New Roman" w:hAnsi="Times New Roman" w:cs="Times New Roman"/>
          <w:sz w:val="24"/>
          <w:szCs w:val="24"/>
        </w:rPr>
        <w:t xml:space="preserve">even admits this when it conceded that it did </w:t>
      </w:r>
      <w:r w:rsidRPr="00BE3FD7">
        <w:rPr>
          <w:rFonts w:ascii="Times New Roman" w:hAnsi="Times New Roman" w:cs="Times New Roman"/>
          <w:sz w:val="24"/>
          <w:szCs w:val="24"/>
        </w:rPr>
        <w:t>not know how much time is needed to improve credit ratings.</w:t>
      </w:r>
      <w:r>
        <w:rPr>
          <w:rFonts w:ascii="Times New Roman" w:hAnsi="Times New Roman" w:cs="Times New Roman"/>
          <w:sz w:val="24"/>
          <w:szCs w:val="24"/>
          <w:vertAlign w:val="superscript"/>
        </w:rPr>
        <w:footnoteReference w:id="18"/>
      </w:r>
      <w:r w:rsidRPr="00BE3FD7">
        <w:rPr>
          <w:rFonts w:ascii="Times New Roman" w:hAnsi="Times New Roman" w:cs="Times New Roman"/>
          <w:sz w:val="24"/>
          <w:szCs w:val="24"/>
        </w:rPr>
        <w:t xml:space="preserve"> It is noteworthy that </w:t>
      </w:r>
      <w:r>
        <w:rPr>
          <w:rFonts w:ascii="Times New Roman" w:hAnsi="Times New Roman" w:cs="Times New Roman"/>
          <w:sz w:val="24"/>
          <w:szCs w:val="24"/>
        </w:rPr>
        <w:t xml:space="preserve">PUCO </w:t>
      </w:r>
      <w:r w:rsidRPr="00BE3FD7">
        <w:rPr>
          <w:rFonts w:ascii="Times New Roman" w:hAnsi="Times New Roman" w:cs="Times New Roman"/>
          <w:sz w:val="24"/>
          <w:szCs w:val="24"/>
        </w:rPr>
        <w:t>Staff viewed the credit support to be a “bridge” to allow time for FirstEnergy Corp. to implement a long-term solution.</w:t>
      </w:r>
      <w:r>
        <w:rPr>
          <w:rFonts w:ascii="Times New Roman" w:hAnsi="Times New Roman" w:cs="Times New Roman"/>
          <w:sz w:val="24"/>
          <w:szCs w:val="24"/>
          <w:vertAlign w:val="superscript"/>
        </w:rPr>
        <w:footnoteReference w:id="19"/>
      </w:r>
      <w:r w:rsidRPr="00BE3FD7">
        <w:rPr>
          <w:rFonts w:ascii="Times New Roman" w:hAnsi="Times New Roman" w:cs="Times New Roman"/>
          <w:sz w:val="24"/>
          <w:szCs w:val="24"/>
        </w:rPr>
        <w:t xml:space="preserve"> In FirstEnergy’s </w:t>
      </w:r>
      <w:r>
        <w:rPr>
          <w:rFonts w:ascii="Times New Roman" w:hAnsi="Times New Roman" w:cs="Times New Roman"/>
          <w:sz w:val="24"/>
          <w:szCs w:val="24"/>
        </w:rPr>
        <w:t xml:space="preserve">proposal to modify </w:t>
      </w:r>
      <w:r w:rsidRPr="00BE3FD7">
        <w:rPr>
          <w:rFonts w:ascii="Times New Roman" w:hAnsi="Times New Roman" w:cs="Times New Roman"/>
          <w:sz w:val="24"/>
          <w:szCs w:val="24"/>
        </w:rPr>
        <w:t xml:space="preserve">the approved Credit Support Rider, there </w:t>
      </w:r>
      <w:r>
        <w:rPr>
          <w:rFonts w:ascii="Times New Roman" w:hAnsi="Times New Roman" w:cs="Times New Roman"/>
          <w:sz w:val="24"/>
          <w:szCs w:val="24"/>
        </w:rPr>
        <w:t xml:space="preserve">is no way to </w:t>
      </w:r>
      <w:r w:rsidRPr="00BE3FD7">
        <w:rPr>
          <w:rFonts w:ascii="Times New Roman" w:hAnsi="Times New Roman" w:cs="Times New Roman"/>
          <w:sz w:val="24"/>
          <w:szCs w:val="24"/>
        </w:rPr>
        <w:t xml:space="preserve">turn off the spigot </w:t>
      </w:r>
      <w:r>
        <w:rPr>
          <w:rFonts w:ascii="Times New Roman" w:hAnsi="Times New Roman" w:cs="Times New Roman"/>
          <w:sz w:val="24"/>
          <w:szCs w:val="24"/>
        </w:rPr>
        <w:t xml:space="preserve">(collections from consumers) </w:t>
      </w:r>
      <w:r w:rsidRPr="00BE3FD7">
        <w:rPr>
          <w:rFonts w:ascii="Times New Roman" w:hAnsi="Times New Roman" w:cs="Times New Roman"/>
          <w:sz w:val="24"/>
          <w:szCs w:val="24"/>
        </w:rPr>
        <w:t xml:space="preserve">if credit ratings improve </w:t>
      </w:r>
      <w:r>
        <w:rPr>
          <w:rFonts w:ascii="Times New Roman" w:hAnsi="Times New Roman" w:cs="Times New Roman"/>
          <w:sz w:val="24"/>
          <w:szCs w:val="24"/>
        </w:rPr>
        <w:t xml:space="preserve">during the eight-year term FirstEnergy agues for, and credit support should no longer be needed.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The PUCO should not approve the Utilities’ </w:t>
      </w:r>
      <w:r>
        <w:rPr>
          <w:rFonts w:ascii="Times New Roman" w:hAnsi="Times New Roman" w:cs="Times New Roman"/>
          <w:sz w:val="24"/>
          <w:szCs w:val="24"/>
        </w:rPr>
        <w:t>Application for Rehearing to extend the Credit Support Rider.</w:t>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E3FD7">
        <w:rPr>
          <w:rFonts w:ascii="Times New Roman" w:hAnsi="Times New Roman" w:cs="Times New Roman"/>
          <w:sz w:val="24"/>
          <w:szCs w:val="24"/>
        </w:rPr>
        <w:t xml:space="preserve">three-year term </w:t>
      </w:r>
      <w:r>
        <w:rPr>
          <w:rFonts w:ascii="Times New Roman" w:hAnsi="Times New Roman" w:cs="Times New Roman"/>
          <w:sz w:val="24"/>
          <w:szCs w:val="24"/>
        </w:rPr>
        <w:t>is</w:t>
      </w:r>
      <w:r w:rsidRPr="00BE3FD7">
        <w:rPr>
          <w:rFonts w:ascii="Times New Roman" w:hAnsi="Times New Roman" w:cs="Times New Roman"/>
          <w:sz w:val="24"/>
          <w:szCs w:val="24"/>
        </w:rPr>
        <w:t xml:space="preserve"> adequate time to improve FirstEnergy Corp.’s credit ratings, </w:t>
      </w:r>
      <w:r>
        <w:rPr>
          <w:rFonts w:ascii="Times New Roman" w:hAnsi="Times New Roman" w:cs="Times New Roman"/>
          <w:sz w:val="24"/>
          <w:szCs w:val="24"/>
        </w:rPr>
        <w:t>as the PUCO Staff concluded.</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Additional collection </w:t>
      </w:r>
      <w:r w:rsidRPr="00BE3FD7">
        <w:rPr>
          <w:rFonts w:ascii="Times New Roman" w:hAnsi="Times New Roman" w:cs="Times New Roman"/>
          <w:sz w:val="24"/>
          <w:szCs w:val="24"/>
        </w:rPr>
        <w:t xml:space="preserve">through that </w:t>
      </w:r>
      <w:r>
        <w:rPr>
          <w:rFonts w:ascii="Times New Roman" w:hAnsi="Times New Roman" w:cs="Times New Roman"/>
          <w:sz w:val="24"/>
          <w:szCs w:val="24"/>
        </w:rPr>
        <w:t>r</w:t>
      </w:r>
      <w:r w:rsidRPr="00BE3FD7">
        <w:rPr>
          <w:rFonts w:ascii="Times New Roman" w:hAnsi="Times New Roman" w:cs="Times New Roman"/>
          <w:sz w:val="24"/>
          <w:szCs w:val="24"/>
        </w:rPr>
        <w:t xml:space="preserve">ider beyond the three-year term would be </w:t>
      </w:r>
      <w:r>
        <w:rPr>
          <w:rFonts w:ascii="Times New Roman" w:hAnsi="Times New Roman" w:cs="Times New Roman"/>
          <w:sz w:val="24"/>
          <w:szCs w:val="24"/>
        </w:rPr>
        <w:t xml:space="preserve">unnecessary. </w:t>
      </w:r>
    </w:p>
    <w:p w:rsidR="009F4EA1" w:rsidRPr="00BE3FD7" w:rsidP="009F4EA1">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For these reasons, FirstEnergy’s </w:t>
      </w:r>
      <w:r>
        <w:rPr>
          <w:rFonts w:ascii="Times New Roman" w:hAnsi="Times New Roman" w:cs="Times New Roman"/>
          <w:sz w:val="24"/>
          <w:szCs w:val="24"/>
        </w:rPr>
        <w:t xml:space="preserve">Application for Rehearing seeking to extend the Credit Support Rider term to eight years </w:t>
      </w:r>
      <w:r w:rsidRPr="00BE3FD7">
        <w:rPr>
          <w:rFonts w:ascii="Times New Roman" w:hAnsi="Times New Roman" w:cs="Times New Roman"/>
          <w:sz w:val="24"/>
          <w:szCs w:val="24"/>
        </w:rPr>
        <w:t xml:space="preserve">should not be adopted by the PUCO. </w:t>
      </w:r>
      <w:r>
        <w:rPr>
          <w:rFonts w:ascii="Times New Roman" w:hAnsi="Times New Roman" w:cs="Times New Roman"/>
          <w:sz w:val="24"/>
          <w:szCs w:val="24"/>
        </w:rPr>
        <w:t xml:space="preserve">Rehearing on this issue should be denied. </w:t>
      </w:r>
    </w:p>
    <w:p w:rsidR="009F4EA1" w:rsidRPr="00BE3FD7" w:rsidP="009F4EA1">
      <w:pPr>
        <w:pStyle w:val="Heading3"/>
      </w:pPr>
      <w:bookmarkStart w:id="8" w:name="_Toc467842237"/>
      <w:r w:rsidRPr="00BE3FD7">
        <w:t>2.</w:t>
      </w:r>
      <w:r w:rsidRPr="00BE3FD7">
        <w:tab/>
      </w:r>
      <w:r>
        <w:t xml:space="preserve">The PUCO’s failure to adopt </w:t>
      </w:r>
      <w:r w:rsidRPr="00BE3FD7">
        <w:t xml:space="preserve">FirstEnergy’s </w:t>
      </w:r>
      <w:r>
        <w:t>recommendation to collect more money from customers for maintaining their headquarters in Akron, Ohio was not unreasonable or unlawful</w:t>
      </w:r>
      <w:r w:rsidRPr="00BE3FD7">
        <w:t>.</w:t>
      </w:r>
      <w:bookmarkEnd w:id="8"/>
      <w:r w:rsidRPr="00BE3FD7">
        <w:t xml:space="preserve"> </w:t>
      </w:r>
    </w:p>
    <w:p w:rsidR="009F4EA1" w:rsidRPr="00BE3FD7"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its Application for Rehearing, FirstEnergy claims that the PUCO erred when it failed to authorize additional collections from consumers through the Credit Support Rider for maintaining its headquarters in Akron.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FirstEnergy seeks to have "some value" reflected, with the value on an annual basis going as high as $568 million.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If FirstEnergy succeeds in its Application for Rehearing that would be very expensive for customers. Instead of paying $204 million annually to FirstEnergy, consumers could end up paying $772 million per year ($204 million + $568) for credit support to FirstEnergy.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This is a staggering amount of money that OCC</w:t>
      </w:r>
      <w:r>
        <w:rPr>
          <w:rFonts w:ascii="Times New Roman" w:hAnsi="Times New Roman" w:cs="Times New Roman"/>
          <w:sz w:val="24"/>
          <w:szCs w:val="24"/>
        </w:rPr>
        <w:t>/NOAC</w:t>
      </w:r>
      <w:r w:rsidRPr="00BE3FD7">
        <w:rPr>
          <w:rFonts w:ascii="Times New Roman" w:hAnsi="Times New Roman" w:cs="Times New Roman"/>
          <w:sz w:val="24"/>
          <w:szCs w:val="24"/>
        </w:rPr>
        <w:t xml:space="preserve"> recommends should not be charged to consumers.</w:t>
      </w:r>
      <w:r>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As t</w:t>
      </w:r>
      <w:r w:rsidRPr="00BE3FD7">
        <w:rPr>
          <w:rFonts w:ascii="Times New Roman" w:hAnsi="Times New Roman" w:cs="Times New Roman"/>
          <w:sz w:val="24"/>
          <w:szCs w:val="24"/>
        </w:rPr>
        <w:t xml:space="preserve">he PUCO Staff </w:t>
      </w:r>
      <w:r>
        <w:rPr>
          <w:rFonts w:ascii="Times New Roman" w:hAnsi="Times New Roman" w:cs="Times New Roman"/>
          <w:sz w:val="24"/>
          <w:szCs w:val="24"/>
        </w:rPr>
        <w:t xml:space="preserve">noted </w:t>
      </w:r>
      <w:r w:rsidRPr="00BE3FD7">
        <w:rPr>
          <w:rFonts w:ascii="Times New Roman" w:hAnsi="Times New Roman" w:cs="Times New Roman"/>
          <w:sz w:val="24"/>
          <w:szCs w:val="24"/>
        </w:rPr>
        <w:t xml:space="preserve">FirstEnergy </w:t>
      </w:r>
      <w:r>
        <w:rPr>
          <w:rFonts w:ascii="Times New Roman" w:hAnsi="Times New Roman" w:cs="Times New Roman"/>
          <w:sz w:val="24"/>
          <w:szCs w:val="24"/>
        </w:rPr>
        <w:t>is</w:t>
      </w:r>
      <w:r w:rsidRPr="00BE3FD7">
        <w:rPr>
          <w:rFonts w:ascii="Times New Roman" w:hAnsi="Times New Roman" w:cs="Times New Roman"/>
          <w:sz w:val="24"/>
          <w:szCs w:val="24"/>
        </w:rPr>
        <w:t xml:space="preserve"> already recompensed adequately for the presence of the headquarters.</w:t>
      </w:r>
      <w:r>
        <w:rPr>
          <w:rFonts w:ascii="Times New Roman" w:hAnsi="Times New Roman" w:cs="Times New Roman"/>
          <w:sz w:val="24"/>
          <w:szCs w:val="24"/>
          <w:vertAlign w:val="superscript"/>
        </w:rPr>
        <w:footnoteReference w:id="24"/>
      </w:r>
      <w:r w:rsidRPr="00BE3FD7">
        <w:rPr>
          <w:rFonts w:ascii="Times New Roman" w:hAnsi="Times New Roman" w:cs="Times New Roman"/>
          <w:sz w:val="24"/>
          <w:szCs w:val="24"/>
        </w:rPr>
        <w:t xml:space="preserve"> In fact, it is likely that FirstEnergy customers are paying a shared services bill regarding FirstEnergy’s headquarters through their base rates. Ms. Mikkelsen testified that she “would expect to recover [from Ohio utility customers] service company costs allocated to the companies in a base rate proceeding.”</w:t>
      </w:r>
      <w:r>
        <w:rPr>
          <w:rFonts w:ascii="Times New Roman" w:hAnsi="Times New Roman" w:cs="Times New Roman"/>
          <w:sz w:val="24"/>
          <w:szCs w:val="24"/>
          <w:vertAlign w:val="superscript"/>
        </w:rPr>
        <w:footnoteReference w:id="25"/>
      </w:r>
      <w:r w:rsidRPr="00BE3FD7">
        <w:rPr>
          <w:rFonts w:ascii="Times New Roman" w:hAnsi="Times New Roman" w:cs="Times New Roman"/>
          <w:sz w:val="24"/>
          <w:szCs w:val="24"/>
        </w:rPr>
        <w:t xml:space="preserve"> FirstEnergy’s modifications to the Credit Support Rider are unjust and unreasonable, and </w:t>
      </w:r>
      <w:r>
        <w:rPr>
          <w:rFonts w:ascii="Times New Roman" w:hAnsi="Times New Roman" w:cs="Times New Roman"/>
          <w:sz w:val="24"/>
          <w:szCs w:val="24"/>
        </w:rPr>
        <w:t xml:space="preserve">the PUCO was correct in not approving FirstEnergy’s proposal.  Therefore, the PUCO </w:t>
      </w:r>
      <w:r w:rsidRPr="00BE3FD7">
        <w:rPr>
          <w:rFonts w:ascii="Times New Roman" w:hAnsi="Times New Roman" w:cs="Times New Roman"/>
          <w:sz w:val="24"/>
          <w:szCs w:val="24"/>
        </w:rPr>
        <w:t xml:space="preserve">should </w:t>
      </w:r>
      <w:r>
        <w:rPr>
          <w:rFonts w:ascii="Times New Roman" w:hAnsi="Times New Roman" w:cs="Times New Roman"/>
          <w:sz w:val="24"/>
          <w:szCs w:val="24"/>
        </w:rPr>
        <w:t>deny</w:t>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FirstEnergy’s Rehearing request.  </w:t>
      </w:r>
    </w:p>
    <w:p w:rsidR="009F4EA1" w:rsidRPr="00BE3FD7" w:rsidP="009F4EA1">
      <w:pPr>
        <w:pStyle w:val="Heading3"/>
      </w:pPr>
      <w:bookmarkStart w:id="9" w:name="_Toc467842238"/>
      <w:r w:rsidRPr="00BE3FD7">
        <w:t>3.</w:t>
      </w:r>
      <w:r w:rsidRPr="00BE3FD7">
        <w:tab/>
      </w:r>
      <w:r>
        <w:t xml:space="preserve">The PUCO’s failure to adopt </w:t>
      </w:r>
      <w:r w:rsidRPr="00BE3FD7">
        <w:t xml:space="preserve">FirstEnergy’s </w:t>
      </w:r>
      <w:r>
        <w:t>recommended</w:t>
      </w:r>
      <w:r w:rsidRPr="00BE3FD7">
        <w:t xml:space="preserve"> CFO to debt ratio </w:t>
      </w:r>
      <w:r>
        <w:t>was not unreasonable or unlawful</w:t>
      </w:r>
      <w:r w:rsidRPr="00BE3FD7">
        <w:t>.</w:t>
      </w:r>
      <w:bookmarkEnd w:id="9"/>
      <w:r w:rsidRPr="00BE3FD7">
        <w:t xml:space="preserve"> </w:t>
      </w:r>
    </w:p>
    <w:p w:rsidR="00CA2CAD"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determining the amount of credit support FirstEnergy should receive, the PUCO adopted Staff Witness Buckley's recommendation of using cash from operations ("CFO") to debt ratio of 14.5%.</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FirstEnergy seeks rehearing claiming that the PUCO erred by not using a higher CFO (15%).</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Rehearing on this matter should be denied.</w:t>
      </w:r>
    </w:p>
    <w:p w:rsidR="0049393A"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FirstEnergy’s rationale is self-serving</w:t>
      </w:r>
      <w:r>
        <w:rPr>
          <w:rFonts w:ascii="Times New Roman" w:hAnsi="Times New Roman" w:cs="Times New Roman"/>
          <w:sz w:val="24"/>
          <w:szCs w:val="24"/>
        </w:rPr>
        <w:t xml:space="preserve">. It will </w:t>
      </w:r>
      <w:r w:rsidRPr="00BE3FD7">
        <w:rPr>
          <w:rFonts w:ascii="Times New Roman" w:hAnsi="Times New Roman" w:cs="Times New Roman"/>
          <w:sz w:val="24"/>
          <w:szCs w:val="24"/>
        </w:rPr>
        <w:t xml:space="preserve">increase the annual credit support collections from Ohio’s captive consumers. </w:t>
      </w:r>
      <w:r>
        <w:rPr>
          <w:rFonts w:ascii="Times New Roman" w:hAnsi="Times New Roman" w:cs="Times New Roman"/>
          <w:sz w:val="24"/>
          <w:szCs w:val="24"/>
        </w:rPr>
        <w:t xml:space="preserve">OCC/NOAC opposes the Credit Support Rider, but if the PUCO is going to authorize it, FirstEnergy’s recommendation on rehearing should be denied. </w:t>
      </w:r>
      <w:r w:rsidRPr="00BE3FD7">
        <w:rPr>
          <w:rFonts w:ascii="Times New Roman" w:hAnsi="Times New Roman" w:cs="Times New Roman"/>
          <w:sz w:val="24"/>
          <w:szCs w:val="24"/>
        </w:rPr>
        <w:t xml:space="preserve">The CFO to </w:t>
      </w:r>
      <w:r>
        <w:rPr>
          <w:rFonts w:ascii="Times New Roman" w:hAnsi="Times New Roman" w:cs="Times New Roman"/>
          <w:sz w:val="24"/>
          <w:szCs w:val="24"/>
        </w:rPr>
        <w:t>d</w:t>
      </w:r>
      <w:r w:rsidRPr="00BE3FD7">
        <w:rPr>
          <w:rFonts w:ascii="Times New Roman" w:hAnsi="Times New Roman" w:cs="Times New Roman"/>
          <w:sz w:val="24"/>
          <w:szCs w:val="24"/>
        </w:rPr>
        <w:t xml:space="preserve">ebt </w:t>
      </w:r>
      <w:r>
        <w:rPr>
          <w:rFonts w:ascii="Times New Roman" w:hAnsi="Times New Roman" w:cs="Times New Roman"/>
          <w:sz w:val="24"/>
          <w:szCs w:val="24"/>
        </w:rPr>
        <w:t xml:space="preserve">ratio </w:t>
      </w:r>
      <w:r w:rsidRPr="00BE3FD7">
        <w:rPr>
          <w:rFonts w:ascii="Times New Roman" w:hAnsi="Times New Roman" w:cs="Times New Roman"/>
          <w:sz w:val="24"/>
          <w:szCs w:val="24"/>
        </w:rPr>
        <w:t>that the PUCO chose was not unreasonable</w:t>
      </w:r>
      <w:r>
        <w:rPr>
          <w:rFonts w:ascii="Times New Roman" w:hAnsi="Times New Roman" w:cs="Times New Roman"/>
          <w:sz w:val="24"/>
          <w:szCs w:val="24"/>
        </w:rPr>
        <w:t xml:space="preserve">. PUCO </w:t>
      </w:r>
      <w:r w:rsidRPr="00BE3FD7">
        <w:rPr>
          <w:rFonts w:ascii="Times New Roman" w:hAnsi="Times New Roman" w:cs="Times New Roman"/>
          <w:sz w:val="24"/>
          <w:szCs w:val="24"/>
        </w:rPr>
        <w:t>Staff witness Buckley had</w:t>
      </w:r>
      <w:r>
        <w:rPr>
          <w:rFonts w:ascii="Times New Roman" w:hAnsi="Times New Roman" w:cs="Times New Roman"/>
          <w:sz w:val="24"/>
          <w:szCs w:val="24"/>
        </w:rPr>
        <w:t xml:space="preserve"> rating agency </w:t>
      </w:r>
      <w:r w:rsidRPr="00BE3FD7">
        <w:rPr>
          <w:rFonts w:ascii="Times New Roman" w:hAnsi="Times New Roman" w:cs="Times New Roman"/>
          <w:sz w:val="24"/>
          <w:szCs w:val="24"/>
        </w:rPr>
        <w:t xml:space="preserve">guidance from </w:t>
      </w:r>
      <w:r>
        <w:rPr>
          <w:rFonts w:ascii="Times New Roman" w:hAnsi="Times New Roman" w:cs="Times New Roman"/>
          <w:sz w:val="24"/>
          <w:szCs w:val="24"/>
        </w:rPr>
        <w:t xml:space="preserve">both </w:t>
      </w:r>
      <w:r w:rsidRPr="00BE3FD7">
        <w:rPr>
          <w:rFonts w:ascii="Times New Roman" w:hAnsi="Times New Roman" w:cs="Times New Roman"/>
          <w:sz w:val="24"/>
          <w:szCs w:val="24"/>
        </w:rPr>
        <w:t xml:space="preserve">January </w:t>
      </w:r>
      <w:r>
        <w:rPr>
          <w:rFonts w:ascii="Times New Roman" w:hAnsi="Times New Roman" w:cs="Times New Roman"/>
          <w:sz w:val="24"/>
          <w:szCs w:val="24"/>
        </w:rPr>
        <w:t xml:space="preserve">and </w:t>
      </w:r>
      <w:r w:rsidRPr="00BE3FD7">
        <w:rPr>
          <w:rFonts w:ascii="Times New Roman" w:hAnsi="Times New Roman" w:cs="Times New Roman"/>
          <w:sz w:val="24"/>
          <w:szCs w:val="24"/>
        </w:rPr>
        <w:t>April 2016</w:t>
      </w:r>
      <w:r>
        <w:rPr>
          <w:rFonts w:ascii="Times New Roman" w:hAnsi="Times New Roman" w:cs="Times New Roman"/>
          <w:sz w:val="24"/>
          <w:szCs w:val="24"/>
          <w:vertAlign w:val="superscript"/>
        </w:rPr>
        <w:footnoteReference w:id="28"/>
      </w:r>
      <w:r w:rsidRPr="00BE3FD7">
        <w:rPr>
          <w:rFonts w:ascii="Times New Roman" w:hAnsi="Times New Roman" w:cs="Times New Roman"/>
          <w:sz w:val="24"/>
          <w:szCs w:val="24"/>
        </w:rPr>
        <w:t xml:space="preserve"> when he prepared his testimony. He chose the more conservative guidance</w:t>
      </w:r>
      <w:r>
        <w:rPr>
          <w:rFonts w:ascii="Times New Roman" w:hAnsi="Times New Roman" w:cs="Times New Roman"/>
          <w:sz w:val="24"/>
          <w:szCs w:val="24"/>
        </w:rPr>
        <w:t>. That w</w:t>
      </w:r>
      <w:r w:rsidRPr="00BE3FD7">
        <w:rPr>
          <w:rFonts w:ascii="Times New Roman" w:hAnsi="Times New Roman" w:cs="Times New Roman"/>
          <w:sz w:val="24"/>
          <w:szCs w:val="24"/>
        </w:rPr>
        <w:t xml:space="preserve">as not unreasonable. </w:t>
      </w:r>
    </w:p>
    <w:p w:rsidR="009F4EA1" w:rsidRPr="00BE3FD7"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w:t>
      </w:r>
      <w:r w:rsidRPr="00BE3FD7">
        <w:rPr>
          <w:rFonts w:ascii="Times New Roman" w:hAnsi="Times New Roman" w:cs="Times New Roman"/>
          <w:sz w:val="24"/>
          <w:szCs w:val="24"/>
        </w:rPr>
        <w:t>Staff correctly opined that: “The slight change in the target range appears to have had no effect. Neither the ratings nor the outlook for the [Utilities] changed as a result of this new opinion. Apparently the change is unimportant to Moody’s and, therefore, is unimportant to the analysis.”</w:t>
      </w:r>
      <w:r>
        <w:rPr>
          <w:rFonts w:ascii="Times New Roman" w:hAnsi="Times New Roman" w:cs="Times New Roman"/>
          <w:sz w:val="24"/>
          <w:szCs w:val="24"/>
          <w:vertAlign w:val="superscript"/>
        </w:rPr>
        <w:footnoteReference w:id="29"/>
      </w:r>
      <w:r w:rsidRPr="00BE3FD7">
        <w:rPr>
          <w:rFonts w:ascii="Times New Roman" w:hAnsi="Times New Roman" w:cs="Times New Roman"/>
          <w:sz w:val="24"/>
          <w:szCs w:val="24"/>
        </w:rPr>
        <w:t xml:space="preserve"> The PUCO should </w:t>
      </w:r>
      <w:r>
        <w:rPr>
          <w:rFonts w:ascii="Times New Roman" w:hAnsi="Times New Roman" w:cs="Times New Roman"/>
          <w:sz w:val="24"/>
          <w:szCs w:val="24"/>
        </w:rPr>
        <w:t xml:space="preserve">reject </w:t>
      </w:r>
      <w:r w:rsidRPr="00BE3FD7">
        <w:rPr>
          <w:rFonts w:ascii="Times New Roman" w:hAnsi="Times New Roman" w:cs="Times New Roman"/>
          <w:sz w:val="24"/>
          <w:szCs w:val="24"/>
        </w:rPr>
        <w:t xml:space="preserve">FirstEnergy’s </w:t>
      </w:r>
      <w:r>
        <w:rPr>
          <w:rFonts w:ascii="Times New Roman" w:hAnsi="Times New Roman" w:cs="Times New Roman"/>
          <w:sz w:val="24"/>
          <w:szCs w:val="24"/>
        </w:rPr>
        <w:t xml:space="preserve">Application for Rehearing on this issue which would only serve to cost customers more money. </w:t>
      </w:r>
    </w:p>
    <w:p w:rsidR="009F4EA1" w:rsidRPr="00BE3FD7"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FirstEnergy also seeks rehearing claiming that the PUCO should have used a three year average (and not a four year average) of CFO to debt ratios.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FirstEnergy claims that the PUCO should not have included 2011 data in its analysis. But FirstEnergy fails to prove that it was unjust and unreasonable for the PUCO to do so. </w:t>
      </w:r>
      <w:r w:rsidRPr="00BE3FD7">
        <w:rPr>
          <w:rFonts w:ascii="Times New Roman" w:hAnsi="Times New Roman" w:cs="Times New Roman"/>
          <w:sz w:val="24"/>
          <w:szCs w:val="24"/>
        </w:rPr>
        <w:t xml:space="preserve">The years chosen represents the period since the last significant restructuring of FirstEnergy Corp., specifically the merger with Allegheny Energy. </w:t>
      </w:r>
      <w:r>
        <w:rPr>
          <w:rFonts w:ascii="Times New Roman" w:hAnsi="Times New Roman" w:cs="Times New Roman"/>
          <w:sz w:val="24"/>
          <w:szCs w:val="24"/>
        </w:rPr>
        <w:t>The PUCO correctly concluded that it</w:t>
      </w:r>
      <w:r w:rsidRPr="00BE3FD7">
        <w:rPr>
          <w:rFonts w:ascii="Times New Roman" w:hAnsi="Times New Roman" w:cs="Times New Roman"/>
          <w:sz w:val="24"/>
          <w:szCs w:val="24"/>
        </w:rPr>
        <w:t xml:space="preserve"> represents the best baseline available and captures the most complete picture.</w:t>
      </w:r>
      <w:r>
        <w:rPr>
          <w:rFonts w:ascii="Times New Roman" w:hAnsi="Times New Roman" w:cs="Times New Roman"/>
          <w:sz w:val="24"/>
          <w:szCs w:val="24"/>
          <w:vertAlign w:val="superscript"/>
        </w:rPr>
        <w:footnoteReference w:id="31"/>
      </w:r>
      <w:r w:rsidRPr="00BE3FD7">
        <w:rPr>
          <w:rFonts w:ascii="Times New Roman" w:hAnsi="Times New Roman" w:cs="Times New Roman"/>
          <w:sz w:val="24"/>
          <w:szCs w:val="24"/>
        </w:rPr>
        <w:t xml:space="preserve"> FirstEnergy’s proposal to use three of the available years was selectively chosen for self-serving reasons (collecting more money from customers). The PUCO should reject this assignment of error.</w:t>
      </w:r>
    </w:p>
    <w:p w:rsidR="009F4EA1" w:rsidRPr="00BE3FD7" w:rsidP="009F4EA1">
      <w:pPr>
        <w:pStyle w:val="Heading3"/>
      </w:pPr>
      <w:bookmarkStart w:id="10" w:name="_Toc467842239"/>
      <w:r w:rsidRPr="00BE3FD7">
        <w:t>4.</w:t>
      </w:r>
      <w:r w:rsidRPr="00BE3FD7">
        <w:tab/>
      </w:r>
      <w:r>
        <w:t xml:space="preserve">The PUCO’s failure to adopt </w:t>
      </w:r>
      <w:r w:rsidRPr="00BE3FD7">
        <w:t xml:space="preserve">FirstEnergy’s </w:t>
      </w:r>
      <w:r>
        <w:t>recommendation to shift more costs of credit support to Ohio customers was not unreasonable or unlawful.</w:t>
      </w:r>
      <w:bookmarkEnd w:id="10"/>
      <w:r>
        <w:t xml:space="preserve"> </w:t>
      </w:r>
    </w:p>
    <w:p w:rsidR="0049393A" w:rsidP="009407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found that Ohioans should pay their share of credit support to FirstEnergy Corp.</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The PUCO determined that it would adopt its Staff's recommendation that 22% of the credit support should come from Ohioans.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Pr="00BE3FD7">
        <w:rPr>
          <w:rFonts w:ascii="Times New Roman" w:hAnsi="Times New Roman" w:cs="Times New Roman"/>
          <w:sz w:val="24"/>
          <w:szCs w:val="24"/>
        </w:rPr>
        <w:t>FirstEnergy</w:t>
      </w:r>
      <w:r>
        <w:rPr>
          <w:rFonts w:ascii="Times New Roman" w:hAnsi="Times New Roman" w:cs="Times New Roman"/>
          <w:sz w:val="24"/>
          <w:szCs w:val="24"/>
        </w:rPr>
        <w:t xml:space="preserve"> seeks rehearing claiming that the PUCO erroneously and improperly used PUCO Staff allocation.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BE3FD7">
        <w:rPr>
          <w:rFonts w:ascii="Times New Roman" w:hAnsi="Times New Roman" w:cs="Times New Roman"/>
          <w:sz w:val="24"/>
          <w:szCs w:val="24"/>
        </w:rPr>
        <w:t xml:space="preserve">However, FirstEnergy provides no evidence to show that the PUCO’s approved </w:t>
      </w:r>
      <w:r>
        <w:rPr>
          <w:rFonts w:ascii="Times New Roman" w:hAnsi="Times New Roman" w:cs="Times New Roman"/>
          <w:sz w:val="24"/>
          <w:szCs w:val="24"/>
        </w:rPr>
        <w:t>allocated share to Ohioans</w:t>
      </w:r>
      <w:r w:rsidRPr="00BE3FD7">
        <w:rPr>
          <w:rFonts w:ascii="Times New Roman" w:hAnsi="Times New Roman" w:cs="Times New Roman"/>
          <w:sz w:val="24"/>
          <w:szCs w:val="24"/>
        </w:rPr>
        <w:t xml:space="preserve"> was unlawful</w:t>
      </w:r>
      <w:r>
        <w:rPr>
          <w:rFonts w:ascii="Times New Roman" w:hAnsi="Times New Roman" w:cs="Times New Roman"/>
          <w:sz w:val="24"/>
          <w:szCs w:val="24"/>
        </w:rPr>
        <w:t xml:space="preserve"> or unreasonable. FirstEnergy fails to meet the rehearing standard (unreasonable or unlawful) required under R.C. 4903.10</w:t>
      </w:r>
      <w:r w:rsidRPr="00BE3FD7">
        <w:rPr>
          <w:rFonts w:ascii="Times New Roman" w:hAnsi="Times New Roman" w:cs="Times New Roman"/>
          <w:sz w:val="24"/>
          <w:szCs w:val="24"/>
        </w:rPr>
        <w:t>.</w:t>
      </w:r>
      <w:r>
        <w:rPr>
          <w:rFonts w:ascii="Times New Roman" w:hAnsi="Times New Roman" w:cs="Times New Roman"/>
          <w:sz w:val="24"/>
          <w:szCs w:val="24"/>
        </w:rPr>
        <w:t xml:space="preserve"> Therefore, FirstEnergy’s rehearing request should be denied.</w:t>
      </w:r>
    </w:p>
    <w:p w:rsidR="009F4EA1" w:rsidRPr="00BE3FD7" w:rsidP="009F4EA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Specifically, </w:t>
      </w:r>
      <w:r w:rsidRPr="00BE3FD7">
        <w:rPr>
          <w:rFonts w:ascii="Times New Roman" w:hAnsi="Times New Roman" w:cs="Times New Roman"/>
          <w:sz w:val="24"/>
          <w:szCs w:val="24"/>
        </w:rPr>
        <w:t>FirstEnergy</w:t>
      </w:r>
      <w:r>
        <w:rPr>
          <w:rFonts w:ascii="Times New Roman" w:hAnsi="Times New Roman" w:cs="Times New Roman"/>
          <w:sz w:val="24"/>
          <w:szCs w:val="24"/>
        </w:rPr>
        <w:t xml:space="preserve"> asks the PUCO to increase Ohio customers' obligations from </w:t>
      </w:r>
      <w:r w:rsidRPr="00BE3FD7">
        <w:rPr>
          <w:rFonts w:ascii="Times New Roman" w:hAnsi="Times New Roman" w:cs="Times New Roman"/>
          <w:sz w:val="24"/>
          <w:szCs w:val="24"/>
        </w:rPr>
        <w:t xml:space="preserve">22 percent to 40 percent. </w:t>
      </w:r>
      <w:r>
        <w:rPr>
          <w:rFonts w:ascii="Times New Roman" w:hAnsi="Times New Roman" w:cs="Times New Roman"/>
          <w:sz w:val="24"/>
          <w:szCs w:val="24"/>
        </w:rPr>
        <w:t xml:space="preserve">This means that Ohioans would pay much more under the Credit Support Rider. </w:t>
      </w:r>
      <w:r w:rsidRPr="00BE3FD7">
        <w:rPr>
          <w:rFonts w:ascii="Times New Roman" w:hAnsi="Times New Roman" w:cs="Times New Roman"/>
          <w:sz w:val="24"/>
          <w:szCs w:val="24"/>
        </w:rPr>
        <w:t xml:space="preserve">Ms. Mikkelsen testified that she objected to the 22% allocation to Ohio consumers because it underestimated the importance of the Ohio operations to FirstEnergy Corp. and thus </w:t>
      </w:r>
      <w:r>
        <w:rPr>
          <w:rFonts w:ascii="Times New Roman" w:hAnsi="Times New Roman" w:cs="Times New Roman"/>
          <w:sz w:val="24"/>
          <w:szCs w:val="24"/>
        </w:rPr>
        <w:t>“</w:t>
      </w:r>
      <w:r w:rsidRPr="00BE3FD7">
        <w:rPr>
          <w:rFonts w:ascii="Times New Roman" w:hAnsi="Times New Roman" w:cs="Times New Roman"/>
          <w:sz w:val="24"/>
          <w:szCs w:val="24"/>
        </w:rPr>
        <w:t>penalized</w:t>
      </w:r>
      <w:r>
        <w:rPr>
          <w:rFonts w:ascii="Times New Roman" w:hAnsi="Times New Roman" w:cs="Times New Roman"/>
          <w:sz w:val="24"/>
          <w:szCs w:val="24"/>
        </w:rPr>
        <w:t>”</w:t>
      </w:r>
      <w:r w:rsidRPr="00BE3FD7">
        <w:rPr>
          <w:rFonts w:ascii="Times New Roman" w:hAnsi="Times New Roman" w:cs="Times New Roman"/>
          <w:sz w:val="24"/>
          <w:szCs w:val="24"/>
        </w:rPr>
        <w:t xml:space="preserve"> FirstEnergy.</w:t>
      </w:r>
      <w:r>
        <w:rPr>
          <w:rFonts w:ascii="Times New Roman" w:hAnsi="Times New Roman" w:cs="Times New Roman"/>
          <w:sz w:val="24"/>
          <w:szCs w:val="24"/>
          <w:vertAlign w:val="superscript"/>
        </w:rPr>
        <w:footnoteReference w:id="35"/>
      </w:r>
      <w:r>
        <w:rPr>
          <w:rFonts w:ascii="Times New Roman" w:hAnsi="Times New Roman" w:cs="Times New Roman"/>
          <w:sz w:val="24"/>
          <w:szCs w:val="24"/>
        </w:rPr>
        <w:t xml:space="preserve"> FirstEnergy application for rehearing should be rejected on this matter.  </w:t>
      </w:r>
    </w:p>
    <w:p w:rsidR="009F4EA1" w:rsidRPr="00BE3FD7" w:rsidP="009F4EA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BE3FD7">
        <w:rPr>
          <w:rFonts w:ascii="Times New Roman" w:hAnsi="Times New Roman" w:cs="Times New Roman"/>
          <w:sz w:val="24"/>
          <w:szCs w:val="24"/>
        </w:rPr>
        <w:t xml:space="preserve">he PUCO Staff </w:t>
      </w:r>
      <w:r>
        <w:rPr>
          <w:rFonts w:ascii="Times New Roman" w:hAnsi="Times New Roman" w:cs="Times New Roman"/>
          <w:sz w:val="24"/>
          <w:szCs w:val="24"/>
        </w:rPr>
        <w:t xml:space="preserve">explained why </w:t>
      </w:r>
      <w:r w:rsidRPr="00BE3FD7">
        <w:rPr>
          <w:rFonts w:ascii="Times New Roman" w:hAnsi="Times New Roman" w:cs="Times New Roman"/>
          <w:sz w:val="24"/>
          <w:szCs w:val="24"/>
        </w:rPr>
        <w:t>FirstEnergy</w:t>
      </w:r>
      <w:r>
        <w:rPr>
          <w:rFonts w:ascii="Times New Roman" w:hAnsi="Times New Roman" w:cs="Times New Roman"/>
          <w:sz w:val="24"/>
          <w:szCs w:val="24"/>
        </w:rPr>
        <w:t xml:space="preserve"> is wrong and why the lower allocation of credit support costs should be made to Ohioans</w:t>
      </w:r>
      <w:r w:rsidRPr="00BE3FD7">
        <w:rPr>
          <w:rFonts w:ascii="Times New Roman" w:hAnsi="Times New Roman" w:cs="Times New Roman"/>
          <w:sz w:val="24"/>
          <w:szCs w:val="24"/>
        </w:rPr>
        <w:t>:</w:t>
      </w:r>
    </w:p>
    <w:p w:rsidR="009F4EA1" w:rsidRPr="00BE3FD7" w:rsidP="009F4EA1">
      <w:pPr>
        <w:autoSpaceDE w:val="0"/>
        <w:autoSpaceDN w:val="0"/>
        <w:adjustRightInd w:val="0"/>
        <w:spacing w:after="0" w:line="240" w:lineRule="auto"/>
        <w:ind w:left="1440" w:right="720"/>
        <w:rPr>
          <w:rFonts w:ascii="Times New Roman" w:hAnsi="Times New Roman" w:cs="Times New Roman"/>
          <w:sz w:val="24"/>
          <w:szCs w:val="24"/>
        </w:rPr>
      </w:pPr>
      <w:r w:rsidRPr="00BE3FD7">
        <w:rPr>
          <w:rFonts w:ascii="Times New Roman" w:hAnsi="Times New Roman" w:cs="Times New Roman"/>
          <w:sz w:val="24"/>
          <w:szCs w:val="24"/>
        </w:rPr>
        <w:t xml:space="preserve">[FirstEnergy] suggest[s] that in using operating revenues, the Staff understates the significance of the companies to the [FirstEnergy Corp.] family because the companies experience much greater shopping than the other operating companies. But this is exactly the point. The companies </w:t>
      </w:r>
      <w:r w:rsidRPr="00BE3FD7">
        <w:rPr>
          <w:rFonts w:ascii="Times New Roman" w:hAnsi="Times New Roman" w:cs="Times New Roman"/>
          <w:i/>
          <w:iCs/>
          <w:sz w:val="24"/>
          <w:szCs w:val="24"/>
        </w:rPr>
        <w:t xml:space="preserve">are </w:t>
      </w:r>
      <w:r w:rsidRPr="00BE3FD7">
        <w:rPr>
          <w:rFonts w:ascii="Times New Roman" w:hAnsi="Times New Roman" w:cs="Times New Roman"/>
          <w:sz w:val="24"/>
          <w:szCs w:val="24"/>
        </w:rPr>
        <w:t xml:space="preserve">a less significant part of the [FirstEnergy Corp.] family </w:t>
      </w:r>
      <w:r w:rsidRPr="00BE3FD7">
        <w:rPr>
          <w:rFonts w:ascii="Times New Roman" w:hAnsi="Times New Roman" w:cs="Times New Roman"/>
          <w:i/>
          <w:iCs/>
          <w:sz w:val="24"/>
          <w:szCs w:val="24"/>
        </w:rPr>
        <w:t xml:space="preserve">because there is more shopping. </w:t>
      </w:r>
      <w:r w:rsidRPr="00BE3FD7">
        <w:rPr>
          <w:rFonts w:ascii="Times New Roman" w:hAnsi="Times New Roman" w:cs="Times New Roman"/>
          <w:sz w:val="24"/>
          <w:szCs w:val="24"/>
        </w:rPr>
        <w:t>Fewer customers rely on [FirstEnergy Corp.] subsidiaries in Ohio for services. This is the reality of shopping and this was the intent of the legislature. Far from punishing the [Utilities] because of shopping, the Staff’s approach shows the success of the legislative initiative. The [Utilities’] approach would deny this reality and pretend that the [Utilities] provide much more in services to Ohio customers than is the case. The significance of the companies to the [FirstEnergy Corp.] family has shrunk, the Staff’s methodology recognizes this and should be adopted.</w:t>
      </w:r>
      <w:r>
        <w:rPr>
          <w:rFonts w:ascii="Times New Roman" w:hAnsi="Times New Roman" w:cs="Times New Roman"/>
          <w:sz w:val="24"/>
          <w:szCs w:val="24"/>
          <w:vertAlign w:val="superscript"/>
        </w:rPr>
        <w:footnoteReference w:id="36"/>
      </w:r>
    </w:p>
    <w:p w:rsidR="00127F33" w:rsidP="009F4EA1">
      <w:pPr>
        <w:spacing w:after="0" w:line="480" w:lineRule="auto"/>
        <w:rPr>
          <w:rFonts w:ascii="Times New Roman" w:hAnsi="Times New Roman" w:cs="Times New Roman"/>
          <w:sz w:val="24"/>
          <w:szCs w:val="24"/>
        </w:rPr>
      </w:pPr>
    </w:p>
    <w:p w:rsidR="00127F33" w:rsidP="009F4EA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is no error in the PUCO adopting a 22% allocation.  Nor was there anything improper about the PUCO's finding.  </w:t>
      </w:r>
    </w:p>
    <w:p w:rsidR="009F4EA1" w:rsidRPr="00BE3FD7" w:rsidP="009F4EA1">
      <w:pPr>
        <w:spacing w:after="0" w:line="480" w:lineRule="auto"/>
        <w:rPr>
          <w:rFonts w:ascii="Times New Roman" w:hAnsi="Times New Roman" w:cs="Times New Roman"/>
          <w:sz w:val="24"/>
          <w:szCs w:val="24"/>
        </w:rPr>
      </w:pPr>
      <w:r>
        <w:rPr>
          <w:rFonts w:ascii="Times New Roman" w:hAnsi="Times New Roman" w:cs="Times New Roman"/>
          <w:sz w:val="24"/>
          <w:szCs w:val="24"/>
        </w:rPr>
        <w:tab/>
        <w:t>If the credit rider is upheld by the PUCO, contrary to OCC/NOAC recommendations otherwise, t</w:t>
      </w:r>
      <w:r w:rsidRPr="00BE3FD7">
        <w:rPr>
          <w:rFonts w:ascii="Times New Roman" w:hAnsi="Times New Roman" w:cs="Times New Roman"/>
          <w:sz w:val="24"/>
          <w:szCs w:val="24"/>
        </w:rPr>
        <w:t>he PUCO should</w:t>
      </w:r>
      <w:r>
        <w:rPr>
          <w:rFonts w:ascii="Times New Roman" w:hAnsi="Times New Roman" w:cs="Times New Roman"/>
          <w:sz w:val="24"/>
          <w:szCs w:val="24"/>
        </w:rPr>
        <w:t xml:space="preserve">, nonetheless protect Ohioans from paying more than their fair share. </w:t>
      </w:r>
      <w:r w:rsidRPr="00BE3FD7">
        <w:rPr>
          <w:rFonts w:ascii="Times New Roman" w:hAnsi="Times New Roman" w:cs="Times New Roman"/>
          <w:sz w:val="24"/>
          <w:szCs w:val="24"/>
        </w:rPr>
        <w:t xml:space="preserve">It should reject FirstEnergy’s </w:t>
      </w:r>
      <w:r>
        <w:rPr>
          <w:rFonts w:ascii="Times New Roman" w:hAnsi="Times New Roman" w:cs="Times New Roman"/>
          <w:sz w:val="24"/>
          <w:szCs w:val="24"/>
        </w:rPr>
        <w:t xml:space="preserve">application on rehearing that </w:t>
      </w:r>
      <w:r w:rsidRPr="00BE3FD7">
        <w:rPr>
          <w:rFonts w:ascii="Times New Roman" w:hAnsi="Times New Roman" w:cs="Times New Roman"/>
          <w:sz w:val="24"/>
          <w:szCs w:val="24"/>
        </w:rPr>
        <w:t xml:space="preserve">attempts push onto Ohioans responsibility for 40 percent of the </w:t>
      </w:r>
      <w:r>
        <w:rPr>
          <w:rFonts w:ascii="Times New Roman" w:hAnsi="Times New Roman" w:cs="Times New Roman"/>
          <w:sz w:val="24"/>
          <w:szCs w:val="24"/>
        </w:rPr>
        <w:t xml:space="preserve">credit support.  </w:t>
      </w:r>
      <w:r w:rsidRPr="00BE3FD7">
        <w:rPr>
          <w:rFonts w:ascii="Times New Roman" w:hAnsi="Times New Roman" w:cs="Times New Roman"/>
          <w:sz w:val="24"/>
          <w:szCs w:val="24"/>
        </w:rPr>
        <w:t xml:space="preserve">  </w:t>
      </w:r>
    </w:p>
    <w:p w:rsidR="009F4EA1" w:rsidRPr="00BE3FD7" w:rsidP="009F4EA1">
      <w:pPr>
        <w:pStyle w:val="Heading3"/>
      </w:pPr>
      <w:bookmarkStart w:id="11" w:name="_Toc467842240"/>
      <w:r w:rsidRPr="00BE3FD7">
        <w:t>5.</w:t>
      </w:r>
      <w:r w:rsidRPr="00BE3FD7">
        <w:tab/>
        <w:t xml:space="preserve">The PUCO </w:t>
      </w:r>
      <w:r>
        <w:t>adoption of</w:t>
      </w:r>
      <w:r w:rsidRPr="00BE3FD7">
        <w:t xml:space="preserve"> FirstEnergy’s proposal regarding the </w:t>
      </w:r>
      <w:r>
        <w:t xml:space="preserve">exclusion of </w:t>
      </w:r>
      <w:r w:rsidRPr="00BE3FD7">
        <w:t xml:space="preserve">the Credit Support Rider </w:t>
      </w:r>
      <w:r>
        <w:t>revenues from the</w:t>
      </w:r>
      <w:r w:rsidRPr="00BE3FD7">
        <w:t xml:space="preserve"> Significantly Excessive Earnings Test (“SEET”)</w:t>
      </w:r>
      <w:r>
        <w:t xml:space="preserve"> was unreasonable and unlawful</w:t>
      </w:r>
      <w:r w:rsidRPr="00BE3FD7">
        <w:t>.</w:t>
      </w:r>
      <w:bookmarkEnd w:id="11"/>
      <w:r w:rsidRPr="00BE3FD7">
        <w:t xml:space="preserve"> </w:t>
      </w:r>
    </w:p>
    <w:p w:rsidR="00FC40B2"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held that the revenues from the credit support rider should be excluded from the SEET calculation during the first three years of the rider.</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It did rule that it would revisit its decision to exclude the revenues if the utilities requested an extension of the credit support rider.</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Pr="00BE3FD7">
        <w:rPr>
          <w:rFonts w:ascii="Times New Roman" w:hAnsi="Times New Roman" w:cs="Times New Roman"/>
          <w:sz w:val="24"/>
          <w:szCs w:val="24"/>
        </w:rPr>
        <w:t xml:space="preserve">FirstEnergy has </w:t>
      </w:r>
      <w:r>
        <w:rPr>
          <w:rFonts w:ascii="Times New Roman" w:hAnsi="Times New Roman" w:cs="Times New Roman"/>
          <w:sz w:val="24"/>
          <w:szCs w:val="24"/>
        </w:rPr>
        <w:t>sought rehearing claiming that the PUCO acted erroneously and improperly when it did not rule that SEET revenues should be excluded from SEET as long as the credit rider is in effect.</w:t>
      </w:r>
      <w:r>
        <w:rPr>
          <w:rFonts w:ascii="Times New Roman" w:hAnsi="Times New Roman" w:cs="Times New Roman"/>
          <w:sz w:val="24"/>
          <w:szCs w:val="24"/>
          <w:vertAlign w:val="superscript"/>
        </w:rPr>
        <w:footnoteReference w:id="39"/>
      </w:r>
      <w:r w:rsidRPr="00BE3FD7">
        <w:rPr>
          <w:rFonts w:ascii="Times New Roman" w:hAnsi="Times New Roman" w:cs="Times New Roman"/>
          <w:sz w:val="24"/>
          <w:szCs w:val="24"/>
        </w:rPr>
        <w:t xml:space="preserve"> </w:t>
      </w:r>
      <w:r>
        <w:rPr>
          <w:rFonts w:ascii="Times New Roman" w:hAnsi="Times New Roman" w:cs="Times New Roman"/>
          <w:sz w:val="24"/>
          <w:szCs w:val="24"/>
        </w:rPr>
        <w:t>FirstEnergy claims that if the exclusion of credit support rider revenues was appropriate during the first three years, it should continue as long as the credit support rider is in effect.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According to FirstEnergy, “[t]here is no reason to rule otherwise.”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But, fortunately, there is. That reason is the law--R.C. 4928.143(F). </w:t>
      </w:r>
    </w:p>
    <w:p w:rsidR="00FC40B2" w:rsidP="00CE4202">
      <w:pPr>
        <w:spacing w:after="0" w:line="480" w:lineRule="auto"/>
        <w:rPr>
          <w:rFonts w:ascii="Times New Roman" w:hAnsi="Times New Roman" w:cs="Times New Roman"/>
          <w:sz w:val="24"/>
          <w:szCs w:val="24"/>
        </w:rPr>
      </w:pPr>
      <w:r>
        <w:rPr>
          <w:rFonts w:ascii="Times New Roman" w:hAnsi="Times New Roman" w:cs="Times New Roman"/>
          <w:sz w:val="24"/>
          <w:szCs w:val="24"/>
        </w:rPr>
        <w:tab/>
        <w:t>T</w:t>
      </w:r>
      <w:r w:rsidRPr="00BE3FD7">
        <w:rPr>
          <w:rFonts w:ascii="Times New Roman" w:hAnsi="Times New Roman" w:cs="Times New Roman"/>
          <w:sz w:val="24"/>
          <w:szCs w:val="24"/>
        </w:rPr>
        <w:t xml:space="preserve">he </w:t>
      </w:r>
      <w:r>
        <w:rPr>
          <w:rFonts w:ascii="Times New Roman" w:hAnsi="Times New Roman" w:cs="Times New Roman"/>
          <w:sz w:val="24"/>
          <w:szCs w:val="24"/>
        </w:rPr>
        <w:t xml:space="preserve">revenues from the </w:t>
      </w:r>
      <w:r w:rsidRPr="00BE3FD7">
        <w:rPr>
          <w:rFonts w:ascii="Times New Roman" w:hAnsi="Times New Roman" w:cs="Times New Roman"/>
          <w:sz w:val="24"/>
          <w:szCs w:val="24"/>
        </w:rPr>
        <w:t xml:space="preserve">Credit Support Rider </w:t>
      </w:r>
      <w:r>
        <w:rPr>
          <w:rFonts w:ascii="Times New Roman" w:hAnsi="Times New Roman" w:cs="Times New Roman"/>
          <w:sz w:val="24"/>
          <w:szCs w:val="24"/>
        </w:rPr>
        <w:t xml:space="preserve">must be included in the SEET test under </w:t>
      </w:r>
      <w:r w:rsidRPr="00110B2D">
        <w:rPr>
          <w:rFonts w:ascii="Times New Roman" w:hAnsi="Times New Roman" w:cs="Times New Roman"/>
          <w:sz w:val="24"/>
          <w:szCs w:val="24"/>
        </w:rPr>
        <w:t>R.C.</w:t>
      </w:r>
      <w:r>
        <w:rPr>
          <w:rFonts w:ascii="Times New Roman" w:hAnsi="Times New Roman" w:cs="Times New Roman"/>
          <w:sz w:val="24"/>
          <w:szCs w:val="24"/>
        </w:rPr>
        <w:t xml:space="preserve"> </w:t>
      </w:r>
      <w:r w:rsidRPr="00110B2D">
        <w:rPr>
          <w:rFonts w:ascii="Times New Roman" w:hAnsi="Times New Roman" w:cs="Times New Roman"/>
          <w:sz w:val="24"/>
          <w:szCs w:val="24"/>
        </w:rPr>
        <w:t xml:space="preserve">4928.143(F). That provision applies to </w:t>
      </w:r>
      <w:r>
        <w:rPr>
          <w:rFonts w:ascii="Times New Roman" w:hAnsi="Times New Roman" w:cs="Times New Roman"/>
          <w:sz w:val="24"/>
          <w:szCs w:val="24"/>
        </w:rPr>
        <w:t xml:space="preserve">all ESPs, regardless of the length. </w:t>
      </w:r>
      <w:r w:rsidRPr="00110B2D">
        <w:rPr>
          <w:rFonts w:ascii="Times New Roman" w:hAnsi="Times New Roman" w:cs="Times New Roman"/>
          <w:sz w:val="24"/>
          <w:szCs w:val="24"/>
        </w:rPr>
        <w:t>It requires the PUCO to c</w:t>
      </w:r>
      <w:r>
        <w:rPr>
          <w:rFonts w:ascii="Times New Roman" w:hAnsi="Times New Roman" w:cs="Times New Roman"/>
          <w:sz w:val="24"/>
          <w:szCs w:val="24"/>
        </w:rPr>
        <w:t>onduct an annual review of the u</w:t>
      </w:r>
      <w:r w:rsidRPr="00110B2D">
        <w:rPr>
          <w:rFonts w:ascii="Times New Roman" w:hAnsi="Times New Roman" w:cs="Times New Roman"/>
          <w:sz w:val="24"/>
          <w:szCs w:val="24"/>
        </w:rPr>
        <w:t xml:space="preserve">tility's </w:t>
      </w:r>
      <w:r>
        <w:rPr>
          <w:rFonts w:ascii="Times New Roman" w:hAnsi="Times New Roman" w:cs="Times New Roman"/>
          <w:sz w:val="24"/>
          <w:szCs w:val="24"/>
        </w:rPr>
        <w:t xml:space="preserve">total </w:t>
      </w:r>
      <w:r w:rsidRPr="00110B2D">
        <w:rPr>
          <w:rFonts w:ascii="Times New Roman" w:hAnsi="Times New Roman" w:cs="Times New Roman"/>
          <w:sz w:val="24"/>
          <w:szCs w:val="24"/>
        </w:rPr>
        <w:t xml:space="preserve">earnings under its </w:t>
      </w:r>
      <w:r>
        <w:rPr>
          <w:rFonts w:ascii="Times New Roman" w:hAnsi="Times New Roman" w:cs="Times New Roman"/>
          <w:sz w:val="24"/>
          <w:szCs w:val="24"/>
        </w:rPr>
        <w:t>ESP</w:t>
      </w:r>
      <w:r w:rsidRPr="00110B2D">
        <w:rPr>
          <w:rFonts w:ascii="Times New Roman" w:hAnsi="Times New Roman" w:cs="Times New Roman"/>
          <w:sz w:val="24"/>
          <w:szCs w:val="24"/>
        </w:rPr>
        <w:t>. In its annual review</w:t>
      </w:r>
      <w:r>
        <w:rPr>
          <w:rFonts w:ascii="Times New Roman" w:hAnsi="Times New Roman" w:cs="Times New Roman"/>
          <w:sz w:val="24"/>
          <w:szCs w:val="24"/>
        </w:rPr>
        <w:t>,</w:t>
      </w:r>
      <w:r w:rsidRPr="00110B2D">
        <w:rPr>
          <w:rFonts w:ascii="Times New Roman" w:hAnsi="Times New Roman" w:cs="Times New Roman"/>
          <w:sz w:val="24"/>
          <w:szCs w:val="24"/>
        </w:rPr>
        <w:t xml:space="preserve"> the PUCO is required ("shall") to consider </w:t>
      </w:r>
      <w:r>
        <w:rPr>
          <w:rFonts w:ascii="Times New Roman" w:hAnsi="Times New Roman" w:cs="Times New Roman"/>
          <w:sz w:val="24"/>
          <w:szCs w:val="24"/>
        </w:rPr>
        <w:t>“</w:t>
      </w:r>
      <w:r w:rsidRPr="00110B2D">
        <w:rPr>
          <w:rFonts w:ascii="Times New Roman" w:hAnsi="Times New Roman" w:cs="Times New Roman"/>
          <w:sz w:val="24"/>
          <w:szCs w:val="24"/>
        </w:rPr>
        <w:t>if any such adjustments resulted in excessive earnings.</w:t>
      </w:r>
      <w:r>
        <w:rPr>
          <w:rFonts w:ascii="Times New Roman" w:hAnsi="Times New Roman" w:cs="Times New Roman"/>
          <w:sz w:val="24"/>
          <w:szCs w:val="24"/>
        </w:rPr>
        <w:t>”</w:t>
      </w:r>
      <w:r w:rsidRPr="00110B2D">
        <w:rPr>
          <w:rFonts w:ascii="Times New Roman" w:hAnsi="Times New Roman" w:cs="Times New Roman"/>
          <w:sz w:val="24"/>
          <w:szCs w:val="24"/>
        </w:rPr>
        <w:t xml:space="preserve"> If the PUCO finds that </w:t>
      </w:r>
      <w:r>
        <w:rPr>
          <w:rFonts w:ascii="Times New Roman" w:hAnsi="Times New Roman" w:cs="Times New Roman"/>
          <w:sz w:val="24"/>
          <w:szCs w:val="24"/>
        </w:rPr>
        <w:t>“</w:t>
      </w:r>
      <w:r w:rsidRPr="00110B2D">
        <w:rPr>
          <w:rFonts w:ascii="Times New Roman" w:hAnsi="Times New Roman" w:cs="Times New Roman"/>
          <w:sz w:val="24"/>
          <w:szCs w:val="24"/>
        </w:rPr>
        <w:t>such adjustments</w:t>
      </w:r>
      <w:r>
        <w:rPr>
          <w:rFonts w:ascii="Times New Roman" w:hAnsi="Times New Roman" w:cs="Times New Roman"/>
          <w:sz w:val="24"/>
          <w:szCs w:val="24"/>
        </w:rPr>
        <w:t>”</w:t>
      </w:r>
      <w:r w:rsidRPr="00110B2D">
        <w:rPr>
          <w:rFonts w:ascii="Times New Roman" w:hAnsi="Times New Roman" w:cs="Times New Roman"/>
          <w:sz w:val="24"/>
          <w:szCs w:val="24"/>
        </w:rPr>
        <w:t xml:space="preserve"> did result in significantly excessive earnings, </w:t>
      </w:r>
      <w:r>
        <w:rPr>
          <w:rFonts w:ascii="Times New Roman" w:hAnsi="Times New Roman" w:cs="Times New Roman"/>
          <w:sz w:val="24"/>
          <w:szCs w:val="24"/>
        </w:rPr>
        <w:t xml:space="preserve">compared to similar companies, the utility </w:t>
      </w:r>
      <w:r w:rsidRPr="00110B2D">
        <w:rPr>
          <w:rFonts w:ascii="Times New Roman" w:hAnsi="Times New Roman" w:cs="Times New Roman"/>
          <w:sz w:val="24"/>
          <w:szCs w:val="24"/>
        </w:rPr>
        <w:t>mus</w:t>
      </w:r>
      <w:r>
        <w:rPr>
          <w:rFonts w:ascii="Times New Roman" w:hAnsi="Times New Roman" w:cs="Times New Roman"/>
          <w:sz w:val="24"/>
          <w:szCs w:val="24"/>
        </w:rPr>
        <w:t>t return the excess to customers.</w:t>
      </w:r>
    </w:p>
    <w:p w:rsidR="00FC40B2" w:rsidP="00FC40B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Here the credit support revenues are derived from the ESP. They are an adjustment under the ESP that contributes to the earnings of the Utility. The earnings from the Credit Support Rider must be included in the SEET review under R.C. 4928.143(F). The law does not distinguish between revenues from the credit rider or an extension of the credit rider. All revenues of the credit rider must be included as part of the SEET review.  </w:t>
      </w:r>
    </w:p>
    <w:p w:rsidR="00B82030" w:rsidP="00940732">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FirstEnergy arg</w:t>
      </w:r>
      <w:r>
        <w:rPr>
          <w:rFonts w:ascii="Times New Roman" w:hAnsi="Times New Roman" w:cs="Times New Roman"/>
          <w:sz w:val="24"/>
          <w:szCs w:val="24"/>
        </w:rPr>
        <w:t>ues that including the revenues in SEET would introduce risk and defeat the purpose of the rider.</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Pr="00BE3FD7">
        <w:rPr>
          <w:rFonts w:ascii="Times New Roman" w:hAnsi="Times New Roman" w:cs="Times New Roman"/>
          <w:sz w:val="24"/>
          <w:szCs w:val="24"/>
        </w:rPr>
        <w:t>First of all, the SEET calculation is to be applied to the overall earnings of a utility resulting from all of the “adjustments” included in an approved ESP</w:t>
      </w:r>
      <w:r>
        <w:rPr>
          <w:rFonts w:ascii="Times New Roman" w:hAnsi="Times New Roman" w:cs="Times New Roman"/>
          <w:sz w:val="24"/>
          <w:szCs w:val="24"/>
        </w:rPr>
        <w:t xml:space="preserve">. It does not specifically extract </w:t>
      </w:r>
      <w:r w:rsidRPr="00BE3FD7">
        <w:rPr>
          <w:rFonts w:ascii="Times New Roman" w:hAnsi="Times New Roman" w:cs="Times New Roman"/>
          <w:sz w:val="24"/>
          <w:szCs w:val="24"/>
        </w:rPr>
        <w:t xml:space="preserve">the revenues associated with one particular rider. So even if the revenues of the Credit Support Rider are included in the SEET calculation and a SEET refund is ordered, there is no </w:t>
      </w:r>
      <w:r>
        <w:rPr>
          <w:rFonts w:ascii="Times New Roman" w:hAnsi="Times New Roman" w:cs="Times New Roman"/>
          <w:sz w:val="24"/>
          <w:szCs w:val="24"/>
        </w:rPr>
        <w:t xml:space="preserve">defeating the purpose of the rider.   In such a case, if a refund were ordered it would be because overall earnings were significantly excessive, demonstrating that ESP rates, including the credit support rider, were not just excessive, but significantly excessive. </w:t>
      </w:r>
    </w:p>
    <w:p w:rsidR="009F4EA1" w:rsidRPr="00BE3FD7" w:rsidP="00940732">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Second, the purpose of the Credit Support Rider, if it is determined to be legal and reasonable, is to provide necessary (but not significantly excessively) funds to support FirstEnergy Corp.’s investment grade credit ratings. The Credit Support Rider is not a license for FirstEnergy Corp. or its Ohio EDUs to make significantly excessive earnings. If the Utilities have significantly excessive earnings, as a result of Rider DMR and all other riders and rates, then they should be treated the same as other Ohio EDUs. The Utilities should be required to refund the </w:t>
      </w:r>
      <w:r>
        <w:rPr>
          <w:rFonts w:ascii="Times New Roman" w:hAnsi="Times New Roman" w:cs="Times New Roman"/>
          <w:sz w:val="24"/>
          <w:szCs w:val="24"/>
        </w:rPr>
        <w:t xml:space="preserve">significantly </w:t>
      </w:r>
      <w:r w:rsidRPr="00BE3FD7">
        <w:rPr>
          <w:rFonts w:ascii="Times New Roman" w:hAnsi="Times New Roman" w:cs="Times New Roman"/>
          <w:sz w:val="24"/>
          <w:szCs w:val="24"/>
        </w:rPr>
        <w:t xml:space="preserve">excessive earnings to their customers who are paying the excessive rates in the first place. Therefore the PUCO should reject FirstEnergy’s argument to extend the SEET exclusion for the possible extension period of the Credit Support Rider. </w:t>
      </w:r>
    </w:p>
    <w:p w:rsidR="009F4EA1" w:rsidRPr="00BE3FD7" w:rsidP="009F4EA1">
      <w:pPr>
        <w:pStyle w:val="Heading2"/>
        <w:rPr>
          <w:rFonts w:ascii="Times New Roman" w:hAnsi="Times New Roman" w:cs="Times New Roman"/>
          <w:szCs w:val="24"/>
        </w:rPr>
      </w:pPr>
      <w:bookmarkStart w:id="12" w:name="_Toc467842241"/>
      <w:r>
        <w:rPr>
          <w:rFonts w:ascii="Times New Roman" w:hAnsi="Times New Roman" w:cs="Times New Roman"/>
          <w:szCs w:val="24"/>
        </w:rPr>
        <w:t>C</w:t>
      </w:r>
      <w:r w:rsidRPr="00BE3FD7">
        <w:rPr>
          <w:rFonts w:ascii="Times New Roman" w:hAnsi="Times New Roman" w:cs="Times New Roman"/>
          <w:szCs w:val="24"/>
        </w:rPr>
        <w:t>.</w:t>
      </w:r>
      <w:r w:rsidRPr="00BE3FD7">
        <w:rPr>
          <w:rFonts w:ascii="Times New Roman" w:hAnsi="Times New Roman" w:cs="Times New Roman"/>
          <w:szCs w:val="24"/>
        </w:rPr>
        <w:tab/>
        <w:t xml:space="preserve">The “sufficient progress” standard should be kept, if the PUCO intends to allow the </w:t>
      </w:r>
      <w:r>
        <w:rPr>
          <w:rFonts w:ascii="Times New Roman" w:hAnsi="Times New Roman" w:cs="Times New Roman"/>
          <w:szCs w:val="24"/>
        </w:rPr>
        <w:t>C</w:t>
      </w:r>
      <w:r w:rsidRPr="00BE3FD7">
        <w:rPr>
          <w:rFonts w:ascii="Times New Roman" w:hAnsi="Times New Roman" w:cs="Times New Roman"/>
          <w:szCs w:val="24"/>
        </w:rPr>
        <w:t xml:space="preserve">redit </w:t>
      </w:r>
      <w:r>
        <w:rPr>
          <w:rFonts w:ascii="Times New Roman" w:hAnsi="Times New Roman" w:cs="Times New Roman"/>
          <w:szCs w:val="24"/>
        </w:rPr>
        <w:t>S</w:t>
      </w:r>
      <w:r w:rsidRPr="00BE3FD7">
        <w:rPr>
          <w:rFonts w:ascii="Times New Roman" w:hAnsi="Times New Roman" w:cs="Times New Roman"/>
          <w:szCs w:val="24"/>
        </w:rPr>
        <w:t xml:space="preserve">upport </w:t>
      </w:r>
      <w:r>
        <w:rPr>
          <w:rFonts w:ascii="Times New Roman" w:hAnsi="Times New Roman" w:cs="Times New Roman"/>
          <w:szCs w:val="24"/>
        </w:rPr>
        <w:t>R</w:t>
      </w:r>
      <w:r w:rsidRPr="00BE3FD7">
        <w:rPr>
          <w:rFonts w:ascii="Times New Roman" w:hAnsi="Times New Roman" w:cs="Times New Roman"/>
          <w:szCs w:val="24"/>
        </w:rPr>
        <w:t>ider (over OCC</w:t>
      </w:r>
      <w:r>
        <w:rPr>
          <w:rFonts w:ascii="Times New Roman" w:hAnsi="Times New Roman" w:cs="Times New Roman"/>
          <w:szCs w:val="24"/>
        </w:rPr>
        <w:t>/NOAC</w:t>
      </w:r>
      <w:r w:rsidRPr="00BE3FD7">
        <w:rPr>
          <w:rFonts w:ascii="Times New Roman" w:hAnsi="Times New Roman" w:cs="Times New Roman"/>
          <w:szCs w:val="24"/>
        </w:rPr>
        <w:t xml:space="preserve"> objections), because it is just and reasonable and provides some protection to customers</w:t>
      </w:r>
      <w:r>
        <w:rPr>
          <w:rFonts w:ascii="Times New Roman" w:hAnsi="Times New Roman" w:cs="Times New Roman"/>
          <w:szCs w:val="24"/>
        </w:rPr>
        <w:t>.</w:t>
      </w:r>
      <w:bookmarkEnd w:id="12"/>
    </w:p>
    <w:p w:rsidR="00DD68D0" w:rsidP="00940732">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In its </w:t>
      </w:r>
      <w:r>
        <w:rPr>
          <w:rFonts w:ascii="Times New Roman" w:hAnsi="Times New Roman" w:cs="Times New Roman"/>
          <w:sz w:val="24"/>
          <w:szCs w:val="24"/>
        </w:rPr>
        <w:t>A</w:t>
      </w:r>
      <w:r w:rsidRPr="00BE3FD7">
        <w:rPr>
          <w:rFonts w:ascii="Times New Roman" w:hAnsi="Times New Roman" w:cs="Times New Roman"/>
          <w:sz w:val="24"/>
          <w:szCs w:val="24"/>
        </w:rPr>
        <w:t xml:space="preserve">pplication for </w:t>
      </w:r>
      <w:r>
        <w:rPr>
          <w:rFonts w:ascii="Times New Roman" w:hAnsi="Times New Roman" w:cs="Times New Roman"/>
          <w:sz w:val="24"/>
          <w:szCs w:val="24"/>
        </w:rPr>
        <w:t>R</w:t>
      </w:r>
      <w:r w:rsidRPr="00BE3FD7">
        <w:rPr>
          <w:rFonts w:ascii="Times New Roman" w:hAnsi="Times New Roman" w:cs="Times New Roman"/>
          <w:sz w:val="24"/>
          <w:szCs w:val="24"/>
        </w:rPr>
        <w:t xml:space="preserve">ehearing FirstEnergy claims the PUCO committed many errors in approving </w:t>
      </w:r>
      <w:r>
        <w:rPr>
          <w:rFonts w:ascii="Times New Roman" w:hAnsi="Times New Roman" w:cs="Times New Roman"/>
          <w:sz w:val="24"/>
          <w:szCs w:val="24"/>
        </w:rPr>
        <w:t>the Credit Support Rider.</w:t>
      </w:r>
      <w:r>
        <w:rPr>
          <w:rStyle w:val="FootnoteReference"/>
          <w:rFonts w:ascii="Times New Roman" w:hAnsi="Times New Roman" w:cs="Times New Roman"/>
          <w:sz w:val="24"/>
          <w:szCs w:val="24"/>
        </w:rPr>
        <w:footnoteReference w:id="43"/>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OCC/NOAC </w:t>
      </w:r>
      <w:r w:rsidRPr="00BE3FD7">
        <w:rPr>
          <w:rFonts w:ascii="Times New Roman" w:hAnsi="Times New Roman" w:cs="Times New Roman"/>
          <w:sz w:val="24"/>
          <w:szCs w:val="24"/>
        </w:rPr>
        <w:t>agree</w:t>
      </w:r>
      <w:r>
        <w:rPr>
          <w:rFonts w:ascii="Times New Roman" w:hAnsi="Times New Roman" w:cs="Times New Roman"/>
          <w:sz w:val="24"/>
          <w:szCs w:val="24"/>
        </w:rPr>
        <w:t>s albeit for different reasons.</w:t>
      </w:r>
    </w:p>
    <w:p w:rsidR="009F4EA1" w:rsidRPr="00BE3FD7" w:rsidP="00940732">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One of those errors FirstEnergy alleges is that the PUCO conditioned the continuation of the rider on </w:t>
      </w:r>
      <w:r>
        <w:rPr>
          <w:rFonts w:ascii="Times New Roman" w:hAnsi="Times New Roman" w:cs="Times New Roman"/>
          <w:sz w:val="24"/>
          <w:szCs w:val="24"/>
        </w:rPr>
        <w:t>“</w:t>
      </w:r>
      <w:r w:rsidRPr="00BE3FD7">
        <w:rPr>
          <w:rFonts w:ascii="Times New Roman" w:hAnsi="Times New Roman" w:cs="Times New Roman"/>
          <w:sz w:val="24"/>
          <w:szCs w:val="24"/>
        </w:rPr>
        <w:t>an ill-defined standard.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r w:rsidRPr="00BE3FD7">
        <w:rPr>
          <w:rFonts w:ascii="Times New Roman" w:hAnsi="Times New Roman" w:cs="Times New Roman"/>
          <w:sz w:val="24"/>
          <w:szCs w:val="24"/>
        </w:rPr>
        <w:t xml:space="preserve"> FirstEnergy here is referring to the PUCO's requirement that FirstEnergy cannot collect money from customers until it demonstrates, inter alia, that it has made </w:t>
      </w:r>
      <w:r>
        <w:rPr>
          <w:rFonts w:ascii="Times New Roman" w:hAnsi="Times New Roman" w:cs="Times New Roman"/>
          <w:sz w:val="24"/>
          <w:szCs w:val="24"/>
        </w:rPr>
        <w:t>“</w:t>
      </w:r>
      <w:r w:rsidRPr="00BE3FD7">
        <w:rPr>
          <w:rFonts w:ascii="Times New Roman" w:hAnsi="Times New Roman" w:cs="Times New Roman"/>
          <w:sz w:val="24"/>
          <w:szCs w:val="24"/>
        </w:rPr>
        <w:t>sufficient progress in the implementation and deployment of grid modernization programs approved by the Commission.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Pr="00BE3FD7">
        <w:rPr>
          <w:rFonts w:ascii="Times New Roman" w:hAnsi="Times New Roman" w:cs="Times New Roman"/>
          <w:sz w:val="24"/>
          <w:szCs w:val="24"/>
        </w:rPr>
        <w:t xml:space="preserve">  FirstEnergy claims that “sufficient progress” is </w:t>
      </w:r>
      <w:r>
        <w:rPr>
          <w:rFonts w:ascii="Times New Roman" w:hAnsi="Times New Roman" w:cs="Times New Roman"/>
          <w:sz w:val="24"/>
          <w:szCs w:val="24"/>
        </w:rPr>
        <w:t>“</w:t>
      </w:r>
      <w:r w:rsidRPr="00BE3FD7">
        <w:rPr>
          <w:rFonts w:ascii="Times New Roman" w:hAnsi="Times New Roman" w:cs="Times New Roman"/>
          <w:sz w:val="24"/>
          <w:szCs w:val="24"/>
        </w:rPr>
        <w:t>vague, potentially arbitrary, unduly counterproduct</w:t>
      </w:r>
      <w:r>
        <w:rPr>
          <w:rFonts w:ascii="Times New Roman" w:hAnsi="Times New Roman" w:cs="Times New Roman"/>
          <w:sz w:val="24"/>
          <w:szCs w:val="24"/>
        </w:rPr>
        <w:t>ive and ultimately unnecessary.”</w:t>
      </w:r>
      <w:r>
        <w:rPr>
          <w:rStyle w:val="FootnoteReference"/>
          <w:rFonts w:ascii="Times New Roman" w:hAnsi="Times New Roman" w:cs="Times New Roman"/>
          <w:sz w:val="24"/>
          <w:szCs w:val="24"/>
        </w:rPr>
        <w:footnoteReference w:id="46"/>
      </w:r>
      <w:r w:rsidRPr="00BE3FD7">
        <w:rPr>
          <w:rFonts w:ascii="Times New Roman" w:hAnsi="Times New Roman" w:cs="Times New Roman"/>
          <w:sz w:val="24"/>
          <w:szCs w:val="24"/>
        </w:rPr>
        <w:t xml:space="preserve"> </w:t>
      </w:r>
      <w:r>
        <w:rPr>
          <w:rFonts w:ascii="Times New Roman" w:hAnsi="Times New Roman" w:cs="Times New Roman"/>
          <w:sz w:val="24"/>
          <w:szCs w:val="24"/>
        </w:rPr>
        <w:t>OCC/NOAC</w:t>
      </w:r>
      <w:r w:rsidRPr="00BE3FD7">
        <w:rPr>
          <w:rFonts w:ascii="Times New Roman" w:hAnsi="Times New Roman" w:cs="Times New Roman"/>
          <w:sz w:val="24"/>
          <w:szCs w:val="24"/>
        </w:rPr>
        <w:t xml:space="preserve"> disagree</w:t>
      </w:r>
      <w:r>
        <w:rPr>
          <w:rFonts w:ascii="Times New Roman" w:hAnsi="Times New Roman" w:cs="Times New Roman"/>
          <w:sz w:val="24"/>
          <w:szCs w:val="24"/>
        </w:rPr>
        <w:t>s</w:t>
      </w:r>
      <w:r w:rsidRPr="00BE3FD7">
        <w:rPr>
          <w:rFonts w:ascii="Times New Roman" w:hAnsi="Times New Roman" w:cs="Times New Roman"/>
          <w:sz w:val="24"/>
          <w:szCs w:val="24"/>
        </w:rPr>
        <w:t xml:space="preserve">. </w:t>
      </w:r>
    </w:p>
    <w:p w:rsidR="009F4EA1" w:rsidRPr="00BE3FD7" w:rsidP="009F4EA1">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Initially, FirstEnergy claims that the </w:t>
      </w:r>
      <w:r>
        <w:rPr>
          <w:rFonts w:ascii="Times New Roman" w:hAnsi="Times New Roman" w:cs="Times New Roman"/>
          <w:sz w:val="24"/>
          <w:szCs w:val="24"/>
        </w:rPr>
        <w:t>“</w:t>
      </w:r>
      <w:r w:rsidRPr="00BE3FD7">
        <w:rPr>
          <w:rFonts w:ascii="Times New Roman" w:hAnsi="Times New Roman" w:cs="Times New Roman"/>
          <w:sz w:val="24"/>
          <w:szCs w:val="24"/>
        </w:rPr>
        <w:t>sufficient progress</w:t>
      </w:r>
      <w:r>
        <w:rPr>
          <w:rFonts w:ascii="Times New Roman" w:hAnsi="Times New Roman" w:cs="Times New Roman"/>
          <w:sz w:val="24"/>
          <w:szCs w:val="24"/>
        </w:rPr>
        <w:t>”</w:t>
      </w:r>
      <w:r w:rsidRPr="00BE3FD7">
        <w:rPr>
          <w:rFonts w:ascii="Times New Roman" w:hAnsi="Times New Roman" w:cs="Times New Roman"/>
          <w:sz w:val="24"/>
          <w:szCs w:val="24"/>
        </w:rPr>
        <w:t xml:space="preserve"> standard </w:t>
      </w:r>
      <w:r>
        <w:rPr>
          <w:rFonts w:ascii="Times New Roman" w:hAnsi="Times New Roman" w:cs="Times New Roman"/>
          <w:sz w:val="24"/>
          <w:szCs w:val="24"/>
        </w:rPr>
        <w:t>“</w:t>
      </w:r>
      <w:r w:rsidRPr="00BE3FD7">
        <w:rPr>
          <w:rFonts w:ascii="Times New Roman" w:hAnsi="Times New Roman" w:cs="Times New Roman"/>
          <w:i/>
          <w:sz w:val="24"/>
          <w:szCs w:val="24"/>
        </w:rPr>
        <w:t xml:space="preserve">could </w:t>
      </w:r>
      <w:r w:rsidRPr="00BE3FD7">
        <w:rPr>
          <w:rFonts w:ascii="Times New Roman" w:hAnsi="Times New Roman" w:cs="Times New Roman"/>
          <w:sz w:val="24"/>
          <w:szCs w:val="24"/>
        </w:rPr>
        <w:t>violate the Companies</w:t>
      </w:r>
      <w:r>
        <w:rPr>
          <w:rFonts w:ascii="Times New Roman" w:hAnsi="Times New Roman" w:cs="Times New Roman"/>
          <w:sz w:val="24"/>
          <w:szCs w:val="24"/>
        </w:rPr>
        <w:t>’</w:t>
      </w:r>
      <w:r w:rsidRPr="00BE3FD7">
        <w:rPr>
          <w:rFonts w:ascii="Times New Roman" w:hAnsi="Times New Roman" w:cs="Times New Roman"/>
          <w:sz w:val="24"/>
          <w:szCs w:val="24"/>
        </w:rPr>
        <w:t xml:space="preserve"> due proce</w:t>
      </w:r>
      <w:r>
        <w:rPr>
          <w:rFonts w:ascii="Times New Roman" w:hAnsi="Times New Roman" w:cs="Times New Roman"/>
          <w:sz w:val="24"/>
          <w:szCs w:val="24"/>
        </w:rPr>
        <w:t>ss rights due to its vagueness.”</w:t>
      </w:r>
      <w:r>
        <w:rPr>
          <w:rStyle w:val="FootnoteReference"/>
          <w:rFonts w:ascii="Times New Roman" w:hAnsi="Times New Roman" w:cs="Times New Roman"/>
          <w:sz w:val="24"/>
          <w:szCs w:val="24"/>
        </w:rPr>
        <w:footnoteReference w:id="47"/>
      </w:r>
      <w:r w:rsidRPr="00BE3FD7">
        <w:rPr>
          <w:rFonts w:ascii="Times New Roman" w:hAnsi="Times New Roman" w:cs="Times New Roman"/>
          <w:sz w:val="24"/>
          <w:szCs w:val="24"/>
        </w:rPr>
        <w:t xml:space="preserve"> This single sentence appears to be the sole basis of claiming that the PUCO's decision in this regard was </w:t>
      </w:r>
      <w:r>
        <w:rPr>
          <w:rFonts w:ascii="Times New Roman" w:hAnsi="Times New Roman" w:cs="Times New Roman"/>
          <w:sz w:val="24"/>
          <w:szCs w:val="24"/>
        </w:rPr>
        <w:t>“</w:t>
      </w:r>
      <w:r w:rsidRPr="00BE3FD7">
        <w:rPr>
          <w:rFonts w:ascii="Times New Roman" w:hAnsi="Times New Roman" w:cs="Times New Roman"/>
          <w:sz w:val="24"/>
          <w:szCs w:val="24"/>
        </w:rPr>
        <w:t>unlawful.</w:t>
      </w:r>
      <w:r>
        <w:rPr>
          <w:rFonts w:ascii="Times New Roman" w:hAnsi="Times New Roman" w:cs="Times New Roman"/>
          <w:sz w:val="24"/>
          <w:szCs w:val="24"/>
        </w:rPr>
        <w:t>”</w:t>
      </w:r>
      <w:r w:rsidRPr="00BE3FD7">
        <w:rPr>
          <w:rFonts w:ascii="Times New Roman" w:hAnsi="Times New Roman" w:cs="Times New Roman"/>
          <w:sz w:val="24"/>
          <w:szCs w:val="24"/>
        </w:rPr>
        <w:t xml:space="preserve"> The PUCO can and should address FirstEnergy</w:t>
      </w:r>
      <w:r>
        <w:rPr>
          <w:rFonts w:ascii="Times New Roman" w:hAnsi="Times New Roman" w:cs="Times New Roman"/>
          <w:sz w:val="24"/>
          <w:szCs w:val="24"/>
        </w:rPr>
        <w:t>’</w:t>
      </w:r>
      <w:r w:rsidRPr="00BE3FD7">
        <w:rPr>
          <w:rFonts w:ascii="Times New Roman" w:hAnsi="Times New Roman" w:cs="Times New Roman"/>
          <w:sz w:val="24"/>
          <w:szCs w:val="24"/>
        </w:rPr>
        <w:t>s claim using a single sentence approach as well. Rehearing denied.</w:t>
      </w:r>
    </w:p>
    <w:p w:rsidR="009F4EA1" w:rsidRPr="00BE3FD7" w:rsidP="009F4EA1">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FirstEnergy does nothing to support its legal theory. It does not explain the vagueness doctrine. It cites no case law. No PUCO precedent.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But, FirstEnergy's minimalist approach does not square with the heavy burden of proof that accompanies such a constitutional challenge. Those challenging the constitutionality of a statute or order bear a heavy burden of proof--they must establish beyond a reasonable doubt that the provision is unconstitutional.</w:t>
      </w:r>
      <w:r>
        <w:rPr>
          <w:rStyle w:val="FootnoteReference"/>
          <w:rFonts w:ascii="Times New Roman" w:hAnsi="Times New Roman" w:cs="Times New Roman"/>
          <w:sz w:val="24"/>
          <w:szCs w:val="24"/>
        </w:rPr>
        <w:footnoteReference w:id="48"/>
      </w:r>
      <w:r w:rsidRPr="00BE3FD7">
        <w:rPr>
          <w:rFonts w:ascii="Times New Roman" w:hAnsi="Times New Roman" w:cs="Times New Roman"/>
          <w:sz w:val="24"/>
          <w:szCs w:val="24"/>
        </w:rPr>
        <w:t xml:space="preserve"> That means FirstEnergy must show that the order is so vague, imprecise and indefinite that men of common intelligence must necessarily guess at its meaning and differ as to its application.</w:t>
      </w:r>
      <w:r>
        <w:rPr>
          <w:rStyle w:val="FootnoteReference"/>
          <w:rFonts w:ascii="Times New Roman" w:hAnsi="Times New Roman" w:cs="Times New Roman"/>
          <w:sz w:val="24"/>
          <w:szCs w:val="24"/>
        </w:rPr>
        <w:footnoteReference w:id="49"/>
      </w:r>
      <w:r w:rsidRPr="00BE3FD7">
        <w:rPr>
          <w:rFonts w:ascii="Times New Roman" w:hAnsi="Times New Roman" w:cs="Times New Roman"/>
          <w:i/>
          <w:sz w:val="24"/>
          <w:szCs w:val="24"/>
        </w:rPr>
        <w:t xml:space="preserve"> </w:t>
      </w:r>
      <w:r w:rsidRPr="00BE3FD7">
        <w:rPr>
          <w:rFonts w:ascii="Times New Roman" w:hAnsi="Times New Roman" w:cs="Times New Roman"/>
          <w:sz w:val="24"/>
          <w:szCs w:val="24"/>
        </w:rPr>
        <w:t>And, the standard of vagueness applicable to administrative regulation is lower than that found in criminal statutes.</w:t>
      </w:r>
      <w:r>
        <w:rPr>
          <w:rStyle w:val="FootnoteReference"/>
          <w:rFonts w:ascii="Times New Roman" w:hAnsi="Times New Roman" w:cs="Times New Roman"/>
          <w:sz w:val="24"/>
          <w:szCs w:val="24"/>
        </w:rPr>
        <w:footnoteReference w:id="50"/>
      </w:r>
      <w:r w:rsidRPr="00BE3FD7">
        <w:rPr>
          <w:rFonts w:ascii="Times New Roman" w:hAnsi="Times New Roman" w:cs="Times New Roman"/>
          <w:sz w:val="24"/>
          <w:szCs w:val="24"/>
        </w:rPr>
        <w:t xml:space="preserve"> Administrative regulation requires merely general notice.</w:t>
      </w:r>
      <w:r>
        <w:rPr>
          <w:rStyle w:val="FootnoteReference"/>
          <w:rFonts w:ascii="Times New Roman" w:hAnsi="Times New Roman" w:cs="Times New Roman"/>
          <w:sz w:val="24"/>
          <w:szCs w:val="24"/>
        </w:rPr>
        <w:footnoteReference w:id="51"/>
      </w:r>
      <w:r w:rsidRPr="00BE3FD7">
        <w:rPr>
          <w:rFonts w:ascii="Times New Roman" w:hAnsi="Times New Roman" w:cs="Times New Roman"/>
          <w:sz w:val="24"/>
          <w:szCs w:val="24"/>
        </w:rPr>
        <w:t xml:space="preserve"> General notice is given under the PUCO Order--FirstEnergy cannot collect money from customers until at least the </w:t>
      </w:r>
      <w:r>
        <w:rPr>
          <w:rFonts w:ascii="Times New Roman" w:hAnsi="Times New Roman" w:cs="Times New Roman"/>
          <w:sz w:val="24"/>
          <w:szCs w:val="24"/>
        </w:rPr>
        <w:t xml:space="preserve">grid modernization </w:t>
      </w:r>
      <w:r w:rsidRPr="00BE3FD7">
        <w:rPr>
          <w:rFonts w:ascii="Times New Roman" w:hAnsi="Times New Roman" w:cs="Times New Roman"/>
          <w:sz w:val="24"/>
          <w:szCs w:val="24"/>
        </w:rPr>
        <w:t>programs are approved. There is no basis for granting rehearing on this claim of error.</w:t>
      </w:r>
    </w:p>
    <w:p w:rsidR="009F4EA1" w:rsidRPr="00BE3FD7" w:rsidP="009F4EA1">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FirstEnergy also assails the </w:t>
      </w:r>
      <w:r>
        <w:rPr>
          <w:rFonts w:ascii="Times New Roman" w:hAnsi="Times New Roman" w:cs="Times New Roman"/>
          <w:sz w:val="24"/>
          <w:szCs w:val="24"/>
        </w:rPr>
        <w:t>“</w:t>
      </w:r>
      <w:r w:rsidRPr="00BE3FD7">
        <w:rPr>
          <w:rFonts w:ascii="Times New Roman" w:hAnsi="Times New Roman" w:cs="Times New Roman"/>
          <w:sz w:val="24"/>
          <w:szCs w:val="24"/>
        </w:rPr>
        <w:t>sufficient progress</w:t>
      </w:r>
      <w:r>
        <w:rPr>
          <w:rFonts w:ascii="Times New Roman" w:hAnsi="Times New Roman" w:cs="Times New Roman"/>
          <w:sz w:val="24"/>
          <w:szCs w:val="24"/>
        </w:rPr>
        <w:t>”</w:t>
      </w:r>
      <w:r w:rsidRPr="00BE3FD7">
        <w:rPr>
          <w:rFonts w:ascii="Times New Roman" w:hAnsi="Times New Roman" w:cs="Times New Roman"/>
          <w:sz w:val="24"/>
          <w:szCs w:val="24"/>
        </w:rPr>
        <w:t xml:space="preserve"> requirement as unreasonable.  FirstEnergy believes that the standard is </w:t>
      </w:r>
      <w:r>
        <w:rPr>
          <w:rFonts w:ascii="Times New Roman" w:hAnsi="Times New Roman" w:cs="Times New Roman"/>
          <w:sz w:val="24"/>
          <w:szCs w:val="24"/>
        </w:rPr>
        <w:t>“</w:t>
      </w:r>
      <w:r w:rsidRPr="00BE3FD7">
        <w:rPr>
          <w:rFonts w:ascii="Times New Roman" w:hAnsi="Times New Roman" w:cs="Times New Roman"/>
          <w:sz w:val="24"/>
          <w:szCs w:val="24"/>
        </w:rPr>
        <w:t>counterproductive,</w:t>
      </w:r>
      <w:r>
        <w:rPr>
          <w:rFonts w:ascii="Times New Roman" w:hAnsi="Times New Roman" w:cs="Times New Roman"/>
          <w:sz w:val="24"/>
          <w:szCs w:val="24"/>
        </w:rPr>
        <w:t>”</w:t>
      </w:r>
      <w:r w:rsidRPr="00BE3FD7">
        <w:rPr>
          <w:rFonts w:ascii="Times New Roman" w:hAnsi="Times New Roman" w:cs="Times New Roman"/>
          <w:sz w:val="24"/>
          <w:szCs w:val="24"/>
        </w:rPr>
        <w:t xml:space="preserve"> </w:t>
      </w:r>
      <w:r>
        <w:rPr>
          <w:rFonts w:ascii="Times New Roman" w:hAnsi="Times New Roman" w:cs="Times New Roman"/>
          <w:sz w:val="24"/>
          <w:szCs w:val="24"/>
        </w:rPr>
        <w:t>“</w:t>
      </w:r>
      <w:r w:rsidRPr="00BE3FD7">
        <w:rPr>
          <w:rFonts w:ascii="Times New Roman" w:hAnsi="Times New Roman" w:cs="Times New Roman"/>
          <w:sz w:val="24"/>
          <w:szCs w:val="24"/>
        </w:rPr>
        <w:t>unworkable</w:t>
      </w:r>
      <w:r>
        <w:rPr>
          <w:rFonts w:ascii="Times New Roman" w:hAnsi="Times New Roman" w:cs="Times New Roman"/>
          <w:sz w:val="24"/>
          <w:szCs w:val="24"/>
        </w:rPr>
        <w:t>”</w:t>
      </w:r>
      <w:r w:rsidRPr="00BE3FD7">
        <w:rPr>
          <w:rFonts w:ascii="Times New Roman" w:hAnsi="Times New Roman" w:cs="Times New Roman"/>
          <w:sz w:val="24"/>
          <w:szCs w:val="24"/>
        </w:rPr>
        <w:t xml:space="preserve"> and “unnecessary.” FirstEnergy explains that it contradicts the flexibility the PUCO granted it when the PUCO determined </w:t>
      </w:r>
      <w:r>
        <w:rPr>
          <w:rFonts w:ascii="Times New Roman" w:hAnsi="Times New Roman" w:cs="Times New Roman"/>
          <w:sz w:val="24"/>
          <w:szCs w:val="24"/>
        </w:rPr>
        <w:t xml:space="preserve">that the so called distribution modernization rider </w:t>
      </w:r>
      <w:r w:rsidRPr="00BE3FD7">
        <w:rPr>
          <w:rFonts w:ascii="Times New Roman" w:hAnsi="Times New Roman" w:cs="Times New Roman"/>
          <w:sz w:val="24"/>
          <w:szCs w:val="24"/>
        </w:rPr>
        <w:t xml:space="preserve">did not require $1 to be spent on grid modernization. FirstEnergy argues that it should be able to retain flexibility to use </w:t>
      </w:r>
      <w:r>
        <w:rPr>
          <w:rFonts w:ascii="Times New Roman" w:hAnsi="Times New Roman" w:cs="Times New Roman"/>
          <w:sz w:val="24"/>
          <w:szCs w:val="24"/>
        </w:rPr>
        <w:t xml:space="preserve">Rider DMR </w:t>
      </w:r>
      <w:r w:rsidRPr="00BE3FD7">
        <w:rPr>
          <w:rFonts w:ascii="Times New Roman" w:hAnsi="Times New Roman" w:cs="Times New Roman"/>
          <w:sz w:val="24"/>
          <w:szCs w:val="24"/>
        </w:rPr>
        <w:t xml:space="preserve">funding to address other </w:t>
      </w:r>
      <w:r>
        <w:rPr>
          <w:rFonts w:ascii="Times New Roman" w:hAnsi="Times New Roman" w:cs="Times New Roman"/>
          <w:sz w:val="24"/>
          <w:szCs w:val="24"/>
        </w:rPr>
        <w:t>“</w:t>
      </w:r>
      <w:r w:rsidRPr="00BE3FD7">
        <w:rPr>
          <w:rFonts w:ascii="Times New Roman" w:hAnsi="Times New Roman" w:cs="Times New Roman"/>
          <w:sz w:val="24"/>
          <w:szCs w:val="24"/>
        </w:rPr>
        <w:t>numerous substantial financ</w:t>
      </w:r>
      <w:r>
        <w:rPr>
          <w:rFonts w:ascii="Times New Roman" w:hAnsi="Times New Roman" w:cs="Times New Roman"/>
          <w:sz w:val="24"/>
          <w:szCs w:val="24"/>
        </w:rPr>
        <w:t>ial obligations and challenges.”</w:t>
      </w:r>
      <w:r w:rsidRPr="00BE3FD7">
        <w:rPr>
          <w:rFonts w:ascii="Times New Roman" w:hAnsi="Times New Roman" w:cs="Times New Roman"/>
          <w:sz w:val="24"/>
          <w:szCs w:val="24"/>
        </w:rPr>
        <w:t xml:space="preserve"> In particular, FirstEnergy mentions its pension obligations and maturing debt.</w:t>
      </w:r>
      <w:r>
        <w:rPr>
          <w:rStyle w:val="FootnoteReference"/>
          <w:rFonts w:ascii="Times New Roman" w:hAnsi="Times New Roman" w:cs="Times New Roman"/>
          <w:sz w:val="24"/>
          <w:szCs w:val="24"/>
        </w:rPr>
        <w:footnoteReference w:id="52"/>
      </w:r>
      <w:r w:rsidRPr="00BE3FD7">
        <w:rPr>
          <w:rFonts w:ascii="Times New Roman" w:hAnsi="Times New Roman" w:cs="Times New Roman"/>
          <w:sz w:val="24"/>
          <w:szCs w:val="24"/>
        </w:rPr>
        <w:t xml:space="preserve"> FirstEnergy alleges that progress on grid modernization will be addressed in a separate docket:  </w:t>
      </w:r>
      <w:r>
        <w:rPr>
          <w:rFonts w:ascii="Times New Roman" w:hAnsi="Times New Roman" w:cs="Times New Roman"/>
          <w:sz w:val="24"/>
          <w:szCs w:val="24"/>
        </w:rPr>
        <w:t>“</w:t>
      </w:r>
      <w:r w:rsidRPr="00BE3FD7">
        <w:rPr>
          <w:rFonts w:ascii="Times New Roman" w:hAnsi="Times New Roman" w:cs="Times New Roman"/>
          <w:sz w:val="24"/>
          <w:szCs w:val="24"/>
        </w:rPr>
        <w:t>Whether 'sufficient progress' is being made will be a matter for t</w:t>
      </w:r>
      <w:r>
        <w:rPr>
          <w:rFonts w:ascii="Times New Roman" w:hAnsi="Times New Roman" w:cs="Times New Roman"/>
          <w:sz w:val="24"/>
          <w:szCs w:val="24"/>
        </w:rPr>
        <w:t>hose other cases, not this one.”</w:t>
      </w:r>
    </w:p>
    <w:p w:rsidR="009F4EA1" w:rsidRPr="00BE3FD7" w:rsidP="009F4EA1">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While OCC</w:t>
      </w:r>
      <w:r>
        <w:rPr>
          <w:rFonts w:ascii="Times New Roman" w:hAnsi="Times New Roman" w:cs="Times New Roman"/>
          <w:sz w:val="24"/>
          <w:szCs w:val="24"/>
        </w:rPr>
        <w:t>/NOAC</w:t>
      </w:r>
      <w:r w:rsidRPr="00BE3FD7">
        <w:rPr>
          <w:rFonts w:ascii="Times New Roman" w:hAnsi="Times New Roman" w:cs="Times New Roman"/>
          <w:sz w:val="24"/>
          <w:szCs w:val="24"/>
        </w:rPr>
        <w:t xml:space="preserve"> oppose </w:t>
      </w:r>
      <w:r>
        <w:rPr>
          <w:rFonts w:ascii="Times New Roman" w:hAnsi="Times New Roman" w:cs="Times New Roman"/>
          <w:sz w:val="24"/>
          <w:szCs w:val="24"/>
        </w:rPr>
        <w:t>the Credit Support Rider</w:t>
      </w:r>
      <w:r w:rsidRPr="00BE3FD7">
        <w:rPr>
          <w:rFonts w:ascii="Times New Roman" w:hAnsi="Times New Roman" w:cs="Times New Roman"/>
          <w:sz w:val="24"/>
          <w:szCs w:val="24"/>
        </w:rPr>
        <w:t xml:space="preserve"> (and seeks its own rehearing on that), the condition of sufficient progress is not unreasonable. It is preferable to just handing the money over to the </w:t>
      </w:r>
      <w:r>
        <w:rPr>
          <w:rFonts w:ascii="Times New Roman" w:hAnsi="Times New Roman" w:cs="Times New Roman"/>
          <w:sz w:val="24"/>
          <w:szCs w:val="24"/>
        </w:rPr>
        <w:t>U</w:t>
      </w:r>
      <w:r w:rsidRPr="00BE3FD7">
        <w:rPr>
          <w:rFonts w:ascii="Times New Roman" w:hAnsi="Times New Roman" w:cs="Times New Roman"/>
          <w:sz w:val="24"/>
          <w:szCs w:val="24"/>
        </w:rPr>
        <w:t>tilit</w:t>
      </w:r>
      <w:r>
        <w:rPr>
          <w:rFonts w:ascii="Times New Roman" w:hAnsi="Times New Roman" w:cs="Times New Roman"/>
          <w:sz w:val="24"/>
          <w:szCs w:val="24"/>
        </w:rPr>
        <w:t>ies</w:t>
      </w:r>
      <w:r w:rsidRPr="00BE3FD7">
        <w:rPr>
          <w:rFonts w:ascii="Times New Roman" w:hAnsi="Times New Roman" w:cs="Times New Roman"/>
          <w:sz w:val="24"/>
          <w:szCs w:val="24"/>
        </w:rPr>
        <w:t xml:space="preserve"> to use as it sees fit, in any manner. If FirstEnergy has its way, through </w:t>
      </w:r>
      <w:r>
        <w:rPr>
          <w:rFonts w:ascii="Times New Roman" w:hAnsi="Times New Roman" w:cs="Times New Roman"/>
          <w:sz w:val="24"/>
          <w:szCs w:val="24"/>
        </w:rPr>
        <w:t xml:space="preserve">the Credit Support Rider </w:t>
      </w:r>
      <w:r w:rsidRPr="00BE3FD7">
        <w:rPr>
          <w:rFonts w:ascii="Times New Roman" w:hAnsi="Times New Roman" w:cs="Times New Roman"/>
          <w:sz w:val="24"/>
          <w:szCs w:val="24"/>
        </w:rPr>
        <w:t>customers will be required to fund activities that may have no relation to the provision of utility service in Ohio. For instance, FirstEnergy mentions it has pension obligations and maturing debt, unrelated to grid modernization.</w:t>
      </w:r>
      <w:r>
        <w:rPr>
          <w:rStyle w:val="FootnoteReference"/>
          <w:rFonts w:ascii="Times New Roman" w:hAnsi="Times New Roman" w:cs="Times New Roman"/>
          <w:sz w:val="24"/>
          <w:szCs w:val="24"/>
        </w:rPr>
        <w:footnoteReference w:id="53"/>
      </w:r>
      <w:r w:rsidRPr="00BE3FD7">
        <w:rPr>
          <w:rFonts w:ascii="Times New Roman" w:hAnsi="Times New Roman" w:cs="Times New Roman"/>
          <w:sz w:val="24"/>
          <w:szCs w:val="24"/>
        </w:rPr>
        <w:t xml:space="preserve"> </w:t>
      </w:r>
      <w:r>
        <w:rPr>
          <w:rFonts w:ascii="Times New Roman" w:hAnsi="Times New Roman" w:cs="Times New Roman"/>
          <w:sz w:val="24"/>
          <w:szCs w:val="24"/>
        </w:rPr>
        <w:t>The Credit Support Rider</w:t>
      </w:r>
      <w:r w:rsidRPr="00BE3FD7">
        <w:rPr>
          <w:rFonts w:ascii="Times New Roman" w:hAnsi="Times New Roman" w:cs="Times New Roman"/>
          <w:sz w:val="24"/>
          <w:szCs w:val="24"/>
        </w:rPr>
        <w:t>, under FirstEnergy</w:t>
      </w:r>
      <w:r>
        <w:rPr>
          <w:rFonts w:ascii="Times New Roman" w:hAnsi="Times New Roman" w:cs="Times New Roman"/>
          <w:sz w:val="24"/>
          <w:szCs w:val="24"/>
        </w:rPr>
        <w:t>’</w:t>
      </w:r>
      <w:r w:rsidRPr="00BE3FD7">
        <w:rPr>
          <w:rFonts w:ascii="Times New Roman" w:hAnsi="Times New Roman" w:cs="Times New Roman"/>
          <w:sz w:val="24"/>
          <w:szCs w:val="24"/>
        </w:rPr>
        <w:t>s take</w:t>
      </w:r>
      <w:r>
        <w:rPr>
          <w:rFonts w:ascii="Times New Roman" w:hAnsi="Times New Roman" w:cs="Times New Roman"/>
          <w:sz w:val="24"/>
          <w:szCs w:val="24"/>
        </w:rPr>
        <w:t>,</w:t>
      </w:r>
      <w:r w:rsidRPr="00BE3FD7">
        <w:rPr>
          <w:rFonts w:ascii="Times New Roman" w:hAnsi="Times New Roman" w:cs="Times New Roman"/>
          <w:sz w:val="24"/>
          <w:szCs w:val="24"/>
        </w:rPr>
        <w:t xml:space="preserve"> could be used for these purposes. That is wrong and the PUCO should not allow it. Charges under an </w:t>
      </w:r>
      <w:r>
        <w:rPr>
          <w:rFonts w:ascii="Times New Roman" w:hAnsi="Times New Roman" w:cs="Times New Roman"/>
          <w:sz w:val="24"/>
          <w:szCs w:val="24"/>
        </w:rPr>
        <w:t>ESP</w:t>
      </w:r>
      <w:r w:rsidRPr="00BE3FD7">
        <w:rPr>
          <w:rFonts w:ascii="Times New Roman" w:hAnsi="Times New Roman" w:cs="Times New Roman"/>
          <w:sz w:val="24"/>
          <w:szCs w:val="24"/>
        </w:rPr>
        <w:t xml:space="preserve"> should be charges related to providing customers the standard service offer or discrete distribution projects.  </w:t>
      </w:r>
    </w:p>
    <w:p w:rsidR="009F4EA1" w:rsidRPr="00BE3FD7" w:rsidP="00940732">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But </w:t>
      </w:r>
      <w:r>
        <w:rPr>
          <w:rFonts w:ascii="Times New Roman" w:hAnsi="Times New Roman" w:cs="Times New Roman"/>
          <w:sz w:val="24"/>
          <w:szCs w:val="24"/>
        </w:rPr>
        <w:t>the Credit Support Rider,</w:t>
      </w:r>
      <w:r w:rsidRPr="00BE3FD7">
        <w:rPr>
          <w:rFonts w:ascii="Times New Roman" w:hAnsi="Times New Roman" w:cs="Times New Roman"/>
          <w:sz w:val="24"/>
          <w:szCs w:val="24"/>
        </w:rPr>
        <w:t xml:space="preserve"> as ordered by the PUCO (and requested by FirstEnergy)</w:t>
      </w:r>
      <w:r>
        <w:rPr>
          <w:rFonts w:ascii="Times New Roman" w:hAnsi="Times New Roman" w:cs="Times New Roman"/>
          <w:sz w:val="24"/>
          <w:szCs w:val="24"/>
        </w:rPr>
        <w:t>,</w:t>
      </w:r>
      <w:r w:rsidRPr="00BE3FD7">
        <w:rPr>
          <w:rFonts w:ascii="Times New Roman" w:hAnsi="Times New Roman" w:cs="Times New Roman"/>
          <w:sz w:val="24"/>
          <w:szCs w:val="24"/>
        </w:rPr>
        <w:t xml:space="preserve"> doesn’t fit the bill. As explained by FirstEnergy, it has numerous financial obligations unrelated to grid modernization. These would be </w:t>
      </w:r>
      <w:r>
        <w:rPr>
          <w:rFonts w:ascii="Times New Roman" w:hAnsi="Times New Roman" w:cs="Times New Roman"/>
          <w:sz w:val="24"/>
          <w:szCs w:val="24"/>
        </w:rPr>
        <w:t xml:space="preserve">some of the </w:t>
      </w:r>
      <w:r w:rsidRPr="00BE3FD7">
        <w:rPr>
          <w:rFonts w:ascii="Times New Roman" w:hAnsi="Times New Roman" w:cs="Times New Roman"/>
          <w:sz w:val="24"/>
          <w:szCs w:val="24"/>
        </w:rPr>
        <w:t xml:space="preserve">potential uses of </w:t>
      </w:r>
      <w:r>
        <w:rPr>
          <w:rFonts w:ascii="Times New Roman" w:hAnsi="Times New Roman" w:cs="Times New Roman"/>
          <w:sz w:val="24"/>
          <w:szCs w:val="24"/>
        </w:rPr>
        <w:t>Credit Support Rider revenues</w:t>
      </w:r>
      <w:r w:rsidRPr="00BE3FD7">
        <w:rPr>
          <w:rFonts w:ascii="Times New Roman" w:hAnsi="Times New Roman" w:cs="Times New Roman"/>
          <w:sz w:val="24"/>
          <w:szCs w:val="24"/>
        </w:rPr>
        <w:t xml:space="preserve"> that </w:t>
      </w:r>
      <w:r>
        <w:rPr>
          <w:rFonts w:ascii="Times New Roman" w:hAnsi="Times New Roman" w:cs="Times New Roman"/>
          <w:sz w:val="24"/>
          <w:szCs w:val="24"/>
        </w:rPr>
        <w:t xml:space="preserve">will be </w:t>
      </w:r>
      <w:r w:rsidRPr="00BE3FD7">
        <w:rPr>
          <w:rFonts w:ascii="Times New Roman" w:hAnsi="Times New Roman" w:cs="Times New Roman"/>
          <w:sz w:val="24"/>
          <w:szCs w:val="24"/>
        </w:rPr>
        <w:t xml:space="preserve">collected from customers. FirstEnergy’s </w:t>
      </w:r>
      <w:r>
        <w:rPr>
          <w:rFonts w:ascii="Times New Roman" w:hAnsi="Times New Roman" w:cs="Times New Roman"/>
          <w:sz w:val="24"/>
          <w:szCs w:val="24"/>
        </w:rPr>
        <w:t>A</w:t>
      </w:r>
      <w:r w:rsidRPr="00BE3FD7">
        <w:rPr>
          <w:rFonts w:ascii="Times New Roman" w:hAnsi="Times New Roman" w:cs="Times New Roman"/>
          <w:sz w:val="24"/>
          <w:szCs w:val="24"/>
        </w:rPr>
        <w:t xml:space="preserve">pplication for </w:t>
      </w:r>
      <w:r>
        <w:rPr>
          <w:rFonts w:ascii="Times New Roman" w:hAnsi="Times New Roman" w:cs="Times New Roman"/>
          <w:sz w:val="24"/>
          <w:szCs w:val="24"/>
        </w:rPr>
        <w:t>R</w:t>
      </w:r>
      <w:r w:rsidRPr="00BE3FD7">
        <w:rPr>
          <w:rFonts w:ascii="Times New Roman" w:hAnsi="Times New Roman" w:cs="Times New Roman"/>
          <w:sz w:val="24"/>
          <w:szCs w:val="24"/>
        </w:rPr>
        <w:t>ehearing would make</w:t>
      </w:r>
      <w:r>
        <w:rPr>
          <w:rFonts w:ascii="Times New Roman" w:hAnsi="Times New Roman" w:cs="Times New Roman"/>
          <w:sz w:val="24"/>
          <w:szCs w:val="24"/>
        </w:rPr>
        <w:t xml:space="preserve"> the Credit Support an unlawful subsidy because the revenues could ultimately be used for the benefit of the Utilities’ unregulated affiliate, FirstEnergy Solutions</w:t>
      </w:r>
      <w:r w:rsidRPr="00BE3FD7">
        <w:rPr>
          <w:rFonts w:ascii="Times New Roman" w:hAnsi="Times New Roman" w:cs="Times New Roman"/>
          <w:sz w:val="24"/>
          <w:szCs w:val="24"/>
        </w:rPr>
        <w:t>. The PUCO should deny rehearing</w:t>
      </w:r>
      <w:r>
        <w:rPr>
          <w:rFonts w:ascii="Times New Roman" w:hAnsi="Times New Roman" w:cs="Times New Roman"/>
          <w:sz w:val="24"/>
          <w:szCs w:val="24"/>
        </w:rPr>
        <w:t xml:space="preserve"> on this issue</w:t>
      </w:r>
      <w:r w:rsidRPr="00BE3FD7">
        <w:rPr>
          <w:rFonts w:ascii="Times New Roman" w:hAnsi="Times New Roman" w:cs="Times New Roman"/>
          <w:sz w:val="24"/>
          <w:szCs w:val="24"/>
        </w:rPr>
        <w:t>.</w:t>
      </w:r>
    </w:p>
    <w:p w:rsidR="005C69DE" w:rsidRPr="00BE3FD7" w:rsidP="005C69DE">
      <w:pPr>
        <w:pStyle w:val="Heading3"/>
      </w:pPr>
      <w:bookmarkStart w:id="13" w:name="_Toc467842242"/>
      <w:r w:rsidRPr="00BE3FD7">
        <w:t>1.</w:t>
      </w:r>
      <w:r w:rsidRPr="00BE3FD7">
        <w:tab/>
      </w:r>
      <w:r>
        <w:t xml:space="preserve">The PUCO’s failure to find the Credit Support Rider </w:t>
      </w:r>
      <w:r w:rsidRPr="00BE3FD7">
        <w:t>is not authorized under R.C. 4928.143(B)(2)(i)</w:t>
      </w:r>
      <w:r>
        <w:t xml:space="preserve"> was not unreasonable or unlawful</w:t>
      </w:r>
      <w:r w:rsidRPr="00BE3FD7">
        <w:t>.</w:t>
      </w:r>
      <w:bookmarkEnd w:id="13"/>
      <w:r w:rsidRPr="00BE3FD7">
        <w:t xml:space="preserve"> </w:t>
      </w:r>
    </w:p>
    <w:p w:rsidR="009F4EA1" w:rsidRPr="00BE3FD7" w:rsidP="009F4EA1">
      <w:pPr>
        <w:spacing w:after="0" w:line="480" w:lineRule="auto"/>
        <w:rPr>
          <w:rFonts w:ascii="Times New Roman" w:hAnsi="Times New Roman" w:cs="Times New Roman"/>
          <w:sz w:val="24"/>
          <w:szCs w:val="24"/>
        </w:rPr>
      </w:pPr>
      <w:r w:rsidRPr="00BE3FD7">
        <w:rPr>
          <w:rFonts w:ascii="Times New Roman" w:hAnsi="Times New Roman" w:cs="Times New Roman"/>
          <w:b/>
          <w:sz w:val="24"/>
          <w:szCs w:val="24"/>
        </w:rPr>
        <w:tab/>
      </w:r>
      <w:r w:rsidRPr="00BE3FD7">
        <w:rPr>
          <w:rFonts w:ascii="Times New Roman" w:hAnsi="Times New Roman" w:cs="Times New Roman"/>
          <w:sz w:val="24"/>
          <w:szCs w:val="24"/>
        </w:rPr>
        <w:t xml:space="preserve">FirstEnergy claims that the PUCO erred in not finding that </w:t>
      </w:r>
      <w:r>
        <w:rPr>
          <w:rFonts w:ascii="Times New Roman" w:hAnsi="Times New Roman" w:cs="Times New Roman"/>
          <w:sz w:val="24"/>
          <w:szCs w:val="24"/>
        </w:rPr>
        <w:t xml:space="preserve">the Credit Support Rider </w:t>
      </w:r>
      <w:r w:rsidRPr="00BE3FD7">
        <w:rPr>
          <w:rFonts w:ascii="Times New Roman" w:hAnsi="Times New Roman" w:cs="Times New Roman"/>
          <w:sz w:val="24"/>
          <w:szCs w:val="24"/>
        </w:rPr>
        <w:t xml:space="preserve">is authorized under R.C. 4928.143(B)(2)(i) as a provision </w:t>
      </w:r>
      <w:r>
        <w:rPr>
          <w:rFonts w:ascii="Times New Roman" w:hAnsi="Times New Roman" w:cs="Times New Roman"/>
          <w:sz w:val="24"/>
          <w:szCs w:val="24"/>
        </w:rPr>
        <w:t>“</w:t>
      </w:r>
      <w:r w:rsidRPr="00BE3FD7">
        <w:rPr>
          <w:rFonts w:ascii="Times New Roman" w:hAnsi="Times New Roman" w:cs="Times New Roman"/>
          <w:sz w:val="24"/>
          <w:szCs w:val="24"/>
        </w:rPr>
        <w:t xml:space="preserve">under which the electric distribution utility may implement economic development, job retention, </w:t>
      </w:r>
      <w:r>
        <w:rPr>
          <w:rFonts w:ascii="Times New Roman" w:hAnsi="Times New Roman" w:cs="Times New Roman"/>
          <w:sz w:val="24"/>
          <w:szCs w:val="24"/>
        </w:rPr>
        <w:t>and energy efficiency programs.”</w:t>
      </w:r>
      <w:r>
        <w:rPr>
          <w:rStyle w:val="FootnoteReference"/>
          <w:rFonts w:ascii="Times New Roman" w:hAnsi="Times New Roman" w:cs="Times New Roman"/>
          <w:sz w:val="24"/>
          <w:szCs w:val="24"/>
        </w:rPr>
        <w:footnoteReference w:id="54"/>
      </w:r>
      <w:r w:rsidRPr="00BE3FD7">
        <w:rPr>
          <w:rFonts w:ascii="Times New Roman" w:hAnsi="Times New Roman" w:cs="Times New Roman"/>
          <w:sz w:val="24"/>
          <w:szCs w:val="24"/>
        </w:rPr>
        <w:t xml:space="preserve"> FirstEnergy has misinterpreted the statute. Rehearing should be denied.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“economic development” that is being claimed by FirstEnergy is nothing more than the value of keeping the headquarters in Akron.</w:t>
      </w:r>
      <w:r>
        <w:rPr>
          <w:rStyle w:val="FootnoteReference"/>
          <w:rFonts w:ascii="Times New Roman" w:hAnsi="Times New Roman" w:cs="Times New Roman"/>
          <w:sz w:val="24"/>
          <w:szCs w:val="24"/>
        </w:rPr>
        <w:footnoteReference w:id="55"/>
      </w:r>
      <w:r w:rsidRPr="00BE3FD7">
        <w:rPr>
          <w:rFonts w:ascii="Times New Roman" w:hAnsi="Times New Roman" w:cs="Times New Roman"/>
          <w:sz w:val="24"/>
          <w:szCs w:val="24"/>
        </w:rPr>
        <w:t xml:space="preserve"> These benefits include the salaries and economic benefits of having service corporation employees located in Ohio.</w:t>
      </w:r>
      <w:r>
        <w:rPr>
          <w:rStyle w:val="FootnoteReference"/>
          <w:rFonts w:ascii="Times New Roman" w:hAnsi="Times New Roman" w:cs="Times New Roman"/>
          <w:sz w:val="24"/>
          <w:szCs w:val="24"/>
        </w:rPr>
        <w:footnoteReference w:id="56"/>
      </w:r>
      <w:r w:rsidRPr="00BE3FD7">
        <w:rPr>
          <w:rFonts w:ascii="Times New Roman" w:hAnsi="Times New Roman" w:cs="Times New Roman"/>
          <w:sz w:val="24"/>
          <w:szCs w:val="24"/>
        </w:rPr>
        <w:t xml:space="preserve">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But R.C. 4928.143(B)(2)(i) speaks to economic development that has yet to be implemented because it uses the term “may implement.”</w:t>
      </w:r>
      <w:r>
        <w:rPr>
          <w:rStyle w:val="FootnoteReference"/>
          <w:rFonts w:ascii="Times New Roman" w:hAnsi="Times New Roman" w:cs="Times New Roman"/>
          <w:sz w:val="24"/>
          <w:szCs w:val="24"/>
        </w:rPr>
        <w:footnoteReference w:id="57"/>
      </w:r>
      <w:r w:rsidRPr="00BE3FD7">
        <w:rPr>
          <w:rFonts w:ascii="Times New Roman" w:hAnsi="Times New Roman" w:cs="Times New Roman"/>
          <w:sz w:val="24"/>
          <w:szCs w:val="24"/>
        </w:rPr>
        <w:t xml:space="preserve"> Keeping the headquarters of FirstEnergy Corp. in Akron is not a new economic development plan. The headquarters have been located in Akron for a long time now.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Additionally, R.C. 4928.143(B)(2)(i) only applies to economic development that occurs related to a distribution utility, not the parent company.</w:t>
      </w:r>
      <w:r>
        <w:rPr>
          <w:rStyle w:val="FootnoteReference"/>
          <w:rFonts w:ascii="Times New Roman" w:hAnsi="Times New Roman" w:cs="Times New Roman"/>
          <w:sz w:val="24"/>
          <w:szCs w:val="24"/>
        </w:rPr>
        <w:footnoteReference w:id="58"/>
      </w:r>
      <w:r w:rsidRPr="00BE3FD7">
        <w:rPr>
          <w:rFonts w:ascii="Times New Roman" w:hAnsi="Times New Roman" w:cs="Times New Roman"/>
          <w:sz w:val="24"/>
          <w:szCs w:val="24"/>
        </w:rPr>
        <w:t xml:space="preserve"> The words in the statute specify that the “electric distribution utility” may implement economic development.  The commitment to maintain headquarters is not an electric distribution utility commitment. </w:t>
      </w:r>
    </w:p>
    <w:p w:rsidR="009F4EA1" w:rsidP="00940732">
      <w:pPr>
        <w:spacing w:after="0" w:line="480" w:lineRule="auto"/>
        <w:ind w:firstLine="720"/>
        <w:rPr>
          <w:rFonts w:ascii="Times New Roman" w:hAnsi="Times New Roman" w:eastAsiaTheme="majorEastAsia" w:cs="Times New Roman"/>
          <w:b/>
          <w:bCs/>
          <w:sz w:val="24"/>
          <w:szCs w:val="24"/>
        </w:rPr>
      </w:pPr>
      <w:r>
        <w:rPr>
          <w:rFonts w:ascii="Times New Roman" w:hAnsi="Times New Roman" w:cs="Times New Roman"/>
          <w:sz w:val="24"/>
          <w:szCs w:val="24"/>
        </w:rPr>
        <w:t xml:space="preserve">The Credit Support </w:t>
      </w:r>
      <w:r w:rsidRPr="00BE3FD7">
        <w:rPr>
          <w:rFonts w:ascii="Times New Roman" w:hAnsi="Times New Roman" w:cs="Times New Roman"/>
          <w:sz w:val="24"/>
          <w:szCs w:val="24"/>
        </w:rPr>
        <w:t xml:space="preserve">Rider does not qualify as an economic development provision under an electric security plan. The words just aren’t there. The words that are there speak loudly.  The PUCO should listen. Rehearing should be denied.   </w:t>
      </w:r>
    </w:p>
    <w:p w:rsidR="009F4EA1" w:rsidRPr="00BE3FD7" w:rsidP="009F4EA1">
      <w:pPr>
        <w:pStyle w:val="Heading3"/>
      </w:pPr>
      <w:bookmarkStart w:id="14" w:name="_Toc467842243"/>
      <w:r w:rsidRPr="00BE3FD7">
        <w:t xml:space="preserve">2.  </w:t>
      </w:r>
      <w:r w:rsidRPr="00BE3FD7">
        <w:tab/>
      </w:r>
      <w:r>
        <w:t xml:space="preserve">Credit Support </w:t>
      </w:r>
      <w:r w:rsidRPr="00BE3FD7">
        <w:t xml:space="preserve">Rider revenues could not be collected </w:t>
      </w:r>
      <w:r>
        <w:t xml:space="preserve">from customers </w:t>
      </w:r>
      <w:r w:rsidRPr="00BE3FD7">
        <w:t>under an MRO as part of a distribution case; there is no alternative basis for determining that Rider DMR would have no quantitative effect on the ESP v. MRO test.</w:t>
      </w:r>
      <w:bookmarkEnd w:id="14"/>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FirstEnergy argues that the PUCO should have found that there were additional reasons that </w:t>
      </w:r>
      <w:r>
        <w:rPr>
          <w:rFonts w:ascii="Times New Roman" w:hAnsi="Times New Roman" w:cs="Times New Roman"/>
          <w:sz w:val="24"/>
          <w:szCs w:val="24"/>
        </w:rPr>
        <w:t>the Credit Support Rider</w:t>
      </w:r>
      <w:r w:rsidRPr="00BE3FD7">
        <w:rPr>
          <w:rFonts w:ascii="Times New Roman" w:hAnsi="Times New Roman" w:cs="Times New Roman"/>
          <w:sz w:val="24"/>
          <w:szCs w:val="24"/>
        </w:rPr>
        <w:t xml:space="preserve"> does not have a quantitative effect on the ESP v. MRO test.</w:t>
      </w:r>
      <w:r>
        <w:rPr>
          <w:rStyle w:val="FootnoteReference"/>
          <w:rFonts w:ascii="Times New Roman" w:hAnsi="Times New Roman" w:cs="Times New Roman"/>
          <w:sz w:val="24"/>
          <w:szCs w:val="24"/>
        </w:rPr>
        <w:footnoteReference w:id="59"/>
      </w:r>
      <w:r w:rsidRPr="00BE3FD7">
        <w:rPr>
          <w:rFonts w:ascii="Times New Roman" w:hAnsi="Times New Roman" w:cs="Times New Roman"/>
          <w:sz w:val="24"/>
          <w:szCs w:val="24"/>
        </w:rPr>
        <w:t xml:space="preserve"> FirstEnergy claims that it could receive </w:t>
      </w:r>
      <w:r>
        <w:rPr>
          <w:rFonts w:ascii="Times New Roman" w:hAnsi="Times New Roman" w:cs="Times New Roman"/>
          <w:sz w:val="24"/>
          <w:szCs w:val="24"/>
        </w:rPr>
        <w:t xml:space="preserve">Credit Support Rider </w:t>
      </w:r>
      <w:r w:rsidRPr="00BE3FD7">
        <w:rPr>
          <w:rFonts w:ascii="Times New Roman" w:hAnsi="Times New Roman" w:cs="Times New Roman"/>
          <w:sz w:val="24"/>
          <w:szCs w:val="24"/>
        </w:rPr>
        <w:t>revenues outside of an ESP – through a distribution rate case or existing Rider AMI or similar rider.</w:t>
      </w:r>
      <w:r>
        <w:rPr>
          <w:rStyle w:val="FootnoteReference"/>
          <w:rFonts w:ascii="Times New Roman" w:hAnsi="Times New Roman" w:cs="Times New Roman"/>
          <w:sz w:val="24"/>
          <w:szCs w:val="24"/>
        </w:rPr>
        <w:footnoteReference w:id="60"/>
      </w:r>
      <w:r w:rsidRPr="00BE3FD7">
        <w:rPr>
          <w:rFonts w:ascii="Times New Roman" w:hAnsi="Times New Roman" w:cs="Times New Roman"/>
          <w:sz w:val="24"/>
          <w:szCs w:val="24"/>
        </w:rPr>
        <w:t xml:space="preserve"> According to FirstEnergy, given state policy and PUCO Staff</w:t>
      </w:r>
      <w:r>
        <w:rPr>
          <w:rFonts w:ascii="Times New Roman" w:hAnsi="Times New Roman" w:cs="Times New Roman"/>
          <w:sz w:val="24"/>
          <w:szCs w:val="24"/>
        </w:rPr>
        <w:t>’</w:t>
      </w:r>
      <w:r w:rsidRPr="00BE3FD7">
        <w:rPr>
          <w:rFonts w:ascii="Times New Roman" w:hAnsi="Times New Roman" w:cs="Times New Roman"/>
          <w:sz w:val="24"/>
          <w:szCs w:val="24"/>
        </w:rPr>
        <w:t>s support for gird modernization</w:t>
      </w:r>
      <w:r>
        <w:rPr>
          <w:rFonts w:ascii="Times New Roman" w:hAnsi="Times New Roman" w:cs="Times New Roman"/>
          <w:sz w:val="24"/>
          <w:szCs w:val="24"/>
        </w:rPr>
        <w:t xml:space="preserve">, </w:t>
      </w:r>
      <w:r w:rsidRPr="00BE3FD7">
        <w:rPr>
          <w:rFonts w:ascii="Times New Roman" w:hAnsi="Times New Roman" w:cs="Times New Roman"/>
          <w:sz w:val="24"/>
          <w:szCs w:val="24"/>
        </w:rPr>
        <w:t xml:space="preserve">the </w:t>
      </w:r>
      <w:r>
        <w:rPr>
          <w:rFonts w:ascii="Times New Roman" w:hAnsi="Times New Roman" w:cs="Times New Roman"/>
          <w:sz w:val="24"/>
          <w:szCs w:val="24"/>
        </w:rPr>
        <w:t>“[Utilit</w:t>
      </w:r>
      <w:r w:rsidRPr="00BE3FD7">
        <w:rPr>
          <w:rFonts w:ascii="Times New Roman" w:hAnsi="Times New Roman" w:cs="Times New Roman"/>
          <w:sz w:val="24"/>
          <w:szCs w:val="24"/>
        </w:rPr>
        <w:t>ies</w:t>
      </w:r>
      <w:r>
        <w:rPr>
          <w:rFonts w:ascii="Times New Roman" w:hAnsi="Times New Roman" w:cs="Times New Roman"/>
          <w:sz w:val="24"/>
          <w:szCs w:val="24"/>
        </w:rPr>
        <w:t>]</w:t>
      </w:r>
      <w:r w:rsidRPr="00BE3FD7">
        <w:rPr>
          <w:rFonts w:ascii="Times New Roman" w:hAnsi="Times New Roman" w:cs="Times New Roman"/>
          <w:sz w:val="24"/>
          <w:szCs w:val="24"/>
        </w:rPr>
        <w:t xml:space="preserve"> would likely move forward with grid mo</w:t>
      </w:r>
      <w:r>
        <w:rPr>
          <w:rFonts w:ascii="Times New Roman" w:hAnsi="Times New Roman" w:cs="Times New Roman"/>
          <w:sz w:val="24"/>
          <w:szCs w:val="24"/>
        </w:rPr>
        <w:t>dernization outside of any ESP.”</w:t>
      </w:r>
      <w:r>
        <w:rPr>
          <w:rStyle w:val="FootnoteReference"/>
          <w:rFonts w:ascii="Times New Roman" w:hAnsi="Times New Roman" w:cs="Times New Roman"/>
          <w:sz w:val="24"/>
          <w:szCs w:val="24"/>
        </w:rPr>
        <w:footnoteReference w:id="61"/>
      </w:r>
      <w:r w:rsidRPr="00BE3FD7">
        <w:rPr>
          <w:rFonts w:ascii="Times New Roman" w:hAnsi="Times New Roman" w:cs="Times New Roman"/>
          <w:sz w:val="24"/>
          <w:szCs w:val="24"/>
        </w:rPr>
        <w:t xml:space="preserve"> It concludes then that the PUCO should find </w:t>
      </w:r>
      <w:r>
        <w:rPr>
          <w:rFonts w:ascii="Times New Roman" w:hAnsi="Times New Roman" w:cs="Times New Roman"/>
          <w:sz w:val="24"/>
          <w:szCs w:val="24"/>
        </w:rPr>
        <w:t xml:space="preserve">Credit Support Rider </w:t>
      </w:r>
      <w:r w:rsidRPr="00BE3FD7">
        <w:rPr>
          <w:rFonts w:ascii="Times New Roman" w:hAnsi="Times New Roman" w:cs="Times New Roman"/>
          <w:sz w:val="24"/>
          <w:szCs w:val="24"/>
        </w:rPr>
        <w:t>has no quantitative effect on ESP v. MRO test. FirstEnergy is mistaken. Rehearing should be denied.</w:t>
      </w:r>
    </w:p>
    <w:p w:rsidR="009F4EA1" w:rsidRPr="00BE3FD7" w:rsidP="009F4EA1">
      <w:pPr>
        <w:autoSpaceDE w:val="0"/>
        <w:autoSpaceDN w:val="0"/>
        <w:adjustRightInd w:val="0"/>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t xml:space="preserve">FirstEnergy’s approach is flawed from the outset because it focuses on whether </w:t>
      </w:r>
      <w:r>
        <w:rPr>
          <w:rFonts w:ascii="Times New Roman" w:hAnsi="Times New Roman" w:cs="Times New Roman"/>
          <w:sz w:val="24"/>
          <w:szCs w:val="24"/>
        </w:rPr>
        <w:t xml:space="preserve">the Credit Support Rider </w:t>
      </w:r>
      <w:r w:rsidRPr="00BE3FD7">
        <w:rPr>
          <w:rFonts w:ascii="Times New Roman" w:hAnsi="Times New Roman" w:cs="Times New Roman"/>
          <w:sz w:val="24"/>
          <w:szCs w:val="24"/>
        </w:rPr>
        <w:t xml:space="preserve">can be obtained in </w:t>
      </w:r>
      <w:r w:rsidRPr="00BE3FD7">
        <w:rPr>
          <w:rFonts w:ascii="Times New Roman" w:hAnsi="Times New Roman" w:cs="Times New Roman"/>
          <w:i/>
          <w:sz w:val="24"/>
          <w:szCs w:val="24"/>
        </w:rPr>
        <w:t>any</w:t>
      </w:r>
      <w:r w:rsidRPr="00BE3FD7">
        <w:rPr>
          <w:rFonts w:ascii="Times New Roman" w:hAnsi="Times New Roman" w:cs="Times New Roman"/>
          <w:sz w:val="24"/>
          <w:szCs w:val="24"/>
        </w:rPr>
        <w:t xml:space="preserve"> other way--outside an MRO filing. FirstEnergy mentions a distribution rate case or a rider provision would allow it to collect </w:t>
      </w:r>
      <w:r>
        <w:rPr>
          <w:rFonts w:ascii="Times New Roman" w:hAnsi="Times New Roman" w:cs="Times New Roman"/>
          <w:sz w:val="24"/>
          <w:szCs w:val="24"/>
        </w:rPr>
        <w:t>the Credit Support Rider</w:t>
      </w:r>
      <w:r w:rsidRPr="00BE3FD7">
        <w:rPr>
          <w:rFonts w:ascii="Times New Roman" w:hAnsi="Times New Roman" w:cs="Times New Roman"/>
          <w:sz w:val="24"/>
          <w:szCs w:val="24"/>
        </w:rPr>
        <w:t xml:space="preserve">. Under FirstEnergy's approach any provision of an ESP could be justified as a cost of an MRO so long as it could be obtained through </w:t>
      </w:r>
      <w:r w:rsidRPr="00BE3FD7">
        <w:rPr>
          <w:rFonts w:ascii="Times New Roman" w:hAnsi="Times New Roman" w:cs="Times New Roman"/>
          <w:i/>
          <w:sz w:val="24"/>
          <w:szCs w:val="24"/>
        </w:rPr>
        <w:t xml:space="preserve">any </w:t>
      </w:r>
      <w:r w:rsidRPr="00BE3FD7">
        <w:rPr>
          <w:rFonts w:ascii="Times New Roman" w:hAnsi="Times New Roman" w:cs="Times New Roman"/>
          <w:sz w:val="24"/>
          <w:szCs w:val="24"/>
        </w:rPr>
        <w:t xml:space="preserve">filing at the PUCO. But that is not the standard for determining if the MRO is more favorable to customers than an ESP. The correct analysis focuses on whether, </w:t>
      </w:r>
      <w:r w:rsidRPr="00BE3FD7">
        <w:rPr>
          <w:rFonts w:ascii="Times New Roman" w:hAnsi="Times New Roman" w:cs="Times New Roman"/>
          <w:i/>
          <w:sz w:val="24"/>
          <w:szCs w:val="24"/>
        </w:rPr>
        <w:t>based upon the same facts as are in the record in this proceeding</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62"/>
      </w:r>
      <w:r w:rsidRPr="00BE3FD7">
        <w:rPr>
          <w:rFonts w:ascii="Times New Roman" w:hAnsi="Times New Roman" w:cs="Times New Roman"/>
          <w:i/>
          <w:sz w:val="24"/>
          <w:szCs w:val="24"/>
        </w:rPr>
        <w:t xml:space="preserve"> </w:t>
      </w:r>
      <w:r w:rsidRPr="00BE3FD7">
        <w:rPr>
          <w:rFonts w:ascii="Times New Roman" w:hAnsi="Times New Roman" w:cs="Times New Roman"/>
          <w:sz w:val="24"/>
          <w:szCs w:val="24"/>
        </w:rPr>
        <w:t xml:space="preserve">the charge in question can be obtained under the market rate offer statute, R.C. 4928.142. And here </w:t>
      </w:r>
      <w:r>
        <w:rPr>
          <w:rFonts w:ascii="Times New Roman" w:hAnsi="Times New Roman" w:cs="Times New Roman"/>
          <w:sz w:val="24"/>
          <w:szCs w:val="24"/>
        </w:rPr>
        <w:t xml:space="preserve">the Credit Support </w:t>
      </w:r>
      <w:r w:rsidRPr="00BE3FD7">
        <w:rPr>
          <w:rFonts w:ascii="Times New Roman" w:hAnsi="Times New Roman" w:cs="Times New Roman"/>
          <w:sz w:val="24"/>
          <w:szCs w:val="24"/>
        </w:rPr>
        <w:t xml:space="preserve">Rider cannot. </w:t>
      </w:r>
    </w:p>
    <w:p w:rsidR="009F4EA1" w:rsidRPr="00BE3FD7" w:rsidP="009F4EA1">
      <w:pPr>
        <w:autoSpaceDE w:val="0"/>
        <w:autoSpaceDN w:val="0"/>
        <w:adjustRightInd w:val="0"/>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The market rate offer is uniquely devoted to establishing the cost of providing generation service (standard service offer) that is delivered by the utility to customers. There are no credit support charges that are tied to the cost of providing generation services. Nor are there infrastructure modernization costs that are linked to providing generation service under a market rate offer. A MRO sets the SSO costs for generation. No more, no less. The MRO by law does not include non-SSO costs--all the trimmings (under R.C. 4928.143(B)(2)) that cost customers money under an </w:t>
      </w:r>
      <w:r>
        <w:rPr>
          <w:rFonts w:ascii="Times New Roman" w:hAnsi="Times New Roman" w:cs="Times New Roman"/>
          <w:sz w:val="24"/>
          <w:szCs w:val="24"/>
        </w:rPr>
        <w:t>ESP</w:t>
      </w:r>
      <w:r w:rsidRPr="00BE3FD7">
        <w:rPr>
          <w:rFonts w:ascii="Times New Roman" w:hAnsi="Times New Roman" w:cs="Times New Roman"/>
          <w:sz w:val="24"/>
          <w:szCs w:val="24"/>
        </w:rPr>
        <w:t xml:space="preserve">. To suggest that the Credit Support Rider could be a provision of a market rate offer reads words into the law (R.C. 4928.142) that are just not there. Neither the </w:t>
      </w:r>
      <w:r>
        <w:rPr>
          <w:rFonts w:ascii="Times New Roman" w:hAnsi="Times New Roman" w:cs="Times New Roman"/>
          <w:sz w:val="24"/>
          <w:szCs w:val="24"/>
        </w:rPr>
        <w:t>U</w:t>
      </w:r>
      <w:r w:rsidRPr="00BE3FD7">
        <w:rPr>
          <w:rFonts w:ascii="Times New Roman" w:hAnsi="Times New Roman" w:cs="Times New Roman"/>
          <w:sz w:val="24"/>
          <w:szCs w:val="24"/>
        </w:rPr>
        <w:t>tilit</w:t>
      </w:r>
      <w:r>
        <w:rPr>
          <w:rFonts w:ascii="Times New Roman" w:hAnsi="Times New Roman" w:cs="Times New Roman"/>
          <w:sz w:val="24"/>
          <w:szCs w:val="24"/>
        </w:rPr>
        <w:t>ies</w:t>
      </w:r>
      <w:r w:rsidRPr="00BE3FD7">
        <w:rPr>
          <w:rFonts w:ascii="Times New Roman" w:hAnsi="Times New Roman" w:cs="Times New Roman"/>
          <w:sz w:val="24"/>
          <w:szCs w:val="24"/>
        </w:rPr>
        <w:t xml:space="preserve"> nor the PUCO can do that.  </w:t>
      </w:r>
    </w:p>
    <w:p w:rsidR="009F4EA1" w:rsidRPr="00BE3FD7" w:rsidP="009F4EA1">
      <w:pPr>
        <w:autoSpaceDE w:val="0"/>
        <w:autoSpaceDN w:val="0"/>
        <w:adjustRightInd w:val="0"/>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FirstEnergy is wrong to interpret the statute in a way that permits them to ignore hundreds of millions of dollars that customers will pay under its proposal. When the costs of the Credit Support Rider are included as part of the statutory test, massive ESP costs develop that have no counterpart on the MRO side. Quantitatively, the ESP with the Credit Support Rider is not more favorable in the aggregate for customers. The modified ESP, by law, must be disapproved. </w:t>
      </w:r>
      <w:r>
        <w:rPr>
          <w:rFonts w:ascii="Times New Roman" w:hAnsi="Times New Roman" w:cs="Times New Roman"/>
          <w:sz w:val="24"/>
          <w:szCs w:val="24"/>
        </w:rPr>
        <w:t xml:space="preserve">FirstEnergy's rehearing on this matter should be denied.  </w:t>
      </w:r>
    </w:p>
    <w:p w:rsidR="009F4EA1" w:rsidRPr="00BE3FD7" w:rsidP="009F4EA1">
      <w:pPr>
        <w:pStyle w:val="Heading2"/>
        <w:rPr>
          <w:rFonts w:ascii="Times New Roman" w:hAnsi="Times New Roman" w:cs="Times New Roman"/>
          <w:szCs w:val="24"/>
        </w:rPr>
      </w:pPr>
      <w:bookmarkStart w:id="15" w:name="_Toc467842244"/>
      <w:r>
        <w:rPr>
          <w:rFonts w:ascii="Times New Roman" w:hAnsi="Times New Roman" w:cs="Times New Roman"/>
          <w:szCs w:val="24"/>
        </w:rPr>
        <w:t>D</w:t>
      </w:r>
      <w:r w:rsidRPr="00BE3FD7">
        <w:rPr>
          <w:rFonts w:ascii="Times New Roman" w:hAnsi="Times New Roman" w:cs="Times New Roman"/>
          <w:szCs w:val="24"/>
        </w:rPr>
        <w:t>.</w:t>
      </w:r>
      <w:r w:rsidRPr="00BE3FD7">
        <w:rPr>
          <w:rFonts w:ascii="Times New Roman" w:hAnsi="Times New Roman" w:cs="Times New Roman"/>
          <w:szCs w:val="24"/>
        </w:rPr>
        <w:tab/>
        <w:t>It was reasonable and lawful for the PUCO to protect customers from a 150% increase in the amount of profit (shared savings) that they pay to FirstEnergy for its energy efficiency programs.</w:t>
      </w:r>
      <w:bookmarkEnd w:id="15"/>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PUCO's Fifth Entry on Rehearing protects customers from a 150% increase in the amount of shared savings that they pay to FirstEnergy. The PUCO</w:t>
      </w:r>
      <w:r>
        <w:rPr>
          <w:rFonts w:ascii="Times New Roman" w:hAnsi="Times New Roman" w:cs="Times New Roman"/>
          <w:sz w:val="24"/>
          <w:szCs w:val="24"/>
        </w:rPr>
        <w:t>’</w:t>
      </w:r>
      <w:r w:rsidRPr="00BE3FD7">
        <w:rPr>
          <w:rFonts w:ascii="Times New Roman" w:hAnsi="Times New Roman" w:cs="Times New Roman"/>
          <w:sz w:val="24"/>
          <w:szCs w:val="24"/>
        </w:rPr>
        <w:t>s reasoning is simple and straightforward: customers deserve protection from rate increases.</w:t>
      </w:r>
      <w:r>
        <w:rPr>
          <w:rFonts w:ascii="Times New Roman" w:hAnsi="Times New Roman" w:cs="Times New Roman"/>
          <w:sz w:val="24"/>
          <w:szCs w:val="24"/>
          <w:vertAlign w:val="superscript"/>
        </w:rPr>
        <w:footnoteReference w:id="63"/>
      </w:r>
      <w:r w:rsidRPr="00BE3FD7">
        <w:rPr>
          <w:rFonts w:ascii="Times New Roman" w:hAnsi="Times New Roman" w:cs="Times New Roman"/>
          <w:sz w:val="24"/>
          <w:szCs w:val="24"/>
        </w:rPr>
        <w:t xml:space="preserve"> </w:t>
      </w:r>
      <w:r>
        <w:rPr>
          <w:rFonts w:ascii="Times New Roman" w:hAnsi="Times New Roman" w:cs="Times New Roman"/>
          <w:sz w:val="24"/>
          <w:szCs w:val="24"/>
        </w:rPr>
        <w:tab/>
      </w:r>
      <w:r w:rsidRPr="00BE3FD7">
        <w:rPr>
          <w:rFonts w:ascii="Times New Roman" w:hAnsi="Times New Roman" w:cs="Times New Roman"/>
          <w:sz w:val="24"/>
          <w:szCs w:val="24"/>
        </w:rPr>
        <w:t xml:space="preserve">FirstEnergy </w:t>
      </w:r>
      <w:r>
        <w:rPr>
          <w:rFonts w:ascii="Times New Roman" w:hAnsi="Times New Roman" w:cs="Times New Roman"/>
          <w:sz w:val="24"/>
          <w:szCs w:val="24"/>
        </w:rPr>
        <w:t xml:space="preserve">complains in its Application for Rehearing that the PUCO erred by “linking” </w:t>
      </w:r>
      <w:r w:rsidRPr="00BE3FD7">
        <w:rPr>
          <w:rFonts w:ascii="Times New Roman" w:hAnsi="Times New Roman" w:cs="Times New Roman"/>
          <w:sz w:val="24"/>
          <w:szCs w:val="24"/>
        </w:rPr>
        <w:t xml:space="preserve">the increased shared savings cap and the increase in customer bills under </w:t>
      </w:r>
      <w:r>
        <w:rPr>
          <w:rFonts w:ascii="Times New Roman" w:hAnsi="Times New Roman" w:cs="Times New Roman"/>
          <w:sz w:val="24"/>
          <w:szCs w:val="24"/>
        </w:rPr>
        <w:t xml:space="preserve">the Credit Support </w:t>
      </w:r>
      <w:r w:rsidRPr="00BE3FD7">
        <w:rPr>
          <w:rFonts w:ascii="Times New Roman" w:hAnsi="Times New Roman" w:cs="Times New Roman"/>
          <w:sz w:val="24"/>
          <w:szCs w:val="24"/>
        </w:rPr>
        <w:t>Rider.</w:t>
      </w:r>
      <w:r>
        <w:rPr>
          <w:rFonts w:ascii="Times New Roman" w:hAnsi="Times New Roman" w:cs="Times New Roman"/>
          <w:sz w:val="24"/>
          <w:szCs w:val="24"/>
          <w:vertAlign w:val="superscript"/>
        </w:rPr>
        <w:footnoteReference w:id="64"/>
      </w:r>
      <w:r w:rsidRPr="00BE3FD7">
        <w:rPr>
          <w:rFonts w:ascii="Times New Roman" w:hAnsi="Times New Roman" w:cs="Times New Roman"/>
          <w:sz w:val="24"/>
          <w:szCs w:val="24"/>
        </w:rPr>
        <w:t xml:space="preserve"> It is ironic that FirstEnergy now objects to the PUCO</w:t>
      </w:r>
      <w:r>
        <w:rPr>
          <w:rFonts w:ascii="Times New Roman" w:hAnsi="Times New Roman" w:cs="Times New Roman"/>
          <w:sz w:val="24"/>
          <w:szCs w:val="24"/>
        </w:rPr>
        <w:t>’</w:t>
      </w:r>
      <w:r w:rsidRPr="00BE3FD7">
        <w:rPr>
          <w:rFonts w:ascii="Times New Roman" w:hAnsi="Times New Roman" w:cs="Times New Roman"/>
          <w:sz w:val="24"/>
          <w:szCs w:val="24"/>
        </w:rPr>
        <w:t xml:space="preserve">s balancing the rate impacts of both </w:t>
      </w:r>
      <w:r>
        <w:rPr>
          <w:rFonts w:ascii="Times New Roman" w:hAnsi="Times New Roman" w:cs="Times New Roman"/>
          <w:sz w:val="24"/>
          <w:szCs w:val="24"/>
        </w:rPr>
        <w:t xml:space="preserve">the Credit Support </w:t>
      </w:r>
      <w:r w:rsidRPr="00BE3FD7">
        <w:rPr>
          <w:rFonts w:ascii="Times New Roman" w:hAnsi="Times New Roman" w:cs="Times New Roman"/>
          <w:sz w:val="24"/>
          <w:szCs w:val="24"/>
        </w:rPr>
        <w:t>Rider and energy efficiency shared savings; it is FirstEnergy that injected energy efficiency into this unrelated ESP case through the Third Supplemental Stipulation.</w:t>
      </w:r>
      <w:r>
        <w:rPr>
          <w:rFonts w:ascii="Times New Roman" w:hAnsi="Times New Roman" w:cs="Times New Roman"/>
          <w:sz w:val="24"/>
          <w:szCs w:val="24"/>
          <w:vertAlign w:val="superscript"/>
        </w:rPr>
        <w:footnoteReference w:id="65"/>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Regardless, FirstEnergy misses the point. </w:t>
      </w:r>
      <w:r>
        <w:rPr>
          <w:rFonts w:ascii="Times New Roman" w:hAnsi="Times New Roman" w:cs="Times New Roman"/>
          <w:sz w:val="24"/>
          <w:szCs w:val="24"/>
        </w:rPr>
        <w:t xml:space="preserve">The Credit Support </w:t>
      </w:r>
      <w:r w:rsidRPr="00BE3FD7">
        <w:rPr>
          <w:rFonts w:ascii="Times New Roman" w:hAnsi="Times New Roman" w:cs="Times New Roman"/>
          <w:sz w:val="24"/>
          <w:szCs w:val="24"/>
        </w:rPr>
        <w:t>Rider</w:t>
      </w:r>
      <w:r>
        <w:rPr>
          <w:rFonts w:ascii="Times New Roman" w:hAnsi="Times New Roman" w:cs="Times New Roman"/>
          <w:sz w:val="24"/>
          <w:szCs w:val="24"/>
        </w:rPr>
        <w:t xml:space="preserve"> i</w:t>
      </w:r>
      <w:r w:rsidRPr="00BE3FD7">
        <w:rPr>
          <w:rFonts w:ascii="Times New Roman" w:hAnsi="Times New Roman" w:cs="Times New Roman"/>
          <w:sz w:val="24"/>
          <w:szCs w:val="24"/>
        </w:rPr>
        <w:t>s a rate increase. A 150% increase in shared savings is a rate increase. The PUCO has the authority and duty to protect customers from undue rate increases. This is precisely what the PUCO did by denying FirstEnergy the right to more than double the amount that it charges customers for shared savings from energy efficiency.</w:t>
      </w:r>
      <w:r>
        <w:rPr>
          <w:rFonts w:ascii="Times New Roman" w:hAnsi="Times New Roman" w:cs="Times New Roman"/>
          <w:sz w:val="24"/>
          <w:szCs w:val="24"/>
        </w:rPr>
        <w:t xml:space="preserve"> Rehearing should be denied.  </w:t>
      </w:r>
    </w:p>
    <w:p w:rsidR="009F4EA1" w:rsidRPr="00BE3FD7" w:rsidP="009F4EA1">
      <w:pPr>
        <w:pStyle w:val="Heading2"/>
        <w:rPr>
          <w:rFonts w:ascii="Times New Roman" w:hAnsi="Times New Roman" w:cs="Times New Roman"/>
          <w:szCs w:val="24"/>
        </w:rPr>
      </w:pPr>
      <w:bookmarkStart w:id="16" w:name="_Toc467842245"/>
      <w:r>
        <w:rPr>
          <w:rFonts w:ascii="Times New Roman" w:hAnsi="Times New Roman" w:cs="Times New Roman"/>
          <w:szCs w:val="24"/>
        </w:rPr>
        <w:t>E</w:t>
      </w:r>
      <w:r w:rsidRPr="00BE3FD7">
        <w:rPr>
          <w:rFonts w:ascii="Times New Roman" w:hAnsi="Times New Roman" w:cs="Times New Roman"/>
          <w:szCs w:val="24"/>
        </w:rPr>
        <w:t>.</w:t>
      </w:r>
      <w:r w:rsidRPr="00BE3FD7">
        <w:rPr>
          <w:rFonts w:ascii="Times New Roman" w:hAnsi="Times New Roman" w:cs="Times New Roman"/>
          <w:szCs w:val="24"/>
        </w:rPr>
        <w:tab/>
        <w:t xml:space="preserve">It was reasonable and lawful for the PUCO to conclude that customers should pay for energy efficiency programs that target the statutory benchmark and not </w:t>
      </w:r>
      <w:r>
        <w:rPr>
          <w:rFonts w:ascii="Times New Roman" w:hAnsi="Times New Roman" w:cs="Times New Roman"/>
          <w:szCs w:val="24"/>
        </w:rPr>
        <w:t xml:space="preserve">for </w:t>
      </w:r>
      <w:r w:rsidRPr="00BE3FD7">
        <w:rPr>
          <w:rFonts w:ascii="Times New Roman" w:hAnsi="Times New Roman" w:cs="Times New Roman"/>
          <w:szCs w:val="24"/>
        </w:rPr>
        <w:t>programs that target the much higher goal of 800,000 MWh annually.</w:t>
      </w:r>
      <w:bookmarkEnd w:id="16"/>
    </w:p>
    <w:p w:rsidR="0040003F" w:rsidP="004000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FirstEnergy recommends that if the PUCO grants rehearing to authorize the increase in the shared savings cap (which it should not), then the PUCO should affirm its March 31, 2016 Order approving the 800,000 MWh goal of the Utilities 2017 energy efficiency and peak demand reduction portfolio.</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r w:rsidRPr="00BE3FD7">
        <w:rPr>
          <w:rFonts w:ascii="Times New Roman" w:hAnsi="Times New Roman" w:cs="Times New Roman"/>
          <w:sz w:val="24"/>
          <w:szCs w:val="24"/>
        </w:rPr>
        <w:t xml:space="preserve">However, FirstEnergy provides no evidence to show that the PUCO’s </w:t>
      </w:r>
      <w:r>
        <w:rPr>
          <w:rFonts w:ascii="Times New Roman" w:hAnsi="Times New Roman" w:cs="Times New Roman"/>
          <w:sz w:val="24"/>
          <w:szCs w:val="24"/>
        </w:rPr>
        <w:t>reduction in the shared savings cap or the reduction in the goal for the Utilities’ 2017 energy efficiency and peak demand reduction portfolio was</w:t>
      </w:r>
      <w:r w:rsidRPr="00BE3FD7">
        <w:rPr>
          <w:rFonts w:ascii="Times New Roman" w:hAnsi="Times New Roman" w:cs="Times New Roman"/>
          <w:sz w:val="24"/>
          <w:szCs w:val="24"/>
        </w:rPr>
        <w:t xml:space="preserve"> unlawful</w:t>
      </w:r>
      <w:r>
        <w:rPr>
          <w:rFonts w:ascii="Times New Roman" w:hAnsi="Times New Roman" w:cs="Times New Roman"/>
          <w:sz w:val="24"/>
          <w:szCs w:val="24"/>
        </w:rPr>
        <w:t xml:space="preserve"> or unreasonable. FirstEnergy fails to meet the rehearing standard (unreasonable or unlawful) required under R.C. 4903.10</w:t>
      </w:r>
      <w:r w:rsidRPr="00BE3FD7">
        <w:rPr>
          <w:rFonts w:ascii="Times New Roman" w:hAnsi="Times New Roman" w:cs="Times New Roman"/>
          <w:sz w:val="24"/>
          <w:szCs w:val="24"/>
        </w:rPr>
        <w:t>.</w:t>
      </w:r>
      <w:r>
        <w:rPr>
          <w:rFonts w:ascii="Times New Roman" w:hAnsi="Times New Roman" w:cs="Times New Roman"/>
          <w:sz w:val="24"/>
          <w:szCs w:val="24"/>
        </w:rPr>
        <w:t xml:space="preserve"> Therefore, FirstEnergy’s rehearing request should be denied.</w:t>
      </w:r>
    </w:p>
    <w:p w:rsidR="0040003F" w:rsidP="009F4EA1">
      <w:pPr>
        <w:spacing w:after="0" w:line="480" w:lineRule="auto"/>
        <w:ind w:firstLine="720"/>
        <w:rPr>
          <w:rFonts w:ascii="Times New Roman" w:hAnsi="Times New Roman" w:cs="Times New Roman"/>
          <w:sz w:val="24"/>
          <w:szCs w:val="24"/>
        </w:rPr>
      </w:pPr>
    </w:p>
    <w:p w:rsidR="00507922"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PUCO reasonably concluded that FirstEnergy's energy efficiency portfolio should target, and budget for, the statutory benchmark.</w:t>
      </w:r>
      <w:r>
        <w:rPr>
          <w:rFonts w:ascii="Times New Roman" w:hAnsi="Times New Roman" w:cs="Times New Roman"/>
          <w:sz w:val="24"/>
          <w:szCs w:val="24"/>
          <w:vertAlign w:val="superscript"/>
        </w:rPr>
        <w:footnoteReference w:id="67"/>
      </w:r>
      <w:r w:rsidRPr="00BE3FD7">
        <w:rPr>
          <w:rFonts w:ascii="Times New Roman" w:hAnsi="Times New Roman" w:cs="Times New Roman"/>
          <w:sz w:val="24"/>
          <w:szCs w:val="24"/>
        </w:rPr>
        <w:t xml:space="preserve"> </w:t>
      </w:r>
      <w:r>
        <w:rPr>
          <w:rFonts w:ascii="Times New Roman" w:hAnsi="Times New Roman" w:cs="Times New Roman"/>
          <w:sz w:val="24"/>
          <w:szCs w:val="24"/>
        </w:rPr>
        <w:t>The PUCO's conclusion varies from what parties agreed to u</w:t>
      </w:r>
      <w:r w:rsidRPr="00BE3FD7">
        <w:rPr>
          <w:rFonts w:ascii="Times New Roman" w:hAnsi="Times New Roman" w:cs="Times New Roman"/>
          <w:sz w:val="24"/>
          <w:szCs w:val="24"/>
        </w:rPr>
        <w:t>nder the Third Supplemental Stipulation</w:t>
      </w:r>
      <w:r>
        <w:rPr>
          <w:rFonts w:ascii="Times New Roman" w:hAnsi="Times New Roman" w:cs="Times New Roman"/>
          <w:sz w:val="24"/>
          <w:szCs w:val="24"/>
        </w:rPr>
        <w:t xml:space="preserve"> --</w:t>
      </w:r>
      <w:r w:rsidRPr="00BE3FD7">
        <w:rPr>
          <w:rFonts w:ascii="Times New Roman" w:hAnsi="Times New Roman" w:cs="Times New Roman"/>
          <w:sz w:val="24"/>
          <w:szCs w:val="24"/>
        </w:rPr>
        <w:t>to “strive to achieve over 800,000 MWh of energy savings annually, subject to customer opt outs.”</w:t>
      </w:r>
      <w:r>
        <w:rPr>
          <w:rFonts w:ascii="Times New Roman" w:hAnsi="Times New Roman" w:cs="Times New Roman"/>
          <w:sz w:val="24"/>
          <w:szCs w:val="24"/>
          <w:vertAlign w:val="superscript"/>
        </w:rPr>
        <w:footnoteReference w:id="68"/>
      </w:r>
      <w:r w:rsidRPr="00BE3FD7">
        <w:rPr>
          <w:rFonts w:ascii="Times New Roman" w:hAnsi="Times New Roman" w:cs="Times New Roman"/>
          <w:sz w:val="24"/>
          <w:szCs w:val="24"/>
        </w:rPr>
        <w:t xml:space="preserve"> FirstEnergy and certain environmental advocates</w:t>
      </w:r>
      <w:r>
        <w:rPr>
          <w:rFonts w:ascii="Times New Roman" w:hAnsi="Times New Roman" w:cs="Times New Roman"/>
          <w:sz w:val="24"/>
          <w:szCs w:val="24"/>
          <w:vertAlign w:val="superscript"/>
        </w:rPr>
        <w:footnoteReference w:id="69"/>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A target of over 800,000 MWh exceeds the statutory benchmarks.                      </w:t>
      </w:r>
    </w:p>
    <w:p w:rsidR="009F4EA1" w:rsidRPr="00BE3FD7" w:rsidP="009F4E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FirstEnergy and others argue on rehearing that the PUCO retreated from its earlier approval of the higher energy efficiency targets and </w:t>
      </w:r>
      <w:r w:rsidRPr="00BE3FD7">
        <w:rPr>
          <w:rFonts w:ascii="Times New Roman" w:hAnsi="Times New Roman" w:cs="Times New Roman"/>
          <w:sz w:val="24"/>
          <w:szCs w:val="24"/>
        </w:rPr>
        <w:t xml:space="preserve">that this provision authorizes FirstEnergy to charge customers for energy efficiency programs that target this </w:t>
      </w:r>
      <w:r>
        <w:rPr>
          <w:rFonts w:ascii="Times New Roman" w:hAnsi="Times New Roman" w:cs="Times New Roman"/>
          <w:sz w:val="24"/>
          <w:szCs w:val="24"/>
        </w:rPr>
        <w:t xml:space="preserve">level of </w:t>
      </w:r>
      <w:r w:rsidRPr="00BE3FD7">
        <w:rPr>
          <w:rFonts w:ascii="Times New Roman" w:hAnsi="Times New Roman" w:cs="Times New Roman"/>
          <w:sz w:val="24"/>
          <w:szCs w:val="24"/>
        </w:rPr>
        <w:t>energy savings instead of the lower statutory benchmark.</w:t>
      </w:r>
      <w:r>
        <w:rPr>
          <w:rFonts w:ascii="Times New Roman" w:hAnsi="Times New Roman" w:cs="Times New Roman"/>
          <w:sz w:val="24"/>
          <w:szCs w:val="24"/>
          <w:vertAlign w:val="superscript"/>
        </w:rPr>
        <w:footnoteReference w:id="70"/>
      </w:r>
      <w:r w:rsidRPr="00BE3FD7">
        <w:rPr>
          <w:rFonts w:ascii="Times New Roman" w:hAnsi="Times New Roman" w:cs="Times New Roman"/>
          <w:sz w:val="24"/>
          <w:szCs w:val="24"/>
        </w:rPr>
        <w:t xml:space="preserve"> None of these environmental advocates is a party to the Third Supplemental Stipulation, and no party to that </w:t>
      </w:r>
      <w:r>
        <w:rPr>
          <w:rFonts w:ascii="Times New Roman" w:hAnsi="Times New Roman" w:cs="Times New Roman"/>
          <w:sz w:val="24"/>
          <w:szCs w:val="24"/>
        </w:rPr>
        <w:t>Settlement</w:t>
      </w:r>
      <w:r w:rsidRPr="00BE3FD7">
        <w:rPr>
          <w:rFonts w:ascii="Times New Roman" w:hAnsi="Times New Roman" w:cs="Times New Roman"/>
          <w:sz w:val="24"/>
          <w:szCs w:val="24"/>
        </w:rPr>
        <w:t xml:space="preserve">, other than FirstEnergy, has opposed the PUCO’s interpretation in the Fifth Entry on Rehearing of the </w:t>
      </w:r>
      <w:r>
        <w:rPr>
          <w:rFonts w:ascii="Times New Roman" w:hAnsi="Times New Roman" w:cs="Times New Roman"/>
          <w:sz w:val="24"/>
          <w:szCs w:val="24"/>
        </w:rPr>
        <w:t>“</w:t>
      </w:r>
      <w:r w:rsidRPr="00BE3FD7">
        <w:rPr>
          <w:rFonts w:ascii="Times New Roman" w:hAnsi="Times New Roman" w:cs="Times New Roman"/>
          <w:sz w:val="24"/>
          <w:szCs w:val="24"/>
        </w:rPr>
        <w:t>strive to achieve</w:t>
      </w:r>
      <w:r>
        <w:rPr>
          <w:rFonts w:ascii="Times New Roman" w:hAnsi="Times New Roman" w:cs="Times New Roman"/>
          <w:sz w:val="24"/>
          <w:szCs w:val="24"/>
        </w:rPr>
        <w:t>”</w:t>
      </w:r>
      <w:r w:rsidRPr="00BE3FD7">
        <w:rPr>
          <w:rFonts w:ascii="Times New Roman" w:hAnsi="Times New Roman" w:cs="Times New Roman"/>
          <w:sz w:val="24"/>
          <w:szCs w:val="24"/>
        </w:rPr>
        <w:t xml:space="preserve"> language.</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PUCO’s interpretation of the Third Supplemental Stipulation is reasonable.  The parties to the Third Supplemental Stipulation could have agreed to a settlement term that required FirstEnergy to target, and budget for, energy savings of 800,000 MWh. But they did not. Instead, they agreed to more general language requiring FirstEnergy to strive to reach this goal. The PUCO’s interpretation of this term, which requires FirstEnergy to “budget for the annual statutory energy efficiency mandate rather than the goal,” is consistent with the PUCO’s desire to protect customers from overpaying for energy efficiency programs. As the PUCO concluded, this will encourage FirstEnergy to focus on efficient administration of programs and achieving energy savings for the least cost.</w:t>
      </w:r>
      <w:r>
        <w:rPr>
          <w:rFonts w:ascii="Times New Roman" w:hAnsi="Times New Roman" w:cs="Times New Roman"/>
          <w:sz w:val="24"/>
          <w:szCs w:val="24"/>
          <w:vertAlign w:val="superscript"/>
        </w:rPr>
        <w:footnoteReference w:id="71"/>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PUCO should also disregard the environmental advocates</w:t>
      </w:r>
      <w:r>
        <w:rPr>
          <w:rFonts w:ascii="Times New Roman" w:hAnsi="Times New Roman" w:cs="Times New Roman"/>
          <w:sz w:val="24"/>
          <w:szCs w:val="24"/>
        </w:rPr>
        <w:t>’</w:t>
      </w:r>
      <w:r w:rsidRPr="00BE3FD7">
        <w:rPr>
          <w:rFonts w:ascii="Times New Roman" w:hAnsi="Times New Roman" w:cs="Times New Roman"/>
          <w:sz w:val="24"/>
          <w:szCs w:val="24"/>
        </w:rPr>
        <w:t xml:space="preserve"> arguments regarding the feasibility of achieving the 800,000 MWh goal. These parties argue that running the programs efficiently is unlikely to result in 800,000 MWh of energy savings because “a significant majority of the funding for these programs goes directly to incentive payments.”</w:t>
      </w:r>
      <w:r>
        <w:rPr>
          <w:rFonts w:ascii="Times New Roman" w:hAnsi="Times New Roman" w:cs="Times New Roman"/>
          <w:sz w:val="24"/>
          <w:szCs w:val="24"/>
          <w:vertAlign w:val="superscript"/>
        </w:rPr>
        <w:footnoteReference w:id="72"/>
      </w:r>
      <w:r w:rsidRPr="00BE3FD7">
        <w:rPr>
          <w:rFonts w:ascii="Times New Roman" w:hAnsi="Times New Roman" w:cs="Times New Roman"/>
          <w:sz w:val="24"/>
          <w:szCs w:val="24"/>
        </w:rPr>
        <w:t xml:space="preserve"> But this argument is based on documents that are not in evidence.</w:t>
      </w:r>
      <w:r>
        <w:rPr>
          <w:rFonts w:ascii="Times New Roman" w:hAnsi="Times New Roman" w:cs="Times New Roman"/>
          <w:sz w:val="24"/>
          <w:szCs w:val="24"/>
          <w:vertAlign w:val="superscript"/>
        </w:rPr>
        <w:footnoteReference w:id="73"/>
      </w:r>
      <w:r w:rsidRPr="00BE3FD7">
        <w:rPr>
          <w:rFonts w:ascii="Times New Roman" w:hAnsi="Times New Roman" w:cs="Times New Roman"/>
          <w:sz w:val="24"/>
          <w:szCs w:val="24"/>
        </w:rPr>
        <w:t xml:space="preserve"> The PUCO should give no weight to the environmental advocates' arguments that are not based on record evidence in this case.</w:t>
      </w:r>
      <w:r>
        <w:rPr>
          <w:rFonts w:ascii="Times New Roman" w:hAnsi="Times New Roman" w:cs="Times New Roman"/>
          <w:sz w:val="24"/>
          <w:szCs w:val="24"/>
          <w:vertAlign w:val="superscript"/>
        </w:rPr>
        <w:footnoteReference w:id="74"/>
      </w:r>
      <w:r w:rsidRPr="00BE3FD7">
        <w:rPr>
          <w:rFonts w:ascii="Times New Roman" w:hAnsi="Times New Roman" w:cs="Times New Roman"/>
          <w:sz w:val="24"/>
          <w:szCs w:val="24"/>
        </w:rPr>
        <w:t xml:space="preserve"> The environmental advocates also ignore the fact that the 800,000 MWh goal is “subject to customer opt outs.”</w:t>
      </w:r>
      <w:r>
        <w:rPr>
          <w:rFonts w:ascii="Times New Roman" w:hAnsi="Times New Roman" w:cs="Times New Roman"/>
          <w:sz w:val="24"/>
          <w:szCs w:val="24"/>
          <w:vertAlign w:val="superscript"/>
        </w:rPr>
        <w:footnoteReference w:id="75"/>
      </w:r>
      <w:r w:rsidRPr="00BE3FD7">
        <w:rPr>
          <w:rFonts w:ascii="Times New Roman" w:hAnsi="Times New Roman" w:cs="Times New Roman"/>
          <w:sz w:val="24"/>
          <w:szCs w:val="24"/>
        </w:rPr>
        <w:t xml:space="preserve"> With expanded nonresidential customer opt outs beginning January 1, 2017,</w:t>
      </w:r>
      <w:r>
        <w:rPr>
          <w:rFonts w:ascii="Times New Roman" w:hAnsi="Times New Roman" w:cs="Times New Roman"/>
          <w:sz w:val="24"/>
          <w:szCs w:val="24"/>
          <w:vertAlign w:val="superscript"/>
        </w:rPr>
        <w:footnoteReference w:id="76"/>
      </w:r>
      <w:r w:rsidRPr="00BE3FD7">
        <w:rPr>
          <w:rFonts w:ascii="Times New Roman" w:hAnsi="Times New Roman" w:cs="Times New Roman"/>
          <w:sz w:val="24"/>
          <w:szCs w:val="24"/>
        </w:rPr>
        <w:t xml:space="preserve"> the 800,000 MWh goal could be substantially reduced. This would make it much more likely that FirstEnergy could achieve the higher energy savings goal without substantially increasing the customer-funded budget for energy efficiency programs.</w:t>
      </w:r>
      <w:r>
        <w:rPr>
          <w:rFonts w:ascii="Times New Roman" w:hAnsi="Times New Roman" w:cs="Times New Roman"/>
          <w:sz w:val="24"/>
          <w:szCs w:val="24"/>
        </w:rPr>
        <w:t xml:space="preserve"> Therefore, the rehearing requests on this issue should be denied.</w:t>
      </w:r>
    </w:p>
    <w:p w:rsidR="009F4EA1" w:rsidRPr="00BE3FD7" w:rsidP="009F4EA1">
      <w:pPr>
        <w:pStyle w:val="Heading2"/>
        <w:rPr>
          <w:color w:val="FF0000"/>
        </w:rPr>
      </w:pPr>
      <w:bookmarkStart w:id="17" w:name="_Toc467842246"/>
      <w:r>
        <w:t>F.</w:t>
      </w:r>
      <w:r>
        <w:tab/>
      </w:r>
      <w:r w:rsidRPr="00BE3FD7">
        <w:t xml:space="preserve">The PUCO’s decision </w:t>
      </w:r>
      <w:r>
        <w:t xml:space="preserve">to </w:t>
      </w:r>
      <w:r w:rsidRPr="00BE3FD7">
        <w:t xml:space="preserve">remove the 50 basis point adder to return on equity </w:t>
      </w:r>
      <w:r>
        <w:t xml:space="preserve">(profit) </w:t>
      </w:r>
      <w:r w:rsidRPr="00BE3FD7">
        <w:t>in the calculation for the Advanced Metering Infrastructure/Modern Grid Rider (“Rider AMI”) was not unlawful or unreasonable as FirstEnergy contends.</w:t>
      </w:r>
      <w:bookmarkEnd w:id="17"/>
      <w:r w:rsidRPr="00BE3FD7">
        <w:t xml:space="preserve"> </w:t>
      </w:r>
    </w:p>
    <w:p w:rsidR="009F4EA1" w:rsidRPr="00BE3FD7" w:rsidP="00940732">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The PUCO appropriately revisited its decision to authorize FirstEnergy a 50 basis point adder for FirstEnergy’s return on equity </w:t>
      </w:r>
      <w:r>
        <w:rPr>
          <w:rFonts w:ascii="Times New Roman" w:hAnsi="Times New Roman" w:cs="Times New Roman"/>
          <w:sz w:val="24"/>
          <w:szCs w:val="24"/>
        </w:rPr>
        <w:t xml:space="preserve">(profit) </w:t>
      </w:r>
      <w:r w:rsidRPr="00BE3FD7">
        <w:rPr>
          <w:rFonts w:ascii="Times New Roman" w:hAnsi="Times New Roman" w:cs="Times New Roman"/>
          <w:sz w:val="24"/>
          <w:szCs w:val="24"/>
        </w:rPr>
        <w:t xml:space="preserve">for its investment in AMI as a result of approving the Credit Support Rider. The PUCO stated: </w:t>
      </w:r>
    </w:p>
    <w:p w:rsidR="009F4EA1" w:rsidRPr="00BE3FD7" w:rsidP="009F4EA1">
      <w:pPr>
        <w:autoSpaceDE w:val="0"/>
        <w:autoSpaceDN w:val="0"/>
        <w:adjustRightInd w:val="0"/>
        <w:spacing w:after="0" w:line="240" w:lineRule="auto"/>
        <w:ind w:left="1440" w:right="720"/>
        <w:rPr>
          <w:rFonts w:ascii="Times New Roman" w:hAnsi="Times New Roman" w:cs="Times New Roman"/>
          <w:sz w:val="24"/>
          <w:szCs w:val="24"/>
        </w:rPr>
      </w:pPr>
      <w:r w:rsidRPr="00BE3FD7">
        <w:rPr>
          <w:rFonts w:ascii="Times New Roman" w:hAnsi="Times New Roman" w:cs="Times New Roman"/>
          <w:sz w:val="24"/>
          <w:szCs w:val="24"/>
        </w:rPr>
        <w:t>In the ESP IV Opinion and Order, we approved a 50 basis point adder to the</w:t>
      </w:r>
      <w:r>
        <w:rPr>
          <w:rFonts w:ascii="Times New Roman" w:hAnsi="Times New Roman" w:cs="Times New Roman"/>
          <w:sz w:val="24"/>
          <w:szCs w:val="24"/>
        </w:rPr>
        <w:t xml:space="preserve"> </w:t>
      </w:r>
      <w:r w:rsidRPr="00BE3FD7">
        <w:rPr>
          <w:rFonts w:ascii="Times New Roman" w:hAnsi="Times New Roman" w:cs="Times New Roman"/>
          <w:sz w:val="24"/>
          <w:szCs w:val="24"/>
        </w:rPr>
        <w:t>return on equity for investment made for grid modernization (Order at 22-23). This provision provided the Companies with an incentive to invest in grid modernization pursuant to R.C. 4928.143(B)(2)(h). However, in this Fifth Entry on Rehearing, the Commission has approved Rider DMR, which was designed to provide the Companies with an incentive to invest in grid modernization (Staff Ex. 15 at 14-15,16), In light of the fact that the purpose of the 50 basis point adder has been supplanted by Rider DMR, we find that the 50 basis point adder is no longer necessary or appropriate, and we will modify the Stipulations to remove this provision.</w:t>
      </w:r>
      <w:r>
        <w:rPr>
          <w:rStyle w:val="FootnoteReference"/>
          <w:rFonts w:ascii="Times New Roman" w:hAnsi="Times New Roman" w:cs="Times New Roman"/>
          <w:sz w:val="24"/>
          <w:szCs w:val="24"/>
        </w:rPr>
        <w:footnoteReference w:id="77"/>
      </w:r>
    </w:p>
    <w:p w:rsidR="009F4EA1" w:rsidRPr="00BE3FD7" w:rsidP="009F4EA1">
      <w:pPr>
        <w:autoSpaceDE w:val="0"/>
        <w:autoSpaceDN w:val="0"/>
        <w:adjustRightInd w:val="0"/>
        <w:spacing w:after="0" w:line="240" w:lineRule="auto"/>
        <w:rPr>
          <w:rFonts w:ascii="Times New Roman" w:hAnsi="Times New Roman" w:cs="Times New Roman"/>
          <w:sz w:val="24"/>
          <w:szCs w:val="24"/>
        </w:rPr>
      </w:pPr>
    </w:p>
    <w:p w:rsidR="009F4EA1" w:rsidRPr="00BE3FD7" w:rsidP="009F4EA1">
      <w:pPr>
        <w:autoSpaceDE w:val="0"/>
        <w:autoSpaceDN w:val="0"/>
        <w:adjustRightInd w:val="0"/>
        <w:spacing w:after="0" w:line="480" w:lineRule="auto"/>
        <w:rPr>
          <w:rFonts w:ascii="Times New Roman" w:hAnsi="Times New Roman" w:cs="Times New Roman"/>
          <w:color w:val="FF0000"/>
          <w:sz w:val="24"/>
          <w:szCs w:val="24"/>
        </w:rPr>
      </w:pPr>
      <w:r w:rsidRPr="00BE3FD7">
        <w:rPr>
          <w:rFonts w:ascii="Times New Roman" w:hAnsi="Times New Roman" w:cs="Times New Roman"/>
          <w:sz w:val="24"/>
          <w:szCs w:val="24"/>
        </w:rPr>
        <w:t>However, FirstEnergy incorrectly argued on rehearing that the PUCO’s actions in this regard were unlawful and unreasonable.</w:t>
      </w:r>
      <w:r>
        <w:rPr>
          <w:rStyle w:val="FootnoteReference"/>
          <w:rFonts w:ascii="Times New Roman" w:hAnsi="Times New Roman" w:cs="Times New Roman"/>
          <w:sz w:val="24"/>
          <w:szCs w:val="24"/>
        </w:rPr>
        <w:footnoteReference w:id="78"/>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It is FirstEnergy’s erroneous belief that the Credit Support Rider and the </w:t>
      </w:r>
      <w:r>
        <w:rPr>
          <w:rFonts w:ascii="Times New Roman" w:hAnsi="Times New Roman" w:cs="Times New Roman"/>
          <w:sz w:val="24"/>
          <w:szCs w:val="24"/>
        </w:rPr>
        <w:t xml:space="preserve">additional profit to be realized by the </w:t>
      </w:r>
      <w:r w:rsidRPr="00BE3FD7">
        <w:rPr>
          <w:rFonts w:ascii="Times New Roman" w:hAnsi="Times New Roman" w:cs="Times New Roman"/>
          <w:sz w:val="24"/>
          <w:szCs w:val="24"/>
        </w:rPr>
        <w:t>50 basis point adder serve different purposes.</w:t>
      </w:r>
      <w:r>
        <w:rPr>
          <w:rStyle w:val="FootnoteReference"/>
          <w:rFonts w:ascii="Times New Roman" w:hAnsi="Times New Roman" w:cs="Times New Roman"/>
          <w:sz w:val="24"/>
          <w:szCs w:val="24"/>
        </w:rPr>
        <w:footnoteReference w:id="79"/>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FirstEnergy alleges that the additional profit that the </w:t>
      </w:r>
      <w:r w:rsidRPr="00BE3FD7">
        <w:rPr>
          <w:rFonts w:ascii="Times New Roman" w:hAnsi="Times New Roman" w:cs="Times New Roman"/>
          <w:sz w:val="24"/>
          <w:szCs w:val="24"/>
        </w:rPr>
        <w:t xml:space="preserve">50 basis point adder </w:t>
      </w:r>
      <w:r>
        <w:rPr>
          <w:rFonts w:ascii="Times New Roman" w:hAnsi="Times New Roman" w:cs="Times New Roman"/>
          <w:sz w:val="24"/>
          <w:szCs w:val="24"/>
        </w:rPr>
        <w:t xml:space="preserve">ensures grid modernization projects will earn additional profit over than other competing </w:t>
      </w:r>
      <w:r w:rsidRPr="00BE3FD7">
        <w:rPr>
          <w:rFonts w:ascii="Times New Roman" w:hAnsi="Times New Roman" w:cs="Times New Roman"/>
          <w:sz w:val="24"/>
          <w:szCs w:val="24"/>
        </w:rPr>
        <w:t>investment options.</w:t>
      </w:r>
      <w:r>
        <w:rPr>
          <w:rStyle w:val="FootnoteReference"/>
          <w:rFonts w:ascii="Times New Roman" w:hAnsi="Times New Roman" w:cs="Times New Roman"/>
          <w:sz w:val="24"/>
          <w:szCs w:val="24"/>
        </w:rPr>
        <w:footnoteReference w:id="80"/>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According to FirstEnergy, this is different than the Credit Support Rider whose purpose is to jumpstart grid modernization and reduce future costs of providing distribution service. </w:t>
      </w:r>
      <w:r w:rsidRPr="00BE3FD7">
        <w:rPr>
          <w:rFonts w:ascii="Times New Roman" w:hAnsi="Times New Roman" w:cs="Times New Roman"/>
          <w:sz w:val="24"/>
          <w:szCs w:val="24"/>
        </w:rPr>
        <w:t xml:space="preserve">However, the PUCO has authorized the Credit Support Rider with incentives for FirstEnergy to direct funds to grid modernization.  </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PUCO placed the following conditions on FirstEnergy’s collection of Credit Support Revenues. The PUCO stated:</w:t>
      </w:r>
    </w:p>
    <w:p w:rsidR="009F4EA1" w:rsidRPr="00BE3FD7" w:rsidP="009F4EA1">
      <w:pPr>
        <w:autoSpaceDE w:val="0"/>
        <w:autoSpaceDN w:val="0"/>
        <w:adjustRightInd w:val="0"/>
        <w:spacing w:after="0" w:line="240" w:lineRule="auto"/>
        <w:ind w:left="1440" w:right="720"/>
        <w:rPr>
          <w:rFonts w:ascii="Times New Roman" w:hAnsi="Times New Roman" w:cs="Times New Roman"/>
          <w:sz w:val="24"/>
          <w:szCs w:val="24"/>
        </w:rPr>
      </w:pPr>
      <w:r w:rsidRPr="00BE3FD7">
        <w:rPr>
          <w:rFonts w:ascii="Times New Roman" w:hAnsi="Times New Roman" w:cs="Times New Roman"/>
          <w:sz w:val="24"/>
          <w:szCs w:val="24"/>
        </w:rPr>
        <w:t>The Commission finds that recovery of revenue under Rider DMR should</w:t>
      </w:r>
      <w:r>
        <w:rPr>
          <w:rFonts w:ascii="Times New Roman" w:hAnsi="Times New Roman" w:cs="Times New Roman"/>
          <w:sz w:val="24"/>
          <w:szCs w:val="24"/>
        </w:rPr>
        <w:t xml:space="preserve"> </w:t>
      </w:r>
      <w:r w:rsidRPr="00BE3FD7">
        <w:rPr>
          <w:rFonts w:ascii="Times New Roman" w:hAnsi="Times New Roman" w:cs="Times New Roman"/>
          <w:sz w:val="24"/>
          <w:szCs w:val="24"/>
        </w:rPr>
        <w:t>be conditioned upon: (1) continued retention of the corporate headquarters and nexus of</w:t>
      </w:r>
      <w:r>
        <w:rPr>
          <w:rFonts w:ascii="Times New Roman" w:hAnsi="Times New Roman" w:cs="Times New Roman"/>
          <w:sz w:val="24"/>
          <w:szCs w:val="24"/>
        </w:rPr>
        <w:t xml:space="preserve"> </w:t>
      </w:r>
      <w:r w:rsidRPr="00BE3FD7">
        <w:rPr>
          <w:rFonts w:ascii="Times New Roman" w:hAnsi="Times New Roman" w:cs="Times New Roman"/>
          <w:sz w:val="24"/>
          <w:szCs w:val="24"/>
        </w:rPr>
        <w:t>operations of FirstEnergy Corp. in Akron, Ohio; (2) no change in "control" of the</w:t>
      </w:r>
      <w:r w:rsidRPr="00BE3FD7">
        <w:rPr>
          <w:rFonts w:ascii="Times New Roman" w:hAnsi="Times New Roman" w:cs="Times New Roman"/>
          <w:sz w:val="24"/>
          <w:szCs w:val="24"/>
        </w:rPr>
        <w:tab/>
      </w:r>
    </w:p>
    <w:p w:rsidR="009F4EA1" w:rsidP="009F4EA1">
      <w:pPr>
        <w:autoSpaceDE w:val="0"/>
        <w:autoSpaceDN w:val="0"/>
        <w:adjustRightInd w:val="0"/>
        <w:spacing w:after="0" w:line="240" w:lineRule="auto"/>
        <w:ind w:left="1440" w:right="720"/>
        <w:rPr>
          <w:rFonts w:ascii="Times New Roman" w:hAnsi="Times New Roman" w:cs="Times New Roman"/>
          <w:sz w:val="24"/>
          <w:szCs w:val="24"/>
        </w:rPr>
      </w:pPr>
      <w:r w:rsidRPr="00BE3FD7">
        <w:rPr>
          <w:rFonts w:ascii="Times New Roman" w:hAnsi="Times New Roman" w:cs="Times New Roman"/>
          <w:sz w:val="24"/>
          <w:szCs w:val="24"/>
        </w:rPr>
        <w:t xml:space="preserve">Companies as that term is defined in R.C 4905.402(A)(1); and (3) </w:t>
      </w:r>
      <w:r w:rsidRPr="00BE3FD7">
        <w:rPr>
          <w:rFonts w:ascii="Times New Roman" w:hAnsi="Times New Roman" w:cs="Times New Roman"/>
          <w:b/>
          <w:sz w:val="24"/>
          <w:szCs w:val="24"/>
        </w:rPr>
        <w:t>a demonstration of</w:t>
      </w:r>
      <w:r>
        <w:rPr>
          <w:rFonts w:ascii="Times New Roman" w:hAnsi="Times New Roman" w:cs="Times New Roman"/>
          <w:b/>
          <w:sz w:val="24"/>
          <w:szCs w:val="24"/>
        </w:rPr>
        <w:t xml:space="preserve"> </w:t>
      </w:r>
      <w:r w:rsidRPr="00BE3FD7">
        <w:rPr>
          <w:rFonts w:ascii="Times New Roman" w:hAnsi="Times New Roman" w:cs="Times New Roman"/>
          <w:b/>
          <w:sz w:val="24"/>
          <w:szCs w:val="24"/>
        </w:rPr>
        <w:t>sufficient progress in the implementation and deployment of grid modernization</w:t>
      </w:r>
      <w:r>
        <w:rPr>
          <w:rFonts w:ascii="Times New Roman" w:hAnsi="Times New Roman" w:cs="Times New Roman"/>
          <w:b/>
          <w:sz w:val="24"/>
          <w:szCs w:val="24"/>
        </w:rPr>
        <w:t xml:space="preserve"> </w:t>
      </w:r>
      <w:r w:rsidRPr="00BE3FD7">
        <w:rPr>
          <w:rFonts w:ascii="Times New Roman" w:hAnsi="Times New Roman" w:cs="Times New Roman"/>
          <w:b/>
          <w:sz w:val="24"/>
          <w:szCs w:val="24"/>
        </w:rPr>
        <w:t>programs approved by the Commission</w:t>
      </w:r>
      <w:r w:rsidRPr="00BE3FD7">
        <w:rPr>
          <w:rFonts w:ascii="Times New Roman" w:hAnsi="Times New Roman" w:cs="Times New Roman"/>
          <w:sz w:val="24"/>
          <w:szCs w:val="24"/>
        </w:rPr>
        <w:t>.</w:t>
      </w:r>
      <w:r>
        <w:rPr>
          <w:rStyle w:val="FootnoteReference"/>
          <w:rFonts w:ascii="Times New Roman" w:hAnsi="Times New Roman" w:cs="Times New Roman"/>
          <w:sz w:val="24"/>
          <w:szCs w:val="24"/>
        </w:rPr>
        <w:footnoteReference w:id="81"/>
      </w:r>
      <w:r w:rsidRPr="00BE3FD7">
        <w:rPr>
          <w:rFonts w:ascii="Times New Roman" w:hAnsi="Times New Roman" w:cs="Times New Roman"/>
          <w:sz w:val="24"/>
          <w:szCs w:val="24"/>
        </w:rPr>
        <w:t xml:space="preserve">   </w:t>
      </w:r>
    </w:p>
    <w:p w:rsidR="009F4EA1" w:rsidRPr="00BE3FD7" w:rsidP="009F4EA1">
      <w:pPr>
        <w:autoSpaceDE w:val="0"/>
        <w:autoSpaceDN w:val="0"/>
        <w:adjustRightInd w:val="0"/>
        <w:spacing w:after="0" w:line="240" w:lineRule="auto"/>
        <w:ind w:left="1440" w:right="720"/>
        <w:rPr>
          <w:rFonts w:ascii="Times New Roman" w:hAnsi="Times New Roman" w:cs="Times New Roman"/>
          <w:sz w:val="24"/>
          <w:szCs w:val="24"/>
        </w:rPr>
      </w:pPr>
    </w:p>
    <w:p w:rsidR="009F4EA1" w:rsidRPr="00BE3FD7" w:rsidP="009F4EA1">
      <w:pPr>
        <w:autoSpaceDE w:val="0"/>
        <w:autoSpaceDN w:val="0"/>
        <w:adjustRightInd w:val="0"/>
        <w:spacing w:after="0" w:line="480" w:lineRule="auto"/>
        <w:rPr>
          <w:rFonts w:ascii="Times New Roman" w:hAnsi="Times New Roman" w:cs="Times New Roman"/>
          <w:sz w:val="24"/>
          <w:szCs w:val="24"/>
        </w:rPr>
      </w:pPr>
      <w:r w:rsidRPr="00BE3FD7">
        <w:rPr>
          <w:rFonts w:ascii="Times New Roman" w:hAnsi="Times New Roman" w:cs="Times New Roman"/>
          <w:sz w:val="24"/>
          <w:szCs w:val="24"/>
        </w:rPr>
        <w:t xml:space="preserve">The ability of FirstEnergy to collect $204 million per year from its customers is dependent upon a demonstration of sufficient progress in the implementation and deployment of grid modernization programs approved by the PUCO. The PUCO’s condition for collection should be more than sufficient incentive, as the $204 million per year collection dwarfs the </w:t>
      </w:r>
      <w:r>
        <w:rPr>
          <w:rFonts w:ascii="Times New Roman" w:hAnsi="Times New Roman" w:cs="Times New Roman"/>
          <w:sz w:val="24"/>
          <w:szCs w:val="24"/>
        </w:rPr>
        <w:t xml:space="preserve">additional profit provided by the </w:t>
      </w:r>
      <w:r w:rsidRPr="00BE3FD7">
        <w:rPr>
          <w:rFonts w:ascii="Times New Roman" w:hAnsi="Times New Roman" w:cs="Times New Roman"/>
          <w:sz w:val="24"/>
          <w:szCs w:val="24"/>
        </w:rPr>
        <w:t>50 basis point adder that gives FirstEnergy</w:t>
      </w:r>
      <w:r>
        <w:rPr>
          <w:rFonts w:ascii="Times New Roman" w:hAnsi="Times New Roman" w:cs="Times New Roman"/>
          <w:sz w:val="24"/>
          <w:szCs w:val="24"/>
        </w:rPr>
        <w:t>,</w:t>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as an example, </w:t>
      </w:r>
      <w:r w:rsidRPr="00BE3FD7">
        <w:rPr>
          <w:rFonts w:ascii="Times New Roman" w:hAnsi="Times New Roman" w:cs="Times New Roman"/>
          <w:sz w:val="24"/>
          <w:szCs w:val="24"/>
        </w:rPr>
        <w:t>an additional $5,000 return on a million dollar investment.</w:t>
      </w:r>
      <w:r>
        <w:rPr>
          <w:rStyle w:val="FootnoteReference"/>
          <w:rFonts w:ascii="Times New Roman" w:hAnsi="Times New Roman" w:cs="Times New Roman"/>
          <w:sz w:val="24"/>
          <w:szCs w:val="24"/>
        </w:rPr>
        <w:footnoteReference w:id="82"/>
      </w:r>
      <w:r w:rsidRPr="00BE3FD7">
        <w:rPr>
          <w:rFonts w:ascii="Times New Roman" w:hAnsi="Times New Roman" w:cs="Times New Roman"/>
          <w:sz w:val="24"/>
          <w:szCs w:val="24"/>
        </w:rPr>
        <w:t xml:space="preserve">  </w:t>
      </w:r>
      <w:r>
        <w:rPr>
          <w:rFonts w:ascii="Times New Roman" w:hAnsi="Times New Roman" w:cs="Times New Roman"/>
          <w:sz w:val="24"/>
          <w:szCs w:val="24"/>
        </w:rPr>
        <w:t xml:space="preserve">As the PUCO found, </w:t>
      </w:r>
      <w:r w:rsidRPr="00BE3FD7">
        <w:rPr>
          <w:rFonts w:ascii="Times New Roman" w:hAnsi="Times New Roman" w:cs="Times New Roman"/>
          <w:sz w:val="24"/>
          <w:szCs w:val="24"/>
        </w:rPr>
        <w:t>Rider AMI serves the same purpose as Rider DMR</w:t>
      </w:r>
      <w:r>
        <w:rPr>
          <w:rStyle w:val="FootnoteReference"/>
          <w:rFonts w:ascii="Times New Roman" w:hAnsi="Times New Roman" w:cs="Times New Roman"/>
          <w:sz w:val="24"/>
          <w:szCs w:val="24"/>
        </w:rPr>
        <w:footnoteReference w:id="83"/>
      </w:r>
      <w:r w:rsidRPr="00BE3FD7">
        <w:rPr>
          <w:rFonts w:ascii="Times New Roman" w:hAnsi="Times New Roman" w:cs="Times New Roman"/>
          <w:sz w:val="24"/>
          <w:szCs w:val="24"/>
        </w:rPr>
        <w:t xml:space="preserve"> and therefore, it is at the very least appropriate to drop the 50 basis point adder as duplicative in purpose.</w:t>
      </w:r>
    </w:p>
    <w:p w:rsidR="009F4EA1" w:rsidRPr="00BE3FD7" w:rsidP="009F4EA1">
      <w:pPr>
        <w:autoSpaceDE w:val="0"/>
        <w:autoSpaceDN w:val="0"/>
        <w:adjustRightInd w:val="0"/>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 xml:space="preserve">The PUCO’s decision was not unlawful or unreasonable. </w:t>
      </w:r>
      <w:r>
        <w:rPr>
          <w:rFonts w:ascii="Times New Roman" w:hAnsi="Times New Roman" w:cs="Times New Roman"/>
          <w:sz w:val="24"/>
          <w:szCs w:val="24"/>
        </w:rPr>
        <w:t>T</w:t>
      </w:r>
      <w:r w:rsidRPr="00BE3FD7">
        <w:rPr>
          <w:rFonts w:ascii="Times New Roman" w:hAnsi="Times New Roman" w:cs="Times New Roman"/>
          <w:sz w:val="24"/>
          <w:szCs w:val="24"/>
        </w:rPr>
        <w:t xml:space="preserve">he Utilities demand for </w:t>
      </w:r>
      <w:r>
        <w:rPr>
          <w:rFonts w:ascii="Times New Roman" w:hAnsi="Times New Roman" w:cs="Times New Roman"/>
          <w:sz w:val="24"/>
          <w:szCs w:val="24"/>
        </w:rPr>
        <w:t xml:space="preserve">additional profit </w:t>
      </w:r>
      <w:r w:rsidRPr="00BE3FD7">
        <w:rPr>
          <w:rFonts w:ascii="Times New Roman" w:hAnsi="Times New Roman" w:cs="Times New Roman"/>
          <w:sz w:val="24"/>
          <w:szCs w:val="24"/>
        </w:rPr>
        <w:t xml:space="preserve">must be viewed </w:t>
      </w:r>
      <w:r>
        <w:rPr>
          <w:rFonts w:ascii="Times New Roman" w:hAnsi="Times New Roman" w:cs="Times New Roman"/>
          <w:sz w:val="24"/>
          <w:szCs w:val="24"/>
        </w:rPr>
        <w:t>by the PUCO as an unnecessary incentive</w:t>
      </w:r>
      <w:r w:rsidRPr="00BE3FD7">
        <w:rPr>
          <w:rFonts w:ascii="Times New Roman" w:hAnsi="Times New Roman" w:cs="Times New Roman"/>
          <w:sz w:val="24"/>
          <w:szCs w:val="24"/>
        </w:rPr>
        <w:t xml:space="preserve"> to be paid by its </w:t>
      </w:r>
      <w:r>
        <w:rPr>
          <w:rFonts w:ascii="Times New Roman" w:hAnsi="Times New Roman" w:cs="Times New Roman"/>
          <w:sz w:val="24"/>
          <w:szCs w:val="24"/>
        </w:rPr>
        <w:t xml:space="preserve">already over-charged </w:t>
      </w:r>
      <w:r w:rsidRPr="00BE3FD7">
        <w:rPr>
          <w:rFonts w:ascii="Times New Roman" w:hAnsi="Times New Roman" w:cs="Times New Roman"/>
          <w:sz w:val="24"/>
          <w:szCs w:val="24"/>
        </w:rPr>
        <w:t>customers. Therefore, FirstEnergy’s Application for Rehearing on this issue should be denied.</w:t>
      </w:r>
    </w:p>
    <w:p w:rsidR="009F4EA1" w:rsidRPr="00BE3FD7" w:rsidP="009F4EA1">
      <w:pPr>
        <w:pStyle w:val="Heading2"/>
      </w:pPr>
      <w:bookmarkStart w:id="18" w:name="_Toc467842247"/>
      <w:r>
        <w:t>G.</w:t>
      </w:r>
      <w:r>
        <w:tab/>
      </w:r>
      <w:r w:rsidRPr="00BE3FD7">
        <w:t>The PUCO’s decision that directed the Utilities to file a base distribution rate case for rates to be in effect after the expiration of ESP IV was not unlawful or unreasonable as FirstEnergy contends.</w:t>
      </w:r>
      <w:bookmarkEnd w:id="18"/>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PUCO noted in the Fifth Entry on Rehearing that “by the end of ESP IV, it will have been 17 years since the Companies</w:t>
      </w:r>
      <w:r>
        <w:rPr>
          <w:rFonts w:ascii="Times New Roman" w:hAnsi="Times New Roman" w:cs="Times New Roman"/>
          <w:sz w:val="24"/>
          <w:szCs w:val="24"/>
        </w:rPr>
        <w:t>’</w:t>
      </w:r>
      <w:r w:rsidRPr="00BE3FD7">
        <w:rPr>
          <w:rFonts w:ascii="Times New Roman" w:hAnsi="Times New Roman" w:cs="Times New Roman"/>
          <w:sz w:val="24"/>
          <w:szCs w:val="24"/>
        </w:rPr>
        <w:t xml:space="preserve"> last distribution rate case, and we direct the Companies to file a distribution rate case at that time.”</w:t>
      </w:r>
      <w:r>
        <w:rPr>
          <w:rStyle w:val="FootnoteReference"/>
          <w:rFonts w:ascii="Times New Roman" w:hAnsi="Times New Roman" w:cs="Times New Roman"/>
          <w:sz w:val="24"/>
          <w:szCs w:val="24"/>
        </w:rPr>
        <w:footnoteReference w:id="84"/>
      </w:r>
      <w:r w:rsidRPr="00BE3FD7">
        <w:rPr>
          <w:rFonts w:ascii="Times New Roman" w:hAnsi="Times New Roman" w:cs="Times New Roman"/>
          <w:sz w:val="24"/>
          <w:szCs w:val="24"/>
        </w:rPr>
        <w:t xml:space="preserve"> FirstEnergy found the PUCO’s decision to be unjust and unreasonable.</w:t>
      </w:r>
      <w:r>
        <w:rPr>
          <w:rStyle w:val="FootnoteReference"/>
          <w:rFonts w:ascii="Times New Roman" w:hAnsi="Times New Roman" w:cs="Times New Roman"/>
          <w:sz w:val="24"/>
          <w:szCs w:val="24"/>
        </w:rPr>
        <w:footnoteReference w:id="85"/>
      </w:r>
      <w:r w:rsidRPr="00BE3FD7">
        <w:rPr>
          <w:rFonts w:ascii="Times New Roman" w:hAnsi="Times New Roman" w:cs="Times New Roman"/>
          <w:sz w:val="24"/>
          <w:szCs w:val="24"/>
        </w:rPr>
        <w:t xml:space="preserve"> The Utilities argue that it is premature in 2016 to determine that a distribution rate case is required in 2024.</w:t>
      </w:r>
      <w:r>
        <w:rPr>
          <w:rStyle w:val="FootnoteReference"/>
          <w:rFonts w:ascii="Times New Roman" w:hAnsi="Times New Roman" w:cs="Times New Roman"/>
          <w:sz w:val="24"/>
          <w:szCs w:val="24"/>
        </w:rPr>
        <w:footnoteReference w:id="86"/>
      </w:r>
      <w:r w:rsidRPr="00BE3FD7">
        <w:rPr>
          <w:rFonts w:ascii="Times New Roman" w:hAnsi="Times New Roman" w:cs="Times New Roman"/>
          <w:sz w:val="24"/>
          <w:szCs w:val="24"/>
        </w:rPr>
        <w:t xml:space="preserve"> The Utilities cite no authority for their position</w:t>
      </w:r>
      <w:r>
        <w:rPr>
          <w:rFonts w:ascii="Times New Roman" w:hAnsi="Times New Roman" w:cs="Times New Roman"/>
          <w:sz w:val="24"/>
          <w:szCs w:val="24"/>
        </w:rPr>
        <w:t>.</w:t>
      </w:r>
      <w:r w:rsidRPr="00BE3FD7">
        <w:rPr>
          <w:rFonts w:ascii="Times New Roman" w:hAnsi="Times New Roman" w:cs="Times New Roman"/>
          <w:sz w:val="24"/>
          <w:szCs w:val="24"/>
        </w:rPr>
        <w:t xml:space="preserve"> FirstEnergy just prefers to have the ultimate authority for determining when it files a distribution rate case.</w:t>
      </w:r>
    </w:p>
    <w:p w:rsidR="009F4EA1" w:rsidRPr="00BE3FD7" w:rsidP="009F4EA1">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However, as the PUCO correctly notes, in 2024, it will have been 17 years since the Utilities last distribution rate case was filed. That is too long a period for Utilities to go without a thorough review of their operations. The PUCO should instead heed the advice of PUCO Staff Witness McCarter who testified earlier in these proceedings that the utilities should file a distribution rate case no later than May 31, 2018.</w:t>
      </w:r>
      <w:r>
        <w:rPr>
          <w:rStyle w:val="FootnoteReference"/>
          <w:rFonts w:ascii="Times New Roman" w:hAnsi="Times New Roman" w:cs="Times New Roman"/>
          <w:sz w:val="24"/>
          <w:szCs w:val="24"/>
        </w:rPr>
        <w:footnoteReference w:id="87"/>
      </w:r>
      <w:r w:rsidRPr="00BE3FD7">
        <w:rPr>
          <w:rFonts w:ascii="Times New Roman" w:hAnsi="Times New Roman" w:cs="Times New Roman"/>
          <w:sz w:val="24"/>
          <w:szCs w:val="24"/>
        </w:rPr>
        <w:t xml:space="preserve"> Ms. McCarter conveyed the PUCO Staff</w:t>
      </w:r>
      <w:r>
        <w:rPr>
          <w:rFonts w:ascii="Times New Roman" w:hAnsi="Times New Roman" w:cs="Times New Roman"/>
          <w:sz w:val="24"/>
          <w:szCs w:val="24"/>
        </w:rPr>
        <w:t>’</w:t>
      </w:r>
      <w:r w:rsidRPr="00BE3FD7">
        <w:rPr>
          <w:rFonts w:ascii="Times New Roman" w:hAnsi="Times New Roman" w:cs="Times New Roman"/>
          <w:sz w:val="24"/>
          <w:szCs w:val="24"/>
        </w:rPr>
        <w:t xml:space="preserve">s principle that a </w:t>
      </w:r>
      <w:r>
        <w:rPr>
          <w:rFonts w:ascii="Times New Roman" w:hAnsi="Times New Roman" w:cs="Times New Roman"/>
          <w:sz w:val="24"/>
          <w:szCs w:val="24"/>
        </w:rPr>
        <w:t>“</w:t>
      </w:r>
      <w:r w:rsidRPr="00BE3FD7">
        <w:rPr>
          <w:rFonts w:ascii="Times New Roman" w:hAnsi="Times New Roman" w:cs="Times New Roman"/>
          <w:sz w:val="24"/>
          <w:szCs w:val="24"/>
        </w:rPr>
        <w:t>holistic periodic review of each company's finances is necessary to ensure that all costs are being appropriately incurred and recovered.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8"/>
      </w:r>
      <w:r w:rsidRPr="00BE3FD7">
        <w:rPr>
          <w:rFonts w:ascii="Times New Roman" w:hAnsi="Times New Roman" w:cs="Times New Roman"/>
          <w:sz w:val="24"/>
          <w:szCs w:val="24"/>
        </w:rPr>
        <w:t xml:space="preserve"> She explained that a rate case permits the overall earnings of utilities to be reviewed along with all expenses and revenues.</w:t>
      </w:r>
      <w:r>
        <w:rPr>
          <w:rStyle w:val="FootnoteReference"/>
          <w:rFonts w:ascii="Times New Roman" w:hAnsi="Times New Roman" w:cs="Times New Roman"/>
          <w:sz w:val="24"/>
          <w:szCs w:val="24"/>
        </w:rPr>
        <w:footnoteReference w:id="89"/>
      </w:r>
      <w:r w:rsidRPr="00BE3FD7">
        <w:rPr>
          <w:rFonts w:ascii="Times New Roman" w:hAnsi="Times New Roman" w:cs="Times New Roman"/>
          <w:sz w:val="24"/>
          <w:szCs w:val="24"/>
        </w:rPr>
        <w:t xml:space="preserve"> Ms. McCarter further declared that </w:t>
      </w:r>
      <w:r>
        <w:rPr>
          <w:rFonts w:ascii="Times New Roman" w:hAnsi="Times New Roman" w:cs="Times New Roman"/>
          <w:sz w:val="24"/>
          <w:szCs w:val="24"/>
        </w:rPr>
        <w:t>“</w:t>
      </w:r>
      <w:r w:rsidRPr="00BE3FD7">
        <w:rPr>
          <w:rFonts w:ascii="Times New Roman" w:hAnsi="Times New Roman" w:cs="Times New Roman"/>
          <w:sz w:val="24"/>
          <w:szCs w:val="24"/>
        </w:rPr>
        <w:t>Staff believes it is a prudent regulatory practice to gain a holistic understanding of the regulated distribution company on a regular basis.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0"/>
      </w:r>
      <w:r w:rsidRPr="00BE3FD7">
        <w:rPr>
          <w:rFonts w:ascii="Times New Roman" w:hAnsi="Times New Roman" w:cs="Times New Roman"/>
          <w:sz w:val="24"/>
          <w:szCs w:val="24"/>
        </w:rPr>
        <w:t xml:space="preserve"> This was sound advice that has largely gone unheeded in that the Utilities have been authorized to freeze their base rates through the end of ESP IV. However, that freeze should not go any further into the future.  </w:t>
      </w:r>
    </w:p>
    <w:p w:rsidR="009F4EA1" w:rsidP="00C56E55">
      <w:pPr>
        <w:spacing w:after="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The single-issue ratemaking provisions of S.B. 221 have allowed the electric utilities in Ohio to evade base rate reviews to the detriment of their consumers.</w:t>
      </w:r>
      <w:r>
        <w:rPr>
          <w:rStyle w:val="FootnoteReference"/>
          <w:rFonts w:ascii="Times New Roman" w:hAnsi="Times New Roman" w:cs="Times New Roman"/>
          <w:sz w:val="24"/>
          <w:szCs w:val="24"/>
        </w:rPr>
        <w:footnoteReference w:id="91"/>
      </w:r>
      <w:r w:rsidRPr="00BE3FD7">
        <w:rPr>
          <w:rFonts w:ascii="Times New Roman" w:hAnsi="Times New Roman" w:cs="Times New Roman"/>
          <w:sz w:val="24"/>
          <w:szCs w:val="24"/>
        </w:rPr>
        <w:t xml:space="preserve"> </w:t>
      </w:r>
      <w:r>
        <w:rPr>
          <w:rFonts w:ascii="Times New Roman" w:hAnsi="Times New Roman" w:cs="Times New Roman"/>
          <w:sz w:val="24"/>
          <w:szCs w:val="24"/>
        </w:rPr>
        <w:t>For reasons in the record the PUCO’s decision to delay filing a rate case is not in the best interest of consumers. While OCC/NOAC recommends a distribution rate case should be filed sooner rather than later, t</w:t>
      </w:r>
      <w:r w:rsidRPr="00BE3FD7">
        <w:rPr>
          <w:rFonts w:ascii="Times New Roman" w:hAnsi="Times New Roman" w:cs="Times New Roman"/>
          <w:sz w:val="24"/>
          <w:szCs w:val="24"/>
        </w:rPr>
        <w:t xml:space="preserve">he PUCO’s decision was not unlawful or unreasonable.  </w:t>
      </w:r>
      <w:r>
        <w:rPr>
          <w:rFonts w:ascii="Times New Roman" w:hAnsi="Times New Roman" w:cs="Times New Roman"/>
          <w:sz w:val="24"/>
          <w:szCs w:val="24"/>
        </w:rPr>
        <w:t>However, a</w:t>
      </w:r>
      <w:r w:rsidRPr="00BE3FD7">
        <w:rPr>
          <w:rFonts w:ascii="Times New Roman" w:hAnsi="Times New Roman" w:cs="Times New Roman"/>
          <w:sz w:val="24"/>
          <w:szCs w:val="24"/>
        </w:rPr>
        <w:t xml:space="preserve"> review of the Utilities </w:t>
      </w:r>
      <w:r>
        <w:rPr>
          <w:rFonts w:ascii="Times New Roman" w:hAnsi="Times New Roman" w:cs="Times New Roman"/>
          <w:sz w:val="24"/>
          <w:szCs w:val="24"/>
        </w:rPr>
        <w:t xml:space="preserve">distribution rates and </w:t>
      </w:r>
      <w:r w:rsidRPr="00BE3FD7">
        <w:rPr>
          <w:rFonts w:ascii="Times New Roman" w:hAnsi="Times New Roman" w:cs="Times New Roman"/>
          <w:sz w:val="24"/>
          <w:szCs w:val="24"/>
        </w:rPr>
        <w:t>operations is long overdue</w:t>
      </w:r>
      <w:r>
        <w:rPr>
          <w:rFonts w:ascii="Times New Roman" w:hAnsi="Times New Roman" w:cs="Times New Roman"/>
          <w:sz w:val="24"/>
          <w:szCs w:val="24"/>
        </w:rPr>
        <w:t xml:space="preserve">. It should be </w:t>
      </w:r>
      <w:r w:rsidRPr="00BE3FD7">
        <w:rPr>
          <w:rFonts w:ascii="Times New Roman" w:hAnsi="Times New Roman" w:cs="Times New Roman"/>
          <w:sz w:val="24"/>
          <w:szCs w:val="24"/>
        </w:rPr>
        <w:t xml:space="preserve">required </w:t>
      </w:r>
      <w:r>
        <w:rPr>
          <w:rFonts w:ascii="Times New Roman" w:hAnsi="Times New Roman" w:cs="Times New Roman"/>
          <w:sz w:val="24"/>
          <w:szCs w:val="24"/>
        </w:rPr>
        <w:t xml:space="preserve">in eight years, </w:t>
      </w:r>
      <w:r w:rsidRPr="00BE3FD7">
        <w:rPr>
          <w:rFonts w:ascii="Times New Roman" w:hAnsi="Times New Roman" w:cs="Times New Roman"/>
          <w:sz w:val="24"/>
          <w:szCs w:val="24"/>
        </w:rPr>
        <w:t>as the PUCO directed</w:t>
      </w:r>
      <w:r>
        <w:rPr>
          <w:rFonts w:ascii="Times New Roman" w:hAnsi="Times New Roman" w:cs="Times New Roman"/>
          <w:sz w:val="24"/>
          <w:szCs w:val="24"/>
        </w:rPr>
        <w:t xml:space="preserve"> (if not sooner)</w:t>
      </w:r>
      <w:r w:rsidRPr="00BE3FD7">
        <w:rPr>
          <w:rFonts w:ascii="Times New Roman" w:hAnsi="Times New Roman" w:cs="Times New Roman"/>
          <w:sz w:val="24"/>
          <w:szCs w:val="24"/>
        </w:rPr>
        <w:t>. FirstEnergy’s Application for Rehearing on this issue should be denied.</w:t>
      </w:r>
    </w:p>
    <w:p w:rsidR="00A5028A" w:rsidRPr="00BE3FD7" w:rsidP="00A5028A">
      <w:pPr>
        <w:pStyle w:val="Heading2"/>
      </w:pPr>
      <w:bookmarkStart w:id="19" w:name="_Toc467842248"/>
      <w:r>
        <w:t>H.</w:t>
      </w:r>
      <w:r>
        <w:tab/>
      </w:r>
      <w:r w:rsidRPr="00BE3FD7">
        <w:t xml:space="preserve">The PUCO did not act unreasonably </w:t>
      </w:r>
      <w:r>
        <w:t xml:space="preserve">or unlawfully </w:t>
      </w:r>
      <w:r w:rsidRPr="00BE3FD7">
        <w:t xml:space="preserve">when it ordered that increases in revenue caps </w:t>
      </w:r>
      <w:r>
        <w:t xml:space="preserve">that customers pay </w:t>
      </w:r>
      <w:r w:rsidRPr="00BE3FD7">
        <w:t xml:space="preserve">under the Delivery Capital Recovery Rider (“Rider DCR”) would be terminated if ESP IV was terminated </w:t>
      </w:r>
      <w:r>
        <w:t xml:space="preserve">before its </w:t>
      </w:r>
      <w:r w:rsidRPr="00BE3FD7">
        <w:t>eight-year term.</w:t>
      </w:r>
      <w:bookmarkEnd w:id="19"/>
    </w:p>
    <w:p w:rsidR="00A5028A" w:rsidP="00940732">
      <w:pPr>
        <w:spacing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 xml:space="preserve">In its March 31 Order, the PUCO approved Rider DCR in the Third Supplemental Stipulation. In addition, the PUCO approved annual increases in the revenue caps associated with Rider DCR. In the Fifth Entry on Rehearing, the PUCO ordered that in the event that the PUCO terminates ESP IV under R.C. 4928.143(E), the annual increases in revenue caps under Rider DCR will also be terminated. </w:t>
      </w:r>
    </w:p>
    <w:p w:rsidR="00A5028A" w:rsidRPr="00BE3FD7" w:rsidP="00940732">
      <w:pPr>
        <w:spacing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 xml:space="preserve">FirstEnergy contends that this decision in the Fifth Entry on Rehearing was unlawful and unreasonable because the “Third Supplemental Stipulation provided that the Commission’s termination of ESP IV under the process in R.C. 4928.1434(E) -- </w:t>
      </w:r>
      <w:r w:rsidRPr="00BE3FD7">
        <w:rPr>
          <w:rFonts w:ascii="Times New Roman" w:hAnsi="Times New Roman" w:cs="Times New Roman"/>
          <w:i/>
          <w:sz w:val="24"/>
          <w:szCs w:val="24"/>
        </w:rPr>
        <w:t xml:space="preserve">i .e., </w:t>
      </w:r>
      <w:r w:rsidRPr="00BE3FD7">
        <w:rPr>
          <w:rFonts w:ascii="Times New Roman" w:hAnsi="Times New Roman" w:cs="Times New Roman"/>
          <w:sz w:val="24"/>
          <w:szCs w:val="24"/>
        </w:rPr>
        <w:t xml:space="preserve">the review of an ESP in its fourth year – ‘shall not </w:t>
      </w:r>
      <w:r>
        <w:rPr>
          <w:rFonts w:ascii="Times New Roman" w:hAnsi="Times New Roman" w:cs="Times New Roman"/>
          <w:sz w:val="24"/>
          <w:szCs w:val="24"/>
        </w:rPr>
        <w:t>e</w:t>
      </w:r>
      <w:r w:rsidRPr="00BE3FD7">
        <w:rPr>
          <w:rFonts w:ascii="Times New Roman" w:hAnsi="Times New Roman" w:cs="Times New Roman"/>
          <w:sz w:val="24"/>
          <w:szCs w:val="24"/>
        </w:rPr>
        <w:t>ffect the continued cost recovery’ of Rider DCR.”</w:t>
      </w:r>
      <w:r>
        <w:rPr>
          <w:rFonts w:ascii="Times New Roman" w:hAnsi="Times New Roman" w:cs="Times New Roman"/>
          <w:sz w:val="24"/>
          <w:szCs w:val="24"/>
          <w:vertAlign w:val="superscript"/>
        </w:rPr>
        <w:footnoteReference w:id="92"/>
      </w:r>
      <w:r w:rsidRPr="00BE3FD7">
        <w:rPr>
          <w:rFonts w:ascii="Times New Roman" w:hAnsi="Times New Roman" w:cs="Times New Roman"/>
          <w:sz w:val="24"/>
          <w:szCs w:val="24"/>
        </w:rPr>
        <w:t xml:space="preserve"> FirstEnergy is wrong for several reasons.</w:t>
      </w:r>
    </w:p>
    <w:p w:rsidR="00A5028A" w:rsidRPr="00BE3FD7" w:rsidP="00940732">
      <w:pPr>
        <w:spacing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First, termination of the revenue cap increases in the event that ESP IV is terminated under R.C. 4928.1434(E) does not violate the terms of the Stipulation. The Stipulation states that the termination of the ESP IV “shall not effect</w:t>
      </w:r>
      <w:r>
        <w:rPr>
          <w:rFonts w:ascii="Times New Roman" w:hAnsi="Times New Roman" w:cs="Times New Roman"/>
          <w:sz w:val="24"/>
          <w:szCs w:val="24"/>
        </w:rPr>
        <w:t xml:space="preserve"> [sic]</w:t>
      </w:r>
      <w:r w:rsidRPr="00BE3FD7">
        <w:rPr>
          <w:rFonts w:ascii="Times New Roman" w:hAnsi="Times New Roman" w:cs="Times New Roman"/>
          <w:sz w:val="24"/>
          <w:szCs w:val="24"/>
        </w:rPr>
        <w:t xml:space="preserve"> the continued cost recovery of Rider DCR.”</w:t>
      </w:r>
      <w:r>
        <w:rPr>
          <w:rFonts w:ascii="Times New Roman" w:hAnsi="Times New Roman" w:cs="Times New Roman"/>
          <w:sz w:val="24"/>
          <w:szCs w:val="24"/>
          <w:vertAlign w:val="superscript"/>
        </w:rPr>
        <w:footnoteReference w:id="93"/>
      </w:r>
      <w:r w:rsidRPr="00BE3FD7">
        <w:rPr>
          <w:rFonts w:ascii="Times New Roman" w:hAnsi="Times New Roman" w:cs="Times New Roman"/>
          <w:sz w:val="24"/>
          <w:szCs w:val="24"/>
        </w:rPr>
        <w:t xml:space="preserve"> Rider DCR is designed to allow FirstEnergy to recover reasonable investments in plant in service associated with distribution, subtransmission, and general and intangible plant, which was not included in the rate base of the </w:t>
      </w:r>
      <w:r>
        <w:rPr>
          <w:rFonts w:ascii="Times New Roman" w:hAnsi="Times New Roman" w:cs="Times New Roman"/>
          <w:sz w:val="24"/>
          <w:szCs w:val="24"/>
        </w:rPr>
        <w:t>Utilities’</w:t>
      </w:r>
      <w:r w:rsidRPr="00BE3FD7">
        <w:rPr>
          <w:rFonts w:ascii="Times New Roman" w:hAnsi="Times New Roman" w:cs="Times New Roman"/>
          <w:sz w:val="24"/>
          <w:szCs w:val="24"/>
        </w:rPr>
        <w:t xml:space="preserve"> last distribution rate case. The Fifth Entry on Rehearing only speaks to terminating the increases in revenue caps, not the ability for FirstEnergy to </w:t>
      </w:r>
      <w:r>
        <w:rPr>
          <w:rFonts w:ascii="Times New Roman" w:hAnsi="Times New Roman" w:cs="Times New Roman"/>
          <w:sz w:val="24"/>
          <w:szCs w:val="24"/>
        </w:rPr>
        <w:t>collect</w:t>
      </w:r>
      <w:r w:rsidRPr="00BE3FD7">
        <w:rPr>
          <w:rFonts w:ascii="Times New Roman" w:hAnsi="Times New Roman" w:cs="Times New Roman"/>
          <w:sz w:val="24"/>
          <w:szCs w:val="24"/>
        </w:rPr>
        <w:t xml:space="preserve"> general costs under Rider DCR. Therefore, the Fifth Entry on Rehearing is not unreasonable because terminating the increases in revenue caps will still allow</w:t>
      </w:r>
      <w:r>
        <w:rPr>
          <w:rFonts w:ascii="Times New Roman" w:hAnsi="Times New Roman" w:cs="Times New Roman"/>
          <w:sz w:val="24"/>
          <w:szCs w:val="24"/>
        </w:rPr>
        <w:t xml:space="preserve"> the Utilities to collect </w:t>
      </w:r>
      <w:r w:rsidRPr="00BE3FD7">
        <w:rPr>
          <w:rFonts w:ascii="Times New Roman" w:hAnsi="Times New Roman" w:cs="Times New Roman"/>
          <w:sz w:val="24"/>
          <w:szCs w:val="24"/>
        </w:rPr>
        <w:t xml:space="preserve">the rider </w:t>
      </w:r>
      <w:r>
        <w:rPr>
          <w:rFonts w:ascii="Times New Roman" w:hAnsi="Times New Roman" w:cs="Times New Roman"/>
          <w:sz w:val="24"/>
          <w:szCs w:val="24"/>
        </w:rPr>
        <w:t xml:space="preserve">from customers </w:t>
      </w:r>
      <w:r w:rsidRPr="00BE3FD7">
        <w:rPr>
          <w:rFonts w:ascii="Times New Roman" w:hAnsi="Times New Roman" w:cs="Times New Roman"/>
          <w:sz w:val="24"/>
          <w:szCs w:val="24"/>
        </w:rPr>
        <w:t>as contemplated in the Stipulation.</w:t>
      </w:r>
    </w:p>
    <w:p w:rsidR="00A5028A" w:rsidRPr="00BE3FD7" w:rsidP="00E2467F">
      <w:pPr>
        <w:spacing w:after="0"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 xml:space="preserve">Furthermore, FirstEnergy argues that continuing the scheduling of revenue caps increases during a transition is reasonable because the rider promotes reliable electric service and stable rates for customers. But, FirstEnergy fails to demonstrate, or even argue, that it will be unable to provide such benefits to customers if the revenue caps are terminated. </w:t>
      </w:r>
      <w:r>
        <w:rPr>
          <w:rFonts w:ascii="Times New Roman" w:hAnsi="Times New Roman" w:cs="Times New Roman"/>
          <w:sz w:val="24"/>
          <w:szCs w:val="24"/>
        </w:rPr>
        <w:t xml:space="preserve">As such, </w:t>
      </w:r>
      <w:r w:rsidRPr="00BE3FD7">
        <w:rPr>
          <w:rFonts w:ascii="Times New Roman" w:hAnsi="Times New Roman" w:cs="Times New Roman"/>
          <w:sz w:val="24"/>
          <w:szCs w:val="24"/>
        </w:rPr>
        <w:t>FirstEnergy has not demonstrated that the PUCO’s decisions are unlawful or unreasonable.</w:t>
      </w:r>
      <w:r>
        <w:rPr>
          <w:rFonts w:ascii="Times New Roman" w:hAnsi="Times New Roman" w:cs="Times New Roman"/>
          <w:sz w:val="24"/>
          <w:szCs w:val="24"/>
        </w:rPr>
        <w:t xml:space="preserve"> Therefore, the PUCO should deny rehearing on this issue.</w:t>
      </w:r>
    </w:p>
    <w:p w:rsidR="00A5028A" w:rsidRPr="00BE3FD7" w:rsidP="00940732">
      <w:pPr>
        <w:pStyle w:val="Heading2"/>
        <w:rPr>
          <w:rFonts w:ascii="Times New Roman" w:hAnsi="Times New Roman" w:cs="Times New Roman"/>
          <w:szCs w:val="24"/>
        </w:rPr>
      </w:pPr>
      <w:bookmarkStart w:id="20" w:name="_Toc467842249"/>
      <w:r>
        <w:rPr>
          <w:rFonts w:ascii="Times New Roman" w:hAnsi="Times New Roman" w:cs="Times New Roman"/>
          <w:szCs w:val="24"/>
        </w:rPr>
        <w:t>I.</w:t>
      </w:r>
      <w:r>
        <w:rPr>
          <w:rFonts w:ascii="Times New Roman" w:hAnsi="Times New Roman" w:cs="Times New Roman"/>
          <w:szCs w:val="24"/>
        </w:rPr>
        <w:tab/>
      </w:r>
      <w:r w:rsidRPr="00BE3FD7">
        <w:rPr>
          <w:rFonts w:ascii="Times New Roman" w:hAnsi="Times New Roman" w:cs="Times New Roman"/>
          <w:szCs w:val="24"/>
        </w:rPr>
        <w:t>The PUCO did not act unreasonably</w:t>
      </w:r>
      <w:r>
        <w:rPr>
          <w:rFonts w:ascii="Times New Roman" w:hAnsi="Times New Roman" w:cs="Times New Roman"/>
          <w:szCs w:val="24"/>
        </w:rPr>
        <w:t xml:space="preserve"> or unlawfully</w:t>
      </w:r>
      <w:r w:rsidRPr="00BE3FD7">
        <w:rPr>
          <w:rFonts w:ascii="Times New Roman" w:hAnsi="Times New Roman" w:cs="Times New Roman"/>
          <w:szCs w:val="24"/>
        </w:rPr>
        <w:t xml:space="preserve"> when it determined that the record evidence does not support the authorization of a placeholder Retail Competition Enhancement Rider (“Rider RCE”).</w:t>
      </w:r>
      <w:bookmarkEnd w:id="20"/>
    </w:p>
    <w:p w:rsidR="00A5028A" w:rsidRPr="00BE3FD7" w:rsidP="00E2467F">
      <w:pPr>
        <w:spacing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IGS</w:t>
      </w:r>
      <w:r>
        <w:rPr>
          <w:rFonts w:ascii="Times New Roman" w:hAnsi="Times New Roman" w:cs="Times New Roman"/>
          <w:sz w:val="24"/>
          <w:szCs w:val="24"/>
          <w:vertAlign w:val="superscript"/>
        </w:rPr>
        <w:footnoteReference w:id="94"/>
      </w:r>
      <w:r w:rsidRPr="00BE3FD7">
        <w:rPr>
          <w:rFonts w:ascii="Times New Roman" w:hAnsi="Times New Roman" w:cs="Times New Roman"/>
          <w:sz w:val="24"/>
          <w:szCs w:val="24"/>
        </w:rPr>
        <w:t xml:space="preserve"> and FirstEnergy</w:t>
      </w:r>
      <w:r>
        <w:rPr>
          <w:rFonts w:ascii="Times New Roman" w:hAnsi="Times New Roman" w:cs="Times New Roman"/>
          <w:sz w:val="24"/>
          <w:szCs w:val="24"/>
          <w:vertAlign w:val="superscript"/>
        </w:rPr>
        <w:footnoteReference w:id="95"/>
      </w:r>
      <w:r w:rsidRPr="00BE3FD7">
        <w:rPr>
          <w:rFonts w:ascii="Times New Roman" w:hAnsi="Times New Roman" w:cs="Times New Roman"/>
          <w:sz w:val="24"/>
          <w:szCs w:val="24"/>
        </w:rPr>
        <w:t xml:space="preserve"> both claim that the PUCO acted unreasonably when it determined that the record evidence does not support the authorization of a placeholder Rider RCE. IGS and FirstEnergy are wrong. The Fifth Entry on Rehearing is not unlawful or unreasonable on this issue.</w:t>
      </w:r>
    </w:p>
    <w:p w:rsidR="00A5028A" w:rsidRPr="00BE3FD7" w:rsidP="00E2467F">
      <w:pPr>
        <w:spacing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FirstEnergy and IGS both argue that the PUCO should establish a placeholder Rider RCE because FirstEnergy witness Mikkelsen testified on cross-examination to the benefits of a retail competition incentive mechanism.</w:t>
      </w:r>
      <w:r>
        <w:rPr>
          <w:rFonts w:ascii="Times New Roman" w:hAnsi="Times New Roman" w:cs="Times New Roman"/>
          <w:sz w:val="24"/>
          <w:szCs w:val="24"/>
          <w:vertAlign w:val="superscript"/>
        </w:rPr>
        <w:footnoteReference w:id="96"/>
      </w:r>
      <w:r w:rsidRPr="00BE3FD7">
        <w:rPr>
          <w:rFonts w:ascii="Times New Roman" w:hAnsi="Times New Roman" w:cs="Times New Roman"/>
          <w:sz w:val="24"/>
          <w:szCs w:val="24"/>
        </w:rPr>
        <w:t xml:space="preserve"> But, in the Fifth Entry on Rehearing the PUCO specifically stated that, “we find that the limited commentary of FirstEnergy witness Mikkelsen on cross-examination is insufficient by itself to support the creation of the rider.”</w:t>
      </w:r>
      <w:r>
        <w:rPr>
          <w:rFonts w:ascii="Times New Roman" w:hAnsi="Times New Roman" w:cs="Times New Roman"/>
          <w:sz w:val="24"/>
          <w:szCs w:val="24"/>
          <w:vertAlign w:val="superscript"/>
        </w:rPr>
        <w:footnoteReference w:id="97"/>
      </w:r>
      <w:r w:rsidRPr="00BE3FD7">
        <w:rPr>
          <w:rFonts w:ascii="Times New Roman" w:hAnsi="Times New Roman" w:cs="Times New Roman"/>
          <w:sz w:val="24"/>
          <w:szCs w:val="24"/>
        </w:rPr>
        <w:t xml:space="preserve"> The PUCO has already considered this evidence and determined that it is unpersuasive. FirstEnergy offers no new arguments in its assignment of error and, therefore, it should be denied.</w:t>
      </w:r>
    </w:p>
    <w:p w:rsidR="009F4EA1" w:rsidRPr="00BE3FD7" w:rsidP="009F4EA1">
      <w:pPr>
        <w:spacing w:line="480" w:lineRule="auto"/>
        <w:ind w:firstLine="720"/>
        <w:contextualSpacing/>
        <w:rPr>
          <w:rFonts w:ascii="Times New Roman" w:hAnsi="Times New Roman" w:cs="Times New Roman"/>
          <w:sz w:val="24"/>
          <w:szCs w:val="24"/>
        </w:rPr>
      </w:pPr>
      <w:r w:rsidRPr="00BE3FD7">
        <w:rPr>
          <w:rFonts w:ascii="Times New Roman" w:hAnsi="Times New Roman" w:cs="Times New Roman"/>
          <w:sz w:val="24"/>
          <w:szCs w:val="24"/>
        </w:rPr>
        <w:t>IGS additionally argues that IGS witness White’s limited testimony demonstrates that the PUCO was unlawful or unreasonable. IGS is still wrong. IGS withdrew the vast majority of its testimony in this proceeding when it signed the Stipulation.</w:t>
      </w:r>
      <w:r>
        <w:rPr>
          <w:rFonts w:ascii="Times New Roman" w:hAnsi="Times New Roman" w:cs="Times New Roman"/>
          <w:sz w:val="24"/>
          <w:szCs w:val="24"/>
          <w:vertAlign w:val="superscript"/>
        </w:rPr>
        <w:footnoteReference w:id="98"/>
      </w:r>
      <w:r w:rsidRPr="00BE3FD7">
        <w:rPr>
          <w:rFonts w:ascii="Times New Roman" w:hAnsi="Times New Roman" w:cs="Times New Roman"/>
          <w:sz w:val="24"/>
          <w:szCs w:val="24"/>
        </w:rPr>
        <w:t xml:space="preserve"> IGS now argues that the few lines of testimony it left in place demonstrate that the PUCO acted unlawfully and/or unreasonably in denying the placeholder Rider RCE. Once again, the PUCO has already considered this evidence and determined that it </w:t>
      </w:r>
      <w:r>
        <w:rPr>
          <w:rFonts w:ascii="Times New Roman" w:hAnsi="Times New Roman" w:cs="Times New Roman"/>
          <w:sz w:val="24"/>
          <w:szCs w:val="24"/>
        </w:rPr>
        <w:t>wa</w:t>
      </w:r>
      <w:r w:rsidRPr="00BE3FD7">
        <w:rPr>
          <w:rFonts w:ascii="Times New Roman" w:hAnsi="Times New Roman" w:cs="Times New Roman"/>
          <w:sz w:val="24"/>
          <w:szCs w:val="24"/>
        </w:rPr>
        <w:t>s unpersuasive and insufficient. The cited testimony from Mr. White is irrelevant to an RCE Rider.</w:t>
      </w:r>
      <w:r>
        <w:rPr>
          <w:rFonts w:ascii="Times New Roman" w:hAnsi="Times New Roman" w:cs="Times New Roman"/>
          <w:sz w:val="24"/>
          <w:szCs w:val="24"/>
          <w:vertAlign w:val="superscript"/>
        </w:rPr>
        <w:footnoteReference w:id="99"/>
      </w:r>
      <w:r w:rsidRPr="00BE3FD7">
        <w:rPr>
          <w:rFonts w:ascii="Times New Roman" w:hAnsi="Times New Roman" w:cs="Times New Roman"/>
          <w:sz w:val="24"/>
          <w:szCs w:val="24"/>
        </w:rPr>
        <w:t xml:space="preserve"> As the PUCO stated “the testimony by IGS witness White does not support the creation of Rider RCE.”</w:t>
      </w:r>
      <w:r>
        <w:rPr>
          <w:rFonts w:ascii="Times New Roman" w:hAnsi="Times New Roman" w:cs="Times New Roman"/>
          <w:sz w:val="24"/>
          <w:szCs w:val="24"/>
          <w:vertAlign w:val="superscript"/>
        </w:rPr>
        <w:footnoteReference w:id="100"/>
      </w:r>
      <w:r w:rsidRPr="00BE3FD7">
        <w:rPr>
          <w:rFonts w:ascii="Times New Roman" w:hAnsi="Times New Roman" w:cs="Times New Roman"/>
          <w:sz w:val="24"/>
          <w:szCs w:val="24"/>
        </w:rPr>
        <w:t xml:space="preserve"> And, “absent the testimony of IGS witness White in support of Rider RCE, we find that there is insufficient evidence to support the creation of Rider RCE, even on a placeholder, zero-cost basis.”</w:t>
      </w:r>
      <w:r>
        <w:rPr>
          <w:rFonts w:ascii="Times New Roman" w:hAnsi="Times New Roman" w:cs="Times New Roman"/>
          <w:sz w:val="24"/>
          <w:szCs w:val="24"/>
          <w:vertAlign w:val="superscript"/>
        </w:rPr>
        <w:footnoteReference w:id="101"/>
      </w:r>
      <w:r w:rsidRPr="00BE3FD7">
        <w:rPr>
          <w:rFonts w:ascii="Times New Roman" w:hAnsi="Times New Roman" w:cs="Times New Roman"/>
          <w:sz w:val="24"/>
          <w:szCs w:val="24"/>
        </w:rPr>
        <w:t xml:space="preserve"> Merely, restating the testimony and/or evidence does not demonstrate how the PUCO’s determination is unlawful or unreasonable. Therefore, the </w:t>
      </w:r>
      <w:r>
        <w:rPr>
          <w:rFonts w:ascii="Times New Roman" w:hAnsi="Times New Roman" w:cs="Times New Roman"/>
          <w:sz w:val="24"/>
          <w:szCs w:val="24"/>
        </w:rPr>
        <w:t xml:space="preserve">FirstEnergy and IGS </w:t>
      </w:r>
      <w:r w:rsidRPr="00BE3FD7">
        <w:rPr>
          <w:rFonts w:ascii="Times New Roman" w:hAnsi="Times New Roman" w:cs="Times New Roman"/>
          <w:sz w:val="24"/>
          <w:szCs w:val="24"/>
        </w:rPr>
        <w:t>assignment</w:t>
      </w:r>
      <w:r>
        <w:rPr>
          <w:rFonts w:ascii="Times New Roman" w:hAnsi="Times New Roman" w:cs="Times New Roman"/>
          <w:sz w:val="24"/>
          <w:szCs w:val="24"/>
        </w:rPr>
        <w:t>s</w:t>
      </w:r>
      <w:r w:rsidRPr="00BE3FD7">
        <w:rPr>
          <w:rFonts w:ascii="Times New Roman" w:hAnsi="Times New Roman" w:cs="Times New Roman"/>
          <w:sz w:val="24"/>
          <w:szCs w:val="24"/>
        </w:rPr>
        <w:t xml:space="preserve"> of error </w:t>
      </w:r>
      <w:r>
        <w:rPr>
          <w:rFonts w:ascii="Times New Roman" w:hAnsi="Times New Roman" w:cs="Times New Roman"/>
          <w:sz w:val="24"/>
          <w:szCs w:val="24"/>
        </w:rPr>
        <w:t xml:space="preserve">on this issue </w:t>
      </w:r>
      <w:r w:rsidRPr="00BE3FD7">
        <w:rPr>
          <w:rFonts w:ascii="Times New Roman" w:hAnsi="Times New Roman" w:cs="Times New Roman"/>
          <w:sz w:val="24"/>
          <w:szCs w:val="24"/>
        </w:rPr>
        <w:t>must be denied.</w:t>
      </w:r>
    </w:p>
    <w:p w:rsidR="009F4EA1" w:rsidRPr="00BE3FD7" w:rsidP="009F4EA1">
      <w:pPr>
        <w:pStyle w:val="Heading1"/>
        <w:rPr>
          <w:rFonts w:ascii="Times New Roman" w:hAnsi="Times New Roman"/>
        </w:rPr>
      </w:pPr>
      <w:bookmarkStart w:id="21" w:name="_Toc450833003"/>
      <w:bookmarkStart w:id="22" w:name="_Toc467842250"/>
      <w:r w:rsidRPr="00BE3FD7">
        <w:rPr>
          <w:rFonts w:ascii="Times New Roman" w:hAnsi="Times New Roman"/>
        </w:rPr>
        <w:t>III.</w:t>
      </w:r>
      <w:r w:rsidRPr="00BE3FD7">
        <w:rPr>
          <w:rFonts w:ascii="Times New Roman" w:hAnsi="Times New Roman"/>
        </w:rPr>
        <w:tab/>
        <w:t>CONCLUSION</w:t>
      </w:r>
      <w:bookmarkEnd w:id="21"/>
      <w:bookmarkEnd w:id="22"/>
    </w:p>
    <w:p w:rsidR="00BE6BC7" w:rsidP="009F4EA1">
      <w:pPr>
        <w:spacing w:after="0" w:line="480" w:lineRule="auto"/>
        <w:rPr>
          <w:rFonts w:ascii="Times New Roman" w:eastAsia="Times New Roman" w:hAnsi="Times New Roman" w:cs="Times New Roman"/>
          <w:sz w:val="24"/>
          <w:szCs w:val="24"/>
        </w:rPr>
      </w:pPr>
      <w:r w:rsidRPr="00BE3FD7">
        <w:rPr>
          <w:rFonts w:ascii="Times New Roman" w:eastAsia="Times New Roman" w:hAnsi="Times New Roman" w:cs="Times New Roman"/>
          <w:sz w:val="24"/>
          <w:szCs w:val="24"/>
        </w:rPr>
        <w:tab/>
        <w:t>FirstEnergy's Application for rehearing, and others as indicated, should be rejected in large part as explained above. Denying the applications for rehearing will allow consumers to be protected from</w:t>
      </w:r>
      <w:r>
        <w:rPr>
          <w:rFonts w:ascii="Times New Roman" w:eastAsia="Times New Roman" w:hAnsi="Times New Roman" w:cs="Times New Roman"/>
          <w:sz w:val="24"/>
          <w:szCs w:val="24"/>
        </w:rPr>
        <w:t xml:space="preserve"> paying hundreds of millions of dollars more than that ordered by the PUCO. </w:t>
      </w:r>
    </w:p>
    <w:p w:rsidR="00AB39DC" w:rsidP="00E2467F">
      <w:pPr>
        <w:spacing w:after="0" w:line="480" w:lineRule="auto"/>
        <w:rPr>
          <w:rFonts w:ascii="Times New Roman" w:hAnsi="Times New Roman" w:cs="Times New Roman"/>
          <w:sz w:val="24"/>
          <w:szCs w:val="24"/>
        </w:rPr>
      </w:pP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r w:rsidRPr="00BE3FD7">
        <w:rPr>
          <w:rFonts w:ascii="Times New Roman" w:hAnsi="Times New Roman" w:cs="Times New Roman"/>
          <w:sz w:val="24"/>
          <w:szCs w:val="24"/>
        </w:rPr>
        <w:tab/>
      </w:r>
    </w:p>
    <w:p w:rsidR="00AB39DC">
      <w:pPr>
        <w:rPr>
          <w:rFonts w:ascii="Times New Roman" w:hAnsi="Times New Roman" w:cs="Times New Roman"/>
          <w:sz w:val="24"/>
          <w:szCs w:val="24"/>
        </w:rPr>
      </w:pPr>
      <w:r>
        <w:rPr>
          <w:rFonts w:ascii="Times New Roman" w:hAnsi="Times New Roman" w:cs="Times New Roman"/>
          <w:sz w:val="24"/>
          <w:szCs w:val="24"/>
        </w:rPr>
        <w:br w:type="page"/>
      </w:r>
    </w:p>
    <w:p w:rsidR="009F4EA1" w:rsidRPr="00BE3FD7" w:rsidP="00E2467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FD7">
        <w:rPr>
          <w:rFonts w:ascii="Times New Roman" w:hAnsi="Times New Roman" w:cs="Times New Roman"/>
          <w:sz w:val="24"/>
          <w:szCs w:val="24"/>
        </w:rPr>
        <w:t>Respectfully submitted,</w:t>
      </w:r>
    </w:p>
    <w:p w:rsidR="009F4EA1" w:rsidRPr="00BE3FD7" w:rsidP="009F4EA1">
      <w:pPr>
        <w:pStyle w:val="Footer"/>
        <w:tabs>
          <w:tab w:val="left" w:pos="4320"/>
          <w:tab w:val="clear" w:pos="8640"/>
        </w:tabs>
        <w:contextualSpacing/>
      </w:pPr>
      <w:r w:rsidRPr="00BE3FD7">
        <w:tab/>
        <w:t>BRUCE WESTON (0016973)</w:t>
      </w:r>
    </w:p>
    <w:p w:rsidR="009F4EA1" w:rsidRPr="00BE3FD7" w:rsidP="009F4EA1">
      <w:pPr>
        <w:pStyle w:val="Footer"/>
        <w:tabs>
          <w:tab w:val="left" w:pos="4320"/>
          <w:tab w:val="clear" w:pos="8640"/>
        </w:tabs>
        <w:contextualSpacing/>
      </w:pPr>
      <w:r w:rsidRPr="00BE3FD7">
        <w:tab/>
        <w:t>OHIO CONSUMERS’ COUNSEL</w:t>
      </w:r>
    </w:p>
    <w:p w:rsidR="009F4EA1" w:rsidRPr="00BE3FD7" w:rsidP="009F4EA1">
      <w:pPr>
        <w:tabs>
          <w:tab w:val="left" w:pos="4230"/>
          <w:tab w:val="left" w:pos="4320"/>
        </w:tabs>
        <w:spacing w:after="0" w:line="240" w:lineRule="auto"/>
        <w:ind w:left="4320"/>
        <w:contextualSpacing/>
        <w:rPr>
          <w:rFonts w:ascii="Times New Roman" w:hAnsi="Times New Roman" w:cs="Times New Roman"/>
          <w:sz w:val="24"/>
          <w:szCs w:val="24"/>
        </w:rPr>
      </w:pPr>
    </w:p>
    <w:p w:rsidR="009F4EA1" w:rsidRPr="00BE3FD7" w:rsidP="009F4EA1">
      <w:pPr>
        <w:tabs>
          <w:tab w:val="left" w:pos="4230"/>
        </w:tabs>
        <w:spacing w:after="0" w:line="240" w:lineRule="auto"/>
        <w:ind w:left="4320"/>
        <w:contextualSpacing/>
        <w:rPr>
          <w:rFonts w:ascii="Times New Roman" w:hAnsi="Times New Roman" w:cs="Times New Roman"/>
          <w:i/>
          <w:sz w:val="24"/>
          <w:szCs w:val="24"/>
          <w:u w:val="single"/>
        </w:rPr>
      </w:pPr>
      <w:r w:rsidRPr="00BE3FD7">
        <w:rPr>
          <w:rFonts w:ascii="Times New Roman" w:hAnsi="Times New Roman" w:cs="Times New Roman"/>
          <w:i/>
          <w:sz w:val="24"/>
          <w:szCs w:val="24"/>
          <w:u w:val="single"/>
        </w:rPr>
        <w:t>/s/ Larry S. Sauer</w:t>
      </w:r>
    </w:p>
    <w:p w:rsidR="009F4EA1" w:rsidRPr="00BE3FD7" w:rsidP="009F4EA1">
      <w:pPr>
        <w:tabs>
          <w:tab w:val="left" w:pos="4230"/>
        </w:tabs>
        <w:spacing w:after="0" w:line="240" w:lineRule="auto"/>
        <w:ind w:left="4320"/>
        <w:contextualSpacing/>
        <w:rPr>
          <w:rFonts w:ascii="Times New Roman" w:hAnsi="Times New Roman" w:cs="Times New Roman"/>
          <w:sz w:val="24"/>
          <w:szCs w:val="24"/>
        </w:rPr>
      </w:pPr>
      <w:r w:rsidRPr="00BE3FD7">
        <w:rPr>
          <w:rFonts w:ascii="Times New Roman" w:hAnsi="Times New Roman" w:cs="Times New Roman"/>
          <w:sz w:val="24"/>
          <w:szCs w:val="24"/>
        </w:rPr>
        <w:t>Larry S. Sauer (0039223)</w:t>
      </w:r>
    </w:p>
    <w:p w:rsidR="009F4EA1" w:rsidRPr="00BE3FD7" w:rsidP="009F4EA1">
      <w:pPr>
        <w:tabs>
          <w:tab w:val="left" w:pos="4230"/>
        </w:tabs>
        <w:spacing w:after="0" w:line="240" w:lineRule="auto"/>
        <w:ind w:left="4320"/>
        <w:contextualSpacing/>
        <w:rPr>
          <w:rFonts w:ascii="Times New Roman" w:hAnsi="Times New Roman" w:cs="Times New Roman"/>
          <w:sz w:val="24"/>
          <w:szCs w:val="24"/>
        </w:rPr>
      </w:pPr>
      <w:r w:rsidRPr="00BE3FD7">
        <w:rPr>
          <w:rFonts w:ascii="Times New Roman" w:hAnsi="Times New Roman" w:cs="Times New Roman"/>
          <w:sz w:val="24"/>
          <w:szCs w:val="24"/>
        </w:rPr>
        <w:t>Counsel of Record</w:t>
      </w:r>
    </w:p>
    <w:p w:rsidR="009F4EA1" w:rsidRPr="00BE3FD7" w:rsidP="009F4EA1">
      <w:pPr>
        <w:tabs>
          <w:tab w:val="left" w:pos="4230"/>
        </w:tabs>
        <w:spacing w:after="0" w:line="240" w:lineRule="auto"/>
        <w:ind w:left="4320"/>
        <w:contextualSpacing/>
        <w:rPr>
          <w:rFonts w:ascii="Times New Roman" w:hAnsi="Times New Roman" w:cs="Times New Roman"/>
          <w:sz w:val="24"/>
          <w:szCs w:val="24"/>
        </w:rPr>
      </w:pPr>
      <w:r w:rsidRPr="00BE3FD7">
        <w:rPr>
          <w:rFonts w:ascii="Times New Roman" w:hAnsi="Times New Roman" w:cs="Times New Roman"/>
          <w:sz w:val="24"/>
          <w:szCs w:val="24"/>
        </w:rPr>
        <w:t>Deputy Consumers’ Counsel</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Maureen R. Willis (0020847)</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William J. Michael (0070921)</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Kevin F. Moore (0089228)</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Ajay Kumar (0092208)</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Assistant Consumers’ Counsel</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p>
    <w:p w:rsidR="009F4EA1" w:rsidRPr="00BE3FD7" w:rsidP="009F4EA1">
      <w:pPr>
        <w:autoSpaceDE w:val="0"/>
        <w:autoSpaceDN w:val="0"/>
        <w:adjustRightInd w:val="0"/>
        <w:spacing w:after="0" w:line="240" w:lineRule="auto"/>
        <w:ind w:left="4320"/>
        <w:rPr>
          <w:rFonts w:ascii="Times New Roman" w:hAnsi="Times New Roman" w:cs="Times New Roman"/>
          <w:b/>
          <w:sz w:val="24"/>
          <w:szCs w:val="24"/>
        </w:rPr>
      </w:pPr>
      <w:r w:rsidRPr="00BE3FD7">
        <w:rPr>
          <w:rFonts w:ascii="Times New Roman" w:hAnsi="Times New Roman" w:cs="Times New Roman"/>
          <w:b/>
          <w:sz w:val="24"/>
          <w:szCs w:val="24"/>
        </w:rPr>
        <w:t>Office of the Ohio Consumers’ Counsel</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10 West Broad Street, Suite 1800</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Columbus, Ohio 43215-3485</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[Sauer]: (614) 466-1312</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[Willis]: (614) 466-9567</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[Michael]: (614) 466-1291</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[Moore]: (614) 387-2965</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Telephone [Kumar]: (614) 466-1292</w:t>
      </w:r>
    </w:p>
    <w:p w:rsidR="009F4EA1" w:rsidRPr="00BE3FD7" w:rsidP="00AB39DC">
      <w:pPr>
        <w:spacing w:after="0" w:line="240" w:lineRule="auto"/>
        <w:rPr>
          <w:rStyle w:val="Hyperlink"/>
          <w:rFonts w:ascii="Times New Roman" w:hAnsi="Times New Roman" w:cs="Times New Roman"/>
          <w:color w:val="auto"/>
          <w:sz w:val="24"/>
          <w:szCs w:val="24"/>
        </w:rPr>
      </w:pPr>
      <w:r>
        <w:tab/>
      </w:r>
      <w:r>
        <w:tab/>
      </w:r>
      <w:r>
        <w:tab/>
      </w:r>
      <w:r>
        <w:tab/>
      </w:r>
      <w:r>
        <w:tab/>
      </w:r>
      <w:r>
        <w:tab/>
      </w:r>
      <w:r>
        <w:fldChar w:fldCharType="begin"/>
      </w:r>
      <w:r>
        <w:instrText xml:space="preserve"> HYPERLINK "mailto:Larry.sauer@occ.ohio.gov" </w:instrText>
      </w:r>
      <w:r>
        <w:fldChar w:fldCharType="separate"/>
      </w:r>
      <w:r w:rsidRPr="00AB39DC">
        <w:rPr>
          <w:rStyle w:val="Hyperlink"/>
          <w:rFonts w:ascii="Times New Roman" w:hAnsi="Times New Roman" w:cs="Times New Roman"/>
          <w:color w:val="auto"/>
          <w:sz w:val="24"/>
          <w:szCs w:val="24"/>
        </w:rPr>
        <w:t>Larry.sauer@occ.ohio.gov</w:t>
      </w:r>
      <w:r>
        <w:fldChar w:fldCharType="end"/>
      </w:r>
    </w:p>
    <w:p w:rsidR="009F4EA1" w:rsidP="00AB39DC">
      <w:pPr>
        <w:autoSpaceDE w:val="0"/>
        <w:autoSpaceDN w:val="0"/>
        <w:adjustRightInd w:val="0"/>
        <w:spacing w:after="0" w:line="240" w:lineRule="auto"/>
        <w:ind w:left="4320"/>
        <w:rPr>
          <w:rStyle w:val="Hyperlink"/>
          <w:rFonts w:ascii="Times New Roman" w:hAnsi="Times New Roman" w:cs="Times New Roman"/>
          <w:color w:val="auto"/>
          <w:sz w:val="24"/>
          <w:szCs w:val="24"/>
        </w:rPr>
      </w:pPr>
      <w:r>
        <w:fldChar w:fldCharType="begin"/>
      </w:r>
      <w:r>
        <w:instrText xml:space="preserve"> HYPERLINK "mailto:Maureen.willis@occ.ohio.gov" </w:instrText>
      </w:r>
      <w:r>
        <w:fldChar w:fldCharType="separate"/>
      </w:r>
      <w:r w:rsidRPr="00BE3FD7" w:rsidR="007508A1">
        <w:rPr>
          <w:rStyle w:val="Hyperlink"/>
          <w:rFonts w:ascii="Times New Roman" w:hAnsi="Times New Roman" w:cs="Times New Roman"/>
          <w:color w:val="auto"/>
          <w:sz w:val="24"/>
          <w:szCs w:val="24"/>
        </w:rPr>
        <w:t>Maureen.willis@occ.ohio.gov</w:t>
      </w:r>
      <w:r>
        <w:fldChar w:fldCharType="end"/>
      </w:r>
    </w:p>
    <w:p w:rsidR="009F4EA1" w:rsidRPr="00BE3FD7" w:rsidP="00AB39DC">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BE3FD7" w:rsidR="007508A1">
        <w:rPr>
          <w:rStyle w:val="Hyperlink"/>
          <w:rFonts w:ascii="Times New Roman" w:hAnsi="Times New Roman" w:cs="Times New Roman"/>
          <w:color w:val="auto"/>
          <w:sz w:val="24"/>
          <w:szCs w:val="24"/>
        </w:rPr>
        <w:t>William.michael@occ.ohio.gov</w:t>
      </w:r>
      <w:r>
        <w:fldChar w:fldCharType="end"/>
      </w:r>
    </w:p>
    <w:p w:rsidR="009F4EA1" w:rsidRPr="00BE3FD7" w:rsidP="00AB39DC">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"mailto:Kevin.moore@occ.ohio.gov" </w:instrText>
      </w:r>
      <w:r>
        <w:fldChar w:fldCharType="separate"/>
      </w:r>
      <w:r w:rsidRPr="00BE3FD7" w:rsidR="007508A1">
        <w:rPr>
          <w:rStyle w:val="Hyperlink"/>
          <w:rFonts w:ascii="Times New Roman" w:hAnsi="Times New Roman" w:cs="Times New Roman"/>
          <w:color w:val="auto"/>
          <w:sz w:val="24"/>
          <w:szCs w:val="24"/>
        </w:rPr>
        <w:t>Kevin.moore@occ.ohio.gov</w:t>
      </w:r>
      <w:r>
        <w:fldChar w:fldCharType="end"/>
      </w:r>
    </w:p>
    <w:p w:rsidR="009F4EA1" w:rsidRPr="00BE3FD7" w:rsidP="00AB39DC">
      <w:pPr>
        <w:autoSpaceDE w:val="0"/>
        <w:autoSpaceDN w:val="0"/>
        <w:adjustRightInd w:val="0"/>
        <w:spacing w:after="0" w:line="240" w:lineRule="auto"/>
        <w:ind w:left="4320"/>
        <w:rPr>
          <w:rFonts w:ascii="Times New Roman" w:hAnsi="Times New Roman" w:cs="Times New Roman"/>
          <w:sz w:val="24"/>
          <w:szCs w:val="24"/>
        </w:rPr>
      </w:pPr>
      <w:r>
        <w:fldChar w:fldCharType="begin"/>
      </w:r>
      <w:r>
        <w:instrText xml:space="preserve"> HYPERLINK "mailto:Ajay.kumar@occ.ohio.gov" </w:instrText>
      </w:r>
      <w:r>
        <w:fldChar w:fldCharType="separate"/>
      </w:r>
      <w:r w:rsidRPr="00BE3FD7" w:rsidR="007508A1">
        <w:rPr>
          <w:rStyle w:val="Hyperlink"/>
          <w:rFonts w:ascii="Times New Roman" w:hAnsi="Times New Roman" w:cs="Times New Roman"/>
          <w:color w:val="auto"/>
          <w:sz w:val="24"/>
          <w:szCs w:val="24"/>
        </w:rPr>
        <w:t>Ajay.kumar@occ.ohio.gov</w:t>
      </w:r>
      <w:r>
        <w:fldChar w:fldCharType="end"/>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 xml:space="preserve">(All Attorneys Will Accept Service Via </w:t>
      </w:r>
    </w:p>
    <w:p w:rsidR="009F4EA1" w:rsidRPr="00BE3FD7" w:rsidP="009F4EA1">
      <w:pPr>
        <w:autoSpaceDE w:val="0"/>
        <w:autoSpaceDN w:val="0"/>
        <w:adjustRightInd w:val="0"/>
        <w:spacing w:after="0" w:line="240" w:lineRule="auto"/>
        <w:ind w:left="4320"/>
        <w:rPr>
          <w:rFonts w:ascii="Times New Roman" w:hAnsi="Times New Roman" w:cs="Times New Roman"/>
          <w:sz w:val="24"/>
          <w:szCs w:val="24"/>
        </w:rPr>
      </w:pPr>
      <w:r w:rsidRPr="00BE3FD7">
        <w:rPr>
          <w:rFonts w:ascii="Times New Roman" w:hAnsi="Times New Roman" w:cs="Times New Roman"/>
          <w:sz w:val="24"/>
          <w:szCs w:val="24"/>
        </w:rPr>
        <w:t>E-mail)</w:t>
      </w:r>
    </w:p>
    <w:p w:rsidR="009F4EA1" w:rsidRPr="00BE3FD7">
      <w:pPr>
        <w:rPr>
          <w:rFonts w:ascii="Times New Roman" w:hAnsi="Times New Roman" w:cs="Times New Roman"/>
          <w:b/>
          <w:bCs/>
          <w:sz w:val="24"/>
          <w:szCs w:val="24"/>
        </w:rPr>
      </w:pPr>
    </w:p>
    <w:p w:rsidR="009F4EA1" w:rsidRPr="00BE3FD7" w:rsidP="009F4EA1">
      <w:pPr>
        <w:pStyle w:val="BodyText"/>
        <w:spacing w:after="0" w:line="240" w:lineRule="auto"/>
        <w:ind w:left="4392" w:right="1384"/>
        <w:rPr>
          <w:rFonts w:ascii="Times New Roman" w:hAnsi="Times New Roman" w:cs="Times New Roman"/>
          <w:i/>
          <w:spacing w:val="-1"/>
          <w:sz w:val="24"/>
          <w:szCs w:val="24"/>
          <w:u w:val="single"/>
        </w:rPr>
      </w:pPr>
      <w:r w:rsidRPr="00BE3FD7">
        <w:rPr>
          <w:rFonts w:ascii="Times New Roman" w:hAnsi="Times New Roman" w:cs="Times New Roman"/>
          <w:i/>
          <w:spacing w:val="-1"/>
          <w:sz w:val="24"/>
          <w:szCs w:val="24"/>
          <w:u w:val="single"/>
        </w:rPr>
        <w:t>/s/ Thomas R. Hays</w:t>
      </w:r>
    </w:p>
    <w:p w:rsidR="009F4EA1" w:rsidRPr="00BE3FD7" w:rsidP="009F4EA1">
      <w:pPr>
        <w:pStyle w:val="BodyText"/>
        <w:spacing w:after="0" w:line="240" w:lineRule="auto"/>
        <w:ind w:left="4392" w:right="1384"/>
        <w:rPr>
          <w:rFonts w:ascii="Times New Roman" w:hAnsi="Times New Roman" w:cs="Times New Roman"/>
          <w:sz w:val="24"/>
          <w:szCs w:val="24"/>
        </w:rPr>
      </w:pPr>
      <w:r w:rsidRPr="00BE3FD7">
        <w:rPr>
          <w:rFonts w:ascii="Times New Roman" w:hAnsi="Times New Roman" w:cs="Times New Roman"/>
          <w:spacing w:val="-1"/>
          <w:sz w:val="24"/>
          <w:szCs w:val="24"/>
        </w:rPr>
        <w:t>Thomas</w:t>
      </w:r>
      <w:r w:rsidRPr="00BE3FD7">
        <w:rPr>
          <w:rFonts w:ascii="Times New Roman" w:hAnsi="Times New Roman" w:cs="Times New Roman"/>
          <w:spacing w:val="-9"/>
          <w:sz w:val="24"/>
          <w:szCs w:val="24"/>
        </w:rPr>
        <w:t xml:space="preserve"> </w:t>
      </w:r>
      <w:r w:rsidRPr="00BE3FD7">
        <w:rPr>
          <w:rFonts w:ascii="Times New Roman" w:hAnsi="Times New Roman" w:cs="Times New Roman"/>
          <w:sz w:val="24"/>
          <w:szCs w:val="24"/>
        </w:rPr>
        <w:t>R.</w:t>
      </w:r>
      <w:r w:rsidRPr="00BE3FD7">
        <w:rPr>
          <w:rFonts w:ascii="Times New Roman" w:hAnsi="Times New Roman" w:cs="Times New Roman"/>
          <w:spacing w:val="-8"/>
          <w:sz w:val="24"/>
          <w:szCs w:val="24"/>
        </w:rPr>
        <w:t xml:space="preserve"> </w:t>
      </w:r>
      <w:r w:rsidRPr="00BE3FD7">
        <w:rPr>
          <w:rFonts w:ascii="Times New Roman" w:hAnsi="Times New Roman" w:cs="Times New Roman"/>
          <w:spacing w:val="-1"/>
          <w:sz w:val="24"/>
          <w:szCs w:val="24"/>
        </w:rPr>
        <w:t>Hays</w:t>
      </w:r>
      <w:r w:rsidRPr="00BE3FD7">
        <w:rPr>
          <w:rFonts w:ascii="Times New Roman" w:hAnsi="Times New Roman" w:cs="Times New Roman"/>
          <w:spacing w:val="-7"/>
          <w:sz w:val="24"/>
          <w:szCs w:val="24"/>
        </w:rPr>
        <w:t xml:space="preserve"> </w:t>
      </w:r>
      <w:r w:rsidRPr="00BE3FD7">
        <w:rPr>
          <w:rFonts w:ascii="Times New Roman" w:hAnsi="Times New Roman" w:cs="Times New Roman"/>
          <w:sz w:val="24"/>
          <w:szCs w:val="24"/>
        </w:rPr>
        <w:t>(0054062),</w:t>
      </w:r>
      <w:r w:rsidRPr="00BE3FD7">
        <w:rPr>
          <w:rFonts w:ascii="Times New Roman" w:hAnsi="Times New Roman" w:cs="Times New Roman"/>
          <w:spacing w:val="26"/>
          <w:w w:val="99"/>
          <w:sz w:val="24"/>
          <w:szCs w:val="24"/>
        </w:rPr>
        <w:t xml:space="preserve"> </w:t>
      </w:r>
      <w:r w:rsidRPr="00BE3FD7">
        <w:rPr>
          <w:rFonts w:ascii="Times New Roman" w:hAnsi="Times New Roman" w:cs="Times New Roman"/>
          <w:sz w:val="24"/>
          <w:szCs w:val="24"/>
        </w:rPr>
        <w:t>Counsel</w:t>
      </w:r>
      <w:r w:rsidRPr="00BE3FD7">
        <w:rPr>
          <w:rFonts w:ascii="Times New Roman" w:hAnsi="Times New Roman" w:cs="Times New Roman"/>
          <w:spacing w:val="-9"/>
          <w:sz w:val="24"/>
          <w:szCs w:val="24"/>
        </w:rPr>
        <w:t xml:space="preserve"> </w:t>
      </w:r>
      <w:r w:rsidRPr="00BE3FD7">
        <w:rPr>
          <w:rFonts w:ascii="Times New Roman" w:hAnsi="Times New Roman" w:cs="Times New Roman"/>
          <w:sz w:val="24"/>
          <w:szCs w:val="24"/>
        </w:rPr>
        <w:t>of</w:t>
      </w:r>
      <w:r w:rsidRPr="00BE3FD7">
        <w:rPr>
          <w:rFonts w:ascii="Times New Roman" w:hAnsi="Times New Roman" w:cs="Times New Roman"/>
          <w:spacing w:val="-9"/>
          <w:sz w:val="24"/>
          <w:szCs w:val="24"/>
        </w:rPr>
        <w:t xml:space="preserve"> </w:t>
      </w:r>
      <w:r w:rsidRPr="00BE3FD7">
        <w:rPr>
          <w:rFonts w:ascii="Times New Roman" w:hAnsi="Times New Roman" w:cs="Times New Roman"/>
          <w:spacing w:val="-1"/>
          <w:sz w:val="24"/>
          <w:szCs w:val="24"/>
        </w:rPr>
        <w:t>Record</w:t>
      </w:r>
    </w:p>
    <w:p w:rsidR="009F4EA1" w:rsidRPr="00BE3FD7" w:rsidP="009F4EA1">
      <w:pPr>
        <w:pStyle w:val="BodyText"/>
        <w:spacing w:after="0" w:line="240" w:lineRule="auto"/>
        <w:ind w:left="4392" w:right="1384"/>
        <w:rPr>
          <w:rFonts w:ascii="Times New Roman" w:hAnsi="Times New Roman" w:cs="Times New Roman"/>
          <w:sz w:val="24"/>
          <w:szCs w:val="24"/>
        </w:rPr>
      </w:pPr>
      <w:r w:rsidRPr="00BE3FD7">
        <w:rPr>
          <w:rFonts w:ascii="Times New Roman" w:hAnsi="Times New Roman" w:cs="Times New Roman"/>
          <w:spacing w:val="-1"/>
          <w:sz w:val="24"/>
          <w:szCs w:val="24"/>
        </w:rPr>
        <w:t>For</w:t>
      </w:r>
      <w:r w:rsidRPr="00BE3FD7">
        <w:rPr>
          <w:rFonts w:ascii="Times New Roman" w:hAnsi="Times New Roman" w:cs="Times New Roman"/>
          <w:spacing w:val="-8"/>
          <w:sz w:val="24"/>
          <w:szCs w:val="24"/>
        </w:rPr>
        <w:t xml:space="preserve"> </w:t>
      </w:r>
      <w:r w:rsidRPr="00BE3FD7">
        <w:rPr>
          <w:rFonts w:ascii="Times New Roman" w:hAnsi="Times New Roman" w:cs="Times New Roman"/>
          <w:sz w:val="24"/>
          <w:szCs w:val="24"/>
        </w:rPr>
        <w:t>NOAC</w:t>
      </w:r>
      <w:r w:rsidRPr="00BE3FD7">
        <w:rPr>
          <w:rFonts w:ascii="Times New Roman" w:hAnsi="Times New Roman" w:cs="Times New Roman"/>
          <w:spacing w:val="-6"/>
          <w:sz w:val="24"/>
          <w:szCs w:val="24"/>
        </w:rPr>
        <w:t xml:space="preserve"> </w:t>
      </w:r>
      <w:r w:rsidRPr="00BE3FD7">
        <w:rPr>
          <w:rFonts w:ascii="Times New Roman" w:hAnsi="Times New Roman" w:cs="Times New Roman"/>
          <w:spacing w:val="-1"/>
          <w:sz w:val="24"/>
          <w:szCs w:val="24"/>
        </w:rPr>
        <w:t>and</w:t>
      </w:r>
      <w:r w:rsidRPr="00BE3FD7">
        <w:rPr>
          <w:rFonts w:ascii="Times New Roman" w:hAnsi="Times New Roman" w:cs="Times New Roman"/>
          <w:spacing w:val="-6"/>
          <w:sz w:val="24"/>
          <w:szCs w:val="24"/>
        </w:rPr>
        <w:t xml:space="preserve"> </w:t>
      </w:r>
      <w:r w:rsidRPr="00BE3FD7">
        <w:rPr>
          <w:rFonts w:ascii="Times New Roman" w:hAnsi="Times New Roman" w:cs="Times New Roman"/>
          <w:sz w:val="24"/>
          <w:szCs w:val="24"/>
        </w:rPr>
        <w:t>the</w:t>
      </w:r>
      <w:r w:rsidRPr="00BE3FD7">
        <w:rPr>
          <w:rFonts w:ascii="Times New Roman" w:hAnsi="Times New Roman" w:cs="Times New Roman"/>
          <w:spacing w:val="-6"/>
          <w:sz w:val="24"/>
          <w:szCs w:val="24"/>
        </w:rPr>
        <w:t xml:space="preserve"> </w:t>
      </w:r>
      <w:r w:rsidRPr="00BE3FD7">
        <w:rPr>
          <w:rFonts w:ascii="Times New Roman" w:hAnsi="Times New Roman" w:cs="Times New Roman"/>
          <w:spacing w:val="-1"/>
          <w:sz w:val="24"/>
          <w:szCs w:val="24"/>
        </w:rPr>
        <w:t>Individual</w:t>
      </w:r>
      <w:r w:rsidRPr="00BE3FD7">
        <w:rPr>
          <w:rFonts w:ascii="Times New Roman" w:hAnsi="Times New Roman" w:cs="Times New Roman"/>
          <w:spacing w:val="23"/>
          <w:w w:val="99"/>
          <w:sz w:val="24"/>
          <w:szCs w:val="24"/>
        </w:rPr>
        <w:t xml:space="preserve"> </w:t>
      </w:r>
      <w:r w:rsidRPr="00BE3FD7">
        <w:rPr>
          <w:rFonts w:ascii="Times New Roman" w:hAnsi="Times New Roman" w:cs="Times New Roman"/>
          <w:sz w:val="24"/>
          <w:szCs w:val="24"/>
        </w:rPr>
        <w:t>Communities</w:t>
      </w:r>
    </w:p>
    <w:p w:rsidR="009F4EA1" w:rsidRPr="00BE3FD7" w:rsidP="009F4EA1">
      <w:pPr>
        <w:pStyle w:val="BodyText"/>
        <w:spacing w:after="0" w:line="240" w:lineRule="auto"/>
        <w:ind w:left="4392"/>
        <w:rPr>
          <w:rFonts w:ascii="Times New Roman" w:hAnsi="Times New Roman" w:cs="Times New Roman"/>
          <w:sz w:val="24"/>
          <w:szCs w:val="24"/>
        </w:rPr>
      </w:pPr>
      <w:r w:rsidRPr="00BE3FD7">
        <w:rPr>
          <w:rFonts w:ascii="Times New Roman" w:hAnsi="Times New Roman" w:cs="Times New Roman"/>
          <w:sz w:val="24"/>
          <w:szCs w:val="24"/>
        </w:rPr>
        <w:t>8355</w:t>
      </w:r>
      <w:r w:rsidRPr="00BE3FD7">
        <w:rPr>
          <w:rFonts w:ascii="Times New Roman" w:hAnsi="Times New Roman" w:cs="Times New Roman"/>
          <w:spacing w:val="-6"/>
          <w:sz w:val="24"/>
          <w:szCs w:val="24"/>
        </w:rPr>
        <w:t xml:space="preserve"> </w:t>
      </w:r>
      <w:r w:rsidRPr="00BE3FD7">
        <w:rPr>
          <w:rFonts w:ascii="Times New Roman" w:hAnsi="Times New Roman" w:cs="Times New Roman"/>
          <w:spacing w:val="-2"/>
          <w:sz w:val="24"/>
          <w:szCs w:val="24"/>
        </w:rPr>
        <w:t>Island</w:t>
      </w:r>
      <w:r w:rsidRPr="00BE3FD7">
        <w:rPr>
          <w:rFonts w:ascii="Times New Roman" w:hAnsi="Times New Roman" w:cs="Times New Roman"/>
          <w:spacing w:val="-3"/>
          <w:sz w:val="24"/>
          <w:szCs w:val="24"/>
        </w:rPr>
        <w:t xml:space="preserve"> </w:t>
      </w:r>
      <w:r w:rsidRPr="00BE3FD7">
        <w:rPr>
          <w:rFonts w:ascii="Times New Roman" w:hAnsi="Times New Roman" w:cs="Times New Roman"/>
          <w:spacing w:val="-1"/>
          <w:sz w:val="24"/>
          <w:szCs w:val="24"/>
        </w:rPr>
        <w:t>Lane</w:t>
      </w:r>
    </w:p>
    <w:p w:rsidR="009F4EA1" w:rsidRPr="00BE3FD7" w:rsidP="009F4EA1">
      <w:pPr>
        <w:pStyle w:val="BodyText"/>
        <w:spacing w:after="0" w:line="240" w:lineRule="auto"/>
        <w:ind w:left="4392"/>
        <w:rPr>
          <w:rFonts w:ascii="Times New Roman" w:hAnsi="Times New Roman" w:cs="Times New Roman"/>
          <w:sz w:val="24"/>
          <w:szCs w:val="24"/>
        </w:rPr>
      </w:pPr>
      <w:r w:rsidRPr="00BE3FD7">
        <w:rPr>
          <w:rFonts w:ascii="Times New Roman" w:hAnsi="Times New Roman" w:cs="Times New Roman"/>
          <w:spacing w:val="-1"/>
          <w:sz w:val="24"/>
          <w:szCs w:val="24"/>
        </w:rPr>
        <w:t>Maineville,</w:t>
      </w:r>
      <w:r w:rsidRPr="00BE3FD7">
        <w:rPr>
          <w:rFonts w:ascii="Times New Roman" w:hAnsi="Times New Roman" w:cs="Times New Roman"/>
          <w:spacing w:val="-11"/>
          <w:sz w:val="24"/>
          <w:szCs w:val="24"/>
        </w:rPr>
        <w:t xml:space="preserve"> </w:t>
      </w:r>
      <w:r w:rsidRPr="00BE3FD7">
        <w:rPr>
          <w:rFonts w:ascii="Times New Roman" w:hAnsi="Times New Roman" w:cs="Times New Roman"/>
          <w:spacing w:val="-1"/>
          <w:sz w:val="24"/>
          <w:szCs w:val="24"/>
        </w:rPr>
        <w:t>Ohio</w:t>
      </w:r>
      <w:r w:rsidRPr="00BE3FD7">
        <w:rPr>
          <w:rFonts w:ascii="Times New Roman" w:hAnsi="Times New Roman" w:cs="Times New Roman"/>
          <w:spacing w:val="-11"/>
          <w:sz w:val="24"/>
          <w:szCs w:val="24"/>
        </w:rPr>
        <w:t xml:space="preserve"> </w:t>
      </w:r>
      <w:r w:rsidRPr="00BE3FD7">
        <w:rPr>
          <w:rFonts w:ascii="Times New Roman" w:hAnsi="Times New Roman" w:cs="Times New Roman"/>
          <w:sz w:val="24"/>
          <w:szCs w:val="24"/>
        </w:rPr>
        <w:t>45039</w:t>
      </w:r>
    </w:p>
    <w:p w:rsidR="009F4EA1" w:rsidRPr="00AB39DC" w:rsidP="009F4EA1">
      <w:pPr>
        <w:pStyle w:val="BodyText"/>
        <w:spacing w:after="0" w:line="240" w:lineRule="auto"/>
        <w:ind w:left="4392" w:right="1384"/>
        <w:rPr>
          <w:rFonts w:ascii="Times New Roman" w:hAnsi="Times New Roman" w:cs="Times New Roman"/>
          <w:spacing w:val="-1"/>
          <w:sz w:val="24"/>
          <w:szCs w:val="24"/>
          <w:u w:val="single" w:color="0000FF"/>
        </w:rPr>
      </w:pPr>
      <w:r w:rsidRPr="00BE3FD7">
        <w:rPr>
          <w:rFonts w:ascii="Times New Roman" w:hAnsi="Times New Roman" w:cs="Times New Roman"/>
          <w:spacing w:val="-1"/>
          <w:sz w:val="24"/>
          <w:szCs w:val="24"/>
        </w:rPr>
        <w:t>Telephone:</w:t>
      </w:r>
      <w:r w:rsidRPr="00BE3FD7">
        <w:rPr>
          <w:rFonts w:ascii="Times New Roman" w:hAnsi="Times New Roman" w:cs="Times New Roman"/>
          <w:spacing w:val="-25"/>
          <w:sz w:val="24"/>
          <w:szCs w:val="24"/>
        </w:rPr>
        <w:t xml:space="preserve"> </w:t>
      </w:r>
      <w:r w:rsidRPr="00BE3FD7">
        <w:rPr>
          <w:rFonts w:ascii="Times New Roman" w:hAnsi="Times New Roman" w:cs="Times New Roman"/>
          <w:sz w:val="24"/>
          <w:szCs w:val="24"/>
        </w:rPr>
        <w:t>419-410-7069</w:t>
      </w:r>
      <w:r w:rsidRPr="00BE3FD7">
        <w:rPr>
          <w:rFonts w:ascii="Times New Roman" w:hAnsi="Times New Roman" w:cs="Times New Roman"/>
          <w:w w:val="99"/>
          <w:sz w:val="24"/>
          <w:szCs w:val="24"/>
        </w:rPr>
        <w:t xml:space="preserve"> </w:t>
      </w:r>
      <w:r>
        <w:fldChar w:fldCharType="begin"/>
      </w:r>
      <w:r>
        <w:instrText xml:space="preserve"> HYPERLINK "mailto:trhayslaw@gmail.com" </w:instrText>
      </w:r>
      <w:r>
        <w:fldChar w:fldCharType="separate"/>
      </w:r>
      <w:r w:rsidRPr="00AB39DC">
        <w:rPr>
          <w:rFonts w:ascii="Times New Roman" w:hAnsi="Times New Roman" w:cs="Times New Roman"/>
          <w:spacing w:val="-1"/>
          <w:sz w:val="24"/>
          <w:szCs w:val="24"/>
          <w:u w:val="single" w:color="0000FF"/>
        </w:rPr>
        <w:t>trhayslaw@gmail.com</w:t>
      </w:r>
      <w:r>
        <w:fldChar w:fldCharType="end"/>
      </w:r>
    </w:p>
    <w:p w:rsidR="009F4EA1" w:rsidRPr="00AB39DC" w:rsidP="009F4EA1">
      <w:pPr>
        <w:pStyle w:val="BodyText"/>
        <w:spacing w:after="0" w:line="240" w:lineRule="auto"/>
        <w:ind w:left="4392"/>
        <w:rPr>
          <w:rFonts w:ascii="Times New Roman" w:hAnsi="Times New Roman" w:cs="Times New Roman"/>
          <w:sz w:val="24"/>
          <w:szCs w:val="24"/>
        </w:rPr>
      </w:pPr>
      <w:r w:rsidRPr="00AB39DC">
        <w:rPr>
          <w:rFonts w:ascii="Times New Roman" w:hAnsi="Times New Roman" w:cs="Times New Roman"/>
          <w:spacing w:val="-1"/>
          <w:sz w:val="24"/>
          <w:szCs w:val="24"/>
          <w:u w:color="0000FF"/>
        </w:rPr>
        <w:t>(Will accept service via email)</w:t>
      </w:r>
    </w:p>
    <w:p w:rsidR="009F4EA1" w:rsidRPr="00BE3FD7" w:rsidP="009F4EA1">
      <w:pPr>
        <w:rPr>
          <w:rFonts w:ascii="Times New Roman" w:hAnsi="Times New Roman" w:cs="Times New Roman"/>
          <w:sz w:val="24"/>
          <w:szCs w:val="24"/>
        </w:rPr>
        <w:sectPr w:rsidSect="009F4EA1">
          <w:headerReference w:type="even" r:id="rId15"/>
          <w:headerReference w:type="default" r:id="rId16"/>
          <w:footerReference w:type="even" r:id="rId17"/>
          <w:headerReference w:type="first" r:id="rId18"/>
          <w:pgSz w:w="12240" w:h="15840"/>
          <w:pgMar w:top="1440" w:right="1800" w:bottom="1440" w:left="1800" w:header="0" w:footer="1049" w:gutter="0"/>
          <w:pgNumType w:start="1"/>
          <w:cols w:space="720"/>
        </w:sectPr>
      </w:pPr>
    </w:p>
    <w:p w:rsidR="009F4EA1" w:rsidRPr="00BE3FD7" w:rsidP="009F4EA1">
      <w:pPr>
        <w:spacing w:after="0" w:line="240" w:lineRule="auto"/>
        <w:jc w:val="center"/>
        <w:rPr>
          <w:rFonts w:ascii="Times New Roman" w:hAnsi="Times New Roman" w:cs="Times New Roman"/>
          <w:sz w:val="24"/>
          <w:szCs w:val="24"/>
        </w:rPr>
      </w:pPr>
      <w:r w:rsidRPr="00BE3FD7">
        <w:rPr>
          <w:rFonts w:ascii="Times New Roman" w:hAnsi="Times New Roman" w:cs="Times New Roman"/>
          <w:b/>
          <w:bCs/>
          <w:sz w:val="24"/>
          <w:szCs w:val="24"/>
        </w:rPr>
        <w:t>CERTIFICATE OF SERVICE</w:t>
      </w:r>
    </w:p>
    <w:p w:rsidR="009F4EA1" w:rsidRPr="00BE3FD7" w:rsidP="009F4EA1">
      <w:pPr>
        <w:spacing w:before="240" w:line="480" w:lineRule="auto"/>
        <w:ind w:firstLine="720"/>
        <w:rPr>
          <w:rFonts w:ascii="Times New Roman" w:hAnsi="Times New Roman" w:cs="Times New Roman"/>
          <w:sz w:val="24"/>
          <w:szCs w:val="24"/>
        </w:rPr>
      </w:pPr>
      <w:r w:rsidRPr="00BE3FD7">
        <w:rPr>
          <w:rFonts w:ascii="Times New Roman" w:hAnsi="Times New Roman" w:cs="Times New Roman"/>
          <w:sz w:val="24"/>
          <w:szCs w:val="24"/>
        </w:rPr>
        <w:t>I hereby certify that a copy of the foregoing</w:t>
      </w:r>
      <w:r w:rsidRPr="00BE3FD7">
        <w:rPr>
          <w:rFonts w:ascii="Times New Roman" w:hAnsi="Times New Roman" w:cs="Times New Roman"/>
          <w:b/>
          <w:sz w:val="24"/>
          <w:szCs w:val="24"/>
        </w:rPr>
        <w:t xml:space="preserve"> </w:t>
      </w:r>
      <w:r w:rsidRPr="00BE3FD7">
        <w:rPr>
          <w:rFonts w:ascii="Times New Roman" w:hAnsi="Times New Roman" w:cs="Times New Roman"/>
          <w:sz w:val="24"/>
          <w:szCs w:val="24"/>
        </w:rPr>
        <w:t>Memo Contra</w:t>
      </w:r>
      <w:r w:rsidRPr="00BE3FD7">
        <w:rPr>
          <w:rFonts w:ascii="Times New Roman" w:hAnsi="Times New Roman" w:cs="Times New Roman"/>
          <w:b/>
          <w:sz w:val="24"/>
          <w:szCs w:val="24"/>
        </w:rPr>
        <w:t xml:space="preserve"> </w:t>
      </w:r>
      <w:r w:rsidRPr="00BE3FD7">
        <w:rPr>
          <w:rFonts w:ascii="Times New Roman" w:hAnsi="Times New Roman" w:cs="Times New Roman"/>
          <w:sz w:val="24"/>
          <w:szCs w:val="24"/>
        </w:rPr>
        <w:t>Application</w:t>
      </w:r>
      <w:r w:rsidR="00FD2CD7">
        <w:rPr>
          <w:rFonts w:ascii="Times New Roman" w:hAnsi="Times New Roman" w:cs="Times New Roman"/>
          <w:sz w:val="24"/>
          <w:szCs w:val="24"/>
        </w:rPr>
        <w:t>s</w:t>
      </w:r>
      <w:r w:rsidRPr="00BE3FD7">
        <w:rPr>
          <w:rFonts w:ascii="Times New Roman" w:hAnsi="Times New Roman" w:cs="Times New Roman"/>
          <w:sz w:val="24"/>
          <w:szCs w:val="24"/>
        </w:rPr>
        <w:t xml:space="preserve"> for Rehearing by</w:t>
      </w:r>
      <w:r w:rsidRPr="00BE3FD7">
        <w:rPr>
          <w:rFonts w:ascii="Times New Roman" w:hAnsi="Times New Roman" w:cs="Times New Roman"/>
          <w:b/>
          <w:sz w:val="24"/>
          <w:szCs w:val="24"/>
        </w:rPr>
        <w:t xml:space="preserve"> </w:t>
      </w:r>
      <w:r w:rsidRPr="00BE3FD7">
        <w:rPr>
          <w:rFonts w:ascii="Times New Roman" w:hAnsi="Times New Roman" w:cs="Times New Roman"/>
          <w:bCs/>
          <w:sz w:val="24"/>
          <w:szCs w:val="24"/>
        </w:rPr>
        <w:t xml:space="preserve">the Office of the Ohio Consumers’ Counsel, </w:t>
      </w:r>
      <w:r w:rsidRPr="00BE3FD7">
        <w:rPr>
          <w:rFonts w:ascii="Times New Roman" w:hAnsi="Times New Roman" w:cs="Times New Roman"/>
          <w:sz w:val="24"/>
          <w:szCs w:val="24"/>
        </w:rPr>
        <w:t>Northwest Ohio Aggregation Coalition and NOAC Communities Individually was served via electronic transmission, to the persons listed below, on this 2</w:t>
      </w:r>
      <w:r>
        <w:rPr>
          <w:rFonts w:ascii="Times New Roman" w:hAnsi="Times New Roman" w:cs="Times New Roman"/>
          <w:sz w:val="24"/>
          <w:szCs w:val="24"/>
        </w:rPr>
        <w:t>5th</w:t>
      </w:r>
      <w:r w:rsidRPr="00BE3FD7">
        <w:rPr>
          <w:rFonts w:ascii="Times New Roman" w:hAnsi="Times New Roman" w:cs="Times New Roman"/>
          <w:sz w:val="24"/>
          <w:szCs w:val="24"/>
        </w:rPr>
        <w:t xml:space="preserve"> day of November, 2016.</w:t>
      </w:r>
    </w:p>
    <w:p w:rsidR="009F4EA1" w:rsidRPr="00BE3FD7" w:rsidP="009F4EA1">
      <w:pPr>
        <w:tabs>
          <w:tab w:val="left" w:pos="4320"/>
        </w:tabs>
        <w:spacing w:after="0" w:line="240" w:lineRule="auto"/>
        <w:rPr>
          <w:rFonts w:ascii="Times New Roman" w:hAnsi="Times New Roman" w:cs="Times New Roman"/>
          <w:i/>
          <w:sz w:val="24"/>
          <w:szCs w:val="24"/>
          <w:u w:val="single"/>
        </w:rPr>
      </w:pPr>
      <w:r w:rsidRPr="00BE3FD7">
        <w:rPr>
          <w:rFonts w:ascii="Times New Roman" w:hAnsi="Times New Roman" w:cs="Times New Roman"/>
          <w:sz w:val="24"/>
          <w:szCs w:val="24"/>
        </w:rPr>
        <w:tab/>
      </w:r>
      <w:r w:rsidRPr="00BE3FD7">
        <w:rPr>
          <w:rFonts w:ascii="Times New Roman" w:hAnsi="Times New Roman" w:cs="Times New Roman"/>
          <w:i/>
          <w:sz w:val="24"/>
          <w:szCs w:val="24"/>
          <w:u w:val="single"/>
        </w:rPr>
        <w:t>/s/ Larry S. Sauer                                   </w:t>
      </w:r>
    </w:p>
    <w:p w:rsidR="009F4EA1" w:rsidRPr="00BE3FD7" w:rsidP="009F4EA1">
      <w:pPr>
        <w:tabs>
          <w:tab w:val="left" w:pos="4320"/>
        </w:tabs>
        <w:spacing w:after="0" w:line="240" w:lineRule="auto"/>
        <w:rPr>
          <w:rFonts w:ascii="Times New Roman" w:hAnsi="Times New Roman" w:cs="Times New Roman"/>
          <w:sz w:val="24"/>
          <w:szCs w:val="24"/>
        </w:rPr>
      </w:pPr>
      <w:r w:rsidRPr="00BE3FD7">
        <w:rPr>
          <w:rFonts w:ascii="Times New Roman" w:hAnsi="Times New Roman" w:cs="Times New Roman"/>
          <w:sz w:val="24"/>
          <w:szCs w:val="24"/>
        </w:rPr>
        <w:tab/>
        <w:t>Larry S. Sauer</w:t>
      </w:r>
    </w:p>
    <w:p w:rsidR="009F4EA1" w:rsidP="009F4EA1">
      <w:pPr>
        <w:pStyle w:val="Footer"/>
        <w:tabs>
          <w:tab w:val="left" w:pos="4320"/>
          <w:tab w:val="clear" w:pos="8640"/>
        </w:tabs>
      </w:pPr>
      <w:r w:rsidRPr="00BE3FD7">
        <w:tab/>
        <w:t>Deputy Consumers’ Counsel</w:t>
      </w:r>
    </w:p>
    <w:p w:rsidR="00FD2CD7" w:rsidRPr="00BE3FD7" w:rsidP="009F4EA1">
      <w:pPr>
        <w:pStyle w:val="Footer"/>
        <w:tabs>
          <w:tab w:val="left" w:pos="4320"/>
          <w:tab w:val="clear" w:pos="8640"/>
        </w:tabs>
      </w:pPr>
    </w:p>
    <w:p w:rsidR="009F4EA1" w:rsidP="009F4EA1">
      <w:pPr>
        <w:pStyle w:val="Heading1"/>
        <w:spacing w:before="5"/>
        <w:ind w:left="2850" w:right="2809" w:firstLine="0"/>
        <w:jc w:val="center"/>
        <w:rPr>
          <w:rFonts w:ascii="Times New Roman" w:hAnsi="Times New Roman"/>
          <w:spacing w:val="-1"/>
          <w:u w:val="thick" w:color="000000"/>
        </w:rPr>
      </w:pPr>
      <w:r>
        <w:rPr>
          <w:rFonts w:ascii="Times New Roman" w:hAnsi="Times New Roman"/>
          <w:spacing w:val="-1"/>
          <w:u w:val="thick" w:color="000000"/>
        </w:rPr>
        <w:t>SERVICE LIST</w:t>
      </w:r>
    </w:p>
    <w:tbl>
      <w:tblPr>
        <w:tblW w:w="0" w:type="auto"/>
        <w:tblInd w:w="0" w:type="dxa"/>
        <w:tblCellMar>
          <w:top w:w="0" w:type="dxa"/>
          <w:left w:w="108" w:type="dxa"/>
          <w:bottom w:w="0" w:type="dxa"/>
          <w:right w:w="108" w:type="dxa"/>
        </w:tblCellMar>
        <w:tblLook w:val="01E0"/>
      </w:tblPr>
      <w:tblGrid>
        <w:gridCol w:w="4327"/>
        <w:gridCol w:w="4529"/>
      </w:tblGrid>
      <w:tr w:rsidTr="00FD2CD7">
        <w:tblPrEx>
          <w:tblW w:w="0" w:type="auto"/>
          <w:tblInd w:w="0" w:type="dxa"/>
          <w:tblCellMar>
            <w:top w:w="0" w:type="dxa"/>
            <w:left w:w="108" w:type="dxa"/>
            <w:bottom w:w="0" w:type="dxa"/>
            <w:right w:w="108" w:type="dxa"/>
          </w:tblCellMar>
          <w:tblLook w:val="01E0"/>
        </w:tblPrEx>
        <w:tc>
          <w:tcPr>
            <w:tcW w:w="4327" w:type="dxa"/>
          </w:tcPr>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"mailto:mkurtz@BKLlawfirm.com"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mkurtz@BKLlawfirm.com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"mailto:kboem@BKLlawfirm.com"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kboehm@BKLlawfirm.com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"mailto:jkylercohn@BKLlawfirm.com"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jkylercohn@BKLlawfirm.com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"mailto:stnourse@aep.com"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stnourse@aep.com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"mailto:mjsatterwhite@aep.com"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mjsatterwhite@aep.com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"mailto:yalami@aep.com"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yalami@aep.com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"mailto:czdebski@eckertseamans.com"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czdebski@eckertseamans.com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"mailto:dparram@taftlaw.com"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dparram@taftlaw.com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"mailto:Schmidt@sppgrp.com"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Schmidt@sppgrp.com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"mailto:ricks@ohanet.org"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ricks@ohanet.org</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"mailto:mkl@smxblaw.com"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mkl@smxblaw.com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"mailto:gas@bbrslaw.com"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gas@smxblaw.com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"mailto:wttpmlc@aol.com"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wttpmlc@aol.com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"mailto:lhawrot@spilmanlaw.com"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lhawrot@spilmanlaw.com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"mailto:dwilliamson@spilmanlaw.com"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dwilliamson@spilmanlaw.com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"mailto:blanghenry@city.cleveland.oh.us"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blanghenry@city.cleveland.oh.us</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"mailto:hmadorsky@city.cleveland.oh.us"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hmadorsky@city.cleveland.oh.us</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"mailto:mdortch@kravitzllc.com"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mdortch@kravitzllc.com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"mailto:rparsons@kravitzllc.com"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rparsons@kravitzllc.com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"mailto:gkrassen@bricker.com"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gkrassen@bricker.com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"mailto:dstinson@bricker.com"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dstinson@bricker.com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"mailto:dborchers@bricker.com"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dborchers@bricker.com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"mailto:DFolk@akronohio.gov"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DFolk@akronohio.gov</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"mailto:sechler@carpenterlipps.com"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sechler@carpenterlipps.com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"mailto:gpoulos@enernoc.com"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gpoulos@enernoc.com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"mailto:dwolff@crowell.com"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dwolff@crowell.com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"mailto:rlehfeldt@crowell.com"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rlehfeldt@crowell.com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"mailto:rkelter@elpc.org" </w:instrText>
            </w:r>
            <w:r>
              <w:fldChar w:fldCharType="separate"/>
            </w:r>
            <w:r w:rsidRPr="0048108C">
              <w:rPr>
                <w:rFonts w:ascii="Times New Roman" w:hAnsi="Times New Roman" w:eastAsiaTheme="minorHAnsi" w:cs="Times New Roman"/>
                <w:color w:val="0000FF"/>
                <w:sz w:val="24"/>
                <w:szCs w:val="24"/>
                <w:u w:val="single"/>
                <w:lang w:val="en-US" w:eastAsia="en-US" w:bidi="ar-SA"/>
              </w:rPr>
              <w:t>rkelter@elpc.org</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"mailto:evelyn.robinson@pjm.com"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evelyn.robinson@pjm.com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"mailto:mjsettineri@vorys.com"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mjsettineri@vorys.com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"mailto:glpetrucci@vorys.com"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glpetrucci@vorys.com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"mailto:mwarnock@bricker.com"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mwarnock@bricker.com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rsidRPr="0048108C">
              <w:rPr>
                <w:rFonts w:ascii="Times New Roman" w:hAnsi="Times New Roman" w:eastAsiaTheme="minorHAnsi" w:cs="Times New Roman"/>
                <w:color w:val="000000"/>
                <w:sz w:val="24"/>
                <w:szCs w:val="24"/>
                <w:lang w:val="en-US" w:eastAsia="en-US" w:bidi="ar-SA"/>
              </w:rPr>
              <w:t>Attorney Examiners:</w:t>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"mailto:Gregory.price@puc.state.oh.us"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Gregory.price@puc.state.oh.us</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"mailto:Mandy.willey@puc.state.oh.us"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Mandy.willey@puc.state.oh.us</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"mailto:Megan.addison@puc.state.oh.us"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Megan.addison@puc.state.oh.us</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bCs/>
                <w:sz w:val="24"/>
                <w:szCs w:val="24"/>
                <w:lang w:val="en-US" w:eastAsia="en-US" w:bidi="ar-SA"/>
              </w:rPr>
            </w:pPr>
          </w:p>
        </w:tc>
        <w:tc>
          <w:tcPr>
            <w:tcW w:w="4529" w:type="dxa"/>
            <w:hideMark/>
          </w:tcPr>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"mailto:cdunn@firstenergycorp.com"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cdunn@firstenergycorp.com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"mailto:jlang@calfee.com"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jlang@calfee.com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"mailto:talexander@calfee.com"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talexander@calfee.com</w:t>
            </w:r>
            <w:r>
              <w:fldChar w:fldCharType="end"/>
            </w:r>
          </w:p>
          <w:p w:rsidR="00FD2CD7" w:rsidRPr="0048108C" w:rsidP="00216641">
            <w:pPr>
              <w:tabs>
                <w:tab w:val="left" w:pos="2693"/>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"mailto:dakutik@jonesday.com"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dakutik@jonesday.com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"mailto:sam@mwncmh.com"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sam@mwncmh.com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"mailto:fdarr@mwncmh.com"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fdarr@mwncmh.com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"mailto:mpritchard@mwncmh.com"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mpritchard@mwncmh.com</w:t>
            </w:r>
            <w:r>
              <w:fldChar w:fldCharType="end"/>
            </w:r>
          </w:p>
          <w:p w:rsidR="00FD2CD7" w:rsidRPr="0048108C" w:rsidP="00216641">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"mailto:cmooney@ohiopartners.org"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cmooney@ohiopartners.org</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napToGrid w:val="0"/>
                <w:color w:val="0000FF"/>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"mailto:callwein@keglerbrown.com" </w:instrText>
            </w:r>
            <w:r>
              <w:fldChar w:fldCharType="separate"/>
            </w:r>
            <w:r w:rsidRPr="0048108C">
              <w:rPr>
                <w:rFonts w:ascii="Times New Roman" w:hAnsi="Times New Roman" w:eastAsiaTheme="minorHAnsi" w:cs="Times New Roman"/>
                <w:snapToGrid w:val="0"/>
                <w:color w:val="0000FF" w:themeColor="hyperlink"/>
                <w:spacing w:val="-3"/>
                <w:sz w:val="24"/>
                <w:szCs w:val="24"/>
                <w:u w:val="single"/>
                <w:lang w:val="en-US" w:eastAsia="en-US" w:bidi="ar-SA"/>
              </w:rPr>
              <w:t>callwein@keglerbrown.com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"mailto:joliker@igsenergy.com" </w:instrText>
            </w:r>
            <w:r>
              <w:fldChar w:fldCharType="separate"/>
            </w:r>
            <w:r w:rsidRPr="0048108C">
              <w:rPr>
                <w:rFonts w:ascii="Times New Roman" w:hAnsi="Times New Roman" w:eastAsiaTheme="minorHAnsi" w:cs="Times New Roman"/>
                <w:snapToGrid w:val="0"/>
                <w:color w:val="0000FF" w:themeColor="hyperlink"/>
                <w:spacing w:val="-3"/>
                <w:sz w:val="24"/>
                <w:szCs w:val="24"/>
                <w:u w:val="single"/>
                <w:lang w:val="en-US" w:eastAsia="en-US" w:bidi="ar-SA"/>
              </w:rPr>
              <w:t>joliker@igsenergy.com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"mailto:mswhite@igsenergy.com" </w:instrText>
            </w:r>
            <w:r>
              <w:fldChar w:fldCharType="separate"/>
            </w:r>
            <w:r w:rsidRPr="0048108C">
              <w:rPr>
                <w:rFonts w:ascii="Times New Roman" w:hAnsi="Times New Roman" w:eastAsiaTheme="minorHAnsi" w:cs="Times New Roman"/>
                <w:snapToGrid w:val="0"/>
                <w:color w:val="0000FF" w:themeColor="hyperlink"/>
                <w:spacing w:val="-3"/>
                <w:sz w:val="24"/>
                <w:szCs w:val="24"/>
                <w:u w:val="single"/>
                <w:lang w:val="en-US" w:eastAsia="en-US" w:bidi="ar-SA"/>
              </w:rPr>
              <w:t>mswhite@igsenergy.com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"mailto:Bojko@carpenterlipps.com" </w:instrText>
            </w:r>
            <w:r>
              <w:fldChar w:fldCharType="separate"/>
            </w:r>
            <w:r w:rsidRPr="0048108C">
              <w:rPr>
                <w:rFonts w:ascii="Times New Roman" w:hAnsi="Times New Roman" w:eastAsiaTheme="minorHAnsi" w:cs="Times New Roman"/>
                <w:bCs/>
                <w:snapToGrid w:val="0"/>
                <w:color w:val="0000FF" w:themeColor="hyperlink"/>
                <w:spacing w:val="-3"/>
                <w:sz w:val="24"/>
                <w:szCs w:val="24"/>
                <w:u w:val="single"/>
                <w:lang w:val="en-US" w:eastAsia="en-US" w:bidi="ar-SA"/>
              </w:rPr>
              <w:t>Bojko@carpenterlipps.com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"mailto:ghiloni@carpenterlipps.com"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ghiloni@carpenterlipps.com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"mailto:barthroyer@aol.com" </w:instrText>
            </w:r>
            <w:r>
              <w:fldChar w:fldCharType="separate"/>
            </w:r>
            <w:r w:rsidRPr="0048108C">
              <w:rPr>
                <w:rFonts w:ascii="Times New Roman" w:hAnsi="Times New Roman" w:eastAsiaTheme="minorHAnsi" w:cs="Times New Roman"/>
                <w:bCs/>
                <w:snapToGrid w:val="0"/>
                <w:color w:val="0000FF" w:themeColor="hyperlink"/>
                <w:spacing w:val="-3"/>
                <w:sz w:val="24"/>
                <w:szCs w:val="24"/>
                <w:u w:val="single"/>
                <w:lang w:val="en-US" w:eastAsia="en-US" w:bidi="ar-SA"/>
              </w:rPr>
              <w:t>barthroyer@aol.com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"mailto:athompson@taftlaw.com" </w:instrText>
            </w:r>
            <w:r>
              <w:fldChar w:fldCharType="separate"/>
            </w:r>
            <w:r w:rsidRPr="0048108C">
              <w:rPr>
                <w:rFonts w:ascii="Times New Roman" w:hAnsi="Times New Roman" w:eastAsiaTheme="minorHAnsi" w:cs="Times New Roman"/>
                <w:bCs/>
                <w:snapToGrid w:val="0"/>
                <w:color w:val="0000FF" w:themeColor="hyperlink"/>
                <w:spacing w:val="-3"/>
                <w:sz w:val="24"/>
                <w:szCs w:val="24"/>
                <w:u w:val="single"/>
                <w:lang w:val="en-US" w:eastAsia="en-US" w:bidi="ar-SA"/>
              </w:rPr>
              <w:t>athompson@taftlaw.com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"mailto:Christopher.miller@icemiller.com" </w:instrText>
            </w:r>
            <w:r>
              <w:fldChar w:fldCharType="separate"/>
            </w:r>
            <w:r w:rsidRPr="0048108C">
              <w:rPr>
                <w:rFonts w:ascii="Times New Roman" w:hAnsi="Times New Roman" w:eastAsiaTheme="minorHAnsi" w:cs="Times New Roman"/>
                <w:bCs/>
                <w:snapToGrid w:val="0"/>
                <w:color w:val="0000FF" w:themeColor="hyperlink"/>
                <w:spacing w:val="-3"/>
                <w:sz w:val="24"/>
                <w:szCs w:val="24"/>
                <w:u w:val="single"/>
                <w:lang w:val="en-US" w:eastAsia="en-US" w:bidi="ar-SA"/>
              </w:rPr>
              <w:t>Christopher.miller@icemiller.com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"mailto:Gregory.dunn@icemiller.com" </w:instrText>
            </w:r>
            <w:r>
              <w:fldChar w:fldCharType="separate"/>
            </w:r>
            <w:r w:rsidRPr="0048108C">
              <w:rPr>
                <w:rFonts w:ascii="Times New Roman" w:hAnsi="Times New Roman" w:eastAsiaTheme="minorHAnsi" w:cs="Times New Roman"/>
                <w:bCs/>
                <w:snapToGrid w:val="0"/>
                <w:color w:val="0000FF" w:themeColor="hyperlink"/>
                <w:spacing w:val="-3"/>
                <w:sz w:val="24"/>
                <w:szCs w:val="24"/>
                <w:u w:val="single"/>
                <w:lang w:val="en-US" w:eastAsia="en-US" w:bidi="ar-SA"/>
              </w:rPr>
              <w:t>Gregory.dunn@icemiller.com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"mailto:Jeremy.grayem@icemiller.com" </w:instrText>
            </w:r>
            <w:r>
              <w:fldChar w:fldCharType="separate"/>
            </w:r>
            <w:r w:rsidRPr="0048108C">
              <w:rPr>
                <w:rFonts w:ascii="Times New Roman" w:hAnsi="Times New Roman" w:eastAsiaTheme="minorHAnsi" w:cs="Times New Roman"/>
                <w:bCs/>
                <w:snapToGrid w:val="0"/>
                <w:color w:val="0000FF" w:themeColor="hyperlink"/>
                <w:spacing w:val="-3"/>
                <w:sz w:val="24"/>
                <w:szCs w:val="24"/>
                <w:u w:val="single"/>
                <w:lang w:val="en-US" w:eastAsia="en-US" w:bidi="ar-SA"/>
              </w:rPr>
              <w:t>Jeremy.grayem@icemiller.com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"mailto:tdougherty@theOEC.org"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tdougherty@theOEC.org</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"mailto:Marilyn@wflawfirm.com"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Marilyn@wflawfirm.com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"mailto:todonnell@dickinsonwright.com"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todonnell@dickinsonwright.com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"mailto:mfleisher@elpc.org"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mfleisher@elpc.org</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"mailto:drinebolt@ohiopartners.org"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drinebolt@ohiopartners.org</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"mailto:meissnerjoseph@yahoo.com"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meissnerjoseph@yahoo.com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"mailto:LeslieKovacik@toledo.oh.gov"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LeslieKovacik@toledo.oh.gov</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"mailto:trhayslaw@gmail.com"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trhayslaw@gmail.com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"mailto:Jeffrey.mayes@monitoringanalytics.com"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Jeffrey.mayes@monitoringanalytics.com</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"mailto:msoules@earthjustice.org"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msoules@earthjustice.org</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"mailto:sfisk@earthjustice.org"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sfisk@earthjustice.org</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"mailto:Thomas.mcnamee@ohioattorneygeneral.gov"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Thomas.mcnamee@ohioattorneygeneral.gov</w:t>
            </w:r>
            <w:r>
              <w:fldChar w:fldCharType="end"/>
            </w:r>
          </w:p>
          <w:p w:rsidR="00FD2CD7" w:rsidRPr="0048108C"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"mailto:Thomas.lindgren@ohioattorneygeneral.gov"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Thomas.lindgren@ohioattorneygeneral.gov</w:t>
            </w:r>
            <w:r>
              <w:fldChar w:fldCharType="end"/>
            </w:r>
          </w:p>
          <w:p w:rsidR="00FD2CD7" w:rsidRPr="002F553D"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"mailto:Steven.beeler@ohioattorneygeneral.gov" </w:instrText>
            </w:r>
            <w:r>
              <w:fldChar w:fldCharType="separate"/>
            </w:r>
            <w:r w:rsidRPr="0048108C">
              <w:rPr>
                <w:rFonts w:ascii="Times New Roman" w:hAnsi="Times New Roman" w:eastAsiaTheme="minorHAnsi" w:cs="Times New Roman"/>
                <w:color w:val="0000FF" w:themeColor="hyperlink"/>
                <w:sz w:val="24"/>
                <w:szCs w:val="24"/>
                <w:u w:val="single"/>
                <w:lang w:val="en-US" w:eastAsia="en-US" w:bidi="ar-SA"/>
              </w:rPr>
              <w:t>Steven.beeler@ohioattorneygeneral.gov</w:t>
            </w:r>
            <w:r>
              <w:fldChar w:fldCharType="end"/>
            </w:r>
          </w:p>
          <w:p w:rsidR="00FD2CD7" w:rsidRPr="002F553D" w:rsidP="00216641">
            <w:pPr>
              <w:tabs>
                <w:tab w:val="left" w:pos="-720"/>
              </w:tabs>
              <w:suppressAutoHyphens/>
              <w:spacing w:after="0" w:line="240" w:lineRule="auto"/>
              <w:jc w:val="both"/>
              <w:rPr>
                <w:rStyle w:val="DefaultParagraphFont"/>
                <w:rFonts w:ascii="Times New Roman" w:hAnsi="Times New Roman" w:eastAsiaTheme="minorHAnsi" w:cs="Times New Roman"/>
                <w:color w:val="0000FF" w:themeColor="hyperlink"/>
                <w:sz w:val="24"/>
                <w:szCs w:val="24"/>
                <w:u w:val="single"/>
                <w:lang w:val="en-US" w:eastAsia="en-US" w:bidi="ar-SA"/>
              </w:rPr>
            </w:pPr>
          </w:p>
          <w:p w:rsidR="00FD2CD7" w:rsidRPr="002F553D" w:rsidP="00216641">
            <w:pPr>
              <w:tabs>
                <w:tab w:val="left" w:pos="-720"/>
              </w:tabs>
              <w:suppressAutoHyphens/>
              <w:spacing w:after="0" w:line="240" w:lineRule="auto"/>
              <w:jc w:val="both"/>
              <w:rPr>
                <w:rStyle w:val="DefaultParagraphFont"/>
                <w:rFonts w:ascii="Times New Roman" w:hAnsi="Times New Roman" w:eastAsiaTheme="minorHAnsi" w:cs="Times New Roman"/>
                <w:bCs/>
                <w:snapToGrid w:val="0"/>
                <w:spacing w:val="-3"/>
                <w:sz w:val="24"/>
                <w:szCs w:val="24"/>
                <w:lang w:val="en-US" w:eastAsia="en-US" w:bidi="ar-SA"/>
              </w:rPr>
            </w:pPr>
          </w:p>
        </w:tc>
      </w:tr>
    </w:tbl>
    <w:p w:rsidR="00FD2CD7" w:rsidRPr="002F553D" w:rsidP="00FD2CD7">
      <w:pPr>
        <w:pStyle w:val="ListParagraph"/>
        <w:rPr>
          <w:rFonts w:cs="Times New Roman"/>
          <w:szCs w:val="24"/>
        </w:rPr>
      </w:pPr>
    </w:p>
    <w:sectPr w:rsidSect="009F4EA1">
      <w:pgSz w:w="12240" w:h="15840"/>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width:8pt;height:14pt;margin-top:728.55pt;margin-left:302pt;mso-position-horizontal-relative:page;mso-position-vertical-relative:page;position:absolute;z-index:-251658240" filled="f" stroked="f">
          <v:textbox inset="0,0,0,0">
            <w:txbxContent>
              <w:p w:rsidR="00044515">
                <w:pPr>
                  <w:pStyle w:val="BodyText"/>
                  <w:spacing w:line="265" w:lineRule="exact"/>
                  <w:ind w:left="20"/>
                </w:pPr>
                <w:r>
                  <w:t>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width:10pt;height:14pt;margin-top:728.55pt;margin-left:301pt;mso-position-horizontal-relative:page;mso-position-vertical-relative:page;position:absolute;z-index:-251657216" filled="f" stroked="f">
          <v:textbox inset="0,0,0,0">
            <w:txbxContent>
              <w:p w:rsidR="00044515">
                <w:pPr>
                  <w:pStyle w:val="BodyText"/>
                  <w:spacing w:line="265" w:lineRule="exact"/>
                  <w:ind w:left="40"/>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D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212557"/>
      <w:docPartObj>
        <w:docPartGallery w:val="Page Numbers (Bottom of Page)"/>
        <w:docPartUnique/>
      </w:docPartObj>
    </w:sdtPr>
    <w:sdtEndPr>
      <w:rPr>
        <w:noProof/>
      </w:rPr>
    </w:sdtEndPr>
    <w:sdtContent>
      <w:p w:rsidR="00044515">
        <w:pPr>
          <w:pStyle w:val="Footer"/>
          <w:jc w:val="center"/>
        </w:pPr>
        <w:r>
          <w:fldChar w:fldCharType="begin"/>
        </w:r>
        <w:r>
          <w:instrText xml:space="preserve"> PAGE   \* MERGEFORMAT </w:instrText>
        </w:r>
        <w:r>
          <w:fldChar w:fldCharType="separate"/>
        </w:r>
        <w:r w:rsidR="00FD2CD7">
          <w:rPr>
            <w:noProof/>
          </w:rPr>
          <w:t>30</w:t>
        </w:r>
        <w:r>
          <w:rPr>
            <w:noProof/>
          </w:rPr>
          <w:fldChar w:fldCharType="end"/>
        </w:r>
      </w:p>
    </w:sdtContent>
  </w:sdt>
  <w:p w:rsidR="000445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width:8pt;height:14pt;margin-top:728.55pt;margin-left:302pt;mso-position-horizontal-relative:page;mso-position-vertical-relative:page;position:absolute;z-index:-251656192" filled="f" stroked="f">
          <v:textbox inset="0,0,0,0">
            <w:txbxContent>
              <w:p w:rsidR="00044515">
                <w:pPr>
                  <w:pStyle w:val="BodyText"/>
                  <w:spacing w:line="265" w:lineRule="exact"/>
                  <w:ind w:left="20"/>
                </w:pPr>
                <w:r>
                  <w:t>2</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44515" w:rsidP="009F4EA1">
      <w:pPr>
        <w:spacing w:after="0" w:line="240" w:lineRule="auto"/>
      </w:pPr>
      <w:r>
        <w:separator/>
      </w:r>
    </w:p>
  </w:footnote>
  <w:footnote w:type="continuationSeparator" w:id="1">
    <w:p w:rsidR="00044515" w:rsidP="009F4EA1">
      <w:pPr>
        <w:spacing w:after="0" w:line="240" w:lineRule="auto"/>
      </w:pPr>
      <w:r>
        <w:continuationSeparator/>
      </w:r>
    </w:p>
  </w:footnote>
  <w:footnote w:id="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sidRPr="00E2467F">
        <w:rPr>
          <w:rFonts w:ascii="Times New Roman" w:hAnsi="Times New Roman" w:cs="Times New Roman"/>
          <w:i/>
        </w:rPr>
        <w:t>Electric Power Supply Association et al. v. FirstEnergy Solutions Corporation</w:t>
      </w:r>
      <w:r w:rsidRPr="00E2467F">
        <w:rPr>
          <w:rFonts w:ascii="Times New Roman" w:hAnsi="Times New Roman" w:cs="Times New Roman"/>
        </w:rPr>
        <w:t xml:space="preserve">, FERC  Docket No. EL16-34-000, Complaint (Jan. 27, 2016) (EPSA Complaint).  </w:t>
      </w:r>
    </w:p>
  </w:footnote>
  <w:footnote w:id="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E2467F">
        <w:rPr>
          <w:rFonts w:ascii="Times New Roman" w:hAnsi="Times New Roman" w:cs="Times New Roman"/>
          <w:i/>
        </w:rPr>
        <w:t>Electric Power Supply Association et al. v. FirstEnergy Solutions Corporation</w:t>
      </w:r>
      <w:r w:rsidRPr="00E2467F">
        <w:rPr>
          <w:rFonts w:ascii="Times New Roman" w:hAnsi="Times New Roman" w:cs="Times New Roman"/>
        </w:rPr>
        <w:t xml:space="preserve">, FERC  Docket No. EL16-34-000, Order Granting Complaint (Apr. 27, 2016).  </w:t>
      </w:r>
    </w:p>
  </w:footnote>
  <w:footnote w:id="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OCC/NOAC also oppose certain other issues filed by other Parties in their Applications for Rehearing as noted in the applicable sections below. </w:t>
      </w:r>
    </w:p>
  </w:footnote>
  <w:footnote w:id="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E2467F">
        <w:rPr>
          <w:rStyle w:val="apple-converted-space"/>
          <w:rFonts w:ascii="Times New Roman" w:hAnsi="Times New Roman" w:cs="Times New Roman"/>
          <w:shd w:val="clear" w:color="auto" w:fill="FFFFFF"/>
        </w:rPr>
        <w:t xml:space="preserve"> See </w:t>
      </w:r>
      <w:r w:rsidRPr="00E2467F">
        <w:rPr>
          <w:rStyle w:val="ssit"/>
          <w:rFonts w:ascii="Times New Roman" w:hAnsi="Times New Roman" w:cs="Times New Roman"/>
          <w:i/>
          <w:iCs/>
          <w:bdr w:val="none" w:sz="0" w:space="0" w:color="auto" w:frame="1"/>
          <w:shd w:val="clear" w:color="auto" w:fill="FFFFFF"/>
        </w:rPr>
        <w:t>Zier</w:t>
      </w:r>
      <w:r w:rsidRPr="00E2467F">
        <w:rPr>
          <w:rStyle w:val="apple-converted-space"/>
          <w:rFonts w:ascii="Times New Roman" w:hAnsi="Times New Roman" w:cs="Times New Roman"/>
          <w:i/>
          <w:iCs/>
          <w:bdr w:val="none" w:sz="0" w:space="0" w:color="auto" w:frame="1"/>
          <w:shd w:val="clear" w:color="auto" w:fill="FFFFFF"/>
        </w:rPr>
        <w:t> </w:t>
      </w:r>
      <w:r w:rsidRPr="00E2467F">
        <w:rPr>
          <w:rFonts w:ascii="Times New Roman" w:hAnsi="Times New Roman" w:cs="Times New Roman"/>
          <w:bdr w:val="none" w:sz="0" w:space="0" w:color="auto" w:frame="1"/>
          <w:shd w:val="clear" w:color="auto" w:fill="FFFFFF"/>
        </w:rPr>
        <w:t>v.</w:t>
      </w:r>
      <w:r w:rsidRPr="00E2467F">
        <w:rPr>
          <w:rStyle w:val="apple-converted-space"/>
          <w:rFonts w:ascii="Times New Roman" w:hAnsi="Times New Roman" w:cs="Times New Roman"/>
          <w:i/>
          <w:iCs/>
          <w:bdr w:val="none" w:sz="0" w:space="0" w:color="auto" w:frame="1"/>
          <w:shd w:val="clear" w:color="auto" w:fill="FFFFFF"/>
        </w:rPr>
        <w:t> </w:t>
      </w:r>
      <w:r w:rsidRPr="00E2467F">
        <w:rPr>
          <w:rStyle w:val="ssit"/>
          <w:rFonts w:ascii="Times New Roman" w:hAnsi="Times New Roman" w:cs="Times New Roman"/>
          <w:i/>
          <w:iCs/>
          <w:bdr w:val="none" w:sz="0" w:space="0" w:color="auto" w:frame="1"/>
          <w:shd w:val="clear" w:color="auto" w:fill="FFFFFF"/>
        </w:rPr>
        <w:t>Bureau of Unemployment Compensation</w:t>
      </w:r>
      <w:r w:rsidRPr="00E2467F">
        <w:rPr>
          <w:rFonts w:ascii="Times New Roman" w:hAnsi="Times New Roman" w:cs="Times New Roman"/>
          <w:bdr w:val="none" w:sz="0" w:space="0" w:color="auto" w:frame="1"/>
          <w:shd w:val="clear" w:color="auto" w:fill="FFFFFF"/>
        </w:rPr>
        <w:t>, 151 Ohio St., 123 (1949)</w:t>
      </w:r>
      <w:r w:rsidRPr="00E2467F">
        <w:rPr>
          <w:rFonts w:ascii="Times New Roman" w:hAnsi="Times New Roman" w:cs="Times New Roman"/>
          <w:shd w:val="clear" w:color="auto" w:fill="FFFFFF"/>
        </w:rPr>
        <w:t>;</w:t>
      </w:r>
      <w:r w:rsidRPr="00E2467F">
        <w:rPr>
          <w:rStyle w:val="apple-converted-space"/>
          <w:rFonts w:ascii="Times New Roman" w:hAnsi="Times New Roman" w:cs="Times New Roman"/>
          <w:shd w:val="clear" w:color="auto" w:fill="FFFFFF"/>
        </w:rPr>
        <w:t> </w:t>
      </w:r>
      <w:r w:rsidRPr="00E2467F">
        <w:rPr>
          <w:rStyle w:val="ssit"/>
          <w:rFonts w:ascii="Times New Roman" w:hAnsi="Times New Roman" w:cs="Times New Roman"/>
          <w:i/>
          <w:iCs/>
          <w:bdr w:val="none" w:sz="0" w:space="0" w:color="auto" w:frame="1"/>
          <w:shd w:val="clear" w:color="auto" w:fill="FFFFFF"/>
        </w:rPr>
        <w:t>Kinsman</w:t>
      </w:r>
      <w:r w:rsidRPr="00E2467F">
        <w:rPr>
          <w:rStyle w:val="apple-converted-space"/>
          <w:rFonts w:ascii="Times New Roman" w:hAnsi="Times New Roman" w:cs="Times New Roman"/>
          <w:i/>
          <w:iCs/>
          <w:bdr w:val="none" w:sz="0" w:space="0" w:color="auto" w:frame="1"/>
          <w:shd w:val="clear" w:color="auto" w:fill="FFFFFF"/>
        </w:rPr>
        <w:t> </w:t>
      </w:r>
      <w:r w:rsidRPr="00E2467F">
        <w:rPr>
          <w:rStyle w:val="ssit"/>
          <w:rFonts w:ascii="Times New Roman" w:hAnsi="Times New Roman" w:cs="Times New Roman"/>
          <w:i/>
          <w:iCs/>
          <w:bdr w:val="none" w:sz="0" w:space="0" w:color="auto" w:frame="1"/>
          <w:shd w:val="clear" w:color="auto" w:fill="FFFFFF"/>
        </w:rPr>
        <w:t>Square Drug Co.</w:t>
      </w:r>
      <w:r w:rsidRPr="00E2467F">
        <w:rPr>
          <w:rStyle w:val="apple-converted-space"/>
          <w:rFonts w:ascii="Times New Roman" w:hAnsi="Times New Roman" w:cs="Times New Roman"/>
          <w:i/>
          <w:iCs/>
          <w:bdr w:val="none" w:sz="0" w:space="0" w:color="auto" w:frame="1"/>
          <w:shd w:val="clear" w:color="auto" w:fill="FFFFFF"/>
        </w:rPr>
        <w:t> </w:t>
      </w:r>
      <w:r w:rsidRPr="00E2467F">
        <w:rPr>
          <w:rFonts w:ascii="Times New Roman" w:hAnsi="Times New Roman" w:cs="Times New Roman"/>
          <w:bdr w:val="none" w:sz="0" w:space="0" w:color="auto" w:frame="1"/>
          <w:shd w:val="clear" w:color="auto" w:fill="FFFFFF"/>
        </w:rPr>
        <w:t>v.</w:t>
      </w:r>
      <w:r w:rsidRPr="00E2467F">
        <w:rPr>
          <w:rStyle w:val="apple-converted-space"/>
          <w:rFonts w:ascii="Times New Roman" w:hAnsi="Times New Roman" w:cs="Times New Roman"/>
          <w:i/>
          <w:iCs/>
          <w:bdr w:val="none" w:sz="0" w:space="0" w:color="auto" w:frame="1"/>
          <w:shd w:val="clear" w:color="auto" w:fill="FFFFFF"/>
        </w:rPr>
        <w:t> </w:t>
      </w:r>
      <w:r w:rsidRPr="00E2467F">
        <w:rPr>
          <w:rStyle w:val="ssit"/>
          <w:rFonts w:ascii="Times New Roman" w:hAnsi="Times New Roman" w:cs="Times New Roman"/>
          <w:i/>
          <w:iCs/>
          <w:bdr w:val="none" w:sz="0" w:space="0" w:color="auto" w:frame="1"/>
          <w:shd w:val="clear" w:color="auto" w:fill="FFFFFF"/>
        </w:rPr>
        <w:t>Evatt, Tax Commr.</w:t>
      </w:r>
      <w:r w:rsidRPr="00E2467F">
        <w:rPr>
          <w:rFonts w:ascii="Times New Roman" w:hAnsi="Times New Roman" w:cs="Times New Roman"/>
          <w:bdr w:val="none" w:sz="0" w:space="0" w:color="auto" w:frame="1"/>
          <w:shd w:val="clear" w:color="auto" w:fill="FFFFFF"/>
        </w:rPr>
        <w:t>, 145 Ohio St., 52, 60 N. E. (2d), 668 (1945)</w:t>
      </w:r>
      <w:r w:rsidRPr="00E2467F">
        <w:rPr>
          <w:rFonts w:ascii="Times New Roman" w:hAnsi="Times New Roman" w:cs="Times New Roman"/>
          <w:shd w:val="clear" w:color="auto" w:fill="FFFFFF"/>
        </w:rPr>
        <w:t>.</w:t>
      </w:r>
    </w:p>
  </w:footnote>
  <w:footnote w:id="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sidRPr="00E2467F">
        <w:rPr>
          <w:rFonts w:ascii="Times New Roman" w:hAnsi="Times New Roman" w:cs="Times New Roman"/>
          <w:i/>
          <w:bdr w:val="none" w:sz="0" w:space="0" w:color="auto" w:frame="1"/>
          <w:shd w:val="clear" w:color="auto" w:fill="FFFFFF"/>
        </w:rPr>
        <w:t>Disc. Cellular, Inc. v. PUC</w:t>
      </w:r>
      <w:r w:rsidRPr="00E2467F">
        <w:rPr>
          <w:rFonts w:ascii="Times New Roman" w:hAnsi="Times New Roman" w:cs="Times New Roman"/>
          <w:bdr w:val="none" w:sz="0" w:space="0" w:color="auto" w:frame="1"/>
          <w:shd w:val="clear" w:color="auto" w:fill="FFFFFF"/>
        </w:rPr>
        <w:t>, 112 Ohio St.3d 360 (2007).</w:t>
      </w:r>
    </w:p>
  </w:footnote>
  <w:footnote w:id="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sidRPr="00E2467F">
        <w:rPr>
          <w:rFonts w:ascii="Times New Roman" w:hAnsi="Times New Roman" w:cs="Times New Roman"/>
          <w:i/>
          <w:bdr w:val="none" w:sz="0" w:space="0" w:color="auto" w:frame="1"/>
          <w:shd w:val="clear" w:color="auto" w:fill="FFFFFF"/>
        </w:rPr>
        <w:t>Disc. Cellular, Inc. v. PUC</w:t>
      </w:r>
      <w:r w:rsidRPr="00E2467F">
        <w:rPr>
          <w:rFonts w:ascii="Times New Roman" w:hAnsi="Times New Roman" w:cs="Times New Roman"/>
          <w:bdr w:val="none" w:sz="0" w:space="0" w:color="auto" w:frame="1"/>
          <w:shd w:val="clear" w:color="auto" w:fill="FFFFFF"/>
        </w:rPr>
        <w:t>, 112 Ohio St.3d 360, 374-75 (2007).</w:t>
      </w:r>
    </w:p>
  </w:footnote>
  <w:footnote w:id="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sidRPr="00E2467F">
        <w:rPr>
          <w:rFonts w:ascii="Times New Roman" w:hAnsi="Times New Roman" w:cs="Times New Roman"/>
          <w:i/>
          <w:bdr w:val="none" w:sz="0" w:space="0" w:color="auto" w:frame="1"/>
          <w:shd w:val="clear" w:color="auto" w:fill="FFFFFF"/>
        </w:rPr>
        <w:t>Disc. Cellular, Inc. v. PUC</w:t>
      </w:r>
      <w:r w:rsidRPr="00E2467F">
        <w:rPr>
          <w:rFonts w:ascii="Times New Roman" w:hAnsi="Times New Roman" w:cs="Times New Roman"/>
          <w:bdr w:val="none" w:sz="0" w:space="0" w:color="auto" w:frame="1"/>
          <w:shd w:val="clear" w:color="auto" w:fill="FFFFFF"/>
        </w:rPr>
        <w:t xml:space="preserve">, 112 Ohio St.3d 360 (2007); </w:t>
      </w:r>
      <w:r w:rsidRPr="00C56E55">
        <w:rPr>
          <w:rStyle w:val="ssit"/>
          <w:rFonts w:ascii="Times New Roman" w:hAnsi="Times New Roman" w:cs="Times New Roman"/>
          <w:iCs/>
          <w:bdr w:val="none" w:sz="0" w:space="0" w:color="auto" w:frame="1"/>
          <w:shd w:val="clear" w:color="auto" w:fill="FFFFFF"/>
        </w:rPr>
        <w:t>see</w:t>
      </w:r>
      <w:r w:rsidRPr="00E2467F">
        <w:rPr>
          <w:rStyle w:val="ssit"/>
          <w:rFonts w:ascii="Times New Roman" w:hAnsi="Times New Roman" w:cs="Times New Roman"/>
          <w:i/>
          <w:iCs/>
          <w:bdr w:val="none" w:sz="0" w:space="0" w:color="auto" w:frame="1"/>
          <w:shd w:val="clear" w:color="auto" w:fill="FFFFFF"/>
        </w:rPr>
        <w:t xml:space="preserve"> also</w:t>
      </w:r>
      <w:r w:rsidRPr="00E2467F">
        <w:rPr>
          <w:rStyle w:val="apple-converted-space"/>
          <w:rFonts w:ascii="Times New Roman" w:hAnsi="Times New Roman" w:cs="Times New Roman"/>
          <w:i/>
          <w:iCs/>
          <w:bdr w:val="none" w:sz="0" w:space="0" w:color="auto" w:frame="1"/>
          <w:shd w:val="clear" w:color="auto" w:fill="FFFFFF"/>
        </w:rPr>
        <w:t> </w:t>
      </w:r>
      <w:r w:rsidRPr="00E2467F">
        <w:rPr>
          <w:rStyle w:val="ssit"/>
          <w:rFonts w:ascii="Times New Roman" w:hAnsi="Times New Roman" w:cs="Times New Roman"/>
          <w:i/>
          <w:iCs/>
          <w:bdr w:val="none" w:sz="0" w:space="0" w:color="auto" w:frame="1"/>
          <w:shd w:val="clear" w:color="auto" w:fill="FFFFFF"/>
        </w:rPr>
        <w:t>Consumers' Counsel v. Pub. Util. Comm.</w:t>
      </w:r>
      <w:r w:rsidRPr="00E2467F">
        <w:rPr>
          <w:rStyle w:val="apple-converted-space"/>
          <w:rFonts w:ascii="Times New Roman" w:hAnsi="Times New Roman" w:cs="Times New Roman"/>
          <w:bdr w:val="none" w:sz="0" w:space="0" w:color="auto" w:frame="1"/>
          <w:shd w:val="clear" w:color="auto" w:fill="FFFFFF"/>
        </w:rPr>
        <w:t> </w:t>
      </w:r>
      <w:r w:rsidRPr="00E2467F">
        <w:rPr>
          <w:rFonts w:ascii="Times New Roman" w:hAnsi="Times New Roman" w:cs="Times New Roman"/>
          <w:bdr w:val="none" w:sz="0" w:space="0" w:color="auto" w:frame="1"/>
          <w:shd w:val="clear" w:color="auto" w:fill="FFFFFF"/>
        </w:rPr>
        <w:t>at 248</w:t>
      </w:r>
      <w:r w:rsidRPr="00E2467F">
        <w:rPr>
          <w:rStyle w:val="apple-converted-space"/>
          <w:rFonts w:ascii="Times New Roman" w:hAnsi="Times New Roman" w:cs="Times New Roman"/>
          <w:shd w:val="clear" w:color="auto" w:fill="FFFFFF"/>
        </w:rPr>
        <w:t> </w:t>
      </w:r>
      <w:r w:rsidRPr="00E2467F">
        <w:rPr>
          <w:rFonts w:ascii="Times New Roman" w:hAnsi="Times New Roman" w:cs="Times New Roman"/>
          <w:shd w:val="clear" w:color="auto" w:fill="FFFFFF"/>
        </w:rPr>
        <w:t>(recognizing a "strict specificity test" in</w:t>
      </w:r>
      <w:r w:rsidRPr="00E2467F">
        <w:rPr>
          <w:rStyle w:val="apple-converted-space"/>
          <w:rFonts w:ascii="Times New Roman" w:hAnsi="Times New Roman" w:cs="Times New Roman"/>
          <w:shd w:val="clear" w:color="auto" w:fill="FFFFFF"/>
        </w:rPr>
        <w:t> </w:t>
      </w:r>
      <w:r w:rsidRPr="00E2467F">
        <w:rPr>
          <w:rFonts w:ascii="Times New Roman" w:hAnsi="Times New Roman" w:cs="Times New Roman"/>
          <w:bdr w:val="none" w:sz="0" w:space="0" w:color="auto" w:frame="1"/>
          <w:shd w:val="clear" w:color="auto" w:fill="FFFFFF"/>
        </w:rPr>
        <w:t>R.C. 4903.10</w:t>
      </w:r>
      <w:r w:rsidRPr="00E2467F">
        <w:rPr>
          <w:rFonts w:ascii="Times New Roman" w:hAnsi="Times New Roman" w:cs="Times New Roman"/>
          <w:shd w:val="clear" w:color="auto" w:fill="FFFFFF"/>
        </w:rPr>
        <w:t>).</w:t>
      </w:r>
    </w:p>
  </w:footnote>
  <w:footnote w:id="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sidRPr="00E2467F">
        <w:rPr>
          <w:rFonts w:ascii="Times New Roman" w:hAnsi="Times New Roman" w:cs="Times New Roman"/>
          <w:i/>
          <w:bdr w:val="none" w:sz="0" w:space="0" w:color="auto" w:frame="1"/>
          <w:shd w:val="clear" w:color="auto" w:fill="FFFFFF"/>
        </w:rPr>
        <w:t>Cincinnati v. Public Utilities Com</w:t>
      </w:r>
      <w:r w:rsidRPr="00E2467F">
        <w:rPr>
          <w:rFonts w:ascii="Times New Roman" w:hAnsi="Times New Roman" w:cs="Times New Roman"/>
          <w:bdr w:val="none" w:sz="0" w:space="0" w:color="auto" w:frame="1"/>
          <w:shd w:val="clear" w:color="auto" w:fill="FFFFFF"/>
        </w:rPr>
        <w:t>., 151 Ohio St. 353, 378 (1949) (general grounds raised in the rehearing application could not support the specific ground later relied on by the appellant and therefore the court could not consider the issue); </w:t>
      </w:r>
      <w:r w:rsidRPr="00E2467F">
        <w:rPr>
          <w:rFonts w:ascii="Times New Roman" w:hAnsi="Times New Roman" w:cs="Times New Roman"/>
          <w:i/>
          <w:iCs/>
          <w:bdr w:val="none" w:sz="0" w:space="0" w:color="auto" w:frame="1"/>
          <w:shd w:val="clear" w:color="auto" w:fill="FFFFFF"/>
        </w:rPr>
        <w:t>Agin v. Pub. Util. Comm.</w:t>
      </w:r>
      <w:r w:rsidRPr="00E2467F">
        <w:rPr>
          <w:rFonts w:ascii="Times New Roman" w:hAnsi="Times New Roman" w:cs="Times New Roman"/>
          <w:bdr w:val="none" w:sz="0" w:space="0" w:color="auto" w:frame="1"/>
          <w:shd w:val="clear" w:color="auto" w:fill="FFFFFF"/>
        </w:rPr>
        <w:t>, 12 Ohio St.2d 97, 98 (1967) (a "casual similarity" between the grounds stated in the rehearing application and the statements in the appellants</w:t>
      </w:r>
      <w:r>
        <w:rPr>
          <w:rFonts w:ascii="Times New Roman" w:hAnsi="Times New Roman" w:cs="Times New Roman"/>
          <w:bdr w:val="none" w:sz="0" w:space="0" w:color="auto" w:frame="1"/>
          <w:shd w:val="clear" w:color="auto" w:fill="FFFFFF"/>
        </w:rPr>
        <w:t>’</w:t>
      </w:r>
      <w:r w:rsidRPr="00E2467F">
        <w:rPr>
          <w:rFonts w:ascii="Times New Roman" w:hAnsi="Times New Roman" w:cs="Times New Roman"/>
          <w:bdr w:val="none" w:sz="0" w:space="0" w:color="auto" w:frame="1"/>
          <w:shd w:val="clear" w:color="auto" w:fill="FFFFFF"/>
        </w:rPr>
        <w:t xml:space="preserve"> brief does not meet the requirements of R.C. 4903.10).</w:t>
      </w:r>
    </w:p>
  </w:footnote>
  <w:footnote w:id="1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Application for Rehearing at 5, 41.</w:t>
      </w:r>
    </w:p>
  </w:footnote>
  <w:footnote w:id="1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e.g., </w:t>
      </w:r>
      <w:r>
        <w:rPr>
          <w:rFonts w:ascii="Times New Roman" w:hAnsi="Times New Roman" w:cs="Times New Roman"/>
        </w:rPr>
        <w:t xml:space="preserve">FirstEnergy </w:t>
      </w:r>
      <w:r w:rsidRPr="00E2467F">
        <w:rPr>
          <w:rFonts w:ascii="Times New Roman" w:hAnsi="Times New Roman" w:cs="Times New Roman"/>
        </w:rPr>
        <w:t>Application for Rehearing at 1 (“The Fifth Entry on Rehearing is unlawful and unreasonable because the Commission erroneously and improperly limited the term of Rider DMR to thee (or potentially five) years, contrary to the record evidence and Rider DMR’s purpose.”)</w:t>
      </w:r>
    </w:p>
  </w:footnote>
  <w:footnote w:id="1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 xml:space="preserve">Application for Rehearing at 5-7.  </w:t>
      </w:r>
    </w:p>
  </w:footnote>
  <w:footnote w:id="1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OCC/NOAC Application for Rehearing at 10-16 (Nov. 14, 2016).</w:t>
      </w:r>
    </w:p>
  </w:footnote>
  <w:footnote w:id="1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OCC/NOAC Application for Rehearing at 10-16 (Nov. 14, 2016).</w:t>
      </w:r>
    </w:p>
  </w:footnote>
  <w:footnote w:id="1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 xml:space="preserve">Application for Rehearing at 7-8.  </w:t>
      </w:r>
    </w:p>
  </w:footnote>
  <w:footnote w:id="1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Ex. No. 13 at Q&amp;A 12 (Rehearing Testimony of Joseph Buckley).</w:t>
      </w:r>
    </w:p>
  </w:footnote>
  <w:footnote w:id="1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w:t>
      </w:r>
    </w:p>
  </w:footnote>
  <w:footnote w:id="1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R. Tr. Vol. X at 1731-1732 (Mikkelsen).</w:t>
      </w:r>
    </w:p>
  </w:footnote>
  <w:footnote w:id="1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Ex. No. 13 at Q&amp;A 11 (Rehearing Testimony of Joseph Buckley).</w:t>
      </w:r>
    </w:p>
  </w:footnote>
  <w:footnote w:id="2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Ex. No. 13 at Q&amp;A 12 (Rehearing Testimony of Joseph Buckley).</w:t>
      </w:r>
    </w:p>
  </w:footnote>
  <w:footnote w:id="2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 xml:space="preserve">Application for Rehearing at 9-12.  </w:t>
      </w:r>
    </w:p>
  </w:footnote>
  <w:footnote w:id="2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at 12.  </w:t>
      </w:r>
    </w:p>
  </w:footnote>
  <w:footnote w:id="2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OCC/NOAC Initial Brief at 52-53.</w:t>
      </w:r>
    </w:p>
  </w:footnote>
  <w:footnote w:id="2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Brief at 18.</w:t>
      </w:r>
    </w:p>
  </w:footnote>
  <w:footnote w:id="2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R. Tr. X at 1750:7-15.</w:t>
      </w:r>
    </w:p>
  </w:footnote>
  <w:footnote w:id="2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93.  </w:t>
      </w:r>
    </w:p>
  </w:footnote>
  <w:footnote w:id="2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 xml:space="preserve">Application for Rehearing at 12-13.  </w:t>
      </w:r>
    </w:p>
  </w:footnote>
  <w:footnote w:id="2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Ex. 206 at 10 (Rehearing Rebuttal and Surrebuttal Testimony of Eileen Mikkelsen).</w:t>
      </w:r>
    </w:p>
  </w:footnote>
  <w:footnote w:id="2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Brief at 14 (citation omitted).</w:t>
      </w:r>
    </w:p>
  </w:footnote>
  <w:footnote w:id="3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FirstEnergy</w:t>
      </w:r>
      <w:r w:rsidRPr="00E2467F">
        <w:rPr>
          <w:rFonts w:ascii="Times New Roman" w:hAnsi="Times New Roman" w:cs="Times New Roman"/>
        </w:rPr>
        <w:t xml:space="preserve"> Application for Rehearing at 13-15.  </w:t>
      </w:r>
    </w:p>
  </w:footnote>
  <w:footnote w:id="3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94, ¶198.</w:t>
      </w:r>
    </w:p>
  </w:footnote>
  <w:footnote w:id="3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r w:rsidRPr="00E2467F">
        <w:rPr>
          <w:rFonts w:ascii="Times New Roman" w:hAnsi="Times New Roman" w:cs="Times New Roman"/>
        </w:rPr>
        <w:t xml:space="preserve">  </w:t>
      </w:r>
    </w:p>
  </w:footnote>
  <w:footnote w:id="3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w:t>
      </w:r>
    </w:p>
  </w:footnote>
  <w:footnote w:id="3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FirstEnergy</w:t>
      </w:r>
      <w:r w:rsidRPr="00E2467F">
        <w:rPr>
          <w:rFonts w:ascii="Times New Roman" w:hAnsi="Times New Roman" w:cs="Times New Roman"/>
        </w:rPr>
        <w:t xml:space="preserve"> Application for Rehearing at 16-20.  </w:t>
      </w:r>
    </w:p>
  </w:footnote>
  <w:footnote w:id="3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R. Tr. X at 1719-1720; </w:t>
      </w:r>
      <w:r>
        <w:rPr>
          <w:rFonts w:ascii="Times New Roman" w:hAnsi="Times New Roman" w:cs="Times New Roman"/>
        </w:rPr>
        <w:t>FirstEnergy</w:t>
      </w:r>
      <w:r w:rsidRPr="00E2467F">
        <w:rPr>
          <w:rFonts w:ascii="Times New Roman" w:hAnsi="Times New Roman" w:cs="Times New Roman"/>
        </w:rPr>
        <w:t xml:space="preserve"> Ex. 206 at 11 (Mikkelsen Rehearing Rebuttal).   </w:t>
      </w:r>
    </w:p>
  </w:footnote>
  <w:footnote w:id="3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Initial Brief at 16.</w:t>
      </w:r>
    </w:p>
  </w:footnote>
  <w:footnote w:id="3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98.  OCC/NOAC sought rehearing on this finding. See OCC/NOAC Application for Rehearing at 29.</w:t>
      </w:r>
    </w:p>
  </w:footnote>
  <w:footnote w:id="3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p>
  </w:footnote>
  <w:footnote w:id="3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FirstEnergy</w:t>
      </w:r>
      <w:r w:rsidRPr="00E2467F">
        <w:rPr>
          <w:rFonts w:ascii="Times New Roman" w:hAnsi="Times New Roman" w:cs="Times New Roman"/>
        </w:rPr>
        <w:t xml:space="preserve"> Application for Rehearing at 20-21.</w:t>
      </w:r>
    </w:p>
  </w:footnote>
  <w:footnote w:id="4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at 20.  </w:t>
      </w:r>
    </w:p>
  </w:footnote>
  <w:footnote w:id="4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w:t>
      </w:r>
    </w:p>
  </w:footnote>
  <w:footnote w:id="4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r w:rsidRPr="00E2467F">
        <w:rPr>
          <w:rFonts w:ascii="Times New Roman" w:hAnsi="Times New Roman" w:cs="Times New Roman"/>
        </w:rPr>
        <w:t xml:space="preserve">  </w:t>
      </w:r>
    </w:p>
  </w:footnote>
  <w:footnote w:id="4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Application for Rehearing at 21-42.</w:t>
      </w:r>
    </w:p>
  </w:footnote>
  <w:footnote w:id="4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p>
  </w:footnote>
  <w:footnote w:id="4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96.  </w:t>
      </w:r>
    </w:p>
  </w:footnote>
  <w:footnote w:id="4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Application for Rehearing </w:t>
      </w:r>
      <w:r w:rsidRPr="00E2467F">
        <w:rPr>
          <w:rFonts w:ascii="Times New Roman" w:hAnsi="Times New Roman" w:cs="Times New Roman"/>
        </w:rPr>
        <w:t xml:space="preserve">at 21-22.  </w:t>
      </w:r>
    </w:p>
  </w:footnote>
  <w:footnote w:id="4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at 22 (emphasis added).</w:t>
      </w:r>
    </w:p>
  </w:footnote>
  <w:footnote w:id="4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E2467F">
        <w:rPr>
          <w:rFonts w:ascii="Times New Roman" w:hAnsi="Times New Roman" w:cs="Times New Roman"/>
          <w:i/>
        </w:rPr>
        <w:t>In re: Columbus S. Power Co</w:t>
      </w:r>
      <w:r w:rsidRPr="00E2467F">
        <w:rPr>
          <w:rFonts w:ascii="Times New Roman" w:hAnsi="Times New Roman" w:cs="Times New Roman"/>
        </w:rPr>
        <w:t xml:space="preserve">, 134 Ohio St.3d 392, 2012-Ohio-5690,¶12, citing Arnold v. Cleveland, 67 Ohio St.3d 35, 38-39, 616 N.E.2d 163.  </w:t>
      </w:r>
    </w:p>
  </w:footnote>
  <w:footnote w:id="49">
    <w:p w:rsidR="00044515" w:rsidRPr="00E2467F" w:rsidP="00E2467F">
      <w:pPr>
        <w:spacing w:after="120" w:line="240" w:lineRule="auto"/>
        <w:rPr>
          <w:rFonts w:ascii="Times New Roman" w:hAnsi="Times New Roman" w:cs="Times New Roman"/>
          <w:sz w:val="20"/>
          <w:szCs w:val="20"/>
        </w:rPr>
      </w:pPr>
      <w:r w:rsidRPr="00E2467F">
        <w:rPr>
          <w:rStyle w:val="FootnoteReference"/>
          <w:rFonts w:ascii="Times New Roman" w:hAnsi="Times New Roman" w:cs="Times New Roman"/>
          <w:sz w:val="20"/>
          <w:szCs w:val="20"/>
        </w:rPr>
        <w:footnoteRef/>
      </w:r>
      <w:r w:rsidRPr="00E2467F">
        <w:rPr>
          <w:rFonts w:ascii="Times New Roman" w:hAnsi="Times New Roman" w:cs="Times New Roman"/>
          <w:sz w:val="20"/>
          <w:szCs w:val="20"/>
        </w:rPr>
        <w:t xml:space="preserve"> </w:t>
      </w:r>
      <w:r w:rsidRPr="00E2467F">
        <w:rPr>
          <w:rFonts w:ascii="Times New Roman" w:hAnsi="Times New Roman" w:cs="Times New Roman"/>
          <w:i/>
          <w:sz w:val="20"/>
          <w:szCs w:val="20"/>
        </w:rPr>
        <w:t xml:space="preserve">Columbus v. Thompson, </w:t>
      </w:r>
      <w:r w:rsidRPr="00E2467F">
        <w:rPr>
          <w:rFonts w:ascii="Times New Roman" w:hAnsi="Times New Roman" w:cs="Times New Roman"/>
          <w:sz w:val="20"/>
          <w:szCs w:val="20"/>
        </w:rPr>
        <w:t>25 Ohio St.2d 26, syllabus (1970</w:t>
      </w:r>
      <w:r>
        <w:rPr>
          <w:rFonts w:ascii="Times New Roman" w:hAnsi="Times New Roman" w:cs="Times New Roman"/>
          <w:sz w:val="20"/>
          <w:szCs w:val="20"/>
        </w:rPr>
        <w:t>)</w:t>
      </w:r>
      <w:r w:rsidRPr="00E2467F">
        <w:rPr>
          <w:rFonts w:ascii="Times New Roman" w:hAnsi="Times New Roman" w:cs="Times New Roman"/>
          <w:i/>
          <w:sz w:val="20"/>
          <w:szCs w:val="20"/>
        </w:rPr>
        <w:t>.</w:t>
      </w:r>
    </w:p>
  </w:footnote>
  <w:footnote w:id="5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E2467F">
        <w:rPr>
          <w:rFonts w:ascii="Times New Roman" w:hAnsi="Times New Roman" w:cs="Times New Roman"/>
          <w:i/>
        </w:rPr>
        <w:t>Salem v. Liquor Control Com.</w:t>
      </w:r>
      <w:r w:rsidRPr="00E2467F">
        <w:rPr>
          <w:rFonts w:ascii="Times New Roman" w:hAnsi="Times New Roman" w:cs="Times New Roman"/>
        </w:rPr>
        <w:t xml:space="preserve">, 34 Ohio St.2d 244, 246 (1973).  </w:t>
      </w:r>
    </w:p>
  </w:footnote>
  <w:footnote w:id="5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E2467F">
        <w:rPr>
          <w:rFonts w:ascii="Times New Roman" w:hAnsi="Times New Roman" w:cs="Times New Roman"/>
          <w:i/>
        </w:rPr>
        <w:t>In the Matter of the Complaint of Westside Cellular Inc.</w:t>
      </w:r>
      <w:r w:rsidRPr="00E2467F">
        <w:rPr>
          <w:rFonts w:ascii="Times New Roman" w:hAnsi="Times New Roman" w:cs="Times New Roman"/>
        </w:rPr>
        <w:t xml:space="preserve">, Case No. 93-1758-RC-CSS, Entry on Rehearing at 9 (Apr. 25, 2001)(relying upon </w:t>
      </w:r>
      <w:r w:rsidRPr="00E2467F">
        <w:rPr>
          <w:rFonts w:ascii="Times New Roman" w:hAnsi="Times New Roman" w:cs="Times New Roman"/>
          <w:i/>
        </w:rPr>
        <w:t>Salem</w:t>
      </w:r>
      <w:r w:rsidRPr="00E2467F">
        <w:rPr>
          <w:rFonts w:ascii="Times New Roman" w:hAnsi="Times New Roman" w:cs="Times New Roman"/>
        </w:rPr>
        <w:t xml:space="preserve">, supra, when it rejected claims that its orders were so vague as to violated due process). </w:t>
      </w:r>
    </w:p>
  </w:footnote>
  <w:footnote w:id="5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Application for Rehearing at </w:t>
      </w:r>
      <w:r w:rsidRPr="00E2467F">
        <w:rPr>
          <w:rFonts w:ascii="Times New Roman" w:hAnsi="Times New Roman" w:cs="Times New Roman"/>
        </w:rPr>
        <w:t>23.</w:t>
      </w:r>
    </w:p>
  </w:footnote>
  <w:footnote w:id="5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r w:rsidRPr="00E2467F">
        <w:rPr>
          <w:rFonts w:ascii="Times New Roman" w:hAnsi="Times New Roman" w:cs="Times New Roman"/>
        </w:rPr>
        <w:t xml:space="preserve">  </w:t>
      </w:r>
    </w:p>
  </w:footnote>
  <w:footnote w:id="5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at 25.</w:t>
      </w:r>
    </w:p>
  </w:footnote>
  <w:footnote w:id="5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Pr>
          <w:rFonts w:ascii="Times New Roman" w:hAnsi="Times New Roman" w:cs="Times New Roman"/>
        </w:rPr>
        <w:t xml:space="preserve">FirstEnergy </w:t>
      </w:r>
      <w:r w:rsidRPr="00E2467F">
        <w:rPr>
          <w:rFonts w:ascii="Times New Roman" w:hAnsi="Times New Roman" w:cs="Times New Roman"/>
        </w:rPr>
        <w:t xml:space="preserve">Ex. 206 at 13 (Mikkelsen Rehearing Rebuttal). </w:t>
      </w:r>
    </w:p>
  </w:footnote>
  <w:footnote w:id="5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w:t>
      </w:r>
      <w:r w:rsidRPr="00313D45">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 xml:space="preserve">Ex. 205 at 5 (Murley Rehearing Rebuttal). </w:t>
      </w:r>
    </w:p>
  </w:footnote>
  <w:footnote w:id="5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R.C. 4928.143(B)(2)(i) (describes economic development plans that “may” be implemented as provisions of an ESP).</w:t>
      </w:r>
    </w:p>
  </w:footnote>
  <w:footnote w:id="5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OCC Initial Brief at 74-77 (discussing how R.C. 4928.143(B)(2)(i) only applies to Economic Development plans implemented by the EDU). </w:t>
      </w:r>
    </w:p>
  </w:footnote>
  <w:footnote w:id="5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 xml:space="preserve">Application for Rehearing at 26.  </w:t>
      </w:r>
    </w:p>
  </w:footnote>
  <w:footnote w:id="6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at 26-27.</w:t>
      </w:r>
    </w:p>
  </w:footnote>
  <w:footnote w:id="6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 at 27.  </w:t>
      </w:r>
    </w:p>
  </w:footnote>
  <w:footnote w:id="6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162.</w:t>
      </w:r>
    </w:p>
    <w:p w:rsidR="00044515" w:rsidRPr="00E2467F" w:rsidP="00E2467F">
      <w:pPr>
        <w:pStyle w:val="FootnoteText"/>
        <w:spacing w:after="120"/>
        <w:rPr>
          <w:rFonts w:ascii="Times New Roman" w:hAnsi="Times New Roman" w:cs="Times New Roman"/>
        </w:rPr>
      </w:pPr>
    </w:p>
  </w:footnote>
  <w:footnote w:id="6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C56E55">
        <w:rPr>
          <w:rFonts w:ascii="Times New Roman" w:hAnsi="Times New Roman" w:cs="Times New Roman"/>
        </w:rPr>
        <w:t xml:space="preserve">See </w:t>
      </w:r>
      <w:r w:rsidRPr="00E2467F">
        <w:rPr>
          <w:rFonts w:ascii="Times New Roman" w:hAnsi="Times New Roman" w:cs="Times New Roman"/>
        </w:rPr>
        <w:t xml:space="preserve">Fifth Entry on Rehearing ¶ 326 (“The Commission is mindful of the increases in customer bills stemming from the </w:t>
      </w:r>
      <w:r w:rsidRPr="00E2467F">
        <w:rPr>
          <w:rFonts w:ascii="Times New Roman" w:hAnsi="Times New Roman" w:cs="Times New Roman"/>
          <w:i/>
        </w:rPr>
        <w:t>ESP IV</w:t>
      </w:r>
      <w:r w:rsidRPr="00E2467F">
        <w:rPr>
          <w:rFonts w:ascii="Times New Roman" w:hAnsi="Times New Roman" w:cs="Times New Roman"/>
        </w:rPr>
        <w:t xml:space="preserve"> as modified by this Fifth Entry on Rehearing”).</w:t>
      </w:r>
    </w:p>
  </w:footnote>
  <w:footnote w:id="6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C56E55">
        <w:rPr>
          <w:rFonts w:ascii="Times New Roman" w:hAnsi="Times New Roman" w:cs="Times New Roman"/>
        </w:rPr>
        <w:t>See</w:t>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w:t>
      </w:r>
      <w:r>
        <w:rPr>
          <w:rFonts w:ascii="Times New Roman" w:hAnsi="Times New Roman" w:cs="Times New Roman"/>
        </w:rPr>
        <w:t xml:space="preserve">pplication for Rehearing </w:t>
      </w:r>
      <w:r w:rsidRPr="00E2467F">
        <w:rPr>
          <w:rFonts w:ascii="Times New Roman" w:hAnsi="Times New Roman" w:cs="Times New Roman"/>
        </w:rPr>
        <w:t>at 28 ("The Commission erred by inappropriately linking two unrelated and independent concepts (i.e., Rider DMR and the shared savings cap.").</w:t>
      </w:r>
    </w:p>
  </w:footnote>
  <w:footnote w:id="6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Third Supplemental Stipulation at 11.</w:t>
      </w:r>
    </w:p>
  </w:footnote>
  <w:footnote w:id="66">
    <w:p w:rsidR="00044515" w:rsidRPr="00044515">
      <w:pPr>
        <w:pStyle w:val="FootnoteText"/>
        <w:rPr>
          <w:rFonts w:ascii="Times New Roman" w:hAnsi="Times New Roman" w:cs="Times New Roman"/>
        </w:rPr>
      </w:pPr>
      <w:r w:rsidRPr="00044515">
        <w:rPr>
          <w:rStyle w:val="FootnoteReference"/>
          <w:rFonts w:ascii="Times New Roman" w:hAnsi="Times New Roman" w:cs="Times New Roman"/>
        </w:rPr>
        <w:footnoteRef/>
      </w:r>
      <w:r w:rsidRPr="00044515">
        <w:rPr>
          <w:rFonts w:ascii="Times New Roman" w:hAnsi="Times New Roman" w:cs="Times New Roman"/>
        </w:rPr>
        <w:t xml:space="preserve"> </w:t>
      </w:r>
      <w:r>
        <w:rPr>
          <w:rFonts w:ascii="Times New Roman" w:hAnsi="Times New Roman" w:cs="Times New Roman"/>
        </w:rPr>
        <w:t xml:space="preserve">FirstEnergy </w:t>
      </w:r>
      <w:r w:rsidRPr="00044515">
        <w:rPr>
          <w:rFonts w:ascii="Times New Roman" w:hAnsi="Times New Roman" w:cs="Times New Roman"/>
        </w:rPr>
        <w:t>Application for Rehearing at 29.</w:t>
      </w:r>
    </w:p>
    <w:p w:rsidR="00044515">
      <w:pPr>
        <w:pStyle w:val="FootnoteText"/>
      </w:pPr>
    </w:p>
  </w:footnote>
  <w:footnote w:id="6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147.</w:t>
      </w:r>
    </w:p>
  </w:footnote>
  <w:footnote w:id="6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Third Supplemental Stipulation at 11.</w:t>
      </w:r>
    </w:p>
  </w:footnote>
  <w:footnote w:id="6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These environmental advocates are the Ohio Environmental Council</w:t>
      </w:r>
      <w:r>
        <w:rPr>
          <w:rFonts w:ascii="Times New Roman" w:hAnsi="Times New Roman" w:cs="Times New Roman"/>
        </w:rPr>
        <w:t xml:space="preserve"> (“OEC”)</w:t>
      </w:r>
      <w:r w:rsidRPr="00E2467F">
        <w:rPr>
          <w:rFonts w:ascii="Times New Roman" w:hAnsi="Times New Roman" w:cs="Times New Roman"/>
        </w:rPr>
        <w:t>, Environmental Defense Fund</w:t>
      </w:r>
      <w:r>
        <w:rPr>
          <w:rFonts w:ascii="Times New Roman" w:hAnsi="Times New Roman" w:cs="Times New Roman"/>
        </w:rPr>
        <w:t xml:space="preserve"> (“EDF”)</w:t>
      </w:r>
      <w:r w:rsidRPr="00E2467F">
        <w:rPr>
          <w:rFonts w:ascii="Times New Roman" w:hAnsi="Times New Roman" w:cs="Times New Roman"/>
        </w:rPr>
        <w:t>, and Environmental Law &amp; Policy Center</w:t>
      </w:r>
      <w:r>
        <w:rPr>
          <w:rFonts w:ascii="Times New Roman" w:hAnsi="Times New Roman" w:cs="Times New Roman"/>
        </w:rPr>
        <w:t xml:space="preserve"> (“ELPC”)</w:t>
      </w:r>
      <w:r w:rsidRPr="00E2467F">
        <w:rPr>
          <w:rFonts w:ascii="Times New Roman" w:hAnsi="Times New Roman" w:cs="Times New Roman"/>
        </w:rPr>
        <w:t>.</w:t>
      </w:r>
    </w:p>
  </w:footnote>
  <w:footnote w:id="7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w:t>
      </w:r>
      <w:r>
        <w:rPr>
          <w:rFonts w:ascii="Times New Roman" w:hAnsi="Times New Roman" w:cs="Times New Roman"/>
        </w:rPr>
        <w:t>pplication for Rehearing</w:t>
      </w:r>
      <w:r w:rsidRPr="00E2467F">
        <w:rPr>
          <w:rFonts w:ascii="Times New Roman" w:hAnsi="Times New Roman" w:cs="Times New Roman"/>
        </w:rPr>
        <w:t xml:space="preserve"> at 29-31; OEC/EDF/ELPC A</w:t>
      </w:r>
      <w:r>
        <w:rPr>
          <w:rFonts w:ascii="Times New Roman" w:hAnsi="Times New Roman" w:cs="Times New Roman"/>
        </w:rPr>
        <w:t>pplication for Rehearing</w:t>
      </w:r>
      <w:r w:rsidRPr="00E2467F">
        <w:rPr>
          <w:rFonts w:ascii="Times New Roman" w:hAnsi="Times New Roman" w:cs="Times New Roman"/>
        </w:rPr>
        <w:t xml:space="preserve"> at 23-25.</w:t>
      </w:r>
    </w:p>
  </w:footnote>
  <w:footnote w:id="7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 326.</w:t>
      </w:r>
    </w:p>
  </w:footnote>
  <w:footnote w:id="7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OEC/EDF/ELPC A</w:t>
      </w:r>
      <w:r>
        <w:rPr>
          <w:rFonts w:ascii="Times New Roman" w:hAnsi="Times New Roman" w:cs="Times New Roman"/>
        </w:rPr>
        <w:t>pplication for Rehearing</w:t>
      </w:r>
      <w:r w:rsidRPr="00E2467F">
        <w:rPr>
          <w:rFonts w:ascii="Times New Roman" w:hAnsi="Times New Roman" w:cs="Times New Roman"/>
        </w:rPr>
        <w:t xml:space="preserve"> at 24.</w:t>
      </w:r>
    </w:p>
  </w:footnote>
  <w:footnote w:id="7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C56E55">
        <w:rPr>
          <w:rFonts w:ascii="Times New Roman" w:hAnsi="Times New Roman" w:cs="Times New Roman"/>
        </w:rPr>
        <w:t xml:space="preserve"> See</w:t>
      </w:r>
      <w:r w:rsidRPr="00E2467F">
        <w:rPr>
          <w:rFonts w:ascii="Times New Roman" w:hAnsi="Times New Roman" w:cs="Times New Roman"/>
        </w:rPr>
        <w:t xml:space="preserve"> OEC/EDF/ELPC A</w:t>
      </w:r>
      <w:r>
        <w:rPr>
          <w:rFonts w:ascii="Times New Roman" w:hAnsi="Times New Roman" w:cs="Times New Roman"/>
        </w:rPr>
        <w:t>pplication for Rehearing</w:t>
      </w:r>
      <w:r w:rsidRPr="00E2467F">
        <w:rPr>
          <w:rFonts w:ascii="Times New Roman" w:hAnsi="Times New Roman" w:cs="Times New Roman"/>
        </w:rPr>
        <w:t xml:space="preserve"> at 24 (citing FirstEnergy's 2012 energy efficiency portfolio application).</w:t>
      </w:r>
    </w:p>
  </w:footnote>
  <w:footnote w:id="7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sidRPr="00FC0847">
        <w:rPr>
          <w:rFonts w:ascii="Times New Roman" w:hAnsi="Times New Roman" w:cs="Times New Roman"/>
        </w:rPr>
        <w:t>See</w:t>
      </w:r>
      <w:r w:rsidRPr="00E2467F">
        <w:rPr>
          <w:rFonts w:ascii="Times New Roman" w:hAnsi="Times New Roman" w:cs="Times New Roman"/>
        </w:rPr>
        <w:t xml:space="preserve"> Fifth Entry on Rehearing at 37 (documents filed in another PUCO proceeding are not part of the evidentiary record and should be stricken).</w:t>
      </w:r>
    </w:p>
  </w:footnote>
  <w:footnote w:id="7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Third Supplemental Stipulation at 11.</w:t>
      </w:r>
    </w:p>
  </w:footnote>
  <w:footnote w:id="7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R.C. 4928.6611.</w:t>
      </w:r>
    </w:p>
  </w:footnote>
  <w:footnote w:id="7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108. </w:t>
      </w:r>
    </w:p>
  </w:footnote>
  <w:footnote w:id="7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Application for Rehearing at 31.</w:t>
      </w:r>
    </w:p>
  </w:footnote>
  <w:footnote w:id="7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r w:rsidRPr="00E2467F">
        <w:rPr>
          <w:rFonts w:ascii="Times New Roman" w:hAnsi="Times New Roman" w:cs="Times New Roman"/>
        </w:rPr>
        <w:t xml:space="preserve">  </w:t>
      </w:r>
    </w:p>
  </w:footnote>
  <w:footnote w:id="8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p>
  </w:footnote>
  <w:footnote w:id="8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96 (emphasis added).</w:t>
      </w:r>
    </w:p>
  </w:footnote>
  <w:footnote w:id="8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$1,000,000 x 0.005 = $5,000.</w:t>
      </w:r>
    </w:p>
  </w:footnote>
  <w:footnote w:id="8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108.  </w:t>
      </w:r>
    </w:p>
  </w:footnote>
  <w:footnote w:id="8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p>
  </w:footnote>
  <w:footnote w:id="8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Application for Rehearing at 34.</w:t>
      </w:r>
    </w:p>
  </w:footnote>
  <w:footnote w:id="8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w:t>
      </w:r>
    </w:p>
  </w:footnote>
  <w:footnote w:id="8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PUCO Staff Ex. 6 at 13 (McCarter Direct).</w:t>
      </w:r>
    </w:p>
  </w:footnote>
  <w:footnote w:id="8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w:t>
      </w:r>
    </w:p>
  </w:footnote>
  <w:footnote w:id="8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w:t>
      </w:r>
    </w:p>
  </w:footnote>
  <w:footnote w:id="9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Id.</w:t>
      </w:r>
    </w:p>
  </w:footnote>
  <w:footnote w:id="9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R.C. 4928.143(B)(2)(h).</w:t>
      </w:r>
    </w:p>
  </w:footnote>
  <w:footnote w:id="92">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 xml:space="preserve">FirstEnergy </w:t>
      </w:r>
      <w:r w:rsidRPr="00E2467F">
        <w:rPr>
          <w:rFonts w:ascii="Times New Roman" w:hAnsi="Times New Roman" w:cs="Times New Roman"/>
        </w:rPr>
        <w:t>Application for Rehearing at 35-36 citing Third Supp. Stip., p. 18.</w:t>
      </w:r>
    </w:p>
  </w:footnote>
  <w:footnote w:id="93">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Third Supp. Stip., p. 18.</w:t>
      </w:r>
    </w:p>
  </w:footnote>
  <w:footnote w:id="94">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IGS Application for Rehearing at 11-14.</w:t>
      </w:r>
    </w:p>
  </w:footnote>
  <w:footnote w:id="95">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w:t>
      </w:r>
      <w:r>
        <w:rPr>
          <w:rFonts w:ascii="Times New Roman" w:hAnsi="Times New Roman" w:cs="Times New Roman"/>
        </w:rPr>
        <w:t xml:space="preserve">FirstEnergy </w:t>
      </w:r>
      <w:r w:rsidRPr="00E2467F">
        <w:rPr>
          <w:rFonts w:ascii="Times New Roman" w:hAnsi="Times New Roman" w:cs="Times New Roman"/>
        </w:rPr>
        <w:t>Application for Rehearing at 41.</w:t>
      </w:r>
    </w:p>
  </w:footnote>
  <w:footnote w:id="96">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IGS Application for Rehearing at 12; </w:t>
      </w:r>
      <w:r>
        <w:rPr>
          <w:rFonts w:ascii="Times New Roman" w:hAnsi="Times New Roman" w:cs="Times New Roman"/>
        </w:rPr>
        <w:t xml:space="preserve">FirstEnergy </w:t>
      </w:r>
      <w:r w:rsidRPr="00E2467F">
        <w:rPr>
          <w:rFonts w:ascii="Times New Roman" w:hAnsi="Times New Roman" w:cs="Times New Roman"/>
        </w:rPr>
        <w:t>Application for Rehearing at 41.</w:t>
      </w:r>
    </w:p>
  </w:footnote>
  <w:footnote w:id="97">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 301.</w:t>
      </w:r>
    </w:p>
  </w:footnote>
  <w:footnote w:id="98">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See IGS Letter of Notification Regarding Withdrawal of Testimony (January 19, 2016) (“…IGS withdraws all testimony previously submitted in this proceeding by Matthew White and Joseph Haugen including the request for administrative notice of Matthew White’s Testimony in Case No. 14-1693-EL-RDR, et al. (Transcript Volume XXV at 5131), with the exception of pages 1-3; page 4, lines 1-3, 7-10; page 5, lines 18-22, page 6, lines 1-7; page 16, lines 20-22; page 17, lines 1-10; p. 19, lines 14-15 and Ex. MW-4 of the Supplemental Direct Testimony of Matthew White on August 18, 2015.”).</w:t>
      </w:r>
    </w:p>
  </w:footnote>
  <w:footnote w:id="99">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The words “RCE Rider” do not even appear in the testimony.</w:t>
      </w:r>
    </w:p>
  </w:footnote>
  <w:footnote w:id="100">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Fifth Entry on Rehearing at ¶ 301.</w:t>
      </w:r>
    </w:p>
  </w:footnote>
  <w:footnote w:id="101">
    <w:p w:rsidR="00044515" w:rsidRPr="00E2467F" w:rsidP="00E2467F">
      <w:pPr>
        <w:pStyle w:val="FootnoteText"/>
        <w:spacing w:after="120"/>
        <w:rPr>
          <w:rFonts w:ascii="Times New Roman" w:hAnsi="Times New Roman" w:cs="Times New Roman"/>
        </w:rPr>
      </w:pPr>
      <w:r w:rsidRPr="00E2467F">
        <w:rPr>
          <w:rStyle w:val="FootnoteReference"/>
          <w:rFonts w:ascii="Times New Roman" w:hAnsi="Times New Roman" w:cs="Times New Roman"/>
        </w:rPr>
        <w:footnoteRef/>
      </w:r>
      <w:r w:rsidRPr="00E2467F">
        <w:rPr>
          <w:rFonts w:ascii="Times New Roman" w:hAnsi="Times New Roman" w:cs="Times New Roman"/>
        </w:rPr>
        <w:t xml:space="preserve"> </w:t>
      </w:r>
      <w:r>
        <w:rPr>
          <w:rFonts w:ascii="Times New Roman" w:hAnsi="Times New Roman" w:cs="Times New Roman"/>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D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F81C01BA"/>
    <w:lvl w:ilvl="0">
      <w:start w:val="1"/>
      <w:numFmt w:val="decimal"/>
      <w:lvlText w:val="%1."/>
      <w:lvlJc w:val="left"/>
      <w:pPr>
        <w:tabs>
          <w:tab w:val="num" w:pos="1080"/>
        </w:tabs>
        <w:ind w:left="1080" w:hanging="360"/>
      </w:pPr>
    </w:lvl>
  </w:abstractNum>
  <w:abstractNum w:abstractNumId="1">
    <w:nsid w:val="FFFFFF7F"/>
    <w:multiLevelType w:val="singleLevel"/>
    <w:tmpl w:val="40F8C7AE"/>
    <w:lvl w:ilvl="0">
      <w:start w:val="1"/>
      <w:numFmt w:val="decimal"/>
      <w:lvlText w:val="%1."/>
      <w:lvlJc w:val="left"/>
      <w:pPr>
        <w:tabs>
          <w:tab w:val="num" w:pos="720"/>
        </w:tabs>
        <w:ind w:left="720" w:hanging="360"/>
      </w:pPr>
    </w:lvl>
  </w:abstractNum>
  <w:abstractNum w:abstractNumId="2">
    <w:nsid w:val="FFFFFF80"/>
    <w:multiLevelType w:val="singleLevel"/>
    <w:tmpl w:val="9DB23BA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1C820B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B47457C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90884DC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3A24BFF8"/>
    <w:lvl w:ilvl="0">
      <w:start w:val="1"/>
      <w:numFmt w:val="decimal"/>
      <w:lvlText w:val="%1."/>
      <w:lvlJc w:val="left"/>
      <w:pPr>
        <w:tabs>
          <w:tab w:val="num" w:pos="360"/>
        </w:tabs>
        <w:ind w:left="360" w:hanging="360"/>
      </w:pPr>
    </w:lvl>
  </w:abstractNum>
  <w:abstractNum w:abstractNumId="7">
    <w:nsid w:val="FFFFFF89"/>
    <w:multiLevelType w:val="singleLevel"/>
    <w:tmpl w:val="B118537E"/>
    <w:lvl w:ilvl="0">
      <w:start w:val="1"/>
      <w:numFmt w:val="bullet"/>
      <w:lvlText w:val=""/>
      <w:lvlJc w:val="left"/>
      <w:pPr>
        <w:tabs>
          <w:tab w:val="num" w:pos="360"/>
        </w:tabs>
        <w:ind w:left="360" w:hanging="360"/>
      </w:pPr>
      <w:rPr>
        <w:rFonts w:ascii="Symbol" w:hAnsi="Symbol" w:hint="default"/>
      </w:rPr>
    </w:lvl>
  </w:abstractNum>
  <w:abstractNum w:abstractNumId="8">
    <w:nsid w:val="059D0B40"/>
    <w:multiLevelType w:val="hybridMultilevel"/>
    <w:tmpl w:val="8316520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8FF520E"/>
    <w:multiLevelType w:val="hybridMultilevel"/>
    <w:tmpl w:val="417CA4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D6B6FB7"/>
    <w:multiLevelType w:val="hybridMultilevel"/>
    <w:tmpl w:val="5ECE673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05004C8"/>
    <w:multiLevelType w:val="hybridMultilevel"/>
    <w:tmpl w:val="2FAC4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0B4A09"/>
    <w:multiLevelType w:val="hybridMultilevel"/>
    <w:tmpl w:val="16CACA5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193E8F"/>
    <w:multiLevelType w:val="hybridMultilevel"/>
    <w:tmpl w:val="685CFA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7D3F2F"/>
    <w:multiLevelType w:val="hybridMultilevel"/>
    <w:tmpl w:val="84AC1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DC3ED9"/>
    <w:multiLevelType w:val="hybridMultilevel"/>
    <w:tmpl w:val="EE18975E"/>
    <w:lvl w:ilvl="0">
      <w:start w:val="1"/>
      <w:numFmt w:val="upperLetter"/>
      <w:lvlText w:val="%1."/>
      <w:lvlJc w:val="left"/>
      <w:pPr>
        <w:ind w:left="450" w:hanging="360"/>
      </w:pPr>
      <w:rPr>
        <w:rFonts w:ascii="Times New Roman" w:hAnsi="Times New Roman" w:cs="Times New Roman" w:hint="default"/>
        <w:b w:val="0"/>
        <w:sz w:val="24"/>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nsid w:val="1E6A024C"/>
    <w:multiLevelType w:val="hybridMultilevel"/>
    <w:tmpl w:val="0E90E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45345B"/>
    <w:multiLevelType w:val="hybridMultilevel"/>
    <w:tmpl w:val="2B7CAE14"/>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007597"/>
    <w:multiLevelType w:val="hybridMultilevel"/>
    <w:tmpl w:val="A34299EE"/>
    <w:lvl w:ilvl="0">
      <w:start w:val="2"/>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AF9594B"/>
    <w:multiLevelType w:val="hybridMultilevel"/>
    <w:tmpl w:val="C4AEBE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44A3D57"/>
    <w:multiLevelType w:val="hybridMultilevel"/>
    <w:tmpl w:val="74D819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E13398"/>
    <w:multiLevelType w:val="hybridMultilevel"/>
    <w:tmpl w:val="1750AA6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880E56"/>
    <w:multiLevelType w:val="hybridMultilevel"/>
    <w:tmpl w:val="859A03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3076DDE"/>
    <w:multiLevelType w:val="hybridMultilevel"/>
    <w:tmpl w:val="A0AC7812"/>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66E0297"/>
    <w:multiLevelType w:val="hybridMultilevel"/>
    <w:tmpl w:val="096A63D4"/>
    <w:lvl w:ilvl="0">
      <w:start w:val="5"/>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5">
    <w:nsid w:val="584810C2"/>
    <w:multiLevelType w:val="hybridMultilevel"/>
    <w:tmpl w:val="A92A41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8B01AF4"/>
    <w:multiLevelType w:val="hybridMultilevel"/>
    <w:tmpl w:val="877C2C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9F147D"/>
    <w:multiLevelType w:val="hybridMultilevel"/>
    <w:tmpl w:val="7F707B80"/>
    <w:lvl w:ilvl="0">
      <w:start w:val="2"/>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E355F41"/>
    <w:multiLevelType w:val="hybridMultilevel"/>
    <w:tmpl w:val="61927F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CC3C85"/>
    <w:multiLevelType w:val="hybridMultilevel"/>
    <w:tmpl w:val="131ED53E"/>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69E95612"/>
    <w:multiLevelType w:val="hybridMultilevel"/>
    <w:tmpl w:val="74D476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BB12167"/>
    <w:multiLevelType w:val="hybridMultilevel"/>
    <w:tmpl w:val="B9D0EB0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DE41D1B"/>
    <w:multiLevelType w:val="hybridMultilevel"/>
    <w:tmpl w:val="3E1057A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F3F19BA"/>
    <w:multiLevelType w:val="hybridMultilevel"/>
    <w:tmpl w:val="16EE2776"/>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4">
    <w:nsid w:val="77CC1A3E"/>
    <w:multiLevelType w:val="hybridMultilevel"/>
    <w:tmpl w:val="0F406C62"/>
    <w:lvl w:ilvl="0">
      <w:start w:val="7"/>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D422CFE"/>
    <w:multiLevelType w:val="hybridMultilevel"/>
    <w:tmpl w:val="9CF604D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30"/>
  </w:num>
  <w:num w:numId="11">
    <w:abstractNumId w:val="17"/>
  </w:num>
  <w:num w:numId="12">
    <w:abstractNumId w:val="16"/>
  </w:num>
  <w:num w:numId="13">
    <w:abstractNumId w:val="12"/>
  </w:num>
  <w:num w:numId="14">
    <w:abstractNumId w:val="32"/>
  </w:num>
  <w:num w:numId="15">
    <w:abstractNumId w:val="26"/>
  </w:num>
  <w:num w:numId="16">
    <w:abstractNumId w:val="10"/>
  </w:num>
  <w:num w:numId="17">
    <w:abstractNumId w:val="19"/>
  </w:num>
  <w:num w:numId="18">
    <w:abstractNumId w:val="22"/>
  </w:num>
  <w:num w:numId="19">
    <w:abstractNumId w:val="14"/>
  </w:num>
  <w:num w:numId="20">
    <w:abstractNumId w:val="29"/>
  </w:num>
  <w:num w:numId="21">
    <w:abstractNumId w:val="15"/>
  </w:num>
  <w:num w:numId="22">
    <w:abstractNumId w:val="18"/>
  </w:num>
  <w:num w:numId="23">
    <w:abstractNumId w:val="24"/>
  </w:num>
  <w:num w:numId="24">
    <w:abstractNumId w:val="8"/>
  </w:num>
  <w:num w:numId="25">
    <w:abstractNumId w:val="20"/>
  </w:num>
  <w:num w:numId="26">
    <w:abstractNumId w:val="33"/>
  </w:num>
  <w:num w:numId="27">
    <w:abstractNumId w:val="21"/>
  </w:num>
  <w:num w:numId="28">
    <w:abstractNumId w:val="27"/>
  </w:num>
  <w:num w:numId="29">
    <w:abstractNumId w:val="11"/>
  </w:num>
  <w:num w:numId="30">
    <w:abstractNumId w:val="34"/>
  </w:num>
  <w:num w:numId="31">
    <w:abstractNumId w:val="23"/>
  </w:num>
  <w:num w:numId="32">
    <w:abstractNumId w:val="25"/>
  </w:num>
  <w:num w:numId="33">
    <w:abstractNumId w:val="31"/>
  </w:num>
  <w:num w:numId="34">
    <w:abstractNumId w:val="35"/>
  </w:num>
  <w:num w:numId="35">
    <w:abstractNumId w:val="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D3"/>
  </w:style>
  <w:style w:type="paragraph" w:styleId="Heading1">
    <w:name w:val="heading 1"/>
    <w:basedOn w:val="Normal"/>
    <w:next w:val="Normal"/>
    <w:link w:val="Heading1Char"/>
    <w:autoRedefine/>
    <w:uiPriority w:val="9"/>
    <w:qFormat/>
    <w:rsid w:val="006E19F7"/>
    <w:pPr>
      <w:keepNext/>
      <w:keepLines/>
      <w:spacing w:after="240" w:line="240" w:lineRule="auto"/>
      <w:ind w:left="720" w:hanging="720"/>
      <w:outlineLvl w:val="0"/>
    </w:pPr>
    <w:rPr>
      <w:rFonts w:ascii="Times New Roman Bold" w:eastAsia="Times New Roman" w:hAnsi="Times New Roman Bold" w:cs="Times New Roman"/>
      <w:b/>
      <w:bCs/>
      <w:sz w:val="24"/>
      <w:szCs w:val="24"/>
    </w:rPr>
  </w:style>
  <w:style w:type="paragraph" w:styleId="Heading2">
    <w:name w:val="heading 2"/>
    <w:basedOn w:val="Normal"/>
    <w:next w:val="Normal"/>
    <w:link w:val="Heading2Char"/>
    <w:autoRedefine/>
    <w:uiPriority w:val="9"/>
    <w:unhideWhenUsed/>
    <w:qFormat/>
    <w:rsid w:val="00A5028A"/>
    <w:pPr>
      <w:keepNext/>
      <w:keepLines/>
      <w:spacing w:after="240" w:line="240" w:lineRule="auto"/>
      <w:ind w:left="1440" w:right="720" w:hanging="720"/>
      <w:outlineLvl w:val="1"/>
    </w:pPr>
    <w:rPr>
      <w:rFonts w:ascii="Times New Roman Bold" w:hAnsi="Times New Roman Bold" w:eastAsiaTheme="majorEastAsia" w:cstheme="majorBidi"/>
      <w:b/>
      <w:bCs/>
      <w:sz w:val="24"/>
      <w:szCs w:val="26"/>
    </w:rPr>
  </w:style>
  <w:style w:type="paragraph" w:styleId="Heading3">
    <w:name w:val="heading 3"/>
    <w:basedOn w:val="Normal"/>
    <w:next w:val="Normal"/>
    <w:link w:val="Heading3Char"/>
    <w:autoRedefine/>
    <w:uiPriority w:val="9"/>
    <w:unhideWhenUsed/>
    <w:qFormat/>
    <w:rsid w:val="00627CFD"/>
    <w:pPr>
      <w:keepNext/>
      <w:keepLines/>
      <w:spacing w:after="240" w:line="240" w:lineRule="auto"/>
      <w:ind w:left="2160" w:right="720" w:hanging="720"/>
      <w:outlineLvl w:val="2"/>
    </w:pPr>
    <w:rPr>
      <w:rFonts w:ascii="Times New Roman" w:hAnsi="Times New Roman" w:eastAsiaTheme="majorEastAsia" w:cs="Times New Roman"/>
      <w:b/>
      <w:bCs/>
      <w:sz w:val="24"/>
      <w:szCs w:val="24"/>
    </w:rPr>
  </w:style>
  <w:style w:type="paragraph" w:styleId="Heading4">
    <w:name w:val="heading 4"/>
    <w:basedOn w:val="Normal"/>
    <w:next w:val="Normal"/>
    <w:link w:val="Heading4Char"/>
    <w:autoRedefine/>
    <w:uiPriority w:val="9"/>
    <w:unhideWhenUsed/>
    <w:qFormat/>
    <w:rsid w:val="00F9085D"/>
    <w:pPr>
      <w:keepNext/>
      <w:keepLines/>
      <w:spacing w:after="240" w:line="240" w:lineRule="auto"/>
      <w:ind w:left="2880" w:right="720" w:hanging="720"/>
      <w:outlineLvl w:val="3"/>
    </w:pPr>
    <w:rPr>
      <w:rFonts w:ascii="Times New Roman Bold" w:hAnsi="Times New Roman Bold"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1"/>
    <w:basedOn w:val="Normal"/>
    <w:link w:val="FooterChar"/>
    <w:uiPriority w:val="99"/>
    <w:rsid w:val="008241D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Char1 Char"/>
    <w:basedOn w:val="DefaultParagraphFont"/>
    <w:link w:val="Footer"/>
    <w:uiPriority w:val="99"/>
    <w:rsid w:val="008241D3"/>
    <w:rPr>
      <w:rFonts w:ascii="Times New Roman" w:eastAsia="Times New Roman" w:hAnsi="Times New Roman" w:cs="Times New Roman"/>
      <w:sz w:val="24"/>
      <w:szCs w:val="24"/>
    </w:rPr>
  </w:style>
  <w:style w:type="paragraph" w:styleId="ListParagraph">
    <w:name w:val="List Paragraph"/>
    <w:basedOn w:val="Normal"/>
    <w:uiPriority w:val="34"/>
    <w:qFormat/>
    <w:rsid w:val="008241D3"/>
    <w:pPr>
      <w:ind w:left="720"/>
      <w:contextualSpacing/>
    </w:pPr>
  </w:style>
  <w:style w:type="character" w:styleId="Hyperlink">
    <w:name w:val="Hyperlink"/>
    <w:uiPriority w:val="99"/>
    <w:rsid w:val="008241D3"/>
    <w:rPr>
      <w:color w:val="0000FF"/>
      <w:u w:val="single"/>
    </w:rPr>
  </w:style>
  <w:style w:type="character" w:customStyle="1" w:styleId="Heading1Char">
    <w:name w:val="Heading 1 Char"/>
    <w:basedOn w:val="DefaultParagraphFont"/>
    <w:link w:val="Heading1"/>
    <w:uiPriority w:val="9"/>
    <w:rsid w:val="006E19F7"/>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uiPriority w:val="9"/>
    <w:rsid w:val="00A5028A"/>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rsid w:val="00627CFD"/>
    <w:rPr>
      <w:rFonts w:ascii="Times New Roman" w:hAnsi="Times New Roman" w:eastAsiaTheme="majorEastAsia" w:cs="Times New Roman"/>
      <w:b/>
      <w:bCs/>
      <w:sz w:val="24"/>
      <w:szCs w:val="24"/>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A950AD"/>
    <w:pPr>
      <w:spacing w:after="0" w:line="240" w:lineRule="auto"/>
    </w:pPr>
    <w:rPr>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A950AD"/>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A950AD"/>
    <w:rPr>
      <w:vertAlign w:val="superscript"/>
    </w:rPr>
  </w:style>
  <w:style w:type="character" w:styleId="CommentReference">
    <w:name w:val="annotation reference"/>
    <w:basedOn w:val="DefaultParagraphFont"/>
    <w:uiPriority w:val="99"/>
    <w:semiHidden/>
    <w:unhideWhenUsed/>
    <w:rsid w:val="00E46008"/>
    <w:rPr>
      <w:sz w:val="16"/>
      <w:szCs w:val="16"/>
    </w:rPr>
  </w:style>
  <w:style w:type="paragraph" w:styleId="CommentText">
    <w:name w:val="annotation text"/>
    <w:basedOn w:val="Normal"/>
    <w:link w:val="CommentTextChar"/>
    <w:uiPriority w:val="99"/>
    <w:semiHidden/>
    <w:unhideWhenUsed/>
    <w:rsid w:val="00E46008"/>
    <w:pPr>
      <w:spacing w:line="240" w:lineRule="auto"/>
    </w:pPr>
    <w:rPr>
      <w:sz w:val="20"/>
      <w:szCs w:val="20"/>
    </w:rPr>
  </w:style>
  <w:style w:type="character" w:customStyle="1" w:styleId="CommentTextChar">
    <w:name w:val="Comment Text Char"/>
    <w:basedOn w:val="DefaultParagraphFont"/>
    <w:link w:val="CommentText"/>
    <w:uiPriority w:val="99"/>
    <w:semiHidden/>
    <w:rsid w:val="00E46008"/>
    <w:rPr>
      <w:sz w:val="20"/>
      <w:szCs w:val="20"/>
    </w:rPr>
  </w:style>
  <w:style w:type="paragraph" w:styleId="CommentSubject">
    <w:name w:val="annotation subject"/>
    <w:basedOn w:val="CommentText"/>
    <w:next w:val="CommentText"/>
    <w:link w:val="CommentSubjectChar"/>
    <w:uiPriority w:val="99"/>
    <w:semiHidden/>
    <w:unhideWhenUsed/>
    <w:rsid w:val="00E46008"/>
    <w:rPr>
      <w:b/>
      <w:bCs/>
    </w:rPr>
  </w:style>
  <w:style w:type="character" w:customStyle="1" w:styleId="CommentSubjectChar">
    <w:name w:val="Comment Subject Char"/>
    <w:basedOn w:val="CommentTextChar"/>
    <w:link w:val="CommentSubject"/>
    <w:uiPriority w:val="99"/>
    <w:semiHidden/>
    <w:rsid w:val="00E46008"/>
    <w:rPr>
      <w:b/>
      <w:bCs/>
      <w:sz w:val="20"/>
      <w:szCs w:val="20"/>
    </w:rPr>
  </w:style>
  <w:style w:type="paragraph" w:styleId="BalloonText">
    <w:name w:val="Balloon Text"/>
    <w:basedOn w:val="Normal"/>
    <w:link w:val="BalloonTextChar"/>
    <w:uiPriority w:val="99"/>
    <w:semiHidden/>
    <w:unhideWhenUsed/>
    <w:rsid w:val="00E4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08"/>
    <w:rPr>
      <w:rFonts w:ascii="Tahoma" w:hAnsi="Tahoma" w:cs="Tahoma"/>
      <w:sz w:val="16"/>
      <w:szCs w:val="16"/>
    </w:rPr>
  </w:style>
  <w:style w:type="character" w:customStyle="1" w:styleId="Heading4Char">
    <w:name w:val="Heading 4 Char"/>
    <w:basedOn w:val="DefaultParagraphFont"/>
    <w:link w:val="Heading4"/>
    <w:uiPriority w:val="9"/>
    <w:rsid w:val="00F9085D"/>
    <w:rPr>
      <w:rFonts w:ascii="Times New Roman Bold" w:hAnsi="Times New Roman Bold" w:eastAsiaTheme="majorEastAsia" w:cstheme="majorBidi"/>
      <w:b/>
      <w:bCs/>
      <w:iCs/>
      <w:sz w:val="24"/>
    </w:rPr>
  </w:style>
  <w:style w:type="paragraph" w:styleId="Header">
    <w:name w:val="header"/>
    <w:basedOn w:val="Normal"/>
    <w:link w:val="HeaderChar"/>
    <w:uiPriority w:val="99"/>
    <w:unhideWhenUsed/>
    <w:rsid w:val="00F515BC"/>
    <w:pPr>
      <w:tabs>
        <w:tab w:val="center" w:pos="4680"/>
        <w:tab w:val="right" w:pos="9360"/>
      </w:tabs>
      <w:spacing w:after="0" w:line="240" w:lineRule="auto"/>
    </w:pPr>
  </w:style>
  <w:style w:type="paragraph" w:styleId="TOC1">
    <w:name w:val="toc 1"/>
    <w:basedOn w:val="Normal"/>
    <w:next w:val="Normal"/>
    <w:autoRedefine/>
    <w:uiPriority w:val="39"/>
    <w:unhideWhenUsed/>
    <w:qFormat/>
    <w:rsid w:val="00F515BC"/>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F515BC"/>
    <w:pPr>
      <w:tabs>
        <w:tab w:val="decimal" w:leader="dot" w:pos="864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F515BC"/>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F515BC"/>
    <w:pPr>
      <w:tabs>
        <w:tab w:val="decimal" w:leader="dot" w:pos="8640"/>
      </w:tabs>
      <w:spacing w:after="240" w:line="240" w:lineRule="auto"/>
      <w:ind w:left="2880" w:hanging="720"/>
    </w:pPr>
    <w:rPr>
      <w:rFonts w:ascii="Times New Roman" w:hAnsi="Times New Roman"/>
      <w:sz w:val="24"/>
    </w:rPr>
  </w:style>
  <w:style w:type="character" w:customStyle="1" w:styleId="HeaderChar">
    <w:name w:val="Header Char"/>
    <w:basedOn w:val="DefaultParagraphFont"/>
    <w:link w:val="Header"/>
    <w:uiPriority w:val="99"/>
    <w:rsid w:val="00F515BC"/>
  </w:style>
  <w:style w:type="character" w:customStyle="1" w:styleId="term">
    <w:name w:val="term"/>
    <w:basedOn w:val="DefaultParagraphFont"/>
    <w:rsid w:val="005C5D3D"/>
  </w:style>
  <w:style w:type="paragraph" w:styleId="BodyTextIndent3">
    <w:name w:val="Body Text Indent 3"/>
    <w:basedOn w:val="Normal"/>
    <w:link w:val="BodyTextIndent3Char"/>
    <w:rsid w:val="00655801"/>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655801"/>
    <w:rPr>
      <w:rFonts w:ascii="Times New Roman" w:eastAsia="Times New Roman" w:hAnsi="Times New Roman" w:cs="Times New Roman"/>
      <w:sz w:val="24"/>
      <w:szCs w:val="20"/>
    </w:rPr>
  </w:style>
  <w:style w:type="paragraph" w:styleId="HTMLPreformatted">
    <w:name w:val="HTML Preformatted"/>
    <w:basedOn w:val="Normal"/>
    <w:link w:val="HTMLPreformattedChar"/>
    <w:rsid w:val="0094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2D78"/>
    <w:rPr>
      <w:rFonts w:ascii="Courier New" w:eastAsia="Courier New" w:hAnsi="Courier New" w:cs="Courier New"/>
      <w:sz w:val="20"/>
      <w:szCs w:val="20"/>
    </w:rPr>
  </w:style>
  <w:style w:type="paragraph" w:styleId="BodyText">
    <w:name w:val="Body Text"/>
    <w:basedOn w:val="Normal"/>
    <w:link w:val="BodyTextChar"/>
    <w:uiPriority w:val="99"/>
    <w:unhideWhenUsed/>
    <w:rsid w:val="00336FFC"/>
    <w:pPr>
      <w:spacing w:after="120"/>
    </w:pPr>
  </w:style>
  <w:style w:type="character" w:customStyle="1" w:styleId="BodyTextChar">
    <w:name w:val="Body Text Char"/>
    <w:basedOn w:val="DefaultParagraphFont"/>
    <w:link w:val="BodyText"/>
    <w:uiPriority w:val="99"/>
    <w:rsid w:val="00336FFC"/>
  </w:style>
  <w:style w:type="table" w:styleId="TableGrid">
    <w:name w:val="Table Grid"/>
    <w:basedOn w:val="TableNormal"/>
    <w:uiPriority w:val="59"/>
    <w:rsid w:val="00F3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4F3"/>
    <w:pPr>
      <w:spacing w:after="0" w:line="240" w:lineRule="auto"/>
    </w:pPr>
  </w:style>
  <w:style w:type="character" w:customStyle="1" w:styleId="apple-converted-space">
    <w:name w:val="apple-converted-space"/>
    <w:basedOn w:val="DefaultParagraphFont"/>
    <w:rsid w:val="00494E6D"/>
  </w:style>
  <w:style w:type="character" w:customStyle="1" w:styleId="ssit">
    <w:name w:val="ss_it"/>
    <w:basedOn w:val="DefaultParagraphFont"/>
    <w:rsid w:val="0049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footer" Target="footer5.xml" /><Relationship Id="rId18" Type="http://schemas.openxmlformats.org/officeDocument/2006/relationships/header" Target="header9.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8265</Words>
  <Characters>47115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2016-11-25T18:41:06Z</dcterms:created>
  <dcterms:modified xsi:type="dcterms:W3CDTF">2016-11-25T18:41:06Z</dcterms:modified>
</cp:coreProperties>
</file>