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344DF1">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344DF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344DF1">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344DF1">
            <w:pPr>
              <w:autoSpaceDE w:val="0"/>
              <w:autoSpaceDN w:val="0"/>
              <w:adjustRightInd w:val="0"/>
            </w:pPr>
            <w:r w:rsidRPr="00710E80">
              <w:t xml:space="preserve">In the Matter of </w:t>
            </w:r>
            <w:r w:rsidR="0017403B">
              <w:t xml:space="preserve">the Application </w:t>
            </w:r>
            <w:r w:rsidR="00F941D1">
              <w:t xml:space="preserve">of </w:t>
            </w:r>
            <w:r w:rsidR="008940F7">
              <w:t>Duke Energy Ohio, Inc. for a Waiver</w:t>
            </w:r>
            <w:r w:rsidR="00486295">
              <w:t>.</w:t>
            </w:r>
          </w:p>
        </w:tc>
        <w:tc>
          <w:tcPr>
            <w:tcW w:w="360" w:type="dxa"/>
            <w:shd w:val="clear" w:color="auto" w:fill="auto"/>
          </w:tcPr>
          <w:p w:rsidR="0017403B" w:rsidRDefault="0017403B" w:rsidP="00344DF1">
            <w:pPr>
              <w:pStyle w:val="HTMLPreformatted"/>
              <w:rPr>
                <w:rFonts w:ascii="Times New Roman" w:hAnsi="Times New Roman" w:cs="Times New Roman"/>
                <w:sz w:val="24"/>
              </w:rPr>
            </w:pPr>
            <w:r>
              <w:rPr>
                <w:rFonts w:ascii="Times New Roman" w:hAnsi="Times New Roman" w:cs="Times New Roman"/>
                <w:sz w:val="24"/>
              </w:rPr>
              <w:t>)</w:t>
            </w:r>
          </w:p>
          <w:p w:rsidR="0017403B" w:rsidRDefault="0017403B" w:rsidP="00344DF1">
            <w:pPr>
              <w:pStyle w:val="HTMLPreformatted"/>
              <w:rPr>
                <w:rFonts w:ascii="Times New Roman" w:hAnsi="Times New Roman" w:cs="Times New Roman"/>
                <w:sz w:val="24"/>
              </w:rPr>
            </w:pPr>
            <w:r>
              <w:rPr>
                <w:rFonts w:ascii="Times New Roman" w:hAnsi="Times New Roman" w:cs="Times New Roman"/>
                <w:sz w:val="24"/>
              </w:rPr>
              <w:t>)</w:t>
            </w:r>
          </w:p>
          <w:p w:rsidR="0017403B" w:rsidRPr="00710E80" w:rsidRDefault="0017403B" w:rsidP="00344DF1">
            <w:pPr>
              <w:pStyle w:val="HTMLPreformatted"/>
              <w:rPr>
                <w:rFonts w:ascii="Times New Roman" w:hAnsi="Times New Roman" w:cs="Times New Roman"/>
                <w:sz w:val="24"/>
              </w:rPr>
            </w:pPr>
          </w:p>
        </w:tc>
        <w:tc>
          <w:tcPr>
            <w:tcW w:w="4400" w:type="dxa"/>
            <w:shd w:val="clear" w:color="auto" w:fill="auto"/>
          </w:tcPr>
          <w:p w:rsidR="007C2976" w:rsidRPr="00710E80" w:rsidRDefault="007C2976" w:rsidP="00344DF1">
            <w:pPr>
              <w:rPr>
                <w:i/>
              </w:rPr>
            </w:pPr>
            <w:r w:rsidRPr="00710E80">
              <w:t xml:space="preserve">Case No. </w:t>
            </w:r>
            <w:r w:rsidR="0017403B">
              <w:t>16-</w:t>
            </w:r>
            <w:r w:rsidR="008940F7">
              <w:t>1017-EL-WVR</w:t>
            </w:r>
          </w:p>
          <w:p w:rsidR="007C2976" w:rsidRPr="00710E80" w:rsidRDefault="007C2976" w:rsidP="00344DF1">
            <w:pPr>
              <w:pStyle w:val="HTMLPreformatted"/>
              <w:rPr>
                <w:rFonts w:ascii="Times New Roman" w:hAnsi="Times New Roman" w:cs="Times New Roman"/>
                <w:sz w:val="24"/>
              </w:rPr>
            </w:pPr>
          </w:p>
        </w:tc>
      </w:tr>
    </w:tbl>
    <w:p w:rsidR="007C2976" w:rsidRPr="00710E80" w:rsidRDefault="007C2976" w:rsidP="00344DF1">
      <w:pPr>
        <w:pStyle w:val="HTMLPreformatted"/>
        <w:rPr>
          <w:rFonts w:ascii="Times New Roman" w:hAnsi="Times New Roman" w:cs="Times New Roman"/>
          <w:sz w:val="24"/>
        </w:rPr>
      </w:pPr>
    </w:p>
    <w:p w:rsidR="007C2976" w:rsidRPr="00710E80" w:rsidRDefault="007C2976" w:rsidP="00344DF1">
      <w:pPr>
        <w:pStyle w:val="HTMLPreformatted"/>
        <w:pBdr>
          <w:top w:val="single" w:sz="12" w:space="1" w:color="auto"/>
        </w:pBdr>
        <w:rPr>
          <w:rFonts w:ascii="Times New Roman" w:hAnsi="Times New Roman" w:cs="Times New Roman"/>
          <w:sz w:val="24"/>
        </w:rPr>
      </w:pPr>
    </w:p>
    <w:p w:rsidR="007C2976" w:rsidRPr="00710E80" w:rsidRDefault="00DA3C78" w:rsidP="00344DF1">
      <w:pPr>
        <w:jc w:val="center"/>
        <w:rPr>
          <w:b/>
          <w:bCs/>
        </w:rPr>
      </w:pPr>
      <w:r>
        <w:rPr>
          <w:b/>
          <w:bCs/>
        </w:rPr>
        <w:t>COMMENTS</w:t>
      </w:r>
      <w:r w:rsidR="00701EAF">
        <w:rPr>
          <w:b/>
          <w:bCs/>
        </w:rPr>
        <w:t xml:space="preserve"> </w:t>
      </w:r>
      <w:r w:rsidR="00A76FB7">
        <w:rPr>
          <w:b/>
          <w:bCs/>
        </w:rPr>
        <w:t xml:space="preserve">ON </w:t>
      </w:r>
      <w:r w:rsidR="00B12892">
        <w:rPr>
          <w:b/>
          <w:bCs/>
        </w:rPr>
        <w:t>DUKE ENERGY OHIO, INC.</w:t>
      </w:r>
      <w:r w:rsidR="00A76FB7">
        <w:rPr>
          <w:b/>
          <w:bCs/>
        </w:rPr>
        <w:t>’S</w:t>
      </w:r>
      <w:r w:rsidR="00B12892">
        <w:rPr>
          <w:b/>
          <w:bCs/>
        </w:rPr>
        <w:t xml:space="preserve"> </w:t>
      </w:r>
      <w:r w:rsidR="00A76FB7">
        <w:rPr>
          <w:b/>
          <w:bCs/>
        </w:rPr>
        <w:t>APPLICATION TO DELAY ITS ENERGY EFFICIENCY PORTFOLIO FILING</w:t>
      </w:r>
    </w:p>
    <w:p w:rsidR="007C2976" w:rsidRPr="00710E80" w:rsidRDefault="007C2976" w:rsidP="00344DF1">
      <w:pPr>
        <w:jc w:val="center"/>
        <w:rPr>
          <w:b/>
          <w:bCs/>
        </w:rPr>
      </w:pPr>
      <w:r w:rsidRPr="00710E80">
        <w:rPr>
          <w:b/>
          <w:bCs/>
        </w:rPr>
        <w:t>BY</w:t>
      </w:r>
    </w:p>
    <w:p w:rsidR="007C2976" w:rsidRPr="00710E80" w:rsidRDefault="007C2976" w:rsidP="00344DF1">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8A6DE3">
        <w:rPr>
          <w:b/>
          <w:bCs/>
        </w:rPr>
        <w:t>'</w:t>
      </w:r>
      <w:r w:rsidRPr="00710E80">
        <w:rPr>
          <w:b/>
          <w:bCs/>
        </w:rPr>
        <w:t xml:space="preserve"> COUNSEL</w:t>
      </w:r>
    </w:p>
    <w:p w:rsidR="007C2976" w:rsidRPr="00710E80" w:rsidRDefault="007C2976" w:rsidP="00344DF1">
      <w:pPr>
        <w:pBdr>
          <w:bottom w:val="single" w:sz="12" w:space="1" w:color="auto"/>
        </w:pBdr>
        <w:tabs>
          <w:tab w:val="left" w:pos="4320"/>
        </w:tabs>
      </w:pPr>
    </w:p>
    <w:p w:rsidR="005E196E" w:rsidRPr="00701EAF" w:rsidRDefault="005E196E" w:rsidP="00344DF1">
      <w:pPr>
        <w:pStyle w:val="ListParagraph"/>
        <w:numPr>
          <w:ilvl w:val="0"/>
          <w:numId w:val="2"/>
        </w:numPr>
        <w:spacing w:before="240" w:line="480" w:lineRule="auto"/>
        <w:ind w:left="720"/>
        <w:rPr>
          <w:b/>
        </w:rPr>
      </w:pPr>
      <w:r w:rsidRPr="00701EAF">
        <w:rPr>
          <w:b/>
        </w:rPr>
        <w:t>INTRODUCTION</w:t>
      </w:r>
    </w:p>
    <w:p w:rsidR="003B11B8" w:rsidRDefault="00E82C2A" w:rsidP="00344DF1">
      <w:pPr>
        <w:spacing w:line="480" w:lineRule="auto"/>
        <w:ind w:firstLine="720"/>
      </w:pPr>
      <w:r>
        <w:t xml:space="preserve">An electric </w:t>
      </w:r>
      <w:r w:rsidR="00701EAF">
        <w:t xml:space="preserve">distribution </w:t>
      </w:r>
      <w:r>
        <w:t xml:space="preserve">utility’s energy efficiency and peak demand reduction portfolio filing </w:t>
      </w:r>
      <w:r w:rsidR="00701EAF">
        <w:t xml:space="preserve">must be designed to reduce usage and peak demand so that consumers will benefit from lower bills and increased reliability.  Among other things, the utility must file a "market potential study" as part of its portfolio application.  The market potential study provides the PUCO and consumers with a third-party analysis of the portfolio's potential for energy efficiency savings and peak demand reduction.  </w:t>
      </w:r>
      <w:r w:rsidR="003B11B8">
        <w:t>The market potential study adds transparency to the process of developing a portfolio plan and assists parties in adequately reviewing the portfolio.</w:t>
      </w:r>
    </w:p>
    <w:p w:rsidR="00344DF1" w:rsidRDefault="00B12892" w:rsidP="00344DF1">
      <w:pPr>
        <w:spacing w:line="480" w:lineRule="auto"/>
        <w:ind w:firstLine="720"/>
        <w:sectPr w:rsidR="00344DF1" w:rsidSect="00D504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r>
        <w:t xml:space="preserve">The Office of the Ohio Consumers' Counsel ("OCC") respectfully </w:t>
      </w:r>
      <w:r w:rsidR="009436DB">
        <w:t xml:space="preserve">asks </w:t>
      </w:r>
      <w:r>
        <w:t xml:space="preserve">the Public Utilities Commission of Ohio ("PUCO") </w:t>
      </w:r>
      <w:r w:rsidR="009436DB">
        <w:t xml:space="preserve">to </w:t>
      </w:r>
      <w:r>
        <w:t xml:space="preserve">deny </w:t>
      </w:r>
      <w:r w:rsidR="00DA3C78">
        <w:t>Duke Energy O</w:t>
      </w:r>
      <w:r w:rsidR="0095352D">
        <w:t>hio, Inc.'s</w:t>
      </w:r>
      <w:r w:rsidR="003A3728">
        <w:t xml:space="preserve"> ("Duke")</w:t>
      </w:r>
      <w:r w:rsidR="0095352D">
        <w:t xml:space="preserve"> </w:t>
      </w:r>
      <w:r w:rsidR="003A3728">
        <w:t>application for a waiver</w:t>
      </w:r>
      <w:r w:rsidR="003A3728">
        <w:rPr>
          <w:rStyle w:val="FootnoteReference"/>
        </w:rPr>
        <w:footnoteReference w:id="1"/>
      </w:r>
      <w:r w:rsidR="00701EAF">
        <w:t xml:space="preserve"> because, </w:t>
      </w:r>
      <w:r w:rsidR="00E82C2A">
        <w:t xml:space="preserve">if granted, </w:t>
      </w:r>
      <w:r w:rsidR="00701EAF">
        <w:t xml:space="preserve">Duke will be permitted to file a portfolio application </w:t>
      </w:r>
      <w:r w:rsidR="00C12408">
        <w:t>that denies parties important information that is necessary for a complete evaluation of the portfolio plan.</w:t>
      </w:r>
    </w:p>
    <w:p w:rsidR="005E196E" w:rsidRDefault="00DA3C78" w:rsidP="00344DF1">
      <w:pPr>
        <w:spacing w:line="480" w:lineRule="auto"/>
        <w:ind w:firstLine="720"/>
      </w:pPr>
      <w:r>
        <w:lastRenderedPageBreak/>
        <w:t xml:space="preserve">The reasons to deny Duke's </w:t>
      </w:r>
      <w:r w:rsidR="009436DB">
        <w:t xml:space="preserve">Application </w:t>
      </w:r>
      <w:r>
        <w:t>are:</w:t>
      </w:r>
      <w:r w:rsidR="003A3728">
        <w:t xml:space="preserve"> (i) Duke has already requested the same waiver in another case</w:t>
      </w:r>
      <w:r w:rsidR="003A3927">
        <w:t>,</w:t>
      </w:r>
      <w:r w:rsidR="003A3728">
        <w:t xml:space="preserve"> and the PUCO denied that request, and (ii) </w:t>
      </w:r>
      <w:r w:rsidR="009436DB">
        <w:t xml:space="preserve">there is no good cause to grant the waiver because </w:t>
      </w:r>
      <w:r w:rsidR="003A3728">
        <w:t xml:space="preserve">filing the market potential study ("MPS") four months after the portfolio plan defeats the fundamental purpose of the MPS.  </w:t>
      </w:r>
      <w:r w:rsidR="009436DB">
        <w:t>Consistent with the PUCO's order in Case No. 16-576-EL-WVR</w:t>
      </w:r>
      <w:r w:rsidR="003A3927">
        <w:rPr>
          <w:rStyle w:val="FootnoteReference"/>
        </w:rPr>
        <w:footnoteReference w:id="2"/>
      </w:r>
      <w:r w:rsidR="009436DB">
        <w:t xml:space="preserve">, </w:t>
      </w:r>
      <w:r w:rsidR="003A3728">
        <w:t>Duke</w:t>
      </w:r>
      <w:r w:rsidR="009436DB">
        <w:t xml:space="preserve"> must</w:t>
      </w:r>
      <w:r w:rsidR="003A3728">
        <w:t xml:space="preserve"> file </w:t>
      </w:r>
      <w:r w:rsidR="00A538A1">
        <w:t xml:space="preserve">the MPS </w:t>
      </w:r>
      <w:r w:rsidR="003A3728">
        <w:t>at the same time as its portfolio plan, on or before June 15, 2016.</w:t>
      </w:r>
    </w:p>
    <w:p w:rsidR="00344DF1" w:rsidRDefault="00344DF1" w:rsidP="00344DF1">
      <w:pPr>
        <w:ind w:firstLine="720"/>
      </w:pPr>
    </w:p>
    <w:p w:rsidR="005E196E" w:rsidRPr="00701EAF" w:rsidRDefault="005E196E" w:rsidP="00344DF1">
      <w:pPr>
        <w:pStyle w:val="ListParagraph"/>
        <w:numPr>
          <w:ilvl w:val="0"/>
          <w:numId w:val="2"/>
        </w:numPr>
        <w:spacing w:line="480" w:lineRule="auto"/>
        <w:ind w:left="720"/>
        <w:rPr>
          <w:b/>
        </w:rPr>
      </w:pPr>
      <w:r w:rsidRPr="00701EAF">
        <w:rPr>
          <w:b/>
        </w:rPr>
        <w:t>RECOMMENDATIONS</w:t>
      </w:r>
    </w:p>
    <w:p w:rsidR="003A3728" w:rsidRPr="003A3728" w:rsidRDefault="003A3728" w:rsidP="00344DF1">
      <w:pPr>
        <w:keepNext/>
        <w:spacing w:after="240"/>
        <w:ind w:left="1440" w:hanging="720"/>
        <w:rPr>
          <w:b/>
        </w:rPr>
      </w:pPr>
      <w:r>
        <w:rPr>
          <w:b/>
        </w:rPr>
        <w:t>A.</w:t>
      </w:r>
      <w:r>
        <w:rPr>
          <w:b/>
        </w:rPr>
        <w:tab/>
      </w:r>
      <w:r w:rsidR="00DA3C78">
        <w:rPr>
          <w:b/>
        </w:rPr>
        <w:t xml:space="preserve">The PUCO has already </w:t>
      </w:r>
      <w:r>
        <w:rPr>
          <w:b/>
        </w:rPr>
        <w:t>denied Duke's</w:t>
      </w:r>
      <w:r w:rsidR="004D129E">
        <w:rPr>
          <w:b/>
        </w:rPr>
        <w:t xml:space="preserve"> </w:t>
      </w:r>
      <w:r>
        <w:rPr>
          <w:b/>
        </w:rPr>
        <w:t>request.</w:t>
      </w:r>
    </w:p>
    <w:p w:rsidR="00AE0D22" w:rsidRDefault="00AE0D22" w:rsidP="00344DF1">
      <w:pPr>
        <w:spacing w:before="240" w:line="480" w:lineRule="auto"/>
        <w:ind w:firstLine="720"/>
      </w:pPr>
      <w:r>
        <w:t>In Case No. 16-576-EL-WVR</w:t>
      </w:r>
      <w:r w:rsidR="003A3728">
        <w:t xml:space="preserve">, Duke </w:t>
      </w:r>
      <w:r>
        <w:t>asked for a waiver of Ohio Administrative Code</w:t>
      </w:r>
      <w:r w:rsidR="0049491F">
        <w:t xml:space="preserve"> ("OAC")</w:t>
      </w:r>
      <w:r>
        <w:t xml:space="preserve"> 4901:1-39-04(A), which required </w:t>
      </w:r>
      <w:r w:rsidR="00B0189B">
        <w:t>it</w:t>
      </w:r>
      <w:r>
        <w:t xml:space="preserve"> to file an energy efficiency and peak demand reduction</w:t>
      </w:r>
      <w:r w:rsidR="00A72E26">
        <w:t xml:space="preserve"> ("EEPDR")</w:t>
      </w:r>
      <w:r>
        <w:t xml:space="preserve"> portfolio plan by April 15, 2016.</w:t>
      </w:r>
      <w:r>
        <w:rPr>
          <w:rStyle w:val="FootnoteReference"/>
        </w:rPr>
        <w:footnoteReference w:id="3"/>
      </w:r>
      <w:r>
        <w:t xml:space="preserve">  Duke proposed that its portfolio plan be filed on October 15, 2016 instead.</w:t>
      </w:r>
      <w:r>
        <w:rPr>
          <w:rStyle w:val="FootnoteReference"/>
        </w:rPr>
        <w:footnoteReference w:id="4"/>
      </w:r>
      <w:r>
        <w:t xml:space="preserve">  The PUCO found that Duke's request for an extension to October 15 was excessive and directed Duke to file its portfolio plan by June 15, 2016.</w:t>
      </w:r>
      <w:r>
        <w:rPr>
          <w:rStyle w:val="FootnoteReference"/>
        </w:rPr>
        <w:footnoteReference w:id="5"/>
      </w:r>
    </w:p>
    <w:p w:rsidR="003A3728" w:rsidRDefault="00AE0D22" w:rsidP="00344DF1">
      <w:pPr>
        <w:spacing w:line="480" w:lineRule="auto"/>
        <w:ind w:firstLine="720"/>
      </w:pPr>
      <w:r>
        <w:t xml:space="preserve">In this new case, Duke again asks for a waiver of </w:t>
      </w:r>
      <w:r w:rsidR="0049491F">
        <w:t>OAC</w:t>
      </w:r>
      <w:r w:rsidR="00E96689">
        <w:t xml:space="preserve"> </w:t>
      </w:r>
      <w:r>
        <w:t xml:space="preserve">4901:1-39-04(A).  This time, however, Duke proposes that </w:t>
      </w:r>
      <w:r w:rsidRPr="00AE0D22">
        <w:rPr>
          <w:u w:val="single"/>
        </w:rPr>
        <w:t>some</w:t>
      </w:r>
      <w:r>
        <w:t xml:space="preserve"> of its </w:t>
      </w:r>
      <w:r w:rsidR="0049491F">
        <w:t>EEPDR application</w:t>
      </w:r>
      <w:r>
        <w:t xml:space="preserve"> be filed on June 15, as required by the PUCO's order, but that the rest of the </w:t>
      </w:r>
      <w:r w:rsidR="0049491F">
        <w:t>application</w:t>
      </w:r>
      <w:r>
        <w:t xml:space="preserve"> (namely, the MPS) be filed on October 15, 2016.</w:t>
      </w:r>
    </w:p>
    <w:p w:rsidR="00AE0D22" w:rsidRDefault="0049491F" w:rsidP="00344DF1">
      <w:pPr>
        <w:spacing w:line="480" w:lineRule="auto"/>
        <w:ind w:firstLine="720"/>
      </w:pPr>
      <w:r>
        <w:t>T</w:t>
      </w:r>
      <w:r w:rsidR="00AE0D22">
        <w:t xml:space="preserve">he MPS is a mandatory part of an </w:t>
      </w:r>
      <w:r w:rsidR="00A72E26">
        <w:t>EEPDR</w:t>
      </w:r>
      <w:r w:rsidR="00AE0D22">
        <w:t xml:space="preserve"> portfolio </w:t>
      </w:r>
      <w:r>
        <w:t>application</w:t>
      </w:r>
      <w:r w:rsidR="00AE0D22">
        <w:t xml:space="preserve">.  </w:t>
      </w:r>
      <w:r w:rsidR="00AE0D22">
        <w:rPr>
          <w:i/>
        </w:rPr>
        <w:t>See</w:t>
      </w:r>
      <w:r w:rsidR="00AE0D22">
        <w:t xml:space="preserve"> OA</w:t>
      </w:r>
      <w:r w:rsidR="001E490C">
        <w:t xml:space="preserve">C 4901:1-39-03(A) ("an assessment of potential energy savings and peak-demand reduction </w:t>
      </w:r>
      <w:r w:rsidR="001E490C">
        <w:lastRenderedPageBreak/>
        <w:t>from adoption of energy efficiency and demand-response measures . . . will be included in the electric utility's program portfolio filing").  Thus, Duke's request for an extension to October 15 for the filing of the MPS was included in the First Waiver Application, and the PUCO denied the request.  For the reasons set forth in the comments filed by the Kroger Company</w:t>
      </w:r>
      <w:r w:rsidR="004227EB">
        <w:t xml:space="preserve"> and the Ohio Manufacturers' Association</w:t>
      </w:r>
      <w:r w:rsidR="001E490C">
        <w:t>, the Application must be denied.</w:t>
      </w:r>
      <w:r w:rsidR="004227EB">
        <w:rPr>
          <w:rStyle w:val="FootnoteReference"/>
        </w:rPr>
        <w:footnoteReference w:id="6"/>
      </w:r>
    </w:p>
    <w:p w:rsidR="003A3927" w:rsidRDefault="00A72E26" w:rsidP="00344DF1">
      <w:pPr>
        <w:spacing w:after="240"/>
        <w:ind w:left="1440" w:hanging="720"/>
        <w:rPr>
          <w:b/>
        </w:rPr>
      </w:pPr>
      <w:r>
        <w:rPr>
          <w:b/>
        </w:rPr>
        <w:t>B.</w:t>
      </w:r>
      <w:r>
        <w:rPr>
          <w:b/>
        </w:rPr>
        <w:tab/>
      </w:r>
      <w:r w:rsidR="009436DB">
        <w:rPr>
          <w:b/>
        </w:rPr>
        <w:t>There is no good ca</w:t>
      </w:r>
      <w:r w:rsidR="003A3927">
        <w:rPr>
          <w:b/>
        </w:rPr>
        <w:t>use to grant Duke's Application.</w:t>
      </w:r>
    </w:p>
    <w:p w:rsidR="003D1DC1" w:rsidRDefault="003A3927" w:rsidP="00344DF1">
      <w:pPr>
        <w:spacing w:line="480" w:lineRule="auto"/>
        <w:ind w:firstLine="720"/>
      </w:pPr>
      <w:r>
        <w:t>Duke has failed to establish that there is good cause for the PUCO to waive the requirement under OAC 4901:1-39-0</w:t>
      </w:r>
      <w:r w:rsidR="004227EB">
        <w:t>3</w:t>
      </w:r>
      <w:r>
        <w:t>(A)</w:t>
      </w:r>
      <w:r w:rsidR="004227EB">
        <w:t xml:space="preserve"> and OAC 4901:1-39-04(A) that it file its MPS with its portfolio application</w:t>
      </w:r>
      <w:r>
        <w:t xml:space="preserve">.  </w:t>
      </w:r>
      <w:r>
        <w:rPr>
          <w:i/>
        </w:rPr>
        <w:t>See</w:t>
      </w:r>
      <w:r>
        <w:t xml:space="preserve"> OAC 4901:1-39-02(B) ("The commission may . . . waive any requirement of this chapter, other than a requirement mandated by statute, for good cause shown.").  </w:t>
      </w:r>
      <w:r w:rsidR="0049491F" w:rsidRPr="00DA3817">
        <w:t>Duke</w:t>
      </w:r>
      <w:r w:rsidR="00A72E26" w:rsidRPr="00DA3817">
        <w:t xml:space="preserve"> is required to complete a market potential study before filing its EEPDR portfolio </w:t>
      </w:r>
      <w:r w:rsidR="0049491F" w:rsidRPr="00DA3817">
        <w:t xml:space="preserve">application </w:t>
      </w:r>
      <w:r w:rsidR="00A72E26" w:rsidRPr="00DA3817">
        <w:t xml:space="preserve">so that the portfolio </w:t>
      </w:r>
      <w:r w:rsidR="000A48EF" w:rsidRPr="00DA3817">
        <w:t xml:space="preserve">is </w:t>
      </w:r>
      <w:r w:rsidR="0049491F" w:rsidRPr="00DA3817">
        <w:t>properly designed and</w:t>
      </w:r>
      <w:r w:rsidR="000A48EF" w:rsidRPr="00DA3817">
        <w:t xml:space="preserve"> maximize</w:t>
      </w:r>
      <w:r w:rsidR="0049491F" w:rsidRPr="00DA3817">
        <w:t>s</w:t>
      </w:r>
      <w:r w:rsidR="000A48EF" w:rsidRPr="00DA3817">
        <w:t xml:space="preserve"> benefits to consumers.</w:t>
      </w:r>
      <w:r w:rsidRPr="00DA3817">
        <w:t xml:space="preserve">  </w:t>
      </w:r>
      <w:r w:rsidR="000A48EF">
        <w:t>It does not make sense</w:t>
      </w:r>
      <w:r w:rsidR="00E96689">
        <w:t xml:space="preserve"> for Duke</w:t>
      </w:r>
      <w:r w:rsidR="000A48EF">
        <w:t xml:space="preserve"> to file </w:t>
      </w:r>
      <w:r w:rsidR="00E96689">
        <w:t xml:space="preserve">the MPS four months after its EEPDR portfolio plan because Duke is required to consider the results of the MPS in developing and designing the portfolio.  </w:t>
      </w:r>
    </w:p>
    <w:p w:rsidR="00E96689" w:rsidRDefault="0049491F" w:rsidP="00344DF1">
      <w:pPr>
        <w:spacing w:line="480" w:lineRule="auto"/>
        <w:ind w:firstLine="720"/>
      </w:pPr>
      <w:r>
        <w:t>OAC</w:t>
      </w:r>
      <w:r w:rsidR="00E96689">
        <w:t xml:space="preserve"> 4901:1-39-03</w:t>
      </w:r>
      <w:r>
        <w:t>,</w:t>
      </w:r>
      <w:r w:rsidR="00E96689">
        <w:t xml:space="preserve"> entitled "Program Planning Requirements," prescribes steps that an electric distribution utility must take in developing its EEPDR portfolio plan.</w:t>
      </w:r>
      <w:r w:rsidR="003D1DC1">
        <w:t xml:space="preserve">  </w:t>
      </w:r>
      <w:r w:rsidR="00E96689">
        <w:t>The first requirement under OAC 4901:1-39-03 is that the utility must perform an "assessment of potential."  This is done through what is commonly called a "market potential study."  "Prior to proposing its comprehensive energy efficiency and peak-demand reduction program portfolio plan, an electric utility shall conduct an assessment of potential energy savings and peak-demand reduction from adoption of energy efficiency and demand-response measures within its certified territory."  OAC 4901:1-39-03(A).  The MPS is required to include an analysis of technical potential (</w:t>
      </w:r>
      <w:r w:rsidR="006E2C5F">
        <w:t>reduction in energy usage or peak demand that would result if the most efficient measures were adopted, regardless of cost</w:t>
      </w:r>
      <w:r w:rsidR="006E2C5F">
        <w:rPr>
          <w:rStyle w:val="FootnoteReference"/>
        </w:rPr>
        <w:footnoteReference w:id="7"/>
      </w:r>
      <w:r w:rsidR="00E96689">
        <w:t>), economic potential (</w:t>
      </w:r>
      <w:r w:rsidR="006E2C5F">
        <w:t>reduction in energy usage or peak demand if the most efficient and cost-effective measures were all adopted</w:t>
      </w:r>
      <w:r w:rsidR="006E2C5F">
        <w:rPr>
          <w:rStyle w:val="FootnoteReference"/>
        </w:rPr>
        <w:footnoteReference w:id="8"/>
      </w:r>
      <w:r w:rsidR="00E96689">
        <w:t>), and achievable potential (</w:t>
      </w:r>
      <w:r w:rsidR="006E2C5F">
        <w:t>likely reduction in energy usage or peak demand taking into account barriers to customer adoption, including market, financial, political, regulatory, or attitudinal barriers</w:t>
      </w:r>
      <w:r w:rsidR="006E2C5F">
        <w:rPr>
          <w:rStyle w:val="FootnoteReference"/>
        </w:rPr>
        <w:footnoteReference w:id="9"/>
      </w:r>
      <w:r w:rsidR="00E96689">
        <w:t xml:space="preserve">).  </w:t>
      </w:r>
      <w:r w:rsidR="00A538A1">
        <w:t xml:space="preserve">In conjunction with the MPS, the utility </w:t>
      </w:r>
      <w:r w:rsidR="00E96689">
        <w:t>is also required to "describe all attributes relevant to assessing [each measure's] value, including, but not limited to potential energy savings or peak-demand reduction, cost, and non</w:t>
      </w:r>
      <w:r w:rsidR="004D129E">
        <w:t>-</w:t>
      </w:r>
      <w:r w:rsidR="00E96689">
        <w:t xml:space="preserve">energy benefits."  </w:t>
      </w:r>
      <w:r w:rsidR="009A091F" w:rsidRPr="009A091F">
        <w:rPr>
          <w:i/>
        </w:rPr>
        <w:t>See</w:t>
      </w:r>
      <w:r w:rsidR="009A091F">
        <w:t xml:space="preserve"> </w:t>
      </w:r>
      <w:r w:rsidR="00E96689" w:rsidRPr="009A091F">
        <w:t>OAC</w:t>
      </w:r>
      <w:r w:rsidR="00E96689">
        <w:t xml:space="preserve"> 4901</w:t>
      </w:r>
      <w:r w:rsidR="006E2C5F">
        <w:t>:1-39-03(</w:t>
      </w:r>
      <w:r w:rsidR="00AA0536">
        <w:t>A)(4).</w:t>
      </w:r>
    </w:p>
    <w:p w:rsidR="00B474C1" w:rsidRDefault="009A091F" w:rsidP="00344DF1">
      <w:pPr>
        <w:spacing w:line="480" w:lineRule="auto"/>
        <w:ind w:firstLine="720"/>
      </w:pPr>
      <w:r>
        <w:t xml:space="preserve">The MPS is </w:t>
      </w:r>
      <w:r w:rsidR="00505EA8">
        <w:t xml:space="preserve">an important part of the portfolio design process because it guides the utility in developing programs that can reasonably and efficiently provide savings for customers.  </w:t>
      </w:r>
      <w:r w:rsidR="00B474C1">
        <w:t>In Duke's last EEPDR portfolio case,</w:t>
      </w:r>
      <w:r w:rsidR="00B474C1">
        <w:rPr>
          <w:rStyle w:val="FootnoteReference"/>
        </w:rPr>
        <w:footnoteReference w:id="10"/>
      </w:r>
      <w:r w:rsidR="00B474C1">
        <w:t xml:space="preserve"> Duke filed a market potential study that incl</w:t>
      </w:r>
      <w:r w:rsidR="0049491F">
        <w:t>uded, among other things, (i) a</w:t>
      </w:r>
      <w:r w:rsidR="00B474C1">
        <w:t xml:space="preserve"> cost effectiveness analysis of potential EEPDR programs and measures, (ii) kWh savings projections, (iii) an analysis of consumers' electric use by end-use (</w:t>
      </w:r>
      <w:r w:rsidR="00B474C1">
        <w:rPr>
          <w:i/>
        </w:rPr>
        <w:t>e.g.</w:t>
      </w:r>
      <w:r w:rsidR="00B474C1">
        <w:t>, kWh used for heating, cooling, lighting, and other uses), (iv) data on housing stock characteristics, (v) calculations of technical, economic, and achievable EEPDR potential, (vi) an assessment of various EEPDR technologies,</w:t>
      </w:r>
      <w:r w:rsidR="0093418F">
        <w:t xml:space="preserve"> and </w:t>
      </w:r>
      <w:r w:rsidR="00B474C1">
        <w:t>(vii) in depth analyses on a program-by-program basis, including details on program rationale, participation rates, marketing, tracking,</w:t>
      </w:r>
      <w:r w:rsidR="0093418F">
        <w:t xml:space="preserve"> and budget assumptions.</w:t>
      </w:r>
      <w:r w:rsidR="0093418F">
        <w:rPr>
          <w:rStyle w:val="FootnoteReference"/>
        </w:rPr>
        <w:footnoteReference w:id="11"/>
      </w:r>
      <w:r w:rsidR="0093418F">
        <w:t xml:space="preserve">  All of this information is useful, if not essential, to the proper development of an EEPDR portfolio plan.</w:t>
      </w:r>
    </w:p>
    <w:p w:rsidR="00AA0536" w:rsidRDefault="0093418F" w:rsidP="00344DF1">
      <w:pPr>
        <w:spacing w:line="480" w:lineRule="auto"/>
        <w:ind w:firstLine="720"/>
      </w:pPr>
      <w:r>
        <w:t>Indeed, in Duke's last case, the MPS was completed on January 7, 2013, but Duke did not file its portfolio plan until April 15, 2013.</w:t>
      </w:r>
      <w:r>
        <w:rPr>
          <w:rStyle w:val="FootnoteReference"/>
        </w:rPr>
        <w:footnoteReference w:id="12"/>
      </w:r>
      <w:r>
        <w:t xml:space="preserve">  Duke therefore benefitted from more than three months of additional planning and development and was able to take into account the analysis and findings of the MPS in </w:t>
      </w:r>
      <w:r w:rsidR="00B474C1">
        <w:t>developing and designing programs, deciding which programs to include in the portfolio plan, and ensuring that the proposed programs were cost effective and well-designed.</w:t>
      </w:r>
    </w:p>
    <w:p w:rsidR="0093418F" w:rsidRDefault="0093418F" w:rsidP="00344DF1">
      <w:pPr>
        <w:spacing w:line="480" w:lineRule="auto"/>
        <w:ind w:firstLine="720"/>
      </w:pPr>
      <w:r>
        <w:t xml:space="preserve">If, as Duke proposes, it be permitted to file the MPS four months </w:t>
      </w:r>
      <w:r>
        <w:rPr>
          <w:u w:val="single"/>
        </w:rPr>
        <w:t>after</w:t>
      </w:r>
      <w:r>
        <w:t xml:space="preserve"> the portfolio plan, then there is no way that Duke can take into account the many important results and conclusions set forth in a well-constructed MPS.  The</w:t>
      </w:r>
      <w:r w:rsidR="003A3927">
        <w:t>re is no good cause for the</w:t>
      </w:r>
      <w:r>
        <w:t xml:space="preserve"> PUCO </w:t>
      </w:r>
      <w:r w:rsidR="003A3927">
        <w:t>to</w:t>
      </w:r>
      <w:r>
        <w:t xml:space="preserve"> grant Duke's unprecedented request that it be permitted to develop, design, and file a portfolio plan without first completing its MPS.</w:t>
      </w:r>
    </w:p>
    <w:p w:rsidR="00344DF1" w:rsidRPr="0093418F" w:rsidRDefault="00344DF1" w:rsidP="00344DF1">
      <w:pPr>
        <w:ind w:firstLine="720"/>
      </w:pPr>
    </w:p>
    <w:p w:rsidR="005E196E" w:rsidRPr="00701EAF" w:rsidRDefault="005E196E" w:rsidP="00344DF1">
      <w:pPr>
        <w:pStyle w:val="ListParagraph"/>
        <w:keepNext/>
        <w:numPr>
          <w:ilvl w:val="0"/>
          <w:numId w:val="2"/>
        </w:numPr>
        <w:ind w:left="720"/>
        <w:rPr>
          <w:b/>
          <w:szCs w:val="24"/>
        </w:rPr>
      </w:pPr>
      <w:r w:rsidRPr="00701EAF">
        <w:rPr>
          <w:b/>
          <w:szCs w:val="24"/>
        </w:rPr>
        <w:t>CONCLUSION</w:t>
      </w:r>
    </w:p>
    <w:p w:rsidR="005E196E" w:rsidRDefault="00974AC9" w:rsidP="00344DF1">
      <w:pPr>
        <w:spacing w:before="240" w:line="480" w:lineRule="auto"/>
        <w:ind w:firstLine="720"/>
      </w:pPr>
      <w:r>
        <w:t>As</w:t>
      </w:r>
      <w:r w:rsidR="005E196E">
        <w:t xml:space="preserve"> argued above, the PUCO should deny Duke's Application because (i) the PUCO has already denied Duke's request for the same waiver in Case No. 16-576-EL-WVR</w:t>
      </w:r>
      <w:r>
        <w:t>,</w:t>
      </w:r>
      <w:r w:rsidR="005E196E">
        <w:t xml:space="preserve"> and (ii) there is no good cause to waive the requirements of OAC 4901:1-39-03(A) and OAC 4901:1-39-04(A) that Duke's portfolio application include the MPS.</w:t>
      </w:r>
    </w:p>
    <w:p w:rsidR="00701EAF" w:rsidRDefault="00701EAF" w:rsidP="00344DF1">
      <w:pPr>
        <w:rPr>
          <w:szCs w:val="24"/>
        </w:rPr>
      </w:pPr>
    </w:p>
    <w:p w:rsidR="00220105" w:rsidRDefault="00220105" w:rsidP="00344DF1">
      <w:pPr>
        <w:ind w:firstLine="4320"/>
        <w:rPr>
          <w:szCs w:val="24"/>
        </w:rPr>
      </w:pPr>
      <w:r w:rsidRPr="00710E80">
        <w:rPr>
          <w:szCs w:val="24"/>
        </w:rPr>
        <w:t>Respectfully submitted,</w:t>
      </w:r>
    </w:p>
    <w:p w:rsidR="00AE7D20" w:rsidRPr="00710E80" w:rsidRDefault="00AE7D20" w:rsidP="00344DF1">
      <w:pPr>
        <w:rPr>
          <w:szCs w:val="24"/>
        </w:rPr>
      </w:pPr>
    </w:p>
    <w:p w:rsidR="00220105" w:rsidRPr="00710E80" w:rsidRDefault="00220105" w:rsidP="00344DF1">
      <w:pPr>
        <w:ind w:left="4320"/>
      </w:pPr>
      <w:r w:rsidRPr="00710E80">
        <w:t>BRUCE J. WESTON (0016973)</w:t>
      </w:r>
    </w:p>
    <w:p w:rsidR="00220105" w:rsidRPr="00710E80" w:rsidRDefault="00220105" w:rsidP="00344DF1">
      <w:pPr>
        <w:tabs>
          <w:tab w:val="left" w:pos="4320"/>
        </w:tabs>
        <w:ind w:left="4320"/>
        <w:rPr>
          <w:szCs w:val="24"/>
        </w:rPr>
      </w:pPr>
      <w:r w:rsidRPr="00710E80">
        <w:rPr>
          <w:szCs w:val="24"/>
        </w:rPr>
        <w:t>OHIO CONSUMERS</w:t>
      </w:r>
      <w:r>
        <w:rPr>
          <w:szCs w:val="24"/>
        </w:rPr>
        <w:t>'</w:t>
      </w:r>
      <w:r w:rsidRPr="00710E80">
        <w:rPr>
          <w:szCs w:val="24"/>
        </w:rPr>
        <w:t xml:space="preserve"> COUNSEL</w:t>
      </w:r>
    </w:p>
    <w:p w:rsidR="00220105" w:rsidRPr="00710E80" w:rsidRDefault="00220105" w:rsidP="00344DF1">
      <w:pPr>
        <w:tabs>
          <w:tab w:val="left" w:pos="4320"/>
        </w:tabs>
        <w:ind w:left="4320"/>
        <w:rPr>
          <w:szCs w:val="24"/>
        </w:rPr>
      </w:pPr>
    </w:p>
    <w:p w:rsidR="00220105" w:rsidRPr="00710E80" w:rsidRDefault="00220105" w:rsidP="00344DF1">
      <w:pPr>
        <w:autoSpaceDE w:val="0"/>
        <w:autoSpaceDN w:val="0"/>
        <w:adjustRightInd w:val="0"/>
        <w:ind w:left="4320"/>
        <w:rPr>
          <w:i/>
        </w:rPr>
      </w:pPr>
      <w:r w:rsidRPr="00710E80">
        <w:rPr>
          <w:i/>
          <w:u w:val="single"/>
        </w:rPr>
        <w:t>/s/ Christopher Healey</w:t>
      </w:r>
      <w:r w:rsidRPr="00710E80">
        <w:rPr>
          <w:i/>
          <w:u w:val="single"/>
        </w:rPr>
        <w:tab/>
      </w:r>
      <w:r w:rsidRPr="00710E80">
        <w:rPr>
          <w:i/>
          <w:u w:val="single"/>
        </w:rPr>
        <w:tab/>
      </w:r>
      <w:r w:rsidR="00CA1B5D">
        <w:rPr>
          <w:i/>
          <w:u w:val="single"/>
        </w:rPr>
        <w:tab/>
      </w:r>
    </w:p>
    <w:p w:rsidR="00220105" w:rsidRDefault="00220105" w:rsidP="00344DF1">
      <w:pPr>
        <w:tabs>
          <w:tab w:val="left" w:pos="4320"/>
        </w:tabs>
        <w:ind w:left="4320"/>
        <w:rPr>
          <w:szCs w:val="24"/>
        </w:rPr>
      </w:pPr>
      <w:r w:rsidRPr="008A6DE3">
        <w:rPr>
          <w:szCs w:val="24"/>
        </w:rPr>
        <w:t>Christopher Healey (0086027)</w:t>
      </w:r>
      <w:r w:rsidRPr="008A6DE3">
        <w:rPr>
          <w:szCs w:val="24"/>
        </w:rPr>
        <w:br/>
        <w:t>Counsel of Record</w:t>
      </w:r>
    </w:p>
    <w:p w:rsidR="00F06C4D" w:rsidRPr="008A6DE3" w:rsidRDefault="00F06C4D" w:rsidP="00344DF1">
      <w:pPr>
        <w:tabs>
          <w:tab w:val="left" w:pos="4320"/>
        </w:tabs>
        <w:ind w:left="4320"/>
        <w:rPr>
          <w:szCs w:val="24"/>
        </w:rPr>
      </w:pPr>
      <w:r>
        <w:rPr>
          <w:szCs w:val="24"/>
        </w:rPr>
        <w:t>Assistant Consumers’ Counsel</w:t>
      </w:r>
    </w:p>
    <w:p w:rsidR="00220105" w:rsidRPr="00710E80" w:rsidRDefault="00220105" w:rsidP="00344DF1">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220105" w:rsidRPr="00710E80" w:rsidRDefault="00220105" w:rsidP="00344DF1">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220105" w:rsidRPr="008A6DE3" w:rsidRDefault="00220105" w:rsidP="00344DF1">
      <w:pPr>
        <w:pStyle w:val="Heading1"/>
        <w:ind w:left="4320"/>
        <w:rPr>
          <w:b w:val="0"/>
          <w:u w:val="none"/>
        </w:rPr>
      </w:pPr>
      <w:smartTag w:uri="urn:schemas-microsoft-com:office:smarttags" w:element="place">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sidRPr="008A6DE3">
          <w:rPr>
            <w:b w:val="0"/>
            <w:u w:val="none"/>
          </w:rPr>
          <w:t xml:space="preserve"> </w:t>
        </w:r>
        <w:smartTag w:uri="urn:schemas-microsoft-com:office:smarttags" w:element="PostalCode">
          <w:r w:rsidRPr="008A6DE3">
            <w:rPr>
              <w:b w:val="0"/>
              <w:u w:val="none"/>
            </w:rPr>
            <w:t>43215-3485</w:t>
          </w:r>
        </w:smartTag>
      </w:smartTag>
    </w:p>
    <w:p w:rsidR="00220105" w:rsidRPr="008A6DE3" w:rsidRDefault="00220105" w:rsidP="00344DF1">
      <w:pPr>
        <w:autoSpaceDE w:val="0"/>
        <w:autoSpaceDN w:val="0"/>
        <w:adjustRightInd w:val="0"/>
        <w:ind w:left="3600" w:firstLine="720"/>
        <w:rPr>
          <w:szCs w:val="24"/>
        </w:rPr>
      </w:pPr>
      <w:r w:rsidRPr="008A6DE3">
        <w:rPr>
          <w:szCs w:val="24"/>
        </w:rPr>
        <w:t>Telephone</w:t>
      </w:r>
      <w:r w:rsidR="00F06C4D">
        <w:rPr>
          <w:szCs w:val="24"/>
        </w:rPr>
        <w:t xml:space="preserve"> Direct</w:t>
      </w:r>
      <w:r w:rsidRPr="008A6DE3">
        <w:rPr>
          <w:szCs w:val="24"/>
        </w:rPr>
        <w:t>:</w:t>
      </w:r>
      <w:r w:rsidR="00F06C4D">
        <w:rPr>
          <w:szCs w:val="24"/>
        </w:rPr>
        <w:t xml:space="preserve"> </w:t>
      </w:r>
      <w:r w:rsidRPr="008A6DE3">
        <w:rPr>
          <w:szCs w:val="24"/>
        </w:rPr>
        <w:t xml:space="preserve"> (614) 466-</w:t>
      </w:r>
      <w:r w:rsidR="00A518A7">
        <w:rPr>
          <w:szCs w:val="24"/>
        </w:rPr>
        <w:t>9571</w:t>
      </w:r>
    </w:p>
    <w:p w:rsidR="00220105" w:rsidRPr="008A6DE3" w:rsidRDefault="00403843" w:rsidP="00344DF1">
      <w:pPr>
        <w:ind w:left="4320"/>
        <w:rPr>
          <w:szCs w:val="24"/>
        </w:rPr>
      </w:pPr>
      <w:hyperlink r:id="rId14" w:history="1">
        <w:r w:rsidR="00220105" w:rsidRPr="008A6DE3">
          <w:rPr>
            <w:rStyle w:val="Hyperlink"/>
            <w:szCs w:val="24"/>
          </w:rPr>
          <w:t>christopher.healey@occ.ohio.gov</w:t>
        </w:r>
      </w:hyperlink>
    </w:p>
    <w:p w:rsidR="00220105" w:rsidRDefault="00220105" w:rsidP="00344DF1">
      <w:pPr>
        <w:ind w:left="4320"/>
        <w:rPr>
          <w:szCs w:val="24"/>
        </w:rPr>
      </w:pPr>
      <w:r w:rsidRPr="00710E80">
        <w:rPr>
          <w:szCs w:val="24"/>
        </w:rPr>
        <w:t>(</w:t>
      </w:r>
      <w:r w:rsidR="00F06C4D">
        <w:rPr>
          <w:szCs w:val="24"/>
        </w:rPr>
        <w:t>W</w:t>
      </w:r>
      <w:r w:rsidRPr="00710E80">
        <w:rPr>
          <w:szCs w:val="24"/>
        </w:rPr>
        <w:t>ill accept service via email)</w:t>
      </w:r>
    </w:p>
    <w:p w:rsidR="00220105" w:rsidRDefault="00220105" w:rsidP="00344DF1">
      <w:pPr>
        <w:ind w:left="4320"/>
        <w:rPr>
          <w:szCs w:val="24"/>
        </w:rPr>
      </w:pPr>
    </w:p>
    <w:p w:rsidR="007C2976" w:rsidRPr="00710E80" w:rsidRDefault="007C2976" w:rsidP="00344DF1">
      <w:pPr>
        <w:rPr>
          <w:szCs w:val="24"/>
        </w:rPr>
      </w:pPr>
    </w:p>
    <w:p w:rsidR="007C2976" w:rsidRPr="00710E80" w:rsidRDefault="007C2976" w:rsidP="00344DF1">
      <w:pPr>
        <w:rPr>
          <w:szCs w:val="24"/>
        </w:rPr>
      </w:pPr>
    </w:p>
    <w:p w:rsidR="007C2976" w:rsidRPr="00710E80" w:rsidRDefault="007C2976" w:rsidP="00344DF1">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7C2976" w:rsidRDefault="007C2976" w:rsidP="00344DF1">
      <w:pPr>
        <w:jc w:val="center"/>
        <w:rPr>
          <w:b/>
          <w:bCs/>
          <w:u w:val="single"/>
        </w:rPr>
      </w:pPr>
      <w:r w:rsidRPr="00710E80">
        <w:br w:type="page"/>
      </w:r>
      <w:r w:rsidRPr="00710E80">
        <w:rPr>
          <w:b/>
          <w:bCs/>
          <w:u w:val="single"/>
        </w:rPr>
        <w:t>CERTIFICATE OF SERVICE</w:t>
      </w:r>
    </w:p>
    <w:p w:rsidR="00F06C4D" w:rsidRPr="00710E80" w:rsidRDefault="00F06C4D" w:rsidP="00344DF1">
      <w:pPr>
        <w:jc w:val="center"/>
        <w:rPr>
          <w:b/>
          <w:bCs/>
          <w:u w:val="single"/>
        </w:rPr>
      </w:pPr>
    </w:p>
    <w:p w:rsidR="007C2976" w:rsidRPr="00710E80" w:rsidRDefault="007C2976" w:rsidP="00344DF1">
      <w:pPr>
        <w:spacing w:line="480" w:lineRule="atLeast"/>
        <w:ind w:firstLine="720"/>
      </w:pPr>
      <w:r w:rsidRPr="00710E80">
        <w:t>I hereby certify that a copy of th</w:t>
      </w:r>
      <w:r w:rsidR="002E3FAD">
        <w:t>ese Comments</w:t>
      </w:r>
      <w:r w:rsidR="009C4FD4">
        <w:t xml:space="preserve"> </w:t>
      </w:r>
      <w:r w:rsidRPr="00710E80">
        <w:t>w</w:t>
      </w:r>
      <w:r w:rsidR="002E3FAD">
        <w:t>ere</w:t>
      </w:r>
      <w:r w:rsidRPr="00710E80">
        <w:t xml:space="preserve"> served on the persons stated below via</w:t>
      </w:r>
      <w:r w:rsidRPr="00710E80">
        <w:rPr>
          <w:i/>
        </w:rPr>
        <w:t xml:space="preserve"> </w:t>
      </w:r>
      <w:r w:rsidR="00D50439" w:rsidRPr="00710E80">
        <w:t>electric transmission</w:t>
      </w:r>
      <w:r w:rsidRPr="00710E80">
        <w:t xml:space="preserve"> this </w:t>
      </w:r>
      <w:r w:rsidR="00974AC9">
        <w:t>1st</w:t>
      </w:r>
      <w:r w:rsidR="00385370" w:rsidRPr="00710E80">
        <w:t xml:space="preserve"> </w:t>
      </w:r>
      <w:r w:rsidRPr="00710E80">
        <w:t xml:space="preserve">day of </w:t>
      </w:r>
      <w:r w:rsidR="00974AC9">
        <w:t>June</w:t>
      </w:r>
      <w:r w:rsidRPr="00710E80">
        <w:t xml:space="preserve"> 201</w:t>
      </w:r>
      <w:r w:rsidR="00666AB5" w:rsidRPr="00710E80">
        <w:t>6</w:t>
      </w:r>
      <w:r w:rsidRPr="00710E80">
        <w:t>.</w:t>
      </w:r>
    </w:p>
    <w:p w:rsidR="007C2976" w:rsidRPr="00710E80" w:rsidRDefault="007C2976" w:rsidP="00344DF1">
      <w:pPr>
        <w:spacing w:line="480" w:lineRule="atLeast"/>
      </w:pPr>
    </w:p>
    <w:p w:rsidR="00C05D8D" w:rsidRPr="00710E80" w:rsidRDefault="00C05D8D" w:rsidP="00344DF1">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344DF1">
      <w:pPr>
        <w:tabs>
          <w:tab w:val="left" w:pos="4320"/>
        </w:tabs>
        <w:ind w:left="4320"/>
      </w:pPr>
      <w:r w:rsidRPr="00710E80">
        <w:t>Christopher Healey</w:t>
      </w:r>
      <w:r w:rsidRPr="00710E80">
        <w:br/>
      </w:r>
      <w:r w:rsidR="0091432F">
        <w:t>Assistant Consumers</w:t>
      </w:r>
      <w:r w:rsidR="008A6DE3">
        <w:t>'</w:t>
      </w:r>
      <w:r w:rsidR="0091432F">
        <w:t xml:space="preserve"> Counsel</w:t>
      </w:r>
    </w:p>
    <w:p w:rsidR="007C2976" w:rsidRPr="00710E80" w:rsidRDefault="007C2976" w:rsidP="00344DF1">
      <w:pPr>
        <w:pStyle w:val="CommentSubject"/>
      </w:pPr>
    </w:p>
    <w:p w:rsidR="007C2976" w:rsidRPr="00710E80" w:rsidRDefault="007C2976" w:rsidP="00344DF1">
      <w:pPr>
        <w:pStyle w:val="CommentText"/>
      </w:pPr>
    </w:p>
    <w:p w:rsidR="007C2976" w:rsidRPr="00710E80" w:rsidRDefault="007C2976" w:rsidP="00344DF1">
      <w:pPr>
        <w:pStyle w:val="CommentText"/>
        <w:jc w:val="center"/>
        <w:rPr>
          <w:b/>
          <w:bCs/>
        </w:rPr>
      </w:pPr>
      <w:r w:rsidRPr="00710E80">
        <w:rPr>
          <w:b/>
          <w:u w:val="single"/>
        </w:rPr>
        <w:t>SERVICE LIST</w:t>
      </w: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7C2976" w:rsidRPr="00710E80" w:rsidRDefault="007C2976" w:rsidP="00344DF1">
            <w:pPr>
              <w:autoSpaceDE w:val="0"/>
              <w:autoSpaceDN w:val="0"/>
              <w:adjustRightInd w:val="0"/>
              <w:rPr>
                <w:bCs/>
              </w:rPr>
            </w:pPr>
          </w:p>
        </w:tc>
        <w:tc>
          <w:tcPr>
            <w:tcW w:w="4428" w:type="dxa"/>
            <w:shd w:val="clear" w:color="auto" w:fill="auto"/>
          </w:tcPr>
          <w:p w:rsidR="00666AB5" w:rsidRPr="00710E80" w:rsidRDefault="00666AB5" w:rsidP="00344DF1">
            <w:pPr>
              <w:pStyle w:val="BodyText"/>
              <w:jc w:val="lef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4"/>
        <w:gridCol w:w="222"/>
      </w:tblGrid>
      <w:tr w:rsidR="00AE7D20" w:rsidTr="009C4FD4">
        <w:tc>
          <w:tcPr>
            <w:tcW w:w="6923" w:type="dxa"/>
          </w:tcPr>
          <w:p w:rsidR="009C4FD4" w:rsidRPr="00710E80" w:rsidRDefault="009C4FD4" w:rsidP="00344DF1">
            <w:pPr>
              <w:pStyle w:val="CommentText"/>
              <w:jc w:val="center"/>
              <w:rPr>
                <w:b/>
                <w:bCs/>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390"/>
            </w:tblGrid>
            <w:tr w:rsidR="009C4FD4" w:rsidRPr="00710E80" w:rsidTr="009C4FD4">
              <w:tc>
                <w:tcPr>
                  <w:tcW w:w="4250" w:type="dxa"/>
                </w:tcPr>
                <w:p w:rsidR="009C4FD4" w:rsidRDefault="00403843" w:rsidP="00344DF1">
                  <w:pPr>
                    <w:autoSpaceDE w:val="0"/>
                    <w:autoSpaceDN w:val="0"/>
                    <w:adjustRightInd w:val="0"/>
                    <w:rPr>
                      <w:bCs/>
                    </w:rPr>
                  </w:pPr>
                  <w:hyperlink r:id="rId15" w:history="1">
                    <w:r w:rsidR="009C4FD4" w:rsidRPr="000314DA">
                      <w:rPr>
                        <w:rStyle w:val="Hyperlink"/>
                        <w:bCs/>
                      </w:rPr>
                      <w:t>William.wright@ohioattorneygeneral.gov</w:t>
                    </w:r>
                  </w:hyperlink>
                </w:p>
                <w:p w:rsidR="009C4FD4" w:rsidRDefault="00403843" w:rsidP="00344DF1">
                  <w:pPr>
                    <w:autoSpaceDE w:val="0"/>
                    <w:autoSpaceDN w:val="0"/>
                    <w:adjustRightInd w:val="0"/>
                    <w:rPr>
                      <w:rStyle w:val="Hyperlink"/>
                      <w:bCs/>
                    </w:rPr>
                  </w:pPr>
                  <w:hyperlink r:id="rId16" w:history="1">
                    <w:r w:rsidR="009C4FD4" w:rsidRPr="000314DA">
                      <w:rPr>
                        <w:rStyle w:val="Hyperlink"/>
                        <w:bCs/>
                      </w:rPr>
                      <w:t>orourke@carpenterlipps.com</w:t>
                    </w:r>
                  </w:hyperlink>
                </w:p>
                <w:p w:rsidR="00F06C4D" w:rsidRDefault="00403843" w:rsidP="00F06C4D">
                  <w:pPr>
                    <w:autoSpaceDE w:val="0"/>
                    <w:autoSpaceDN w:val="0"/>
                    <w:adjustRightInd w:val="0"/>
                    <w:rPr>
                      <w:color w:val="0000FF"/>
                      <w:sz w:val="23"/>
                      <w:szCs w:val="23"/>
                    </w:rPr>
                  </w:pPr>
                  <w:hyperlink r:id="rId17" w:history="1">
                    <w:r w:rsidR="00F06C4D" w:rsidRPr="00AA5B05">
                      <w:rPr>
                        <w:rStyle w:val="Hyperlink"/>
                        <w:sz w:val="23"/>
                        <w:szCs w:val="23"/>
                      </w:rPr>
                      <w:t>bojko@carpenterlipps.com</w:t>
                    </w:r>
                  </w:hyperlink>
                </w:p>
                <w:p w:rsidR="00F06C4D" w:rsidRDefault="00403843" w:rsidP="00F06C4D">
                  <w:pPr>
                    <w:autoSpaceDE w:val="0"/>
                    <w:autoSpaceDN w:val="0"/>
                    <w:adjustRightInd w:val="0"/>
                    <w:rPr>
                      <w:color w:val="0000FF"/>
                      <w:sz w:val="23"/>
                      <w:szCs w:val="23"/>
                    </w:rPr>
                  </w:pPr>
                  <w:hyperlink r:id="rId18" w:history="1">
                    <w:r w:rsidR="00F06C4D" w:rsidRPr="00AA5B05">
                      <w:rPr>
                        <w:rStyle w:val="Hyperlink"/>
                        <w:sz w:val="23"/>
                        <w:szCs w:val="23"/>
                      </w:rPr>
                      <w:t>ghiloni@carpenterlipps.com</w:t>
                    </w:r>
                  </w:hyperlink>
                </w:p>
                <w:p w:rsidR="009C4FD4" w:rsidRDefault="009C4FD4" w:rsidP="00344DF1">
                  <w:pPr>
                    <w:autoSpaceDE w:val="0"/>
                    <w:autoSpaceDN w:val="0"/>
                    <w:adjustRightInd w:val="0"/>
                    <w:rPr>
                      <w:bCs/>
                    </w:rPr>
                  </w:pPr>
                </w:p>
                <w:p w:rsidR="009C4FD4" w:rsidRPr="00710E80" w:rsidRDefault="009C4FD4" w:rsidP="00344DF1">
                  <w:pPr>
                    <w:autoSpaceDE w:val="0"/>
                    <w:autoSpaceDN w:val="0"/>
                    <w:adjustRightInd w:val="0"/>
                    <w:rPr>
                      <w:bCs/>
                    </w:rPr>
                  </w:pPr>
                </w:p>
              </w:tc>
              <w:tc>
                <w:tcPr>
                  <w:tcW w:w="4390" w:type="dxa"/>
                </w:tcPr>
                <w:p w:rsidR="009C4FD4" w:rsidRDefault="00403843" w:rsidP="00344DF1">
                  <w:pPr>
                    <w:pStyle w:val="BodyText"/>
                    <w:jc w:val="left"/>
                  </w:pPr>
                  <w:hyperlink r:id="rId19" w:history="1">
                    <w:r w:rsidR="009C4FD4" w:rsidRPr="007553EE">
                      <w:rPr>
                        <w:rStyle w:val="Hyperlink"/>
                      </w:rPr>
                      <w:t>Amy.spiller@duke-energy.com</w:t>
                    </w:r>
                  </w:hyperlink>
                </w:p>
                <w:p w:rsidR="009C4FD4" w:rsidRDefault="00403843" w:rsidP="00344DF1">
                  <w:pPr>
                    <w:pStyle w:val="BodyText"/>
                    <w:jc w:val="left"/>
                  </w:pPr>
                  <w:hyperlink r:id="rId20" w:history="1">
                    <w:r w:rsidR="009C4FD4" w:rsidRPr="000314DA">
                      <w:rPr>
                        <w:rStyle w:val="Hyperlink"/>
                      </w:rPr>
                      <w:t>Elizabeth.watts@duke-energy.com</w:t>
                    </w:r>
                  </w:hyperlink>
                </w:p>
                <w:p w:rsidR="009C4FD4" w:rsidRPr="00710E80" w:rsidRDefault="009C4FD4" w:rsidP="00344DF1">
                  <w:pPr>
                    <w:pStyle w:val="BodyText"/>
                    <w:jc w:val="left"/>
                  </w:pPr>
                </w:p>
              </w:tc>
            </w:tr>
            <w:tr w:rsidR="009C4FD4" w:rsidTr="009C4FD4">
              <w:tc>
                <w:tcPr>
                  <w:tcW w:w="4250" w:type="dxa"/>
                </w:tcPr>
                <w:p w:rsidR="009C4FD4" w:rsidRPr="00734D39" w:rsidRDefault="009C4FD4" w:rsidP="00344DF1">
                  <w:pPr>
                    <w:pStyle w:val="BodyText"/>
                    <w:rPr>
                      <w:bCs/>
                    </w:rPr>
                  </w:pPr>
                  <w:r w:rsidRPr="00734D39">
                    <w:rPr>
                      <w:bCs/>
                    </w:rPr>
                    <w:t>Attorney Examiner:</w:t>
                  </w:r>
                </w:p>
                <w:p w:rsidR="009C4FD4" w:rsidRPr="00734D39" w:rsidRDefault="009C4FD4" w:rsidP="00344DF1">
                  <w:pPr>
                    <w:pStyle w:val="BodyText"/>
                    <w:rPr>
                      <w:bCs/>
                    </w:rPr>
                  </w:pPr>
                </w:p>
                <w:p w:rsidR="009C4FD4" w:rsidRPr="00734D39" w:rsidRDefault="00403843" w:rsidP="00344DF1">
                  <w:pPr>
                    <w:pStyle w:val="BodyText"/>
                    <w:rPr>
                      <w:bCs/>
                    </w:rPr>
                  </w:pPr>
                  <w:hyperlink r:id="rId21" w:history="1">
                    <w:r w:rsidR="009C4FD4" w:rsidRPr="00734D39">
                      <w:rPr>
                        <w:rStyle w:val="Hyperlink"/>
                        <w:bCs/>
                      </w:rPr>
                      <w:t>Nicholas.walstra@puc.state.oh.us</w:t>
                    </w:r>
                  </w:hyperlink>
                </w:p>
                <w:p w:rsidR="009C4FD4" w:rsidRDefault="009C4FD4" w:rsidP="00344DF1">
                  <w:pPr>
                    <w:pStyle w:val="BodyText"/>
                    <w:rPr>
                      <w:b/>
                      <w:bCs/>
                    </w:rPr>
                  </w:pPr>
                </w:p>
              </w:tc>
              <w:tc>
                <w:tcPr>
                  <w:tcW w:w="4390" w:type="dxa"/>
                </w:tcPr>
                <w:p w:rsidR="009C4FD4" w:rsidRDefault="009C4FD4" w:rsidP="00344DF1">
                  <w:pPr>
                    <w:pStyle w:val="BodyText"/>
                    <w:rPr>
                      <w:b/>
                      <w:bCs/>
                    </w:rPr>
                  </w:pPr>
                </w:p>
              </w:tc>
            </w:tr>
          </w:tbl>
          <w:p w:rsidR="00AE7D20" w:rsidRPr="00863093" w:rsidRDefault="00AE7D20" w:rsidP="00344DF1">
            <w:pPr>
              <w:pStyle w:val="BodyText"/>
              <w:rPr>
                <w:b/>
                <w:bCs/>
                <w:szCs w:val="24"/>
              </w:rPr>
            </w:pPr>
          </w:p>
        </w:tc>
        <w:tc>
          <w:tcPr>
            <w:tcW w:w="1933" w:type="dxa"/>
          </w:tcPr>
          <w:p w:rsidR="00AE7D20" w:rsidRPr="00863093" w:rsidRDefault="00AE7D20" w:rsidP="00344DF1">
            <w:pPr>
              <w:rPr>
                <w:b/>
                <w:bCs/>
                <w:szCs w:val="24"/>
              </w:rPr>
            </w:pPr>
          </w:p>
        </w:tc>
      </w:tr>
      <w:tr w:rsidR="00AE7D20" w:rsidTr="009C4FD4">
        <w:tc>
          <w:tcPr>
            <w:tcW w:w="6923" w:type="dxa"/>
          </w:tcPr>
          <w:p w:rsidR="00AE7D20" w:rsidRPr="00863093" w:rsidRDefault="00AE7D20" w:rsidP="00344DF1">
            <w:pPr>
              <w:pStyle w:val="BodyText"/>
              <w:rPr>
                <w:bCs/>
                <w:szCs w:val="24"/>
              </w:rPr>
            </w:pPr>
          </w:p>
        </w:tc>
        <w:tc>
          <w:tcPr>
            <w:tcW w:w="1933" w:type="dxa"/>
          </w:tcPr>
          <w:p w:rsidR="00AE7D20" w:rsidRPr="00863093" w:rsidRDefault="00AE7D20" w:rsidP="00344DF1">
            <w:pPr>
              <w:pStyle w:val="BodyText"/>
              <w:rPr>
                <w:bCs/>
                <w:szCs w:val="24"/>
              </w:rPr>
            </w:pPr>
          </w:p>
        </w:tc>
      </w:tr>
      <w:tr w:rsidR="00AE7D20" w:rsidTr="009C4FD4">
        <w:tc>
          <w:tcPr>
            <w:tcW w:w="6923" w:type="dxa"/>
          </w:tcPr>
          <w:p w:rsidR="00AE7D20" w:rsidRPr="00863093" w:rsidRDefault="00AE7D20" w:rsidP="00344DF1">
            <w:pPr>
              <w:autoSpaceDE w:val="0"/>
              <w:autoSpaceDN w:val="0"/>
              <w:adjustRightInd w:val="0"/>
              <w:rPr>
                <w:color w:val="000000"/>
                <w:szCs w:val="24"/>
              </w:rPr>
            </w:pPr>
          </w:p>
        </w:tc>
        <w:tc>
          <w:tcPr>
            <w:tcW w:w="1933" w:type="dxa"/>
          </w:tcPr>
          <w:p w:rsidR="00AE7D20" w:rsidRPr="00863093" w:rsidRDefault="00AE7D20" w:rsidP="00344DF1">
            <w:pPr>
              <w:autoSpaceDE w:val="0"/>
              <w:autoSpaceDN w:val="0"/>
              <w:adjustRightInd w:val="0"/>
              <w:rPr>
                <w:color w:val="000000"/>
                <w:szCs w:val="24"/>
              </w:rPr>
            </w:pPr>
          </w:p>
        </w:tc>
      </w:tr>
      <w:tr w:rsidR="00AE7D20" w:rsidTr="009C4FD4">
        <w:tc>
          <w:tcPr>
            <w:tcW w:w="6923" w:type="dxa"/>
          </w:tcPr>
          <w:p w:rsidR="00AE7D20" w:rsidRPr="00863093" w:rsidRDefault="00AE7D20" w:rsidP="00344DF1">
            <w:pPr>
              <w:autoSpaceDE w:val="0"/>
              <w:autoSpaceDN w:val="0"/>
              <w:adjustRightInd w:val="0"/>
              <w:rPr>
                <w:b/>
                <w:bCs/>
                <w:color w:val="000000"/>
                <w:szCs w:val="24"/>
              </w:rPr>
            </w:pPr>
          </w:p>
        </w:tc>
        <w:tc>
          <w:tcPr>
            <w:tcW w:w="1933" w:type="dxa"/>
          </w:tcPr>
          <w:p w:rsidR="00AE7D20" w:rsidRPr="00863093" w:rsidRDefault="00AE7D20" w:rsidP="00344DF1">
            <w:pPr>
              <w:autoSpaceDE w:val="0"/>
              <w:autoSpaceDN w:val="0"/>
              <w:adjustRightInd w:val="0"/>
              <w:rPr>
                <w:b/>
                <w:bCs/>
                <w:color w:val="000000"/>
                <w:szCs w:val="24"/>
              </w:rPr>
            </w:pPr>
          </w:p>
        </w:tc>
      </w:tr>
    </w:tbl>
    <w:p w:rsidR="00AE7D20" w:rsidRPr="00710E80" w:rsidRDefault="00AE7D20" w:rsidP="00344DF1">
      <w:pPr>
        <w:pStyle w:val="BodyText"/>
        <w:rPr>
          <w:b/>
          <w:bCs/>
        </w:rPr>
      </w:pPr>
    </w:p>
    <w:tbl>
      <w:tblPr>
        <w:tblW w:w="0" w:type="auto"/>
        <w:tblLook w:val="01E0" w:firstRow="1" w:lastRow="1" w:firstColumn="1" w:lastColumn="1" w:noHBand="0" w:noVBand="0"/>
      </w:tblPr>
      <w:tblGrid>
        <w:gridCol w:w="4428"/>
      </w:tblGrid>
      <w:tr w:rsidR="00E243A4" w:rsidRPr="00710E80" w:rsidTr="00AA36F9">
        <w:tc>
          <w:tcPr>
            <w:tcW w:w="4428" w:type="dxa"/>
            <w:shd w:val="clear" w:color="auto" w:fill="auto"/>
          </w:tcPr>
          <w:p w:rsidR="00C11533" w:rsidRPr="00710E80" w:rsidRDefault="00C11533" w:rsidP="00344DF1">
            <w:pPr>
              <w:tabs>
                <w:tab w:val="left" w:pos="4320"/>
              </w:tabs>
            </w:pPr>
          </w:p>
          <w:p w:rsidR="00C11533" w:rsidRPr="00710E80" w:rsidRDefault="00C11533" w:rsidP="00344DF1">
            <w:pPr>
              <w:autoSpaceDE w:val="0"/>
              <w:autoSpaceDN w:val="0"/>
              <w:adjustRightInd w:val="0"/>
              <w:rPr>
                <w:bCs/>
              </w:rPr>
            </w:pPr>
          </w:p>
        </w:tc>
      </w:tr>
    </w:tbl>
    <w:p w:rsidR="007C2976" w:rsidRPr="00710E80" w:rsidRDefault="007C2976" w:rsidP="00344DF1">
      <w:pPr>
        <w:pStyle w:val="BodyText"/>
        <w:rPr>
          <w:b/>
          <w:bCs/>
        </w:rPr>
      </w:pPr>
    </w:p>
    <w:p w:rsidR="007C2976" w:rsidRPr="00710E80" w:rsidRDefault="007C2976" w:rsidP="00344DF1">
      <w:pPr>
        <w:pStyle w:val="BodyText"/>
        <w:ind w:firstLine="720"/>
      </w:pPr>
    </w:p>
    <w:sectPr w:rsidR="007C2976" w:rsidRPr="00710E80" w:rsidSect="00344DF1">
      <w:headerReference w:type="default" r:id="rId22"/>
      <w:footerReference w:type="default" r:id="rId23"/>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40" w:rsidRDefault="00330040">
      <w:r>
        <w:separator/>
      </w:r>
    </w:p>
  </w:endnote>
  <w:endnote w:type="continuationSeparator" w:id="0">
    <w:p w:rsidR="00330040" w:rsidRDefault="003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8A" w:rsidRDefault="0078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F1" w:rsidRDefault="00344DF1">
    <w:pPr>
      <w:pStyle w:val="Footer"/>
      <w:jc w:val="center"/>
    </w:pPr>
  </w:p>
  <w:p w:rsidR="004227EB" w:rsidRPr="003B20D3" w:rsidRDefault="00422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8A" w:rsidRDefault="007804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20635"/>
      <w:docPartObj>
        <w:docPartGallery w:val="Page Numbers (Bottom of Page)"/>
        <w:docPartUnique/>
      </w:docPartObj>
    </w:sdtPr>
    <w:sdtEndPr>
      <w:rPr>
        <w:noProof/>
        <w:sz w:val="24"/>
        <w:szCs w:val="24"/>
      </w:rPr>
    </w:sdtEndPr>
    <w:sdtContent>
      <w:p w:rsidR="00344DF1" w:rsidRPr="00344DF1" w:rsidRDefault="00344DF1">
        <w:pPr>
          <w:pStyle w:val="Footer"/>
          <w:jc w:val="center"/>
          <w:rPr>
            <w:sz w:val="24"/>
            <w:szCs w:val="24"/>
          </w:rPr>
        </w:pPr>
        <w:r w:rsidRPr="00344DF1">
          <w:rPr>
            <w:sz w:val="24"/>
            <w:szCs w:val="24"/>
          </w:rPr>
          <w:fldChar w:fldCharType="begin"/>
        </w:r>
        <w:r w:rsidRPr="00344DF1">
          <w:rPr>
            <w:sz w:val="24"/>
            <w:szCs w:val="24"/>
          </w:rPr>
          <w:instrText xml:space="preserve"> PAGE   \* MERGEFORMAT </w:instrText>
        </w:r>
        <w:r w:rsidRPr="00344DF1">
          <w:rPr>
            <w:sz w:val="24"/>
            <w:szCs w:val="24"/>
          </w:rPr>
          <w:fldChar w:fldCharType="separate"/>
        </w:r>
        <w:r w:rsidR="00403843">
          <w:rPr>
            <w:noProof/>
            <w:sz w:val="24"/>
            <w:szCs w:val="24"/>
          </w:rPr>
          <w:t>2</w:t>
        </w:r>
        <w:r w:rsidRPr="00344DF1">
          <w:rPr>
            <w:noProof/>
            <w:sz w:val="24"/>
            <w:szCs w:val="24"/>
          </w:rPr>
          <w:fldChar w:fldCharType="end"/>
        </w:r>
      </w:p>
    </w:sdtContent>
  </w:sdt>
  <w:p w:rsidR="00344DF1" w:rsidRPr="003B20D3" w:rsidRDefault="00344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40" w:rsidRDefault="00330040">
      <w:r>
        <w:separator/>
      </w:r>
    </w:p>
  </w:footnote>
  <w:footnote w:type="continuationSeparator" w:id="0">
    <w:p w:rsidR="00330040" w:rsidRDefault="00330040">
      <w:r>
        <w:continuationSeparator/>
      </w:r>
    </w:p>
  </w:footnote>
  <w:footnote w:id="1">
    <w:p w:rsidR="003A3728" w:rsidRPr="003A3728" w:rsidRDefault="003A3728">
      <w:pPr>
        <w:pStyle w:val="FootnoteText"/>
      </w:pPr>
      <w:r>
        <w:rPr>
          <w:rStyle w:val="FootnoteReference"/>
        </w:rPr>
        <w:footnoteRef/>
      </w:r>
      <w:r>
        <w:t xml:space="preserve"> </w:t>
      </w:r>
      <w:r>
        <w:rPr>
          <w:i/>
        </w:rPr>
        <w:t>See</w:t>
      </w:r>
      <w:r>
        <w:t xml:space="preserve"> Application for Waiver of Duke Energy Ohio, Inc., Case No. 16-1017-EL-WVR (May 9, 2016) (the "Application").</w:t>
      </w:r>
    </w:p>
  </w:footnote>
  <w:footnote w:id="2">
    <w:p w:rsidR="003A3927" w:rsidRPr="004227EB" w:rsidRDefault="003A3927">
      <w:pPr>
        <w:pStyle w:val="FootnoteText"/>
      </w:pPr>
      <w:r>
        <w:rPr>
          <w:rStyle w:val="FootnoteReference"/>
        </w:rPr>
        <w:footnoteRef/>
      </w:r>
      <w:r>
        <w:t xml:space="preserve"> </w:t>
      </w:r>
      <w:r>
        <w:rPr>
          <w:i/>
        </w:rPr>
        <w:t>See</w:t>
      </w:r>
      <w:r>
        <w:t xml:space="preserve"> Entry at 4, Case No. 16-576-EL-POR (Apr. 7, 2016).</w:t>
      </w:r>
    </w:p>
  </w:footnote>
  <w:footnote w:id="3">
    <w:p w:rsidR="00AE0D22" w:rsidRPr="00AE0D22" w:rsidRDefault="00AE0D22">
      <w:pPr>
        <w:pStyle w:val="FootnoteText"/>
      </w:pPr>
      <w:r>
        <w:rPr>
          <w:rStyle w:val="FootnoteReference"/>
        </w:rPr>
        <w:footnoteRef/>
      </w:r>
      <w:r>
        <w:t xml:space="preserve"> </w:t>
      </w:r>
      <w:r>
        <w:rPr>
          <w:i/>
        </w:rPr>
        <w:t>See</w:t>
      </w:r>
      <w:r>
        <w:t xml:space="preserve"> Application of Duke Energy Ohio, Inc. for a Waiver and Request for Expedited Ruling, Case No. 16-576-EL-WVR (Mar. 16, 2016) (the "First Waiver Application").</w:t>
      </w:r>
    </w:p>
  </w:footnote>
  <w:footnote w:id="4">
    <w:p w:rsidR="00AE0D22" w:rsidRPr="00AE0D22" w:rsidRDefault="00AE0D22">
      <w:pPr>
        <w:pStyle w:val="FootnoteText"/>
      </w:pPr>
      <w:r>
        <w:rPr>
          <w:rStyle w:val="FootnoteReference"/>
        </w:rPr>
        <w:footnoteRef/>
      </w:r>
      <w:r>
        <w:t xml:space="preserve"> </w:t>
      </w:r>
      <w:r>
        <w:rPr>
          <w:i/>
        </w:rPr>
        <w:t>Id.</w:t>
      </w:r>
    </w:p>
  </w:footnote>
  <w:footnote w:id="5">
    <w:p w:rsidR="00AE0D22" w:rsidRPr="00AE0D22" w:rsidRDefault="00AE0D22">
      <w:pPr>
        <w:pStyle w:val="FootnoteText"/>
      </w:pPr>
      <w:r>
        <w:rPr>
          <w:rStyle w:val="FootnoteReference"/>
        </w:rPr>
        <w:footnoteRef/>
      </w:r>
      <w:r>
        <w:t xml:space="preserve"> </w:t>
      </w:r>
      <w:r>
        <w:rPr>
          <w:i/>
        </w:rPr>
        <w:t>See</w:t>
      </w:r>
      <w:r>
        <w:t xml:space="preserve"> Entry at 4, Case No. 16-576-EL-POR (Apr. 7, 2016).</w:t>
      </w:r>
    </w:p>
  </w:footnote>
  <w:footnote w:id="6">
    <w:p w:rsidR="004227EB" w:rsidRPr="001E490C" w:rsidRDefault="004227EB" w:rsidP="004227EB">
      <w:pPr>
        <w:pStyle w:val="FootnoteText"/>
      </w:pPr>
      <w:r>
        <w:rPr>
          <w:rStyle w:val="FootnoteReference"/>
        </w:rPr>
        <w:footnoteRef/>
      </w:r>
      <w:r>
        <w:t xml:space="preserve"> </w:t>
      </w:r>
      <w:r>
        <w:rPr>
          <w:i/>
        </w:rPr>
        <w:t>See</w:t>
      </w:r>
      <w:r>
        <w:t xml:space="preserve"> Motion to Intervene and Comments on Behalf of the Kroger Co. at 5-7, Case No. 16-1017-EL-WVR (May 20, 2016) (arguing that (i) if Duke wanted to pursue a request for an extension to October 15 with respect to the MPS, it was required to do so in an application for rehearing in Case No. 16-576-EL-POR, and (ii) the Duke request in this case is barred by the doctrine of collateral estoppel); Motion to Intervene and Comments of the Ohio Manufacturers' Association at 3-5 (May 26, 2016) (arguing that Duke's Application is barred by the doctrines of res judicata and collateral estoppel).  OCC agrees with Kroger's and OMA's arguments and adopts them as though fully set forth in this opposition.</w:t>
      </w:r>
    </w:p>
  </w:footnote>
  <w:footnote w:id="7">
    <w:p w:rsidR="006E2C5F" w:rsidRDefault="006E2C5F">
      <w:pPr>
        <w:pStyle w:val="FootnoteText"/>
      </w:pPr>
      <w:r>
        <w:rPr>
          <w:rStyle w:val="FootnoteReference"/>
        </w:rPr>
        <w:footnoteRef/>
      </w:r>
      <w:r>
        <w:t xml:space="preserve"> OAC 4901:1-39-01(X).</w:t>
      </w:r>
    </w:p>
  </w:footnote>
  <w:footnote w:id="8">
    <w:p w:rsidR="006E2C5F" w:rsidRDefault="006E2C5F">
      <w:pPr>
        <w:pStyle w:val="FootnoteText"/>
      </w:pPr>
      <w:r>
        <w:rPr>
          <w:rStyle w:val="FootnoteReference"/>
        </w:rPr>
        <w:footnoteRef/>
      </w:r>
      <w:r>
        <w:t xml:space="preserve"> OAC 4901:1-39-01(H).</w:t>
      </w:r>
    </w:p>
  </w:footnote>
  <w:footnote w:id="9">
    <w:p w:rsidR="006E2C5F" w:rsidRDefault="006E2C5F">
      <w:pPr>
        <w:pStyle w:val="FootnoteText"/>
      </w:pPr>
      <w:r>
        <w:rPr>
          <w:rStyle w:val="FootnoteReference"/>
        </w:rPr>
        <w:footnoteRef/>
      </w:r>
      <w:r>
        <w:t xml:space="preserve"> OAC 4901:1-39-01(A).</w:t>
      </w:r>
    </w:p>
  </w:footnote>
  <w:footnote w:id="10">
    <w:p w:rsidR="00B474C1" w:rsidRDefault="00B474C1">
      <w:pPr>
        <w:pStyle w:val="FootnoteText"/>
      </w:pPr>
      <w:r>
        <w:rPr>
          <w:rStyle w:val="FootnoteReference"/>
        </w:rPr>
        <w:footnoteRef/>
      </w:r>
      <w:r>
        <w:t xml:space="preserve"> Case No. 13-431-EL-POR.</w:t>
      </w:r>
    </w:p>
  </w:footnote>
  <w:footnote w:id="11">
    <w:p w:rsidR="0093418F" w:rsidRPr="0093418F" w:rsidRDefault="0093418F">
      <w:pPr>
        <w:pStyle w:val="FootnoteText"/>
      </w:pPr>
      <w:r>
        <w:rPr>
          <w:rStyle w:val="FootnoteReference"/>
        </w:rPr>
        <w:footnoteRef/>
      </w:r>
      <w:r>
        <w:t xml:space="preserve"> </w:t>
      </w:r>
      <w:r>
        <w:rPr>
          <w:i/>
        </w:rPr>
        <w:t>See</w:t>
      </w:r>
      <w:r>
        <w:t xml:space="preserve"> Duke Energy Ohio: Market Assessment and Action Plan for Electric DSM Programs, Case No. 13-431-EL-POR (dated Jan. 7, 2013, filed Feb. 19, 2013).</w:t>
      </w:r>
    </w:p>
  </w:footnote>
  <w:footnote w:id="12">
    <w:p w:rsidR="0093418F" w:rsidRPr="0093418F" w:rsidRDefault="0093418F">
      <w:pPr>
        <w:pStyle w:val="FootnoteText"/>
      </w:pPr>
      <w:r>
        <w:rPr>
          <w:rStyle w:val="FootnoteReference"/>
        </w:rPr>
        <w:footnoteRef/>
      </w:r>
      <w:r>
        <w:t xml:space="preserve"> </w:t>
      </w:r>
      <w:r>
        <w:rPr>
          <w:i/>
        </w:rPr>
        <w:t>See</w:t>
      </w:r>
      <w:r>
        <w:t xml:space="preserve"> Application, Case No. 13-431-EL-POR (Apr. 15,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8A" w:rsidRDefault="0078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8A" w:rsidRDefault="00780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8A" w:rsidRDefault="007804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F1" w:rsidRDefault="00344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6738"/>
    <w:multiLevelType w:val="hybridMultilevel"/>
    <w:tmpl w:val="59C8D124"/>
    <w:lvl w:ilvl="0" w:tplc="3FE0CE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025DCA"/>
    <w:multiLevelType w:val="hybridMultilevel"/>
    <w:tmpl w:val="9AC88196"/>
    <w:lvl w:ilvl="0" w:tplc="93B04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1159C"/>
    <w:rsid w:val="00024994"/>
    <w:rsid w:val="00026EEC"/>
    <w:rsid w:val="00066FF0"/>
    <w:rsid w:val="00082F90"/>
    <w:rsid w:val="000A0880"/>
    <w:rsid w:val="000A48EF"/>
    <w:rsid w:val="000B3D97"/>
    <w:rsid w:val="001225A4"/>
    <w:rsid w:val="0012482B"/>
    <w:rsid w:val="00134BB0"/>
    <w:rsid w:val="001438B8"/>
    <w:rsid w:val="0017403B"/>
    <w:rsid w:val="0019088A"/>
    <w:rsid w:val="00195797"/>
    <w:rsid w:val="00196DFC"/>
    <w:rsid w:val="001A5489"/>
    <w:rsid w:val="001D2CE6"/>
    <w:rsid w:val="001D62AD"/>
    <w:rsid w:val="001E490C"/>
    <w:rsid w:val="0020317B"/>
    <w:rsid w:val="00220105"/>
    <w:rsid w:val="00230CE6"/>
    <w:rsid w:val="002374C0"/>
    <w:rsid w:val="00241884"/>
    <w:rsid w:val="00266E6D"/>
    <w:rsid w:val="002729A5"/>
    <w:rsid w:val="00280E63"/>
    <w:rsid w:val="002D0BAE"/>
    <w:rsid w:val="002E3FAD"/>
    <w:rsid w:val="00304E4D"/>
    <w:rsid w:val="003175CC"/>
    <w:rsid w:val="00330040"/>
    <w:rsid w:val="0033340B"/>
    <w:rsid w:val="00344DF1"/>
    <w:rsid w:val="00371B6C"/>
    <w:rsid w:val="003748E8"/>
    <w:rsid w:val="00385370"/>
    <w:rsid w:val="00392417"/>
    <w:rsid w:val="00394064"/>
    <w:rsid w:val="003A3728"/>
    <w:rsid w:val="003A3927"/>
    <w:rsid w:val="003B11B8"/>
    <w:rsid w:val="003B20D3"/>
    <w:rsid w:val="003B23A4"/>
    <w:rsid w:val="003B5047"/>
    <w:rsid w:val="003B7F9C"/>
    <w:rsid w:val="003D1DC1"/>
    <w:rsid w:val="004004DF"/>
    <w:rsid w:val="00403843"/>
    <w:rsid w:val="004227EB"/>
    <w:rsid w:val="00444878"/>
    <w:rsid w:val="00457A36"/>
    <w:rsid w:val="00482806"/>
    <w:rsid w:val="00486295"/>
    <w:rsid w:val="0049491F"/>
    <w:rsid w:val="004B47A1"/>
    <w:rsid w:val="004C1B7C"/>
    <w:rsid w:val="004C462F"/>
    <w:rsid w:val="004D0812"/>
    <w:rsid w:val="004D129E"/>
    <w:rsid w:val="004D303A"/>
    <w:rsid w:val="004F297B"/>
    <w:rsid w:val="004F2AA4"/>
    <w:rsid w:val="004F2BBB"/>
    <w:rsid w:val="00505EA8"/>
    <w:rsid w:val="0053126A"/>
    <w:rsid w:val="005313A0"/>
    <w:rsid w:val="005706D7"/>
    <w:rsid w:val="00594F47"/>
    <w:rsid w:val="005C00C0"/>
    <w:rsid w:val="005C59B3"/>
    <w:rsid w:val="005D73EF"/>
    <w:rsid w:val="005E196E"/>
    <w:rsid w:val="005E3329"/>
    <w:rsid w:val="00647866"/>
    <w:rsid w:val="00666AB5"/>
    <w:rsid w:val="00683929"/>
    <w:rsid w:val="0068480B"/>
    <w:rsid w:val="006B5977"/>
    <w:rsid w:val="006C19C3"/>
    <w:rsid w:val="006D18A6"/>
    <w:rsid w:val="006E2C5F"/>
    <w:rsid w:val="006E5E9F"/>
    <w:rsid w:val="00701EAF"/>
    <w:rsid w:val="00704D0E"/>
    <w:rsid w:val="00710E80"/>
    <w:rsid w:val="007126ED"/>
    <w:rsid w:val="00722EED"/>
    <w:rsid w:val="00725532"/>
    <w:rsid w:val="0073574D"/>
    <w:rsid w:val="00752039"/>
    <w:rsid w:val="0076357A"/>
    <w:rsid w:val="007676CA"/>
    <w:rsid w:val="0078048A"/>
    <w:rsid w:val="007C2976"/>
    <w:rsid w:val="007C5C7C"/>
    <w:rsid w:val="007D0B97"/>
    <w:rsid w:val="00800009"/>
    <w:rsid w:val="00837FEE"/>
    <w:rsid w:val="00843AB0"/>
    <w:rsid w:val="00863093"/>
    <w:rsid w:val="008940F7"/>
    <w:rsid w:val="00896208"/>
    <w:rsid w:val="008A2518"/>
    <w:rsid w:val="008A2D58"/>
    <w:rsid w:val="008A6DE3"/>
    <w:rsid w:val="008C5912"/>
    <w:rsid w:val="008F4D44"/>
    <w:rsid w:val="0091432F"/>
    <w:rsid w:val="0093418F"/>
    <w:rsid w:val="009436DB"/>
    <w:rsid w:val="0095352D"/>
    <w:rsid w:val="00974044"/>
    <w:rsid w:val="00974AC9"/>
    <w:rsid w:val="00983AB2"/>
    <w:rsid w:val="00990AE7"/>
    <w:rsid w:val="009A091F"/>
    <w:rsid w:val="009C4FD4"/>
    <w:rsid w:val="009D07C8"/>
    <w:rsid w:val="009F643A"/>
    <w:rsid w:val="00A07D30"/>
    <w:rsid w:val="00A25FE5"/>
    <w:rsid w:val="00A40DA9"/>
    <w:rsid w:val="00A518A7"/>
    <w:rsid w:val="00A538A1"/>
    <w:rsid w:val="00A56A91"/>
    <w:rsid w:val="00A57341"/>
    <w:rsid w:val="00A63355"/>
    <w:rsid w:val="00A63F3D"/>
    <w:rsid w:val="00A72E26"/>
    <w:rsid w:val="00A76FB7"/>
    <w:rsid w:val="00A8485C"/>
    <w:rsid w:val="00A96F30"/>
    <w:rsid w:val="00AA0536"/>
    <w:rsid w:val="00AE0D22"/>
    <w:rsid w:val="00AE421A"/>
    <w:rsid w:val="00AE7D20"/>
    <w:rsid w:val="00B0189B"/>
    <w:rsid w:val="00B10098"/>
    <w:rsid w:val="00B12892"/>
    <w:rsid w:val="00B13945"/>
    <w:rsid w:val="00B204D3"/>
    <w:rsid w:val="00B27046"/>
    <w:rsid w:val="00B474C1"/>
    <w:rsid w:val="00BA3551"/>
    <w:rsid w:val="00C05D8D"/>
    <w:rsid w:val="00C11533"/>
    <w:rsid w:val="00C12408"/>
    <w:rsid w:val="00C16CD2"/>
    <w:rsid w:val="00C27D5C"/>
    <w:rsid w:val="00C30244"/>
    <w:rsid w:val="00C31A75"/>
    <w:rsid w:val="00C7667E"/>
    <w:rsid w:val="00C82804"/>
    <w:rsid w:val="00CA183C"/>
    <w:rsid w:val="00CA1B5D"/>
    <w:rsid w:val="00CE0972"/>
    <w:rsid w:val="00CF082D"/>
    <w:rsid w:val="00CF68BD"/>
    <w:rsid w:val="00D040F4"/>
    <w:rsid w:val="00D0554D"/>
    <w:rsid w:val="00D109CB"/>
    <w:rsid w:val="00D24367"/>
    <w:rsid w:val="00D37E21"/>
    <w:rsid w:val="00D50439"/>
    <w:rsid w:val="00D710A2"/>
    <w:rsid w:val="00D93B4C"/>
    <w:rsid w:val="00DA25DE"/>
    <w:rsid w:val="00DA3817"/>
    <w:rsid w:val="00DA3B10"/>
    <w:rsid w:val="00DA3C78"/>
    <w:rsid w:val="00DC77AF"/>
    <w:rsid w:val="00DD0611"/>
    <w:rsid w:val="00DD1CB9"/>
    <w:rsid w:val="00DD20B2"/>
    <w:rsid w:val="00DF3058"/>
    <w:rsid w:val="00E0423B"/>
    <w:rsid w:val="00E15494"/>
    <w:rsid w:val="00E243A4"/>
    <w:rsid w:val="00E754F1"/>
    <w:rsid w:val="00E81242"/>
    <w:rsid w:val="00E82C2A"/>
    <w:rsid w:val="00E9125E"/>
    <w:rsid w:val="00E96689"/>
    <w:rsid w:val="00EF0F38"/>
    <w:rsid w:val="00EF3DB3"/>
    <w:rsid w:val="00F01A72"/>
    <w:rsid w:val="00F06C4D"/>
    <w:rsid w:val="00F60641"/>
    <w:rsid w:val="00F80B53"/>
    <w:rsid w:val="00F941D1"/>
    <w:rsid w:val="00FB24B6"/>
    <w:rsid w:val="00FB3452"/>
    <w:rsid w:val="00FC03F9"/>
    <w:rsid w:val="00FC69BC"/>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486295"/>
    <w:pPr>
      <w:ind w:left="720"/>
      <w:contextualSpacing/>
    </w:pPr>
  </w:style>
  <w:style w:type="character" w:customStyle="1" w:styleId="BodyTextChar">
    <w:name w:val="Body Text Char"/>
    <w:basedOn w:val="DefaultParagraphFont"/>
    <w:link w:val="BodyText"/>
    <w:rsid w:val="009C4FD4"/>
    <w:rPr>
      <w:sz w:val="24"/>
    </w:rPr>
  </w:style>
  <w:style w:type="character" w:customStyle="1" w:styleId="CommentTextChar">
    <w:name w:val="Comment Text Char"/>
    <w:basedOn w:val="DefaultParagraphFont"/>
    <w:link w:val="CommentText"/>
    <w:semiHidden/>
    <w:rsid w:val="009C4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486295"/>
    <w:pPr>
      <w:ind w:left="720"/>
      <w:contextualSpacing/>
    </w:pPr>
  </w:style>
  <w:style w:type="character" w:customStyle="1" w:styleId="BodyTextChar">
    <w:name w:val="Body Text Char"/>
    <w:basedOn w:val="DefaultParagraphFont"/>
    <w:link w:val="BodyText"/>
    <w:rsid w:val="009C4FD4"/>
    <w:rPr>
      <w:sz w:val="24"/>
    </w:rPr>
  </w:style>
  <w:style w:type="character" w:customStyle="1" w:styleId="CommentTextChar">
    <w:name w:val="Comment Text Char"/>
    <w:basedOn w:val="DefaultParagraphFont"/>
    <w:link w:val="CommentText"/>
    <w:semiHidden/>
    <w:rsid w:val="009C4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hiloni@carpenterlipps.com" TargetMode="External"/><Relationship Id="rId3" Type="http://schemas.microsoft.com/office/2007/relationships/stylesWithEffects" Target="stylesWithEffects.xml"/><Relationship Id="rId21" Type="http://schemas.openxmlformats.org/officeDocument/2006/relationships/hyperlink" Target="mailto:Nicholas.walstra@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ojko@carpenterlipp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orourke@carpenterlipps.com" TargetMode="External"/><Relationship Id="rId20" Type="http://schemas.openxmlformats.org/officeDocument/2006/relationships/hyperlink" Target="mailto:Elizabeth.watts@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illiam.wright@ohioattorneygeneral.gov"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opher.healey@occ.ohio.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7175</Characters>
  <Application>Microsoft Office Word</Application>
  <DocSecurity>0</DocSecurity>
  <PresentationFormat/>
  <Lines>177</Lines>
  <Paragraphs>51</Paragraphs>
  <ScaleCrop>false</ScaleCrop>
  <HeadingPairs>
    <vt:vector size="2" baseType="variant">
      <vt:variant>
        <vt:lpstr>Title</vt:lpstr>
      </vt:variant>
      <vt:variant>
        <vt:i4>1</vt:i4>
      </vt:variant>
    </vt:vector>
  </HeadingPairs>
  <TitlesOfParts>
    <vt:vector size="1" baseType="lpstr">
      <vt:lpstr>Duke 16-1017 - OCC Comments in Opposition to Application  (00011990.DOCX;6)</vt:lpstr>
    </vt:vector>
  </TitlesOfParts>
  <Manager/>
  <Company/>
  <LinksUpToDate>false</LinksUpToDate>
  <CharactersWithSpaces>8440</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2016-06-01T19:00:00Z</dcterms:created>
  <dcterms:modified xsi:type="dcterms:W3CDTF">2016-06-01T19:00:00Z</dcterms:modified>
  <cp:category> </cp:category>
  <cp:contentStatus> </cp:contentStatus>
</cp:coreProperties>
</file>