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0B" w:rsidRPr="000E3D0B" w:rsidRDefault="000E3D0B" w:rsidP="000E3D0B">
      <w:pPr>
        <w:widowControl w:val="0"/>
        <w:jc w:val="center"/>
        <w:rPr>
          <w:rFonts w:eastAsia="Times New Roman"/>
          <w:b/>
          <w:sz w:val="24"/>
        </w:rPr>
      </w:pPr>
      <w:bookmarkStart w:id="0" w:name="_GoBack"/>
      <w:bookmarkEnd w:id="0"/>
      <w:r w:rsidRPr="000E3D0B">
        <w:rPr>
          <w:rFonts w:eastAsia="Times New Roman"/>
          <w:b/>
          <w:sz w:val="24"/>
        </w:rPr>
        <w:t>BEFORE</w:t>
      </w:r>
    </w:p>
    <w:p w:rsidR="000E3D0B" w:rsidRPr="000E3D0B" w:rsidRDefault="000E3D0B" w:rsidP="000E3D0B">
      <w:pPr>
        <w:widowControl w:val="0"/>
        <w:spacing w:after="200" w:line="276" w:lineRule="auto"/>
        <w:jc w:val="center"/>
        <w:rPr>
          <w:b/>
          <w:sz w:val="24"/>
        </w:rPr>
      </w:pPr>
      <w:r w:rsidRPr="000E3D0B">
        <w:rPr>
          <w:b/>
          <w:sz w:val="24"/>
        </w:rPr>
        <w:t>THE PUBLIC UTILITIES COMMISSION OF OHIO</w:t>
      </w:r>
    </w:p>
    <w:tbl>
      <w:tblPr>
        <w:tblW w:w="0" w:type="auto"/>
        <w:jc w:val="center"/>
        <w:tblInd w:w="-315" w:type="dxa"/>
        <w:tblLook w:val="01E0" w:firstRow="1" w:lastRow="1" w:firstColumn="1" w:lastColumn="1" w:noHBand="0" w:noVBand="0"/>
      </w:tblPr>
      <w:tblGrid>
        <w:gridCol w:w="4739"/>
        <w:gridCol w:w="630"/>
        <w:gridCol w:w="3928"/>
      </w:tblGrid>
      <w:tr w:rsidR="000E3D0B" w:rsidRPr="000E3D0B" w:rsidTr="00CD2218">
        <w:trPr>
          <w:trHeight w:val="873"/>
          <w:jc w:val="center"/>
        </w:trPr>
        <w:tc>
          <w:tcPr>
            <w:tcW w:w="4739" w:type="dxa"/>
          </w:tcPr>
          <w:p w:rsidR="000E3D0B" w:rsidRPr="000E3D0B" w:rsidRDefault="000E3D0B" w:rsidP="000E3D0B">
            <w:pPr>
              <w:autoSpaceDE w:val="0"/>
              <w:autoSpaceDN w:val="0"/>
              <w:adjustRightInd w:val="0"/>
              <w:jc w:val="left"/>
              <w:rPr>
                <w:sz w:val="24"/>
              </w:rPr>
            </w:pPr>
            <w:r w:rsidRPr="000E3D0B">
              <w:rPr>
                <w:sz w:val="24"/>
              </w:rPr>
              <w:t>In the Matter of the Application Seeking</w:t>
            </w:r>
          </w:p>
          <w:p w:rsidR="000E3D0B" w:rsidRPr="000E3D0B" w:rsidRDefault="000E3D0B" w:rsidP="000E3D0B">
            <w:pPr>
              <w:autoSpaceDE w:val="0"/>
              <w:autoSpaceDN w:val="0"/>
              <w:adjustRightInd w:val="0"/>
              <w:jc w:val="left"/>
              <w:rPr>
                <w:sz w:val="24"/>
              </w:rPr>
            </w:pPr>
            <w:r w:rsidRPr="000E3D0B">
              <w:rPr>
                <w:sz w:val="24"/>
              </w:rPr>
              <w:t>Approval of Ohio Power Company’s</w:t>
            </w:r>
          </w:p>
          <w:p w:rsidR="000E3D0B" w:rsidRPr="000E3D0B" w:rsidRDefault="000E3D0B" w:rsidP="000E3D0B">
            <w:pPr>
              <w:autoSpaceDE w:val="0"/>
              <w:autoSpaceDN w:val="0"/>
              <w:adjustRightInd w:val="0"/>
              <w:jc w:val="left"/>
              <w:rPr>
                <w:sz w:val="24"/>
              </w:rPr>
            </w:pPr>
            <w:r w:rsidRPr="000E3D0B">
              <w:rPr>
                <w:sz w:val="24"/>
              </w:rPr>
              <w:t>Proposal to Enter into an Affiliate Power</w:t>
            </w:r>
          </w:p>
          <w:p w:rsidR="000E3D0B" w:rsidRPr="000E3D0B" w:rsidRDefault="000E3D0B" w:rsidP="000E3D0B">
            <w:pPr>
              <w:autoSpaceDE w:val="0"/>
              <w:autoSpaceDN w:val="0"/>
              <w:adjustRightInd w:val="0"/>
              <w:jc w:val="left"/>
              <w:rPr>
                <w:sz w:val="24"/>
              </w:rPr>
            </w:pPr>
            <w:r w:rsidRPr="000E3D0B">
              <w:rPr>
                <w:sz w:val="24"/>
              </w:rPr>
              <w:t>Purchase Agreement for Inclusion in the</w:t>
            </w:r>
          </w:p>
          <w:p w:rsidR="000E3D0B" w:rsidRPr="000E3D0B" w:rsidRDefault="000E3D0B" w:rsidP="000E3D0B">
            <w:pPr>
              <w:autoSpaceDE w:val="0"/>
              <w:autoSpaceDN w:val="0"/>
              <w:adjustRightInd w:val="0"/>
              <w:jc w:val="left"/>
              <w:rPr>
                <w:sz w:val="24"/>
              </w:rPr>
            </w:pPr>
            <w:r w:rsidRPr="000E3D0B">
              <w:rPr>
                <w:sz w:val="24"/>
              </w:rPr>
              <w:t>Power Purchase Agreement Rider</w:t>
            </w:r>
          </w:p>
          <w:p w:rsidR="000E3D0B" w:rsidRPr="000E3D0B" w:rsidRDefault="000E3D0B" w:rsidP="000E3D0B">
            <w:pPr>
              <w:autoSpaceDE w:val="0"/>
              <w:autoSpaceDN w:val="0"/>
              <w:adjustRightInd w:val="0"/>
              <w:jc w:val="left"/>
              <w:rPr>
                <w:sz w:val="24"/>
              </w:rPr>
            </w:pPr>
          </w:p>
          <w:p w:rsidR="000E3D0B" w:rsidRPr="000E3D0B" w:rsidRDefault="000E3D0B" w:rsidP="000E3D0B">
            <w:pPr>
              <w:autoSpaceDE w:val="0"/>
              <w:autoSpaceDN w:val="0"/>
              <w:adjustRightInd w:val="0"/>
              <w:jc w:val="left"/>
              <w:rPr>
                <w:sz w:val="24"/>
              </w:rPr>
            </w:pPr>
            <w:r w:rsidRPr="000E3D0B">
              <w:rPr>
                <w:sz w:val="24"/>
              </w:rPr>
              <w:t>In the Matter of the Application of Ohio</w:t>
            </w:r>
          </w:p>
          <w:p w:rsidR="000E3D0B" w:rsidRPr="000E3D0B" w:rsidRDefault="000E3D0B" w:rsidP="000E3D0B">
            <w:pPr>
              <w:autoSpaceDE w:val="0"/>
              <w:autoSpaceDN w:val="0"/>
              <w:adjustRightInd w:val="0"/>
              <w:jc w:val="left"/>
              <w:rPr>
                <w:sz w:val="24"/>
              </w:rPr>
            </w:pPr>
            <w:r w:rsidRPr="000E3D0B">
              <w:rPr>
                <w:sz w:val="24"/>
              </w:rPr>
              <w:t>Power Company for Approval of Certain</w:t>
            </w:r>
          </w:p>
          <w:p w:rsidR="000E3D0B" w:rsidRPr="000E3D0B" w:rsidRDefault="000E3D0B" w:rsidP="000E3D0B">
            <w:pPr>
              <w:autoSpaceDE w:val="0"/>
              <w:autoSpaceDN w:val="0"/>
              <w:adjustRightInd w:val="0"/>
              <w:jc w:val="left"/>
              <w:rPr>
                <w:sz w:val="24"/>
              </w:rPr>
            </w:pPr>
            <w:r w:rsidRPr="000E3D0B">
              <w:rPr>
                <w:sz w:val="24"/>
              </w:rPr>
              <w:t>Accounting Authority</w:t>
            </w:r>
          </w:p>
        </w:tc>
        <w:tc>
          <w:tcPr>
            <w:tcW w:w="630" w:type="dxa"/>
          </w:tcPr>
          <w:p w:rsidR="000E3D0B" w:rsidRPr="000E3D0B" w:rsidRDefault="000E3D0B" w:rsidP="000E3D0B">
            <w:pPr>
              <w:widowControl w:val="0"/>
              <w:jc w:val="center"/>
              <w:rPr>
                <w:sz w:val="24"/>
              </w:rPr>
            </w:pPr>
            <w:r w:rsidRPr="000E3D0B">
              <w:rPr>
                <w:sz w:val="24"/>
              </w:rPr>
              <w:t>)</w:t>
            </w:r>
          </w:p>
          <w:p w:rsidR="000E3D0B" w:rsidRPr="000E3D0B" w:rsidRDefault="000E3D0B" w:rsidP="000E3D0B">
            <w:pPr>
              <w:widowControl w:val="0"/>
              <w:jc w:val="center"/>
              <w:rPr>
                <w:sz w:val="24"/>
              </w:rPr>
            </w:pPr>
            <w:r w:rsidRPr="000E3D0B">
              <w:rPr>
                <w:sz w:val="24"/>
              </w:rPr>
              <w:t>)</w:t>
            </w:r>
          </w:p>
          <w:p w:rsidR="000E3D0B" w:rsidRPr="000E3D0B" w:rsidRDefault="000E3D0B" w:rsidP="000E3D0B">
            <w:pPr>
              <w:widowControl w:val="0"/>
              <w:jc w:val="center"/>
              <w:rPr>
                <w:sz w:val="24"/>
              </w:rPr>
            </w:pPr>
            <w:r w:rsidRPr="000E3D0B">
              <w:rPr>
                <w:sz w:val="24"/>
              </w:rPr>
              <w:t>)</w:t>
            </w:r>
          </w:p>
          <w:p w:rsidR="000E3D0B" w:rsidRPr="000E3D0B" w:rsidRDefault="000E3D0B" w:rsidP="000E3D0B">
            <w:pPr>
              <w:widowControl w:val="0"/>
              <w:jc w:val="center"/>
              <w:rPr>
                <w:sz w:val="24"/>
              </w:rPr>
            </w:pPr>
            <w:r w:rsidRPr="000E3D0B">
              <w:rPr>
                <w:sz w:val="24"/>
              </w:rPr>
              <w:t>)</w:t>
            </w:r>
          </w:p>
          <w:p w:rsidR="000E3D0B" w:rsidRPr="000E3D0B" w:rsidRDefault="000E3D0B" w:rsidP="000E3D0B">
            <w:pPr>
              <w:widowControl w:val="0"/>
              <w:jc w:val="center"/>
              <w:rPr>
                <w:sz w:val="24"/>
              </w:rPr>
            </w:pPr>
            <w:r w:rsidRPr="000E3D0B">
              <w:rPr>
                <w:sz w:val="24"/>
              </w:rPr>
              <w:t>)</w:t>
            </w:r>
          </w:p>
          <w:p w:rsidR="000E3D0B" w:rsidRPr="000E3D0B" w:rsidRDefault="000E3D0B" w:rsidP="000E3D0B">
            <w:pPr>
              <w:widowControl w:val="0"/>
              <w:jc w:val="center"/>
              <w:rPr>
                <w:sz w:val="24"/>
              </w:rPr>
            </w:pPr>
            <w:r w:rsidRPr="000E3D0B">
              <w:rPr>
                <w:sz w:val="24"/>
              </w:rPr>
              <w:t>)</w:t>
            </w:r>
          </w:p>
          <w:p w:rsidR="000E3D0B" w:rsidRPr="000E3D0B" w:rsidRDefault="000E3D0B" w:rsidP="000E3D0B">
            <w:pPr>
              <w:widowControl w:val="0"/>
              <w:jc w:val="center"/>
              <w:rPr>
                <w:sz w:val="24"/>
              </w:rPr>
            </w:pPr>
            <w:r w:rsidRPr="000E3D0B">
              <w:rPr>
                <w:sz w:val="24"/>
              </w:rPr>
              <w:t>)</w:t>
            </w:r>
          </w:p>
          <w:p w:rsidR="000E3D0B" w:rsidRPr="000E3D0B" w:rsidRDefault="000E3D0B" w:rsidP="000E3D0B">
            <w:pPr>
              <w:widowControl w:val="0"/>
              <w:jc w:val="center"/>
              <w:rPr>
                <w:sz w:val="24"/>
              </w:rPr>
            </w:pPr>
            <w:r w:rsidRPr="000E3D0B">
              <w:rPr>
                <w:sz w:val="24"/>
              </w:rPr>
              <w:t>)</w:t>
            </w:r>
          </w:p>
          <w:p w:rsidR="000E3D0B" w:rsidRPr="000E3D0B" w:rsidRDefault="000E3D0B" w:rsidP="000E3D0B">
            <w:pPr>
              <w:widowControl w:val="0"/>
              <w:jc w:val="center"/>
              <w:rPr>
                <w:sz w:val="24"/>
              </w:rPr>
            </w:pPr>
            <w:r w:rsidRPr="000E3D0B">
              <w:rPr>
                <w:sz w:val="24"/>
              </w:rPr>
              <w:t>)</w:t>
            </w:r>
          </w:p>
          <w:p w:rsidR="000E3D0B" w:rsidRPr="000E3D0B" w:rsidRDefault="000E3D0B" w:rsidP="000E3D0B">
            <w:pPr>
              <w:widowControl w:val="0"/>
              <w:jc w:val="left"/>
              <w:rPr>
                <w:sz w:val="24"/>
              </w:rPr>
            </w:pPr>
          </w:p>
        </w:tc>
        <w:tc>
          <w:tcPr>
            <w:tcW w:w="3928" w:type="dxa"/>
          </w:tcPr>
          <w:p w:rsidR="000E3D0B" w:rsidRPr="000E3D0B" w:rsidRDefault="000E3D0B" w:rsidP="000E3D0B">
            <w:pPr>
              <w:widowControl w:val="0"/>
              <w:jc w:val="left"/>
              <w:rPr>
                <w:sz w:val="24"/>
              </w:rPr>
            </w:pPr>
          </w:p>
          <w:p w:rsidR="000E3D0B" w:rsidRPr="000E3D0B" w:rsidRDefault="000E3D0B" w:rsidP="000E3D0B">
            <w:pPr>
              <w:widowControl w:val="0"/>
              <w:jc w:val="left"/>
              <w:rPr>
                <w:sz w:val="24"/>
              </w:rPr>
            </w:pPr>
          </w:p>
          <w:p w:rsidR="000E3D0B" w:rsidRPr="000E3D0B" w:rsidRDefault="000E3D0B" w:rsidP="000E3D0B">
            <w:pPr>
              <w:widowControl w:val="0"/>
              <w:jc w:val="left"/>
              <w:rPr>
                <w:sz w:val="24"/>
              </w:rPr>
            </w:pPr>
            <w:r w:rsidRPr="000E3D0B">
              <w:rPr>
                <w:sz w:val="24"/>
              </w:rPr>
              <w:t>Case No. 14-1693-EL-RDR</w:t>
            </w:r>
          </w:p>
          <w:p w:rsidR="000E3D0B" w:rsidRPr="000E3D0B" w:rsidRDefault="000E3D0B" w:rsidP="000E3D0B">
            <w:pPr>
              <w:widowControl w:val="0"/>
              <w:jc w:val="left"/>
              <w:rPr>
                <w:sz w:val="24"/>
              </w:rPr>
            </w:pPr>
          </w:p>
          <w:p w:rsidR="000E3D0B" w:rsidRPr="000E3D0B" w:rsidRDefault="000E3D0B" w:rsidP="000E3D0B">
            <w:pPr>
              <w:widowControl w:val="0"/>
              <w:jc w:val="left"/>
              <w:rPr>
                <w:sz w:val="24"/>
              </w:rPr>
            </w:pPr>
          </w:p>
          <w:p w:rsidR="000E3D0B" w:rsidRPr="000E3D0B" w:rsidRDefault="000E3D0B" w:rsidP="000E3D0B">
            <w:pPr>
              <w:widowControl w:val="0"/>
              <w:jc w:val="left"/>
              <w:rPr>
                <w:sz w:val="24"/>
              </w:rPr>
            </w:pPr>
          </w:p>
          <w:p w:rsidR="000E3D0B" w:rsidRPr="000E3D0B" w:rsidRDefault="000E3D0B" w:rsidP="000E3D0B">
            <w:pPr>
              <w:widowControl w:val="0"/>
              <w:jc w:val="left"/>
              <w:rPr>
                <w:sz w:val="24"/>
              </w:rPr>
            </w:pPr>
          </w:p>
          <w:p w:rsidR="000E3D0B" w:rsidRPr="000E3D0B" w:rsidRDefault="000E3D0B" w:rsidP="000E3D0B">
            <w:pPr>
              <w:widowControl w:val="0"/>
              <w:jc w:val="left"/>
              <w:rPr>
                <w:sz w:val="24"/>
              </w:rPr>
            </w:pPr>
            <w:r w:rsidRPr="000E3D0B">
              <w:rPr>
                <w:sz w:val="24"/>
              </w:rPr>
              <w:t>Case No. 14-1694-EL-AAM</w:t>
            </w:r>
          </w:p>
          <w:p w:rsidR="000E3D0B" w:rsidRPr="000E3D0B" w:rsidRDefault="000E3D0B" w:rsidP="000E3D0B">
            <w:pPr>
              <w:widowControl w:val="0"/>
              <w:jc w:val="left"/>
              <w:rPr>
                <w:sz w:val="24"/>
              </w:rPr>
            </w:pPr>
          </w:p>
          <w:p w:rsidR="000E3D0B" w:rsidRPr="000E3D0B" w:rsidRDefault="000E3D0B" w:rsidP="000E3D0B">
            <w:pPr>
              <w:widowControl w:val="0"/>
              <w:jc w:val="left"/>
              <w:rPr>
                <w:sz w:val="24"/>
              </w:rPr>
            </w:pPr>
          </w:p>
          <w:p w:rsidR="000E3D0B" w:rsidRPr="000E3D0B" w:rsidRDefault="000E3D0B" w:rsidP="000E3D0B">
            <w:pPr>
              <w:widowControl w:val="0"/>
              <w:jc w:val="left"/>
              <w:rPr>
                <w:sz w:val="24"/>
              </w:rPr>
            </w:pPr>
          </w:p>
          <w:p w:rsidR="000E3D0B" w:rsidRPr="000E3D0B" w:rsidRDefault="000E3D0B" w:rsidP="000E3D0B">
            <w:pPr>
              <w:widowControl w:val="0"/>
              <w:jc w:val="left"/>
              <w:rPr>
                <w:sz w:val="24"/>
              </w:rPr>
            </w:pPr>
          </w:p>
          <w:p w:rsidR="000E3D0B" w:rsidRPr="000E3D0B" w:rsidRDefault="000E3D0B" w:rsidP="000E3D0B">
            <w:pPr>
              <w:widowControl w:val="0"/>
              <w:jc w:val="left"/>
              <w:rPr>
                <w:sz w:val="24"/>
              </w:rPr>
            </w:pPr>
          </w:p>
        </w:tc>
      </w:tr>
    </w:tbl>
    <w:p w:rsidR="000E3D0B" w:rsidRPr="000E3D0B" w:rsidRDefault="000E3D0B" w:rsidP="000E3D0B">
      <w:pPr>
        <w:widowControl w:val="0"/>
        <w:suppressLineNumbers/>
        <w:pBdr>
          <w:bottom w:val="single" w:sz="12" w:space="1" w:color="auto"/>
        </w:pBdr>
        <w:overflowPunct w:val="0"/>
        <w:autoSpaceDE w:val="0"/>
        <w:autoSpaceDN w:val="0"/>
        <w:adjustRightInd w:val="0"/>
        <w:jc w:val="left"/>
        <w:rPr>
          <w:rFonts w:eastAsia="Times New Roman"/>
          <w:kern w:val="28"/>
          <w:sz w:val="24"/>
        </w:rPr>
      </w:pPr>
    </w:p>
    <w:p w:rsidR="000E3D0B" w:rsidRPr="000E3D0B" w:rsidRDefault="000E3D0B" w:rsidP="000E3D0B">
      <w:pPr>
        <w:suppressLineNumbers/>
        <w:spacing w:after="200" w:line="276" w:lineRule="auto"/>
        <w:jc w:val="center"/>
        <w:rPr>
          <w:b/>
          <w:bCs/>
          <w:sz w:val="24"/>
        </w:rPr>
      </w:pPr>
    </w:p>
    <w:p w:rsidR="000E3D0B" w:rsidRPr="000E3D0B" w:rsidRDefault="00AB6F6B" w:rsidP="000E3D0B">
      <w:pPr>
        <w:suppressLineNumbers/>
        <w:spacing w:after="200" w:line="276" w:lineRule="auto"/>
        <w:jc w:val="center"/>
        <w:rPr>
          <w:b/>
          <w:bCs/>
          <w:sz w:val="24"/>
        </w:rPr>
      </w:pPr>
      <w:proofErr w:type="gramStart"/>
      <w:r>
        <w:rPr>
          <w:b/>
          <w:bCs/>
          <w:sz w:val="24"/>
        </w:rPr>
        <w:t>MOTION TO QUASH SUBPOENA AND</w:t>
      </w:r>
      <w:r w:rsidR="007A348A">
        <w:rPr>
          <w:b/>
          <w:bCs/>
          <w:sz w:val="24"/>
        </w:rPr>
        <w:t xml:space="preserve"> </w:t>
      </w:r>
      <w:r w:rsidR="00C6267A">
        <w:rPr>
          <w:b/>
          <w:bCs/>
          <w:sz w:val="24"/>
        </w:rPr>
        <w:t xml:space="preserve">MOTION FOR PROTECTIVE ORDER AND </w:t>
      </w:r>
      <w:r w:rsidR="007A348A">
        <w:rPr>
          <w:b/>
          <w:bCs/>
          <w:sz w:val="24"/>
        </w:rPr>
        <w:t>MEMORANDUM IN SUPPORT</w:t>
      </w:r>
      <w:r w:rsidR="000E3D0B">
        <w:rPr>
          <w:b/>
          <w:bCs/>
          <w:sz w:val="24"/>
        </w:rPr>
        <w:t xml:space="preserve"> OF INTERSTATE GAS SUPPLY, INC.</w:t>
      </w:r>
      <w:proofErr w:type="gramEnd"/>
    </w:p>
    <w:p w:rsidR="000E3D0B" w:rsidRPr="000E3D0B" w:rsidRDefault="000E3D0B" w:rsidP="000E3D0B">
      <w:pPr>
        <w:suppressLineNumbers/>
        <w:spacing w:after="200" w:line="276" w:lineRule="auto"/>
        <w:jc w:val="center"/>
        <w:rPr>
          <w:b/>
          <w:bCs/>
          <w:sz w:val="24"/>
        </w:rPr>
      </w:pPr>
      <w:r w:rsidRPr="000E3D0B">
        <w:rPr>
          <w:b/>
          <w:bCs/>
          <w:sz w:val="24"/>
        </w:rPr>
        <w:t>_______________</w:t>
      </w:r>
      <w:r>
        <w:rPr>
          <w:b/>
          <w:bCs/>
          <w:sz w:val="24"/>
        </w:rPr>
        <w:t>________________________________</w:t>
      </w:r>
      <w:r w:rsidRPr="000E3D0B">
        <w:rPr>
          <w:b/>
          <w:bCs/>
          <w:sz w:val="24"/>
        </w:rPr>
        <w:t>_______________________</w:t>
      </w:r>
    </w:p>
    <w:p w:rsidR="000E3D0B" w:rsidRPr="000E3D0B" w:rsidRDefault="000E3D0B" w:rsidP="000E3D0B">
      <w:pPr>
        <w:suppressLineNumbers/>
        <w:spacing w:after="200" w:line="276" w:lineRule="auto"/>
        <w:jc w:val="center"/>
        <w:rPr>
          <w:b/>
          <w:bCs/>
          <w:sz w:val="24"/>
        </w:rPr>
      </w:pPr>
    </w:p>
    <w:p w:rsidR="009F5B55" w:rsidRDefault="009F5B55"/>
    <w:p w:rsidR="000E3D0B" w:rsidRDefault="000E3D0B"/>
    <w:p w:rsidR="000E3D0B" w:rsidRDefault="000E3D0B"/>
    <w:p w:rsidR="000E3D0B" w:rsidRDefault="000E3D0B"/>
    <w:p w:rsidR="000E3D0B" w:rsidRDefault="000E3D0B"/>
    <w:p w:rsidR="000E3D0B" w:rsidRDefault="000E3D0B"/>
    <w:p w:rsidR="000E3D0B" w:rsidRDefault="000E3D0B"/>
    <w:p w:rsidR="000E3D0B" w:rsidRDefault="000E3D0B"/>
    <w:p w:rsidR="000E3D0B" w:rsidRDefault="000E3D0B"/>
    <w:p w:rsidR="000E3D0B" w:rsidRDefault="000E3D0B"/>
    <w:p w:rsidR="000E3D0B" w:rsidRDefault="000E3D0B"/>
    <w:p w:rsidR="000E3D0B" w:rsidRDefault="000E3D0B"/>
    <w:p w:rsidR="000E3D0B" w:rsidRDefault="00AB6F6B">
      <w:r>
        <w:tab/>
      </w:r>
      <w:r>
        <w:tab/>
      </w:r>
      <w:r>
        <w:tab/>
      </w:r>
      <w:r>
        <w:tab/>
      </w:r>
      <w:r>
        <w:tab/>
      </w:r>
      <w:r>
        <w:tab/>
      </w:r>
      <w:r>
        <w:tab/>
      </w:r>
    </w:p>
    <w:p w:rsidR="00AB6F6B" w:rsidRDefault="00AB6F6B" w:rsidP="00AB6F6B">
      <w:pPr>
        <w:ind w:left="5040"/>
        <w:rPr>
          <w:sz w:val="24"/>
        </w:rPr>
      </w:pPr>
      <w:r>
        <w:rPr>
          <w:sz w:val="24"/>
        </w:rPr>
        <w:t>Joseph Oliker (0086088)</w:t>
      </w:r>
    </w:p>
    <w:p w:rsidR="00AB6F6B" w:rsidRDefault="00AB6F6B" w:rsidP="00AB6F6B">
      <w:pPr>
        <w:ind w:left="5040"/>
        <w:rPr>
          <w:sz w:val="24"/>
        </w:rPr>
      </w:pPr>
      <w:r>
        <w:rPr>
          <w:sz w:val="24"/>
        </w:rPr>
        <w:t>Email</w:t>
      </w:r>
      <w:r w:rsidRPr="00A71E20">
        <w:rPr>
          <w:sz w:val="24"/>
        </w:rPr>
        <w:t>:</w:t>
      </w:r>
      <w:r w:rsidRPr="00AB6F6B">
        <w:rPr>
          <w:sz w:val="24"/>
        </w:rPr>
        <w:t xml:space="preserve"> </w:t>
      </w:r>
      <w:hyperlink r:id="rId9" w:history="1">
        <w:r w:rsidRPr="00AB6F6B">
          <w:rPr>
            <w:rStyle w:val="Hyperlink"/>
            <w:color w:val="auto"/>
            <w:sz w:val="24"/>
            <w:u w:val="none"/>
          </w:rPr>
          <w:t>joliker@igsenergy.com</w:t>
        </w:r>
      </w:hyperlink>
    </w:p>
    <w:p w:rsidR="00AB6F6B" w:rsidRDefault="00AB6F6B" w:rsidP="00AB6F6B">
      <w:pPr>
        <w:ind w:left="5040"/>
        <w:rPr>
          <w:sz w:val="24"/>
        </w:rPr>
      </w:pPr>
      <w:r>
        <w:rPr>
          <w:sz w:val="24"/>
        </w:rPr>
        <w:t>Counsel of Record</w:t>
      </w:r>
    </w:p>
    <w:p w:rsidR="00AB6F6B" w:rsidRDefault="00AB6F6B" w:rsidP="00AB6F6B">
      <w:pPr>
        <w:ind w:left="5040"/>
        <w:rPr>
          <w:sz w:val="24"/>
        </w:rPr>
      </w:pPr>
      <w:r>
        <w:rPr>
          <w:sz w:val="24"/>
        </w:rPr>
        <w:t>IGS Energy</w:t>
      </w:r>
    </w:p>
    <w:p w:rsidR="00AB6F6B" w:rsidRDefault="00AB6F6B" w:rsidP="00AB6F6B">
      <w:pPr>
        <w:ind w:left="5040"/>
        <w:rPr>
          <w:sz w:val="24"/>
        </w:rPr>
      </w:pPr>
      <w:r>
        <w:rPr>
          <w:sz w:val="24"/>
        </w:rPr>
        <w:t>6100 Emerald Parkway</w:t>
      </w:r>
    </w:p>
    <w:p w:rsidR="00AB6F6B" w:rsidRDefault="00AB6F6B" w:rsidP="00AB6F6B">
      <w:pPr>
        <w:ind w:left="5040"/>
        <w:rPr>
          <w:sz w:val="24"/>
        </w:rPr>
      </w:pPr>
      <w:r>
        <w:rPr>
          <w:sz w:val="24"/>
        </w:rPr>
        <w:t>Dublin, Ohio 43016</w:t>
      </w:r>
    </w:p>
    <w:p w:rsidR="00AB6F6B" w:rsidRDefault="00AB6F6B" w:rsidP="00AB6F6B">
      <w:pPr>
        <w:ind w:left="5040"/>
        <w:rPr>
          <w:sz w:val="24"/>
        </w:rPr>
      </w:pPr>
      <w:r>
        <w:rPr>
          <w:sz w:val="24"/>
        </w:rPr>
        <w:t>Telephone:</w:t>
      </w:r>
      <w:r>
        <w:rPr>
          <w:sz w:val="24"/>
        </w:rPr>
        <w:tab/>
        <w:t>(614) 659-5000</w:t>
      </w:r>
    </w:p>
    <w:p w:rsidR="00AB6F6B" w:rsidRDefault="00AB6F6B" w:rsidP="00AB6F6B">
      <w:pPr>
        <w:ind w:left="5040"/>
        <w:rPr>
          <w:sz w:val="24"/>
        </w:rPr>
      </w:pPr>
      <w:r>
        <w:rPr>
          <w:sz w:val="24"/>
        </w:rPr>
        <w:t>Facsimile:</w:t>
      </w:r>
      <w:r>
        <w:rPr>
          <w:sz w:val="24"/>
        </w:rPr>
        <w:tab/>
        <w:t>(614) 659-5073</w:t>
      </w:r>
    </w:p>
    <w:p w:rsidR="000E3D0B" w:rsidRDefault="000E3D0B"/>
    <w:p w:rsidR="000E3D0B" w:rsidRPr="00AB6F6B" w:rsidRDefault="000E3D0B" w:rsidP="00E20B6C">
      <w:pPr>
        <w:spacing w:line="480" w:lineRule="auto"/>
      </w:pPr>
    </w:p>
    <w:p w:rsidR="00AB6F6B" w:rsidRPr="000E3D0B" w:rsidRDefault="00AB6F6B" w:rsidP="00AB6F6B">
      <w:pPr>
        <w:widowControl w:val="0"/>
        <w:jc w:val="center"/>
        <w:rPr>
          <w:rFonts w:eastAsia="Times New Roman"/>
          <w:b/>
          <w:sz w:val="24"/>
        </w:rPr>
      </w:pPr>
      <w:r w:rsidRPr="000E3D0B">
        <w:rPr>
          <w:rFonts w:eastAsia="Times New Roman"/>
          <w:b/>
          <w:sz w:val="24"/>
        </w:rPr>
        <w:lastRenderedPageBreak/>
        <w:t>BEFORE</w:t>
      </w:r>
    </w:p>
    <w:p w:rsidR="00AB6F6B" w:rsidRPr="000E3D0B" w:rsidRDefault="00AB6F6B" w:rsidP="00AB6F6B">
      <w:pPr>
        <w:widowControl w:val="0"/>
        <w:spacing w:after="200" w:line="276" w:lineRule="auto"/>
        <w:jc w:val="center"/>
        <w:rPr>
          <w:b/>
          <w:sz w:val="24"/>
        </w:rPr>
      </w:pPr>
      <w:r w:rsidRPr="000E3D0B">
        <w:rPr>
          <w:b/>
          <w:sz w:val="24"/>
        </w:rPr>
        <w:t>THE PUBLIC UTILITIES COMMISSION OF OHIO</w:t>
      </w:r>
    </w:p>
    <w:tbl>
      <w:tblPr>
        <w:tblW w:w="0" w:type="auto"/>
        <w:jc w:val="center"/>
        <w:tblInd w:w="-315" w:type="dxa"/>
        <w:tblLook w:val="01E0" w:firstRow="1" w:lastRow="1" w:firstColumn="1" w:lastColumn="1" w:noHBand="0" w:noVBand="0"/>
      </w:tblPr>
      <w:tblGrid>
        <w:gridCol w:w="4739"/>
        <w:gridCol w:w="630"/>
        <w:gridCol w:w="3928"/>
      </w:tblGrid>
      <w:tr w:rsidR="00AB6F6B" w:rsidRPr="000E3D0B" w:rsidTr="00E30230">
        <w:trPr>
          <w:trHeight w:val="873"/>
          <w:jc w:val="center"/>
        </w:trPr>
        <w:tc>
          <w:tcPr>
            <w:tcW w:w="4739" w:type="dxa"/>
          </w:tcPr>
          <w:p w:rsidR="00AB6F6B" w:rsidRPr="000E3D0B" w:rsidRDefault="00AB6F6B" w:rsidP="00E30230">
            <w:pPr>
              <w:autoSpaceDE w:val="0"/>
              <w:autoSpaceDN w:val="0"/>
              <w:adjustRightInd w:val="0"/>
              <w:jc w:val="left"/>
              <w:rPr>
                <w:sz w:val="24"/>
              </w:rPr>
            </w:pPr>
            <w:r w:rsidRPr="000E3D0B">
              <w:rPr>
                <w:sz w:val="24"/>
              </w:rPr>
              <w:t>In the Matter of the Application Seeking</w:t>
            </w:r>
          </w:p>
          <w:p w:rsidR="00AB6F6B" w:rsidRPr="000E3D0B" w:rsidRDefault="00AB6F6B" w:rsidP="00E30230">
            <w:pPr>
              <w:autoSpaceDE w:val="0"/>
              <w:autoSpaceDN w:val="0"/>
              <w:adjustRightInd w:val="0"/>
              <w:jc w:val="left"/>
              <w:rPr>
                <w:sz w:val="24"/>
              </w:rPr>
            </w:pPr>
            <w:r w:rsidRPr="000E3D0B">
              <w:rPr>
                <w:sz w:val="24"/>
              </w:rPr>
              <w:t>Approval of Ohio Power Company’s</w:t>
            </w:r>
          </w:p>
          <w:p w:rsidR="00AB6F6B" w:rsidRPr="000E3D0B" w:rsidRDefault="00AB6F6B" w:rsidP="00E30230">
            <w:pPr>
              <w:autoSpaceDE w:val="0"/>
              <w:autoSpaceDN w:val="0"/>
              <w:adjustRightInd w:val="0"/>
              <w:jc w:val="left"/>
              <w:rPr>
                <w:sz w:val="24"/>
              </w:rPr>
            </w:pPr>
            <w:r w:rsidRPr="000E3D0B">
              <w:rPr>
                <w:sz w:val="24"/>
              </w:rPr>
              <w:t>Proposal to Enter into an Affiliate Power</w:t>
            </w:r>
          </w:p>
          <w:p w:rsidR="00AB6F6B" w:rsidRPr="000E3D0B" w:rsidRDefault="00AB6F6B" w:rsidP="00E30230">
            <w:pPr>
              <w:autoSpaceDE w:val="0"/>
              <w:autoSpaceDN w:val="0"/>
              <w:adjustRightInd w:val="0"/>
              <w:jc w:val="left"/>
              <w:rPr>
                <w:sz w:val="24"/>
              </w:rPr>
            </w:pPr>
            <w:r w:rsidRPr="000E3D0B">
              <w:rPr>
                <w:sz w:val="24"/>
              </w:rPr>
              <w:t>Purchase Agreement for Inclusion in the</w:t>
            </w:r>
          </w:p>
          <w:p w:rsidR="00AB6F6B" w:rsidRPr="000E3D0B" w:rsidRDefault="00AB6F6B" w:rsidP="00E30230">
            <w:pPr>
              <w:autoSpaceDE w:val="0"/>
              <w:autoSpaceDN w:val="0"/>
              <w:adjustRightInd w:val="0"/>
              <w:jc w:val="left"/>
              <w:rPr>
                <w:sz w:val="24"/>
              </w:rPr>
            </w:pPr>
            <w:r w:rsidRPr="000E3D0B">
              <w:rPr>
                <w:sz w:val="24"/>
              </w:rPr>
              <w:t>Power Purchase Agreement Rider</w:t>
            </w:r>
          </w:p>
          <w:p w:rsidR="00AB6F6B" w:rsidRPr="000E3D0B" w:rsidRDefault="00AB6F6B" w:rsidP="00E30230">
            <w:pPr>
              <w:autoSpaceDE w:val="0"/>
              <w:autoSpaceDN w:val="0"/>
              <w:adjustRightInd w:val="0"/>
              <w:jc w:val="left"/>
              <w:rPr>
                <w:sz w:val="24"/>
              </w:rPr>
            </w:pPr>
          </w:p>
          <w:p w:rsidR="00AB6F6B" w:rsidRPr="000E3D0B" w:rsidRDefault="00AB6F6B" w:rsidP="00E30230">
            <w:pPr>
              <w:autoSpaceDE w:val="0"/>
              <w:autoSpaceDN w:val="0"/>
              <w:adjustRightInd w:val="0"/>
              <w:jc w:val="left"/>
              <w:rPr>
                <w:sz w:val="24"/>
              </w:rPr>
            </w:pPr>
            <w:r w:rsidRPr="000E3D0B">
              <w:rPr>
                <w:sz w:val="24"/>
              </w:rPr>
              <w:t>In the Matter of the Application of Ohio</w:t>
            </w:r>
          </w:p>
          <w:p w:rsidR="00AB6F6B" w:rsidRPr="000E3D0B" w:rsidRDefault="00AB6F6B" w:rsidP="00E30230">
            <w:pPr>
              <w:autoSpaceDE w:val="0"/>
              <w:autoSpaceDN w:val="0"/>
              <w:adjustRightInd w:val="0"/>
              <w:jc w:val="left"/>
              <w:rPr>
                <w:sz w:val="24"/>
              </w:rPr>
            </w:pPr>
            <w:r w:rsidRPr="000E3D0B">
              <w:rPr>
                <w:sz w:val="24"/>
              </w:rPr>
              <w:t>Power Company for Approval of Certain</w:t>
            </w:r>
          </w:p>
          <w:p w:rsidR="00AB6F6B" w:rsidRPr="000E3D0B" w:rsidRDefault="00AB6F6B" w:rsidP="00E30230">
            <w:pPr>
              <w:autoSpaceDE w:val="0"/>
              <w:autoSpaceDN w:val="0"/>
              <w:adjustRightInd w:val="0"/>
              <w:jc w:val="left"/>
              <w:rPr>
                <w:sz w:val="24"/>
              </w:rPr>
            </w:pPr>
            <w:r w:rsidRPr="000E3D0B">
              <w:rPr>
                <w:sz w:val="24"/>
              </w:rPr>
              <w:t>Accounting Authority</w:t>
            </w:r>
          </w:p>
        </w:tc>
        <w:tc>
          <w:tcPr>
            <w:tcW w:w="630" w:type="dxa"/>
          </w:tcPr>
          <w:p w:rsidR="00AB6F6B" w:rsidRPr="000E3D0B" w:rsidRDefault="00AB6F6B" w:rsidP="00E30230">
            <w:pPr>
              <w:widowControl w:val="0"/>
              <w:jc w:val="center"/>
              <w:rPr>
                <w:sz w:val="24"/>
              </w:rPr>
            </w:pPr>
            <w:r w:rsidRPr="000E3D0B">
              <w:rPr>
                <w:sz w:val="24"/>
              </w:rPr>
              <w:t>)</w:t>
            </w:r>
          </w:p>
          <w:p w:rsidR="00AB6F6B" w:rsidRPr="000E3D0B" w:rsidRDefault="00AB6F6B" w:rsidP="00E30230">
            <w:pPr>
              <w:widowControl w:val="0"/>
              <w:jc w:val="center"/>
              <w:rPr>
                <w:sz w:val="24"/>
              </w:rPr>
            </w:pPr>
            <w:r w:rsidRPr="000E3D0B">
              <w:rPr>
                <w:sz w:val="24"/>
              </w:rPr>
              <w:t>)</w:t>
            </w:r>
          </w:p>
          <w:p w:rsidR="00AB6F6B" w:rsidRPr="000E3D0B" w:rsidRDefault="00AB6F6B" w:rsidP="00E30230">
            <w:pPr>
              <w:widowControl w:val="0"/>
              <w:jc w:val="center"/>
              <w:rPr>
                <w:sz w:val="24"/>
              </w:rPr>
            </w:pPr>
            <w:r w:rsidRPr="000E3D0B">
              <w:rPr>
                <w:sz w:val="24"/>
              </w:rPr>
              <w:t>)</w:t>
            </w:r>
          </w:p>
          <w:p w:rsidR="00AB6F6B" w:rsidRPr="000E3D0B" w:rsidRDefault="00AB6F6B" w:rsidP="00E30230">
            <w:pPr>
              <w:widowControl w:val="0"/>
              <w:jc w:val="center"/>
              <w:rPr>
                <w:sz w:val="24"/>
              </w:rPr>
            </w:pPr>
            <w:r w:rsidRPr="000E3D0B">
              <w:rPr>
                <w:sz w:val="24"/>
              </w:rPr>
              <w:t>)</w:t>
            </w:r>
          </w:p>
          <w:p w:rsidR="00AB6F6B" w:rsidRPr="000E3D0B" w:rsidRDefault="00AB6F6B" w:rsidP="00E30230">
            <w:pPr>
              <w:widowControl w:val="0"/>
              <w:jc w:val="center"/>
              <w:rPr>
                <w:sz w:val="24"/>
              </w:rPr>
            </w:pPr>
            <w:r w:rsidRPr="000E3D0B">
              <w:rPr>
                <w:sz w:val="24"/>
              </w:rPr>
              <w:t>)</w:t>
            </w:r>
          </w:p>
          <w:p w:rsidR="00AB6F6B" w:rsidRPr="000E3D0B" w:rsidRDefault="00AB6F6B" w:rsidP="00E30230">
            <w:pPr>
              <w:widowControl w:val="0"/>
              <w:jc w:val="center"/>
              <w:rPr>
                <w:sz w:val="24"/>
              </w:rPr>
            </w:pPr>
            <w:r w:rsidRPr="000E3D0B">
              <w:rPr>
                <w:sz w:val="24"/>
              </w:rPr>
              <w:t>)</w:t>
            </w:r>
          </w:p>
          <w:p w:rsidR="00AB6F6B" w:rsidRPr="000E3D0B" w:rsidRDefault="00AB6F6B" w:rsidP="00E30230">
            <w:pPr>
              <w:widowControl w:val="0"/>
              <w:jc w:val="center"/>
              <w:rPr>
                <w:sz w:val="24"/>
              </w:rPr>
            </w:pPr>
            <w:r w:rsidRPr="000E3D0B">
              <w:rPr>
                <w:sz w:val="24"/>
              </w:rPr>
              <w:t>)</w:t>
            </w:r>
          </w:p>
          <w:p w:rsidR="00AB6F6B" w:rsidRPr="000E3D0B" w:rsidRDefault="00AB6F6B" w:rsidP="00E30230">
            <w:pPr>
              <w:widowControl w:val="0"/>
              <w:jc w:val="center"/>
              <w:rPr>
                <w:sz w:val="24"/>
              </w:rPr>
            </w:pPr>
            <w:r w:rsidRPr="000E3D0B">
              <w:rPr>
                <w:sz w:val="24"/>
              </w:rPr>
              <w:t>)</w:t>
            </w:r>
          </w:p>
          <w:p w:rsidR="00AB6F6B" w:rsidRPr="000E3D0B" w:rsidRDefault="00AB6F6B" w:rsidP="00E30230">
            <w:pPr>
              <w:widowControl w:val="0"/>
              <w:jc w:val="center"/>
              <w:rPr>
                <w:sz w:val="24"/>
              </w:rPr>
            </w:pPr>
            <w:r w:rsidRPr="000E3D0B">
              <w:rPr>
                <w:sz w:val="24"/>
              </w:rPr>
              <w:t>)</w:t>
            </w:r>
          </w:p>
          <w:p w:rsidR="00AB6F6B" w:rsidRPr="000E3D0B" w:rsidRDefault="00AB6F6B" w:rsidP="00E30230">
            <w:pPr>
              <w:widowControl w:val="0"/>
              <w:jc w:val="left"/>
              <w:rPr>
                <w:sz w:val="24"/>
              </w:rPr>
            </w:pPr>
          </w:p>
        </w:tc>
        <w:tc>
          <w:tcPr>
            <w:tcW w:w="3928" w:type="dxa"/>
          </w:tcPr>
          <w:p w:rsidR="00AB6F6B" w:rsidRPr="000E3D0B" w:rsidRDefault="00AB6F6B" w:rsidP="00E30230">
            <w:pPr>
              <w:widowControl w:val="0"/>
              <w:jc w:val="left"/>
              <w:rPr>
                <w:sz w:val="24"/>
              </w:rPr>
            </w:pPr>
          </w:p>
          <w:p w:rsidR="00AB6F6B" w:rsidRPr="000E3D0B" w:rsidRDefault="00AB6F6B" w:rsidP="00E30230">
            <w:pPr>
              <w:widowControl w:val="0"/>
              <w:jc w:val="left"/>
              <w:rPr>
                <w:sz w:val="24"/>
              </w:rPr>
            </w:pPr>
          </w:p>
          <w:p w:rsidR="00AB6F6B" w:rsidRPr="000E3D0B" w:rsidRDefault="00AB6F6B" w:rsidP="00E30230">
            <w:pPr>
              <w:widowControl w:val="0"/>
              <w:jc w:val="left"/>
              <w:rPr>
                <w:sz w:val="24"/>
              </w:rPr>
            </w:pPr>
            <w:r w:rsidRPr="000E3D0B">
              <w:rPr>
                <w:sz w:val="24"/>
              </w:rPr>
              <w:t>Case No. 14-1693-EL-RDR</w:t>
            </w:r>
          </w:p>
          <w:p w:rsidR="00AB6F6B" w:rsidRPr="000E3D0B" w:rsidRDefault="00AB6F6B" w:rsidP="00E30230">
            <w:pPr>
              <w:widowControl w:val="0"/>
              <w:jc w:val="left"/>
              <w:rPr>
                <w:sz w:val="24"/>
              </w:rPr>
            </w:pPr>
          </w:p>
          <w:p w:rsidR="00AB6F6B" w:rsidRPr="000E3D0B" w:rsidRDefault="00AB6F6B" w:rsidP="00E30230">
            <w:pPr>
              <w:widowControl w:val="0"/>
              <w:jc w:val="left"/>
              <w:rPr>
                <w:sz w:val="24"/>
              </w:rPr>
            </w:pPr>
          </w:p>
          <w:p w:rsidR="00AB6F6B" w:rsidRPr="000E3D0B" w:rsidRDefault="00AB6F6B" w:rsidP="00E30230">
            <w:pPr>
              <w:widowControl w:val="0"/>
              <w:jc w:val="left"/>
              <w:rPr>
                <w:sz w:val="24"/>
              </w:rPr>
            </w:pPr>
          </w:p>
          <w:p w:rsidR="00AB6F6B" w:rsidRPr="000E3D0B" w:rsidRDefault="00AB6F6B" w:rsidP="00E30230">
            <w:pPr>
              <w:widowControl w:val="0"/>
              <w:jc w:val="left"/>
              <w:rPr>
                <w:sz w:val="24"/>
              </w:rPr>
            </w:pPr>
          </w:p>
          <w:p w:rsidR="00AB6F6B" w:rsidRPr="000E3D0B" w:rsidRDefault="00AB6F6B" w:rsidP="00E30230">
            <w:pPr>
              <w:widowControl w:val="0"/>
              <w:jc w:val="left"/>
              <w:rPr>
                <w:sz w:val="24"/>
              </w:rPr>
            </w:pPr>
            <w:r w:rsidRPr="000E3D0B">
              <w:rPr>
                <w:sz w:val="24"/>
              </w:rPr>
              <w:t>Case No. 14-1694-EL-AAM</w:t>
            </w:r>
          </w:p>
          <w:p w:rsidR="00AB6F6B" w:rsidRPr="000E3D0B" w:rsidRDefault="00AB6F6B" w:rsidP="00E30230">
            <w:pPr>
              <w:widowControl w:val="0"/>
              <w:jc w:val="left"/>
              <w:rPr>
                <w:sz w:val="24"/>
              </w:rPr>
            </w:pPr>
          </w:p>
          <w:p w:rsidR="00AB6F6B" w:rsidRPr="000E3D0B" w:rsidRDefault="00AB6F6B" w:rsidP="00E30230">
            <w:pPr>
              <w:widowControl w:val="0"/>
              <w:jc w:val="left"/>
              <w:rPr>
                <w:sz w:val="24"/>
              </w:rPr>
            </w:pPr>
          </w:p>
          <w:p w:rsidR="00AB6F6B" w:rsidRPr="000E3D0B" w:rsidRDefault="00AB6F6B" w:rsidP="00E30230">
            <w:pPr>
              <w:widowControl w:val="0"/>
              <w:jc w:val="left"/>
              <w:rPr>
                <w:sz w:val="24"/>
              </w:rPr>
            </w:pPr>
          </w:p>
          <w:p w:rsidR="00AB6F6B" w:rsidRPr="000E3D0B" w:rsidRDefault="00AB6F6B" w:rsidP="00E30230">
            <w:pPr>
              <w:widowControl w:val="0"/>
              <w:jc w:val="left"/>
              <w:rPr>
                <w:sz w:val="24"/>
              </w:rPr>
            </w:pPr>
          </w:p>
          <w:p w:rsidR="00AB6F6B" w:rsidRPr="000E3D0B" w:rsidRDefault="00AB6F6B" w:rsidP="00E30230">
            <w:pPr>
              <w:widowControl w:val="0"/>
              <w:jc w:val="left"/>
              <w:rPr>
                <w:sz w:val="24"/>
              </w:rPr>
            </w:pPr>
          </w:p>
        </w:tc>
      </w:tr>
    </w:tbl>
    <w:p w:rsidR="00AB6F6B" w:rsidRPr="000E3D0B" w:rsidRDefault="00AB6F6B" w:rsidP="00AB6F6B">
      <w:pPr>
        <w:widowControl w:val="0"/>
        <w:suppressLineNumbers/>
        <w:pBdr>
          <w:bottom w:val="single" w:sz="12" w:space="1" w:color="auto"/>
        </w:pBdr>
        <w:overflowPunct w:val="0"/>
        <w:autoSpaceDE w:val="0"/>
        <w:autoSpaceDN w:val="0"/>
        <w:adjustRightInd w:val="0"/>
        <w:jc w:val="left"/>
        <w:rPr>
          <w:rFonts w:eastAsia="Times New Roman"/>
          <w:kern w:val="28"/>
          <w:sz w:val="24"/>
        </w:rPr>
      </w:pPr>
    </w:p>
    <w:p w:rsidR="00AB6F6B" w:rsidRPr="000E3D0B" w:rsidRDefault="00AB6F6B" w:rsidP="00AB6F6B">
      <w:pPr>
        <w:suppressLineNumbers/>
        <w:spacing w:after="200" w:line="276" w:lineRule="auto"/>
        <w:jc w:val="center"/>
        <w:rPr>
          <w:b/>
          <w:bCs/>
          <w:sz w:val="24"/>
        </w:rPr>
      </w:pPr>
    </w:p>
    <w:p w:rsidR="00AB6F6B" w:rsidRPr="000E3D0B" w:rsidRDefault="00AB6F6B" w:rsidP="00C6267A">
      <w:pPr>
        <w:suppressLineNumbers/>
        <w:spacing w:after="200" w:line="276" w:lineRule="auto"/>
        <w:jc w:val="center"/>
        <w:rPr>
          <w:b/>
          <w:bCs/>
          <w:sz w:val="24"/>
        </w:rPr>
      </w:pPr>
      <w:r>
        <w:rPr>
          <w:b/>
          <w:bCs/>
          <w:sz w:val="24"/>
        </w:rPr>
        <w:t xml:space="preserve">MOTION TO QUASH SUBPOENA </w:t>
      </w:r>
      <w:r w:rsidR="00C6267A">
        <w:rPr>
          <w:b/>
          <w:bCs/>
          <w:sz w:val="24"/>
        </w:rPr>
        <w:t xml:space="preserve">AND MOTION FOR PROTECTIVE ORDER </w:t>
      </w:r>
      <w:r w:rsidRPr="000E3D0B">
        <w:rPr>
          <w:b/>
          <w:bCs/>
          <w:sz w:val="24"/>
        </w:rPr>
        <w:t>_______________</w:t>
      </w:r>
      <w:r>
        <w:rPr>
          <w:b/>
          <w:bCs/>
          <w:sz w:val="24"/>
        </w:rPr>
        <w:t>________________________________</w:t>
      </w:r>
      <w:r w:rsidRPr="000E3D0B">
        <w:rPr>
          <w:b/>
          <w:bCs/>
          <w:sz w:val="24"/>
        </w:rPr>
        <w:t>_______________________</w:t>
      </w:r>
    </w:p>
    <w:p w:rsidR="00E20B6C" w:rsidRPr="00AB6F6B" w:rsidRDefault="00E20B6C" w:rsidP="00AB6F6B">
      <w:pPr>
        <w:autoSpaceDE w:val="0"/>
        <w:autoSpaceDN w:val="0"/>
        <w:adjustRightInd w:val="0"/>
        <w:spacing w:line="480" w:lineRule="auto"/>
        <w:ind w:firstLine="720"/>
        <w:rPr>
          <w:sz w:val="24"/>
        </w:rPr>
      </w:pPr>
      <w:r w:rsidRPr="00AB6F6B">
        <w:rPr>
          <w:sz w:val="24"/>
        </w:rPr>
        <w:t>Pursuant to Ohio Administrative Code (“OAC”) 4901 -1-</w:t>
      </w:r>
      <w:r w:rsidR="00C6267A">
        <w:rPr>
          <w:sz w:val="24"/>
        </w:rPr>
        <w:t>12, 4901-1-24, and</w:t>
      </w:r>
      <w:r w:rsidRPr="00AB6F6B">
        <w:rPr>
          <w:sz w:val="24"/>
        </w:rPr>
        <w:t xml:space="preserve"> 4901-1-25, Interstate Gas Supply, Inc. (“IGS”) hereby moves the Public Utilities Commission of Ohio (Commission) to quash the subpoena issued in these proceedings on December  29, 2015</w:t>
      </w:r>
      <w:r w:rsidR="00C6267A">
        <w:rPr>
          <w:sz w:val="24"/>
        </w:rPr>
        <w:t>.</w:t>
      </w:r>
      <w:r w:rsidRPr="00AB6F6B">
        <w:rPr>
          <w:sz w:val="24"/>
        </w:rPr>
        <w:t xml:space="preserve">  Specifically, IGS seeks to quash in its entirety the subpoena </w:t>
      </w:r>
      <w:proofErr w:type="spellStart"/>
      <w:r w:rsidRPr="00AB6F6B">
        <w:rPr>
          <w:sz w:val="24"/>
        </w:rPr>
        <w:t>duces</w:t>
      </w:r>
      <w:proofErr w:type="spellEnd"/>
      <w:r w:rsidRPr="00AB6F6B">
        <w:rPr>
          <w:sz w:val="24"/>
        </w:rPr>
        <w:t xml:space="preserve"> </w:t>
      </w:r>
      <w:proofErr w:type="spellStart"/>
      <w:r w:rsidRPr="00AB6F6B">
        <w:rPr>
          <w:sz w:val="24"/>
        </w:rPr>
        <w:t>tecum</w:t>
      </w:r>
      <w:proofErr w:type="spellEnd"/>
      <w:r w:rsidRPr="00AB6F6B">
        <w:rPr>
          <w:sz w:val="24"/>
        </w:rPr>
        <w:t xml:space="preserve"> issued to IGS, commanding it to produce an unnamed witness or witnesses to testify at a Commission hearing in the above-captioned proceeding.  </w:t>
      </w:r>
      <w:r w:rsidR="00C6267A">
        <w:rPr>
          <w:sz w:val="24"/>
        </w:rPr>
        <w:t>Furthermore, IGS requests that the Co</w:t>
      </w:r>
      <w:r w:rsidR="001A7538">
        <w:rPr>
          <w:sz w:val="24"/>
        </w:rPr>
        <w:t>mmission or Attorney Examiner</w:t>
      </w:r>
      <w:r w:rsidR="00C6267A">
        <w:rPr>
          <w:sz w:val="24"/>
        </w:rPr>
        <w:t xml:space="preserve"> issue a protective order insulating IGS from further discovery, including the notice of deposition served by the Office of the Ohio Consumers’ Counsel (“OCC”) on December 23, 2015.</w:t>
      </w:r>
    </w:p>
    <w:p w:rsidR="00E20B6C" w:rsidRPr="00AB6F6B" w:rsidRDefault="00E20B6C" w:rsidP="00E20B6C">
      <w:pPr>
        <w:autoSpaceDE w:val="0"/>
        <w:autoSpaceDN w:val="0"/>
        <w:adjustRightInd w:val="0"/>
        <w:spacing w:line="480" w:lineRule="auto"/>
        <w:rPr>
          <w:sz w:val="24"/>
        </w:rPr>
      </w:pPr>
      <w:r w:rsidRPr="00AB6F6B">
        <w:rPr>
          <w:sz w:val="24"/>
        </w:rPr>
        <w:tab/>
        <w:t>As discussed further in the attached memorandum in support, the subpoena</w:t>
      </w:r>
      <w:r w:rsidR="00C6267A">
        <w:rPr>
          <w:sz w:val="24"/>
        </w:rPr>
        <w:t xml:space="preserve"> and notice of deposition are</w:t>
      </w:r>
      <w:r w:rsidRPr="00AB6F6B">
        <w:rPr>
          <w:sz w:val="24"/>
        </w:rPr>
        <w:t xml:space="preserve"> ove</w:t>
      </w:r>
      <w:r w:rsidR="001A7538">
        <w:rPr>
          <w:sz w:val="24"/>
        </w:rPr>
        <w:t>rly broad, unduly burdensome, request</w:t>
      </w:r>
      <w:r w:rsidRPr="00AB6F6B">
        <w:rPr>
          <w:sz w:val="24"/>
        </w:rPr>
        <w:t xml:space="preserve"> duplicative and unnecessary testimony,</w:t>
      </w:r>
      <w:r w:rsidR="00930DF0">
        <w:rPr>
          <w:sz w:val="24"/>
        </w:rPr>
        <w:t xml:space="preserve"> as well as protected communications not subject to discovery, and the requests are</w:t>
      </w:r>
      <w:r w:rsidRPr="00AB6F6B">
        <w:rPr>
          <w:sz w:val="24"/>
        </w:rPr>
        <w:t xml:space="preserve"> intended to harass IGS for its willingness to enter into a settlement </w:t>
      </w:r>
      <w:r w:rsidRPr="00AB6F6B">
        <w:rPr>
          <w:sz w:val="24"/>
        </w:rPr>
        <w:lastRenderedPageBreak/>
        <w:t>in the above-referenced proceeding.  Moreover, the subpoena was not issued more than ten days in advance of the hearing a</w:t>
      </w:r>
      <w:r w:rsidR="00310D39" w:rsidRPr="00AB6F6B">
        <w:rPr>
          <w:sz w:val="24"/>
        </w:rPr>
        <w:t>s requi</w:t>
      </w:r>
      <w:r w:rsidR="001A7538">
        <w:rPr>
          <w:sz w:val="24"/>
        </w:rPr>
        <w:t>red by Commission rules</w:t>
      </w:r>
      <w:r w:rsidR="00310D39" w:rsidRPr="00AB6F6B">
        <w:rPr>
          <w:sz w:val="24"/>
        </w:rPr>
        <w:t>.</w:t>
      </w:r>
      <w:r w:rsidRPr="00AB6F6B">
        <w:rPr>
          <w:sz w:val="24"/>
        </w:rPr>
        <w:t xml:space="preserve">  Therefore, IGS seeks a ruling from the Attorney</w:t>
      </w:r>
      <w:r w:rsidR="00310D39" w:rsidRPr="00AB6F6B">
        <w:rPr>
          <w:sz w:val="24"/>
        </w:rPr>
        <w:t xml:space="preserve"> Examiner quashing the subpoena.</w:t>
      </w:r>
      <w:r w:rsidRPr="00AB6F6B">
        <w:rPr>
          <w:sz w:val="24"/>
        </w:rPr>
        <w:t xml:space="preserve"> </w:t>
      </w:r>
      <w:r w:rsidR="00310D39" w:rsidRPr="00AB6F6B">
        <w:rPr>
          <w:sz w:val="24"/>
        </w:rPr>
        <w:t xml:space="preserve"> </w:t>
      </w:r>
      <w:r w:rsidRPr="00AB6F6B">
        <w:rPr>
          <w:sz w:val="24"/>
        </w:rPr>
        <w:t>A memorandum in support of this motion is attached.</w:t>
      </w:r>
    </w:p>
    <w:p w:rsidR="0095570D" w:rsidRPr="00E20B6C" w:rsidRDefault="0095570D" w:rsidP="00F778E9">
      <w:pPr>
        <w:rPr>
          <w:sz w:val="24"/>
        </w:rPr>
      </w:pPr>
    </w:p>
    <w:p w:rsidR="008063DE" w:rsidRDefault="000552AB" w:rsidP="007A348A">
      <w:pPr>
        <w:spacing w:line="480" w:lineRule="auto"/>
        <w:ind w:firstLine="720"/>
        <w:rPr>
          <w:sz w:val="24"/>
        </w:rPr>
      </w:pPr>
      <w:r w:rsidRPr="000552AB">
        <w:rPr>
          <w:sz w:val="24"/>
        </w:rPr>
        <w:t xml:space="preserve">  </w:t>
      </w:r>
      <w:r w:rsidR="00AB6F6B">
        <w:rPr>
          <w:sz w:val="24"/>
        </w:rPr>
        <w:tab/>
      </w:r>
      <w:r w:rsidR="00AB6F6B">
        <w:rPr>
          <w:sz w:val="24"/>
        </w:rPr>
        <w:tab/>
      </w:r>
      <w:r w:rsidR="00AB6F6B">
        <w:rPr>
          <w:sz w:val="24"/>
        </w:rPr>
        <w:tab/>
      </w:r>
      <w:r w:rsidR="00AB6F6B">
        <w:rPr>
          <w:sz w:val="24"/>
        </w:rPr>
        <w:tab/>
      </w:r>
      <w:r w:rsidR="00AB6F6B">
        <w:rPr>
          <w:sz w:val="24"/>
        </w:rPr>
        <w:tab/>
      </w:r>
      <w:r w:rsidR="00AB6F6B">
        <w:rPr>
          <w:sz w:val="24"/>
        </w:rPr>
        <w:tab/>
        <w:t>Very truly yours,</w:t>
      </w:r>
    </w:p>
    <w:p w:rsidR="00943DE9" w:rsidRDefault="00AB6F6B" w:rsidP="00943DE9">
      <w:pPr>
        <w:rPr>
          <w:sz w:val="24"/>
        </w:rPr>
      </w:pPr>
      <w:r>
        <w:rPr>
          <w:sz w:val="24"/>
        </w:rPr>
        <w:tab/>
      </w:r>
      <w:r>
        <w:rPr>
          <w:sz w:val="24"/>
        </w:rPr>
        <w:tab/>
      </w:r>
      <w:r>
        <w:rPr>
          <w:sz w:val="24"/>
        </w:rPr>
        <w:tab/>
      </w:r>
      <w:r>
        <w:rPr>
          <w:sz w:val="24"/>
        </w:rPr>
        <w:tab/>
      </w:r>
      <w:r>
        <w:rPr>
          <w:sz w:val="24"/>
        </w:rPr>
        <w:tab/>
      </w:r>
      <w:r>
        <w:rPr>
          <w:sz w:val="24"/>
        </w:rPr>
        <w:tab/>
      </w:r>
      <w:r>
        <w:rPr>
          <w:sz w:val="24"/>
        </w:rPr>
        <w:tab/>
      </w:r>
    </w:p>
    <w:p w:rsidR="00896FB9" w:rsidRPr="00AB6F6B" w:rsidRDefault="00943DE9" w:rsidP="00943DE9">
      <w:pPr>
        <w:ind w:left="4320" w:firstLine="720"/>
        <w:rPr>
          <w:sz w:val="24"/>
        </w:rPr>
      </w:pPr>
      <w:r>
        <w:rPr>
          <w:b/>
          <w:sz w:val="24"/>
          <w:u w:val="single"/>
        </w:rPr>
        <w:t>/s/Joseph Oliker</w:t>
      </w:r>
      <w:r w:rsidR="00AC4ED8">
        <w:rPr>
          <w:sz w:val="24"/>
        </w:rPr>
        <w:tab/>
      </w:r>
    </w:p>
    <w:p w:rsidR="00AB6F6B" w:rsidRDefault="00AB6F6B" w:rsidP="00AB6F6B">
      <w:pPr>
        <w:ind w:left="5040"/>
        <w:rPr>
          <w:sz w:val="24"/>
        </w:rPr>
      </w:pPr>
      <w:r>
        <w:rPr>
          <w:sz w:val="24"/>
        </w:rPr>
        <w:t>Joseph Oliker (0086088)</w:t>
      </w:r>
    </w:p>
    <w:p w:rsidR="00AB6F6B" w:rsidRDefault="00AB6F6B" w:rsidP="00AB6F6B">
      <w:pPr>
        <w:ind w:left="5040"/>
        <w:rPr>
          <w:sz w:val="24"/>
        </w:rPr>
      </w:pPr>
      <w:r>
        <w:rPr>
          <w:sz w:val="24"/>
        </w:rPr>
        <w:t>Email</w:t>
      </w:r>
      <w:r w:rsidRPr="00A71E20">
        <w:rPr>
          <w:sz w:val="24"/>
        </w:rPr>
        <w:t>:</w:t>
      </w:r>
      <w:r w:rsidRPr="00943DE9">
        <w:rPr>
          <w:sz w:val="24"/>
        </w:rPr>
        <w:t xml:space="preserve"> </w:t>
      </w:r>
      <w:hyperlink r:id="rId10" w:history="1">
        <w:r w:rsidRPr="00943DE9">
          <w:rPr>
            <w:rStyle w:val="Hyperlink"/>
            <w:color w:val="auto"/>
            <w:sz w:val="24"/>
            <w:u w:val="none"/>
          </w:rPr>
          <w:t>joliker@igsenergy.com</w:t>
        </w:r>
      </w:hyperlink>
    </w:p>
    <w:p w:rsidR="00AB6F6B" w:rsidRDefault="00AB6F6B" w:rsidP="00AB6F6B">
      <w:pPr>
        <w:ind w:left="5040"/>
        <w:rPr>
          <w:sz w:val="24"/>
        </w:rPr>
      </w:pPr>
      <w:r>
        <w:rPr>
          <w:sz w:val="24"/>
        </w:rPr>
        <w:t>Counsel of Record</w:t>
      </w:r>
    </w:p>
    <w:p w:rsidR="00AB6F6B" w:rsidRDefault="00AB6F6B" w:rsidP="00AB6F6B">
      <w:pPr>
        <w:ind w:left="5040"/>
        <w:rPr>
          <w:sz w:val="24"/>
        </w:rPr>
      </w:pPr>
      <w:r>
        <w:rPr>
          <w:sz w:val="24"/>
        </w:rPr>
        <w:t>IGS Energy</w:t>
      </w:r>
    </w:p>
    <w:p w:rsidR="00AB6F6B" w:rsidRDefault="00AB6F6B" w:rsidP="00AB6F6B">
      <w:pPr>
        <w:ind w:left="5040"/>
        <w:rPr>
          <w:sz w:val="24"/>
        </w:rPr>
      </w:pPr>
      <w:r>
        <w:rPr>
          <w:sz w:val="24"/>
        </w:rPr>
        <w:t>6100 Emerald Parkway</w:t>
      </w:r>
    </w:p>
    <w:p w:rsidR="00AB6F6B" w:rsidRDefault="00AB6F6B" w:rsidP="00AB6F6B">
      <w:pPr>
        <w:ind w:left="5040"/>
        <w:rPr>
          <w:sz w:val="24"/>
        </w:rPr>
      </w:pPr>
      <w:r>
        <w:rPr>
          <w:sz w:val="24"/>
        </w:rPr>
        <w:t>Dublin, Ohio 43016</w:t>
      </w:r>
    </w:p>
    <w:p w:rsidR="00AB6F6B" w:rsidRDefault="00AB6F6B" w:rsidP="00AB6F6B">
      <w:pPr>
        <w:ind w:left="5040"/>
        <w:rPr>
          <w:sz w:val="24"/>
        </w:rPr>
      </w:pPr>
      <w:r>
        <w:rPr>
          <w:sz w:val="24"/>
        </w:rPr>
        <w:t>Telephone:</w:t>
      </w:r>
      <w:r>
        <w:rPr>
          <w:sz w:val="24"/>
        </w:rPr>
        <w:tab/>
        <w:t>(614) 659-5000</w:t>
      </w:r>
    </w:p>
    <w:p w:rsidR="00AB6F6B" w:rsidRDefault="00AB6F6B" w:rsidP="00AB6F6B">
      <w:pPr>
        <w:ind w:left="5040"/>
        <w:rPr>
          <w:sz w:val="24"/>
        </w:rPr>
      </w:pPr>
      <w:r>
        <w:rPr>
          <w:sz w:val="24"/>
        </w:rPr>
        <w:t>Facsimile:</w:t>
      </w:r>
      <w:r>
        <w:rPr>
          <w:sz w:val="24"/>
        </w:rPr>
        <w:tab/>
        <w:t>(614) 659-5073</w:t>
      </w:r>
    </w:p>
    <w:p w:rsidR="00E956A7" w:rsidRDefault="00E956A7" w:rsidP="00BD0023">
      <w:pPr>
        <w:spacing w:line="480" w:lineRule="auto"/>
        <w:ind w:firstLine="720"/>
        <w:rPr>
          <w:sz w:val="24"/>
        </w:rPr>
      </w:pPr>
    </w:p>
    <w:p w:rsidR="00F778E9" w:rsidRPr="00F778E9" w:rsidRDefault="00F778E9" w:rsidP="00E956A7">
      <w:pPr>
        <w:spacing w:line="480" w:lineRule="auto"/>
        <w:rPr>
          <w:sz w:val="24"/>
        </w:rPr>
      </w:pPr>
      <w:r>
        <w:rPr>
          <w:sz w:val="24"/>
        </w:rPr>
        <w:tab/>
      </w:r>
    </w:p>
    <w:p w:rsidR="000E3D0B" w:rsidRDefault="000E3D0B">
      <w:pPr>
        <w:rPr>
          <w:sz w:val="24"/>
        </w:rPr>
      </w:pPr>
    </w:p>
    <w:p w:rsidR="00AB6F6B" w:rsidRDefault="00AB6F6B">
      <w:pPr>
        <w:rPr>
          <w:sz w:val="24"/>
        </w:rPr>
      </w:pPr>
    </w:p>
    <w:p w:rsidR="00AB6F6B" w:rsidRDefault="00AB6F6B">
      <w:pPr>
        <w:rPr>
          <w:sz w:val="24"/>
        </w:rPr>
      </w:pPr>
    </w:p>
    <w:p w:rsidR="00AB6F6B" w:rsidRDefault="00AB6F6B">
      <w:pPr>
        <w:rPr>
          <w:sz w:val="24"/>
        </w:rPr>
      </w:pPr>
    </w:p>
    <w:p w:rsidR="00AB6F6B" w:rsidRDefault="00AB6F6B">
      <w:pPr>
        <w:rPr>
          <w:sz w:val="24"/>
        </w:rPr>
      </w:pPr>
    </w:p>
    <w:p w:rsidR="00AB6F6B" w:rsidRDefault="00AB6F6B">
      <w:pPr>
        <w:rPr>
          <w:sz w:val="24"/>
        </w:rPr>
      </w:pPr>
    </w:p>
    <w:p w:rsidR="00AB6F6B" w:rsidRDefault="00AB6F6B">
      <w:pPr>
        <w:rPr>
          <w:sz w:val="24"/>
        </w:rPr>
      </w:pPr>
    </w:p>
    <w:p w:rsidR="00AB6F6B" w:rsidRPr="00F778E9" w:rsidRDefault="00AB6F6B">
      <w:pPr>
        <w:rPr>
          <w:sz w:val="24"/>
        </w:rPr>
      </w:pPr>
    </w:p>
    <w:p w:rsidR="000E3D0B" w:rsidRPr="00F778E9" w:rsidRDefault="000E3D0B">
      <w:pPr>
        <w:rPr>
          <w:sz w:val="24"/>
        </w:rPr>
      </w:pPr>
    </w:p>
    <w:p w:rsidR="000E3D0B" w:rsidRDefault="000E3D0B"/>
    <w:p w:rsidR="00943DE9" w:rsidRDefault="00943DE9"/>
    <w:p w:rsidR="00943DE9" w:rsidRDefault="00943DE9"/>
    <w:p w:rsidR="00943DE9" w:rsidRDefault="00943DE9"/>
    <w:p w:rsidR="00943DE9" w:rsidRDefault="00943DE9"/>
    <w:p w:rsidR="00943DE9" w:rsidRDefault="00943DE9"/>
    <w:p w:rsidR="00943DE9" w:rsidRDefault="00943DE9"/>
    <w:p w:rsidR="00943DE9" w:rsidRDefault="00943DE9"/>
    <w:p w:rsidR="00943DE9" w:rsidRDefault="00943DE9"/>
    <w:p w:rsidR="00943DE9" w:rsidRDefault="00943DE9"/>
    <w:p w:rsidR="00943DE9" w:rsidRDefault="00943DE9"/>
    <w:p w:rsidR="00943DE9" w:rsidRDefault="00943DE9"/>
    <w:p w:rsidR="00943DE9" w:rsidRDefault="00943DE9"/>
    <w:p w:rsidR="000E3D0B" w:rsidRDefault="000E3D0B"/>
    <w:p w:rsidR="00C6267A" w:rsidRDefault="00C6267A"/>
    <w:p w:rsidR="00310D39" w:rsidRPr="000E3D0B" w:rsidRDefault="00310D39" w:rsidP="00310D39">
      <w:pPr>
        <w:widowControl w:val="0"/>
        <w:jc w:val="center"/>
        <w:rPr>
          <w:rFonts w:eastAsia="Times New Roman"/>
          <w:b/>
          <w:sz w:val="24"/>
        </w:rPr>
      </w:pPr>
      <w:r w:rsidRPr="000E3D0B">
        <w:rPr>
          <w:rFonts w:eastAsia="Times New Roman"/>
          <w:b/>
          <w:sz w:val="24"/>
        </w:rPr>
        <w:lastRenderedPageBreak/>
        <w:t>BEFORE</w:t>
      </w:r>
    </w:p>
    <w:p w:rsidR="00310D39" w:rsidRPr="000E3D0B" w:rsidRDefault="00310D39" w:rsidP="00310D39">
      <w:pPr>
        <w:widowControl w:val="0"/>
        <w:spacing w:after="200" w:line="276" w:lineRule="auto"/>
        <w:jc w:val="center"/>
        <w:rPr>
          <w:b/>
          <w:sz w:val="24"/>
        </w:rPr>
      </w:pPr>
      <w:r w:rsidRPr="000E3D0B">
        <w:rPr>
          <w:b/>
          <w:sz w:val="24"/>
        </w:rPr>
        <w:t>THE PUBLIC UTILITIES COMMISSION OF OHIO</w:t>
      </w:r>
    </w:p>
    <w:tbl>
      <w:tblPr>
        <w:tblW w:w="0" w:type="auto"/>
        <w:jc w:val="center"/>
        <w:tblInd w:w="-315" w:type="dxa"/>
        <w:tblLook w:val="01E0" w:firstRow="1" w:lastRow="1" w:firstColumn="1" w:lastColumn="1" w:noHBand="0" w:noVBand="0"/>
      </w:tblPr>
      <w:tblGrid>
        <w:gridCol w:w="4739"/>
        <w:gridCol w:w="630"/>
        <w:gridCol w:w="3928"/>
      </w:tblGrid>
      <w:tr w:rsidR="00310D39" w:rsidRPr="000E3D0B" w:rsidTr="00805909">
        <w:trPr>
          <w:trHeight w:val="873"/>
          <w:jc w:val="center"/>
        </w:trPr>
        <w:tc>
          <w:tcPr>
            <w:tcW w:w="4739" w:type="dxa"/>
          </w:tcPr>
          <w:p w:rsidR="00310D39" w:rsidRPr="000E3D0B" w:rsidRDefault="00310D39" w:rsidP="00805909">
            <w:pPr>
              <w:autoSpaceDE w:val="0"/>
              <w:autoSpaceDN w:val="0"/>
              <w:adjustRightInd w:val="0"/>
              <w:jc w:val="left"/>
              <w:rPr>
                <w:sz w:val="24"/>
              </w:rPr>
            </w:pPr>
            <w:r w:rsidRPr="000E3D0B">
              <w:rPr>
                <w:sz w:val="24"/>
              </w:rPr>
              <w:t>In the Matter of the Application Seeking</w:t>
            </w:r>
          </w:p>
          <w:p w:rsidR="00310D39" w:rsidRPr="000E3D0B" w:rsidRDefault="00310D39" w:rsidP="00805909">
            <w:pPr>
              <w:autoSpaceDE w:val="0"/>
              <w:autoSpaceDN w:val="0"/>
              <w:adjustRightInd w:val="0"/>
              <w:jc w:val="left"/>
              <w:rPr>
                <w:sz w:val="24"/>
              </w:rPr>
            </w:pPr>
            <w:r w:rsidRPr="000E3D0B">
              <w:rPr>
                <w:sz w:val="24"/>
              </w:rPr>
              <w:t>Approval of Ohio Power Company’s</w:t>
            </w:r>
          </w:p>
          <w:p w:rsidR="00310D39" w:rsidRPr="000E3D0B" w:rsidRDefault="00310D39" w:rsidP="00805909">
            <w:pPr>
              <w:autoSpaceDE w:val="0"/>
              <w:autoSpaceDN w:val="0"/>
              <w:adjustRightInd w:val="0"/>
              <w:jc w:val="left"/>
              <w:rPr>
                <w:sz w:val="24"/>
              </w:rPr>
            </w:pPr>
            <w:r w:rsidRPr="000E3D0B">
              <w:rPr>
                <w:sz w:val="24"/>
              </w:rPr>
              <w:t>Proposal to Enter into an Affiliate Power</w:t>
            </w:r>
          </w:p>
          <w:p w:rsidR="00310D39" w:rsidRPr="000E3D0B" w:rsidRDefault="00310D39" w:rsidP="00805909">
            <w:pPr>
              <w:autoSpaceDE w:val="0"/>
              <w:autoSpaceDN w:val="0"/>
              <w:adjustRightInd w:val="0"/>
              <w:jc w:val="left"/>
              <w:rPr>
                <w:sz w:val="24"/>
              </w:rPr>
            </w:pPr>
            <w:r w:rsidRPr="000E3D0B">
              <w:rPr>
                <w:sz w:val="24"/>
              </w:rPr>
              <w:t>Purchase Agreement for Inclusion in the</w:t>
            </w:r>
          </w:p>
          <w:p w:rsidR="00310D39" w:rsidRPr="000E3D0B" w:rsidRDefault="00310D39" w:rsidP="00805909">
            <w:pPr>
              <w:autoSpaceDE w:val="0"/>
              <w:autoSpaceDN w:val="0"/>
              <w:adjustRightInd w:val="0"/>
              <w:jc w:val="left"/>
              <w:rPr>
                <w:sz w:val="24"/>
              </w:rPr>
            </w:pPr>
            <w:r w:rsidRPr="000E3D0B">
              <w:rPr>
                <w:sz w:val="24"/>
              </w:rPr>
              <w:t>Power Purchase Agreement Rider</w:t>
            </w:r>
          </w:p>
          <w:p w:rsidR="00310D39" w:rsidRPr="000E3D0B" w:rsidRDefault="00310D39" w:rsidP="00805909">
            <w:pPr>
              <w:autoSpaceDE w:val="0"/>
              <w:autoSpaceDN w:val="0"/>
              <w:adjustRightInd w:val="0"/>
              <w:jc w:val="left"/>
              <w:rPr>
                <w:sz w:val="24"/>
              </w:rPr>
            </w:pPr>
          </w:p>
          <w:p w:rsidR="00310D39" w:rsidRPr="000E3D0B" w:rsidRDefault="00310D39" w:rsidP="00805909">
            <w:pPr>
              <w:autoSpaceDE w:val="0"/>
              <w:autoSpaceDN w:val="0"/>
              <w:adjustRightInd w:val="0"/>
              <w:jc w:val="left"/>
              <w:rPr>
                <w:sz w:val="24"/>
              </w:rPr>
            </w:pPr>
            <w:r w:rsidRPr="000E3D0B">
              <w:rPr>
                <w:sz w:val="24"/>
              </w:rPr>
              <w:t>In the Matter of the Application of Ohio</w:t>
            </w:r>
          </w:p>
          <w:p w:rsidR="00310D39" w:rsidRPr="000E3D0B" w:rsidRDefault="00310D39" w:rsidP="00805909">
            <w:pPr>
              <w:autoSpaceDE w:val="0"/>
              <w:autoSpaceDN w:val="0"/>
              <w:adjustRightInd w:val="0"/>
              <w:jc w:val="left"/>
              <w:rPr>
                <w:sz w:val="24"/>
              </w:rPr>
            </w:pPr>
            <w:r w:rsidRPr="000E3D0B">
              <w:rPr>
                <w:sz w:val="24"/>
              </w:rPr>
              <w:t>Power Company for Approval of Certain</w:t>
            </w:r>
          </w:p>
          <w:p w:rsidR="00310D39" w:rsidRPr="000E3D0B" w:rsidRDefault="00310D39" w:rsidP="00805909">
            <w:pPr>
              <w:autoSpaceDE w:val="0"/>
              <w:autoSpaceDN w:val="0"/>
              <w:adjustRightInd w:val="0"/>
              <w:jc w:val="left"/>
              <w:rPr>
                <w:sz w:val="24"/>
              </w:rPr>
            </w:pPr>
            <w:r w:rsidRPr="000E3D0B">
              <w:rPr>
                <w:sz w:val="24"/>
              </w:rPr>
              <w:t>Accounting Authority</w:t>
            </w:r>
          </w:p>
        </w:tc>
        <w:tc>
          <w:tcPr>
            <w:tcW w:w="630" w:type="dxa"/>
          </w:tcPr>
          <w:p w:rsidR="00310D39" w:rsidRPr="000E3D0B" w:rsidRDefault="00310D39" w:rsidP="00805909">
            <w:pPr>
              <w:widowControl w:val="0"/>
              <w:jc w:val="center"/>
              <w:rPr>
                <w:sz w:val="24"/>
              </w:rPr>
            </w:pPr>
            <w:r w:rsidRPr="000E3D0B">
              <w:rPr>
                <w:sz w:val="24"/>
              </w:rPr>
              <w:t>)</w:t>
            </w:r>
          </w:p>
          <w:p w:rsidR="00310D39" w:rsidRPr="000E3D0B" w:rsidRDefault="00310D39" w:rsidP="00805909">
            <w:pPr>
              <w:widowControl w:val="0"/>
              <w:jc w:val="center"/>
              <w:rPr>
                <w:sz w:val="24"/>
              </w:rPr>
            </w:pPr>
            <w:r w:rsidRPr="000E3D0B">
              <w:rPr>
                <w:sz w:val="24"/>
              </w:rPr>
              <w:t>)</w:t>
            </w:r>
          </w:p>
          <w:p w:rsidR="00310D39" w:rsidRPr="000E3D0B" w:rsidRDefault="00310D39" w:rsidP="00805909">
            <w:pPr>
              <w:widowControl w:val="0"/>
              <w:jc w:val="center"/>
              <w:rPr>
                <w:sz w:val="24"/>
              </w:rPr>
            </w:pPr>
            <w:r w:rsidRPr="000E3D0B">
              <w:rPr>
                <w:sz w:val="24"/>
              </w:rPr>
              <w:t>)</w:t>
            </w:r>
          </w:p>
          <w:p w:rsidR="00310D39" w:rsidRPr="000E3D0B" w:rsidRDefault="00310D39" w:rsidP="00805909">
            <w:pPr>
              <w:widowControl w:val="0"/>
              <w:jc w:val="center"/>
              <w:rPr>
                <w:sz w:val="24"/>
              </w:rPr>
            </w:pPr>
            <w:r w:rsidRPr="000E3D0B">
              <w:rPr>
                <w:sz w:val="24"/>
              </w:rPr>
              <w:t>)</w:t>
            </w:r>
          </w:p>
          <w:p w:rsidR="00310D39" w:rsidRPr="000E3D0B" w:rsidRDefault="00310D39" w:rsidP="00805909">
            <w:pPr>
              <w:widowControl w:val="0"/>
              <w:jc w:val="center"/>
              <w:rPr>
                <w:sz w:val="24"/>
              </w:rPr>
            </w:pPr>
            <w:r w:rsidRPr="000E3D0B">
              <w:rPr>
                <w:sz w:val="24"/>
              </w:rPr>
              <w:t>)</w:t>
            </w:r>
          </w:p>
          <w:p w:rsidR="00310D39" w:rsidRPr="000E3D0B" w:rsidRDefault="00310D39" w:rsidP="00805909">
            <w:pPr>
              <w:widowControl w:val="0"/>
              <w:jc w:val="center"/>
              <w:rPr>
                <w:sz w:val="24"/>
              </w:rPr>
            </w:pPr>
            <w:r w:rsidRPr="000E3D0B">
              <w:rPr>
                <w:sz w:val="24"/>
              </w:rPr>
              <w:t>)</w:t>
            </w:r>
          </w:p>
          <w:p w:rsidR="00310D39" w:rsidRPr="000E3D0B" w:rsidRDefault="00310D39" w:rsidP="00805909">
            <w:pPr>
              <w:widowControl w:val="0"/>
              <w:jc w:val="center"/>
              <w:rPr>
                <w:sz w:val="24"/>
              </w:rPr>
            </w:pPr>
            <w:r w:rsidRPr="000E3D0B">
              <w:rPr>
                <w:sz w:val="24"/>
              </w:rPr>
              <w:t>)</w:t>
            </w:r>
          </w:p>
          <w:p w:rsidR="00310D39" w:rsidRPr="000E3D0B" w:rsidRDefault="00310D39" w:rsidP="00805909">
            <w:pPr>
              <w:widowControl w:val="0"/>
              <w:jc w:val="center"/>
              <w:rPr>
                <w:sz w:val="24"/>
              </w:rPr>
            </w:pPr>
            <w:r w:rsidRPr="000E3D0B">
              <w:rPr>
                <w:sz w:val="24"/>
              </w:rPr>
              <w:t>)</w:t>
            </w:r>
          </w:p>
          <w:p w:rsidR="00310D39" w:rsidRPr="000E3D0B" w:rsidRDefault="00310D39" w:rsidP="00805909">
            <w:pPr>
              <w:widowControl w:val="0"/>
              <w:jc w:val="center"/>
              <w:rPr>
                <w:sz w:val="24"/>
              </w:rPr>
            </w:pPr>
            <w:r w:rsidRPr="000E3D0B">
              <w:rPr>
                <w:sz w:val="24"/>
              </w:rPr>
              <w:t>)</w:t>
            </w:r>
          </w:p>
          <w:p w:rsidR="00310D39" w:rsidRPr="000E3D0B" w:rsidRDefault="00310D39" w:rsidP="00805909">
            <w:pPr>
              <w:widowControl w:val="0"/>
              <w:jc w:val="left"/>
              <w:rPr>
                <w:sz w:val="24"/>
              </w:rPr>
            </w:pPr>
          </w:p>
        </w:tc>
        <w:tc>
          <w:tcPr>
            <w:tcW w:w="3928" w:type="dxa"/>
          </w:tcPr>
          <w:p w:rsidR="00310D39" w:rsidRPr="000E3D0B" w:rsidRDefault="00310D39" w:rsidP="00805909">
            <w:pPr>
              <w:widowControl w:val="0"/>
              <w:jc w:val="left"/>
              <w:rPr>
                <w:sz w:val="24"/>
              </w:rPr>
            </w:pPr>
          </w:p>
          <w:p w:rsidR="00310D39" w:rsidRPr="000E3D0B" w:rsidRDefault="00310D39" w:rsidP="00805909">
            <w:pPr>
              <w:widowControl w:val="0"/>
              <w:jc w:val="left"/>
              <w:rPr>
                <w:sz w:val="24"/>
              </w:rPr>
            </w:pPr>
          </w:p>
          <w:p w:rsidR="00310D39" w:rsidRPr="000E3D0B" w:rsidRDefault="00310D39" w:rsidP="00805909">
            <w:pPr>
              <w:widowControl w:val="0"/>
              <w:jc w:val="left"/>
              <w:rPr>
                <w:sz w:val="24"/>
              </w:rPr>
            </w:pPr>
            <w:r w:rsidRPr="000E3D0B">
              <w:rPr>
                <w:sz w:val="24"/>
              </w:rPr>
              <w:t>Case No. 14-1693-EL-RDR</w:t>
            </w:r>
          </w:p>
          <w:p w:rsidR="00310D39" w:rsidRPr="000E3D0B" w:rsidRDefault="00310D39" w:rsidP="00805909">
            <w:pPr>
              <w:widowControl w:val="0"/>
              <w:jc w:val="left"/>
              <w:rPr>
                <w:sz w:val="24"/>
              </w:rPr>
            </w:pPr>
          </w:p>
          <w:p w:rsidR="00310D39" w:rsidRPr="000E3D0B" w:rsidRDefault="00310D39" w:rsidP="00805909">
            <w:pPr>
              <w:widowControl w:val="0"/>
              <w:jc w:val="left"/>
              <w:rPr>
                <w:sz w:val="24"/>
              </w:rPr>
            </w:pPr>
          </w:p>
          <w:p w:rsidR="00310D39" w:rsidRPr="000E3D0B" w:rsidRDefault="00310D39" w:rsidP="00805909">
            <w:pPr>
              <w:widowControl w:val="0"/>
              <w:jc w:val="left"/>
              <w:rPr>
                <w:sz w:val="24"/>
              </w:rPr>
            </w:pPr>
          </w:p>
          <w:p w:rsidR="00310D39" w:rsidRPr="000E3D0B" w:rsidRDefault="00310D39" w:rsidP="00805909">
            <w:pPr>
              <w:widowControl w:val="0"/>
              <w:jc w:val="left"/>
              <w:rPr>
                <w:sz w:val="24"/>
              </w:rPr>
            </w:pPr>
          </w:p>
          <w:p w:rsidR="00310D39" w:rsidRPr="000E3D0B" w:rsidRDefault="00310D39" w:rsidP="00805909">
            <w:pPr>
              <w:widowControl w:val="0"/>
              <w:jc w:val="left"/>
              <w:rPr>
                <w:sz w:val="24"/>
              </w:rPr>
            </w:pPr>
            <w:r w:rsidRPr="000E3D0B">
              <w:rPr>
                <w:sz w:val="24"/>
              </w:rPr>
              <w:t>Case No. 14-1694-EL-AAM</w:t>
            </w:r>
          </w:p>
          <w:p w:rsidR="00310D39" w:rsidRPr="000E3D0B" w:rsidRDefault="00310D39" w:rsidP="00805909">
            <w:pPr>
              <w:widowControl w:val="0"/>
              <w:jc w:val="left"/>
              <w:rPr>
                <w:sz w:val="24"/>
              </w:rPr>
            </w:pPr>
          </w:p>
          <w:p w:rsidR="00310D39" w:rsidRPr="000E3D0B" w:rsidRDefault="00310D39" w:rsidP="00805909">
            <w:pPr>
              <w:widowControl w:val="0"/>
              <w:jc w:val="left"/>
              <w:rPr>
                <w:sz w:val="24"/>
              </w:rPr>
            </w:pPr>
          </w:p>
          <w:p w:rsidR="00310D39" w:rsidRPr="000E3D0B" w:rsidRDefault="00310D39" w:rsidP="00805909">
            <w:pPr>
              <w:widowControl w:val="0"/>
              <w:jc w:val="left"/>
              <w:rPr>
                <w:sz w:val="24"/>
              </w:rPr>
            </w:pPr>
          </w:p>
          <w:p w:rsidR="00310D39" w:rsidRPr="000E3D0B" w:rsidRDefault="00310D39" w:rsidP="00805909">
            <w:pPr>
              <w:widowControl w:val="0"/>
              <w:jc w:val="left"/>
              <w:rPr>
                <w:sz w:val="24"/>
              </w:rPr>
            </w:pPr>
          </w:p>
          <w:p w:rsidR="00310D39" w:rsidRPr="000E3D0B" w:rsidRDefault="00310D39" w:rsidP="00805909">
            <w:pPr>
              <w:widowControl w:val="0"/>
              <w:jc w:val="left"/>
              <w:rPr>
                <w:sz w:val="24"/>
              </w:rPr>
            </w:pPr>
          </w:p>
        </w:tc>
      </w:tr>
    </w:tbl>
    <w:p w:rsidR="00310D39" w:rsidRPr="000E3D0B" w:rsidRDefault="00310D39" w:rsidP="00310D39">
      <w:pPr>
        <w:widowControl w:val="0"/>
        <w:suppressLineNumbers/>
        <w:pBdr>
          <w:bottom w:val="single" w:sz="12" w:space="1" w:color="auto"/>
        </w:pBdr>
        <w:overflowPunct w:val="0"/>
        <w:autoSpaceDE w:val="0"/>
        <w:autoSpaceDN w:val="0"/>
        <w:adjustRightInd w:val="0"/>
        <w:jc w:val="left"/>
        <w:rPr>
          <w:rFonts w:eastAsia="Times New Roman"/>
          <w:kern w:val="28"/>
          <w:sz w:val="24"/>
        </w:rPr>
      </w:pPr>
    </w:p>
    <w:p w:rsidR="00310D39" w:rsidRPr="000E3D0B" w:rsidRDefault="00310D39" w:rsidP="00310D39">
      <w:pPr>
        <w:suppressLineNumbers/>
        <w:spacing w:after="200" w:line="276" w:lineRule="auto"/>
        <w:jc w:val="center"/>
        <w:rPr>
          <w:b/>
          <w:bCs/>
          <w:sz w:val="24"/>
        </w:rPr>
      </w:pPr>
    </w:p>
    <w:p w:rsidR="00310D39" w:rsidRPr="000E3D0B" w:rsidRDefault="00310D39" w:rsidP="00310D39">
      <w:pPr>
        <w:suppressLineNumbers/>
        <w:spacing w:after="200" w:line="276" w:lineRule="auto"/>
        <w:jc w:val="center"/>
        <w:rPr>
          <w:b/>
          <w:bCs/>
          <w:sz w:val="24"/>
        </w:rPr>
      </w:pPr>
      <w:r>
        <w:rPr>
          <w:b/>
          <w:bCs/>
          <w:sz w:val="24"/>
        </w:rPr>
        <w:t xml:space="preserve">MEMORANDUM IN SUPPORT </w:t>
      </w:r>
      <w:r w:rsidRPr="000E3D0B">
        <w:rPr>
          <w:b/>
          <w:bCs/>
          <w:sz w:val="24"/>
        </w:rPr>
        <w:t>_______________</w:t>
      </w:r>
      <w:r>
        <w:rPr>
          <w:b/>
          <w:bCs/>
          <w:sz w:val="24"/>
        </w:rPr>
        <w:t>________________________________</w:t>
      </w:r>
      <w:r w:rsidRPr="000E3D0B">
        <w:rPr>
          <w:b/>
          <w:bCs/>
          <w:sz w:val="24"/>
        </w:rPr>
        <w:t>_______________________</w:t>
      </w:r>
    </w:p>
    <w:p w:rsidR="00014369" w:rsidRDefault="00014369" w:rsidP="00C47976">
      <w:pPr>
        <w:suppressLineNumbers/>
        <w:spacing w:after="120" w:line="276" w:lineRule="auto"/>
        <w:rPr>
          <w:bCs/>
          <w:sz w:val="24"/>
        </w:rPr>
      </w:pPr>
    </w:p>
    <w:p w:rsidR="007D0FEA" w:rsidRDefault="0039552E" w:rsidP="00C47976">
      <w:pPr>
        <w:pStyle w:val="ListParagraph"/>
        <w:numPr>
          <w:ilvl w:val="0"/>
          <w:numId w:val="18"/>
        </w:numPr>
        <w:suppressLineNumbers/>
        <w:spacing w:after="120" w:line="480" w:lineRule="auto"/>
        <w:rPr>
          <w:b/>
          <w:bCs/>
          <w:sz w:val="24"/>
        </w:rPr>
      </w:pPr>
      <w:r>
        <w:rPr>
          <w:b/>
          <w:bCs/>
          <w:sz w:val="24"/>
        </w:rPr>
        <w:t xml:space="preserve">BACKGROUND </w:t>
      </w:r>
    </w:p>
    <w:p w:rsidR="008F5FED" w:rsidRDefault="008F5FED" w:rsidP="00C47976">
      <w:pPr>
        <w:autoSpaceDE w:val="0"/>
        <w:autoSpaceDN w:val="0"/>
        <w:adjustRightInd w:val="0"/>
        <w:spacing w:after="120" w:line="480" w:lineRule="auto"/>
        <w:ind w:firstLine="720"/>
        <w:rPr>
          <w:color w:val="000000"/>
          <w:sz w:val="24"/>
        </w:rPr>
      </w:pPr>
      <w:r>
        <w:rPr>
          <w:color w:val="000000"/>
          <w:sz w:val="24"/>
        </w:rPr>
        <w:t xml:space="preserve">Following a hearing in the above-captioned proceeding in which IGS and others submitted testimony and participated in cross-examination regarding Ohio Power Company’s (“Ohio Power”) proposed purchase power agreement, IGS and several other parties submitted a Stipulation and Recommendation (“Stipulation”) as part of a package deal to resolve the outstanding issues in the proceeding.  </w:t>
      </w:r>
    </w:p>
    <w:p w:rsidR="008F5FED" w:rsidRPr="008F5FED" w:rsidRDefault="008F5FED" w:rsidP="00C47976">
      <w:pPr>
        <w:autoSpaceDE w:val="0"/>
        <w:autoSpaceDN w:val="0"/>
        <w:adjustRightInd w:val="0"/>
        <w:spacing w:after="120" w:line="480" w:lineRule="auto"/>
        <w:ind w:firstLine="720"/>
        <w:rPr>
          <w:color w:val="000000"/>
          <w:sz w:val="24"/>
        </w:rPr>
      </w:pPr>
      <w:r>
        <w:rPr>
          <w:color w:val="000000"/>
          <w:sz w:val="24"/>
        </w:rPr>
        <w:t>Ohio Power submitted the testimony of William Allen describing and supporting the Stipulation.  No other witness has submitted testimony to support the Stipulation.  Despite the fact that OCC has the opportunity to cross-examine Mr. Allen regarding the Stipulation, on December</w:t>
      </w:r>
      <w:r w:rsidR="00930DF0">
        <w:rPr>
          <w:color w:val="000000"/>
          <w:sz w:val="24"/>
        </w:rPr>
        <w:t xml:space="preserve"> 23, 2015</w:t>
      </w:r>
      <w:r w:rsidR="00930DF0" w:rsidRPr="00930DF0">
        <w:t xml:space="preserve"> </w:t>
      </w:r>
      <w:r w:rsidR="00930DF0">
        <w:rPr>
          <w:color w:val="000000"/>
          <w:sz w:val="24"/>
        </w:rPr>
        <w:t>a</w:t>
      </w:r>
      <w:r w:rsidR="001A7538">
        <w:rPr>
          <w:color w:val="000000"/>
          <w:sz w:val="24"/>
        </w:rPr>
        <w:t>t 5:15 pm, OCC served</w:t>
      </w:r>
      <w:r w:rsidR="00930DF0" w:rsidRPr="00930DF0">
        <w:rPr>
          <w:color w:val="000000"/>
          <w:sz w:val="24"/>
        </w:rPr>
        <w:t xml:space="preserve"> a notice of </w:t>
      </w:r>
      <w:r w:rsidR="001A7538">
        <w:rPr>
          <w:color w:val="000000"/>
          <w:sz w:val="24"/>
        </w:rPr>
        <w:t xml:space="preserve">deposition to be </w:t>
      </w:r>
      <w:r w:rsidR="001A7538">
        <w:rPr>
          <w:color w:val="000000"/>
          <w:sz w:val="24"/>
        </w:rPr>
        <w:lastRenderedPageBreak/>
        <w:t>held</w:t>
      </w:r>
      <w:r w:rsidR="00930DF0">
        <w:rPr>
          <w:color w:val="000000"/>
          <w:sz w:val="24"/>
        </w:rPr>
        <w:t xml:space="preserve"> </w:t>
      </w:r>
      <w:r w:rsidR="001A7538">
        <w:rPr>
          <w:color w:val="000000"/>
          <w:sz w:val="24"/>
        </w:rPr>
        <w:t xml:space="preserve">on December 30, 2015 seeking testimony </w:t>
      </w:r>
      <w:r w:rsidR="00930DF0">
        <w:rPr>
          <w:color w:val="000000"/>
          <w:sz w:val="24"/>
        </w:rPr>
        <w:t>from unnamed IG</w:t>
      </w:r>
      <w:r w:rsidR="001A7538">
        <w:rPr>
          <w:color w:val="000000"/>
          <w:sz w:val="24"/>
        </w:rPr>
        <w:t xml:space="preserve">S employees </w:t>
      </w:r>
      <w:r w:rsidRPr="00111B79">
        <w:rPr>
          <w:sz w:val="24"/>
        </w:rPr>
        <w:t>who have knowledge and expertise regarding</w:t>
      </w:r>
      <w:r>
        <w:rPr>
          <w:sz w:val="24"/>
        </w:rPr>
        <w:t xml:space="preserve"> three issues:</w:t>
      </w:r>
    </w:p>
    <w:p w:rsidR="008F5FED" w:rsidRPr="00E56CAA" w:rsidRDefault="008F5FED" w:rsidP="00C47976">
      <w:pPr>
        <w:pStyle w:val="ListParagraph"/>
        <w:numPr>
          <w:ilvl w:val="0"/>
          <w:numId w:val="19"/>
        </w:numPr>
        <w:autoSpaceDE w:val="0"/>
        <w:autoSpaceDN w:val="0"/>
        <w:adjustRightInd w:val="0"/>
        <w:spacing w:after="120"/>
        <w:ind w:left="1498"/>
        <w:rPr>
          <w:sz w:val="24"/>
        </w:rPr>
      </w:pPr>
      <w:r w:rsidRPr="00E56CAA">
        <w:rPr>
          <w:sz w:val="24"/>
        </w:rPr>
        <w:t>Ohio Power’s proposal to enter into an affiliate power purchase agreement for inclusion in the power purchase agreement rider;</w:t>
      </w:r>
    </w:p>
    <w:p w:rsidR="008F5FED" w:rsidRDefault="008F5FED" w:rsidP="00C47976">
      <w:pPr>
        <w:pStyle w:val="ListParagraph"/>
        <w:numPr>
          <w:ilvl w:val="0"/>
          <w:numId w:val="19"/>
        </w:numPr>
        <w:autoSpaceDE w:val="0"/>
        <w:autoSpaceDN w:val="0"/>
        <w:adjustRightInd w:val="0"/>
        <w:spacing w:after="120"/>
        <w:ind w:left="1498"/>
        <w:rPr>
          <w:sz w:val="24"/>
        </w:rPr>
      </w:pPr>
      <w:r>
        <w:rPr>
          <w:sz w:val="24"/>
        </w:rPr>
        <w:t>the Stipulation</w:t>
      </w:r>
      <w:r w:rsidRPr="00111B79">
        <w:rPr>
          <w:sz w:val="24"/>
        </w:rPr>
        <w:t xml:space="preserve"> filed on </w:t>
      </w:r>
      <w:r w:rsidR="00F006A8">
        <w:rPr>
          <w:sz w:val="24"/>
        </w:rPr>
        <w:t>December 14</w:t>
      </w:r>
      <w:r>
        <w:rPr>
          <w:sz w:val="24"/>
        </w:rPr>
        <w:t>, 2015;</w:t>
      </w:r>
    </w:p>
    <w:p w:rsidR="004237B4" w:rsidRPr="00C47976" w:rsidRDefault="008F5FED" w:rsidP="00C47976">
      <w:pPr>
        <w:pStyle w:val="ListParagraph"/>
        <w:numPr>
          <w:ilvl w:val="0"/>
          <w:numId w:val="19"/>
        </w:numPr>
        <w:autoSpaceDE w:val="0"/>
        <w:autoSpaceDN w:val="0"/>
        <w:adjustRightInd w:val="0"/>
        <w:spacing w:after="120"/>
        <w:ind w:left="1498"/>
        <w:rPr>
          <w:sz w:val="24"/>
        </w:rPr>
      </w:pPr>
      <w:r w:rsidRPr="00111B79">
        <w:rPr>
          <w:sz w:val="24"/>
        </w:rPr>
        <w:t>IGS’</w:t>
      </w:r>
      <w:r>
        <w:rPr>
          <w:sz w:val="24"/>
        </w:rPr>
        <w:t xml:space="preserve">s position regarding the </w:t>
      </w:r>
      <w:r w:rsidRPr="00111B79">
        <w:rPr>
          <w:sz w:val="24"/>
        </w:rPr>
        <w:t>Stipulation.</w:t>
      </w:r>
      <w:r>
        <w:rPr>
          <w:rStyle w:val="FootnoteReference"/>
          <w:sz w:val="24"/>
        </w:rPr>
        <w:footnoteReference w:id="1"/>
      </w:r>
      <w:r w:rsidRPr="00111B79">
        <w:rPr>
          <w:sz w:val="24"/>
        </w:rPr>
        <w:t xml:space="preserve"> </w:t>
      </w:r>
      <w:r w:rsidRPr="00111B79">
        <w:rPr>
          <w:color w:val="000000"/>
          <w:sz w:val="24"/>
        </w:rPr>
        <w:t xml:space="preserve"> </w:t>
      </w:r>
    </w:p>
    <w:p w:rsidR="001A7538" w:rsidRDefault="001A7538" w:rsidP="00C47976">
      <w:pPr>
        <w:autoSpaceDE w:val="0"/>
        <w:autoSpaceDN w:val="0"/>
        <w:adjustRightInd w:val="0"/>
        <w:spacing w:after="120" w:line="480" w:lineRule="auto"/>
        <w:rPr>
          <w:sz w:val="24"/>
        </w:rPr>
      </w:pPr>
      <w:r>
        <w:rPr>
          <w:sz w:val="24"/>
        </w:rPr>
        <w:t xml:space="preserve">Subsequently, </w:t>
      </w:r>
      <w:r w:rsidR="00A65997">
        <w:rPr>
          <w:sz w:val="24"/>
        </w:rPr>
        <w:t>I</w:t>
      </w:r>
      <w:r w:rsidR="00930DF0">
        <w:rPr>
          <w:sz w:val="24"/>
        </w:rPr>
        <w:t xml:space="preserve">GS’s counsel notified OCC’s counsel in a conversation </w:t>
      </w:r>
      <w:r w:rsidR="00A65997">
        <w:rPr>
          <w:sz w:val="24"/>
        </w:rPr>
        <w:t xml:space="preserve">on December 28, 2015 that </w:t>
      </w:r>
      <w:r w:rsidR="00930DF0">
        <w:rPr>
          <w:sz w:val="24"/>
        </w:rPr>
        <w:t>e</w:t>
      </w:r>
      <w:r w:rsidR="004237B4">
        <w:rPr>
          <w:sz w:val="24"/>
        </w:rPr>
        <w:t>ach of the above issues has already been addressed at an e</w:t>
      </w:r>
      <w:r w:rsidR="00943DE9">
        <w:rPr>
          <w:sz w:val="24"/>
        </w:rPr>
        <w:t>arlier stage of this proceeding, in the testimony of Mr. Allen, or in discovery.  Any additional information requested by</w:t>
      </w:r>
      <w:r w:rsidR="00A65997">
        <w:rPr>
          <w:sz w:val="24"/>
        </w:rPr>
        <w:t xml:space="preserve"> in the notice of deposition</w:t>
      </w:r>
      <w:r w:rsidR="00943DE9">
        <w:rPr>
          <w:sz w:val="24"/>
        </w:rPr>
        <w:t xml:space="preserve"> </w:t>
      </w:r>
      <w:r w:rsidR="004237B4">
        <w:rPr>
          <w:sz w:val="24"/>
        </w:rPr>
        <w:t>is otherwise outside the scope of evidence such as protected settlemen</w:t>
      </w:r>
      <w:r w:rsidR="00B77784">
        <w:rPr>
          <w:sz w:val="24"/>
        </w:rPr>
        <w:t>t communications and communicati</w:t>
      </w:r>
      <w:r w:rsidR="004237B4">
        <w:rPr>
          <w:sz w:val="24"/>
        </w:rPr>
        <w:t xml:space="preserve">ons protected by the attorney </w:t>
      </w:r>
      <w:r w:rsidR="004237B4" w:rsidRPr="00943DE9">
        <w:rPr>
          <w:sz w:val="24"/>
        </w:rPr>
        <w:t>client privilege.</w:t>
      </w:r>
      <w:r w:rsidR="00930DF0">
        <w:rPr>
          <w:sz w:val="24"/>
        </w:rPr>
        <w:t xml:space="preserve">  IGS’s c</w:t>
      </w:r>
      <w:r w:rsidR="00A65997">
        <w:rPr>
          <w:sz w:val="24"/>
        </w:rPr>
        <w:t>ounsel</w:t>
      </w:r>
      <w:r w:rsidR="00930DF0">
        <w:rPr>
          <w:sz w:val="24"/>
        </w:rPr>
        <w:t xml:space="preserve"> indicated that IGS would attempt t</w:t>
      </w:r>
      <w:r w:rsidR="00B77784">
        <w:rPr>
          <w:sz w:val="24"/>
        </w:rPr>
        <w:t>o respond to</w:t>
      </w:r>
      <w:r w:rsidR="00930DF0">
        <w:rPr>
          <w:sz w:val="24"/>
        </w:rPr>
        <w:t xml:space="preserve"> OCC’s 50+ discovery questions related to the Stipulation</w:t>
      </w:r>
      <w:r w:rsidR="00B77784">
        <w:rPr>
          <w:sz w:val="24"/>
        </w:rPr>
        <w:t>.  But,</w:t>
      </w:r>
      <w:r w:rsidR="00930DF0">
        <w:rPr>
          <w:sz w:val="24"/>
        </w:rPr>
        <w:t xml:space="preserve"> IGS</w:t>
      </w:r>
      <w:r w:rsidR="00B77784">
        <w:rPr>
          <w:sz w:val="24"/>
        </w:rPr>
        <w:t xml:space="preserve"> indicated that it</w:t>
      </w:r>
      <w:r w:rsidR="00930DF0">
        <w:rPr>
          <w:sz w:val="24"/>
        </w:rPr>
        <w:t xml:space="preserve"> objected to pres</w:t>
      </w:r>
      <w:r w:rsidR="00A65997">
        <w:rPr>
          <w:sz w:val="24"/>
        </w:rPr>
        <w:t>enting a witness for deposition and would file a lett</w:t>
      </w:r>
      <w:r w:rsidR="00B77784">
        <w:rPr>
          <w:sz w:val="24"/>
        </w:rPr>
        <w:t>er in the docket to that effect.</w:t>
      </w:r>
      <w:r w:rsidR="007063FD">
        <w:rPr>
          <w:sz w:val="24"/>
        </w:rPr>
        <w:t xml:space="preserve"> </w:t>
      </w:r>
      <w:r w:rsidR="00B77784">
        <w:rPr>
          <w:sz w:val="24"/>
        </w:rPr>
        <w:t xml:space="preserve">  </w:t>
      </w:r>
    </w:p>
    <w:p w:rsidR="00930DF0" w:rsidRDefault="00B77784" w:rsidP="001A7538">
      <w:pPr>
        <w:autoSpaceDE w:val="0"/>
        <w:autoSpaceDN w:val="0"/>
        <w:adjustRightInd w:val="0"/>
        <w:spacing w:after="120" w:line="480" w:lineRule="auto"/>
        <w:ind w:firstLine="720"/>
        <w:rPr>
          <w:sz w:val="24"/>
        </w:rPr>
      </w:pPr>
      <w:r>
        <w:rPr>
          <w:sz w:val="24"/>
        </w:rPr>
        <w:t>Because OCC’s counsel indicated that it would not agree to resolve the discovery dispute for anything less than full satisfaction of</w:t>
      </w:r>
      <w:r w:rsidR="001A7538">
        <w:rPr>
          <w:sz w:val="24"/>
        </w:rPr>
        <w:t xml:space="preserve"> its notice of deposition, it is</w:t>
      </w:r>
      <w:r>
        <w:rPr>
          <w:sz w:val="24"/>
        </w:rPr>
        <w:t xml:space="preserve"> apparent that the parties cannot resolve this dispute without Commission intervention.</w:t>
      </w:r>
      <w:r>
        <w:rPr>
          <w:rStyle w:val="FootnoteReference"/>
          <w:sz w:val="24"/>
        </w:rPr>
        <w:footnoteReference w:id="2"/>
      </w:r>
      <w:r>
        <w:rPr>
          <w:sz w:val="24"/>
        </w:rPr>
        <w:t xml:space="preserve">  </w:t>
      </w:r>
    </w:p>
    <w:p w:rsidR="00930DF0" w:rsidRPr="001A7538" w:rsidRDefault="001A7538" w:rsidP="00C47976">
      <w:pPr>
        <w:autoSpaceDE w:val="0"/>
        <w:autoSpaceDN w:val="0"/>
        <w:adjustRightInd w:val="0"/>
        <w:spacing w:after="120" w:line="480" w:lineRule="auto"/>
        <w:rPr>
          <w:color w:val="000000"/>
          <w:sz w:val="24"/>
        </w:rPr>
      </w:pPr>
      <w:r>
        <w:rPr>
          <w:color w:val="000000"/>
          <w:sz w:val="24"/>
        </w:rPr>
        <w:tab/>
        <w:t>On December 29, 2015—near</w:t>
      </w:r>
      <w:r w:rsidR="00A65997">
        <w:rPr>
          <w:color w:val="000000"/>
          <w:sz w:val="24"/>
        </w:rPr>
        <w:t xml:space="preserve"> the eve of trial</w:t>
      </w:r>
      <w:r>
        <w:rPr>
          <w:color w:val="000000"/>
          <w:sz w:val="24"/>
        </w:rPr>
        <w:t>—OCC also served a subpoena on IGS</w:t>
      </w:r>
      <w:r w:rsidR="00A65997">
        <w:rPr>
          <w:color w:val="000000"/>
          <w:sz w:val="24"/>
        </w:rPr>
        <w:t xml:space="preserve"> </w:t>
      </w:r>
      <w:r w:rsidR="00930DF0">
        <w:rPr>
          <w:color w:val="000000"/>
          <w:sz w:val="24"/>
        </w:rPr>
        <w:t>pursuant to OAC 4901-1-25.  The subpoena itself appears to request the right for limitless cross-examination, although the Motion</w:t>
      </w:r>
      <w:r w:rsidR="00B77784">
        <w:rPr>
          <w:color w:val="000000"/>
          <w:sz w:val="24"/>
        </w:rPr>
        <w:t xml:space="preserve"> for a Subpoena</w:t>
      </w:r>
      <w:r w:rsidR="00930DF0">
        <w:rPr>
          <w:color w:val="000000"/>
          <w:sz w:val="24"/>
        </w:rPr>
        <w:t xml:space="preserve"> itself indicates th</w:t>
      </w:r>
      <w:r w:rsidR="00B77784">
        <w:rPr>
          <w:color w:val="000000"/>
          <w:sz w:val="24"/>
        </w:rPr>
        <w:t xml:space="preserve">at </w:t>
      </w:r>
      <w:r w:rsidR="00B77784">
        <w:rPr>
          <w:color w:val="000000"/>
          <w:sz w:val="24"/>
        </w:rPr>
        <w:lastRenderedPageBreak/>
        <w:t>OCC requests that IGS present</w:t>
      </w:r>
      <w:r w:rsidR="00930DF0">
        <w:rPr>
          <w:color w:val="000000"/>
          <w:sz w:val="24"/>
        </w:rPr>
        <w:t xml:space="preserve"> </w:t>
      </w:r>
      <w:r w:rsidR="00930DF0" w:rsidRPr="00111B79">
        <w:rPr>
          <w:sz w:val="24"/>
        </w:rPr>
        <w:t>employees</w:t>
      </w:r>
      <w:r w:rsidR="00930DF0">
        <w:rPr>
          <w:sz w:val="24"/>
        </w:rPr>
        <w:t xml:space="preserve"> on January 4, 2015</w:t>
      </w:r>
      <w:r w:rsidR="00B77784">
        <w:rPr>
          <w:sz w:val="24"/>
        </w:rPr>
        <w:t xml:space="preserve"> to present</w:t>
      </w:r>
      <w:r w:rsidR="00A65997">
        <w:rPr>
          <w:sz w:val="24"/>
        </w:rPr>
        <w:t xml:space="preserve"> testimony with respect to the s</w:t>
      </w:r>
      <w:r w:rsidR="00B77784">
        <w:rPr>
          <w:sz w:val="24"/>
        </w:rPr>
        <w:t>ame categories identified in OCC’s</w:t>
      </w:r>
      <w:r w:rsidR="00A65997">
        <w:rPr>
          <w:sz w:val="24"/>
        </w:rPr>
        <w:t xml:space="preserve"> notice of deposition.</w:t>
      </w:r>
    </w:p>
    <w:p w:rsidR="008F5FED" w:rsidRPr="00943DE9" w:rsidRDefault="00B77784" w:rsidP="00C47976">
      <w:pPr>
        <w:autoSpaceDE w:val="0"/>
        <w:autoSpaceDN w:val="0"/>
        <w:adjustRightInd w:val="0"/>
        <w:spacing w:after="120" w:line="480" w:lineRule="auto"/>
        <w:ind w:firstLine="720"/>
        <w:rPr>
          <w:sz w:val="24"/>
        </w:rPr>
      </w:pPr>
      <w:r>
        <w:rPr>
          <w:sz w:val="24"/>
        </w:rPr>
        <w:t>As discussed below</w:t>
      </w:r>
      <w:r w:rsidR="004237B4" w:rsidRPr="00943DE9">
        <w:rPr>
          <w:sz w:val="24"/>
        </w:rPr>
        <w:t>, IGS requests that the Commission issue an order quashing the subpoena</w:t>
      </w:r>
      <w:r>
        <w:rPr>
          <w:sz w:val="24"/>
        </w:rPr>
        <w:t xml:space="preserve"> and</w:t>
      </w:r>
      <w:r w:rsidR="007063FD">
        <w:rPr>
          <w:sz w:val="24"/>
        </w:rPr>
        <w:t xml:space="preserve"> issue a protective order</w:t>
      </w:r>
      <w:r w:rsidR="004237B4" w:rsidRPr="00943DE9">
        <w:rPr>
          <w:sz w:val="24"/>
        </w:rPr>
        <w:t>.</w:t>
      </w:r>
    </w:p>
    <w:p w:rsidR="004237B4" w:rsidRPr="00943DE9" w:rsidRDefault="004237B4" w:rsidP="00C47976">
      <w:pPr>
        <w:pStyle w:val="ListParagraph"/>
        <w:numPr>
          <w:ilvl w:val="0"/>
          <w:numId w:val="18"/>
        </w:numPr>
        <w:autoSpaceDE w:val="0"/>
        <w:autoSpaceDN w:val="0"/>
        <w:adjustRightInd w:val="0"/>
        <w:spacing w:after="120" w:line="480" w:lineRule="auto"/>
        <w:rPr>
          <w:b/>
          <w:sz w:val="24"/>
        </w:rPr>
      </w:pPr>
      <w:r w:rsidRPr="00943DE9">
        <w:rPr>
          <w:b/>
          <w:sz w:val="24"/>
        </w:rPr>
        <w:t>ARGUMENT</w:t>
      </w:r>
    </w:p>
    <w:p w:rsidR="004237B4" w:rsidRPr="00943DE9" w:rsidRDefault="004237B4" w:rsidP="00C47976">
      <w:pPr>
        <w:pStyle w:val="ListParagraph"/>
        <w:numPr>
          <w:ilvl w:val="0"/>
          <w:numId w:val="21"/>
        </w:numPr>
        <w:suppressLineNumbers/>
        <w:spacing w:after="120"/>
        <w:rPr>
          <w:b/>
          <w:bCs/>
          <w:sz w:val="24"/>
        </w:rPr>
      </w:pPr>
      <w:r w:rsidRPr="00943DE9">
        <w:rPr>
          <w:b/>
          <w:bCs/>
          <w:sz w:val="24"/>
        </w:rPr>
        <w:t xml:space="preserve">The Subpoena </w:t>
      </w:r>
      <w:r w:rsidR="007063FD">
        <w:rPr>
          <w:b/>
          <w:bCs/>
          <w:sz w:val="24"/>
        </w:rPr>
        <w:t>and Notice of Deposition are unreasonable, oppressive, seek</w:t>
      </w:r>
      <w:r w:rsidR="001A7538">
        <w:rPr>
          <w:b/>
          <w:bCs/>
          <w:sz w:val="24"/>
        </w:rPr>
        <w:t xml:space="preserve"> duplicative</w:t>
      </w:r>
      <w:r w:rsidRPr="00943DE9">
        <w:rPr>
          <w:b/>
          <w:bCs/>
          <w:sz w:val="24"/>
        </w:rPr>
        <w:t xml:space="preserve"> information</w:t>
      </w:r>
      <w:r w:rsidR="001A7538">
        <w:rPr>
          <w:b/>
          <w:bCs/>
          <w:sz w:val="24"/>
        </w:rPr>
        <w:t>, and information</w:t>
      </w:r>
      <w:r w:rsidR="00F006A8">
        <w:rPr>
          <w:b/>
          <w:bCs/>
          <w:sz w:val="24"/>
        </w:rPr>
        <w:t xml:space="preserve"> outside the scope of discovery</w:t>
      </w:r>
      <w:r w:rsidR="001A7538">
        <w:rPr>
          <w:b/>
          <w:bCs/>
          <w:sz w:val="24"/>
        </w:rPr>
        <w:t>,</w:t>
      </w:r>
      <w:r w:rsidR="00F006A8">
        <w:rPr>
          <w:b/>
          <w:bCs/>
          <w:sz w:val="24"/>
        </w:rPr>
        <w:t xml:space="preserve"> including privileged communications,</w:t>
      </w:r>
      <w:r w:rsidR="007063FD">
        <w:rPr>
          <w:b/>
          <w:bCs/>
          <w:sz w:val="24"/>
        </w:rPr>
        <w:t xml:space="preserve"> and </w:t>
      </w:r>
      <w:r w:rsidR="001A7538">
        <w:rPr>
          <w:b/>
          <w:bCs/>
          <w:sz w:val="24"/>
        </w:rPr>
        <w:t xml:space="preserve">they </w:t>
      </w:r>
      <w:r w:rsidR="007063FD">
        <w:rPr>
          <w:b/>
          <w:bCs/>
          <w:sz w:val="24"/>
        </w:rPr>
        <w:t>are</w:t>
      </w:r>
      <w:r w:rsidRPr="00943DE9">
        <w:rPr>
          <w:b/>
          <w:bCs/>
          <w:sz w:val="24"/>
        </w:rPr>
        <w:t xml:space="preserve"> intended to harass</w:t>
      </w:r>
    </w:p>
    <w:p w:rsidR="00F006A8" w:rsidRDefault="00014369" w:rsidP="00C47976">
      <w:pPr>
        <w:suppressLineNumbers/>
        <w:spacing w:after="120" w:line="480" w:lineRule="auto"/>
        <w:ind w:firstLine="720"/>
        <w:rPr>
          <w:sz w:val="24"/>
        </w:rPr>
      </w:pPr>
      <w:r w:rsidRPr="00943DE9">
        <w:rPr>
          <w:bCs/>
          <w:sz w:val="24"/>
        </w:rPr>
        <w:t xml:space="preserve">OAC 4901-1-25(C) provides that a subpoena may be quashed “if it is unreasonable or oppressive . . . .”  </w:t>
      </w:r>
      <w:r w:rsidR="004236DD" w:rsidRPr="00943DE9">
        <w:rPr>
          <w:bCs/>
          <w:sz w:val="24"/>
        </w:rPr>
        <w:t>Similarly, OAC 4901-1-24 provides that the Commission may issue an order “</w:t>
      </w:r>
      <w:r w:rsidR="004236DD" w:rsidRPr="00943DE9">
        <w:rPr>
          <w:sz w:val="24"/>
        </w:rPr>
        <w:t>to protect a party or person from annoyance, embarrassment, oppression, or undue burden or expense.”</w:t>
      </w:r>
      <w:r w:rsidR="004236DD">
        <w:rPr>
          <w:sz w:val="24"/>
        </w:rPr>
        <w:t xml:space="preserve">  </w:t>
      </w:r>
      <w:r w:rsidRPr="00943DE9">
        <w:rPr>
          <w:bCs/>
          <w:sz w:val="24"/>
        </w:rPr>
        <w:t xml:space="preserve">Commission precedent holds that a subpoena may be unreasonable or oppressive if it overly broad, unduly burdensome, or requests information not likely to lead to admissible evidence or otherwise outside the scope of discovery.  </w:t>
      </w:r>
      <w:r w:rsidR="002549DE" w:rsidRPr="00943DE9">
        <w:rPr>
          <w:bCs/>
          <w:i/>
          <w:sz w:val="24"/>
        </w:rPr>
        <w:t>In the Matter of the Application of Champaign Wind, LLC, for a Certificate to Construct a Wind-Powered Electric Generating Facility in Champaign County, Ohio</w:t>
      </w:r>
      <w:r w:rsidR="002549DE" w:rsidRPr="00943DE9">
        <w:rPr>
          <w:bCs/>
          <w:sz w:val="24"/>
        </w:rPr>
        <w:t>, Case No.  12-160-EL-BGN, Entry at 10-11 (Oct. 22, 2012) (quashing overly broad, unreasonable, and unduly burdensome subpoena) (hereafter “</w:t>
      </w:r>
      <w:r w:rsidR="002549DE" w:rsidRPr="00943DE9">
        <w:rPr>
          <w:bCs/>
          <w:i/>
          <w:sz w:val="24"/>
        </w:rPr>
        <w:t>Champaign</w:t>
      </w:r>
      <w:r w:rsidR="002549DE" w:rsidRPr="00943DE9">
        <w:rPr>
          <w:bCs/>
          <w:sz w:val="24"/>
        </w:rPr>
        <w:t xml:space="preserve">”); </w:t>
      </w:r>
      <w:r w:rsidR="002549DE" w:rsidRPr="00943DE9">
        <w:rPr>
          <w:bCs/>
          <w:i/>
          <w:sz w:val="24"/>
        </w:rPr>
        <w:t>see also Champaign</w:t>
      </w:r>
      <w:r w:rsidR="002549DE" w:rsidRPr="00943DE9">
        <w:rPr>
          <w:bCs/>
          <w:sz w:val="24"/>
        </w:rPr>
        <w:t>, Opinion and Order at 9 (May 28, 2013) (affirming ruling because the “request is overly broad and not focused on obtaining information that could be admissible before the Board.”)</w:t>
      </w:r>
      <w:r w:rsidRPr="00943DE9">
        <w:rPr>
          <w:bCs/>
          <w:sz w:val="24"/>
        </w:rPr>
        <w:t>.</w:t>
      </w:r>
      <w:r w:rsidRPr="00943DE9">
        <w:rPr>
          <w:bCs/>
          <w:i/>
          <w:sz w:val="24"/>
        </w:rPr>
        <w:t xml:space="preserve"> In the Matter of the Complaint of Buckeye Energy Brokers, </w:t>
      </w:r>
      <w:proofErr w:type="spellStart"/>
      <w:r w:rsidRPr="00943DE9">
        <w:rPr>
          <w:bCs/>
          <w:i/>
          <w:sz w:val="24"/>
        </w:rPr>
        <w:t>Inc</w:t>
      </w:r>
      <w:proofErr w:type="spellEnd"/>
      <w:r w:rsidRPr="00943DE9">
        <w:rPr>
          <w:bCs/>
          <w:i/>
          <w:sz w:val="24"/>
        </w:rPr>
        <w:t>,</w:t>
      </w:r>
      <w:r w:rsidRPr="00943DE9">
        <w:rPr>
          <w:bCs/>
          <w:sz w:val="24"/>
        </w:rPr>
        <w:t xml:space="preserve"> Case No. 10-693-EL-CSS, Entry at 3-4 (Mar. 30, 2011) (quashing subpoena seeking information outside the scope of discovery).  </w:t>
      </w:r>
    </w:p>
    <w:p w:rsidR="00014369" w:rsidRPr="00F006A8" w:rsidRDefault="00F006A8" w:rsidP="00C47976">
      <w:pPr>
        <w:suppressLineNumbers/>
        <w:spacing w:after="120" w:line="480" w:lineRule="auto"/>
        <w:ind w:firstLine="720"/>
        <w:rPr>
          <w:sz w:val="24"/>
        </w:rPr>
      </w:pPr>
      <w:r>
        <w:rPr>
          <w:sz w:val="24"/>
        </w:rPr>
        <w:lastRenderedPageBreak/>
        <w:t>Moreover, Ohio Civil Rule 45 further provides that a subpoena shall be quashed if it “subjects a person to an undue burden” or “[r]</w:t>
      </w:r>
      <w:proofErr w:type="spellStart"/>
      <w:r w:rsidRPr="00F006A8">
        <w:rPr>
          <w:sz w:val="24"/>
        </w:rPr>
        <w:t>equires</w:t>
      </w:r>
      <w:proofErr w:type="spellEnd"/>
      <w:r w:rsidRPr="00F006A8">
        <w:rPr>
          <w:sz w:val="24"/>
        </w:rPr>
        <w:t xml:space="preserve"> disclosure of privileged or otherwise protected matter</w:t>
      </w:r>
      <w:r>
        <w:rPr>
          <w:sz w:val="24"/>
        </w:rPr>
        <w:t xml:space="preserve"> . . . .”</w:t>
      </w:r>
      <w:r w:rsidR="00FA21AA">
        <w:rPr>
          <w:sz w:val="24"/>
        </w:rPr>
        <w:t xml:space="preserve"> </w:t>
      </w:r>
      <w:r w:rsidR="00FA21AA">
        <w:rPr>
          <w:rStyle w:val="FootnoteReference"/>
          <w:sz w:val="24"/>
        </w:rPr>
        <w:footnoteReference w:id="3"/>
      </w:r>
      <w:r w:rsidR="00FA21AA">
        <w:rPr>
          <w:sz w:val="24"/>
        </w:rPr>
        <w:t xml:space="preserve">  Pursuant to this rule, c</w:t>
      </w:r>
      <w:r>
        <w:rPr>
          <w:sz w:val="24"/>
        </w:rPr>
        <w:t xml:space="preserve">ourts in Ohio have quashed subpoenas that seek duplicative information. </w:t>
      </w:r>
      <w:r w:rsidR="00AA014A">
        <w:rPr>
          <w:i/>
          <w:sz w:val="24"/>
        </w:rPr>
        <w:t>In re Gerber Children</w:t>
      </w:r>
      <w:r w:rsidR="00AA014A">
        <w:rPr>
          <w:sz w:val="24"/>
        </w:rPr>
        <w:t>, 2008 Ohio 1044, ¶ 44, Ct</w:t>
      </w:r>
      <w:r w:rsidR="00AA014A" w:rsidRPr="00AA014A">
        <w:rPr>
          <w:sz w:val="24"/>
        </w:rPr>
        <w:t xml:space="preserve"> of A</w:t>
      </w:r>
      <w:r w:rsidR="00AA014A">
        <w:rPr>
          <w:sz w:val="24"/>
        </w:rPr>
        <w:t xml:space="preserve">ppeals, 5th Appellate </w:t>
      </w:r>
      <w:proofErr w:type="spellStart"/>
      <w:r w:rsidR="00AA014A">
        <w:rPr>
          <w:sz w:val="24"/>
        </w:rPr>
        <w:t>Dist</w:t>
      </w:r>
      <w:proofErr w:type="spellEnd"/>
      <w:r w:rsidR="00AA014A">
        <w:rPr>
          <w:sz w:val="24"/>
        </w:rPr>
        <w:t xml:space="preserve"> (“</w:t>
      </w:r>
      <w:r w:rsidRPr="00F006A8">
        <w:rPr>
          <w:sz w:val="24"/>
        </w:rPr>
        <w:t>we fail to find any error in the trial court's quashing of the subpoena which would have been duplicative of the discovery provided by appellee</w:t>
      </w:r>
      <w:r w:rsidR="00AA014A">
        <w:rPr>
          <w:sz w:val="24"/>
        </w:rPr>
        <w:t>.”)</w:t>
      </w:r>
    </w:p>
    <w:p w:rsidR="003A53F8" w:rsidRDefault="004236DD" w:rsidP="00C47976">
      <w:pPr>
        <w:autoSpaceDE w:val="0"/>
        <w:autoSpaceDN w:val="0"/>
        <w:adjustRightInd w:val="0"/>
        <w:spacing w:after="120" w:line="480" w:lineRule="auto"/>
        <w:ind w:firstLine="720"/>
        <w:rPr>
          <w:color w:val="000000"/>
          <w:sz w:val="24"/>
        </w:rPr>
      </w:pPr>
      <w:r>
        <w:rPr>
          <w:sz w:val="24"/>
        </w:rPr>
        <w:t>The subpoena and notice of deposition are both flawed for the same reasons—they are</w:t>
      </w:r>
      <w:r w:rsidR="004237B4" w:rsidRPr="00943DE9">
        <w:rPr>
          <w:sz w:val="24"/>
        </w:rPr>
        <w:t xml:space="preserve"> overly broad, u</w:t>
      </w:r>
      <w:r w:rsidR="004237B4" w:rsidRPr="004237B4">
        <w:rPr>
          <w:color w:val="000000"/>
          <w:sz w:val="24"/>
        </w:rPr>
        <w:t>nduly burdensome and not likely to lead to the discovery of admissible evidence.  IGS has already submitted testimony at an earlier stage of this proceeding regarding the purchase</w:t>
      </w:r>
      <w:r w:rsidR="004237B4" w:rsidRPr="004237B4">
        <w:rPr>
          <w:b/>
          <w:color w:val="000000"/>
          <w:sz w:val="24"/>
        </w:rPr>
        <w:t xml:space="preserve"> </w:t>
      </w:r>
      <w:r w:rsidR="004237B4" w:rsidRPr="004237B4">
        <w:rPr>
          <w:color w:val="000000"/>
          <w:sz w:val="24"/>
        </w:rPr>
        <w:t>power</w:t>
      </w:r>
      <w:r w:rsidR="004237B4">
        <w:rPr>
          <w:color w:val="000000"/>
          <w:sz w:val="24"/>
        </w:rPr>
        <w:t xml:space="preserve"> agreement; the transcript and exhibits in this proceeding already reflect this fact.  It would be overly burdensome to </w:t>
      </w:r>
      <w:r w:rsidR="004237B4">
        <w:rPr>
          <w:i/>
          <w:color w:val="000000"/>
          <w:sz w:val="24"/>
        </w:rPr>
        <w:t xml:space="preserve">require </w:t>
      </w:r>
      <w:r w:rsidR="004237B4">
        <w:rPr>
          <w:color w:val="000000"/>
          <w:sz w:val="24"/>
        </w:rPr>
        <w:t xml:space="preserve">IGS to appear at the hearing </w:t>
      </w:r>
      <w:r w:rsidR="007063FD">
        <w:rPr>
          <w:color w:val="000000"/>
          <w:sz w:val="24"/>
        </w:rPr>
        <w:t xml:space="preserve">or a deposition </w:t>
      </w:r>
      <w:r w:rsidR="004237B4">
        <w:rPr>
          <w:color w:val="000000"/>
          <w:sz w:val="24"/>
        </w:rPr>
        <w:t>to give additional testimony regarding the purchase power agreement.</w:t>
      </w:r>
      <w:r w:rsidR="003A53F8">
        <w:rPr>
          <w:color w:val="000000"/>
          <w:sz w:val="24"/>
        </w:rPr>
        <w:t xml:space="preserve"> </w:t>
      </w:r>
    </w:p>
    <w:p w:rsidR="004237B4" w:rsidRPr="004237B4" w:rsidRDefault="004237B4" w:rsidP="00C47976">
      <w:pPr>
        <w:autoSpaceDE w:val="0"/>
        <w:autoSpaceDN w:val="0"/>
        <w:adjustRightInd w:val="0"/>
        <w:spacing w:after="120" w:line="480" w:lineRule="auto"/>
        <w:ind w:firstLine="720"/>
        <w:rPr>
          <w:color w:val="000000"/>
          <w:sz w:val="24"/>
        </w:rPr>
      </w:pPr>
      <w:r w:rsidRPr="004237B4">
        <w:rPr>
          <w:color w:val="000000"/>
          <w:sz w:val="24"/>
        </w:rPr>
        <w:t>Mo</w:t>
      </w:r>
      <w:r w:rsidR="004236DD">
        <w:rPr>
          <w:color w:val="000000"/>
          <w:sz w:val="24"/>
        </w:rPr>
        <w:t xml:space="preserve">reover, as noted above, IGS has not </w:t>
      </w:r>
      <w:r w:rsidRPr="004237B4">
        <w:rPr>
          <w:color w:val="000000"/>
          <w:sz w:val="24"/>
        </w:rPr>
        <w:t>present</w:t>
      </w:r>
      <w:r w:rsidR="004236DD">
        <w:rPr>
          <w:color w:val="000000"/>
          <w:sz w:val="24"/>
        </w:rPr>
        <w:t>ed</w:t>
      </w:r>
      <w:r w:rsidRPr="004237B4">
        <w:rPr>
          <w:color w:val="000000"/>
          <w:sz w:val="24"/>
        </w:rPr>
        <w:t xml:space="preserve"> expert testimony in support of the Stipulation.  Mr. Allen has already submitted </w:t>
      </w:r>
      <w:proofErr w:type="spellStart"/>
      <w:r w:rsidRPr="004237B4">
        <w:rPr>
          <w:color w:val="000000"/>
          <w:sz w:val="24"/>
        </w:rPr>
        <w:t>prefiled</w:t>
      </w:r>
      <w:proofErr w:type="spellEnd"/>
      <w:r w:rsidRPr="004237B4">
        <w:rPr>
          <w:color w:val="000000"/>
          <w:sz w:val="24"/>
        </w:rPr>
        <w:t xml:space="preserve"> testimony in that respect and agreed to be available for deposition</w:t>
      </w:r>
      <w:r w:rsidR="003A53F8">
        <w:rPr>
          <w:color w:val="000000"/>
          <w:sz w:val="24"/>
        </w:rPr>
        <w:t xml:space="preserve"> and cross-examination at the hearing</w:t>
      </w:r>
      <w:r w:rsidRPr="004237B4">
        <w:rPr>
          <w:color w:val="000000"/>
          <w:sz w:val="24"/>
        </w:rPr>
        <w:t>. Thus, there is no need to duplicate his testimony.</w:t>
      </w:r>
      <w:r w:rsidR="004236DD">
        <w:rPr>
          <w:rStyle w:val="FootnoteReference"/>
          <w:color w:val="000000"/>
          <w:sz w:val="24"/>
        </w:rPr>
        <w:footnoteReference w:id="4"/>
      </w:r>
      <w:r w:rsidRPr="004237B4">
        <w:rPr>
          <w:color w:val="000000"/>
          <w:sz w:val="24"/>
        </w:rPr>
        <w:t xml:space="preserve">  Given that IGS has not submitted testimony regarding the Stipulation and is not bound to support the Stipulation itself, OCC’s request is clearly designed to harass and chill parties’ willingness to enter into reasonable settlements to resolve contested legal issues without litigation.  </w:t>
      </w:r>
    </w:p>
    <w:p w:rsidR="003A53F8" w:rsidRDefault="004236DD" w:rsidP="00C47976">
      <w:pPr>
        <w:suppressLineNumbers/>
        <w:spacing w:after="120" w:line="480" w:lineRule="auto"/>
        <w:ind w:firstLine="720"/>
        <w:rPr>
          <w:color w:val="000000"/>
          <w:sz w:val="24"/>
        </w:rPr>
      </w:pPr>
      <w:r>
        <w:rPr>
          <w:color w:val="000000"/>
          <w:sz w:val="24"/>
        </w:rPr>
        <w:lastRenderedPageBreak/>
        <w:t xml:space="preserve">The subpoena and notice of deposition </w:t>
      </w:r>
      <w:r w:rsidR="004237B4" w:rsidRPr="004237B4">
        <w:rPr>
          <w:color w:val="000000"/>
          <w:sz w:val="24"/>
        </w:rPr>
        <w:t>also call for confidential settlement communications and information subject to attorney client privilege and work product doctrine.  IGS’s position regarding the Stipulation is self-evident from the document itself.</w:t>
      </w:r>
      <w:r w:rsidR="003A53F8">
        <w:rPr>
          <w:color w:val="000000"/>
          <w:sz w:val="24"/>
        </w:rPr>
        <w:t xml:space="preserve">  Further explanation of IGS’s position can only be construed as a request to delve into communicati</w:t>
      </w:r>
      <w:r w:rsidR="007063FD">
        <w:rPr>
          <w:color w:val="000000"/>
          <w:sz w:val="24"/>
        </w:rPr>
        <w:t>ons between attorney and client</w:t>
      </w:r>
      <w:r>
        <w:rPr>
          <w:color w:val="000000"/>
          <w:sz w:val="24"/>
        </w:rPr>
        <w:t xml:space="preserve"> and settlement communications</w:t>
      </w:r>
      <w:r w:rsidR="007063FD">
        <w:rPr>
          <w:color w:val="000000"/>
          <w:sz w:val="24"/>
        </w:rPr>
        <w:t>, which are protected by Commission rules and the Civil Rules.</w:t>
      </w:r>
      <w:r>
        <w:rPr>
          <w:rStyle w:val="FootnoteReference"/>
          <w:color w:val="000000"/>
          <w:sz w:val="24"/>
        </w:rPr>
        <w:footnoteReference w:id="5"/>
      </w:r>
      <w:r w:rsidR="007063FD">
        <w:rPr>
          <w:color w:val="000000"/>
          <w:sz w:val="24"/>
        </w:rPr>
        <w:t xml:space="preserve">  IGS cannot expound further regarding its reasons for agreeing to any particular portion of the Stipulation without revealing attorney client confidences and litigation strategy.</w:t>
      </w:r>
      <w:r w:rsidR="003A53F8">
        <w:rPr>
          <w:color w:val="000000"/>
          <w:sz w:val="24"/>
        </w:rPr>
        <w:t xml:space="preserve">  Moreover, as the Stipulation specifically states, any parties’ agreement does not reflect agreement to any particular provision outside the global settlement</w:t>
      </w:r>
      <w:r w:rsidR="007063FD">
        <w:rPr>
          <w:color w:val="000000"/>
          <w:sz w:val="24"/>
        </w:rPr>
        <w:t>—thus IGS’s reasoning with respect to any particular portion of the Stipulation is simply irrelevant</w:t>
      </w:r>
      <w:r w:rsidR="003A53F8">
        <w:rPr>
          <w:color w:val="000000"/>
          <w:sz w:val="24"/>
        </w:rPr>
        <w:t xml:space="preserve">: </w:t>
      </w:r>
    </w:p>
    <w:p w:rsidR="003A53F8" w:rsidRDefault="003A53F8" w:rsidP="00C47976">
      <w:pPr>
        <w:suppressLineNumbers/>
        <w:spacing w:after="120"/>
        <w:ind w:left="720" w:right="720"/>
        <w:rPr>
          <w:color w:val="000000"/>
          <w:sz w:val="24"/>
        </w:rPr>
      </w:pPr>
      <w:r>
        <w:rPr>
          <w:color w:val="000000"/>
          <w:sz w:val="24"/>
        </w:rPr>
        <w:t xml:space="preserve">More </w:t>
      </w:r>
      <w:r w:rsidRPr="003A53F8">
        <w:rPr>
          <w:color w:val="000000"/>
          <w:sz w:val="24"/>
        </w:rPr>
        <w:t>specifically, no specific element or item contained in or supp</w:t>
      </w:r>
      <w:r>
        <w:rPr>
          <w:color w:val="000000"/>
          <w:sz w:val="24"/>
        </w:rPr>
        <w:t xml:space="preserve">orting this Stipulation shall be </w:t>
      </w:r>
      <w:r w:rsidRPr="003A53F8">
        <w:rPr>
          <w:color w:val="000000"/>
          <w:sz w:val="24"/>
        </w:rPr>
        <w:t>construed or applied to attribute the results set forth in this Stipulation as the results that any</w:t>
      </w:r>
      <w:r>
        <w:rPr>
          <w:color w:val="000000"/>
          <w:sz w:val="24"/>
        </w:rPr>
        <w:t xml:space="preserve"> </w:t>
      </w:r>
      <w:r w:rsidRPr="003A53F8">
        <w:rPr>
          <w:color w:val="000000"/>
          <w:sz w:val="24"/>
        </w:rPr>
        <w:t>Signatory Party might support or seek, but for this Stipulation in these proceedings or in any</w:t>
      </w:r>
      <w:r>
        <w:rPr>
          <w:color w:val="000000"/>
          <w:sz w:val="24"/>
        </w:rPr>
        <w:t xml:space="preserve"> </w:t>
      </w:r>
      <w:r w:rsidRPr="003A53F8">
        <w:rPr>
          <w:color w:val="000000"/>
          <w:sz w:val="24"/>
        </w:rPr>
        <w:t>other proceeding. This Stipulation contains a combination of outcomes that reflects an overall</w:t>
      </w:r>
      <w:r>
        <w:rPr>
          <w:color w:val="000000"/>
          <w:sz w:val="24"/>
        </w:rPr>
        <w:t xml:space="preserve"> </w:t>
      </w:r>
      <w:r w:rsidRPr="003A53F8">
        <w:rPr>
          <w:color w:val="000000"/>
          <w:sz w:val="24"/>
        </w:rPr>
        <w:t>compromise involving a balance of competing positions, and it does not necessarily reflect the</w:t>
      </w:r>
      <w:r>
        <w:rPr>
          <w:color w:val="000000"/>
          <w:sz w:val="24"/>
        </w:rPr>
        <w:t xml:space="preserve"> </w:t>
      </w:r>
      <w:r w:rsidRPr="003A53F8">
        <w:rPr>
          <w:color w:val="000000"/>
          <w:sz w:val="24"/>
        </w:rPr>
        <w:t>position that one or more of the Signatory Parties would have</w:t>
      </w:r>
      <w:r>
        <w:rPr>
          <w:color w:val="000000"/>
          <w:sz w:val="24"/>
        </w:rPr>
        <w:t xml:space="preserve"> taken on any individual issue. </w:t>
      </w:r>
      <w:r w:rsidRPr="003A53F8">
        <w:rPr>
          <w:color w:val="000000"/>
          <w:sz w:val="24"/>
        </w:rPr>
        <w:t>Rather the Stipulation represents a package that, taken as a whole,</w:t>
      </w:r>
      <w:r>
        <w:rPr>
          <w:color w:val="000000"/>
          <w:sz w:val="24"/>
        </w:rPr>
        <w:t xml:space="preserve"> is acceptable for the purposes </w:t>
      </w:r>
      <w:r w:rsidRPr="003A53F8">
        <w:rPr>
          <w:color w:val="000000"/>
          <w:sz w:val="24"/>
        </w:rPr>
        <w:t>of resolving all contested issues without resorting to litigation</w:t>
      </w:r>
      <w:r>
        <w:rPr>
          <w:color w:val="000000"/>
          <w:sz w:val="24"/>
        </w:rPr>
        <w:t xml:space="preserve">. The Signatory Parties believe </w:t>
      </w:r>
      <w:r w:rsidRPr="003A53F8">
        <w:rPr>
          <w:color w:val="000000"/>
          <w:sz w:val="24"/>
        </w:rPr>
        <w:t>that this Stipulation, taken as a whole, represents a reasonable compromise of varying interests</w:t>
      </w:r>
      <w:r>
        <w:rPr>
          <w:color w:val="000000"/>
          <w:sz w:val="24"/>
        </w:rPr>
        <w:t>.</w:t>
      </w:r>
    </w:p>
    <w:p w:rsidR="00014369" w:rsidRDefault="003A53F8" w:rsidP="00C47976">
      <w:pPr>
        <w:suppressLineNumbers/>
        <w:spacing w:after="120" w:line="480" w:lineRule="auto"/>
        <w:rPr>
          <w:color w:val="000000"/>
          <w:sz w:val="24"/>
        </w:rPr>
      </w:pPr>
      <w:r>
        <w:rPr>
          <w:color w:val="000000"/>
          <w:sz w:val="24"/>
        </w:rPr>
        <w:t xml:space="preserve">OCC’s attempt to further determine IGS’s position regarding individual provisions of the Stipulation is thus inappropriate.   </w:t>
      </w:r>
      <w:r w:rsidR="004237B4" w:rsidRPr="004237B4">
        <w:rPr>
          <w:color w:val="000000"/>
          <w:sz w:val="24"/>
        </w:rPr>
        <w:t>Finally, IGS has already provided responses to OCC’s discovery requests related to the Stipulation.  IGS objects to further duplicative questioning that is clearly intended to harass</w:t>
      </w:r>
      <w:r>
        <w:rPr>
          <w:color w:val="000000"/>
          <w:sz w:val="24"/>
        </w:rPr>
        <w:t xml:space="preserve"> and chill the willingness of IGS and others to entertain settlement to avoid litigation</w:t>
      </w:r>
      <w:r w:rsidR="004237B4" w:rsidRPr="004237B4">
        <w:rPr>
          <w:color w:val="000000"/>
          <w:sz w:val="24"/>
        </w:rPr>
        <w:t>.</w:t>
      </w:r>
      <w:r w:rsidR="00425480">
        <w:rPr>
          <w:color w:val="000000"/>
          <w:sz w:val="24"/>
        </w:rPr>
        <w:t xml:space="preserve">  </w:t>
      </w:r>
    </w:p>
    <w:p w:rsidR="00425480" w:rsidRDefault="00425480" w:rsidP="00C47976">
      <w:pPr>
        <w:suppressLineNumbers/>
        <w:spacing w:after="120" w:line="480" w:lineRule="auto"/>
        <w:rPr>
          <w:color w:val="000000"/>
          <w:sz w:val="24"/>
        </w:rPr>
      </w:pPr>
      <w:r>
        <w:rPr>
          <w:color w:val="000000"/>
          <w:sz w:val="24"/>
        </w:rPr>
        <w:lastRenderedPageBreak/>
        <w:tab/>
        <w:t>Accordingly, the Commission should issue orders quashing the subpoena and protecting IGS from OCC’s request for deposition.</w:t>
      </w:r>
    </w:p>
    <w:p w:rsidR="003A53F8" w:rsidRPr="003A53F8" w:rsidRDefault="003A53F8" w:rsidP="00C47976">
      <w:pPr>
        <w:pStyle w:val="ListParagraph"/>
        <w:numPr>
          <w:ilvl w:val="0"/>
          <w:numId w:val="21"/>
        </w:numPr>
        <w:suppressLineNumbers/>
        <w:spacing w:after="120" w:line="480" w:lineRule="auto"/>
        <w:rPr>
          <w:b/>
          <w:color w:val="000000"/>
          <w:sz w:val="24"/>
        </w:rPr>
      </w:pPr>
      <w:r w:rsidRPr="003A53F8">
        <w:rPr>
          <w:b/>
          <w:color w:val="000000"/>
          <w:sz w:val="24"/>
        </w:rPr>
        <w:t>The subpoena was not appropriately executed</w:t>
      </w:r>
    </w:p>
    <w:p w:rsidR="00B45891" w:rsidRPr="00E072A0" w:rsidRDefault="003A53F8" w:rsidP="00C47976">
      <w:pPr>
        <w:suppressLineNumbers/>
        <w:spacing w:after="120" w:line="480" w:lineRule="auto"/>
        <w:ind w:firstLine="720"/>
        <w:rPr>
          <w:bCs/>
          <w:sz w:val="24"/>
        </w:rPr>
      </w:pPr>
      <w:r>
        <w:rPr>
          <w:bCs/>
          <w:sz w:val="24"/>
        </w:rPr>
        <w:t xml:space="preserve">The subpoena should be quashed because it </w:t>
      </w:r>
      <w:r w:rsidR="00E072A0">
        <w:rPr>
          <w:bCs/>
          <w:sz w:val="24"/>
        </w:rPr>
        <w:t>was not properly executed under either OAC 4901-1-25(A</w:t>
      </w:r>
      <w:proofErr w:type="gramStart"/>
      <w:r w:rsidR="00E072A0">
        <w:rPr>
          <w:bCs/>
          <w:sz w:val="24"/>
        </w:rPr>
        <w:t>)(</w:t>
      </w:r>
      <w:proofErr w:type="gramEnd"/>
      <w:r w:rsidR="00E072A0">
        <w:rPr>
          <w:bCs/>
          <w:sz w:val="24"/>
        </w:rPr>
        <w:t xml:space="preserve">1) or (2).  Those rules provide </w:t>
      </w:r>
      <w:r w:rsidR="00B45891" w:rsidRPr="00E072A0">
        <w:rPr>
          <w:bCs/>
          <w:sz w:val="24"/>
        </w:rPr>
        <w:t>that a subpoena must be</w:t>
      </w:r>
      <w:r w:rsidR="00E072A0">
        <w:rPr>
          <w:bCs/>
          <w:sz w:val="24"/>
        </w:rPr>
        <w:t xml:space="preserve"> signed by t</w:t>
      </w:r>
      <w:r w:rsidR="00B45891" w:rsidRPr="00E072A0">
        <w:rPr>
          <w:bCs/>
          <w:sz w:val="24"/>
        </w:rPr>
        <w:t xml:space="preserve">he Attorney Examiner assigned to the case or the leave director or a designee.   </w:t>
      </w:r>
    </w:p>
    <w:p w:rsidR="00B45891" w:rsidRPr="00B45891" w:rsidRDefault="00B45891" w:rsidP="00C47976">
      <w:pPr>
        <w:spacing w:after="120"/>
        <w:ind w:left="720" w:right="720"/>
        <w:rPr>
          <w:sz w:val="24"/>
        </w:rPr>
      </w:pPr>
      <w:bookmarkStart w:id="1" w:name="4901-1-25(A)(2)"/>
      <w:r w:rsidRPr="00B45891">
        <w:rPr>
          <w:sz w:val="24"/>
        </w:rPr>
        <w:t xml:space="preserve">(1) A party may file a motion for a subpoena with the docketing division. A completed subpoena form, ready for signature, shall accompany the motion. </w:t>
      </w:r>
      <w:r w:rsidRPr="00E072A0">
        <w:rPr>
          <w:b/>
          <w:sz w:val="24"/>
        </w:rPr>
        <w:t>The attorney examiner assigned to the case, or the legal director or deputy legal director or their designee, will review the filing and, if appropriate, sign the subpoena.</w:t>
      </w:r>
      <w:r w:rsidRPr="00B45891">
        <w:rPr>
          <w:sz w:val="24"/>
        </w:rPr>
        <w:t xml:space="preserve"> The attorney examiner, legal director, deputy legal director, or designee will return via United States mail the signed subpoena, with a cover letter, to the party that filed the motion. A copy of the cover letter will be docketed in the case file.</w:t>
      </w:r>
    </w:p>
    <w:p w:rsidR="00E072A0" w:rsidRDefault="00B45891" w:rsidP="00C47976">
      <w:pPr>
        <w:spacing w:after="120"/>
        <w:ind w:left="720" w:right="720"/>
        <w:rPr>
          <w:sz w:val="24"/>
        </w:rPr>
      </w:pPr>
      <w:r w:rsidRPr="00B45891">
        <w:rPr>
          <w:sz w:val="24"/>
        </w:rPr>
        <w:t>(2)</w:t>
      </w:r>
      <w:bookmarkEnd w:id="1"/>
      <w:r w:rsidRPr="00B45891">
        <w:rPr>
          <w:sz w:val="24"/>
        </w:rPr>
        <w:t xml:space="preserve"> </w:t>
      </w:r>
      <w:r w:rsidRPr="00E072A0">
        <w:rPr>
          <w:b/>
          <w:sz w:val="24"/>
        </w:rPr>
        <w:t>To receive expedited treatment, a motion for a subpoena and the subpoena itself should first be submitted in person to the attorney examiner assigned to the case, or to the legal director or a designee, for signature of the subpoena</w:t>
      </w:r>
      <w:r w:rsidRPr="00B45891">
        <w:rPr>
          <w:sz w:val="24"/>
        </w:rPr>
        <w:t xml:space="preserve">. </w:t>
      </w:r>
    </w:p>
    <w:p w:rsidR="00E072A0" w:rsidRDefault="00E072A0" w:rsidP="00C47976">
      <w:pPr>
        <w:spacing w:after="120" w:line="480" w:lineRule="auto"/>
        <w:ind w:right="720"/>
        <w:rPr>
          <w:sz w:val="24"/>
        </w:rPr>
      </w:pPr>
      <w:r>
        <w:rPr>
          <w:sz w:val="24"/>
        </w:rPr>
        <w:t>The subpoena was signed by Attorney Examiner Mandy Chiles.  Because Greta See and Sarah Parrot are the Attorney Examiners assigned to this proceeding, the subp</w:t>
      </w:r>
      <w:r w:rsidR="00425480">
        <w:rPr>
          <w:sz w:val="24"/>
        </w:rPr>
        <w:t>oena was not properly executed.</w:t>
      </w:r>
      <w:r w:rsidR="002A5BE5">
        <w:rPr>
          <w:rStyle w:val="FootnoteReference"/>
          <w:sz w:val="24"/>
        </w:rPr>
        <w:footnoteReference w:id="6"/>
      </w:r>
      <w:r>
        <w:rPr>
          <w:sz w:val="24"/>
        </w:rPr>
        <w:t xml:space="preserve"> </w:t>
      </w:r>
    </w:p>
    <w:p w:rsidR="00E072A0" w:rsidRPr="00B45891" w:rsidRDefault="00E072A0" w:rsidP="00C47976">
      <w:pPr>
        <w:spacing w:after="120" w:line="480" w:lineRule="auto"/>
        <w:ind w:right="720" w:firstLine="720"/>
        <w:rPr>
          <w:sz w:val="24"/>
        </w:rPr>
      </w:pPr>
      <w:r>
        <w:rPr>
          <w:sz w:val="24"/>
        </w:rPr>
        <w:t>Moreover, it is too late for OCC to cure this deficiency by obtaining an expedited subpoena from the proper signee.  Such a subpoena must be obtained at least five days prior to the hearing.</w:t>
      </w:r>
      <w:r w:rsidR="00C47976">
        <w:rPr>
          <w:rStyle w:val="FootnoteReference"/>
          <w:sz w:val="24"/>
        </w:rPr>
        <w:footnoteReference w:id="7"/>
      </w:r>
      <w:r w:rsidR="0039552E">
        <w:rPr>
          <w:sz w:val="24"/>
        </w:rPr>
        <w:t xml:space="preserve">  Thus, the Commission should quash the subpoena.</w:t>
      </w:r>
    </w:p>
    <w:p w:rsidR="003A53F8" w:rsidRDefault="003A53F8" w:rsidP="00C47976">
      <w:pPr>
        <w:pStyle w:val="ListParagraph"/>
        <w:numPr>
          <w:ilvl w:val="0"/>
          <w:numId w:val="18"/>
        </w:numPr>
        <w:spacing w:after="120" w:line="480" w:lineRule="auto"/>
        <w:ind w:right="720"/>
        <w:rPr>
          <w:b/>
          <w:sz w:val="24"/>
        </w:rPr>
      </w:pPr>
      <w:r>
        <w:rPr>
          <w:b/>
          <w:sz w:val="24"/>
        </w:rPr>
        <w:lastRenderedPageBreak/>
        <w:t>CONCLUSION</w:t>
      </w:r>
    </w:p>
    <w:p w:rsidR="00943DE9" w:rsidRDefault="004F4C39" w:rsidP="0039552E">
      <w:pPr>
        <w:spacing w:after="120" w:line="480" w:lineRule="auto"/>
        <w:ind w:firstLine="720"/>
        <w:rPr>
          <w:sz w:val="24"/>
        </w:rPr>
      </w:pPr>
      <w:r>
        <w:rPr>
          <w:sz w:val="24"/>
        </w:rPr>
        <w:t xml:space="preserve"> </w:t>
      </w:r>
      <w:r w:rsidR="00425480">
        <w:rPr>
          <w:sz w:val="24"/>
        </w:rPr>
        <w:t xml:space="preserve">It </w:t>
      </w:r>
      <w:r>
        <w:rPr>
          <w:sz w:val="24"/>
        </w:rPr>
        <w:t>is important to</w:t>
      </w:r>
      <w:r w:rsidR="00425480">
        <w:rPr>
          <w:sz w:val="24"/>
        </w:rPr>
        <w:t xml:space="preserve"> consider these motions</w:t>
      </w:r>
      <w:r>
        <w:rPr>
          <w:sz w:val="24"/>
        </w:rPr>
        <w:t xml:space="preserve"> within the context of the facts of this case.  At this stage, several parties have submitted a settlement for Commission consideration and approval.  The Stipulation is supported by the testimony of a witness, and the </w:t>
      </w:r>
      <w:r w:rsidR="007511FC">
        <w:rPr>
          <w:sz w:val="24"/>
        </w:rPr>
        <w:t xml:space="preserve">signatory </w:t>
      </w:r>
      <w:r>
        <w:rPr>
          <w:sz w:val="24"/>
        </w:rPr>
        <w:t>parties’ position regarding the Stipulation is self-evident from the document itself.   It would be unduly burdensome and oppressive to require anything more.</w:t>
      </w:r>
      <w:r w:rsidR="00943DE9">
        <w:rPr>
          <w:sz w:val="24"/>
        </w:rPr>
        <w:t xml:space="preserve">  </w:t>
      </w:r>
      <w:r w:rsidR="00425480">
        <w:rPr>
          <w:sz w:val="24"/>
        </w:rPr>
        <w:t>Moreover, it would set</w:t>
      </w:r>
      <w:r w:rsidR="007511FC">
        <w:rPr>
          <w:sz w:val="24"/>
        </w:rPr>
        <w:t xml:space="preserve"> bad precedent, effectively establishing a rule that any party that enters into a stipulation</w:t>
      </w:r>
      <w:r w:rsidR="00943DE9">
        <w:rPr>
          <w:sz w:val="24"/>
        </w:rPr>
        <w:t>—ten parties in this case</w:t>
      </w:r>
      <w:r w:rsidR="00425480">
        <w:rPr>
          <w:sz w:val="24"/>
        </w:rPr>
        <w:t>,</w:t>
      </w:r>
      <w:r w:rsidR="00943DE9">
        <w:rPr>
          <w:sz w:val="24"/>
        </w:rPr>
        <w:t xml:space="preserve"> not including Ohio Power—</w:t>
      </w:r>
      <w:r w:rsidR="007511FC">
        <w:rPr>
          <w:sz w:val="24"/>
        </w:rPr>
        <w:t>could be compelled to participate in further litigation despite the fact that they have entered the settlement to, in part, avoid that very thing.</w:t>
      </w:r>
      <w:r w:rsidR="00943DE9">
        <w:rPr>
          <w:sz w:val="24"/>
        </w:rPr>
        <w:t xml:space="preserve">  </w:t>
      </w:r>
      <w:r w:rsidR="007511FC">
        <w:rPr>
          <w:sz w:val="24"/>
        </w:rPr>
        <w:t>Rather than lay down a rule that would have a chilling effect on parties</w:t>
      </w:r>
      <w:r w:rsidR="00943DE9">
        <w:rPr>
          <w:sz w:val="24"/>
        </w:rPr>
        <w:t>’</w:t>
      </w:r>
      <w:r w:rsidR="007511FC">
        <w:rPr>
          <w:sz w:val="24"/>
        </w:rPr>
        <w:t xml:space="preserve"> willingness to let go of their litigation positions in favor of settlements, the Commission should recognize the patent unre</w:t>
      </w:r>
      <w:r w:rsidR="005D01CA">
        <w:rPr>
          <w:sz w:val="24"/>
        </w:rPr>
        <w:t>asonableness of OCC’s requests and</w:t>
      </w:r>
      <w:r w:rsidR="0039552E">
        <w:rPr>
          <w:sz w:val="24"/>
        </w:rPr>
        <w:t xml:space="preserve"> grant IGS’s motions</w:t>
      </w:r>
      <w:r w:rsidR="007511FC">
        <w:rPr>
          <w:sz w:val="24"/>
        </w:rPr>
        <w:t>.</w:t>
      </w:r>
    </w:p>
    <w:p w:rsidR="00943DE9" w:rsidRDefault="00943DE9" w:rsidP="00943DE9">
      <w:pPr>
        <w:spacing w:line="480" w:lineRule="auto"/>
        <w:ind w:left="4320" w:firstLine="720"/>
        <w:rPr>
          <w:sz w:val="24"/>
        </w:rPr>
      </w:pPr>
      <w:r>
        <w:rPr>
          <w:sz w:val="24"/>
        </w:rPr>
        <w:t>Very truly yours,</w:t>
      </w:r>
    </w:p>
    <w:p w:rsidR="00943DE9" w:rsidRDefault="00943DE9" w:rsidP="00943DE9">
      <w:pPr>
        <w:rPr>
          <w:sz w:val="24"/>
        </w:rPr>
      </w:pPr>
      <w:r>
        <w:rPr>
          <w:sz w:val="24"/>
        </w:rPr>
        <w:tab/>
      </w:r>
      <w:r>
        <w:rPr>
          <w:sz w:val="24"/>
        </w:rPr>
        <w:tab/>
      </w:r>
      <w:r>
        <w:rPr>
          <w:sz w:val="24"/>
        </w:rPr>
        <w:tab/>
      </w:r>
      <w:r>
        <w:rPr>
          <w:sz w:val="24"/>
        </w:rPr>
        <w:tab/>
      </w:r>
      <w:r>
        <w:rPr>
          <w:sz w:val="24"/>
        </w:rPr>
        <w:tab/>
      </w:r>
      <w:r>
        <w:rPr>
          <w:sz w:val="24"/>
        </w:rPr>
        <w:tab/>
      </w:r>
    </w:p>
    <w:p w:rsidR="00943DE9" w:rsidRPr="0039552E" w:rsidRDefault="00943DE9" w:rsidP="00943DE9">
      <w:pPr>
        <w:ind w:left="4320" w:firstLine="720"/>
        <w:rPr>
          <w:i/>
          <w:sz w:val="24"/>
        </w:rPr>
      </w:pPr>
      <w:r w:rsidRPr="0039552E">
        <w:rPr>
          <w:b/>
          <w:i/>
          <w:sz w:val="24"/>
          <w:u w:val="single"/>
        </w:rPr>
        <w:t>/s/Joseph Oliker</w:t>
      </w:r>
      <w:r w:rsidRPr="0039552E">
        <w:rPr>
          <w:i/>
          <w:sz w:val="24"/>
        </w:rPr>
        <w:tab/>
      </w:r>
    </w:p>
    <w:p w:rsidR="00943DE9" w:rsidRDefault="00943DE9" w:rsidP="00943DE9">
      <w:pPr>
        <w:ind w:left="5040"/>
        <w:rPr>
          <w:sz w:val="24"/>
        </w:rPr>
      </w:pPr>
      <w:r>
        <w:rPr>
          <w:sz w:val="24"/>
        </w:rPr>
        <w:t>Joseph Oliker (0086088)</w:t>
      </w:r>
    </w:p>
    <w:p w:rsidR="00943DE9" w:rsidRDefault="00943DE9" w:rsidP="00943DE9">
      <w:pPr>
        <w:ind w:left="5040"/>
        <w:rPr>
          <w:sz w:val="24"/>
        </w:rPr>
      </w:pPr>
      <w:r>
        <w:rPr>
          <w:sz w:val="24"/>
        </w:rPr>
        <w:t>Email</w:t>
      </w:r>
      <w:r w:rsidRPr="00A71E20">
        <w:rPr>
          <w:sz w:val="24"/>
        </w:rPr>
        <w:t>:</w:t>
      </w:r>
      <w:r w:rsidRPr="00943DE9">
        <w:rPr>
          <w:sz w:val="24"/>
        </w:rPr>
        <w:t xml:space="preserve"> </w:t>
      </w:r>
      <w:hyperlink r:id="rId11" w:history="1">
        <w:r w:rsidRPr="00943DE9">
          <w:rPr>
            <w:rStyle w:val="Hyperlink"/>
            <w:color w:val="auto"/>
            <w:sz w:val="24"/>
            <w:u w:val="none"/>
          </w:rPr>
          <w:t>joliker@igsenergy.com</w:t>
        </w:r>
      </w:hyperlink>
    </w:p>
    <w:p w:rsidR="00943DE9" w:rsidRDefault="00943DE9" w:rsidP="00943DE9">
      <w:pPr>
        <w:ind w:left="5040"/>
        <w:rPr>
          <w:sz w:val="24"/>
        </w:rPr>
      </w:pPr>
      <w:r>
        <w:rPr>
          <w:sz w:val="24"/>
        </w:rPr>
        <w:t>Counsel of Record</w:t>
      </w:r>
    </w:p>
    <w:p w:rsidR="00943DE9" w:rsidRDefault="00943DE9" w:rsidP="00943DE9">
      <w:pPr>
        <w:ind w:left="5040"/>
        <w:rPr>
          <w:sz w:val="24"/>
        </w:rPr>
      </w:pPr>
      <w:r>
        <w:rPr>
          <w:sz w:val="24"/>
        </w:rPr>
        <w:t>IGS Energy</w:t>
      </w:r>
    </w:p>
    <w:p w:rsidR="00943DE9" w:rsidRDefault="00943DE9" w:rsidP="00943DE9">
      <w:pPr>
        <w:ind w:left="5040"/>
        <w:rPr>
          <w:sz w:val="24"/>
        </w:rPr>
      </w:pPr>
      <w:r>
        <w:rPr>
          <w:sz w:val="24"/>
        </w:rPr>
        <w:t>6100 Emerald Parkway</w:t>
      </w:r>
    </w:p>
    <w:p w:rsidR="00943DE9" w:rsidRDefault="00943DE9" w:rsidP="00943DE9">
      <w:pPr>
        <w:ind w:left="5040"/>
        <w:rPr>
          <w:sz w:val="24"/>
        </w:rPr>
      </w:pPr>
      <w:r>
        <w:rPr>
          <w:sz w:val="24"/>
        </w:rPr>
        <w:t>Dublin, Ohio 43016</w:t>
      </w:r>
    </w:p>
    <w:p w:rsidR="00943DE9" w:rsidRDefault="00943DE9" w:rsidP="00943DE9">
      <w:pPr>
        <w:ind w:left="5040"/>
        <w:rPr>
          <w:sz w:val="24"/>
        </w:rPr>
      </w:pPr>
      <w:r>
        <w:rPr>
          <w:sz w:val="24"/>
        </w:rPr>
        <w:t>Telephone:</w:t>
      </w:r>
      <w:r>
        <w:rPr>
          <w:sz w:val="24"/>
        </w:rPr>
        <w:tab/>
        <w:t>(614) 659-5000</w:t>
      </w:r>
    </w:p>
    <w:p w:rsidR="00943DE9" w:rsidRDefault="00943DE9" w:rsidP="00943DE9">
      <w:pPr>
        <w:ind w:left="5040"/>
        <w:rPr>
          <w:sz w:val="24"/>
        </w:rPr>
      </w:pPr>
      <w:r>
        <w:rPr>
          <w:sz w:val="24"/>
        </w:rPr>
        <w:t>Facsimile:</w:t>
      </w:r>
      <w:r>
        <w:rPr>
          <w:sz w:val="24"/>
        </w:rPr>
        <w:tab/>
        <w:t>(614) 659-5073</w:t>
      </w:r>
    </w:p>
    <w:p w:rsidR="00943DE9" w:rsidRDefault="00943DE9" w:rsidP="007511FC">
      <w:pPr>
        <w:spacing w:line="480" w:lineRule="auto"/>
        <w:ind w:firstLine="720"/>
        <w:rPr>
          <w:sz w:val="24"/>
        </w:rPr>
      </w:pPr>
    </w:p>
    <w:p w:rsidR="005D01CA" w:rsidRDefault="005D01CA" w:rsidP="007511FC">
      <w:pPr>
        <w:spacing w:line="480" w:lineRule="auto"/>
        <w:ind w:firstLine="720"/>
        <w:rPr>
          <w:sz w:val="24"/>
        </w:rPr>
      </w:pPr>
    </w:p>
    <w:p w:rsidR="005D01CA" w:rsidRDefault="005D01CA" w:rsidP="007511FC">
      <w:pPr>
        <w:spacing w:line="480" w:lineRule="auto"/>
        <w:ind w:firstLine="720"/>
        <w:rPr>
          <w:sz w:val="24"/>
        </w:rPr>
      </w:pPr>
    </w:p>
    <w:p w:rsidR="005D01CA" w:rsidRDefault="005D01CA" w:rsidP="0039552E">
      <w:pPr>
        <w:spacing w:line="480" w:lineRule="auto"/>
        <w:rPr>
          <w:sz w:val="24"/>
        </w:rPr>
      </w:pPr>
    </w:p>
    <w:p w:rsidR="005D01CA" w:rsidRPr="005D01CA" w:rsidRDefault="005D01CA" w:rsidP="005D01CA">
      <w:pPr>
        <w:suppressLineNumbers/>
        <w:ind w:left="2160" w:firstLine="720"/>
        <w:contextualSpacing/>
        <w:rPr>
          <w:rFonts w:eastAsia="Arial"/>
          <w:sz w:val="24"/>
        </w:rPr>
      </w:pPr>
      <w:r w:rsidRPr="005D01CA">
        <w:rPr>
          <w:rFonts w:eastAsia="Arial"/>
          <w:b/>
          <w:sz w:val="24"/>
          <w:u w:val="single"/>
        </w:rPr>
        <w:lastRenderedPageBreak/>
        <w:t>CERTIFICATE OF SERVICE</w:t>
      </w:r>
    </w:p>
    <w:p w:rsidR="005D01CA" w:rsidRPr="005D01CA" w:rsidRDefault="005D01CA" w:rsidP="005D01CA">
      <w:pPr>
        <w:suppressLineNumbers/>
        <w:jc w:val="center"/>
        <w:rPr>
          <w:rFonts w:eastAsia="Arial"/>
          <w:b/>
          <w:sz w:val="24"/>
          <w:u w:val="single"/>
        </w:rPr>
      </w:pPr>
    </w:p>
    <w:p w:rsidR="005D01CA" w:rsidRPr="005D01CA" w:rsidRDefault="005D01CA" w:rsidP="005D01CA">
      <w:pPr>
        <w:suppressLineNumbers/>
        <w:rPr>
          <w:rFonts w:eastAsia="Calibri"/>
          <w:sz w:val="24"/>
        </w:rPr>
      </w:pPr>
      <w:r w:rsidRPr="005D01CA">
        <w:rPr>
          <w:rFonts w:eastAsia="Arial"/>
          <w:sz w:val="24"/>
        </w:rPr>
        <w:tab/>
      </w:r>
      <w:r w:rsidRPr="005D01CA">
        <w:rPr>
          <w:rFonts w:eastAsia="Calibri"/>
          <w:sz w:val="24"/>
        </w:rPr>
        <w:t xml:space="preserve">The undersigned hereby certifies that a copy of the foregoing </w:t>
      </w:r>
      <w:r w:rsidRPr="0039552E">
        <w:rPr>
          <w:rFonts w:eastAsia="Calibri"/>
          <w:i/>
          <w:sz w:val="24"/>
        </w:rPr>
        <w:t>Motion to Quash and Motion for Protective and Memorandum in Support</w:t>
      </w:r>
      <w:r w:rsidRPr="005D01CA">
        <w:rPr>
          <w:rFonts w:eastAsia="Calibri"/>
          <w:i/>
          <w:sz w:val="24"/>
        </w:rPr>
        <w:t xml:space="preserve"> </w:t>
      </w:r>
      <w:r w:rsidRPr="005D01CA">
        <w:rPr>
          <w:rFonts w:eastAsia="Calibri"/>
          <w:sz w:val="24"/>
        </w:rPr>
        <w:t xml:space="preserve">was served this </w:t>
      </w:r>
      <w:r w:rsidR="0039552E" w:rsidRPr="0039552E">
        <w:rPr>
          <w:rFonts w:eastAsia="Calibri"/>
          <w:sz w:val="24"/>
        </w:rPr>
        <w:t>3</w:t>
      </w:r>
      <w:r w:rsidRPr="005D01CA">
        <w:rPr>
          <w:rFonts w:eastAsia="Calibri"/>
          <w:sz w:val="24"/>
        </w:rPr>
        <w:t xml:space="preserve">1th day of </w:t>
      </w:r>
      <w:r w:rsidRPr="0039552E">
        <w:rPr>
          <w:rFonts w:eastAsia="Calibri"/>
          <w:sz w:val="24"/>
        </w:rPr>
        <w:t>Dec</w:t>
      </w:r>
      <w:r w:rsidRPr="005D01CA">
        <w:rPr>
          <w:rFonts w:eastAsia="Calibri"/>
          <w:sz w:val="24"/>
        </w:rPr>
        <w:t>ember 2015 via electronic mail upon the following:</w:t>
      </w:r>
    </w:p>
    <w:p w:rsidR="005D01CA" w:rsidRPr="005D01CA" w:rsidRDefault="005D01CA" w:rsidP="005D01CA">
      <w:pPr>
        <w:suppressLineNumbers/>
        <w:rPr>
          <w:rFonts w:eastAsia="Calibri"/>
          <w:sz w:val="24"/>
        </w:rPr>
      </w:pPr>
    </w:p>
    <w:p w:rsidR="005D01CA" w:rsidRPr="005D01CA" w:rsidRDefault="005D01CA" w:rsidP="005D01CA">
      <w:pPr>
        <w:suppressLineNumbers/>
        <w:jc w:val="left"/>
        <w:rPr>
          <w:sz w:val="16"/>
          <w:szCs w:val="16"/>
        </w:rPr>
      </w:pPr>
    </w:p>
    <w:tbl>
      <w:tblPr>
        <w:tblW w:w="0" w:type="auto"/>
        <w:tblLook w:val="01E0" w:firstRow="1" w:lastRow="1" w:firstColumn="1" w:lastColumn="1" w:noHBand="0" w:noVBand="0"/>
      </w:tblPr>
      <w:tblGrid>
        <w:gridCol w:w="4462"/>
        <w:gridCol w:w="4502"/>
      </w:tblGrid>
      <w:tr w:rsidR="005D01CA" w:rsidRPr="005D01CA" w:rsidTr="00257259">
        <w:tc>
          <w:tcPr>
            <w:tcW w:w="4428" w:type="dxa"/>
            <w:shd w:val="clear" w:color="auto" w:fill="auto"/>
          </w:tcPr>
          <w:p w:rsidR="005D01CA" w:rsidRPr="005D01CA" w:rsidRDefault="005D01CA" w:rsidP="005D01CA">
            <w:pPr>
              <w:autoSpaceDE w:val="0"/>
              <w:autoSpaceDN w:val="0"/>
              <w:adjustRightInd w:val="0"/>
              <w:jc w:val="left"/>
              <w:rPr>
                <w:rFonts w:eastAsia="Times New Roman"/>
                <w:color w:val="000000"/>
                <w:sz w:val="24"/>
              </w:rPr>
            </w:pPr>
            <w:hyperlink r:id="rId12" w:history="1">
              <w:r w:rsidRPr="005D01CA">
                <w:rPr>
                  <w:rFonts w:eastAsia="Times New Roman"/>
                  <w:color w:val="0000FF"/>
                  <w:sz w:val="24"/>
                  <w:u w:val="single"/>
                </w:rPr>
                <w:t>Thomas.mcnamee@puc.state.oh.us</w:t>
              </w:r>
            </w:hyperlink>
          </w:p>
          <w:p w:rsidR="005D01CA" w:rsidRPr="005D01CA" w:rsidRDefault="005D01CA" w:rsidP="005D01CA">
            <w:pPr>
              <w:autoSpaceDE w:val="0"/>
              <w:autoSpaceDN w:val="0"/>
              <w:adjustRightInd w:val="0"/>
              <w:jc w:val="left"/>
              <w:rPr>
                <w:rFonts w:eastAsia="Times New Roman"/>
                <w:color w:val="000000"/>
                <w:sz w:val="24"/>
              </w:rPr>
            </w:pPr>
            <w:hyperlink r:id="rId13" w:history="1">
              <w:r w:rsidRPr="005D01CA">
                <w:rPr>
                  <w:rFonts w:eastAsia="Times New Roman"/>
                  <w:color w:val="0000FF"/>
                  <w:sz w:val="24"/>
                  <w:u w:val="single"/>
                </w:rPr>
                <w:t>Katie.johnson@puc.state.oh.us</w:t>
              </w:r>
            </w:hyperlink>
          </w:p>
          <w:p w:rsidR="005D01CA" w:rsidRPr="005D01CA" w:rsidRDefault="005D01CA" w:rsidP="005D01CA">
            <w:pPr>
              <w:autoSpaceDE w:val="0"/>
              <w:autoSpaceDN w:val="0"/>
              <w:adjustRightInd w:val="0"/>
              <w:jc w:val="left"/>
              <w:rPr>
                <w:rFonts w:eastAsia="Times New Roman"/>
                <w:color w:val="000000"/>
                <w:sz w:val="24"/>
              </w:rPr>
            </w:pPr>
            <w:hyperlink r:id="rId14" w:history="1">
              <w:r w:rsidRPr="005D01CA">
                <w:rPr>
                  <w:rFonts w:eastAsia="Times New Roman"/>
                  <w:color w:val="0000FF"/>
                  <w:sz w:val="24"/>
                  <w:u w:val="single"/>
                </w:rPr>
                <w:t>haydenm@firstenergycorp.com</w:t>
              </w:r>
            </w:hyperlink>
          </w:p>
          <w:p w:rsidR="005D01CA" w:rsidRPr="005D01CA" w:rsidRDefault="005D01CA" w:rsidP="005D01CA">
            <w:pPr>
              <w:autoSpaceDE w:val="0"/>
              <w:autoSpaceDN w:val="0"/>
              <w:adjustRightInd w:val="0"/>
              <w:jc w:val="left"/>
              <w:rPr>
                <w:rFonts w:eastAsia="Times New Roman"/>
                <w:color w:val="000000"/>
                <w:sz w:val="24"/>
              </w:rPr>
            </w:pPr>
            <w:hyperlink r:id="rId15" w:history="1">
              <w:r w:rsidRPr="005D01CA">
                <w:rPr>
                  <w:rFonts w:eastAsia="Times New Roman"/>
                  <w:color w:val="0000FF"/>
                  <w:sz w:val="24"/>
                  <w:u w:val="single"/>
                </w:rPr>
                <w:t>jmcdermott@firstenergycorp.com</w:t>
              </w:r>
            </w:hyperlink>
          </w:p>
          <w:p w:rsidR="005D01CA" w:rsidRPr="005D01CA" w:rsidRDefault="005D01CA" w:rsidP="005D01CA">
            <w:pPr>
              <w:autoSpaceDE w:val="0"/>
              <w:autoSpaceDN w:val="0"/>
              <w:adjustRightInd w:val="0"/>
              <w:jc w:val="left"/>
              <w:rPr>
                <w:rFonts w:eastAsia="Times New Roman"/>
                <w:color w:val="000000"/>
                <w:sz w:val="24"/>
              </w:rPr>
            </w:pPr>
            <w:hyperlink r:id="rId16" w:history="1">
              <w:r w:rsidRPr="005D01CA">
                <w:rPr>
                  <w:rFonts w:eastAsia="Times New Roman"/>
                  <w:color w:val="0000FF"/>
                  <w:sz w:val="24"/>
                  <w:u w:val="single"/>
                </w:rPr>
                <w:t>scasto@firstenergycorp.com</w:t>
              </w:r>
            </w:hyperlink>
          </w:p>
          <w:p w:rsidR="005D01CA" w:rsidRPr="005D01CA" w:rsidRDefault="005D01CA" w:rsidP="005D01CA">
            <w:pPr>
              <w:autoSpaceDE w:val="0"/>
              <w:autoSpaceDN w:val="0"/>
              <w:adjustRightInd w:val="0"/>
              <w:jc w:val="left"/>
              <w:rPr>
                <w:rFonts w:eastAsia="Times New Roman"/>
                <w:color w:val="000000"/>
                <w:sz w:val="24"/>
              </w:rPr>
            </w:pPr>
            <w:hyperlink r:id="rId17" w:history="1">
              <w:r w:rsidRPr="005D01CA">
                <w:rPr>
                  <w:rFonts w:eastAsia="Times New Roman"/>
                  <w:color w:val="0000FF"/>
                  <w:sz w:val="24"/>
                  <w:u w:val="single"/>
                </w:rPr>
                <w:t>jlang@calfee.com</w:t>
              </w:r>
            </w:hyperlink>
          </w:p>
          <w:p w:rsidR="005D01CA" w:rsidRPr="005D01CA" w:rsidRDefault="005D01CA" w:rsidP="005D01CA">
            <w:pPr>
              <w:autoSpaceDE w:val="0"/>
              <w:autoSpaceDN w:val="0"/>
              <w:adjustRightInd w:val="0"/>
              <w:jc w:val="left"/>
              <w:rPr>
                <w:rFonts w:eastAsia="Times New Roman"/>
                <w:color w:val="000000"/>
                <w:sz w:val="24"/>
              </w:rPr>
            </w:pPr>
            <w:hyperlink r:id="rId18" w:history="1">
              <w:r w:rsidRPr="005D01CA">
                <w:rPr>
                  <w:rFonts w:eastAsia="Times New Roman"/>
                  <w:color w:val="0000FF"/>
                  <w:sz w:val="24"/>
                  <w:u w:val="single"/>
                </w:rPr>
                <w:t>talexander@calfee.com</w:t>
              </w:r>
            </w:hyperlink>
          </w:p>
          <w:p w:rsidR="005D01CA" w:rsidRPr="005D01CA" w:rsidRDefault="005D01CA" w:rsidP="005D01CA">
            <w:pPr>
              <w:autoSpaceDE w:val="0"/>
              <w:autoSpaceDN w:val="0"/>
              <w:adjustRightInd w:val="0"/>
              <w:jc w:val="left"/>
              <w:rPr>
                <w:rFonts w:eastAsia="Times New Roman"/>
                <w:color w:val="000000"/>
                <w:sz w:val="24"/>
              </w:rPr>
            </w:pPr>
            <w:hyperlink r:id="rId19" w:history="1">
              <w:r w:rsidRPr="005D01CA">
                <w:rPr>
                  <w:rFonts w:eastAsia="Times New Roman"/>
                  <w:color w:val="0000FF"/>
                  <w:sz w:val="24"/>
                  <w:u w:val="single"/>
                </w:rPr>
                <w:t>myurick@taftlaw.com</w:t>
              </w:r>
            </w:hyperlink>
          </w:p>
          <w:p w:rsidR="005D01CA" w:rsidRPr="005D01CA" w:rsidRDefault="005D01CA" w:rsidP="005D01CA">
            <w:pPr>
              <w:autoSpaceDE w:val="0"/>
              <w:autoSpaceDN w:val="0"/>
              <w:adjustRightInd w:val="0"/>
              <w:jc w:val="left"/>
              <w:rPr>
                <w:rFonts w:eastAsia="Times New Roman"/>
                <w:color w:val="000000"/>
                <w:sz w:val="24"/>
              </w:rPr>
            </w:pPr>
            <w:hyperlink r:id="rId20" w:history="1">
              <w:r w:rsidRPr="005D01CA">
                <w:rPr>
                  <w:rFonts w:eastAsia="Times New Roman"/>
                  <w:color w:val="0000FF"/>
                  <w:sz w:val="24"/>
                  <w:u w:val="single"/>
                </w:rPr>
                <w:t>callwein@wamenergylaw.com</w:t>
              </w:r>
            </w:hyperlink>
          </w:p>
          <w:p w:rsidR="005D01CA" w:rsidRPr="005D01CA" w:rsidRDefault="005D01CA" w:rsidP="005D01CA">
            <w:pPr>
              <w:autoSpaceDE w:val="0"/>
              <w:autoSpaceDN w:val="0"/>
              <w:adjustRightInd w:val="0"/>
              <w:jc w:val="left"/>
              <w:rPr>
                <w:rFonts w:eastAsia="Times New Roman"/>
                <w:color w:val="000000"/>
                <w:sz w:val="24"/>
              </w:rPr>
            </w:pPr>
            <w:hyperlink r:id="rId21" w:history="1">
              <w:r w:rsidRPr="005D01CA">
                <w:rPr>
                  <w:rFonts w:eastAsia="Times New Roman"/>
                  <w:color w:val="0000FF"/>
                  <w:sz w:val="24"/>
                  <w:u w:val="single"/>
                </w:rPr>
                <w:t>tony.mendoza@sierraclub.org</w:t>
              </w:r>
            </w:hyperlink>
          </w:p>
          <w:p w:rsidR="005D01CA" w:rsidRPr="005D01CA" w:rsidRDefault="005D01CA" w:rsidP="005D01CA">
            <w:pPr>
              <w:autoSpaceDE w:val="0"/>
              <w:autoSpaceDN w:val="0"/>
              <w:adjustRightInd w:val="0"/>
              <w:jc w:val="left"/>
              <w:rPr>
                <w:rFonts w:eastAsia="Times New Roman"/>
                <w:color w:val="000000"/>
                <w:sz w:val="24"/>
              </w:rPr>
            </w:pPr>
            <w:hyperlink r:id="rId22" w:history="1">
              <w:r w:rsidRPr="005D01CA">
                <w:rPr>
                  <w:rFonts w:eastAsia="Times New Roman"/>
                  <w:color w:val="0000FF"/>
                  <w:sz w:val="24"/>
                  <w:u w:val="single"/>
                </w:rPr>
                <w:t>todonnell@dickinsonwright.com</w:t>
              </w:r>
            </w:hyperlink>
          </w:p>
          <w:p w:rsidR="005D01CA" w:rsidRPr="005D01CA" w:rsidRDefault="005D01CA" w:rsidP="005D01CA">
            <w:pPr>
              <w:autoSpaceDE w:val="0"/>
              <w:autoSpaceDN w:val="0"/>
              <w:adjustRightInd w:val="0"/>
              <w:jc w:val="left"/>
              <w:rPr>
                <w:rFonts w:eastAsia="Times New Roman"/>
                <w:color w:val="000000"/>
                <w:sz w:val="24"/>
              </w:rPr>
            </w:pPr>
            <w:hyperlink r:id="rId23" w:history="1">
              <w:r w:rsidRPr="005D01CA">
                <w:rPr>
                  <w:rFonts w:eastAsia="Times New Roman"/>
                  <w:color w:val="0000FF"/>
                  <w:sz w:val="24"/>
                  <w:u w:val="single"/>
                </w:rPr>
                <w:t>tdougherty@theOEC.org</w:t>
              </w:r>
            </w:hyperlink>
          </w:p>
          <w:p w:rsidR="005D01CA" w:rsidRPr="005D01CA" w:rsidRDefault="005D01CA" w:rsidP="005D01CA">
            <w:pPr>
              <w:autoSpaceDE w:val="0"/>
              <w:autoSpaceDN w:val="0"/>
              <w:adjustRightInd w:val="0"/>
              <w:jc w:val="left"/>
              <w:rPr>
                <w:rFonts w:eastAsia="Times New Roman"/>
                <w:color w:val="000000"/>
                <w:sz w:val="24"/>
              </w:rPr>
            </w:pPr>
            <w:hyperlink r:id="rId24" w:history="1">
              <w:r w:rsidRPr="005D01CA">
                <w:rPr>
                  <w:rFonts w:eastAsia="Times New Roman"/>
                  <w:color w:val="0000FF"/>
                  <w:sz w:val="24"/>
                  <w:u w:val="single"/>
                </w:rPr>
                <w:t>toddm@wamenergylaw.com</w:t>
              </w:r>
            </w:hyperlink>
          </w:p>
          <w:p w:rsidR="005D01CA" w:rsidRPr="005D01CA" w:rsidRDefault="005D01CA" w:rsidP="005D01CA">
            <w:pPr>
              <w:autoSpaceDE w:val="0"/>
              <w:autoSpaceDN w:val="0"/>
              <w:adjustRightInd w:val="0"/>
              <w:jc w:val="left"/>
              <w:rPr>
                <w:rFonts w:eastAsia="Times New Roman"/>
                <w:color w:val="000000"/>
                <w:sz w:val="24"/>
              </w:rPr>
            </w:pPr>
            <w:hyperlink r:id="rId25" w:history="1">
              <w:r w:rsidRPr="005D01CA">
                <w:rPr>
                  <w:rFonts w:eastAsia="Times New Roman"/>
                  <w:color w:val="0000FF"/>
                  <w:sz w:val="24"/>
                  <w:u w:val="single"/>
                </w:rPr>
                <w:t>jeffrey.mayes@monitoringanalytics.com</w:t>
              </w:r>
            </w:hyperlink>
          </w:p>
          <w:p w:rsidR="005D01CA" w:rsidRPr="005D01CA" w:rsidRDefault="005D01CA" w:rsidP="005D01CA">
            <w:pPr>
              <w:autoSpaceDE w:val="0"/>
              <w:autoSpaceDN w:val="0"/>
              <w:adjustRightInd w:val="0"/>
              <w:jc w:val="left"/>
              <w:rPr>
                <w:rFonts w:eastAsia="Times New Roman"/>
                <w:color w:val="000000"/>
                <w:sz w:val="24"/>
              </w:rPr>
            </w:pPr>
            <w:hyperlink r:id="rId26" w:history="1">
              <w:r w:rsidRPr="005D01CA">
                <w:rPr>
                  <w:rFonts w:eastAsia="Times New Roman"/>
                  <w:color w:val="0000FF"/>
                  <w:sz w:val="24"/>
                  <w:u w:val="single"/>
                </w:rPr>
                <w:t>ricks@ohanet.org</w:t>
              </w:r>
            </w:hyperlink>
          </w:p>
          <w:p w:rsidR="005D01CA" w:rsidRPr="005D01CA" w:rsidRDefault="005D01CA" w:rsidP="005D01CA">
            <w:pPr>
              <w:autoSpaceDE w:val="0"/>
              <w:autoSpaceDN w:val="0"/>
              <w:adjustRightInd w:val="0"/>
              <w:jc w:val="left"/>
              <w:rPr>
                <w:rFonts w:eastAsia="Times New Roman"/>
                <w:color w:val="000000"/>
                <w:sz w:val="24"/>
              </w:rPr>
            </w:pPr>
            <w:hyperlink r:id="rId27" w:history="1">
              <w:r w:rsidRPr="005D01CA">
                <w:rPr>
                  <w:rFonts w:eastAsia="Times New Roman"/>
                  <w:color w:val="0000FF"/>
                  <w:sz w:val="24"/>
                  <w:u w:val="single"/>
                </w:rPr>
                <w:t>tobrien@bricker.com</w:t>
              </w:r>
            </w:hyperlink>
          </w:p>
          <w:p w:rsidR="005D01CA" w:rsidRPr="005D01CA" w:rsidRDefault="005D01CA" w:rsidP="005D01CA">
            <w:pPr>
              <w:autoSpaceDE w:val="0"/>
              <w:autoSpaceDN w:val="0"/>
              <w:adjustRightInd w:val="0"/>
              <w:jc w:val="left"/>
              <w:rPr>
                <w:rFonts w:eastAsia="Times New Roman"/>
                <w:color w:val="0000FF"/>
                <w:sz w:val="24"/>
              </w:rPr>
            </w:pPr>
            <w:hyperlink r:id="rId28" w:history="1">
              <w:r w:rsidRPr="005D01CA">
                <w:rPr>
                  <w:rFonts w:eastAsia="Times New Roman"/>
                  <w:color w:val="0000FF"/>
                  <w:sz w:val="24"/>
                  <w:u w:val="single"/>
                </w:rPr>
                <w:t>mhpetricoff@vorys.com</w:t>
              </w:r>
            </w:hyperlink>
          </w:p>
          <w:p w:rsidR="005D01CA" w:rsidRPr="005D01CA" w:rsidRDefault="005D01CA" w:rsidP="005D01CA">
            <w:pPr>
              <w:autoSpaceDE w:val="0"/>
              <w:autoSpaceDN w:val="0"/>
              <w:adjustRightInd w:val="0"/>
              <w:jc w:val="left"/>
              <w:rPr>
                <w:rFonts w:eastAsia="Times New Roman"/>
                <w:color w:val="0000FF"/>
                <w:sz w:val="24"/>
              </w:rPr>
            </w:pPr>
            <w:hyperlink r:id="rId29" w:history="1">
              <w:r w:rsidRPr="005D01CA">
                <w:rPr>
                  <w:rFonts w:eastAsia="Times New Roman"/>
                  <w:color w:val="0000FF"/>
                  <w:sz w:val="24"/>
                  <w:u w:val="single"/>
                </w:rPr>
                <w:t>mjsettineri@vorys.com</w:t>
              </w:r>
            </w:hyperlink>
          </w:p>
          <w:p w:rsidR="005D01CA" w:rsidRPr="005D01CA" w:rsidRDefault="005D01CA" w:rsidP="005D01CA">
            <w:pPr>
              <w:autoSpaceDE w:val="0"/>
              <w:autoSpaceDN w:val="0"/>
              <w:adjustRightInd w:val="0"/>
              <w:jc w:val="left"/>
              <w:rPr>
                <w:rFonts w:eastAsia="Times New Roman"/>
                <w:color w:val="0000FF"/>
                <w:sz w:val="24"/>
              </w:rPr>
            </w:pPr>
            <w:hyperlink r:id="rId30" w:history="1">
              <w:r w:rsidRPr="005D01CA">
                <w:rPr>
                  <w:rFonts w:eastAsia="Times New Roman"/>
                  <w:color w:val="0000FF"/>
                  <w:sz w:val="24"/>
                  <w:u w:val="single"/>
                </w:rPr>
                <w:t>glpetrucci@vorys.com</w:t>
              </w:r>
            </w:hyperlink>
          </w:p>
          <w:p w:rsidR="005D01CA" w:rsidRPr="005D01CA" w:rsidRDefault="005D01CA" w:rsidP="005D01CA">
            <w:pPr>
              <w:autoSpaceDE w:val="0"/>
              <w:autoSpaceDN w:val="0"/>
              <w:adjustRightInd w:val="0"/>
              <w:jc w:val="left"/>
              <w:rPr>
                <w:rFonts w:eastAsia="Times New Roman"/>
                <w:sz w:val="24"/>
              </w:rPr>
            </w:pPr>
            <w:hyperlink r:id="rId31" w:history="1">
              <w:r w:rsidRPr="005D01CA">
                <w:rPr>
                  <w:rFonts w:eastAsia="Times New Roman"/>
                  <w:color w:val="0000FF"/>
                  <w:sz w:val="24"/>
                  <w:u w:val="single"/>
                </w:rPr>
                <w:t>mdortch@kravitzllc.com</w:t>
              </w:r>
            </w:hyperlink>
          </w:p>
          <w:p w:rsidR="005D01CA" w:rsidRPr="005D01CA" w:rsidRDefault="005D01CA" w:rsidP="005D01CA">
            <w:pPr>
              <w:autoSpaceDE w:val="0"/>
              <w:autoSpaceDN w:val="0"/>
              <w:adjustRightInd w:val="0"/>
              <w:jc w:val="left"/>
              <w:rPr>
                <w:rFonts w:eastAsia="Times New Roman"/>
                <w:sz w:val="24"/>
              </w:rPr>
            </w:pPr>
            <w:hyperlink r:id="rId32" w:history="1">
              <w:r w:rsidRPr="005D01CA">
                <w:rPr>
                  <w:rFonts w:eastAsia="Times New Roman"/>
                  <w:color w:val="0000FF"/>
                  <w:sz w:val="24"/>
                  <w:u w:val="single"/>
                </w:rPr>
                <w:t>joliker@igsenergy.com</w:t>
              </w:r>
            </w:hyperlink>
          </w:p>
          <w:p w:rsidR="005D01CA" w:rsidRPr="005D01CA" w:rsidRDefault="005D01CA" w:rsidP="005D01CA">
            <w:pPr>
              <w:autoSpaceDE w:val="0"/>
              <w:autoSpaceDN w:val="0"/>
              <w:adjustRightInd w:val="0"/>
              <w:jc w:val="left"/>
              <w:rPr>
                <w:rFonts w:eastAsia="Times New Roman"/>
                <w:sz w:val="24"/>
              </w:rPr>
            </w:pPr>
            <w:hyperlink r:id="rId33" w:history="1">
              <w:r w:rsidRPr="005D01CA">
                <w:rPr>
                  <w:rFonts w:eastAsia="Times New Roman"/>
                  <w:color w:val="0000FF"/>
                  <w:sz w:val="24"/>
                  <w:u w:val="single"/>
                </w:rPr>
                <w:t>mswhite@igsenergy.com</w:t>
              </w:r>
            </w:hyperlink>
          </w:p>
          <w:p w:rsidR="005D01CA" w:rsidRPr="005D01CA" w:rsidRDefault="005D01CA" w:rsidP="005D01CA">
            <w:pPr>
              <w:autoSpaceDE w:val="0"/>
              <w:autoSpaceDN w:val="0"/>
              <w:adjustRightInd w:val="0"/>
              <w:jc w:val="left"/>
              <w:rPr>
                <w:rFonts w:eastAsia="Times New Roman"/>
                <w:color w:val="0000FF"/>
                <w:sz w:val="24"/>
              </w:rPr>
            </w:pPr>
          </w:p>
          <w:p w:rsidR="005D01CA" w:rsidRPr="005D01CA" w:rsidRDefault="005D01CA" w:rsidP="005D01CA">
            <w:pPr>
              <w:autoSpaceDE w:val="0"/>
              <w:autoSpaceDN w:val="0"/>
              <w:adjustRightInd w:val="0"/>
              <w:jc w:val="left"/>
              <w:rPr>
                <w:rFonts w:eastAsia="Times New Roman"/>
                <w:color w:val="000000"/>
                <w:sz w:val="24"/>
              </w:rPr>
            </w:pPr>
          </w:p>
        </w:tc>
        <w:tc>
          <w:tcPr>
            <w:tcW w:w="4428" w:type="dxa"/>
            <w:shd w:val="clear" w:color="auto" w:fill="auto"/>
          </w:tcPr>
          <w:p w:rsidR="005D01CA" w:rsidRPr="005D01CA" w:rsidRDefault="005D01CA" w:rsidP="005D01CA">
            <w:pPr>
              <w:autoSpaceDE w:val="0"/>
              <w:autoSpaceDN w:val="0"/>
              <w:adjustRightInd w:val="0"/>
              <w:jc w:val="left"/>
              <w:rPr>
                <w:rFonts w:eastAsia="Times New Roman"/>
                <w:color w:val="000000"/>
                <w:sz w:val="24"/>
              </w:rPr>
            </w:pPr>
            <w:hyperlink r:id="rId34" w:history="1">
              <w:r w:rsidRPr="005D01CA">
                <w:rPr>
                  <w:rFonts w:eastAsia="Times New Roman"/>
                  <w:color w:val="0000FF"/>
                  <w:sz w:val="24"/>
                  <w:u w:val="single"/>
                </w:rPr>
                <w:t>stnourse@aep.com</w:t>
              </w:r>
            </w:hyperlink>
          </w:p>
          <w:p w:rsidR="005D01CA" w:rsidRPr="005D01CA" w:rsidRDefault="005D01CA" w:rsidP="005D01CA">
            <w:pPr>
              <w:autoSpaceDE w:val="0"/>
              <w:autoSpaceDN w:val="0"/>
              <w:adjustRightInd w:val="0"/>
              <w:jc w:val="left"/>
              <w:rPr>
                <w:rFonts w:eastAsia="Times New Roman"/>
                <w:color w:val="000000"/>
                <w:sz w:val="24"/>
              </w:rPr>
            </w:pPr>
            <w:hyperlink r:id="rId35" w:history="1">
              <w:r w:rsidRPr="005D01CA">
                <w:rPr>
                  <w:rFonts w:eastAsia="Times New Roman"/>
                  <w:color w:val="0000FF"/>
                  <w:sz w:val="24"/>
                  <w:u w:val="single"/>
                </w:rPr>
                <w:t>mjsatterwhite@aep.com</w:t>
              </w:r>
            </w:hyperlink>
          </w:p>
          <w:p w:rsidR="005D01CA" w:rsidRPr="005D01CA" w:rsidRDefault="005D01CA" w:rsidP="005D01CA">
            <w:pPr>
              <w:autoSpaceDE w:val="0"/>
              <w:autoSpaceDN w:val="0"/>
              <w:adjustRightInd w:val="0"/>
              <w:jc w:val="left"/>
              <w:rPr>
                <w:rFonts w:eastAsia="Times New Roman"/>
                <w:color w:val="000000"/>
                <w:sz w:val="24"/>
              </w:rPr>
            </w:pPr>
            <w:hyperlink r:id="rId36" w:history="1">
              <w:r w:rsidRPr="005D01CA">
                <w:rPr>
                  <w:rFonts w:eastAsia="Times New Roman"/>
                  <w:color w:val="0000FF"/>
                  <w:sz w:val="24"/>
                  <w:u w:val="single"/>
                </w:rPr>
                <w:t>msmckenzie@aep.com</w:t>
              </w:r>
            </w:hyperlink>
          </w:p>
          <w:p w:rsidR="005D01CA" w:rsidRPr="005D01CA" w:rsidRDefault="005D01CA" w:rsidP="005D01CA">
            <w:pPr>
              <w:autoSpaceDE w:val="0"/>
              <w:autoSpaceDN w:val="0"/>
              <w:adjustRightInd w:val="0"/>
              <w:jc w:val="left"/>
              <w:rPr>
                <w:rFonts w:eastAsia="Times New Roman"/>
                <w:color w:val="000000"/>
                <w:sz w:val="24"/>
              </w:rPr>
            </w:pPr>
            <w:hyperlink r:id="rId37" w:history="1">
              <w:r w:rsidRPr="005D01CA">
                <w:rPr>
                  <w:rFonts w:eastAsia="Times New Roman"/>
                  <w:color w:val="0000FF"/>
                  <w:sz w:val="24"/>
                  <w:u w:val="single"/>
                </w:rPr>
                <w:t>mkurtz@BKLlawfirm.com</w:t>
              </w:r>
            </w:hyperlink>
          </w:p>
          <w:p w:rsidR="005D01CA" w:rsidRPr="005D01CA" w:rsidRDefault="005D01CA" w:rsidP="005D01CA">
            <w:pPr>
              <w:autoSpaceDE w:val="0"/>
              <w:autoSpaceDN w:val="0"/>
              <w:adjustRightInd w:val="0"/>
              <w:jc w:val="left"/>
              <w:rPr>
                <w:rFonts w:eastAsia="Times New Roman"/>
                <w:color w:val="000000"/>
                <w:sz w:val="24"/>
              </w:rPr>
            </w:pPr>
            <w:hyperlink r:id="rId38" w:history="1">
              <w:r w:rsidRPr="005D01CA">
                <w:rPr>
                  <w:rFonts w:eastAsia="Times New Roman"/>
                  <w:color w:val="0000FF"/>
                  <w:sz w:val="24"/>
                  <w:u w:val="single"/>
                </w:rPr>
                <w:t>kboehm@BKLlawfirm.com</w:t>
              </w:r>
            </w:hyperlink>
          </w:p>
          <w:p w:rsidR="005D01CA" w:rsidRPr="005D01CA" w:rsidRDefault="005D01CA" w:rsidP="005D01CA">
            <w:pPr>
              <w:autoSpaceDE w:val="0"/>
              <w:autoSpaceDN w:val="0"/>
              <w:adjustRightInd w:val="0"/>
              <w:jc w:val="left"/>
              <w:rPr>
                <w:rFonts w:eastAsia="Times New Roman"/>
                <w:color w:val="000000"/>
                <w:sz w:val="24"/>
              </w:rPr>
            </w:pPr>
            <w:hyperlink r:id="rId39" w:history="1">
              <w:r w:rsidRPr="005D01CA">
                <w:rPr>
                  <w:rFonts w:eastAsia="Times New Roman"/>
                  <w:color w:val="0000FF"/>
                  <w:sz w:val="24"/>
                  <w:u w:val="single"/>
                </w:rPr>
                <w:t>jkylercohn@BKLlawfirm.com</w:t>
              </w:r>
            </w:hyperlink>
          </w:p>
          <w:p w:rsidR="005D01CA" w:rsidRPr="005D01CA" w:rsidRDefault="005D01CA" w:rsidP="005D01CA">
            <w:pPr>
              <w:autoSpaceDE w:val="0"/>
              <w:autoSpaceDN w:val="0"/>
              <w:adjustRightInd w:val="0"/>
              <w:jc w:val="left"/>
              <w:rPr>
                <w:rFonts w:eastAsia="Times New Roman"/>
                <w:color w:val="000000"/>
                <w:sz w:val="24"/>
              </w:rPr>
            </w:pPr>
            <w:hyperlink r:id="rId40" w:history="1">
              <w:r w:rsidRPr="005D01CA">
                <w:rPr>
                  <w:rFonts w:eastAsia="Times New Roman"/>
                  <w:color w:val="0000FF"/>
                  <w:sz w:val="24"/>
                  <w:u w:val="single"/>
                </w:rPr>
                <w:t>sam@mwncmh.com</w:t>
              </w:r>
            </w:hyperlink>
          </w:p>
          <w:p w:rsidR="005D01CA" w:rsidRPr="005D01CA" w:rsidRDefault="005D01CA" w:rsidP="005D01CA">
            <w:pPr>
              <w:autoSpaceDE w:val="0"/>
              <w:autoSpaceDN w:val="0"/>
              <w:adjustRightInd w:val="0"/>
              <w:jc w:val="left"/>
              <w:rPr>
                <w:rFonts w:eastAsia="Times New Roman"/>
                <w:color w:val="000000"/>
                <w:sz w:val="24"/>
              </w:rPr>
            </w:pPr>
            <w:hyperlink r:id="rId41" w:history="1">
              <w:r w:rsidRPr="005D01CA">
                <w:rPr>
                  <w:rFonts w:eastAsia="Times New Roman"/>
                  <w:color w:val="0000FF"/>
                  <w:sz w:val="24"/>
                  <w:u w:val="single"/>
                </w:rPr>
                <w:t>fdarr@mwncmh.com</w:t>
              </w:r>
            </w:hyperlink>
          </w:p>
          <w:p w:rsidR="005D01CA" w:rsidRPr="005D01CA" w:rsidRDefault="005D01CA" w:rsidP="005D01CA">
            <w:pPr>
              <w:autoSpaceDE w:val="0"/>
              <w:autoSpaceDN w:val="0"/>
              <w:adjustRightInd w:val="0"/>
              <w:jc w:val="left"/>
              <w:rPr>
                <w:rFonts w:eastAsia="Times New Roman"/>
                <w:color w:val="000000"/>
                <w:sz w:val="24"/>
              </w:rPr>
            </w:pPr>
            <w:hyperlink r:id="rId42" w:history="1">
              <w:r w:rsidRPr="005D01CA">
                <w:rPr>
                  <w:rFonts w:eastAsia="Times New Roman"/>
                  <w:color w:val="0000FF"/>
                  <w:sz w:val="24"/>
                  <w:u w:val="single"/>
                </w:rPr>
                <w:t>mpritchard@mwncmh.com</w:t>
              </w:r>
            </w:hyperlink>
          </w:p>
          <w:p w:rsidR="005D01CA" w:rsidRPr="005D01CA" w:rsidRDefault="005D01CA" w:rsidP="005D01CA">
            <w:pPr>
              <w:autoSpaceDE w:val="0"/>
              <w:autoSpaceDN w:val="0"/>
              <w:adjustRightInd w:val="0"/>
              <w:jc w:val="left"/>
              <w:rPr>
                <w:rFonts w:eastAsia="Times New Roman"/>
                <w:color w:val="000000"/>
                <w:sz w:val="24"/>
              </w:rPr>
            </w:pPr>
            <w:hyperlink r:id="rId43" w:history="1">
              <w:r w:rsidRPr="005D01CA">
                <w:rPr>
                  <w:rFonts w:eastAsia="Times New Roman"/>
                  <w:color w:val="0000FF"/>
                  <w:sz w:val="24"/>
                  <w:u w:val="single"/>
                </w:rPr>
                <w:t>Kurt.Helfrich@ThompsonHine.com</w:t>
              </w:r>
            </w:hyperlink>
          </w:p>
          <w:p w:rsidR="005D01CA" w:rsidRPr="005D01CA" w:rsidRDefault="005D01CA" w:rsidP="005D01CA">
            <w:pPr>
              <w:autoSpaceDE w:val="0"/>
              <w:autoSpaceDN w:val="0"/>
              <w:adjustRightInd w:val="0"/>
              <w:jc w:val="left"/>
              <w:rPr>
                <w:rFonts w:eastAsia="Times New Roman"/>
                <w:color w:val="000000"/>
                <w:sz w:val="24"/>
              </w:rPr>
            </w:pPr>
            <w:hyperlink r:id="rId44" w:history="1">
              <w:r w:rsidRPr="005D01CA">
                <w:rPr>
                  <w:rFonts w:eastAsia="Times New Roman"/>
                  <w:color w:val="0000FF"/>
                  <w:sz w:val="24"/>
                  <w:u w:val="single"/>
                </w:rPr>
                <w:t>Scott.Campbell@ThompsonHine.com</w:t>
              </w:r>
            </w:hyperlink>
          </w:p>
          <w:p w:rsidR="005D01CA" w:rsidRPr="005D01CA" w:rsidRDefault="005D01CA" w:rsidP="005D01CA">
            <w:pPr>
              <w:autoSpaceDE w:val="0"/>
              <w:autoSpaceDN w:val="0"/>
              <w:adjustRightInd w:val="0"/>
              <w:jc w:val="left"/>
              <w:rPr>
                <w:rFonts w:eastAsia="Times New Roman"/>
                <w:color w:val="000000"/>
                <w:sz w:val="24"/>
              </w:rPr>
            </w:pPr>
            <w:hyperlink r:id="rId45" w:history="1">
              <w:r w:rsidRPr="005D01CA">
                <w:rPr>
                  <w:rFonts w:eastAsia="Times New Roman"/>
                  <w:color w:val="0000FF"/>
                  <w:sz w:val="24"/>
                  <w:u w:val="single"/>
                </w:rPr>
                <w:t>Stephanie.Chmiel@ThompsonHine.com</w:t>
              </w:r>
            </w:hyperlink>
          </w:p>
          <w:p w:rsidR="005D01CA" w:rsidRPr="005D01CA" w:rsidRDefault="005D01CA" w:rsidP="005D01CA">
            <w:pPr>
              <w:autoSpaceDE w:val="0"/>
              <w:autoSpaceDN w:val="0"/>
              <w:adjustRightInd w:val="0"/>
              <w:jc w:val="left"/>
              <w:rPr>
                <w:rFonts w:eastAsia="Times New Roman"/>
                <w:color w:val="000000"/>
                <w:sz w:val="24"/>
              </w:rPr>
            </w:pPr>
            <w:hyperlink r:id="rId46" w:history="1">
              <w:r w:rsidRPr="005D01CA">
                <w:rPr>
                  <w:rFonts w:eastAsia="Times New Roman"/>
                  <w:color w:val="0000FF"/>
                  <w:sz w:val="24"/>
                  <w:u w:val="single"/>
                </w:rPr>
                <w:t>lhawrot@spilmanlaw.com</w:t>
              </w:r>
            </w:hyperlink>
          </w:p>
          <w:p w:rsidR="005D01CA" w:rsidRPr="005D01CA" w:rsidRDefault="005D01CA" w:rsidP="005D01CA">
            <w:pPr>
              <w:autoSpaceDE w:val="0"/>
              <w:autoSpaceDN w:val="0"/>
              <w:adjustRightInd w:val="0"/>
              <w:jc w:val="left"/>
              <w:rPr>
                <w:rFonts w:eastAsia="Times New Roman"/>
                <w:color w:val="000000"/>
                <w:sz w:val="24"/>
              </w:rPr>
            </w:pPr>
            <w:hyperlink r:id="rId47" w:history="1">
              <w:r w:rsidRPr="005D01CA">
                <w:rPr>
                  <w:rFonts w:eastAsia="Times New Roman"/>
                  <w:color w:val="0000FF"/>
                  <w:sz w:val="24"/>
                  <w:u w:val="single"/>
                </w:rPr>
                <w:t>dwilliamson@spilmanlaw.com</w:t>
              </w:r>
            </w:hyperlink>
          </w:p>
          <w:p w:rsidR="005D01CA" w:rsidRPr="005D01CA" w:rsidRDefault="005D01CA" w:rsidP="005D01CA">
            <w:pPr>
              <w:autoSpaceDE w:val="0"/>
              <w:autoSpaceDN w:val="0"/>
              <w:adjustRightInd w:val="0"/>
              <w:jc w:val="left"/>
              <w:rPr>
                <w:rFonts w:eastAsia="Times New Roman"/>
                <w:color w:val="000000"/>
                <w:sz w:val="24"/>
              </w:rPr>
            </w:pPr>
            <w:hyperlink r:id="rId48" w:history="1">
              <w:r w:rsidRPr="005D01CA">
                <w:rPr>
                  <w:rFonts w:eastAsia="Times New Roman"/>
                  <w:color w:val="0000FF"/>
                  <w:sz w:val="24"/>
                  <w:u w:val="single"/>
                </w:rPr>
                <w:t>Stephen.Chriss@walmart.com</w:t>
              </w:r>
            </w:hyperlink>
          </w:p>
          <w:p w:rsidR="005D01CA" w:rsidRPr="005D01CA" w:rsidRDefault="005D01CA" w:rsidP="005D01CA">
            <w:pPr>
              <w:autoSpaceDE w:val="0"/>
              <w:autoSpaceDN w:val="0"/>
              <w:adjustRightInd w:val="0"/>
              <w:jc w:val="left"/>
              <w:rPr>
                <w:rFonts w:eastAsia="Times New Roman"/>
                <w:color w:val="000000"/>
                <w:sz w:val="24"/>
              </w:rPr>
            </w:pPr>
            <w:hyperlink r:id="rId49" w:history="1">
              <w:r w:rsidRPr="005D01CA">
                <w:rPr>
                  <w:rFonts w:eastAsia="Times New Roman"/>
                  <w:color w:val="0000FF"/>
                  <w:sz w:val="24"/>
                  <w:u w:val="single"/>
                </w:rPr>
                <w:t>Schmidt@sppgrp.com</w:t>
              </w:r>
            </w:hyperlink>
          </w:p>
          <w:p w:rsidR="005D01CA" w:rsidRPr="005D01CA" w:rsidRDefault="005D01CA" w:rsidP="005D01CA">
            <w:pPr>
              <w:autoSpaceDE w:val="0"/>
              <w:autoSpaceDN w:val="0"/>
              <w:adjustRightInd w:val="0"/>
              <w:jc w:val="left"/>
              <w:rPr>
                <w:rFonts w:eastAsia="Times New Roman"/>
                <w:color w:val="000000"/>
                <w:sz w:val="24"/>
              </w:rPr>
            </w:pPr>
            <w:hyperlink r:id="rId50" w:history="1">
              <w:r w:rsidRPr="005D01CA">
                <w:rPr>
                  <w:rFonts w:eastAsia="Times New Roman"/>
                  <w:color w:val="0000FF"/>
                  <w:sz w:val="24"/>
                  <w:u w:val="single"/>
                </w:rPr>
                <w:t>jfinnigan@edf.org</w:t>
              </w:r>
            </w:hyperlink>
          </w:p>
          <w:p w:rsidR="005D01CA" w:rsidRPr="005D01CA" w:rsidRDefault="005D01CA" w:rsidP="005D01CA">
            <w:pPr>
              <w:autoSpaceDE w:val="0"/>
              <w:autoSpaceDN w:val="0"/>
              <w:adjustRightInd w:val="0"/>
              <w:jc w:val="left"/>
              <w:rPr>
                <w:rFonts w:eastAsia="Times New Roman"/>
                <w:color w:val="000000"/>
                <w:sz w:val="24"/>
              </w:rPr>
            </w:pPr>
            <w:hyperlink r:id="rId51" w:history="1">
              <w:r w:rsidRPr="005D01CA">
                <w:rPr>
                  <w:rFonts w:eastAsia="Times New Roman"/>
                  <w:color w:val="0000FF"/>
                  <w:sz w:val="24"/>
                  <w:u w:val="single"/>
                </w:rPr>
                <w:t>Bojko@carpenterlipps.com</w:t>
              </w:r>
            </w:hyperlink>
          </w:p>
          <w:p w:rsidR="005D01CA" w:rsidRPr="005D01CA" w:rsidRDefault="005D01CA" w:rsidP="005D01CA">
            <w:pPr>
              <w:autoSpaceDE w:val="0"/>
              <w:autoSpaceDN w:val="0"/>
              <w:adjustRightInd w:val="0"/>
              <w:jc w:val="left"/>
              <w:rPr>
                <w:rFonts w:eastAsia="Times New Roman"/>
                <w:color w:val="0000FF"/>
                <w:sz w:val="24"/>
              </w:rPr>
            </w:pPr>
            <w:hyperlink r:id="rId52" w:history="1">
              <w:r w:rsidRPr="005D01CA">
                <w:rPr>
                  <w:rFonts w:eastAsia="Times New Roman"/>
                  <w:color w:val="0000FF"/>
                  <w:sz w:val="24"/>
                  <w:u w:val="single"/>
                </w:rPr>
                <w:t>mfleisher@elpc.org</w:t>
              </w:r>
            </w:hyperlink>
          </w:p>
          <w:p w:rsidR="005D01CA" w:rsidRPr="005D01CA" w:rsidRDefault="005D01CA" w:rsidP="005D01CA">
            <w:pPr>
              <w:autoSpaceDE w:val="0"/>
              <w:autoSpaceDN w:val="0"/>
              <w:adjustRightInd w:val="0"/>
              <w:jc w:val="left"/>
              <w:rPr>
                <w:rFonts w:eastAsia="Times New Roman"/>
                <w:color w:val="0000FF"/>
                <w:sz w:val="24"/>
              </w:rPr>
            </w:pPr>
            <w:hyperlink r:id="rId53" w:history="1">
              <w:r w:rsidRPr="005D01CA">
                <w:rPr>
                  <w:rFonts w:eastAsia="Times New Roman"/>
                  <w:color w:val="0000FF"/>
                  <w:sz w:val="24"/>
                  <w:u w:val="single"/>
                </w:rPr>
                <w:t>msmalz@ohiopovertylaw.org</w:t>
              </w:r>
            </w:hyperlink>
          </w:p>
          <w:p w:rsidR="005D01CA" w:rsidRPr="005D01CA" w:rsidRDefault="005D01CA" w:rsidP="005D01CA">
            <w:pPr>
              <w:autoSpaceDE w:val="0"/>
              <w:autoSpaceDN w:val="0"/>
              <w:adjustRightInd w:val="0"/>
              <w:jc w:val="left"/>
              <w:rPr>
                <w:rFonts w:eastAsia="Times New Roman"/>
                <w:color w:val="0000FF"/>
                <w:sz w:val="24"/>
              </w:rPr>
            </w:pPr>
            <w:hyperlink r:id="rId54" w:history="1">
              <w:r w:rsidRPr="005D01CA">
                <w:rPr>
                  <w:rFonts w:eastAsia="Times New Roman"/>
                  <w:color w:val="0000FF"/>
                  <w:sz w:val="24"/>
                  <w:u w:val="single"/>
                </w:rPr>
                <w:t>cmooney@ohiopartners.org</w:t>
              </w:r>
            </w:hyperlink>
          </w:p>
          <w:p w:rsidR="005D01CA" w:rsidRPr="005D01CA" w:rsidRDefault="005D01CA" w:rsidP="005D01CA">
            <w:pPr>
              <w:autoSpaceDE w:val="0"/>
              <w:autoSpaceDN w:val="0"/>
              <w:adjustRightInd w:val="0"/>
              <w:jc w:val="left"/>
              <w:rPr>
                <w:rFonts w:eastAsia="Times New Roman"/>
                <w:color w:val="0000FF"/>
                <w:sz w:val="24"/>
              </w:rPr>
            </w:pPr>
            <w:hyperlink r:id="rId55" w:history="1">
              <w:r w:rsidRPr="005D01CA">
                <w:rPr>
                  <w:rFonts w:eastAsia="Times New Roman"/>
                  <w:color w:val="0000FF"/>
                  <w:sz w:val="24"/>
                  <w:u w:val="single"/>
                </w:rPr>
                <w:t>joseph.clark@directenergy.com</w:t>
              </w:r>
            </w:hyperlink>
          </w:p>
          <w:p w:rsidR="005D01CA" w:rsidRPr="005D01CA" w:rsidRDefault="005D01CA" w:rsidP="005D01CA">
            <w:pPr>
              <w:autoSpaceDE w:val="0"/>
              <w:autoSpaceDN w:val="0"/>
              <w:adjustRightInd w:val="0"/>
              <w:jc w:val="left"/>
              <w:rPr>
                <w:rFonts w:eastAsia="Times New Roman"/>
                <w:color w:val="0000FF"/>
                <w:sz w:val="24"/>
              </w:rPr>
            </w:pPr>
            <w:hyperlink r:id="rId56" w:history="1">
              <w:r w:rsidRPr="005D01CA">
                <w:rPr>
                  <w:rFonts w:eastAsia="Times New Roman"/>
                  <w:color w:val="0000FF"/>
                  <w:sz w:val="24"/>
                  <w:u w:val="single"/>
                </w:rPr>
                <w:t>ghull@eckertseamans.com</w:t>
              </w:r>
            </w:hyperlink>
          </w:p>
          <w:p w:rsidR="005D01CA" w:rsidRPr="005D01CA" w:rsidRDefault="005D01CA" w:rsidP="005D01CA">
            <w:pPr>
              <w:autoSpaceDE w:val="0"/>
              <w:autoSpaceDN w:val="0"/>
              <w:adjustRightInd w:val="0"/>
              <w:jc w:val="left"/>
              <w:rPr>
                <w:rFonts w:eastAsia="Times New Roman"/>
                <w:color w:val="0000FF"/>
                <w:sz w:val="24"/>
              </w:rPr>
            </w:pPr>
          </w:p>
          <w:p w:rsidR="005D01CA" w:rsidRPr="005D01CA" w:rsidRDefault="005D01CA" w:rsidP="005D01CA">
            <w:pPr>
              <w:autoSpaceDE w:val="0"/>
              <w:autoSpaceDN w:val="0"/>
              <w:adjustRightInd w:val="0"/>
              <w:jc w:val="left"/>
              <w:rPr>
                <w:rFonts w:eastAsia="Times New Roman"/>
                <w:color w:val="000000"/>
                <w:sz w:val="24"/>
              </w:rPr>
            </w:pPr>
          </w:p>
        </w:tc>
      </w:tr>
      <w:tr w:rsidR="005D01CA" w:rsidRPr="005D01CA" w:rsidTr="00257259">
        <w:trPr>
          <w:trHeight w:val="80"/>
        </w:trPr>
        <w:tc>
          <w:tcPr>
            <w:tcW w:w="4428" w:type="dxa"/>
            <w:shd w:val="clear" w:color="auto" w:fill="auto"/>
          </w:tcPr>
          <w:p w:rsidR="005D01CA" w:rsidRPr="005D01CA" w:rsidRDefault="005D01CA" w:rsidP="005D01CA">
            <w:pPr>
              <w:autoSpaceDE w:val="0"/>
              <w:autoSpaceDN w:val="0"/>
              <w:adjustRightInd w:val="0"/>
              <w:jc w:val="left"/>
              <w:rPr>
                <w:sz w:val="24"/>
              </w:rPr>
            </w:pPr>
          </w:p>
        </w:tc>
        <w:tc>
          <w:tcPr>
            <w:tcW w:w="4428" w:type="dxa"/>
            <w:shd w:val="clear" w:color="auto" w:fill="auto"/>
          </w:tcPr>
          <w:p w:rsidR="005D01CA" w:rsidRPr="005D01CA" w:rsidRDefault="005D01CA" w:rsidP="005D01CA">
            <w:pPr>
              <w:autoSpaceDE w:val="0"/>
              <w:autoSpaceDN w:val="0"/>
              <w:adjustRightInd w:val="0"/>
              <w:jc w:val="left"/>
              <w:rPr>
                <w:b/>
                <w:i/>
                <w:sz w:val="24"/>
                <w:u w:val="single"/>
              </w:rPr>
            </w:pPr>
            <w:r w:rsidRPr="005D01CA">
              <w:rPr>
                <w:i/>
                <w:sz w:val="24"/>
              </w:rPr>
              <w:t xml:space="preserve">        </w:t>
            </w:r>
            <w:r w:rsidRPr="005D01CA">
              <w:rPr>
                <w:b/>
                <w:i/>
                <w:sz w:val="24"/>
              </w:rPr>
              <w:t xml:space="preserve"> </w:t>
            </w:r>
            <w:r w:rsidRPr="005D01CA">
              <w:rPr>
                <w:b/>
                <w:i/>
                <w:sz w:val="24"/>
                <w:u w:val="single"/>
              </w:rPr>
              <w:t xml:space="preserve"> /s/ Joseph Oliker</w:t>
            </w:r>
          </w:p>
        </w:tc>
      </w:tr>
    </w:tbl>
    <w:p w:rsidR="005D01CA" w:rsidRPr="005D01CA" w:rsidRDefault="005D01CA" w:rsidP="005D01CA">
      <w:pPr>
        <w:suppressLineNumbers/>
        <w:rPr>
          <w:rFonts w:eastAsia="Calibri"/>
          <w:sz w:val="24"/>
        </w:rPr>
      </w:pPr>
      <w:r w:rsidRPr="005D01CA">
        <w:rPr>
          <w:rFonts w:eastAsia="Calibri"/>
          <w:sz w:val="24"/>
        </w:rPr>
        <w:tab/>
      </w:r>
      <w:r w:rsidRPr="005D01CA">
        <w:rPr>
          <w:rFonts w:eastAsia="Calibri"/>
          <w:sz w:val="24"/>
        </w:rPr>
        <w:tab/>
      </w:r>
      <w:r w:rsidRPr="005D01CA">
        <w:rPr>
          <w:rFonts w:eastAsia="Calibri"/>
          <w:sz w:val="24"/>
        </w:rPr>
        <w:tab/>
      </w:r>
      <w:r w:rsidRPr="005D01CA">
        <w:rPr>
          <w:rFonts w:eastAsia="Calibri"/>
          <w:sz w:val="24"/>
        </w:rPr>
        <w:tab/>
      </w:r>
      <w:r w:rsidRPr="005D01CA">
        <w:rPr>
          <w:rFonts w:eastAsia="Calibri"/>
          <w:sz w:val="24"/>
        </w:rPr>
        <w:tab/>
      </w:r>
      <w:r w:rsidRPr="005D01CA">
        <w:rPr>
          <w:rFonts w:eastAsia="Calibri"/>
          <w:sz w:val="24"/>
        </w:rPr>
        <w:tab/>
        <w:t xml:space="preserve">           Counsel for IGS Energy</w:t>
      </w:r>
    </w:p>
    <w:p w:rsidR="005D01CA" w:rsidRPr="0039552E" w:rsidRDefault="005D01CA" w:rsidP="007511FC">
      <w:pPr>
        <w:spacing w:line="480" w:lineRule="auto"/>
        <w:ind w:firstLine="720"/>
        <w:rPr>
          <w:sz w:val="24"/>
        </w:rPr>
      </w:pPr>
    </w:p>
    <w:p w:rsidR="005D01CA" w:rsidRPr="004F4C39" w:rsidRDefault="005D01CA" w:rsidP="007511FC">
      <w:pPr>
        <w:spacing w:line="480" w:lineRule="auto"/>
        <w:ind w:firstLine="720"/>
        <w:rPr>
          <w:sz w:val="24"/>
        </w:rPr>
      </w:pPr>
    </w:p>
    <w:sectPr w:rsidR="005D01CA" w:rsidRPr="004F4C39">
      <w:headerReference w:type="even" r:id="rId57"/>
      <w:headerReference w:type="default" r:id="rId58"/>
      <w:footerReference w:type="even" r:id="rId59"/>
      <w:footerReference w:type="default" r:id="rId60"/>
      <w:headerReference w:type="first" r:id="rId61"/>
      <w:footerReference w:type="firs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748" w:rsidRDefault="00DC7748" w:rsidP="00310965">
      <w:r>
        <w:separator/>
      </w:r>
    </w:p>
  </w:endnote>
  <w:endnote w:type="continuationSeparator" w:id="0">
    <w:p w:rsidR="00DC7748" w:rsidRDefault="00DC7748" w:rsidP="0031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2A" w:rsidRDefault="000E78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062455"/>
      <w:docPartObj>
        <w:docPartGallery w:val="Page Numbers (Bottom of Page)"/>
        <w:docPartUnique/>
      </w:docPartObj>
    </w:sdtPr>
    <w:sdtEndPr>
      <w:rPr>
        <w:noProof/>
      </w:rPr>
    </w:sdtEndPr>
    <w:sdtContent>
      <w:p w:rsidR="00522058" w:rsidRDefault="00522058">
        <w:pPr>
          <w:pStyle w:val="Footer"/>
          <w:jc w:val="center"/>
        </w:pPr>
        <w:r>
          <w:fldChar w:fldCharType="begin"/>
        </w:r>
        <w:r>
          <w:instrText xml:space="preserve"> PAGE   \* MERGEFORMAT </w:instrText>
        </w:r>
        <w:r>
          <w:fldChar w:fldCharType="separate"/>
        </w:r>
        <w:r w:rsidR="0039552E">
          <w:rPr>
            <w:noProof/>
          </w:rPr>
          <w:t>1</w:t>
        </w:r>
        <w:r>
          <w:rPr>
            <w:noProof/>
          </w:rPr>
          <w:fldChar w:fldCharType="end"/>
        </w:r>
      </w:p>
    </w:sdtContent>
  </w:sdt>
  <w:p w:rsidR="00522058" w:rsidRDefault="005220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2A" w:rsidRDefault="000E7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748" w:rsidRDefault="00DC7748" w:rsidP="00310965">
      <w:r>
        <w:separator/>
      </w:r>
    </w:p>
  </w:footnote>
  <w:footnote w:type="continuationSeparator" w:id="0">
    <w:p w:rsidR="00DC7748" w:rsidRDefault="00DC7748" w:rsidP="00310965">
      <w:r>
        <w:continuationSeparator/>
      </w:r>
    </w:p>
  </w:footnote>
  <w:footnote w:id="1">
    <w:p w:rsidR="008F5FED" w:rsidRDefault="008F5FED">
      <w:pPr>
        <w:pStyle w:val="FootnoteText"/>
        <w:rPr>
          <w:color w:val="000000"/>
        </w:rPr>
      </w:pPr>
      <w:r w:rsidRPr="008F5FED">
        <w:rPr>
          <w:rStyle w:val="FootnoteReference"/>
        </w:rPr>
        <w:footnoteRef/>
      </w:r>
      <w:r w:rsidRPr="008F5FED">
        <w:t xml:space="preserve"> </w:t>
      </w:r>
      <w:r w:rsidRPr="008F5FED">
        <w:rPr>
          <w:color w:val="000000"/>
        </w:rPr>
        <w:t>As part of the Stipulation, IGS, Sierra Club, and Direct Energy included certain footnotes clarifying their position regarding the Stipulation.</w:t>
      </w:r>
      <w:r>
        <w:rPr>
          <w:color w:val="000000"/>
        </w:rPr>
        <w:t xml:space="preserve">  IGS responded to over 50 discovery questions relating to the Stipulation.</w:t>
      </w:r>
    </w:p>
    <w:p w:rsidR="00B77784" w:rsidRPr="008F5FED" w:rsidRDefault="00B77784">
      <w:pPr>
        <w:pStyle w:val="FootnoteText"/>
      </w:pPr>
    </w:p>
  </w:footnote>
  <w:footnote w:id="2">
    <w:p w:rsidR="00B77784" w:rsidRPr="00B77784" w:rsidRDefault="00B77784">
      <w:pPr>
        <w:pStyle w:val="FootnoteText"/>
      </w:pPr>
      <w:r>
        <w:rPr>
          <w:rStyle w:val="FootnoteReference"/>
        </w:rPr>
        <w:footnoteRef/>
      </w:r>
      <w:r>
        <w:t xml:space="preserve"> </w:t>
      </w:r>
      <w:r>
        <w:rPr>
          <w:i/>
        </w:rPr>
        <w:t xml:space="preserve">See </w:t>
      </w:r>
      <w:r>
        <w:t>Affidavit of Joseph Oliker.</w:t>
      </w:r>
    </w:p>
  </w:footnote>
  <w:footnote w:id="3">
    <w:p w:rsidR="00FA21AA" w:rsidRDefault="00FA21AA">
      <w:pPr>
        <w:pStyle w:val="FootnoteText"/>
      </w:pPr>
      <w:r w:rsidRPr="00FA21AA">
        <w:rPr>
          <w:rStyle w:val="FootnoteReference"/>
        </w:rPr>
        <w:footnoteRef/>
      </w:r>
      <w:r>
        <w:t xml:space="preserve"> </w:t>
      </w:r>
      <w:r w:rsidRPr="00FA21AA">
        <w:t xml:space="preserve">Commission rules further reinforce the notion that privileged communications and information are outside the scope of discovery. </w:t>
      </w:r>
      <w:proofErr w:type="gramStart"/>
      <w:r w:rsidRPr="00FA21AA">
        <w:t>OAC 4901-1-16.</w:t>
      </w:r>
      <w:proofErr w:type="gramEnd"/>
    </w:p>
    <w:p w:rsidR="004236DD" w:rsidRPr="00FA21AA" w:rsidRDefault="004236DD">
      <w:pPr>
        <w:pStyle w:val="FootnoteText"/>
      </w:pPr>
    </w:p>
  </w:footnote>
  <w:footnote w:id="4">
    <w:p w:rsidR="004236DD" w:rsidRDefault="004236DD">
      <w:pPr>
        <w:pStyle w:val="FootnoteText"/>
      </w:pPr>
      <w:r>
        <w:rPr>
          <w:rStyle w:val="FootnoteReference"/>
        </w:rPr>
        <w:footnoteRef/>
      </w:r>
      <w:r>
        <w:t xml:space="preserve"> Commission rules require only one party to file testimony in support of a stipulation.  </w:t>
      </w:r>
      <w:proofErr w:type="gramStart"/>
      <w:r>
        <w:t>OAC 4901-1-30.</w:t>
      </w:r>
      <w:proofErr w:type="gramEnd"/>
      <w:r>
        <w:t xml:space="preserve"> </w:t>
      </w:r>
    </w:p>
  </w:footnote>
  <w:footnote w:id="5">
    <w:p w:rsidR="004236DD" w:rsidRDefault="004236DD">
      <w:pPr>
        <w:pStyle w:val="FootnoteText"/>
      </w:pPr>
      <w:r>
        <w:rPr>
          <w:rStyle w:val="FootnoteReference"/>
        </w:rPr>
        <w:footnoteRef/>
      </w:r>
      <w:r>
        <w:t xml:space="preserve"> See OAC 4901:1-16; OAC 4901:1-26.</w:t>
      </w:r>
    </w:p>
  </w:footnote>
  <w:footnote w:id="6">
    <w:p w:rsidR="002A5BE5" w:rsidRDefault="002A5BE5">
      <w:pPr>
        <w:pStyle w:val="FootnoteText"/>
      </w:pPr>
      <w:r>
        <w:rPr>
          <w:rStyle w:val="FootnoteReference"/>
        </w:rPr>
        <w:footnoteRef/>
      </w:r>
      <w:r>
        <w:t xml:space="preserve"> </w:t>
      </w:r>
      <w:r>
        <w:rPr>
          <w:i/>
        </w:rPr>
        <w:t>See</w:t>
      </w:r>
      <w:r>
        <w:t xml:space="preserve"> docket sheet </w:t>
      </w:r>
      <w:hyperlink r:id="rId1" w:history="1">
        <w:r w:rsidRPr="0039551A">
          <w:rPr>
            <w:rStyle w:val="Hyperlink"/>
          </w:rPr>
          <w:t>http://dis.puc.state.oh.us/CaseRecord.aspx?CaseNo=14-1693&amp;x=0&amp;y=0</w:t>
        </w:r>
      </w:hyperlink>
    </w:p>
    <w:p w:rsidR="002A5BE5" w:rsidRDefault="002A5BE5">
      <w:pPr>
        <w:pStyle w:val="FootnoteText"/>
      </w:pPr>
    </w:p>
  </w:footnote>
  <w:footnote w:id="7">
    <w:p w:rsidR="00C47976" w:rsidRDefault="00C47976">
      <w:pPr>
        <w:pStyle w:val="FootnoteText"/>
      </w:pPr>
      <w:r>
        <w:rPr>
          <w:rStyle w:val="FootnoteReference"/>
        </w:rPr>
        <w:footnoteRef/>
      </w:r>
      <w:r>
        <w:t xml:space="preserve"> </w:t>
      </w:r>
      <w:proofErr w:type="gramStart"/>
      <w:r>
        <w:t>OAC 4901-1-25(E).</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2A" w:rsidRDefault="000E78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2A" w:rsidRDefault="000E78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2A" w:rsidRDefault="000E7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8B4"/>
    <w:multiLevelType w:val="hybridMultilevel"/>
    <w:tmpl w:val="C64034F8"/>
    <w:lvl w:ilvl="0" w:tplc="9F9CB8B0">
      <w:start w:val="1"/>
      <w:numFmt w:val="upperLetter"/>
      <w:lvlText w:val="%1."/>
      <w:lvlJc w:val="left"/>
      <w:pPr>
        <w:ind w:left="1080" w:hanging="360"/>
      </w:pPr>
      <w:rPr>
        <w:rFonts w:ascii="Arial" w:eastAsiaTheme="minorHAnsi" w:hAnsi="Arial" w:cs="Arial"/>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3C7321"/>
    <w:multiLevelType w:val="hybridMultilevel"/>
    <w:tmpl w:val="D3DC3F9E"/>
    <w:lvl w:ilvl="0" w:tplc="FA368D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F71998"/>
    <w:multiLevelType w:val="hybridMultilevel"/>
    <w:tmpl w:val="207235D4"/>
    <w:lvl w:ilvl="0" w:tplc="524CC2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E56568"/>
    <w:multiLevelType w:val="hybridMultilevel"/>
    <w:tmpl w:val="220C6812"/>
    <w:lvl w:ilvl="0" w:tplc="EDB4AB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91477A"/>
    <w:multiLevelType w:val="hybridMultilevel"/>
    <w:tmpl w:val="4468C9CE"/>
    <w:lvl w:ilvl="0" w:tplc="DA242F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CB5DF4"/>
    <w:multiLevelType w:val="hybridMultilevel"/>
    <w:tmpl w:val="F050F17C"/>
    <w:lvl w:ilvl="0" w:tplc="4878B5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D12D1A"/>
    <w:multiLevelType w:val="hybridMultilevel"/>
    <w:tmpl w:val="5E1CD240"/>
    <w:lvl w:ilvl="0" w:tplc="21622F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7A9587E"/>
    <w:multiLevelType w:val="hybridMultilevel"/>
    <w:tmpl w:val="D6D09DB2"/>
    <w:lvl w:ilvl="0" w:tplc="FBB014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EA33C4"/>
    <w:multiLevelType w:val="hybridMultilevel"/>
    <w:tmpl w:val="632ADA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ED212F7"/>
    <w:multiLevelType w:val="hybridMultilevel"/>
    <w:tmpl w:val="B4B05402"/>
    <w:lvl w:ilvl="0" w:tplc="7764ADD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3C614BC"/>
    <w:multiLevelType w:val="hybridMultilevel"/>
    <w:tmpl w:val="7BB2D514"/>
    <w:lvl w:ilvl="0" w:tplc="ED7649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B7D79FA"/>
    <w:multiLevelType w:val="hybridMultilevel"/>
    <w:tmpl w:val="0D9EBCA6"/>
    <w:lvl w:ilvl="0" w:tplc="ED7649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B887ED0"/>
    <w:multiLevelType w:val="hybridMultilevel"/>
    <w:tmpl w:val="82CC48AA"/>
    <w:lvl w:ilvl="0" w:tplc="64E2BDE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D245197"/>
    <w:multiLevelType w:val="hybridMultilevel"/>
    <w:tmpl w:val="EE747354"/>
    <w:lvl w:ilvl="0" w:tplc="A4BE7B6A">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4">
    <w:nsid w:val="6D5E0D2C"/>
    <w:multiLevelType w:val="hybridMultilevel"/>
    <w:tmpl w:val="E17AA1F4"/>
    <w:lvl w:ilvl="0" w:tplc="2F7294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310BB4"/>
    <w:multiLevelType w:val="hybridMultilevel"/>
    <w:tmpl w:val="AEC64EEE"/>
    <w:lvl w:ilvl="0" w:tplc="49FE05E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0F06BA4"/>
    <w:multiLevelType w:val="hybridMultilevel"/>
    <w:tmpl w:val="5D52AF5A"/>
    <w:lvl w:ilvl="0" w:tplc="2D6622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6F6E0C"/>
    <w:multiLevelType w:val="hybridMultilevel"/>
    <w:tmpl w:val="1FA8B1B4"/>
    <w:lvl w:ilvl="0" w:tplc="A496A9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F34189"/>
    <w:multiLevelType w:val="hybridMultilevel"/>
    <w:tmpl w:val="42284E8E"/>
    <w:lvl w:ilvl="0" w:tplc="F5D481E8">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BA701C"/>
    <w:multiLevelType w:val="hybridMultilevel"/>
    <w:tmpl w:val="E84C5CF2"/>
    <w:lvl w:ilvl="0" w:tplc="39B414DA">
      <w:start w:val="1"/>
      <w:numFmt w:val="decimal"/>
      <w:lvlText w:val="%1."/>
      <w:lvlJc w:val="left"/>
      <w:pPr>
        <w:ind w:left="1500" w:hanging="360"/>
      </w:pPr>
      <w:rPr>
        <w:rFonts w:ascii="Arial" w:eastAsiaTheme="minorHAnsi" w:hAnsi="Arial" w:cs="Arial"/>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nsid w:val="7E9F69CD"/>
    <w:multiLevelType w:val="hybridMultilevel"/>
    <w:tmpl w:val="FF226674"/>
    <w:lvl w:ilvl="0" w:tplc="A85EB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0"/>
  </w:num>
  <w:num w:numId="3">
    <w:abstractNumId w:val="17"/>
  </w:num>
  <w:num w:numId="4">
    <w:abstractNumId w:val="5"/>
  </w:num>
  <w:num w:numId="5">
    <w:abstractNumId w:val="0"/>
  </w:num>
  <w:num w:numId="6">
    <w:abstractNumId w:val="6"/>
  </w:num>
  <w:num w:numId="7">
    <w:abstractNumId w:val="16"/>
  </w:num>
  <w:num w:numId="8">
    <w:abstractNumId w:val="9"/>
  </w:num>
  <w:num w:numId="9">
    <w:abstractNumId w:val="15"/>
  </w:num>
  <w:num w:numId="10">
    <w:abstractNumId w:val="13"/>
  </w:num>
  <w:num w:numId="11">
    <w:abstractNumId w:val="12"/>
  </w:num>
  <w:num w:numId="12">
    <w:abstractNumId w:val="11"/>
  </w:num>
  <w:num w:numId="13">
    <w:abstractNumId w:val="7"/>
  </w:num>
  <w:num w:numId="14">
    <w:abstractNumId w:val="10"/>
  </w:num>
  <w:num w:numId="15">
    <w:abstractNumId w:val="14"/>
  </w:num>
  <w:num w:numId="16">
    <w:abstractNumId w:val="18"/>
  </w:num>
  <w:num w:numId="17">
    <w:abstractNumId w:val="1"/>
  </w:num>
  <w:num w:numId="18">
    <w:abstractNumId w:val="4"/>
  </w:num>
  <w:num w:numId="19">
    <w:abstractNumId w:val="19"/>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0B"/>
    <w:rsid w:val="00014369"/>
    <w:rsid w:val="00025711"/>
    <w:rsid w:val="000552AB"/>
    <w:rsid w:val="00056504"/>
    <w:rsid w:val="0006517E"/>
    <w:rsid w:val="00071777"/>
    <w:rsid w:val="0007485B"/>
    <w:rsid w:val="000A15C8"/>
    <w:rsid w:val="000C1B1C"/>
    <w:rsid w:val="000C34DB"/>
    <w:rsid w:val="000E3D0B"/>
    <w:rsid w:val="000E782A"/>
    <w:rsid w:val="0010429C"/>
    <w:rsid w:val="00107993"/>
    <w:rsid w:val="0011185B"/>
    <w:rsid w:val="00130249"/>
    <w:rsid w:val="00161D74"/>
    <w:rsid w:val="00185F01"/>
    <w:rsid w:val="001861EB"/>
    <w:rsid w:val="001A7538"/>
    <w:rsid w:val="001D26B3"/>
    <w:rsid w:val="00201B74"/>
    <w:rsid w:val="002305AC"/>
    <w:rsid w:val="002549DE"/>
    <w:rsid w:val="00267CD4"/>
    <w:rsid w:val="00277731"/>
    <w:rsid w:val="002A5BE5"/>
    <w:rsid w:val="002C2CEB"/>
    <w:rsid w:val="002D58CE"/>
    <w:rsid w:val="003035BF"/>
    <w:rsid w:val="00305285"/>
    <w:rsid w:val="003079E3"/>
    <w:rsid w:val="00310965"/>
    <w:rsid w:val="00310D39"/>
    <w:rsid w:val="00312ABF"/>
    <w:rsid w:val="00351A75"/>
    <w:rsid w:val="0039552E"/>
    <w:rsid w:val="003A53F8"/>
    <w:rsid w:val="003E40BF"/>
    <w:rsid w:val="003E4735"/>
    <w:rsid w:val="004236DD"/>
    <w:rsid w:val="004237B4"/>
    <w:rsid w:val="00425480"/>
    <w:rsid w:val="004558A7"/>
    <w:rsid w:val="00461BE7"/>
    <w:rsid w:val="004738BF"/>
    <w:rsid w:val="00482A80"/>
    <w:rsid w:val="004870E1"/>
    <w:rsid w:val="004A3D49"/>
    <w:rsid w:val="004B6B16"/>
    <w:rsid w:val="004C7AA6"/>
    <w:rsid w:val="004E769A"/>
    <w:rsid w:val="004F3CC9"/>
    <w:rsid w:val="004F4C39"/>
    <w:rsid w:val="005003C5"/>
    <w:rsid w:val="00501F58"/>
    <w:rsid w:val="005164B3"/>
    <w:rsid w:val="00522058"/>
    <w:rsid w:val="00527BC9"/>
    <w:rsid w:val="005327AE"/>
    <w:rsid w:val="00544952"/>
    <w:rsid w:val="005D01CA"/>
    <w:rsid w:val="005D6591"/>
    <w:rsid w:val="005F0B0C"/>
    <w:rsid w:val="005F1D5F"/>
    <w:rsid w:val="00600362"/>
    <w:rsid w:val="00636713"/>
    <w:rsid w:val="00675A9D"/>
    <w:rsid w:val="006A0EE7"/>
    <w:rsid w:val="006B4078"/>
    <w:rsid w:val="006F4EF3"/>
    <w:rsid w:val="007063FD"/>
    <w:rsid w:val="00720002"/>
    <w:rsid w:val="0073008E"/>
    <w:rsid w:val="007511FC"/>
    <w:rsid w:val="007A348A"/>
    <w:rsid w:val="007B7681"/>
    <w:rsid w:val="007B7ED1"/>
    <w:rsid w:val="007D0FEA"/>
    <w:rsid w:val="007D148A"/>
    <w:rsid w:val="007F2C8A"/>
    <w:rsid w:val="007F346F"/>
    <w:rsid w:val="008063DE"/>
    <w:rsid w:val="00813618"/>
    <w:rsid w:val="00813E0D"/>
    <w:rsid w:val="00824965"/>
    <w:rsid w:val="00825D7F"/>
    <w:rsid w:val="00885F25"/>
    <w:rsid w:val="00896FB9"/>
    <w:rsid w:val="008B7A29"/>
    <w:rsid w:val="008E267B"/>
    <w:rsid w:val="008E787D"/>
    <w:rsid w:val="008F5FED"/>
    <w:rsid w:val="00907656"/>
    <w:rsid w:val="00930DF0"/>
    <w:rsid w:val="00943DE9"/>
    <w:rsid w:val="0095570D"/>
    <w:rsid w:val="0097722C"/>
    <w:rsid w:val="009B1CE9"/>
    <w:rsid w:val="009C2E88"/>
    <w:rsid w:val="009D238F"/>
    <w:rsid w:val="009F5B55"/>
    <w:rsid w:val="00A2634B"/>
    <w:rsid w:val="00A53DEA"/>
    <w:rsid w:val="00A65997"/>
    <w:rsid w:val="00A77EAE"/>
    <w:rsid w:val="00A94847"/>
    <w:rsid w:val="00AA014A"/>
    <w:rsid w:val="00AB6F6B"/>
    <w:rsid w:val="00AC4ED8"/>
    <w:rsid w:val="00AD6F47"/>
    <w:rsid w:val="00B0237B"/>
    <w:rsid w:val="00B02FD1"/>
    <w:rsid w:val="00B05348"/>
    <w:rsid w:val="00B15FA6"/>
    <w:rsid w:val="00B24580"/>
    <w:rsid w:val="00B45891"/>
    <w:rsid w:val="00B66F71"/>
    <w:rsid w:val="00B774A5"/>
    <w:rsid w:val="00B77784"/>
    <w:rsid w:val="00BA0654"/>
    <w:rsid w:val="00BC6404"/>
    <w:rsid w:val="00BD0023"/>
    <w:rsid w:val="00BD3F44"/>
    <w:rsid w:val="00BD59FA"/>
    <w:rsid w:val="00C47976"/>
    <w:rsid w:val="00C50848"/>
    <w:rsid w:val="00C6267A"/>
    <w:rsid w:val="00C62F76"/>
    <w:rsid w:val="00C703D9"/>
    <w:rsid w:val="00C72E52"/>
    <w:rsid w:val="00C95B3D"/>
    <w:rsid w:val="00CD2218"/>
    <w:rsid w:val="00CE1D5D"/>
    <w:rsid w:val="00D03F70"/>
    <w:rsid w:val="00D1198A"/>
    <w:rsid w:val="00D2245D"/>
    <w:rsid w:val="00D42C87"/>
    <w:rsid w:val="00D55841"/>
    <w:rsid w:val="00D82832"/>
    <w:rsid w:val="00DB22FF"/>
    <w:rsid w:val="00DB4CD0"/>
    <w:rsid w:val="00DC7748"/>
    <w:rsid w:val="00E02DC5"/>
    <w:rsid w:val="00E072A0"/>
    <w:rsid w:val="00E1700E"/>
    <w:rsid w:val="00E20826"/>
    <w:rsid w:val="00E20B6C"/>
    <w:rsid w:val="00E24F6C"/>
    <w:rsid w:val="00E25B9D"/>
    <w:rsid w:val="00E30F20"/>
    <w:rsid w:val="00E5275B"/>
    <w:rsid w:val="00E819D7"/>
    <w:rsid w:val="00E956A7"/>
    <w:rsid w:val="00EB0D0E"/>
    <w:rsid w:val="00ED4656"/>
    <w:rsid w:val="00ED7061"/>
    <w:rsid w:val="00F006A8"/>
    <w:rsid w:val="00F60B4B"/>
    <w:rsid w:val="00F722DF"/>
    <w:rsid w:val="00F778E9"/>
    <w:rsid w:val="00F922D3"/>
    <w:rsid w:val="00FA21AA"/>
    <w:rsid w:val="00FA30F5"/>
    <w:rsid w:val="00FD144F"/>
    <w:rsid w:val="00FE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8E9"/>
    <w:pPr>
      <w:ind w:left="720"/>
      <w:contextualSpacing/>
    </w:pPr>
  </w:style>
  <w:style w:type="paragraph" w:styleId="FootnoteText">
    <w:name w:val="footnote text"/>
    <w:basedOn w:val="Normal"/>
    <w:link w:val="FootnoteTextChar"/>
    <w:uiPriority w:val="99"/>
    <w:unhideWhenUsed/>
    <w:rsid w:val="00310965"/>
    <w:rPr>
      <w:szCs w:val="20"/>
    </w:rPr>
  </w:style>
  <w:style w:type="character" w:customStyle="1" w:styleId="FootnoteTextChar">
    <w:name w:val="Footnote Text Char"/>
    <w:basedOn w:val="DefaultParagraphFont"/>
    <w:link w:val="FootnoteText"/>
    <w:uiPriority w:val="99"/>
    <w:rsid w:val="00310965"/>
    <w:rPr>
      <w:szCs w:val="20"/>
    </w:rPr>
  </w:style>
  <w:style w:type="character" w:styleId="FootnoteReference">
    <w:name w:val="footnote reference"/>
    <w:basedOn w:val="DefaultParagraphFont"/>
    <w:uiPriority w:val="99"/>
    <w:unhideWhenUsed/>
    <w:rsid w:val="00310965"/>
    <w:rPr>
      <w:vertAlign w:val="superscript"/>
    </w:rPr>
  </w:style>
  <w:style w:type="paragraph" w:styleId="BalloonText">
    <w:name w:val="Balloon Text"/>
    <w:basedOn w:val="Normal"/>
    <w:link w:val="BalloonTextChar"/>
    <w:uiPriority w:val="99"/>
    <w:semiHidden/>
    <w:unhideWhenUsed/>
    <w:rsid w:val="009D238F"/>
    <w:rPr>
      <w:rFonts w:ascii="Tahoma" w:hAnsi="Tahoma" w:cs="Tahoma"/>
      <w:sz w:val="16"/>
      <w:szCs w:val="16"/>
    </w:rPr>
  </w:style>
  <w:style w:type="character" w:customStyle="1" w:styleId="BalloonTextChar">
    <w:name w:val="Balloon Text Char"/>
    <w:basedOn w:val="DefaultParagraphFont"/>
    <w:link w:val="BalloonText"/>
    <w:uiPriority w:val="99"/>
    <w:semiHidden/>
    <w:rsid w:val="009D238F"/>
    <w:rPr>
      <w:rFonts w:ascii="Tahoma" w:hAnsi="Tahoma" w:cs="Tahoma"/>
      <w:sz w:val="16"/>
      <w:szCs w:val="16"/>
    </w:rPr>
  </w:style>
  <w:style w:type="paragraph" w:styleId="Header">
    <w:name w:val="header"/>
    <w:basedOn w:val="Normal"/>
    <w:link w:val="HeaderChar"/>
    <w:uiPriority w:val="99"/>
    <w:unhideWhenUsed/>
    <w:rsid w:val="0006517E"/>
    <w:pPr>
      <w:tabs>
        <w:tab w:val="center" w:pos="4680"/>
        <w:tab w:val="right" w:pos="9360"/>
      </w:tabs>
    </w:pPr>
  </w:style>
  <w:style w:type="character" w:customStyle="1" w:styleId="HeaderChar">
    <w:name w:val="Header Char"/>
    <w:basedOn w:val="DefaultParagraphFont"/>
    <w:link w:val="Header"/>
    <w:uiPriority w:val="99"/>
    <w:rsid w:val="0006517E"/>
  </w:style>
  <w:style w:type="paragraph" w:styleId="Footer">
    <w:name w:val="footer"/>
    <w:basedOn w:val="Normal"/>
    <w:link w:val="FooterChar"/>
    <w:uiPriority w:val="99"/>
    <w:unhideWhenUsed/>
    <w:rsid w:val="0006517E"/>
    <w:pPr>
      <w:tabs>
        <w:tab w:val="center" w:pos="4680"/>
        <w:tab w:val="right" w:pos="9360"/>
      </w:tabs>
    </w:pPr>
  </w:style>
  <w:style w:type="character" w:customStyle="1" w:styleId="FooterChar">
    <w:name w:val="Footer Char"/>
    <w:basedOn w:val="DefaultParagraphFont"/>
    <w:link w:val="Footer"/>
    <w:uiPriority w:val="99"/>
    <w:rsid w:val="0006517E"/>
  </w:style>
  <w:style w:type="character" w:styleId="Hyperlink">
    <w:name w:val="Hyperlink"/>
    <w:basedOn w:val="DefaultParagraphFont"/>
    <w:uiPriority w:val="99"/>
    <w:unhideWhenUsed/>
    <w:rsid w:val="002A5B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8E9"/>
    <w:pPr>
      <w:ind w:left="720"/>
      <w:contextualSpacing/>
    </w:pPr>
  </w:style>
  <w:style w:type="paragraph" w:styleId="FootnoteText">
    <w:name w:val="footnote text"/>
    <w:basedOn w:val="Normal"/>
    <w:link w:val="FootnoteTextChar"/>
    <w:uiPriority w:val="99"/>
    <w:unhideWhenUsed/>
    <w:rsid w:val="00310965"/>
    <w:rPr>
      <w:szCs w:val="20"/>
    </w:rPr>
  </w:style>
  <w:style w:type="character" w:customStyle="1" w:styleId="FootnoteTextChar">
    <w:name w:val="Footnote Text Char"/>
    <w:basedOn w:val="DefaultParagraphFont"/>
    <w:link w:val="FootnoteText"/>
    <w:uiPriority w:val="99"/>
    <w:rsid w:val="00310965"/>
    <w:rPr>
      <w:szCs w:val="20"/>
    </w:rPr>
  </w:style>
  <w:style w:type="character" w:styleId="FootnoteReference">
    <w:name w:val="footnote reference"/>
    <w:basedOn w:val="DefaultParagraphFont"/>
    <w:uiPriority w:val="99"/>
    <w:unhideWhenUsed/>
    <w:rsid w:val="00310965"/>
    <w:rPr>
      <w:vertAlign w:val="superscript"/>
    </w:rPr>
  </w:style>
  <w:style w:type="paragraph" w:styleId="BalloonText">
    <w:name w:val="Balloon Text"/>
    <w:basedOn w:val="Normal"/>
    <w:link w:val="BalloonTextChar"/>
    <w:uiPriority w:val="99"/>
    <w:semiHidden/>
    <w:unhideWhenUsed/>
    <w:rsid w:val="009D238F"/>
    <w:rPr>
      <w:rFonts w:ascii="Tahoma" w:hAnsi="Tahoma" w:cs="Tahoma"/>
      <w:sz w:val="16"/>
      <w:szCs w:val="16"/>
    </w:rPr>
  </w:style>
  <w:style w:type="character" w:customStyle="1" w:styleId="BalloonTextChar">
    <w:name w:val="Balloon Text Char"/>
    <w:basedOn w:val="DefaultParagraphFont"/>
    <w:link w:val="BalloonText"/>
    <w:uiPriority w:val="99"/>
    <w:semiHidden/>
    <w:rsid w:val="009D238F"/>
    <w:rPr>
      <w:rFonts w:ascii="Tahoma" w:hAnsi="Tahoma" w:cs="Tahoma"/>
      <w:sz w:val="16"/>
      <w:szCs w:val="16"/>
    </w:rPr>
  </w:style>
  <w:style w:type="paragraph" w:styleId="Header">
    <w:name w:val="header"/>
    <w:basedOn w:val="Normal"/>
    <w:link w:val="HeaderChar"/>
    <w:uiPriority w:val="99"/>
    <w:unhideWhenUsed/>
    <w:rsid w:val="0006517E"/>
    <w:pPr>
      <w:tabs>
        <w:tab w:val="center" w:pos="4680"/>
        <w:tab w:val="right" w:pos="9360"/>
      </w:tabs>
    </w:pPr>
  </w:style>
  <w:style w:type="character" w:customStyle="1" w:styleId="HeaderChar">
    <w:name w:val="Header Char"/>
    <w:basedOn w:val="DefaultParagraphFont"/>
    <w:link w:val="Header"/>
    <w:uiPriority w:val="99"/>
    <w:rsid w:val="0006517E"/>
  </w:style>
  <w:style w:type="paragraph" w:styleId="Footer">
    <w:name w:val="footer"/>
    <w:basedOn w:val="Normal"/>
    <w:link w:val="FooterChar"/>
    <w:uiPriority w:val="99"/>
    <w:unhideWhenUsed/>
    <w:rsid w:val="0006517E"/>
    <w:pPr>
      <w:tabs>
        <w:tab w:val="center" w:pos="4680"/>
        <w:tab w:val="right" w:pos="9360"/>
      </w:tabs>
    </w:pPr>
  </w:style>
  <w:style w:type="character" w:customStyle="1" w:styleId="FooterChar">
    <w:name w:val="Footer Char"/>
    <w:basedOn w:val="DefaultParagraphFont"/>
    <w:link w:val="Footer"/>
    <w:uiPriority w:val="99"/>
    <w:rsid w:val="0006517E"/>
  </w:style>
  <w:style w:type="character" w:styleId="Hyperlink">
    <w:name w:val="Hyperlink"/>
    <w:basedOn w:val="DefaultParagraphFont"/>
    <w:uiPriority w:val="99"/>
    <w:unhideWhenUsed/>
    <w:rsid w:val="002A5B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289">
      <w:bodyDiv w:val="1"/>
      <w:marLeft w:val="0"/>
      <w:marRight w:val="0"/>
      <w:marTop w:val="0"/>
      <w:marBottom w:val="0"/>
      <w:divBdr>
        <w:top w:val="none" w:sz="0" w:space="0" w:color="auto"/>
        <w:left w:val="none" w:sz="0" w:space="0" w:color="auto"/>
        <w:bottom w:val="none" w:sz="0" w:space="0" w:color="auto"/>
        <w:right w:val="none" w:sz="0" w:space="0" w:color="auto"/>
      </w:divBdr>
    </w:div>
    <w:div w:id="109469867">
      <w:bodyDiv w:val="1"/>
      <w:marLeft w:val="0"/>
      <w:marRight w:val="0"/>
      <w:marTop w:val="0"/>
      <w:marBottom w:val="0"/>
      <w:divBdr>
        <w:top w:val="none" w:sz="0" w:space="0" w:color="auto"/>
        <w:left w:val="none" w:sz="0" w:space="0" w:color="auto"/>
        <w:bottom w:val="none" w:sz="0" w:space="0" w:color="auto"/>
        <w:right w:val="none" w:sz="0" w:space="0" w:color="auto"/>
      </w:divBdr>
    </w:div>
    <w:div w:id="162016274">
      <w:bodyDiv w:val="1"/>
      <w:marLeft w:val="0"/>
      <w:marRight w:val="0"/>
      <w:marTop w:val="0"/>
      <w:marBottom w:val="0"/>
      <w:divBdr>
        <w:top w:val="none" w:sz="0" w:space="0" w:color="auto"/>
        <w:left w:val="none" w:sz="0" w:space="0" w:color="auto"/>
        <w:bottom w:val="none" w:sz="0" w:space="0" w:color="auto"/>
        <w:right w:val="none" w:sz="0" w:space="0" w:color="auto"/>
      </w:divBdr>
    </w:div>
    <w:div w:id="355890183">
      <w:bodyDiv w:val="1"/>
      <w:marLeft w:val="0"/>
      <w:marRight w:val="0"/>
      <w:marTop w:val="0"/>
      <w:marBottom w:val="0"/>
      <w:divBdr>
        <w:top w:val="none" w:sz="0" w:space="0" w:color="auto"/>
        <w:left w:val="none" w:sz="0" w:space="0" w:color="auto"/>
        <w:bottom w:val="none" w:sz="0" w:space="0" w:color="auto"/>
        <w:right w:val="none" w:sz="0" w:space="0" w:color="auto"/>
      </w:divBdr>
    </w:div>
    <w:div w:id="360670771">
      <w:bodyDiv w:val="1"/>
      <w:marLeft w:val="0"/>
      <w:marRight w:val="0"/>
      <w:marTop w:val="0"/>
      <w:marBottom w:val="0"/>
      <w:divBdr>
        <w:top w:val="none" w:sz="0" w:space="0" w:color="auto"/>
        <w:left w:val="none" w:sz="0" w:space="0" w:color="auto"/>
        <w:bottom w:val="none" w:sz="0" w:space="0" w:color="auto"/>
        <w:right w:val="none" w:sz="0" w:space="0" w:color="auto"/>
      </w:divBdr>
    </w:div>
    <w:div w:id="612439167">
      <w:bodyDiv w:val="1"/>
      <w:marLeft w:val="0"/>
      <w:marRight w:val="0"/>
      <w:marTop w:val="0"/>
      <w:marBottom w:val="0"/>
      <w:divBdr>
        <w:top w:val="none" w:sz="0" w:space="0" w:color="auto"/>
        <w:left w:val="none" w:sz="0" w:space="0" w:color="auto"/>
        <w:bottom w:val="none" w:sz="0" w:space="0" w:color="auto"/>
        <w:right w:val="none" w:sz="0" w:space="0" w:color="auto"/>
      </w:divBdr>
    </w:div>
    <w:div w:id="859778311">
      <w:bodyDiv w:val="1"/>
      <w:marLeft w:val="0"/>
      <w:marRight w:val="0"/>
      <w:marTop w:val="0"/>
      <w:marBottom w:val="0"/>
      <w:divBdr>
        <w:top w:val="none" w:sz="0" w:space="0" w:color="auto"/>
        <w:left w:val="none" w:sz="0" w:space="0" w:color="auto"/>
        <w:bottom w:val="none" w:sz="0" w:space="0" w:color="auto"/>
        <w:right w:val="none" w:sz="0" w:space="0" w:color="auto"/>
      </w:divBdr>
    </w:div>
    <w:div w:id="1232232700">
      <w:bodyDiv w:val="1"/>
      <w:marLeft w:val="0"/>
      <w:marRight w:val="0"/>
      <w:marTop w:val="0"/>
      <w:marBottom w:val="0"/>
      <w:divBdr>
        <w:top w:val="none" w:sz="0" w:space="0" w:color="auto"/>
        <w:left w:val="none" w:sz="0" w:space="0" w:color="auto"/>
        <w:bottom w:val="none" w:sz="0" w:space="0" w:color="auto"/>
        <w:right w:val="none" w:sz="0" w:space="0" w:color="auto"/>
      </w:divBdr>
    </w:div>
    <w:div w:id="1283805025">
      <w:bodyDiv w:val="1"/>
      <w:marLeft w:val="0"/>
      <w:marRight w:val="0"/>
      <w:marTop w:val="0"/>
      <w:marBottom w:val="0"/>
      <w:divBdr>
        <w:top w:val="none" w:sz="0" w:space="0" w:color="auto"/>
        <w:left w:val="none" w:sz="0" w:space="0" w:color="auto"/>
        <w:bottom w:val="none" w:sz="0" w:space="0" w:color="auto"/>
        <w:right w:val="none" w:sz="0" w:space="0" w:color="auto"/>
      </w:divBdr>
    </w:div>
    <w:div w:id="1597250501">
      <w:bodyDiv w:val="1"/>
      <w:marLeft w:val="0"/>
      <w:marRight w:val="0"/>
      <w:marTop w:val="0"/>
      <w:marBottom w:val="0"/>
      <w:divBdr>
        <w:top w:val="none" w:sz="0" w:space="0" w:color="auto"/>
        <w:left w:val="none" w:sz="0" w:space="0" w:color="auto"/>
        <w:bottom w:val="none" w:sz="0" w:space="0" w:color="auto"/>
        <w:right w:val="none" w:sz="0" w:space="0" w:color="auto"/>
      </w:divBdr>
    </w:div>
    <w:div w:id="1926958298">
      <w:bodyDiv w:val="1"/>
      <w:marLeft w:val="0"/>
      <w:marRight w:val="0"/>
      <w:marTop w:val="0"/>
      <w:marBottom w:val="0"/>
      <w:divBdr>
        <w:top w:val="none" w:sz="0" w:space="0" w:color="auto"/>
        <w:left w:val="none" w:sz="0" w:space="0" w:color="auto"/>
        <w:bottom w:val="none" w:sz="0" w:space="0" w:color="auto"/>
        <w:right w:val="none" w:sz="0" w:space="0" w:color="auto"/>
      </w:divBdr>
    </w:div>
    <w:div w:id="199066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tie.johnson@puc.state.oh.us" TargetMode="External"/><Relationship Id="rId18" Type="http://schemas.openxmlformats.org/officeDocument/2006/relationships/hyperlink" Target="mailto:talexander@calfee.com" TargetMode="External"/><Relationship Id="rId26" Type="http://schemas.openxmlformats.org/officeDocument/2006/relationships/hyperlink" Target="mailto:ricks@ohanet.org" TargetMode="External"/><Relationship Id="rId39" Type="http://schemas.openxmlformats.org/officeDocument/2006/relationships/hyperlink" Target="mailto:jkylercohn@BKLlawfirm.com" TargetMode="External"/><Relationship Id="rId21" Type="http://schemas.openxmlformats.org/officeDocument/2006/relationships/hyperlink" Target="mailto:tony.mendoza@sierraclub.org" TargetMode="External"/><Relationship Id="rId34" Type="http://schemas.openxmlformats.org/officeDocument/2006/relationships/hyperlink" Target="mailto:stnourse@aep.com" TargetMode="External"/><Relationship Id="rId42" Type="http://schemas.openxmlformats.org/officeDocument/2006/relationships/hyperlink" Target="mailto:mpritchard@mwncmh.com" TargetMode="External"/><Relationship Id="rId47" Type="http://schemas.openxmlformats.org/officeDocument/2006/relationships/hyperlink" Target="mailto:dwilliamson@spilmanlaw.com" TargetMode="External"/><Relationship Id="rId50" Type="http://schemas.openxmlformats.org/officeDocument/2006/relationships/hyperlink" Target="mailto:jfinnigan@edf.org" TargetMode="External"/><Relationship Id="rId55" Type="http://schemas.openxmlformats.org/officeDocument/2006/relationships/hyperlink" Target="mailto:joseph.clark@directenergy.com"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scasto@firstenergycorp.com" TargetMode="External"/><Relationship Id="rId20" Type="http://schemas.openxmlformats.org/officeDocument/2006/relationships/hyperlink" Target="mailto:callwein@wamenergylaw.com" TargetMode="External"/><Relationship Id="rId29" Type="http://schemas.openxmlformats.org/officeDocument/2006/relationships/hyperlink" Target="mailto:mjsettineri@vorys.com" TargetMode="External"/><Relationship Id="rId41" Type="http://schemas.openxmlformats.org/officeDocument/2006/relationships/hyperlink" Target="mailto:fdarr@mwncmh.com" TargetMode="External"/><Relationship Id="rId54" Type="http://schemas.openxmlformats.org/officeDocument/2006/relationships/hyperlink" Target="mailto:cmooney@ohiopartners.org"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liker@igsenergy.com" TargetMode="External"/><Relationship Id="rId24" Type="http://schemas.openxmlformats.org/officeDocument/2006/relationships/hyperlink" Target="mailto:toddm@wamenergylaw.com" TargetMode="External"/><Relationship Id="rId32" Type="http://schemas.openxmlformats.org/officeDocument/2006/relationships/hyperlink" Target="mailto:joliker@igsenergy.com" TargetMode="External"/><Relationship Id="rId37" Type="http://schemas.openxmlformats.org/officeDocument/2006/relationships/hyperlink" Target="mailto:mkurtz@BKLlawfirm.com" TargetMode="External"/><Relationship Id="rId40" Type="http://schemas.openxmlformats.org/officeDocument/2006/relationships/hyperlink" Target="mailto:sam@mwncmh.com" TargetMode="External"/><Relationship Id="rId45" Type="http://schemas.openxmlformats.org/officeDocument/2006/relationships/hyperlink" Target="mailto:Stephanie.Chmiel@ThompsonHine.com" TargetMode="External"/><Relationship Id="rId53" Type="http://schemas.openxmlformats.org/officeDocument/2006/relationships/hyperlink" Target="mailto:msmalz@ohiopovertylaw.org" TargetMode="External"/><Relationship Id="rId58"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jmcdermott@firstenergycorp.com" TargetMode="External"/><Relationship Id="rId23" Type="http://schemas.openxmlformats.org/officeDocument/2006/relationships/hyperlink" Target="mailto:tdougherty@theOEC.org" TargetMode="External"/><Relationship Id="rId28" Type="http://schemas.openxmlformats.org/officeDocument/2006/relationships/hyperlink" Target="mailto:mhpetricoff@vorys.com" TargetMode="External"/><Relationship Id="rId36" Type="http://schemas.openxmlformats.org/officeDocument/2006/relationships/hyperlink" Target="mailto:msmckenzie@aep.com" TargetMode="External"/><Relationship Id="rId49" Type="http://schemas.openxmlformats.org/officeDocument/2006/relationships/hyperlink" Target="mailto:Schmidt@sppgrp.com"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mailto:joliker@igsenergy.com" TargetMode="External"/><Relationship Id="rId19" Type="http://schemas.openxmlformats.org/officeDocument/2006/relationships/hyperlink" Target="mailto:myurick@taftlaw.com" TargetMode="External"/><Relationship Id="rId31" Type="http://schemas.openxmlformats.org/officeDocument/2006/relationships/hyperlink" Target="mailto:mdortch@kravitzllc.com" TargetMode="External"/><Relationship Id="rId44" Type="http://schemas.openxmlformats.org/officeDocument/2006/relationships/hyperlink" Target="mailto:Scott.Campbell@ThompsonHine.com" TargetMode="External"/><Relationship Id="rId52" Type="http://schemas.openxmlformats.org/officeDocument/2006/relationships/hyperlink" Target="mailto:mfleisher@elpc.org" TargetMode="External"/><Relationship Id="rId6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joliker@igsenergy.com" TargetMode="External"/><Relationship Id="rId14" Type="http://schemas.openxmlformats.org/officeDocument/2006/relationships/hyperlink" Target="mailto:haydenm@firstenergycorp.com" TargetMode="External"/><Relationship Id="rId22" Type="http://schemas.openxmlformats.org/officeDocument/2006/relationships/hyperlink" Target="mailto:todonnell@dickinsonwright.com" TargetMode="External"/><Relationship Id="rId27" Type="http://schemas.openxmlformats.org/officeDocument/2006/relationships/hyperlink" Target="mailto:tobrien@bricker.com" TargetMode="External"/><Relationship Id="rId30" Type="http://schemas.openxmlformats.org/officeDocument/2006/relationships/hyperlink" Target="mailto:glpetrucci@vorys.com" TargetMode="External"/><Relationship Id="rId35" Type="http://schemas.openxmlformats.org/officeDocument/2006/relationships/hyperlink" Target="mailto:mjsatterwhite@aep.com" TargetMode="External"/><Relationship Id="rId43" Type="http://schemas.openxmlformats.org/officeDocument/2006/relationships/hyperlink" Target="mailto:Kurt.Helfrich@ThompsonHine.com" TargetMode="External"/><Relationship Id="rId48" Type="http://schemas.openxmlformats.org/officeDocument/2006/relationships/hyperlink" Target="mailto:Stephen.Chriss@walmart.com" TargetMode="External"/><Relationship Id="rId56" Type="http://schemas.openxmlformats.org/officeDocument/2006/relationships/hyperlink" Target="mailto:ghull@eckertseamans.com"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Bojko@carpenterlipps.com" TargetMode="External"/><Relationship Id="rId3" Type="http://schemas.openxmlformats.org/officeDocument/2006/relationships/styles" Target="styles.xml"/><Relationship Id="rId12" Type="http://schemas.openxmlformats.org/officeDocument/2006/relationships/hyperlink" Target="mailto:Thomas.mcnamee@puc.state.oh.us" TargetMode="External"/><Relationship Id="rId17" Type="http://schemas.openxmlformats.org/officeDocument/2006/relationships/hyperlink" Target="mailto:jlang@calfee.com" TargetMode="External"/><Relationship Id="rId25" Type="http://schemas.openxmlformats.org/officeDocument/2006/relationships/hyperlink" Target="mailto:jeffrey.mayes@monitoringanalytics.com" TargetMode="External"/><Relationship Id="rId33" Type="http://schemas.openxmlformats.org/officeDocument/2006/relationships/hyperlink" Target="mailto:mswhite@igsenergy.com" TargetMode="External"/><Relationship Id="rId38" Type="http://schemas.openxmlformats.org/officeDocument/2006/relationships/hyperlink" Target="mailto:kboehm@BKLlawfirm.com" TargetMode="External"/><Relationship Id="rId46" Type="http://schemas.openxmlformats.org/officeDocument/2006/relationships/hyperlink" Target="mailto:lhawrot@spilmanlaw.com" TargetMode="Externa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is.puc.state.oh.us/CaseRecord.aspx?CaseNo=14-1693&amp;x=0&amp;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B6C16-0FC3-4A99-BC95-2535301C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2015-12-31T19:45:00Z</dcterms:created>
  <dcterms:modified xsi:type="dcterms:W3CDTF">2015-12-31T19:51:00Z</dcterms:modified>
</cp:coreProperties>
</file>