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75" w:rsidRPr="002D54AC" w:rsidRDefault="00B23D75" w:rsidP="00B23D7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B23D75" w:rsidRPr="002D54AC" w:rsidRDefault="00B23D75" w:rsidP="00B23D75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B23D75" w:rsidRDefault="00B23D75" w:rsidP="00B23D75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4A2439" w:rsidRDefault="004A2439" w:rsidP="00B23D75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289"/>
        <w:gridCol w:w="4491"/>
      </w:tblGrid>
      <w:tr w:rsidR="00B23D75" w:rsidTr="00AC2858">
        <w:tc>
          <w:tcPr>
            <w:tcW w:w="4698" w:type="dxa"/>
          </w:tcPr>
          <w:p w:rsidR="00B23D75" w:rsidRPr="00221496" w:rsidRDefault="00B23D75" w:rsidP="00AC2858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In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the Matter of the Application of Duke Energy Ohio, Inc. to Adjust Rider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-IM and Rider AU for 2014 SmartGrid Costs.</w:t>
            </w:r>
          </w:p>
        </w:tc>
        <w:tc>
          <w:tcPr>
            <w:tcW w:w="270" w:type="dxa"/>
          </w:tcPr>
          <w:p w:rsidR="00B23D75" w:rsidRPr="00221496" w:rsidRDefault="00B23D75" w:rsidP="00AC2858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23D75" w:rsidRPr="00221496" w:rsidRDefault="00B23D75" w:rsidP="00AC2858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23D75" w:rsidRPr="00221496" w:rsidRDefault="00B23D75" w:rsidP="00AC2858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B23D75" w:rsidRDefault="00B23D75" w:rsidP="00AC2858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15-883-GE-RDR</w:t>
            </w:r>
          </w:p>
          <w:p w:rsidR="00B23D75" w:rsidRPr="00221496" w:rsidRDefault="00B23D75" w:rsidP="00AC2858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23D75" w:rsidRPr="00221496" w:rsidRDefault="00B23D75" w:rsidP="00AC2858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3D75" w:rsidRPr="002D54AC" w:rsidRDefault="00B23D75" w:rsidP="00B23D75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4A2439" w:rsidRDefault="004A2439" w:rsidP="00B23D75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</w:p>
    <w:p w:rsidR="004A2439" w:rsidRDefault="004A2439" w:rsidP="00B23D75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</w:p>
    <w:p w:rsidR="00B23D75" w:rsidRPr="00D33ED2" w:rsidRDefault="00B23D75" w:rsidP="00B23D75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  <w:r w:rsidRPr="00D33ED2">
        <w:rPr>
          <w:rFonts w:ascii="Times New Roman" w:hAnsi="Times New Roman"/>
          <w:sz w:val="16"/>
          <w:szCs w:val="16"/>
          <w:u w:val="single"/>
        </w:rPr>
        <w:tab/>
      </w:r>
    </w:p>
    <w:p w:rsidR="00B23D75" w:rsidRPr="007F571F" w:rsidRDefault="00B23D75" w:rsidP="00B23D75">
      <w:pPr>
        <w:jc w:val="center"/>
        <w:rPr>
          <w:b/>
          <w:sz w:val="26"/>
          <w:szCs w:val="26"/>
        </w:rPr>
      </w:pPr>
      <w:r w:rsidRPr="007F571F">
        <w:rPr>
          <w:b/>
          <w:sz w:val="26"/>
          <w:szCs w:val="26"/>
        </w:rPr>
        <w:t>MOTION FOR AN EXTENSION OF THE PROCEDURAL SCHEDULE</w:t>
      </w:r>
      <w:r>
        <w:rPr>
          <w:b/>
          <w:sz w:val="26"/>
          <w:szCs w:val="26"/>
        </w:rPr>
        <w:t xml:space="preserve"> AND REQUEST FOR EXPEDITED TREATMENT</w:t>
      </w:r>
    </w:p>
    <w:p w:rsidR="00B23D75" w:rsidRPr="00D33ED2" w:rsidRDefault="00B23D75" w:rsidP="00B23D75">
      <w:pPr>
        <w:jc w:val="center"/>
        <w:rPr>
          <w:b/>
          <w:sz w:val="24"/>
          <w:szCs w:val="24"/>
        </w:rPr>
      </w:pPr>
      <w:r w:rsidRPr="00D33ED2">
        <w:rPr>
          <w:b/>
          <w:sz w:val="24"/>
          <w:szCs w:val="24"/>
        </w:rPr>
        <w:t>SUBMITTED ON BEHALF OF THE STAFF OF</w:t>
      </w:r>
    </w:p>
    <w:p w:rsidR="00B23D75" w:rsidRPr="00D33ED2" w:rsidRDefault="00B23D75" w:rsidP="00B23D75">
      <w:pPr>
        <w:jc w:val="center"/>
        <w:rPr>
          <w:b/>
          <w:sz w:val="24"/>
          <w:szCs w:val="24"/>
        </w:rPr>
      </w:pPr>
      <w:r w:rsidRPr="00D33ED2">
        <w:rPr>
          <w:b/>
          <w:sz w:val="24"/>
          <w:szCs w:val="24"/>
        </w:rPr>
        <w:t xml:space="preserve">THE PUBLIC UTILITIES COMMISSION OF OHIO </w:t>
      </w:r>
    </w:p>
    <w:p w:rsidR="00B23D75" w:rsidRPr="00D33ED2" w:rsidRDefault="00B23D75" w:rsidP="00B23D75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  <w:r w:rsidRPr="00D33ED2">
        <w:rPr>
          <w:rFonts w:ascii="Times New Roman" w:hAnsi="Times New Roman"/>
          <w:sz w:val="16"/>
          <w:szCs w:val="16"/>
          <w:u w:val="single"/>
        </w:rPr>
        <w:tab/>
      </w:r>
    </w:p>
    <w:p w:rsidR="004A2439" w:rsidRDefault="004A2439" w:rsidP="00D33ED2">
      <w:pPr>
        <w:pStyle w:val="textstyle"/>
        <w:rPr>
          <w:b/>
          <w:szCs w:val="26"/>
        </w:rPr>
      </w:pPr>
    </w:p>
    <w:p w:rsidR="00D33ED2" w:rsidRDefault="00B23D75" w:rsidP="00D33ED2">
      <w:pPr>
        <w:pStyle w:val="textstyle"/>
        <w:rPr>
          <w:szCs w:val="26"/>
        </w:rPr>
      </w:pPr>
      <w:r>
        <w:rPr>
          <w:b/>
          <w:szCs w:val="26"/>
        </w:rPr>
        <w:tab/>
      </w:r>
      <w:r>
        <w:rPr>
          <w:szCs w:val="26"/>
        </w:rPr>
        <w:t>Pursuant to Ohio Adm.Code 4901-1-13(A), t</w:t>
      </w:r>
      <w:r w:rsidRPr="003B01F2">
        <w:rPr>
          <w:szCs w:val="26"/>
        </w:rPr>
        <w:t>he Staff of the Public Utilities Commission of Ohio (Staff)</w:t>
      </w:r>
      <w:r>
        <w:rPr>
          <w:szCs w:val="26"/>
        </w:rPr>
        <w:t xml:space="preserve"> respectfully requests an extension of the procedural schedule</w:t>
      </w:r>
      <w:r w:rsidRPr="003B01F2">
        <w:rPr>
          <w:szCs w:val="26"/>
        </w:rPr>
        <w:t>.</w:t>
      </w:r>
      <w:r>
        <w:rPr>
          <w:szCs w:val="26"/>
        </w:rPr>
        <w:t xml:space="preserve">  Staff requests this extension because it needs more time to complete its investigation and prepare comments. Staff consulted with all parties in this proceeding and they do not object to </w:t>
      </w:r>
      <w:r w:rsidR="0075743D">
        <w:rPr>
          <w:szCs w:val="26"/>
        </w:rPr>
        <w:t>Staff’s request for an extension or its request for expedited treatment of the motion.</w:t>
      </w:r>
      <w:r w:rsidR="0002352A">
        <w:rPr>
          <w:szCs w:val="26"/>
        </w:rPr>
        <w:t xml:space="preserve"> Further details relating to this motion are set forth in the following memorandum in support.</w:t>
      </w:r>
    </w:p>
    <w:p w:rsidR="004A2439" w:rsidRDefault="004A2439" w:rsidP="00D33ED2">
      <w:pPr>
        <w:tabs>
          <w:tab w:val="left" w:pos="9348"/>
        </w:tabs>
        <w:ind w:left="432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3D75" w:rsidRDefault="00B23D75" w:rsidP="00D33ED2">
      <w:pPr>
        <w:tabs>
          <w:tab w:val="left" w:pos="9348"/>
        </w:tabs>
        <w:ind w:left="4320"/>
        <w:rPr>
          <w:sz w:val="26"/>
          <w:szCs w:val="26"/>
        </w:rPr>
      </w:pPr>
      <w:r w:rsidRPr="00D33ED2">
        <w:rPr>
          <w:sz w:val="26"/>
          <w:szCs w:val="26"/>
        </w:rPr>
        <w:t>Respectfully submitted,</w:t>
      </w:r>
    </w:p>
    <w:p w:rsidR="00D33ED2" w:rsidRPr="00D33ED2" w:rsidRDefault="00D33ED2" w:rsidP="00D33ED2">
      <w:pPr>
        <w:tabs>
          <w:tab w:val="left" w:pos="9348"/>
        </w:tabs>
        <w:ind w:left="4320"/>
        <w:rPr>
          <w:sz w:val="26"/>
          <w:szCs w:val="26"/>
        </w:rPr>
      </w:pP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</w:p>
    <w:p w:rsidR="00B23D75" w:rsidRDefault="00B23D75" w:rsidP="00661DE7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B23D75" w:rsidRPr="006E6A7E" w:rsidRDefault="00B23D75" w:rsidP="00661DE7">
      <w:pPr>
        <w:tabs>
          <w:tab w:val="left" w:pos="9348"/>
        </w:tabs>
        <w:ind w:left="4320"/>
        <w:rPr>
          <w:rFonts w:ascii="Viner Hand ITC" w:hAnsi="Viner Hand ITC"/>
          <w:sz w:val="28"/>
          <w:szCs w:val="26"/>
          <w:u w:val="single"/>
        </w:rPr>
      </w:pPr>
      <w:r>
        <w:rPr>
          <w:rFonts w:ascii="Viner Hand ITC" w:hAnsi="Viner Hand ITC"/>
          <w:sz w:val="28"/>
          <w:szCs w:val="26"/>
          <w:u w:val="single"/>
        </w:rPr>
        <w:t>/s/ Katie L. Johnson</w:t>
      </w:r>
      <w:r w:rsidRPr="006E6A7E">
        <w:rPr>
          <w:rFonts w:ascii="Viner Hand ITC" w:hAnsi="Viner Hand ITC"/>
          <w:sz w:val="28"/>
          <w:szCs w:val="26"/>
          <w:u w:val="single"/>
        </w:rPr>
        <w:tab/>
      </w:r>
    </w:p>
    <w:p w:rsidR="00B23D75" w:rsidRPr="0064436A" w:rsidRDefault="00B23D75" w:rsidP="00661DE7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>
        <w:rPr>
          <w:sz w:val="26"/>
          <w:szCs w:val="26"/>
        </w:rPr>
        <w:t>6</w:t>
      </w:r>
      <w:r w:rsidRPr="000753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>
        <w:rPr>
          <w:sz w:val="26"/>
          <w:szCs w:val="26"/>
        </w:rPr>
        <w:t>614.644.8588 (telephone)</w:t>
      </w:r>
    </w:p>
    <w:p w:rsidR="00B23D75" w:rsidRDefault="004A2439" w:rsidP="00661DE7">
      <w:pPr>
        <w:tabs>
          <w:tab w:val="left" w:pos="9348"/>
        </w:tabs>
        <w:ind w:left="4320"/>
        <w:rPr>
          <w:sz w:val="26"/>
          <w:szCs w:val="26"/>
        </w:rPr>
      </w:pPr>
      <w:hyperlink r:id="rId6" w:history="1">
        <w:r w:rsidR="00B23D75" w:rsidRPr="00C91869">
          <w:rPr>
            <w:rStyle w:val="Hyperlink"/>
            <w:sz w:val="26"/>
            <w:szCs w:val="26"/>
          </w:rPr>
          <w:t>katie.johnson@puc.state.oh.us</w:t>
        </w:r>
      </w:hyperlink>
    </w:p>
    <w:p w:rsidR="00B23D75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</w:p>
    <w:p w:rsidR="00661DE7" w:rsidRDefault="00661DE7" w:rsidP="00661DE7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 behalf of </w:t>
      </w:r>
      <w:r w:rsidR="00B23D75">
        <w:rPr>
          <w:b/>
          <w:sz w:val="26"/>
          <w:szCs w:val="26"/>
        </w:rPr>
        <w:t>the Staff of</w:t>
      </w:r>
    </w:p>
    <w:p w:rsidR="00B23D75" w:rsidRPr="00D33ED2" w:rsidRDefault="00661DE7" w:rsidP="00D33ED2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The </w:t>
      </w:r>
      <w:r w:rsidR="00B23D75">
        <w:rPr>
          <w:b/>
          <w:sz w:val="26"/>
          <w:szCs w:val="26"/>
        </w:rPr>
        <w:t>Public Utilities Commission of Ohio</w:t>
      </w:r>
    </w:p>
    <w:p w:rsidR="00B23D75" w:rsidRDefault="00B23D75" w:rsidP="00B23D75">
      <w:pPr>
        <w:jc w:val="center"/>
        <w:rPr>
          <w:b/>
          <w:sz w:val="26"/>
          <w:szCs w:val="26"/>
        </w:rPr>
        <w:sectPr w:rsidR="00B23D75" w:rsidSect="004A2439">
          <w:footerReference w:type="default" r:id="rId7"/>
          <w:foot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D33ED2" w:rsidRDefault="00D33ED2" w:rsidP="00D33ED2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B23D75" w:rsidRDefault="00B23D75" w:rsidP="00D33ED2">
      <w:pPr>
        <w:jc w:val="center"/>
        <w:rPr>
          <w:b/>
          <w:sz w:val="26"/>
          <w:szCs w:val="26"/>
        </w:rPr>
      </w:pPr>
      <w:r w:rsidRPr="005A369C">
        <w:rPr>
          <w:b/>
          <w:sz w:val="26"/>
          <w:szCs w:val="26"/>
        </w:rPr>
        <w:t>MEMORANDUM IN SUPPORT</w:t>
      </w:r>
    </w:p>
    <w:p w:rsidR="00D33ED2" w:rsidRDefault="00D33ED2" w:rsidP="00D33ED2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B23D75" w:rsidRDefault="00B23D75" w:rsidP="00B23D75">
      <w:pPr>
        <w:spacing w:line="480" w:lineRule="auto"/>
        <w:rPr>
          <w:sz w:val="26"/>
          <w:szCs w:val="26"/>
        </w:rPr>
      </w:pPr>
      <w:r>
        <w:tab/>
      </w:r>
      <w:r>
        <w:rPr>
          <w:sz w:val="26"/>
          <w:szCs w:val="26"/>
        </w:rPr>
        <w:t>By entry dated July 1, 2015, the Commission adopted a procedural schedule in this case setting dates for the filing of comments, testimony, and an evidentiary hearing as follows:</w:t>
      </w:r>
    </w:p>
    <w:p w:rsidR="00B23D75" w:rsidRDefault="00B23D75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a)</w:t>
      </w:r>
      <w:r w:rsidR="00661DE7">
        <w:rPr>
          <w:sz w:val="26"/>
          <w:szCs w:val="26"/>
        </w:rPr>
        <w:tab/>
      </w:r>
      <w:r>
        <w:rPr>
          <w:sz w:val="26"/>
          <w:szCs w:val="26"/>
        </w:rPr>
        <w:t>October 9, 2015 – Deadline for the filing of comments on the application by Staff and intervenors.</w:t>
      </w:r>
      <w:r>
        <w:rPr>
          <w:rStyle w:val="FootnoteReference"/>
          <w:sz w:val="26"/>
          <w:szCs w:val="26"/>
        </w:rPr>
        <w:footnoteReference w:id="1"/>
      </w:r>
    </w:p>
    <w:p w:rsidR="00B23D75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b</w:t>
      </w:r>
      <w:r w:rsidR="00B23D75">
        <w:rPr>
          <w:sz w:val="26"/>
          <w:szCs w:val="26"/>
        </w:rPr>
        <w:t>)</w:t>
      </w:r>
      <w:r w:rsidR="00661DE7">
        <w:rPr>
          <w:sz w:val="26"/>
          <w:szCs w:val="26"/>
        </w:rPr>
        <w:tab/>
      </w:r>
      <w:r w:rsidR="00B23D75">
        <w:rPr>
          <w:sz w:val="26"/>
          <w:szCs w:val="26"/>
        </w:rPr>
        <w:t>October 23, 2015 – Deadline for all parties to file reply comments.</w:t>
      </w:r>
    </w:p>
    <w:p w:rsidR="00B23D75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c</w:t>
      </w:r>
      <w:r w:rsidR="00B23D75">
        <w:rPr>
          <w:sz w:val="26"/>
          <w:szCs w:val="26"/>
        </w:rPr>
        <w:t>)</w:t>
      </w:r>
      <w:r w:rsidR="00661DE7">
        <w:rPr>
          <w:sz w:val="26"/>
          <w:szCs w:val="26"/>
        </w:rPr>
        <w:tab/>
      </w:r>
      <w:r w:rsidR="00B23D75">
        <w:rPr>
          <w:sz w:val="26"/>
          <w:szCs w:val="26"/>
        </w:rPr>
        <w:t>November 6, 2015 – Deadline for Staff and intervenor testimony.</w:t>
      </w:r>
    </w:p>
    <w:p w:rsidR="00661DE7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d</w:t>
      </w:r>
      <w:r w:rsidR="00B23D75">
        <w:rPr>
          <w:sz w:val="26"/>
          <w:szCs w:val="26"/>
        </w:rPr>
        <w:t>)</w:t>
      </w:r>
      <w:r w:rsidR="00661DE7">
        <w:rPr>
          <w:sz w:val="26"/>
          <w:szCs w:val="26"/>
        </w:rPr>
        <w:tab/>
      </w:r>
      <w:r w:rsidR="00B23D75">
        <w:rPr>
          <w:sz w:val="26"/>
          <w:szCs w:val="26"/>
        </w:rPr>
        <w:t>November 13, 2015 – Deadline for Duke to</w:t>
      </w:r>
      <w:r w:rsidR="00661DE7">
        <w:rPr>
          <w:sz w:val="26"/>
          <w:szCs w:val="26"/>
        </w:rPr>
        <w:t xml:space="preserve"> file supplemental testimony. </w:t>
      </w:r>
    </w:p>
    <w:p w:rsidR="00661DE7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e</w:t>
      </w:r>
      <w:r w:rsidR="00B23D75">
        <w:rPr>
          <w:sz w:val="26"/>
          <w:szCs w:val="26"/>
        </w:rPr>
        <w:t>)</w:t>
      </w:r>
      <w:r w:rsidR="00661DE7">
        <w:rPr>
          <w:sz w:val="26"/>
          <w:szCs w:val="26"/>
        </w:rPr>
        <w:tab/>
      </w:r>
      <w:r w:rsidR="00B23D75">
        <w:rPr>
          <w:sz w:val="26"/>
          <w:szCs w:val="26"/>
        </w:rPr>
        <w:t xml:space="preserve">November 19, 2015 – The evidentiary hearing. </w:t>
      </w:r>
    </w:p>
    <w:p w:rsidR="00B23D75" w:rsidRDefault="00B23D75" w:rsidP="00B23D75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For the reasons set forth below, Staff requests that the Commission amend the procedural schedule as follows:</w:t>
      </w:r>
    </w:p>
    <w:p w:rsidR="00B23D75" w:rsidRPr="00661DE7" w:rsidRDefault="00B23D75" w:rsidP="00661DE7">
      <w:pPr>
        <w:spacing w:after="240"/>
        <w:ind w:left="1440" w:right="1440" w:hanging="720"/>
        <w:rPr>
          <w:sz w:val="28"/>
          <w:szCs w:val="26"/>
        </w:rPr>
      </w:pPr>
      <w:r>
        <w:rPr>
          <w:sz w:val="26"/>
          <w:szCs w:val="26"/>
        </w:rPr>
        <w:lastRenderedPageBreak/>
        <w:t xml:space="preserve">a)  </w:t>
      </w:r>
      <w:r w:rsidR="00661DE7">
        <w:rPr>
          <w:sz w:val="26"/>
          <w:szCs w:val="26"/>
        </w:rPr>
        <w:tab/>
      </w:r>
      <w:r w:rsidR="00E65965">
        <w:rPr>
          <w:b/>
          <w:sz w:val="26"/>
          <w:szCs w:val="26"/>
        </w:rPr>
        <w:t>November 13</w:t>
      </w:r>
      <w:r w:rsidRPr="008676AB">
        <w:rPr>
          <w:b/>
          <w:sz w:val="26"/>
          <w:szCs w:val="26"/>
        </w:rPr>
        <w:t>, 2015</w:t>
      </w:r>
      <w:r>
        <w:rPr>
          <w:sz w:val="26"/>
          <w:szCs w:val="26"/>
        </w:rPr>
        <w:t xml:space="preserve"> – Deadline for the filing of</w:t>
      </w:r>
      <w:r w:rsidR="00661DE7">
        <w:rPr>
          <w:sz w:val="26"/>
          <w:szCs w:val="26"/>
        </w:rPr>
        <w:t xml:space="preserve"> comments on the </w:t>
      </w:r>
      <w:r>
        <w:rPr>
          <w:sz w:val="26"/>
          <w:szCs w:val="26"/>
        </w:rPr>
        <w:t>application by Staff and intervenors.</w:t>
      </w:r>
    </w:p>
    <w:p w:rsidR="00B23D75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b</w:t>
      </w:r>
      <w:r w:rsidR="00B23D75">
        <w:rPr>
          <w:sz w:val="26"/>
          <w:szCs w:val="26"/>
        </w:rPr>
        <w:t xml:space="preserve">)  </w:t>
      </w:r>
      <w:r w:rsidR="00661DE7">
        <w:rPr>
          <w:sz w:val="26"/>
          <w:szCs w:val="26"/>
        </w:rPr>
        <w:tab/>
      </w:r>
      <w:r w:rsidR="00E65965">
        <w:rPr>
          <w:b/>
          <w:sz w:val="26"/>
          <w:szCs w:val="26"/>
        </w:rPr>
        <w:t>November 25</w:t>
      </w:r>
      <w:r w:rsidR="00B23D75" w:rsidRPr="001A7A43">
        <w:rPr>
          <w:b/>
          <w:sz w:val="26"/>
          <w:szCs w:val="26"/>
        </w:rPr>
        <w:t>, 2015</w:t>
      </w:r>
      <w:r w:rsidR="00B23D75">
        <w:rPr>
          <w:sz w:val="26"/>
          <w:szCs w:val="26"/>
        </w:rPr>
        <w:t xml:space="preserve"> – Deadline for all parties to file reply comments.</w:t>
      </w:r>
    </w:p>
    <w:p w:rsidR="00B23D75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c</w:t>
      </w:r>
      <w:r w:rsidR="00B23D75">
        <w:rPr>
          <w:sz w:val="26"/>
          <w:szCs w:val="26"/>
        </w:rPr>
        <w:t xml:space="preserve">)  </w:t>
      </w:r>
      <w:r w:rsidR="00661DE7">
        <w:rPr>
          <w:sz w:val="26"/>
          <w:szCs w:val="26"/>
        </w:rPr>
        <w:tab/>
      </w:r>
      <w:r w:rsidR="00E4520E">
        <w:rPr>
          <w:b/>
          <w:sz w:val="26"/>
          <w:szCs w:val="26"/>
        </w:rPr>
        <w:t>December 9</w:t>
      </w:r>
      <w:r w:rsidR="00B23D75" w:rsidRPr="00AB006E">
        <w:rPr>
          <w:b/>
          <w:sz w:val="26"/>
          <w:szCs w:val="26"/>
        </w:rPr>
        <w:t>, 2015</w:t>
      </w:r>
      <w:r w:rsidR="00B23D75">
        <w:rPr>
          <w:sz w:val="26"/>
          <w:szCs w:val="26"/>
        </w:rPr>
        <w:t xml:space="preserve"> – Deadline for Staff and intervenor testimony.</w:t>
      </w:r>
    </w:p>
    <w:p w:rsidR="00AB006E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d</w:t>
      </w:r>
      <w:r w:rsidR="00B23D75">
        <w:rPr>
          <w:sz w:val="26"/>
          <w:szCs w:val="26"/>
        </w:rPr>
        <w:t xml:space="preserve">)  </w:t>
      </w:r>
      <w:r w:rsidR="00661DE7">
        <w:rPr>
          <w:sz w:val="26"/>
          <w:szCs w:val="26"/>
        </w:rPr>
        <w:tab/>
      </w:r>
      <w:r w:rsidR="00E4520E">
        <w:rPr>
          <w:b/>
          <w:sz w:val="26"/>
          <w:szCs w:val="26"/>
        </w:rPr>
        <w:t>December 16</w:t>
      </w:r>
      <w:r w:rsidR="00B23D75" w:rsidRPr="00AB006E">
        <w:rPr>
          <w:b/>
          <w:sz w:val="26"/>
          <w:szCs w:val="26"/>
        </w:rPr>
        <w:t>, 2015</w:t>
      </w:r>
      <w:r w:rsidR="00B23D75">
        <w:rPr>
          <w:sz w:val="26"/>
          <w:szCs w:val="26"/>
        </w:rPr>
        <w:t xml:space="preserve"> – Deadline for Duke to file supplemental testimony. </w:t>
      </w:r>
      <w:r w:rsidR="00B23D75">
        <w:rPr>
          <w:sz w:val="26"/>
          <w:szCs w:val="26"/>
        </w:rPr>
        <w:tab/>
      </w:r>
      <w:r w:rsidR="00B23D75">
        <w:rPr>
          <w:sz w:val="26"/>
          <w:szCs w:val="26"/>
        </w:rPr>
        <w:tab/>
      </w:r>
    </w:p>
    <w:p w:rsidR="00B23D75" w:rsidRDefault="00DF5D8D" w:rsidP="00661DE7">
      <w:pPr>
        <w:spacing w:after="240"/>
        <w:ind w:left="1440" w:right="1440" w:hanging="720"/>
        <w:rPr>
          <w:sz w:val="26"/>
          <w:szCs w:val="26"/>
        </w:rPr>
      </w:pPr>
      <w:r>
        <w:rPr>
          <w:sz w:val="26"/>
          <w:szCs w:val="26"/>
        </w:rPr>
        <w:t>e</w:t>
      </w:r>
      <w:r w:rsidR="00B23D75">
        <w:rPr>
          <w:sz w:val="26"/>
          <w:szCs w:val="26"/>
        </w:rPr>
        <w:t xml:space="preserve">)  </w:t>
      </w:r>
      <w:r w:rsidR="00AB006E">
        <w:rPr>
          <w:sz w:val="26"/>
          <w:szCs w:val="26"/>
        </w:rPr>
        <w:tab/>
      </w:r>
      <w:r w:rsidR="00175084">
        <w:rPr>
          <w:b/>
          <w:sz w:val="26"/>
          <w:szCs w:val="26"/>
        </w:rPr>
        <w:t>December 22</w:t>
      </w:r>
      <w:r w:rsidR="00B23D75" w:rsidRPr="00AB006E">
        <w:rPr>
          <w:b/>
          <w:sz w:val="26"/>
          <w:szCs w:val="26"/>
        </w:rPr>
        <w:t>, 2015</w:t>
      </w:r>
      <w:r w:rsidR="00B23D75">
        <w:rPr>
          <w:sz w:val="26"/>
          <w:szCs w:val="26"/>
        </w:rPr>
        <w:t xml:space="preserve"> – The evidentiary hearing. </w:t>
      </w:r>
    </w:p>
    <w:p w:rsidR="00B23D75" w:rsidRDefault="00B23D75" w:rsidP="00B23D75">
      <w:pPr>
        <w:spacing w:line="480" w:lineRule="auto"/>
        <w:rPr>
          <w:sz w:val="26"/>
          <w:szCs w:val="26"/>
        </w:rPr>
      </w:pPr>
      <w:r>
        <w:tab/>
      </w:r>
      <w:r w:rsidRPr="009232A4">
        <w:rPr>
          <w:sz w:val="26"/>
          <w:szCs w:val="26"/>
        </w:rPr>
        <w:t>Staff requests this extension</w:t>
      </w:r>
      <w:r>
        <w:rPr>
          <w:sz w:val="26"/>
          <w:szCs w:val="26"/>
        </w:rPr>
        <w:t xml:space="preserve"> because it needs more time to complete its investigation and prepare comments.  Staff consulted with all parties in this proceeding and the</w:t>
      </w:r>
      <w:r w:rsidR="003C1673">
        <w:rPr>
          <w:sz w:val="26"/>
          <w:szCs w:val="26"/>
        </w:rPr>
        <w:t>y do not object to this request for an extension.</w:t>
      </w:r>
    </w:p>
    <w:p w:rsidR="00B23D75" w:rsidRDefault="00AF5BC0" w:rsidP="00B23D75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Also, p</w:t>
      </w:r>
      <w:r w:rsidR="00B23D75">
        <w:rPr>
          <w:sz w:val="26"/>
          <w:szCs w:val="26"/>
        </w:rPr>
        <w:t xml:space="preserve">ursuant to Ohio Adm.Code 4901-1-12(C), Staff requests an expedited ruling regarding this motion. Staff contacted counsel of record for the parties and no party objects to the issuance of an expedited ruling. </w:t>
      </w:r>
    </w:p>
    <w:p w:rsidR="00B23D75" w:rsidRPr="009232A4" w:rsidRDefault="00B23D75" w:rsidP="00661DE7">
      <w:pPr>
        <w:tabs>
          <w:tab w:val="left" w:pos="9348"/>
        </w:tabs>
        <w:spacing w:line="480" w:lineRule="auto"/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B23D75" w:rsidRPr="006E6A7E" w:rsidRDefault="00B23D75" w:rsidP="00661DE7">
      <w:pPr>
        <w:tabs>
          <w:tab w:val="left" w:pos="9348"/>
        </w:tabs>
        <w:ind w:left="4320"/>
        <w:rPr>
          <w:rFonts w:ascii="Viner Hand ITC" w:hAnsi="Viner Hand ITC"/>
          <w:sz w:val="28"/>
          <w:szCs w:val="26"/>
          <w:u w:val="single"/>
        </w:rPr>
      </w:pPr>
      <w:r>
        <w:rPr>
          <w:rFonts w:ascii="Viner Hand ITC" w:hAnsi="Viner Hand ITC"/>
          <w:sz w:val="28"/>
          <w:szCs w:val="26"/>
          <w:u w:val="single"/>
        </w:rPr>
        <w:t>/s/ Katie L. Johnson</w:t>
      </w:r>
      <w:r w:rsidRPr="006E6A7E">
        <w:rPr>
          <w:rFonts w:ascii="Viner Hand ITC" w:hAnsi="Viner Hand ITC"/>
          <w:sz w:val="28"/>
          <w:szCs w:val="26"/>
          <w:u w:val="single"/>
        </w:rPr>
        <w:tab/>
      </w:r>
    </w:p>
    <w:p w:rsidR="00B23D75" w:rsidRPr="0064436A" w:rsidRDefault="00B23D75" w:rsidP="00661DE7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>
        <w:rPr>
          <w:sz w:val="26"/>
          <w:szCs w:val="26"/>
        </w:rPr>
        <w:t>6</w:t>
      </w:r>
      <w:r w:rsidRPr="000753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B23D75" w:rsidRPr="0064436A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>
        <w:rPr>
          <w:sz w:val="26"/>
          <w:szCs w:val="26"/>
        </w:rPr>
        <w:t>614.644.8588 (telephone)</w:t>
      </w:r>
    </w:p>
    <w:p w:rsidR="00B23D75" w:rsidRDefault="00B23D75" w:rsidP="00661DE7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B23D75" w:rsidRDefault="004A2439" w:rsidP="00661DE7">
      <w:pPr>
        <w:tabs>
          <w:tab w:val="left" w:pos="9348"/>
        </w:tabs>
        <w:ind w:left="4320"/>
        <w:rPr>
          <w:rStyle w:val="Hyperlink"/>
          <w:sz w:val="26"/>
          <w:szCs w:val="26"/>
        </w:rPr>
      </w:pPr>
      <w:hyperlink r:id="rId9" w:history="1">
        <w:r w:rsidR="00B23D75" w:rsidRPr="00C91869">
          <w:rPr>
            <w:rStyle w:val="Hyperlink"/>
            <w:sz w:val="26"/>
            <w:szCs w:val="26"/>
          </w:rPr>
          <w:t>katie.johnson@puc.state.oh.us</w:t>
        </w:r>
      </w:hyperlink>
    </w:p>
    <w:p w:rsidR="00661DE7" w:rsidRDefault="00661DE7" w:rsidP="00661DE7">
      <w:pPr>
        <w:tabs>
          <w:tab w:val="left" w:pos="9348"/>
        </w:tabs>
        <w:ind w:left="4320"/>
        <w:rPr>
          <w:rStyle w:val="Hyperlink"/>
          <w:sz w:val="26"/>
          <w:szCs w:val="26"/>
        </w:rPr>
      </w:pPr>
    </w:p>
    <w:p w:rsidR="00661DE7" w:rsidRPr="00661DE7" w:rsidRDefault="00661DE7" w:rsidP="00661DE7">
      <w:pPr>
        <w:tabs>
          <w:tab w:val="left" w:pos="9348"/>
        </w:tabs>
        <w:ind w:left="4320"/>
        <w:rPr>
          <w:b/>
          <w:sz w:val="26"/>
          <w:szCs w:val="26"/>
        </w:rPr>
      </w:pPr>
      <w:r w:rsidRPr="00661DE7">
        <w:rPr>
          <w:b/>
          <w:sz w:val="26"/>
          <w:szCs w:val="26"/>
        </w:rPr>
        <w:t>On behalf of the Staff of</w:t>
      </w:r>
      <w:r w:rsidRPr="00661DE7">
        <w:rPr>
          <w:b/>
          <w:sz w:val="26"/>
          <w:szCs w:val="26"/>
        </w:rPr>
        <w:br/>
        <w:t>The Public Utilities Commission of Ohio</w:t>
      </w:r>
    </w:p>
    <w:p w:rsidR="00661DE7" w:rsidRPr="001C3893" w:rsidRDefault="00661DE7" w:rsidP="00661DE7">
      <w:pPr>
        <w:tabs>
          <w:tab w:val="left" w:pos="9348"/>
        </w:tabs>
        <w:ind w:left="4320"/>
        <w:rPr>
          <w:sz w:val="26"/>
          <w:szCs w:val="26"/>
        </w:rPr>
        <w:sectPr w:rsidR="00661DE7" w:rsidRPr="001C3893" w:rsidSect="00AE6C41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B23D75" w:rsidRPr="00934B92" w:rsidRDefault="00B23D75" w:rsidP="00B23D75">
      <w:pPr>
        <w:pStyle w:val="Heading1"/>
      </w:pPr>
      <w:bookmarkStart w:id="1" w:name="_Toc205862526"/>
      <w:bookmarkStart w:id="2" w:name="_Toc260212964"/>
      <w:r w:rsidRPr="00934B92">
        <w:lastRenderedPageBreak/>
        <w:t>PROOF OF SERVICE</w:t>
      </w:r>
      <w:bookmarkEnd w:id="1"/>
      <w:bookmarkEnd w:id="2"/>
    </w:p>
    <w:p w:rsidR="00B23D75" w:rsidRPr="00176EDA" w:rsidRDefault="00B23D75" w:rsidP="00B23D75">
      <w:pPr>
        <w:pStyle w:val="textstyle"/>
        <w:rPr>
          <w:b/>
          <w:szCs w:val="26"/>
        </w:rPr>
      </w:pPr>
      <w:r>
        <w:tab/>
        <w:t xml:space="preserve">I certify that a </w:t>
      </w:r>
      <w:r w:rsidRPr="00934B92">
        <w:t xml:space="preserve">copy of the foregoing </w:t>
      </w:r>
      <w:r>
        <w:rPr>
          <w:b/>
        </w:rPr>
        <w:t xml:space="preserve">Motion </w:t>
      </w:r>
      <w:r w:rsidR="00661DE7">
        <w:rPr>
          <w:b/>
        </w:rPr>
        <w:t xml:space="preserve">for an Extension of the Procedural Schedule and Request for Expedited Treatment </w:t>
      </w:r>
      <w:r w:rsidRPr="00934B92">
        <w:t>submitted on behalf of the Staff of the Public Utilities Commis</w:t>
      </w:r>
      <w:r w:rsidRPr="00934B92">
        <w:softHyphen/>
        <w:t>sion of Ohio</w:t>
      </w:r>
      <w:r>
        <w:t xml:space="preserve"> </w:t>
      </w:r>
      <w:r w:rsidRPr="00934B92">
        <w:t xml:space="preserve">was served </w:t>
      </w:r>
      <w:r>
        <w:t>via electronic mail</w:t>
      </w:r>
      <w:r w:rsidRPr="00934B92">
        <w:t xml:space="preserve"> upon </w:t>
      </w:r>
      <w:r>
        <w:t xml:space="preserve">the following parties of record on the </w:t>
      </w:r>
      <w:r w:rsidR="00C1548C">
        <w:t>6th</w:t>
      </w:r>
      <w:r w:rsidR="00661DE7">
        <w:t xml:space="preserve"> day</w:t>
      </w:r>
      <w:r>
        <w:t xml:space="preserve"> of October, 2015. </w:t>
      </w:r>
    </w:p>
    <w:p w:rsidR="00B23D75" w:rsidRDefault="00B23D75" w:rsidP="00B23D75">
      <w:pPr>
        <w:tabs>
          <w:tab w:val="right" w:pos="9360"/>
        </w:tabs>
        <w:ind w:left="4320"/>
        <w:jc w:val="both"/>
        <w:rPr>
          <w:u w:val="single"/>
        </w:rPr>
      </w:pPr>
    </w:p>
    <w:p w:rsidR="00B23D75" w:rsidRPr="00496942" w:rsidRDefault="00B23D75" w:rsidP="00B23D75">
      <w:pPr>
        <w:tabs>
          <w:tab w:val="right" w:pos="9360"/>
        </w:tabs>
        <w:ind w:left="4320"/>
        <w:jc w:val="both"/>
        <w:rPr>
          <w:sz w:val="28"/>
          <w:szCs w:val="28"/>
          <w:u w:val="single"/>
        </w:rPr>
      </w:pPr>
      <w:r w:rsidRPr="00496942">
        <w:rPr>
          <w:rFonts w:ascii="Viner Hand ITC" w:hAnsi="Viner Hand ITC"/>
          <w:sz w:val="28"/>
          <w:szCs w:val="28"/>
          <w:u w:val="single"/>
        </w:rPr>
        <w:t>/s/Katie L. Johnson</w:t>
      </w:r>
      <w:r w:rsidRPr="00496942">
        <w:rPr>
          <w:sz w:val="28"/>
          <w:szCs w:val="28"/>
          <w:u w:val="single"/>
        </w:rPr>
        <w:tab/>
      </w:r>
    </w:p>
    <w:p w:rsidR="00B23D75" w:rsidRPr="00DF3D54" w:rsidRDefault="00B23D75" w:rsidP="00B23D75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:rsidR="00B23D75" w:rsidRPr="00DD536A" w:rsidRDefault="00B23D75" w:rsidP="00B23D75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B23D75" w:rsidRDefault="00B23D75" w:rsidP="00B23D75"/>
    <w:p w:rsidR="00B23D75" w:rsidRDefault="00B23D75" w:rsidP="00B23D75"/>
    <w:p w:rsidR="00B23D75" w:rsidRPr="007D62F2" w:rsidRDefault="00B23D75" w:rsidP="00B23D75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Parties of Record: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1DE7" w:rsidRPr="002A34D0" w:rsidTr="002A34D0">
        <w:tc>
          <w:tcPr>
            <w:tcW w:w="4675" w:type="dxa"/>
          </w:tcPr>
          <w:p w:rsidR="00661DE7" w:rsidRPr="002A34D0" w:rsidRDefault="00661DE7">
            <w:pPr>
              <w:rPr>
                <w:sz w:val="26"/>
                <w:szCs w:val="26"/>
              </w:rPr>
            </w:pPr>
          </w:p>
          <w:p w:rsidR="00661DE7" w:rsidRPr="002A34D0" w:rsidRDefault="00661DE7">
            <w:pPr>
              <w:rPr>
                <w:sz w:val="26"/>
                <w:szCs w:val="26"/>
              </w:rPr>
            </w:pPr>
            <w:r w:rsidRPr="002A34D0">
              <w:rPr>
                <w:sz w:val="26"/>
                <w:szCs w:val="26"/>
              </w:rPr>
              <w:t>Amy B. Spiller</w:t>
            </w:r>
            <w:r w:rsidRPr="002A34D0">
              <w:rPr>
                <w:sz w:val="26"/>
                <w:szCs w:val="26"/>
              </w:rPr>
              <w:br/>
              <w:t>Elizabeth H. Watts</w:t>
            </w:r>
          </w:p>
          <w:p w:rsidR="00661DE7" w:rsidRPr="002A34D0" w:rsidRDefault="00661DE7">
            <w:pPr>
              <w:rPr>
                <w:sz w:val="26"/>
                <w:szCs w:val="26"/>
              </w:rPr>
            </w:pPr>
            <w:r w:rsidRPr="002A34D0">
              <w:rPr>
                <w:sz w:val="26"/>
                <w:szCs w:val="26"/>
              </w:rPr>
              <w:t>Duke Energy Ohio</w:t>
            </w:r>
          </w:p>
          <w:p w:rsidR="00661DE7" w:rsidRPr="002A34D0" w:rsidRDefault="00661DE7">
            <w:pPr>
              <w:rPr>
                <w:sz w:val="26"/>
                <w:szCs w:val="26"/>
              </w:rPr>
            </w:pPr>
            <w:r w:rsidRPr="002A34D0">
              <w:rPr>
                <w:sz w:val="26"/>
                <w:szCs w:val="26"/>
              </w:rPr>
              <w:lastRenderedPageBreak/>
              <w:t>139 East Fourth Street</w:t>
            </w:r>
          </w:p>
          <w:p w:rsidR="00661DE7" w:rsidRPr="002A34D0" w:rsidRDefault="00661DE7">
            <w:pPr>
              <w:rPr>
                <w:sz w:val="26"/>
                <w:szCs w:val="26"/>
              </w:rPr>
            </w:pPr>
            <w:r w:rsidRPr="002A34D0">
              <w:rPr>
                <w:sz w:val="26"/>
                <w:szCs w:val="26"/>
              </w:rPr>
              <w:t>1303-Main</w:t>
            </w:r>
          </w:p>
          <w:p w:rsidR="00661DE7" w:rsidRPr="002A34D0" w:rsidRDefault="00661DE7">
            <w:pPr>
              <w:rPr>
                <w:sz w:val="26"/>
                <w:szCs w:val="26"/>
              </w:rPr>
            </w:pPr>
            <w:r w:rsidRPr="002A34D0">
              <w:rPr>
                <w:sz w:val="26"/>
                <w:szCs w:val="26"/>
              </w:rPr>
              <w:t>P.O. Box 960</w:t>
            </w:r>
          </w:p>
          <w:p w:rsidR="00661DE7" w:rsidRPr="002A34D0" w:rsidRDefault="00661DE7">
            <w:pPr>
              <w:rPr>
                <w:sz w:val="26"/>
                <w:szCs w:val="26"/>
              </w:rPr>
            </w:pPr>
            <w:r w:rsidRPr="002A34D0">
              <w:rPr>
                <w:sz w:val="26"/>
                <w:szCs w:val="26"/>
              </w:rPr>
              <w:t>Cincinnati, OH  45201-0960</w:t>
            </w:r>
          </w:p>
          <w:p w:rsidR="00661DE7" w:rsidRPr="002A34D0" w:rsidRDefault="004A2439">
            <w:pPr>
              <w:rPr>
                <w:sz w:val="26"/>
                <w:szCs w:val="26"/>
              </w:rPr>
            </w:pPr>
            <w:hyperlink r:id="rId12" w:history="1">
              <w:r w:rsidR="00661DE7" w:rsidRPr="002A34D0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:rsidR="00661DE7" w:rsidRPr="002A34D0" w:rsidRDefault="004A2439">
            <w:pPr>
              <w:rPr>
                <w:sz w:val="26"/>
                <w:szCs w:val="26"/>
              </w:rPr>
            </w:pPr>
            <w:hyperlink r:id="rId13" w:history="1">
              <w:r w:rsidR="00661DE7" w:rsidRPr="002A34D0">
                <w:rPr>
                  <w:rStyle w:val="Hyperlink"/>
                  <w:sz w:val="26"/>
                  <w:szCs w:val="26"/>
                </w:rPr>
                <w:t>elizabeth.watts@duke-energy.com</w:t>
              </w:r>
            </w:hyperlink>
          </w:p>
          <w:p w:rsidR="00661DE7" w:rsidRPr="002A34D0" w:rsidRDefault="00661DE7">
            <w:pPr>
              <w:rPr>
                <w:sz w:val="26"/>
                <w:szCs w:val="26"/>
              </w:rPr>
            </w:pP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Colleen L. Mooney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Ohio Partners for Affordable Energy</w:t>
            </w:r>
          </w:p>
          <w:p w:rsid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231 West Lima Street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Findlay, OH  45840</w:t>
            </w:r>
          </w:p>
          <w:p w:rsidR="002A34D0" w:rsidRDefault="004A2439" w:rsidP="002A34D0">
            <w:pPr>
              <w:rPr>
                <w:rFonts w:eastAsiaTheme="minorHAnsi"/>
                <w:color w:val="0000FF"/>
                <w:sz w:val="26"/>
                <w:szCs w:val="26"/>
              </w:rPr>
            </w:pPr>
            <w:hyperlink r:id="rId14" w:history="1">
              <w:r w:rsidR="002A34D0" w:rsidRPr="004554D4">
                <w:rPr>
                  <w:rStyle w:val="Hyperlink"/>
                  <w:rFonts w:eastAsiaTheme="minorHAnsi"/>
                  <w:sz w:val="26"/>
                  <w:szCs w:val="26"/>
                </w:rPr>
                <w:t>cmooney@ohiopartners.org</w:t>
              </w:r>
            </w:hyperlink>
          </w:p>
          <w:p w:rsidR="002A34D0" w:rsidRPr="002A34D0" w:rsidRDefault="002A34D0" w:rsidP="002A34D0">
            <w:pPr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:rsidR="00661DE7" w:rsidRPr="002A34D0" w:rsidRDefault="00661DE7">
            <w:pPr>
              <w:rPr>
                <w:sz w:val="26"/>
                <w:szCs w:val="26"/>
              </w:rPr>
            </w:pPr>
          </w:p>
          <w:p w:rsidR="00661DE7" w:rsidRPr="002A34D0" w:rsidRDefault="00661DE7" w:rsidP="00661D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Jennifer L. Spinosi</w:t>
            </w:r>
          </w:p>
          <w:p w:rsidR="00661DE7" w:rsidRPr="002A34D0" w:rsidRDefault="00661DE7" w:rsidP="00661D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Direct Energy Services, LLC</w:t>
            </w:r>
          </w:p>
          <w:p w:rsidR="00661DE7" w:rsidRPr="002A34D0" w:rsidRDefault="00661DE7" w:rsidP="00661D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21 E. State St., Suite 1950</w:t>
            </w:r>
          </w:p>
          <w:p w:rsidR="00661DE7" w:rsidRPr="002A34D0" w:rsidRDefault="00661DE7" w:rsidP="00661D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lastRenderedPageBreak/>
              <w:t xml:space="preserve">Columbus, </w:t>
            </w:r>
            <w:r w:rsidR="002A34D0" w:rsidRPr="002A34D0">
              <w:rPr>
                <w:rFonts w:eastAsiaTheme="minorHAnsi"/>
                <w:color w:val="000000"/>
                <w:sz w:val="26"/>
                <w:szCs w:val="26"/>
              </w:rPr>
              <w:t>OH</w:t>
            </w:r>
            <w:r w:rsidRPr="002A34D0">
              <w:rPr>
                <w:rFonts w:eastAsiaTheme="minorHAnsi"/>
                <w:color w:val="000000"/>
                <w:sz w:val="26"/>
                <w:szCs w:val="26"/>
              </w:rPr>
              <w:t xml:space="preserve"> 43215</w:t>
            </w:r>
          </w:p>
          <w:p w:rsidR="00661DE7" w:rsidRPr="002A34D0" w:rsidRDefault="004A2439" w:rsidP="00661DE7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6"/>
                <w:szCs w:val="26"/>
              </w:rPr>
            </w:pPr>
            <w:hyperlink r:id="rId15" w:history="1">
              <w:r w:rsidR="002A34D0" w:rsidRPr="002A34D0">
                <w:rPr>
                  <w:rStyle w:val="Hyperlink"/>
                  <w:rFonts w:eastAsiaTheme="minorHAnsi"/>
                  <w:sz w:val="26"/>
                  <w:szCs w:val="26"/>
                </w:rPr>
                <w:t>jennifer.spinosi@directenergy.com</w:t>
              </w:r>
            </w:hyperlink>
          </w:p>
          <w:p w:rsidR="002A34D0" w:rsidRPr="002A34D0" w:rsidRDefault="002A34D0" w:rsidP="00661DE7">
            <w:pPr>
              <w:rPr>
                <w:sz w:val="26"/>
                <w:szCs w:val="26"/>
              </w:rPr>
            </w:pP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Terry L. Etter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Kyle L. Kern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Assistant Consumers’ Counsel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Office of the Ohio Consumers’ Counsel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10 West Broad Street, Suite 1800</w:t>
            </w:r>
          </w:p>
          <w:p w:rsidR="002A34D0" w:rsidRPr="002A34D0" w:rsidRDefault="002A34D0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2A34D0">
              <w:rPr>
                <w:rFonts w:eastAsiaTheme="minorHAnsi"/>
                <w:color w:val="000000"/>
                <w:sz w:val="26"/>
                <w:szCs w:val="26"/>
              </w:rPr>
              <w:t>Columbus, OH 43215-3485</w:t>
            </w:r>
          </w:p>
          <w:p w:rsidR="002A34D0" w:rsidRPr="002A34D0" w:rsidRDefault="004A2439" w:rsidP="002A34D0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6"/>
                <w:szCs w:val="26"/>
              </w:rPr>
            </w:pPr>
            <w:hyperlink r:id="rId16" w:history="1">
              <w:r w:rsidR="002A34D0" w:rsidRPr="002A34D0">
                <w:rPr>
                  <w:rStyle w:val="Hyperlink"/>
                  <w:rFonts w:eastAsiaTheme="minorHAnsi"/>
                  <w:sz w:val="26"/>
                  <w:szCs w:val="26"/>
                </w:rPr>
                <w:t>Terry.Etter@occ.ohio.gov</w:t>
              </w:r>
            </w:hyperlink>
          </w:p>
          <w:p w:rsidR="002A34D0" w:rsidRPr="002A34D0" w:rsidRDefault="004A2439" w:rsidP="002A34D0">
            <w:pPr>
              <w:rPr>
                <w:rFonts w:eastAsiaTheme="minorHAnsi"/>
                <w:color w:val="0000FF"/>
                <w:sz w:val="26"/>
                <w:szCs w:val="26"/>
              </w:rPr>
            </w:pPr>
            <w:hyperlink r:id="rId17" w:history="1">
              <w:r w:rsidR="002A34D0" w:rsidRPr="002A34D0">
                <w:rPr>
                  <w:rStyle w:val="Hyperlink"/>
                  <w:rFonts w:eastAsiaTheme="minorHAnsi"/>
                  <w:sz w:val="26"/>
                  <w:szCs w:val="26"/>
                </w:rPr>
                <w:t>Kyle.Kern@occ.ohio.gov</w:t>
              </w:r>
            </w:hyperlink>
          </w:p>
          <w:p w:rsidR="002A34D0" w:rsidRPr="002A34D0" w:rsidRDefault="002A34D0" w:rsidP="002A34D0">
            <w:pPr>
              <w:rPr>
                <w:sz w:val="26"/>
                <w:szCs w:val="26"/>
              </w:rPr>
            </w:pPr>
          </w:p>
        </w:tc>
      </w:tr>
    </w:tbl>
    <w:p w:rsidR="00661DE7" w:rsidRDefault="00661DE7"/>
    <w:sectPr w:rsidR="00661DE7" w:rsidSect="00D33ED2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75" w:rsidRDefault="00B23D75" w:rsidP="00B23D75">
      <w:r>
        <w:separator/>
      </w:r>
    </w:p>
  </w:endnote>
  <w:endnote w:type="continuationSeparator" w:id="0">
    <w:p w:rsidR="00B23D75" w:rsidRDefault="00B23D75" w:rsidP="00B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086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D75" w:rsidRPr="00D33ED2" w:rsidRDefault="00D33ED2" w:rsidP="003B12DD">
        <w:pPr>
          <w:pStyle w:val="Footer"/>
          <w:jc w:val="center"/>
          <w:rPr>
            <w:sz w:val="24"/>
            <w:szCs w:val="24"/>
          </w:rPr>
        </w:pPr>
        <w:r w:rsidRPr="00D33ED2">
          <w:rPr>
            <w:sz w:val="24"/>
            <w:szCs w:val="24"/>
          </w:rPr>
          <w:fldChar w:fldCharType="begin"/>
        </w:r>
        <w:r w:rsidRPr="00D33ED2">
          <w:rPr>
            <w:sz w:val="24"/>
            <w:szCs w:val="24"/>
          </w:rPr>
          <w:instrText xml:space="preserve"> PAGE   \* MERGEFORMAT </w:instrText>
        </w:r>
        <w:r w:rsidRPr="00D33ED2">
          <w:rPr>
            <w:sz w:val="24"/>
            <w:szCs w:val="24"/>
          </w:rPr>
          <w:fldChar w:fldCharType="separate"/>
        </w:r>
        <w:r w:rsidR="004A2439">
          <w:rPr>
            <w:noProof/>
            <w:sz w:val="24"/>
            <w:szCs w:val="24"/>
          </w:rPr>
          <w:t>2</w:t>
        </w:r>
        <w:r w:rsidRPr="00D33ED2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A0" w:rsidRDefault="00EE68A0">
    <w:pPr>
      <w:pStyle w:val="Footer"/>
      <w:jc w:val="center"/>
    </w:pPr>
  </w:p>
  <w:p w:rsidR="00EE68A0" w:rsidRDefault="00EE6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85152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ED2" w:rsidRPr="00D33ED2" w:rsidRDefault="00D33ED2">
        <w:pPr>
          <w:pStyle w:val="Footer"/>
          <w:jc w:val="center"/>
          <w:rPr>
            <w:sz w:val="24"/>
            <w:szCs w:val="24"/>
          </w:rPr>
        </w:pPr>
        <w:r w:rsidRPr="00D33ED2">
          <w:rPr>
            <w:sz w:val="24"/>
            <w:szCs w:val="24"/>
          </w:rPr>
          <w:fldChar w:fldCharType="begin"/>
        </w:r>
        <w:r w:rsidRPr="00D33ED2">
          <w:rPr>
            <w:sz w:val="24"/>
            <w:szCs w:val="24"/>
          </w:rPr>
          <w:instrText xml:space="preserve"> PAGE   \* MERGEFORMAT </w:instrText>
        </w:r>
        <w:r w:rsidRPr="00D33ED2">
          <w:rPr>
            <w:sz w:val="24"/>
            <w:szCs w:val="24"/>
          </w:rPr>
          <w:fldChar w:fldCharType="separate"/>
        </w:r>
        <w:r w:rsidR="004A2439">
          <w:rPr>
            <w:noProof/>
            <w:sz w:val="24"/>
            <w:szCs w:val="24"/>
          </w:rPr>
          <w:t>2</w:t>
        </w:r>
        <w:r w:rsidRPr="00D33ED2">
          <w:rPr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E7" w:rsidRDefault="00661DE7">
    <w:pPr>
      <w:pStyle w:val="Footer"/>
      <w:jc w:val="center"/>
    </w:pPr>
  </w:p>
  <w:p w:rsidR="00661DE7" w:rsidRDefault="00661DE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EE68A0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728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C8A" w:rsidRPr="00D33ED2" w:rsidRDefault="00D33ED2" w:rsidP="00D33ED2">
        <w:pPr>
          <w:pStyle w:val="Footer"/>
          <w:jc w:val="center"/>
          <w:rPr>
            <w:sz w:val="24"/>
            <w:szCs w:val="24"/>
          </w:rPr>
        </w:pPr>
        <w:r w:rsidRPr="00D33ED2">
          <w:rPr>
            <w:sz w:val="24"/>
            <w:szCs w:val="24"/>
          </w:rPr>
          <w:fldChar w:fldCharType="begin"/>
        </w:r>
        <w:r w:rsidRPr="00D33ED2">
          <w:rPr>
            <w:sz w:val="24"/>
            <w:szCs w:val="24"/>
          </w:rPr>
          <w:instrText xml:space="preserve"> PAGE   \* MERGEFORMAT </w:instrText>
        </w:r>
        <w:r w:rsidRPr="00D33ED2">
          <w:rPr>
            <w:sz w:val="24"/>
            <w:szCs w:val="24"/>
          </w:rPr>
          <w:fldChar w:fldCharType="separate"/>
        </w:r>
        <w:r w:rsidR="004A2439">
          <w:rPr>
            <w:noProof/>
            <w:sz w:val="24"/>
            <w:szCs w:val="24"/>
          </w:rPr>
          <w:t>3</w:t>
        </w:r>
        <w:r w:rsidRPr="00D33ED2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75" w:rsidRDefault="00B23D75" w:rsidP="00B23D75">
      <w:r>
        <w:separator/>
      </w:r>
    </w:p>
  </w:footnote>
  <w:footnote w:type="continuationSeparator" w:id="0">
    <w:p w:rsidR="00B23D75" w:rsidRDefault="00B23D75" w:rsidP="00B23D75">
      <w:r>
        <w:continuationSeparator/>
      </w:r>
    </w:p>
  </w:footnote>
  <w:footnote w:id="1">
    <w:p w:rsidR="00B23D75" w:rsidRDefault="00B23D75" w:rsidP="00D33E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1F609D">
        <w:t>The parties are not seeking to extend the ti</w:t>
      </w:r>
      <w:r w:rsidR="00D33ED2">
        <w:t xml:space="preserve">me for the filing of motions to </w:t>
      </w:r>
      <w:r w:rsidRPr="001F609D">
        <w:t>intervene.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CB3762" w:rsidRDefault="004A2439" w:rsidP="00CB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CB3762" w:rsidRDefault="004A2439" w:rsidP="00CB3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5"/>
    <w:rsid w:val="0002352A"/>
    <w:rsid w:val="00175084"/>
    <w:rsid w:val="001A7A43"/>
    <w:rsid w:val="002A34D0"/>
    <w:rsid w:val="0037456A"/>
    <w:rsid w:val="003C1673"/>
    <w:rsid w:val="00451658"/>
    <w:rsid w:val="00496942"/>
    <w:rsid w:val="004A2439"/>
    <w:rsid w:val="004D3D5C"/>
    <w:rsid w:val="00661DE7"/>
    <w:rsid w:val="0075743D"/>
    <w:rsid w:val="008676AB"/>
    <w:rsid w:val="0096687A"/>
    <w:rsid w:val="00A15925"/>
    <w:rsid w:val="00AB006E"/>
    <w:rsid w:val="00AF5BC0"/>
    <w:rsid w:val="00B23D75"/>
    <w:rsid w:val="00C1548C"/>
    <w:rsid w:val="00C779D0"/>
    <w:rsid w:val="00CA363D"/>
    <w:rsid w:val="00D33ED2"/>
    <w:rsid w:val="00DF5D8D"/>
    <w:rsid w:val="00E4520E"/>
    <w:rsid w:val="00E65965"/>
    <w:rsid w:val="00EE68A0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3E06F08-779B-4E42-95D6-A1E412C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23D75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D75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Title">
    <w:name w:val="Title"/>
    <w:basedOn w:val="Normal"/>
    <w:link w:val="TitleChar"/>
    <w:qFormat/>
    <w:rsid w:val="00B23D75"/>
    <w:pPr>
      <w:jc w:val="center"/>
    </w:pPr>
    <w:rPr>
      <w:rFonts w:ascii="Palatino Linotype" w:hAnsi="Palatino Linotype"/>
      <w:sz w:val="28"/>
    </w:rPr>
  </w:style>
  <w:style w:type="character" w:customStyle="1" w:styleId="TitleChar">
    <w:name w:val="Title Char"/>
    <w:basedOn w:val="DefaultParagraphFont"/>
    <w:link w:val="Title"/>
    <w:rsid w:val="00B23D75"/>
    <w:rPr>
      <w:rFonts w:ascii="Palatino Linotype" w:eastAsia="Times New Roman" w:hAnsi="Palatino Linotyp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23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B23D75"/>
    <w:rPr>
      <w:rFonts w:cs="Times New Roman"/>
    </w:rPr>
  </w:style>
  <w:style w:type="paragraph" w:styleId="Header">
    <w:name w:val="header"/>
    <w:basedOn w:val="Normal"/>
    <w:link w:val="HeaderChar"/>
    <w:rsid w:val="00B23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3D75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B23D7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3D7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B23D75"/>
    <w:rPr>
      <w:color w:val="0000FF"/>
      <w:u w:val="single"/>
    </w:rPr>
  </w:style>
  <w:style w:type="paragraph" w:customStyle="1" w:styleId="textstyle">
    <w:name w:val="text style"/>
    <w:basedOn w:val="Normal"/>
    <w:link w:val="textstyleChar"/>
    <w:autoRedefine/>
    <w:rsid w:val="00B23D75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"/>
    <w:rsid w:val="00B23D75"/>
    <w:rPr>
      <w:rFonts w:ascii="Times New Roman" w:eastAsia="Times New Roman" w:hAnsi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D33ED2"/>
    <w:pPr>
      <w:spacing w:before="240"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33E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D75"/>
    <w:rPr>
      <w:vertAlign w:val="superscript"/>
    </w:rPr>
  </w:style>
  <w:style w:type="table" w:styleId="TableGrid">
    <w:name w:val="Table Grid"/>
    <w:basedOn w:val="TableNormal"/>
    <w:uiPriority w:val="39"/>
    <w:rsid w:val="0066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elizabeth.watts@duke-energy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mailto:amy.spiller@duke-energy.com" TargetMode="External"/><Relationship Id="rId17" Type="http://schemas.openxmlformats.org/officeDocument/2006/relationships/hyperlink" Target="mailto:Kyle.Kern@occ.ohio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rry.Etter@occ.ohio.gov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katie.johnson@puc.state.oh.us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mailto:jennifer.spinosi@directenergy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mailto:katie.johnson@puc.state.oh.us" TargetMode="External"/><Relationship Id="rId14" Type="http://schemas.openxmlformats.org/officeDocument/2006/relationships/hyperlink" Target="mailto:cmooney@ohiopartner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Katherine</dc:creator>
  <cp:keywords/>
  <dc:description/>
  <cp:lastModifiedBy>Keeton, Kim</cp:lastModifiedBy>
  <cp:revision>3</cp:revision>
  <dcterms:created xsi:type="dcterms:W3CDTF">2015-10-06T12:46:00Z</dcterms:created>
  <dcterms:modified xsi:type="dcterms:W3CDTF">2015-10-06T12:47:00Z</dcterms:modified>
</cp:coreProperties>
</file>